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E3674">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both"/>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附件二</w:t>
      </w:r>
    </w:p>
    <w:p w14:paraId="71BE695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both"/>
        <w:textAlignment w:val="auto"/>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pPr>
    </w:p>
    <w:p w14:paraId="5274120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center"/>
        <w:textAlignment w:val="auto"/>
        <w:rPr>
          <w:rFonts w:ascii="Calibri" w:hAnsi="Calibri" w:cs="Calibri"/>
          <w:i w:val="0"/>
          <w:iCs w:val="0"/>
          <w:caps w:val="0"/>
          <w:color w:val="auto"/>
          <w:spacing w:val="0"/>
          <w:sz w:val="21"/>
          <w:szCs w:val="21"/>
          <w:highlight w:val="none"/>
        </w:rPr>
      </w:pPr>
      <w:r>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t>海口江东新区关于支持外商投</w:t>
      </w:r>
      <w:bookmarkStart w:id="0" w:name="_GoBack"/>
      <w:bookmarkEnd w:id="0"/>
      <w:r>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t>资</w:t>
      </w:r>
    </w:p>
    <w:p w14:paraId="57E9BE6A">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center"/>
        <w:textAlignment w:val="auto"/>
        <w:rPr>
          <w:rFonts w:ascii="Calibri" w:hAnsi="Calibri" w:cs="Calibri"/>
          <w:i w:val="0"/>
          <w:iCs w:val="0"/>
          <w:caps w:val="0"/>
          <w:color w:val="auto"/>
          <w:spacing w:val="0"/>
          <w:sz w:val="21"/>
          <w:szCs w:val="21"/>
          <w:highlight w:val="none"/>
        </w:rPr>
      </w:pPr>
      <w:r>
        <w:rPr>
          <w:rFonts w:ascii="方正小标宋简体" w:hAnsi="方正小标宋简体" w:eastAsia="方正小标宋简体" w:cs="方正小标宋简体"/>
          <w:i w:val="0"/>
          <w:iCs w:val="0"/>
          <w:caps w:val="0"/>
          <w:color w:val="auto"/>
          <w:spacing w:val="0"/>
          <w:kern w:val="0"/>
          <w:sz w:val="44"/>
          <w:szCs w:val="44"/>
          <w:highlight w:val="none"/>
          <w:lang w:val="en-US" w:eastAsia="zh-CN" w:bidi="ar"/>
        </w:rPr>
        <w:t>高质量发展的若干措施</w:t>
      </w:r>
    </w:p>
    <w:p w14:paraId="3F2323E1">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p>
    <w:p w14:paraId="0F5D748F">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0"/>
        <w:jc w:val="both"/>
        <w:textAlignment w:val="auto"/>
        <w:rPr>
          <w:rFonts w:ascii="Calibri" w:hAnsi="Calibri" w:cs="Calibri"/>
          <w:i w:val="0"/>
          <w:iCs w:val="0"/>
          <w:caps w:val="0"/>
          <w:color w:val="auto"/>
          <w:spacing w:val="0"/>
          <w:sz w:val="21"/>
          <w:szCs w:val="21"/>
          <w:highlight w:val="none"/>
        </w:rPr>
      </w:pPr>
      <w:r>
        <w:rPr>
          <w:rFonts w:hint="eastAsia" w:ascii="仿宋_GB2312" w:hAnsi="Calibri" w:eastAsia="仿宋_GB2312" w:cs="仿宋_GB2312"/>
          <w:i w:val="0"/>
          <w:iCs w:val="0"/>
          <w:caps w:val="0"/>
          <w:color w:val="auto"/>
          <w:spacing w:val="0"/>
          <w:kern w:val="0"/>
          <w:sz w:val="32"/>
          <w:szCs w:val="32"/>
          <w:highlight w:val="none"/>
          <w:lang w:val="en-US" w:eastAsia="zh-CN" w:bidi="ar"/>
        </w:rPr>
        <w:t>为</w:t>
      </w:r>
      <w:r>
        <w:rPr>
          <w:rFonts w:hint="eastAsia" w:ascii="仿宋_GB2312" w:eastAsia="仿宋_GB2312" w:cs="仿宋_GB2312"/>
          <w:i w:val="0"/>
          <w:iCs w:val="0"/>
          <w:caps w:val="0"/>
          <w:color w:val="auto"/>
          <w:spacing w:val="0"/>
          <w:kern w:val="0"/>
          <w:sz w:val="32"/>
          <w:szCs w:val="32"/>
          <w:highlight w:val="none"/>
          <w:lang w:val="en-US" w:eastAsia="zh" w:bidi="ar"/>
        </w:rPr>
        <w:t>以</w:t>
      </w:r>
      <w:r>
        <w:rPr>
          <w:rFonts w:hint="eastAsia" w:ascii="仿宋_GB2312" w:hAnsi="Calibri" w:eastAsia="仿宋_GB2312" w:cs="仿宋_GB2312"/>
          <w:i w:val="0"/>
          <w:iCs w:val="0"/>
          <w:caps w:val="0"/>
          <w:color w:val="auto"/>
          <w:spacing w:val="0"/>
          <w:kern w:val="0"/>
          <w:sz w:val="32"/>
          <w:szCs w:val="32"/>
          <w:highlight w:val="none"/>
          <w:lang w:val="en-US" w:eastAsia="zh-CN" w:bidi="ar"/>
        </w:rPr>
        <w:t>更大力度推进高水平对外开放，进一步优化外商投资环境，充分发挥外资在构建新发展格局、促进高质量发展中的积极</w:t>
      </w:r>
      <w:r>
        <w:rPr>
          <w:rFonts w:hint="eastAsia" w:ascii="仿宋_GB2312" w:eastAsia="仿宋_GB2312" w:cs="仿宋_GB2312"/>
          <w:i w:val="0"/>
          <w:iCs w:val="0"/>
          <w:caps w:val="0"/>
          <w:color w:val="auto"/>
          <w:spacing w:val="0"/>
          <w:kern w:val="0"/>
          <w:sz w:val="32"/>
          <w:szCs w:val="32"/>
          <w:highlight w:val="none"/>
          <w:lang w:val="en-US" w:eastAsia="zh" w:bidi="ar"/>
        </w:rPr>
        <w:t>推动</w:t>
      </w:r>
      <w:r>
        <w:rPr>
          <w:rFonts w:hint="eastAsia" w:ascii="仿宋_GB2312" w:eastAsia="仿宋_GB2312" w:cs="仿宋_GB2312"/>
          <w:i w:val="0"/>
          <w:iCs w:val="0"/>
          <w:caps w:val="0"/>
          <w:color w:val="auto"/>
          <w:spacing w:val="0"/>
          <w:kern w:val="0"/>
          <w:sz w:val="32"/>
          <w:szCs w:val="32"/>
          <w:highlight w:val="none"/>
          <w:lang w:val="en-US" w:eastAsia="zh-CN" w:bidi="ar"/>
        </w:rPr>
        <w:t>作用</w:t>
      </w:r>
      <w:r>
        <w:rPr>
          <w:rFonts w:hint="eastAsia" w:ascii="仿宋_GB2312" w:eastAsia="仿宋_GB2312" w:cs="仿宋_GB2312"/>
          <w:i w:val="0"/>
          <w:iCs w:val="0"/>
          <w:caps w:val="0"/>
          <w:color w:val="auto"/>
          <w:spacing w:val="0"/>
          <w:kern w:val="0"/>
          <w:sz w:val="32"/>
          <w:szCs w:val="32"/>
          <w:highlight w:val="none"/>
          <w:lang w:val="en-US" w:eastAsia="zh" w:bidi="ar"/>
        </w:rPr>
        <w:t>，加快在海口江东新区（以下简称：江东新区）</w:t>
      </w:r>
      <w:r>
        <w:rPr>
          <w:rFonts w:ascii="仿宋_GB2312" w:hAnsi="Calibri" w:eastAsia="仿宋_GB2312" w:cs="仿宋_GB2312"/>
          <w:i w:val="0"/>
          <w:iCs w:val="0"/>
          <w:caps w:val="0"/>
          <w:color w:val="auto"/>
          <w:spacing w:val="0"/>
          <w:kern w:val="0"/>
          <w:sz w:val="32"/>
          <w:szCs w:val="32"/>
          <w:highlight w:val="none"/>
          <w:lang w:val="en-US" w:eastAsia="zh-CN" w:bidi="ar"/>
        </w:rPr>
        <w:t>汇聚优质国际资源要素</w:t>
      </w:r>
      <w:r>
        <w:rPr>
          <w:rFonts w:hint="eastAsia" w:ascii="仿宋_GB2312" w:eastAsia="仿宋_GB2312" w:cs="仿宋_GB2312"/>
          <w:i w:val="0"/>
          <w:iCs w:val="0"/>
          <w:caps w:val="0"/>
          <w:color w:val="auto"/>
          <w:spacing w:val="0"/>
          <w:kern w:val="0"/>
          <w:sz w:val="32"/>
          <w:szCs w:val="32"/>
          <w:highlight w:val="none"/>
          <w:lang w:val="en-US" w:eastAsia="zh-CN" w:bidi="ar"/>
        </w:rPr>
        <w:t>。</w:t>
      </w:r>
      <w:r>
        <w:rPr>
          <w:rFonts w:ascii="仿宋_GB2312" w:hAnsi="Calibri" w:eastAsia="仿宋_GB2312" w:cs="仿宋_GB2312"/>
          <w:i w:val="0"/>
          <w:iCs w:val="0"/>
          <w:caps w:val="0"/>
          <w:color w:val="auto"/>
          <w:spacing w:val="0"/>
          <w:kern w:val="0"/>
          <w:sz w:val="32"/>
          <w:szCs w:val="32"/>
          <w:highlight w:val="none"/>
          <w:lang w:val="en-US" w:eastAsia="zh-CN" w:bidi="ar"/>
        </w:rPr>
        <w:t>结合园区实际，</w:t>
      </w:r>
      <w:r>
        <w:rPr>
          <w:rFonts w:ascii="仿宋_GB2312" w:hAnsi="Calibri" w:eastAsia="仿宋_GB2312" w:cs="仿宋_GB2312"/>
          <w:b w:val="0"/>
          <w:bCs w:val="0"/>
          <w:i w:val="0"/>
          <w:iCs w:val="0"/>
          <w:caps w:val="0"/>
          <w:color w:val="auto"/>
          <w:spacing w:val="0"/>
          <w:kern w:val="0"/>
          <w:sz w:val="32"/>
          <w:szCs w:val="32"/>
          <w:highlight w:val="none"/>
          <w:lang w:val="en-US" w:eastAsia="zh-CN" w:bidi="ar"/>
        </w:rPr>
        <w:t>特制定本措施。</w:t>
      </w:r>
    </w:p>
    <w:p w14:paraId="34F220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第一条 支持对象。</w:t>
      </w:r>
      <w:r>
        <w:rPr>
          <w:rFonts w:ascii="仿宋_GB2312" w:hAnsi="Calibri" w:eastAsia="仿宋_GB2312" w:cs="仿宋_GB2312"/>
          <w:i w:val="0"/>
          <w:iCs w:val="0"/>
          <w:caps w:val="0"/>
          <w:color w:val="auto"/>
          <w:spacing w:val="0"/>
          <w:kern w:val="0"/>
          <w:sz w:val="32"/>
          <w:szCs w:val="32"/>
          <w:highlight w:val="none"/>
          <w:lang w:val="en-US" w:eastAsia="zh-CN" w:bidi="ar"/>
        </w:rPr>
        <w:t>本措施主要适用于</w:t>
      </w:r>
      <w:r>
        <w:rPr>
          <w:rFonts w:hint="eastAsia" w:ascii="仿宋_GB2312" w:eastAsia="仿宋_GB2312" w:cs="仿宋_GB2312"/>
          <w:i w:val="0"/>
          <w:iCs w:val="0"/>
          <w:caps w:val="0"/>
          <w:color w:val="auto"/>
          <w:spacing w:val="0"/>
          <w:kern w:val="0"/>
          <w:sz w:val="32"/>
          <w:szCs w:val="32"/>
          <w:highlight w:val="none"/>
          <w:lang w:val="en-US" w:eastAsia="zh" w:bidi="ar"/>
        </w:rPr>
        <w:t>外资企业，</w:t>
      </w:r>
      <w:r>
        <w:rPr>
          <w:rFonts w:hint="eastAsia" w:ascii="仿宋_GB2312" w:eastAsia="仿宋_GB2312" w:cs="仿宋_GB2312"/>
          <w:i w:val="0"/>
          <w:iCs w:val="0"/>
          <w:caps w:val="0"/>
          <w:color w:val="auto"/>
          <w:spacing w:val="0"/>
          <w:kern w:val="0"/>
          <w:sz w:val="32"/>
          <w:szCs w:val="32"/>
          <w:highlight w:val="none"/>
          <w:lang w:val="en-US" w:eastAsia="zh-CN" w:bidi="ar"/>
        </w:rPr>
        <w:t>具体</w:t>
      </w:r>
      <w:r>
        <w:rPr>
          <w:rFonts w:hint="eastAsia" w:ascii="仿宋_GB2312" w:eastAsia="仿宋_GB2312" w:cs="仿宋_GB2312"/>
          <w:i w:val="0"/>
          <w:iCs w:val="0"/>
          <w:caps w:val="0"/>
          <w:color w:val="auto"/>
          <w:spacing w:val="0"/>
          <w:kern w:val="0"/>
          <w:sz w:val="32"/>
          <w:szCs w:val="32"/>
          <w:highlight w:val="none"/>
          <w:lang w:val="en-US" w:eastAsia="zh" w:bidi="ar"/>
        </w:rPr>
        <w:t>是指</w:t>
      </w:r>
      <w:r>
        <w:rPr>
          <w:rFonts w:ascii="仿宋_GB2312" w:hAnsi="Calibri" w:eastAsia="仿宋_GB2312" w:cs="仿宋_GB2312"/>
          <w:i w:val="0"/>
          <w:iCs w:val="0"/>
          <w:caps w:val="0"/>
          <w:color w:val="auto"/>
          <w:spacing w:val="0"/>
          <w:kern w:val="0"/>
          <w:sz w:val="32"/>
          <w:szCs w:val="32"/>
          <w:highlight w:val="none"/>
          <w:lang w:val="en-US" w:eastAsia="zh-CN" w:bidi="ar"/>
        </w:rPr>
        <w:t>注册和实质</w:t>
      </w:r>
      <w:r>
        <w:rPr>
          <w:rFonts w:hint="eastAsia" w:ascii="仿宋_GB2312" w:eastAsia="仿宋_GB2312" w:cs="仿宋_GB2312"/>
          <w:i w:val="0"/>
          <w:iCs w:val="0"/>
          <w:caps w:val="0"/>
          <w:color w:val="auto"/>
          <w:spacing w:val="0"/>
          <w:kern w:val="0"/>
          <w:sz w:val="32"/>
          <w:szCs w:val="32"/>
          <w:highlight w:val="none"/>
          <w:lang w:val="en-US" w:eastAsia="zh" w:bidi="ar"/>
        </w:rPr>
        <w:t>性运营</w:t>
      </w:r>
      <w:r>
        <w:rPr>
          <w:rFonts w:ascii="仿宋_GB2312" w:hAnsi="Calibri" w:eastAsia="仿宋_GB2312" w:cs="仿宋_GB2312"/>
          <w:i w:val="0"/>
          <w:iCs w:val="0"/>
          <w:caps w:val="0"/>
          <w:color w:val="auto"/>
          <w:spacing w:val="0"/>
          <w:kern w:val="0"/>
          <w:sz w:val="32"/>
          <w:szCs w:val="32"/>
          <w:highlight w:val="none"/>
          <w:lang w:val="en-US" w:eastAsia="zh-CN" w:bidi="ar"/>
        </w:rPr>
        <w:t>在江东新区，全部或部分</w:t>
      </w:r>
      <w:r>
        <w:rPr>
          <w:rFonts w:hint="eastAsia" w:ascii="仿宋_GB2312" w:eastAsia="仿宋_GB2312" w:cs="仿宋_GB2312"/>
          <w:i w:val="0"/>
          <w:iCs w:val="0"/>
          <w:caps w:val="0"/>
          <w:color w:val="auto"/>
          <w:spacing w:val="0"/>
          <w:kern w:val="0"/>
          <w:sz w:val="32"/>
          <w:szCs w:val="32"/>
          <w:highlight w:val="none"/>
          <w:lang w:val="en-US" w:eastAsia="zh" w:bidi="ar"/>
        </w:rPr>
        <w:t>资本</w:t>
      </w:r>
      <w:r>
        <w:rPr>
          <w:rFonts w:ascii="仿宋_GB2312" w:hAnsi="Calibri" w:eastAsia="仿宋_GB2312" w:cs="仿宋_GB2312"/>
          <w:i w:val="0"/>
          <w:iCs w:val="0"/>
          <w:caps w:val="0"/>
          <w:color w:val="auto"/>
          <w:spacing w:val="0"/>
          <w:kern w:val="0"/>
          <w:sz w:val="32"/>
          <w:szCs w:val="32"/>
          <w:highlight w:val="none"/>
          <w:lang w:val="en-US" w:eastAsia="zh-CN" w:bidi="ar"/>
        </w:rPr>
        <w:t>（外资直接持股比例不低于20%）由外国投资者投资</w:t>
      </w:r>
      <w:r>
        <w:rPr>
          <w:rFonts w:hint="eastAsia" w:ascii="仿宋_GB2312" w:hAnsi="Calibri" w:eastAsia="仿宋_GB2312" w:cs="仿宋_GB2312"/>
          <w:i w:val="0"/>
          <w:iCs w:val="0"/>
          <w:caps w:val="0"/>
          <w:color w:val="auto"/>
          <w:spacing w:val="0"/>
          <w:kern w:val="0"/>
          <w:sz w:val="32"/>
          <w:szCs w:val="32"/>
          <w:highlight w:val="none"/>
          <w:lang w:val="en-US" w:eastAsia="zh-CN" w:bidi="ar"/>
        </w:rPr>
        <w:t>且与省、市政府或江东管理局签订协议（包括合作协议、框架协议、用地准入协议等）的企业</w:t>
      </w:r>
      <w:r>
        <w:rPr>
          <w:rFonts w:ascii="仿宋_GB2312" w:hAnsi="Calibri" w:eastAsia="仿宋_GB2312" w:cs="仿宋_GB2312"/>
          <w:i w:val="0"/>
          <w:iCs w:val="0"/>
          <w:caps w:val="0"/>
          <w:color w:val="auto"/>
          <w:spacing w:val="0"/>
          <w:kern w:val="0"/>
          <w:sz w:val="32"/>
          <w:szCs w:val="32"/>
          <w:highlight w:val="none"/>
          <w:lang w:val="en-US" w:eastAsia="zh-CN" w:bidi="ar"/>
        </w:rPr>
        <w:t>，主要包括‌中外合资经营企业、‌中外合作经营企业‌或‌外商独资企业，不包括外国的企业、公司和其他经济组织在中国境内的分支机构。</w:t>
      </w:r>
    </w:p>
    <w:p w14:paraId="14FA078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76" w:lineRule="exact"/>
        <w:ind w:left="0" w:leftChars="0" w:right="0" w:firstLine="640" w:firstLineChars="200"/>
        <w:jc w:val="both"/>
        <w:textAlignment w:val="auto"/>
        <w:rPr>
          <w:rFonts w:ascii="仿宋_GB2312" w:hAnsi="Calibri" w:eastAsia="仿宋_GB2312" w:cs="仿宋_GB2312"/>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 w:bidi="ar"/>
        </w:rPr>
        <w:t>第</w:t>
      </w:r>
      <w:r>
        <w:rPr>
          <w:rFonts w:hint="eastAsia" w:ascii="黑体" w:hAnsi="黑体" w:eastAsia="黑体" w:cs="黑体"/>
          <w:b w:val="0"/>
          <w:bCs w:val="0"/>
          <w:i w:val="0"/>
          <w:iCs w:val="0"/>
          <w:caps w:val="0"/>
          <w:color w:val="auto"/>
          <w:spacing w:val="0"/>
          <w:kern w:val="0"/>
          <w:sz w:val="32"/>
          <w:szCs w:val="32"/>
          <w:highlight w:val="none"/>
          <w:lang w:val="en-US" w:eastAsia="zh-CN" w:bidi="ar"/>
        </w:rPr>
        <w:t>二</w:t>
      </w:r>
      <w:r>
        <w:rPr>
          <w:rFonts w:hint="eastAsia" w:ascii="黑体" w:hAnsi="黑体" w:eastAsia="黑体" w:cs="黑体"/>
          <w:b w:val="0"/>
          <w:bCs w:val="0"/>
          <w:i w:val="0"/>
          <w:iCs w:val="0"/>
          <w:caps w:val="0"/>
          <w:color w:val="auto"/>
          <w:spacing w:val="0"/>
          <w:kern w:val="0"/>
          <w:sz w:val="32"/>
          <w:szCs w:val="32"/>
          <w:highlight w:val="none"/>
          <w:lang w:val="en-US" w:eastAsia="zh" w:bidi="ar"/>
        </w:rPr>
        <w:t xml:space="preserve">条 </w:t>
      </w:r>
      <w:r>
        <w:rPr>
          <w:rFonts w:hint="eastAsia" w:ascii="黑体" w:hAnsi="黑体" w:eastAsia="黑体" w:cs="黑体"/>
          <w:b w:val="0"/>
          <w:bCs w:val="0"/>
          <w:i w:val="0"/>
          <w:iCs w:val="0"/>
          <w:caps w:val="0"/>
          <w:color w:val="auto"/>
          <w:spacing w:val="0"/>
          <w:kern w:val="0"/>
          <w:sz w:val="32"/>
          <w:szCs w:val="32"/>
          <w:highlight w:val="none"/>
          <w:lang w:val="en-US" w:eastAsia="zh-CN" w:bidi="ar"/>
        </w:rPr>
        <w:t>加大外资引入支持力度。</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支持外资企业以新设主体、增资扩股、分配利润再投资、股权投资等方式在江东新区进行投资。对</w:t>
      </w:r>
      <w:r>
        <w:rPr>
          <w:rFonts w:ascii="仿宋_GB2312" w:hAnsi="Calibri" w:eastAsia="仿宋_GB2312" w:cs="仿宋_GB2312"/>
          <w:i w:val="0"/>
          <w:iCs w:val="0"/>
          <w:caps w:val="0"/>
          <w:color w:val="auto"/>
          <w:spacing w:val="0"/>
          <w:kern w:val="0"/>
          <w:sz w:val="32"/>
          <w:szCs w:val="32"/>
          <w:highlight w:val="none"/>
          <w:lang w:val="en-US" w:eastAsia="zh-CN" w:bidi="ar"/>
        </w:rPr>
        <w:t>当年度新增实际外资金额合计</w:t>
      </w:r>
      <w:r>
        <w:rPr>
          <w:rFonts w:ascii="仿宋_GB2312" w:hAnsi="Calibri" w:eastAsia="仿宋_GB2312" w:cs="仿宋_GB2312"/>
          <w:b w:val="0"/>
          <w:bCs w:val="0"/>
          <w:i w:val="0"/>
          <w:iCs w:val="0"/>
          <w:caps w:val="0"/>
          <w:color w:val="auto"/>
          <w:spacing w:val="0"/>
          <w:kern w:val="0"/>
          <w:sz w:val="32"/>
          <w:szCs w:val="32"/>
          <w:highlight w:val="none"/>
          <w:lang w:val="en-US" w:eastAsia="zh-CN" w:bidi="ar"/>
        </w:rPr>
        <w:t>达500万美元（含）以上的外资企业，</w:t>
      </w:r>
      <w:r>
        <w:rPr>
          <w:rFonts w:ascii="仿宋_GB2312" w:hAnsi="Calibri" w:eastAsia="仿宋_GB2312" w:cs="仿宋_GB2312"/>
          <w:i w:val="0"/>
          <w:iCs w:val="0"/>
          <w:caps w:val="0"/>
          <w:color w:val="auto"/>
          <w:spacing w:val="0"/>
          <w:kern w:val="0"/>
          <w:sz w:val="32"/>
          <w:szCs w:val="32"/>
          <w:highlight w:val="none"/>
          <w:lang w:val="en-US" w:eastAsia="zh-CN" w:bidi="ar"/>
        </w:rPr>
        <w:t>按</w:t>
      </w:r>
      <w:r>
        <w:rPr>
          <w:rFonts w:hint="eastAsia" w:ascii="仿宋_GB2312" w:eastAsia="仿宋_GB2312" w:cs="仿宋_GB2312"/>
          <w:i w:val="0"/>
          <w:iCs w:val="0"/>
          <w:caps w:val="0"/>
          <w:color w:val="auto"/>
          <w:spacing w:val="0"/>
          <w:kern w:val="0"/>
          <w:sz w:val="32"/>
          <w:szCs w:val="32"/>
          <w:highlight w:val="none"/>
          <w:lang w:val="en-US" w:eastAsia="zh" w:bidi="ar"/>
        </w:rPr>
        <w:t>当</w:t>
      </w:r>
      <w:r>
        <w:rPr>
          <w:rFonts w:ascii="仿宋_GB2312" w:hAnsi="Calibri" w:eastAsia="仿宋_GB2312" w:cs="仿宋_GB2312"/>
          <w:i w:val="0"/>
          <w:iCs w:val="0"/>
          <w:caps w:val="0"/>
          <w:color w:val="auto"/>
          <w:spacing w:val="0"/>
          <w:kern w:val="0"/>
          <w:sz w:val="32"/>
          <w:szCs w:val="32"/>
          <w:highlight w:val="none"/>
          <w:lang w:val="en-US" w:eastAsia="zh-CN" w:bidi="ar"/>
        </w:rPr>
        <w:t>年度累计新增实际外资金额的1</w:t>
      </w:r>
      <w:r>
        <w:rPr>
          <w:rFonts w:hint="eastAsia" w:ascii="仿宋_GB2312" w:eastAsia="仿宋_GB2312" w:cs="仿宋_GB2312"/>
          <w:i w:val="0"/>
          <w:iCs w:val="0"/>
          <w:caps w:val="0"/>
          <w:color w:val="auto"/>
          <w:spacing w:val="0"/>
          <w:kern w:val="0"/>
          <w:sz w:val="32"/>
          <w:szCs w:val="32"/>
          <w:highlight w:val="none"/>
          <w:lang w:val="en-US" w:eastAsia="zh" w:bidi="ar"/>
        </w:rPr>
        <w:t>%</w:t>
      </w:r>
      <w:r>
        <w:rPr>
          <w:rFonts w:ascii="仿宋_GB2312" w:hAnsi="Calibri" w:eastAsia="仿宋_GB2312" w:cs="仿宋_GB2312"/>
          <w:b w:val="0"/>
          <w:bCs w:val="0"/>
          <w:i w:val="0"/>
          <w:iCs w:val="0"/>
          <w:caps w:val="0"/>
          <w:color w:val="auto"/>
          <w:spacing w:val="0"/>
          <w:kern w:val="0"/>
          <w:sz w:val="32"/>
          <w:szCs w:val="32"/>
          <w:highlight w:val="none"/>
          <w:lang w:val="en-US" w:eastAsia="zh-CN" w:bidi="ar"/>
        </w:rPr>
        <w:t>予以支持。对江东新区绿色低碳、数字智慧、医疗康养、科技研发等领域有重大带动作用的企业，支持比例可上浮。</w:t>
      </w:r>
    </w:p>
    <w:p w14:paraId="7A07B83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76" w:lineRule="exact"/>
        <w:ind w:left="0" w:leftChars="0" w:right="0" w:firstLine="640" w:firstLineChars="200"/>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第三条 支持外资企业平等参与标准制定工作。</w:t>
      </w:r>
      <w:r>
        <w:rPr>
          <w:rFonts w:ascii="仿宋_GB2312" w:hAnsi="Calibri" w:eastAsia="仿宋_GB2312" w:cs="仿宋_GB2312"/>
          <w:i w:val="0"/>
          <w:iCs w:val="0"/>
          <w:caps w:val="0"/>
          <w:color w:val="auto"/>
          <w:spacing w:val="0"/>
          <w:kern w:val="0"/>
          <w:sz w:val="32"/>
          <w:szCs w:val="32"/>
          <w:highlight w:val="none"/>
          <w:lang w:val="en-US" w:eastAsia="zh-CN" w:bidi="ar"/>
        </w:rPr>
        <w:t>鼓励外资企业依法平等参与标准制定工作。对在绿色低碳、技术性贸易、数字贸易、中间品贸易等领域主导推动制定国际标准、国家标准、行业标准、团体标准的外资企业，最高分别给予100万元、50万元、30万元、10万元支持。</w:t>
      </w:r>
      <w:r>
        <w:rPr>
          <w:rFonts w:hint="eastAsia" w:ascii="仿宋_GB2312" w:hAnsi="Calibri" w:eastAsia="仿宋_GB2312" w:cs="仿宋_GB2312"/>
          <w:i w:val="0"/>
          <w:iCs w:val="0"/>
          <w:caps w:val="0"/>
          <w:color w:val="auto"/>
          <w:spacing w:val="0"/>
          <w:kern w:val="0"/>
          <w:sz w:val="32"/>
          <w:szCs w:val="32"/>
          <w:highlight w:val="none"/>
          <w:lang w:val="en-US" w:eastAsia="zh-CN" w:bidi="ar"/>
        </w:rPr>
        <w:t>参与制定的企业，按支持力度减半予以奖励</w:t>
      </w:r>
      <w:r>
        <w:rPr>
          <w:rFonts w:ascii="仿宋_GB2312" w:hAnsi="Calibri" w:eastAsia="仿宋_GB2312" w:cs="仿宋_GB2312"/>
          <w:i w:val="0"/>
          <w:iCs w:val="0"/>
          <w:caps w:val="0"/>
          <w:color w:val="auto"/>
          <w:spacing w:val="0"/>
          <w:kern w:val="0"/>
          <w:sz w:val="32"/>
          <w:szCs w:val="32"/>
          <w:highlight w:val="none"/>
          <w:lang w:val="en-US" w:eastAsia="zh-CN" w:bidi="ar"/>
        </w:rPr>
        <w:t>。对于建设国家级服务业标准化试点的外资企业，给予50万元项目建设支持。</w:t>
      </w:r>
    </w:p>
    <w:p w14:paraId="5A807DB1">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第四条 优化贸易投资便利化服务。</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指导外资企业申请</w:t>
      </w:r>
      <w:r>
        <w:rPr>
          <w:rFonts w:hint="eastAsia" w:ascii="仿宋_GB2312" w:eastAsia="仿宋_GB2312" w:cs="仿宋_GB2312"/>
          <w:b w:val="0"/>
          <w:bCs w:val="0"/>
          <w:i w:val="0"/>
          <w:iCs w:val="0"/>
          <w:caps w:val="0"/>
          <w:color w:val="auto"/>
          <w:spacing w:val="0"/>
          <w:kern w:val="0"/>
          <w:sz w:val="32"/>
          <w:szCs w:val="32"/>
          <w:highlight w:val="none"/>
          <w:lang w:val="en-US" w:eastAsia="zh" w:bidi="ar"/>
        </w:rPr>
        <w:t>“</w:t>
      </w:r>
      <w:r>
        <w:rPr>
          <w:rFonts w:ascii="仿宋_GB2312" w:hAnsi="Calibri" w:eastAsia="仿宋_GB2312" w:cs="仿宋_GB2312"/>
          <w:i w:val="0"/>
          <w:iCs w:val="0"/>
          <w:caps w:val="0"/>
          <w:color w:val="auto"/>
          <w:spacing w:val="0"/>
          <w:kern w:val="0"/>
          <w:sz w:val="32"/>
          <w:szCs w:val="32"/>
          <w:highlight w:val="none"/>
          <w:lang w:val="en-US" w:eastAsia="zh-CN" w:bidi="ar"/>
        </w:rPr>
        <w:t>经认证的经营者</w:t>
      </w:r>
      <w:r>
        <w:rPr>
          <w:rFonts w:hint="eastAsia" w:ascii="仿宋_GB2312" w:eastAsia="仿宋_GB2312" w:cs="仿宋_GB2312"/>
          <w:i w:val="0"/>
          <w:iCs w:val="0"/>
          <w:caps w:val="0"/>
          <w:color w:val="auto"/>
          <w:spacing w:val="0"/>
          <w:kern w:val="0"/>
          <w:sz w:val="32"/>
          <w:szCs w:val="32"/>
          <w:highlight w:val="none"/>
          <w:lang w:val="en-US" w:eastAsia="zh" w:bidi="ar"/>
        </w:rPr>
        <w:t>”</w:t>
      </w:r>
      <w:r>
        <w:rPr>
          <w:rFonts w:ascii="仿宋_GB2312" w:hAnsi="Calibri" w:eastAsia="仿宋_GB2312" w:cs="仿宋_GB2312"/>
          <w:b w:val="0"/>
          <w:bCs w:val="0"/>
          <w:i w:val="0"/>
          <w:iCs w:val="0"/>
          <w:caps w:val="0"/>
          <w:color w:val="auto"/>
          <w:spacing w:val="0"/>
          <w:kern w:val="0"/>
          <w:sz w:val="32"/>
          <w:szCs w:val="32"/>
          <w:highlight w:val="none"/>
          <w:lang w:val="en-US" w:eastAsia="zh-CN" w:bidi="ar"/>
        </w:rPr>
        <w:t>（AEO认证）。为外资企业</w:t>
      </w:r>
      <w:r>
        <w:rPr>
          <w:rFonts w:ascii="仿宋_GB2312" w:hAnsi="Calibri" w:eastAsia="仿宋_GB2312" w:cs="仿宋_GB2312"/>
          <w:i w:val="0"/>
          <w:iCs w:val="0"/>
          <w:caps w:val="0"/>
          <w:color w:val="auto"/>
          <w:spacing w:val="0"/>
          <w:kern w:val="0"/>
          <w:sz w:val="32"/>
          <w:szCs w:val="32"/>
          <w:highlight w:val="none"/>
          <w:lang w:val="en-US" w:eastAsia="zh-CN" w:bidi="ar"/>
        </w:rPr>
        <w:t>提供政策解读、企业注册、办公选址、签证办理</w:t>
      </w:r>
      <w:r>
        <w:rPr>
          <w:rFonts w:hint="eastAsia" w:ascii="仿宋_GB2312" w:eastAsia="仿宋_GB2312" w:cs="仿宋_GB2312"/>
          <w:i w:val="0"/>
          <w:iCs w:val="0"/>
          <w:caps w:val="0"/>
          <w:color w:val="auto"/>
          <w:spacing w:val="0"/>
          <w:kern w:val="0"/>
          <w:sz w:val="32"/>
          <w:szCs w:val="32"/>
          <w:highlight w:val="none"/>
          <w:lang w:val="en-US" w:eastAsia="zh-CN" w:bidi="ar"/>
        </w:rPr>
        <w:t>、开通</w:t>
      </w:r>
      <w:r>
        <w:rPr>
          <w:rFonts w:ascii="仿宋_GB2312" w:hAnsi="Calibri" w:eastAsia="仿宋_GB2312" w:cs="仿宋_GB2312"/>
          <w:i w:val="0"/>
          <w:iCs w:val="0"/>
          <w:caps w:val="0"/>
          <w:color w:val="auto"/>
          <w:spacing w:val="0"/>
          <w:kern w:val="0"/>
          <w:sz w:val="32"/>
          <w:szCs w:val="32"/>
          <w:highlight w:val="none"/>
          <w:lang w:val="en-US" w:eastAsia="zh-CN" w:bidi="ar"/>
        </w:rPr>
        <w:t>多功能自由贸易账户等综合服务，为外资企业资金进出自由、汇兑便利提供便捷服务。</w:t>
      </w:r>
    </w:p>
    <w:p w14:paraId="2C3A1661">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第五条 强化外商投资产业项目用地保障。</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支持采取长期租赁、先租后让、弹性年期出让等灵活方式，为外商投资产业项目提供多元土地供应选择，降低产业项目前期投资成本。积极协助</w:t>
      </w:r>
      <w:r>
        <w:rPr>
          <w:rFonts w:ascii="仿宋_GB2312" w:hAnsi="Calibri" w:eastAsia="仿宋_GB2312" w:cs="仿宋_GB2312"/>
          <w:i w:val="0"/>
          <w:iCs w:val="0"/>
          <w:caps w:val="0"/>
          <w:color w:val="auto"/>
          <w:spacing w:val="0"/>
          <w:kern w:val="0"/>
          <w:sz w:val="32"/>
          <w:szCs w:val="32"/>
          <w:highlight w:val="none"/>
          <w:lang w:val="en-US" w:eastAsia="zh-CN" w:bidi="ar"/>
        </w:rPr>
        <w:t>解决项目落地涉及的用地、用海、环评、能耗等问题，简化项目建设手续办理流程，提升项目建设落地效率。</w:t>
      </w:r>
    </w:p>
    <w:p w14:paraId="04581A63">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第六条 加强人才便利化服务保障。</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加大</w:t>
      </w:r>
      <w:r>
        <w:rPr>
          <w:rFonts w:ascii="仿宋_GB2312" w:hAnsi="Calibri" w:eastAsia="仿宋_GB2312" w:cs="仿宋_GB2312"/>
          <w:i w:val="0"/>
          <w:iCs w:val="0"/>
          <w:caps w:val="0"/>
          <w:color w:val="auto"/>
          <w:spacing w:val="0"/>
          <w:kern w:val="0"/>
          <w:sz w:val="32"/>
          <w:szCs w:val="32"/>
          <w:highlight w:val="none"/>
          <w:lang w:val="en-US" w:eastAsia="zh-CN" w:bidi="ar"/>
        </w:rPr>
        <w:t>引进专业人才支持力度，根据外资企业办公人员数量（以当年度12月缴纳社保的花名册或缴纳个税的人员数量为准）给予每人每月最高</w:t>
      </w:r>
      <w:r>
        <w:rPr>
          <w:rFonts w:hint="eastAsia" w:ascii="仿宋_GB2312" w:eastAsia="仿宋_GB2312" w:cs="仿宋_GB2312"/>
          <w:i w:val="0"/>
          <w:iCs w:val="0"/>
          <w:caps w:val="0"/>
          <w:color w:val="auto"/>
          <w:spacing w:val="0"/>
          <w:kern w:val="0"/>
          <w:sz w:val="32"/>
          <w:szCs w:val="32"/>
          <w:highlight w:val="none"/>
          <w:lang w:val="en-US" w:eastAsia="zh" w:bidi="ar"/>
        </w:rPr>
        <w:t>1500</w:t>
      </w:r>
      <w:r>
        <w:rPr>
          <w:rFonts w:ascii="仿宋_GB2312" w:hAnsi="Calibri" w:eastAsia="仿宋_GB2312" w:cs="仿宋_GB2312"/>
          <w:i w:val="0"/>
          <w:iCs w:val="0"/>
          <w:caps w:val="0"/>
          <w:color w:val="auto"/>
          <w:spacing w:val="0"/>
          <w:kern w:val="0"/>
          <w:sz w:val="32"/>
          <w:szCs w:val="32"/>
          <w:highlight w:val="none"/>
          <w:lang w:val="en-US" w:eastAsia="zh-CN" w:bidi="ar"/>
        </w:rPr>
        <w:t>元就业支持，给予每人每月最高</w:t>
      </w:r>
      <w:r>
        <w:rPr>
          <w:rFonts w:hint="eastAsia" w:ascii="仿宋_GB2312" w:eastAsia="仿宋_GB2312" w:cs="仿宋_GB2312"/>
          <w:i w:val="0"/>
          <w:iCs w:val="0"/>
          <w:caps w:val="0"/>
          <w:color w:val="auto"/>
          <w:spacing w:val="0"/>
          <w:kern w:val="0"/>
          <w:sz w:val="32"/>
          <w:szCs w:val="32"/>
          <w:highlight w:val="none"/>
          <w:lang w:val="en-US" w:eastAsia="zh" w:bidi="ar"/>
        </w:rPr>
        <w:t>1500</w:t>
      </w:r>
      <w:r>
        <w:rPr>
          <w:rFonts w:ascii="仿宋_GB2312" w:hAnsi="Calibri" w:eastAsia="仿宋_GB2312" w:cs="仿宋_GB2312"/>
          <w:i w:val="0"/>
          <w:iCs w:val="0"/>
          <w:caps w:val="0"/>
          <w:color w:val="auto"/>
          <w:spacing w:val="0"/>
          <w:kern w:val="0"/>
          <w:sz w:val="32"/>
          <w:szCs w:val="32"/>
          <w:highlight w:val="none"/>
          <w:lang w:val="en-US" w:eastAsia="zh-CN" w:bidi="ar"/>
        </w:rPr>
        <w:t>元交通支持。</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搭建国际人才社区，营造宜居宜业环境。引入国际人才公寓、国际医院、国际学校、国际赛事、文旅活动、餐饮品牌等，完善国际化衣食住行、教育医疗等生活服务供给</w:t>
      </w:r>
      <w:r>
        <w:rPr>
          <w:rFonts w:hint="eastAsia" w:ascii="仿宋_GB2312" w:eastAsia="仿宋_GB2312" w:cs="仿宋_GB2312"/>
          <w:b w:val="0"/>
          <w:bCs w:val="0"/>
          <w:i w:val="0"/>
          <w:iCs w:val="0"/>
          <w:caps w:val="0"/>
          <w:color w:val="auto"/>
          <w:spacing w:val="0"/>
          <w:kern w:val="0"/>
          <w:sz w:val="32"/>
          <w:szCs w:val="32"/>
          <w:highlight w:val="none"/>
          <w:lang w:val="en-US" w:eastAsia="zh-CN" w:bidi="ar"/>
        </w:rPr>
        <w:t>，</w:t>
      </w:r>
      <w:r>
        <w:rPr>
          <w:rFonts w:ascii="仿宋_GB2312" w:hAnsi="Calibri" w:eastAsia="仿宋_GB2312" w:cs="仿宋_GB2312"/>
          <w:b w:val="0"/>
          <w:bCs w:val="0"/>
          <w:i w:val="0"/>
          <w:iCs w:val="0"/>
          <w:caps w:val="0"/>
          <w:color w:val="auto"/>
          <w:spacing w:val="0"/>
          <w:kern w:val="0"/>
          <w:sz w:val="32"/>
          <w:szCs w:val="32"/>
          <w:highlight w:val="none"/>
          <w:lang w:val="en-US" w:eastAsia="zh-CN" w:bidi="ar"/>
        </w:rPr>
        <w:t>为外籍人才提供移动支付、外汇兑换、居留许可、人才认定等服务。</w:t>
      </w:r>
    </w:p>
    <w:p w14:paraId="66C6FC1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w:t>
      </w:r>
      <w:r>
        <w:rPr>
          <w:rFonts w:hint="eastAsia" w:ascii="黑体" w:hAnsi="黑体" w:eastAsia="黑体" w:cs="黑体"/>
          <w:b w:val="0"/>
          <w:bCs w:val="0"/>
          <w:i w:val="0"/>
          <w:iCs w:val="0"/>
          <w:caps w:val="0"/>
          <w:color w:val="auto"/>
          <w:spacing w:val="0"/>
          <w:kern w:val="0"/>
          <w:sz w:val="32"/>
          <w:szCs w:val="32"/>
          <w:highlight w:val="none"/>
          <w:lang w:val="en-US" w:eastAsia="zh" w:bidi="ar"/>
        </w:rPr>
        <w:t>七</w:t>
      </w:r>
      <w:r>
        <w:rPr>
          <w:rFonts w:hint="eastAsia" w:ascii="黑体" w:hAnsi="黑体" w:eastAsia="黑体" w:cs="黑体"/>
          <w:b w:val="0"/>
          <w:bCs w:val="0"/>
          <w:i w:val="0"/>
          <w:iCs w:val="0"/>
          <w:caps w:val="0"/>
          <w:color w:val="auto"/>
          <w:spacing w:val="0"/>
          <w:kern w:val="0"/>
          <w:sz w:val="32"/>
          <w:szCs w:val="32"/>
          <w:highlight w:val="none"/>
          <w:lang w:val="en-US" w:eastAsia="zh-CN" w:bidi="ar"/>
        </w:rPr>
        <w:t>条 创建平等的政府采购环境。</w:t>
      </w:r>
      <w:r>
        <w:rPr>
          <w:rFonts w:ascii="仿宋_GB2312" w:hAnsi="Calibri" w:eastAsia="仿宋_GB2312" w:cs="仿宋_GB2312"/>
          <w:b w:val="0"/>
          <w:bCs w:val="0"/>
          <w:i w:val="0"/>
          <w:iCs w:val="0"/>
          <w:caps w:val="0"/>
          <w:color w:val="auto"/>
          <w:spacing w:val="0"/>
          <w:kern w:val="0"/>
          <w:sz w:val="32"/>
          <w:szCs w:val="32"/>
          <w:highlight w:val="none"/>
          <w:lang w:val="en-US" w:eastAsia="zh-CN" w:bidi="ar"/>
        </w:rPr>
        <w:t>逐步推广除涉密项目外的政府采购项目均免费向供应商提供电子采购文件，鼓励政府采购项目发布中英两种语言采购公告，增加政府采购环节提前公示时限。提升政府采购透明度和公平性。</w:t>
      </w:r>
    </w:p>
    <w:p w14:paraId="10063F9C">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w:t>
      </w:r>
      <w:r>
        <w:rPr>
          <w:rFonts w:hint="eastAsia" w:ascii="黑体" w:hAnsi="黑体" w:eastAsia="黑体" w:cs="黑体"/>
          <w:b w:val="0"/>
          <w:bCs w:val="0"/>
          <w:i w:val="0"/>
          <w:iCs w:val="0"/>
          <w:caps w:val="0"/>
          <w:color w:val="auto"/>
          <w:spacing w:val="0"/>
          <w:kern w:val="0"/>
          <w:sz w:val="32"/>
          <w:szCs w:val="32"/>
          <w:highlight w:val="none"/>
          <w:lang w:val="en-US" w:eastAsia="zh" w:bidi="ar"/>
        </w:rPr>
        <w:t>八</w:t>
      </w:r>
      <w:r>
        <w:rPr>
          <w:rFonts w:hint="eastAsia" w:ascii="黑体" w:hAnsi="黑体" w:eastAsia="黑体" w:cs="黑体"/>
          <w:b w:val="0"/>
          <w:bCs w:val="0"/>
          <w:i w:val="0"/>
          <w:iCs w:val="0"/>
          <w:caps w:val="0"/>
          <w:color w:val="auto"/>
          <w:spacing w:val="0"/>
          <w:kern w:val="0"/>
          <w:sz w:val="32"/>
          <w:szCs w:val="32"/>
          <w:highlight w:val="none"/>
          <w:lang w:val="en-US" w:eastAsia="zh-CN" w:bidi="ar"/>
        </w:rPr>
        <w:t>条 打造公平公正的法治化营商环境。</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持续引入国际商事调解机构、仲裁、律所、会所、税务、金融法庭等法务机构和泛法务机构。支持在</w:t>
      </w:r>
      <w:r>
        <w:rPr>
          <w:rFonts w:hint="eastAsia" w:ascii="仿宋_GB2312" w:eastAsia="仿宋_GB2312" w:cs="仿宋_GB2312"/>
          <w:b w:val="0"/>
          <w:bCs w:val="0"/>
          <w:i w:val="0"/>
          <w:iCs w:val="0"/>
          <w:caps w:val="0"/>
          <w:color w:val="auto"/>
          <w:spacing w:val="0"/>
          <w:kern w:val="0"/>
          <w:sz w:val="32"/>
          <w:szCs w:val="32"/>
          <w:highlight w:val="none"/>
          <w:lang w:val="en-US" w:eastAsia="zh-CN" w:bidi="ar"/>
        </w:rPr>
        <w:t>海口</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江东法务区开展国际仲裁和调解业务，探索为跨境纠纷提供多元化、国际化解决机制。打造“商事调解+国际仲裁”一站式、多元化、国际化金融纠纷解决平台，为</w:t>
      </w:r>
      <w:r>
        <w:rPr>
          <w:rFonts w:hint="eastAsia" w:ascii="仿宋_GB2312" w:eastAsia="仿宋_GB2312" w:cs="仿宋_GB2312"/>
          <w:b w:val="0"/>
          <w:bCs w:val="0"/>
          <w:i w:val="0"/>
          <w:iCs w:val="0"/>
          <w:caps w:val="0"/>
          <w:color w:val="auto"/>
          <w:spacing w:val="0"/>
          <w:kern w:val="0"/>
          <w:sz w:val="32"/>
          <w:szCs w:val="32"/>
          <w:highlight w:val="none"/>
          <w:lang w:val="en-US" w:eastAsia="zh-CN" w:bidi="ar"/>
        </w:rPr>
        <w:t>外资企业</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和外国投资者提供高效、便捷的纠纷解决途径。</w:t>
      </w:r>
    </w:p>
    <w:p w14:paraId="6E1D75E7">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w:t>
      </w:r>
      <w:r>
        <w:rPr>
          <w:rFonts w:hint="eastAsia" w:ascii="黑体" w:hAnsi="黑体" w:eastAsia="黑体" w:cs="黑体"/>
          <w:b w:val="0"/>
          <w:bCs w:val="0"/>
          <w:i w:val="0"/>
          <w:iCs w:val="0"/>
          <w:caps w:val="0"/>
          <w:color w:val="auto"/>
          <w:spacing w:val="0"/>
          <w:kern w:val="0"/>
          <w:sz w:val="32"/>
          <w:szCs w:val="32"/>
          <w:highlight w:val="none"/>
          <w:lang w:val="en-US" w:eastAsia="zh" w:bidi="ar"/>
        </w:rPr>
        <w:t>九</w:t>
      </w:r>
      <w:r>
        <w:rPr>
          <w:rFonts w:hint="eastAsia" w:ascii="黑体" w:hAnsi="黑体" w:eastAsia="黑体" w:cs="黑体"/>
          <w:b w:val="0"/>
          <w:bCs w:val="0"/>
          <w:i w:val="0"/>
          <w:iCs w:val="0"/>
          <w:caps w:val="0"/>
          <w:color w:val="auto"/>
          <w:spacing w:val="0"/>
          <w:kern w:val="0"/>
          <w:sz w:val="32"/>
          <w:szCs w:val="32"/>
          <w:highlight w:val="none"/>
          <w:lang w:val="en-US" w:eastAsia="zh-CN" w:bidi="ar"/>
        </w:rPr>
        <w:t>条 建立外资企业圆桌会议机制。</w:t>
      </w:r>
      <w:r>
        <w:rPr>
          <w:rFonts w:ascii="仿宋_GB2312" w:hAnsi="Calibri" w:eastAsia="仿宋_GB2312" w:cs="仿宋_GB2312"/>
          <w:b w:val="0"/>
          <w:bCs w:val="0"/>
          <w:i w:val="0"/>
          <w:iCs w:val="0"/>
          <w:caps w:val="0"/>
          <w:color w:val="auto"/>
          <w:spacing w:val="0"/>
          <w:kern w:val="0"/>
          <w:sz w:val="32"/>
          <w:szCs w:val="32"/>
          <w:highlight w:val="none"/>
          <w:lang w:val="en-US" w:eastAsia="zh-CN" w:bidi="ar"/>
        </w:rPr>
        <w:t>依托江东新区企业联合会，邀请外商投资企业、专业律所、智库、外国商协会等共同建立专家委员会。深化与</w:t>
      </w:r>
      <w:r>
        <w:rPr>
          <w:rFonts w:hint="eastAsia" w:ascii="仿宋_GB2312" w:eastAsia="仿宋_GB2312" w:cs="仿宋_GB2312"/>
          <w:b w:val="0"/>
          <w:bCs w:val="0"/>
          <w:i w:val="0"/>
          <w:iCs w:val="0"/>
          <w:caps w:val="0"/>
          <w:color w:val="auto"/>
          <w:spacing w:val="0"/>
          <w:kern w:val="0"/>
          <w:sz w:val="32"/>
          <w:szCs w:val="32"/>
          <w:highlight w:val="none"/>
          <w:lang w:val="en-US" w:eastAsia="zh-CN" w:bidi="ar"/>
        </w:rPr>
        <w:t>外资</w:t>
      </w:r>
      <w:r>
        <w:rPr>
          <w:rFonts w:ascii="仿宋_GB2312" w:hAnsi="Calibri" w:eastAsia="仿宋_GB2312" w:cs="仿宋_GB2312"/>
          <w:b w:val="0"/>
          <w:bCs w:val="0"/>
          <w:i w:val="0"/>
          <w:iCs w:val="0"/>
          <w:caps w:val="0"/>
          <w:color w:val="auto"/>
          <w:spacing w:val="0"/>
          <w:kern w:val="0"/>
          <w:sz w:val="32"/>
          <w:szCs w:val="32"/>
          <w:highlight w:val="none"/>
          <w:lang w:val="en-US" w:eastAsia="zh-CN" w:bidi="ar"/>
        </w:rPr>
        <w:t>企业、智库、商协会的外常态化交流机制，及时了解并推动解决外商投资企业反映的问题和合理诉求，提升各方在战略、政策、产业、营商环境等方面的沟通效率。</w:t>
      </w:r>
    </w:p>
    <w:p w14:paraId="62A64913">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第十条 强化落地服务保障机制。</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打造外资企业“服务管家”品牌。</w:t>
      </w:r>
      <w:r>
        <w:rPr>
          <w:rFonts w:ascii="仿宋_GB2312" w:hAnsi="Calibri" w:eastAsia="仿宋_GB2312" w:cs="仿宋_GB2312"/>
          <w:i w:val="0"/>
          <w:iCs w:val="0"/>
          <w:caps w:val="0"/>
          <w:color w:val="auto"/>
          <w:spacing w:val="0"/>
          <w:kern w:val="0"/>
          <w:sz w:val="32"/>
          <w:szCs w:val="32"/>
          <w:highlight w:val="none"/>
          <w:lang w:val="en-US" w:eastAsia="zh-CN" w:bidi="ar"/>
        </w:rPr>
        <w:t>在江东政务大厅设立国际服务专区，提供中英文政务服务指南、外商服务手册、事项申报表、政策解读等，组建专业外语服务团队，为外国人工作许可、居留证签发、企业开办等方面提供咨询、引导等服务。推动境外银行卡受理，优化现金使用环境，提升移动支付便利性，为在琼工作、旅游、居住的外籍人士提供多场景、多样化的支付服务。在江东新区商务商业综合体、政府服务中心、安居房、医院、学校等，推行外语标识标牌规范建设，打造更加人性化、便利化的国际语言服务环境。</w:t>
      </w:r>
    </w:p>
    <w:p w14:paraId="5BBADAD9">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第十</w:t>
      </w:r>
      <w:r>
        <w:rPr>
          <w:rFonts w:hint="eastAsia" w:ascii="黑体" w:hAnsi="黑体" w:eastAsia="黑体" w:cs="黑体"/>
          <w:b w:val="0"/>
          <w:bCs w:val="0"/>
          <w:i w:val="0"/>
          <w:iCs w:val="0"/>
          <w:caps w:val="0"/>
          <w:color w:val="auto"/>
          <w:spacing w:val="0"/>
          <w:kern w:val="0"/>
          <w:sz w:val="32"/>
          <w:szCs w:val="32"/>
          <w:highlight w:val="none"/>
          <w:lang w:val="en-US" w:eastAsia="zh" w:bidi="ar"/>
        </w:rPr>
        <w:t>一</w:t>
      </w:r>
      <w:r>
        <w:rPr>
          <w:rFonts w:hint="eastAsia" w:ascii="黑体" w:hAnsi="黑体" w:eastAsia="黑体" w:cs="黑体"/>
          <w:b w:val="0"/>
          <w:bCs w:val="0"/>
          <w:i w:val="0"/>
          <w:iCs w:val="0"/>
          <w:caps w:val="0"/>
          <w:color w:val="auto"/>
          <w:spacing w:val="0"/>
          <w:kern w:val="0"/>
          <w:sz w:val="32"/>
          <w:szCs w:val="32"/>
          <w:highlight w:val="none"/>
          <w:lang w:val="en-US" w:eastAsia="zh-CN" w:bidi="ar"/>
        </w:rPr>
        <w:t>条 释义。</w:t>
      </w:r>
    </w:p>
    <w:p w14:paraId="3F54F03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firstLineChars="200"/>
        <w:jc w:val="both"/>
        <w:textAlignment w:val="auto"/>
        <w:rPr>
          <w:rFonts w:hint="eastAsia" w:ascii="仿宋_GB2312" w:eastAsia="仿宋_GB2312" w:cs="仿宋_GB2312"/>
          <w:i w:val="0"/>
          <w:iCs w:val="0"/>
          <w:caps w:val="0"/>
          <w:color w:val="auto"/>
          <w:spacing w:val="0"/>
          <w:kern w:val="0"/>
          <w:sz w:val="32"/>
          <w:szCs w:val="32"/>
          <w:highlight w:val="none"/>
          <w:lang w:val="en-US" w:eastAsia="zh-CN" w:bidi="ar"/>
        </w:rPr>
      </w:pPr>
      <w:r>
        <w:rPr>
          <w:rFonts w:hint="eastAsia" w:ascii="楷体" w:hAnsi="楷体" w:eastAsia="楷体" w:cs="楷体"/>
          <w:b/>
          <w:bCs/>
          <w:i w:val="0"/>
          <w:iCs w:val="0"/>
          <w:caps w:val="0"/>
          <w:color w:val="auto"/>
          <w:spacing w:val="0"/>
          <w:kern w:val="0"/>
          <w:sz w:val="32"/>
          <w:szCs w:val="32"/>
          <w:highlight w:val="none"/>
          <w:lang w:val="en-US" w:eastAsia="zh-CN" w:bidi="ar"/>
        </w:rPr>
        <w:t>主导制定标准的企业需满足如下条件之一：</w:t>
      </w:r>
      <w:r>
        <w:rPr>
          <w:rFonts w:hint="eastAsia" w:ascii="仿宋_GB2312" w:eastAsia="仿宋_GB2312" w:cs="仿宋_GB2312"/>
          <w:i w:val="0"/>
          <w:iCs w:val="0"/>
          <w:caps w:val="0"/>
          <w:color w:val="auto"/>
          <w:spacing w:val="0"/>
          <w:kern w:val="0"/>
          <w:sz w:val="32"/>
          <w:szCs w:val="32"/>
          <w:highlight w:val="none"/>
          <w:lang w:val="en-US" w:eastAsia="zh-CN" w:bidi="ar"/>
        </w:rPr>
        <w:t>（1）标准文本“前言”中排序第一或唯一的起草单位；（2）标准文本未列出起草单位的，由标准发布单位或技术归口单位提供“主导制定标准”的证明。参与制定标准的企业需满足如下条件之一：（1）标准文本“前言”中列示的起草单位；（2）标准文本未列出起草单位的，由标准发布单位或技术归口单位提供“参与制定标准”的证明。</w:t>
      </w:r>
    </w:p>
    <w:p w14:paraId="1F70A78B">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第十</w:t>
      </w:r>
      <w:r>
        <w:rPr>
          <w:rFonts w:hint="eastAsia" w:ascii="黑体" w:hAnsi="黑体" w:eastAsia="黑体" w:cs="黑体"/>
          <w:b w:val="0"/>
          <w:bCs w:val="0"/>
          <w:i w:val="0"/>
          <w:iCs w:val="0"/>
          <w:caps w:val="0"/>
          <w:color w:val="auto"/>
          <w:spacing w:val="0"/>
          <w:kern w:val="0"/>
          <w:sz w:val="32"/>
          <w:szCs w:val="32"/>
          <w:highlight w:val="none"/>
          <w:lang w:val="en-US" w:eastAsia="zh" w:bidi="ar"/>
        </w:rPr>
        <w:t>二</w:t>
      </w:r>
      <w:r>
        <w:rPr>
          <w:rFonts w:hint="eastAsia" w:ascii="黑体" w:hAnsi="黑体" w:eastAsia="黑体" w:cs="黑体"/>
          <w:b w:val="0"/>
          <w:bCs w:val="0"/>
          <w:i w:val="0"/>
          <w:iCs w:val="0"/>
          <w:caps w:val="0"/>
          <w:color w:val="auto"/>
          <w:spacing w:val="0"/>
          <w:kern w:val="0"/>
          <w:sz w:val="32"/>
          <w:szCs w:val="32"/>
          <w:highlight w:val="none"/>
          <w:lang w:val="en-US" w:eastAsia="zh-CN" w:bidi="ar"/>
        </w:rPr>
        <w:t>条 附则。</w:t>
      </w:r>
      <w:r>
        <w:rPr>
          <w:rFonts w:ascii="仿宋_GB2312" w:hAnsi="Calibri" w:eastAsia="仿宋_GB2312" w:cs="仿宋_GB2312"/>
          <w:b w:val="0"/>
          <w:bCs w:val="0"/>
          <w:i w:val="0"/>
          <w:iCs w:val="0"/>
          <w:caps w:val="0"/>
          <w:color w:val="auto"/>
          <w:spacing w:val="0"/>
          <w:kern w:val="0"/>
          <w:sz w:val="32"/>
          <w:szCs w:val="32"/>
          <w:highlight w:val="none"/>
          <w:lang w:val="en-US" w:eastAsia="zh-CN" w:bidi="ar"/>
        </w:rPr>
        <w:t>上述支持措施若与国家、海南省、海口市及江东新区管理局等各级各类企业支持措施或</w:t>
      </w:r>
      <w:r>
        <w:rPr>
          <w:rFonts w:hint="eastAsia" w:ascii="仿宋_GB2312" w:eastAsia="仿宋_GB2312" w:cs="仿宋_GB2312"/>
          <w:b w:val="0"/>
          <w:bCs w:val="0"/>
          <w:i w:val="0"/>
          <w:iCs w:val="0"/>
          <w:caps w:val="0"/>
          <w:color w:val="auto"/>
          <w:spacing w:val="0"/>
          <w:kern w:val="0"/>
          <w:sz w:val="32"/>
          <w:szCs w:val="32"/>
          <w:highlight w:val="none"/>
          <w:lang w:val="en-US" w:eastAsia="zh-CN" w:bidi="ar"/>
        </w:rPr>
        <w:t>与</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本措施出现重叠或交叉的，同个申报主体申请享受支持措施均按“就高不就低、不重复支持”原则执行。本措施中支持资金，由符合条件的机构向江东新区管理局申请，江东新区管理局经对申报材料审查无误后，依法依规拨付相应支持资金。针对本措施的具体条款实施，海口江东新区管理局将另行制定实施细则并予以明确。</w:t>
      </w:r>
    </w:p>
    <w:p w14:paraId="4EFBF250">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0"/>
        <w:jc w:val="both"/>
        <w:textAlignment w:val="auto"/>
        <w:rPr>
          <w:rFonts w:ascii="Calibri" w:hAnsi="Calibri" w:cs="Calibri"/>
          <w:i w:val="0"/>
          <w:iCs w:val="0"/>
          <w:caps w:val="0"/>
          <w:color w:val="auto"/>
          <w:spacing w:val="0"/>
          <w:sz w:val="21"/>
          <w:szCs w:val="21"/>
          <w:highlight w:val="none"/>
        </w:rPr>
      </w:pPr>
      <w:r>
        <w:rPr>
          <w:rFonts w:ascii="仿宋_GB2312" w:hAnsi="Calibri" w:eastAsia="仿宋_GB2312" w:cs="仿宋_GB2312"/>
          <w:i w:val="0"/>
          <w:iCs w:val="0"/>
          <w:caps w:val="0"/>
          <w:color w:val="auto"/>
          <w:spacing w:val="0"/>
          <w:kern w:val="0"/>
          <w:sz w:val="32"/>
          <w:szCs w:val="32"/>
          <w:highlight w:val="none"/>
          <w:lang w:val="en-US" w:eastAsia="zh-CN" w:bidi="ar"/>
        </w:rPr>
        <w:t>本措施自</w:t>
      </w:r>
      <w:r>
        <w:rPr>
          <w:rFonts w:hint="eastAsia" w:ascii="仿宋_GB2312" w:eastAsia="仿宋_GB2312" w:cs="仿宋_GB2312"/>
          <w:i w:val="0"/>
          <w:iCs w:val="0"/>
          <w:caps w:val="0"/>
          <w:color w:val="auto"/>
          <w:spacing w:val="0"/>
          <w:kern w:val="0"/>
          <w:sz w:val="32"/>
          <w:szCs w:val="32"/>
          <w:highlight w:val="none"/>
          <w:lang w:val="en-US" w:eastAsia="zh" w:bidi="ar"/>
        </w:rPr>
        <w:t>印发之日</w:t>
      </w:r>
      <w:r>
        <w:rPr>
          <w:rFonts w:ascii="仿宋_GB2312" w:hAnsi="Calibri" w:eastAsia="仿宋_GB2312" w:cs="仿宋_GB2312"/>
          <w:i w:val="0"/>
          <w:iCs w:val="0"/>
          <w:caps w:val="0"/>
          <w:color w:val="auto"/>
          <w:spacing w:val="0"/>
          <w:kern w:val="0"/>
          <w:sz w:val="32"/>
          <w:szCs w:val="32"/>
          <w:highlight w:val="none"/>
          <w:lang w:val="en-US" w:eastAsia="zh-CN" w:bidi="ar"/>
        </w:rPr>
        <w:t>起</w:t>
      </w:r>
      <w:r>
        <w:rPr>
          <w:rFonts w:hint="eastAsia" w:ascii="仿宋_GB2312" w:eastAsia="仿宋_GB2312" w:cs="仿宋_GB2312"/>
          <w:i w:val="0"/>
          <w:iCs w:val="0"/>
          <w:caps w:val="0"/>
          <w:color w:val="auto"/>
          <w:spacing w:val="0"/>
          <w:kern w:val="0"/>
          <w:sz w:val="32"/>
          <w:szCs w:val="32"/>
          <w:highlight w:val="none"/>
          <w:lang w:val="en-US" w:eastAsia="zh" w:bidi="ar"/>
        </w:rPr>
        <w:t>实施</w:t>
      </w:r>
      <w:r>
        <w:rPr>
          <w:rFonts w:ascii="仿宋_GB2312" w:hAnsi="Calibri" w:eastAsia="仿宋_GB2312" w:cs="仿宋_GB2312"/>
          <w:i w:val="0"/>
          <w:iCs w:val="0"/>
          <w:caps w:val="0"/>
          <w:color w:val="auto"/>
          <w:spacing w:val="0"/>
          <w:kern w:val="0"/>
          <w:sz w:val="32"/>
          <w:szCs w:val="32"/>
          <w:highlight w:val="none"/>
          <w:lang w:val="en-US" w:eastAsia="zh-CN" w:bidi="ar"/>
        </w:rPr>
        <w:t>，有效期</w:t>
      </w:r>
      <w:r>
        <w:rPr>
          <w:rFonts w:hint="eastAsia" w:ascii="仿宋_GB2312" w:eastAsia="仿宋_GB2312" w:cs="仿宋_GB2312"/>
          <w:i w:val="0"/>
          <w:iCs w:val="0"/>
          <w:caps w:val="0"/>
          <w:color w:val="auto"/>
          <w:spacing w:val="0"/>
          <w:kern w:val="0"/>
          <w:sz w:val="32"/>
          <w:szCs w:val="32"/>
          <w:highlight w:val="none"/>
          <w:lang w:val="en-US" w:eastAsia="zh" w:bidi="ar"/>
        </w:rPr>
        <w:t>五年。</w:t>
      </w:r>
      <w:r>
        <w:rPr>
          <w:rFonts w:ascii="仿宋_GB2312" w:hAnsi="Calibri" w:eastAsia="仿宋_GB2312" w:cs="仿宋_GB2312"/>
          <w:i w:val="0"/>
          <w:iCs w:val="0"/>
          <w:caps w:val="0"/>
          <w:color w:val="auto"/>
          <w:spacing w:val="0"/>
          <w:kern w:val="0"/>
          <w:sz w:val="32"/>
          <w:szCs w:val="32"/>
          <w:highlight w:val="none"/>
          <w:shd w:val="clear"/>
          <w:lang w:bidi="ar"/>
        </w:rPr>
        <w:t>施行期间如遇国家和</w:t>
      </w:r>
      <w:r>
        <w:rPr>
          <w:rFonts w:hint="eastAsia" w:ascii="仿宋_GB2312" w:eastAsia="仿宋_GB2312" w:cs="仿宋_GB2312"/>
          <w:i w:val="0"/>
          <w:iCs w:val="0"/>
          <w:caps w:val="0"/>
          <w:color w:val="auto"/>
          <w:spacing w:val="0"/>
          <w:kern w:val="0"/>
          <w:sz w:val="32"/>
          <w:szCs w:val="32"/>
          <w:highlight w:val="none"/>
          <w:shd w:val="clear"/>
          <w:lang w:eastAsia="zh" w:bidi="ar"/>
        </w:rPr>
        <w:t>海南省、海口市</w:t>
      </w:r>
      <w:r>
        <w:rPr>
          <w:rFonts w:ascii="仿宋_GB2312" w:hAnsi="Calibri" w:eastAsia="仿宋_GB2312" w:cs="仿宋_GB2312"/>
          <w:i w:val="0"/>
          <w:iCs w:val="0"/>
          <w:caps w:val="0"/>
          <w:color w:val="auto"/>
          <w:spacing w:val="0"/>
          <w:kern w:val="0"/>
          <w:sz w:val="32"/>
          <w:szCs w:val="32"/>
          <w:highlight w:val="none"/>
          <w:shd w:val="clear"/>
          <w:lang w:bidi="ar"/>
        </w:rPr>
        <w:t>相关政策调整，本政策同步调整。</w:t>
      </w:r>
      <w:r>
        <w:rPr>
          <w:rFonts w:ascii="宋体" w:hAnsi="宋体" w:eastAsia="宋体" w:cs="宋体"/>
          <w:sz w:val="24"/>
          <w:szCs w:val="24"/>
          <w:highlight w:val="none"/>
        </w:rPr>
        <w:t xml:space="preserve"> </w:t>
      </w:r>
      <w:r>
        <w:rPr>
          <w:rFonts w:ascii="仿宋_GB2312" w:hAnsi="Calibri" w:eastAsia="仿宋_GB2312" w:cs="仿宋_GB2312"/>
          <w:i w:val="0"/>
          <w:iCs w:val="0"/>
          <w:caps w:val="0"/>
          <w:color w:val="auto"/>
          <w:spacing w:val="0"/>
          <w:kern w:val="0"/>
          <w:sz w:val="32"/>
          <w:szCs w:val="32"/>
          <w:highlight w:val="none"/>
          <w:lang w:val="en-US" w:eastAsia="zh-CN" w:bidi="ar"/>
        </w:rPr>
        <w:t>执行期间由江东新区管理局负责解释。执行期间因政策变动、情势变更等原因导致部分条款无法执行的，不影响其他条款的执行。</w:t>
      </w:r>
    </w:p>
    <w:p w14:paraId="06534576">
      <w:pPr>
        <w:keepNext w:val="0"/>
        <w:keepLines w:val="0"/>
        <w:widowControl/>
        <w:suppressLineNumbers w:val="0"/>
        <w:spacing w:beforeAutospacing="0" w:after="20" w:afterAutospacing="0" w:line="576" w:lineRule="exact"/>
        <w:ind w:left="0" w:leftChars="0" w:right="0" w:firstLine="640"/>
        <w:jc w:val="both"/>
        <w:rPr>
          <w:rFonts w:ascii="Calibri" w:hAnsi="Calibri" w:cs="Calibri"/>
          <w:i w:val="0"/>
          <w:iCs w:val="0"/>
          <w:caps w:val="0"/>
          <w:color w:val="auto"/>
          <w:spacing w:val="0"/>
          <w:sz w:val="21"/>
          <w:szCs w:val="21"/>
          <w:highlight w:val="none"/>
        </w:rPr>
      </w:pPr>
    </w:p>
    <w:p w14:paraId="08B84D04">
      <w:pPr>
        <w:spacing w:line="576" w:lineRule="exact"/>
        <w:rPr>
          <w:color w:val="auto"/>
          <w:highlight w:val="none"/>
        </w:rPr>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1FC39D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A659">
    <w:pPr>
      <w:pStyle w:val="2"/>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3DEB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03DEB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67A31"/>
    <w:rsid w:val="7B86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2025-05-14T07:15:00Z</dcterms:created>
  <dc:creator>阳光一生</dc:creator>
  <cp:lastModifiedBy>阳光一生</cp:lastModifiedBy>
  <dcterms:modified xsi:type="dcterms:W3CDTF">2025-05-14T07:15:39Z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14B4F35B2335486488E25EB7C3486893_11</vt:lpwstr>
  </property>
  <property fmtid="{D5CDD505-2E9C-101B-9397-08002B2CF9AE}" pid="4" name="KSOTemplateDocerSaveRecord">
    <vt:lpwstr>eyJoZGlkIjoiMWNmNzcwMGNlMmU0NTYwMTdkOTdmNzg0YTQ3YWJmYjYiLCJ1c2VySWQiOiIzMDgyMjgzOTQifQ==</vt:lpwstr>
  </property>
</Properties>
</file>