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2BCF3">
      <w:pPr>
        <w:pStyle w:val="10"/>
        <w:adjustRightInd w:val="0"/>
        <w:snapToGrid w:val="0"/>
        <w:spacing w:line="360" w:lineRule="auto"/>
        <w:ind w:firstLine="422"/>
        <w:outlineLvl w:val="0"/>
        <w:rPr>
          <w:rFonts w:hint="eastAsia" w:asciiTheme="minorEastAsia" w:hAnsiTheme="minorEastAsia" w:eastAsiaTheme="minorEastAsia" w:cstheme="minorEastAsia"/>
          <w:b/>
          <w:color w:val="auto"/>
          <w:szCs w:val="21"/>
          <w:highlight w:val="none"/>
        </w:rPr>
      </w:pPr>
    </w:p>
    <w:p w14:paraId="41215441">
      <w:pPr>
        <w:pStyle w:val="10"/>
        <w:adjustRightInd w:val="0"/>
        <w:snapToGrid w:val="0"/>
        <w:spacing w:line="360" w:lineRule="auto"/>
        <w:ind w:firstLine="1044"/>
        <w:outlineLvl w:val="0"/>
        <w:rPr>
          <w:rFonts w:hint="eastAsia" w:asciiTheme="minorEastAsia" w:hAnsiTheme="minorEastAsia" w:eastAsiaTheme="minorEastAsia" w:cstheme="minorEastAsia"/>
          <w:b/>
          <w:color w:val="auto"/>
          <w:sz w:val="52"/>
          <w:szCs w:val="52"/>
          <w:highlight w:val="none"/>
        </w:rPr>
      </w:pPr>
    </w:p>
    <w:p w14:paraId="1410ACD4">
      <w:pPr>
        <w:adjustRightInd w:val="0"/>
        <w:snapToGrid w:val="0"/>
        <w:spacing w:line="360" w:lineRule="auto"/>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海口江东新区管理局</w:t>
      </w:r>
    </w:p>
    <w:p w14:paraId="54302683">
      <w:pPr>
        <w:adjustRightInd w:val="0"/>
        <w:snapToGrid w:val="0"/>
        <w:spacing w:line="500" w:lineRule="exact"/>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采购比选文件</w:t>
      </w:r>
    </w:p>
    <w:p w14:paraId="09C75F4D">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p>
    <w:p w14:paraId="61BE4678">
      <w:pPr>
        <w:spacing w:line="360" w:lineRule="auto"/>
        <w:rPr>
          <w:color w:val="auto"/>
          <w:szCs w:val="21"/>
          <w:highlight w:val="none"/>
        </w:rPr>
      </w:pPr>
    </w:p>
    <w:p w14:paraId="4A03EC8E">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5DAD0C8C">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65935842">
      <w:pPr>
        <w:pStyle w:val="10"/>
        <w:spacing w:line="360" w:lineRule="auto"/>
        <w:ind w:firstLine="1476" w:firstLineChars="700"/>
        <w:jc w:val="left"/>
        <w:outlineLvl w:val="0"/>
        <w:rPr>
          <w:rFonts w:hint="eastAsia" w:asciiTheme="minorEastAsia" w:hAnsiTheme="minorEastAsia" w:eastAsiaTheme="minorEastAsia" w:cstheme="minorEastAsia"/>
          <w:b/>
          <w:color w:val="auto"/>
          <w:szCs w:val="21"/>
          <w:highlight w:val="none"/>
        </w:rPr>
      </w:pPr>
    </w:p>
    <w:p w14:paraId="3C0E2367">
      <w:pPr>
        <w:pStyle w:val="10"/>
        <w:spacing w:line="360" w:lineRule="auto"/>
        <w:ind w:firstLine="562" w:firstLineChars="200"/>
        <w:jc w:val="left"/>
        <w:outlineLvl w:val="0"/>
        <w:rPr>
          <w:rFonts w:hint="default" w:asciiTheme="minorEastAsia" w:hAnsiTheme="minorEastAsia" w:eastAsiaTheme="minorEastAsia" w:cstheme="minorEastAsia"/>
          <w:b/>
          <w:color w:val="auto"/>
          <w:sz w:val="28"/>
          <w:szCs w:val="28"/>
          <w:highlight w:val="none"/>
          <w:lang w:val="en-US" w:eastAsia="zh-CN"/>
        </w:rPr>
      </w:pPr>
      <w:bookmarkStart w:id="0" w:name="_Toc246825786"/>
      <w:bookmarkStart w:id="1" w:name="_Toc246826091"/>
      <w:bookmarkStart w:id="2" w:name="_Toc245888257"/>
      <w:bookmarkStart w:id="3" w:name="_Toc245887524"/>
      <w:r>
        <w:rPr>
          <w:rFonts w:hint="eastAsia" w:asciiTheme="minorEastAsia" w:hAnsiTheme="minorEastAsia" w:eastAsiaTheme="minorEastAsia" w:cstheme="minorEastAsia"/>
          <w:b/>
          <w:color w:val="auto"/>
          <w:sz w:val="28"/>
          <w:szCs w:val="28"/>
          <w:highlight w:val="none"/>
        </w:rPr>
        <w:t>项目编号</w:t>
      </w:r>
      <w:bookmarkEnd w:id="0"/>
      <w:bookmarkEnd w:id="1"/>
      <w:bookmarkEnd w:id="2"/>
      <w:bookmarkEnd w:id="3"/>
      <w:bookmarkStart w:id="4" w:name="_Toc246826092"/>
      <w:bookmarkStart w:id="5" w:name="_Toc245888258"/>
      <w:bookmarkStart w:id="6" w:name="_Toc246825787"/>
      <w:bookmarkStart w:id="7" w:name="_Toc245887525"/>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b/>
          <w:color w:val="auto"/>
          <w:sz w:val="28"/>
          <w:szCs w:val="28"/>
          <w:highlight w:val="yellow"/>
          <w:lang w:val="en-US" w:eastAsia="zh-CN"/>
        </w:rPr>
        <w:t>zfcg-fw20250521-001</w:t>
      </w:r>
    </w:p>
    <w:p w14:paraId="38C75B5E">
      <w:pPr>
        <w:ind w:firstLine="562" w:firstLineChars="200"/>
        <w:rPr>
          <w:rFonts w:hint="eastAsia" w:eastAsiaTheme="minorEastAsia"/>
          <w:b/>
          <w:bCs/>
          <w:color w:val="auto"/>
          <w:sz w:val="44"/>
          <w:szCs w:val="44"/>
          <w:highlight w:val="none"/>
          <w:lang w:val="en-US" w:eastAsia="zh-CN"/>
        </w:rPr>
      </w:pPr>
      <w:r>
        <w:rPr>
          <w:rFonts w:hint="eastAsia" w:asciiTheme="minorEastAsia" w:hAnsiTheme="minorEastAsia" w:eastAsiaTheme="minorEastAsia" w:cstheme="minorEastAsia"/>
          <w:b/>
          <w:color w:val="auto"/>
          <w:sz w:val="28"/>
          <w:szCs w:val="28"/>
          <w:highlight w:val="none"/>
        </w:rPr>
        <w:t>项目名称</w:t>
      </w:r>
      <w:bookmarkEnd w:id="4"/>
      <w:bookmarkEnd w:id="5"/>
      <w:bookmarkEnd w:id="6"/>
      <w:bookmarkEnd w:id="7"/>
      <w:bookmarkStart w:id="8" w:name="_Toc246825789"/>
      <w:bookmarkStart w:id="9" w:name="_Toc245888260"/>
      <w:bookmarkStart w:id="10" w:name="_Toc245887527"/>
      <w:bookmarkStart w:id="11" w:name="_Toc246826094"/>
      <w:r>
        <w:rPr>
          <w:rFonts w:hint="eastAsia" w:asciiTheme="minorEastAsia" w:hAnsiTheme="minorEastAsia" w:eastAsiaTheme="minorEastAsia" w:cstheme="minorEastAsia"/>
          <w:b/>
          <w:color w:val="auto"/>
          <w:sz w:val="28"/>
          <w:szCs w:val="28"/>
          <w:highlight w:val="none"/>
        </w:rPr>
        <w:t>：</w:t>
      </w:r>
      <w:bookmarkEnd w:id="8"/>
      <w:bookmarkEnd w:id="9"/>
      <w:bookmarkEnd w:id="10"/>
      <w:bookmarkEnd w:id="11"/>
      <w:r>
        <w:rPr>
          <w:rFonts w:hint="eastAsia" w:asciiTheme="minorEastAsia" w:hAnsiTheme="minorEastAsia" w:eastAsiaTheme="minorEastAsia" w:cstheme="minorEastAsia"/>
          <w:b/>
          <w:color w:val="auto"/>
          <w:sz w:val="28"/>
          <w:szCs w:val="28"/>
          <w:highlight w:val="none"/>
        </w:rPr>
        <w:t>海口江东新区控规</w:t>
      </w:r>
      <w:r>
        <w:rPr>
          <w:rFonts w:hint="eastAsia" w:asciiTheme="minorEastAsia" w:hAnsiTheme="minorEastAsia" w:eastAsiaTheme="minorEastAsia" w:cstheme="minorEastAsia"/>
          <w:b/>
          <w:color w:val="auto"/>
          <w:sz w:val="28"/>
          <w:szCs w:val="28"/>
          <w:highlight w:val="none"/>
          <w:lang w:val="en-US" w:eastAsia="zh-CN"/>
        </w:rPr>
        <w:t>调整、单元控规编制</w:t>
      </w:r>
      <w:r>
        <w:rPr>
          <w:rFonts w:hint="eastAsia" w:asciiTheme="minorEastAsia" w:hAnsiTheme="minorEastAsia" w:eastAsiaTheme="minorEastAsia" w:cstheme="minorEastAsia"/>
          <w:b/>
          <w:color w:val="auto"/>
          <w:sz w:val="28"/>
          <w:szCs w:val="28"/>
          <w:highlight w:val="none"/>
        </w:rPr>
        <w:t>及入库审查</w:t>
      </w:r>
      <w:r>
        <w:rPr>
          <w:rFonts w:hint="eastAsia" w:asciiTheme="minorEastAsia" w:hAnsiTheme="minorEastAsia" w:eastAsiaTheme="minorEastAsia" w:cstheme="minorEastAsia"/>
          <w:b/>
          <w:color w:val="auto"/>
          <w:sz w:val="28"/>
          <w:szCs w:val="28"/>
          <w:highlight w:val="none"/>
          <w:lang w:val="en-US" w:eastAsia="zh-CN"/>
        </w:rPr>
        <w:t>工作</w:t>
      </w:r>
    </w:p>
    <w:p w14:paraId="28B2D01A">
      <w:pPr>
        <w:pStyle w:val="66"/>
        <w:rPr>
          <w:rFonts w:hint="eastAsia" w:asciiTheme="minorEastAsia" w:hAnsiTheme="minorEastAsia" w:eastAsiaTheme="minorEastAsia" w:cstheme="minorEastAsia"/>
          <w:b/>
          <w:color w:val="auto"/>
          <w:sz w:val="28"/>
          <w:szCs w:val="28"/>
          <w:highlight w:val="none"/>
        </w:rPr>
      </w:pPr>
    </w:p>
    <w:p w14:paraId="62FD8F13">
      <w:pPr>
        <w:pStyle w:val="10"/>
        <w:spacing w:line="360" w:lineRule="auto"/>
        <w:ind w:firstLine="1476" w:firstLineChars="700"/>
        <w:jc w:val="left"/>
        <w:outlineLvl w:val="0"/>
        <w:rPr>
          <w:rFonts w:hint="eastAsia" w:asciiTheme="minorEastAsia" w:hAnsiTheme="minorEastAsia" w:eastAsiaTheme="minorEastAsia" w:cstheme="minorEastAsia"/>
          <w:b/>
          <w:color w:val="auto"/>
          <w:szCs w:val="21"/>
          <w:highlight w:val="none"/>
        </w:rPr>
      </w:pPr>
    </w:p>
    <w:p w14:paraId="51AB4A10">
      <w:pPr>
        <w:pStyle w:val="10"/>
        <w:spacing w:line="360" w:lineRule="auto"/>
        <w:outlineLvl w:val="0"/>
        <w:rPr>
          <w:rFonts w:hint="eastAsia" w:asciiTheme="minorEastAsia" w:hAnsiTheme="minorEastAsia" w:eastAsiaTheme="minorEastAsia" w:cstheme="minorEastAsia"/>
          <w:bCs/>
          <w:color w:val="auto"/>
          <w:szCs w:val="21"/>
          <w:highlight w:val="none"/>
        </w:rPr>
      </w:pPr>
    </w:p>
    <w:p w14:paraId="02C3749C">
      <w:pPr>
        <w:pStyle w:val="10"/>
        <w:adjustRightInd w:val="0"/>
        <w:snapToGrid w:val="0"/>
        <w:spacing w:line="360" w:lineRule="auto"/>
        <w:jc w:val="center"/>
        <w:outlineLvl w:val="0"/>
        <w:rPr>
          <w:rFonts w:hint="eastAsia" w:asciiTheme="minorEastAsia" w:hAnsiTheme="minorEastAsia" w:eastAsiaTheme="minorEastAsia" w:cstheme="minorEastAsia"/>
          <w:bCs/>
          <w:color w:val="auto"/>
          <w:szCs w:val="21"/>
          <w:highlight w:val="none"/>
        </w:rPr>
      </w:pPr>
    </w:p>
    <w:p w14:paraId="7930AFF8">
      <w:pPr>
        <w:pStyle w:val="8"/>
        <w:spacing w:line="360" w:lineRule="auto"/>
        <w:rPr>
          <w:rFonts w:hint="eastAsia" w:asciiTheme="minorEastAsia" w:hAnsiTheme="minorEastAsia" w:eastAsiaTheme="minorEastAsia" w:cstheme="minorEastAsia"/>
          <w:b/>
          <w:color w:val="auto"/>
          <w:spacing w:val="40"/>
          <w:szCs w:val="21"/>
          <w:highlight w:val="none"/>
        </w:rPr>
      </w:pPr>
    </w:p>
    <w:p w14:paraId="3620CB04">
      <w:pPr>
        <w:pStyle w:val="32"/>
        <w:spacing w:line="360" w:lineRule="auto"/>
        <w:rPr>
          <w:color w:val="auto"/>
          <w:sz w:val="21"/>
          <w:szCs w:val="21"/>
          <w:highlight w:val="none"/>
        </w:rPr>
      </w:pPr>
    </w:p>
    <w:p w14:paraId="11F9B246">
      <w:pPr>
        <w:pStyle w:val="17"/>
        <w:ind w:left="0" w:leftChars="0" w:firstLine="0" w:firstLineChars="0"/>
        <w:rPr>
          <w:color w:val="auto"/>
          <w:highlight w:val="none"/>
        </w:rPr>
      </w:pPr>
    </w:p>
    <w:p w14:paraId="135749FE">
      <w:pPr>
        <w:pStyle w:val="17"/>
        <w:rPr>
          <w:color w:val="auto"/>
          <w:highlight w:val="none"/>
        </w:rPr>
      </w:pPr>
    </w:p>
    <w:p w14:paraId="3FB3E569">
      <w:pPr>
        <w:pStyle w:val="17"/>
        <w:rPr>
          <w:color w:val="auto"/>
          <w:highlight w:val="none"/>
        </w:rPr>
      </w:pPr>
    </w:p>
    <w:p w14:paraId="2E598B1E">
      <w:pPr>
        <w:adjustRightInd w:val="0"/>
        <w:snapToGrid w:val="0"/>
        <w:spacing w:line="360" w:lineRule="auto"/>
        <w:jc w:val="center"/>
        <w:rPr>
          <w:rFonts w:hint="eastAsia" w:asciiTheme="minorEastAsia" w:hAnsiTheme="minorEastAsia" w:eastAsiaTheme="minorEastAsia" w:cstheme="minorEastAsia"/>
          <w:b/>
          <w:color w:val="auto"/>
          <w:spacing w:val="40"/>
          <w:szCs w:val="21"/>
          <w:highlight w:val="none"/>
        </w:rPr>
      </w:pPr>
    </w:p>
    <w:p w14:paraId="34869DC7">
      <w:pPr>
        <w:adjustRightInd w:val="0"/>
        <w:snapToGrid w:val="0"/>
        <w:spacing w:line="360" w:lineRule="auto"/>
        <w:jc w:val="center"/>
        <w:rPr>
          <w:rFonts w:hint="eastAsia" w:asciiTheme="minorEastAsia" w:hAnsiTheme="minorEastAsia" w:eastAsiaTheme="minorEastAsia" w:cstheme="minorEastAsia"/>
          <w:b/>
          <w:color w:val="auto"/>
          <w:spacing w:val="40"/>
          <w:szCs w:val="21"/>
          <w:highlight w:val="none"/>
        </w:rPr>
      </w:pPr>
    </w:p>
    <w:p w14:paraId="055FB95C">
      <w:pPr>
        <w:pStyle w:val="10"/>
        <w:adjustRightInd w:val="0"/>
        <w:snapToGrid w:val="0"/>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pacing w:val="40"/>
          <w:sz w:val="28"/>
          <w:szCs w:val="28"/>
          <w:highlight w:val="none"/>
        </w:rPr>
        <w:t xml:space="preserve">   20</w:t>
      </w:r>
      <w:r>
        <w:rPr>
          <w:rFonts w:asciiTheme="minorEastAsia" w:hAnsiTheme="minorEastAsia" w:eastAsiaTheme="minorEastAsia" w:cstheme="minorEastAsia"/>
          <w:b/>
          <w:color w:val="auto"/>
          <w:spacing w:val="40"/>
          <w:sz w:val="28"/>
          <w:szCs w:val="28"/>
          <w:highlight w:val="none"/>
        </w:rPr>
        <w:t>2</w:t>
      </w:r>
      <w:r>
        <w:rPr>
          <w:rFonts w:hint="eastAsia" w:asciiTheme="minorEastAsia" w:hAnsiTheme="minorEastAsia" w:eastAsiaTheme="minorEastAsia" w:cstheme="minorEastAsia"/>
          <w:b/>
          <w:color w:val="auto"/>
          <w:spacing w:val="40"/>
          <w:sz w:val="28"/>
          <w:szCs w:val="28"/>
          <w:highlight w:val="none"/>
          <w:lang w:val="en-US" w:eastAsia="zh-CN"/>
        </w:rPr>
        <w:t>5</w:t>
      </w:r>
      <w:r>
        <w:rPr>
          <w:rFonts w:hint="eastAsia" w:asciiTheme="minorEastAsia" w:hAnsiTheme="minorEastAsia" w:eastAsiaTheme="minorEastAsia" w:cstheme="minorEastAsia"/>
          <w:b/>
          <w:color w:val="auto"/>
          <w:spacing w:val="40"/>
          <w:sz w:val="28"/>
          <w:szCs w:val="28"/>
          <w:highlight w:val="none"/>
        </w:rPr>
        <w:t xml:space="preserve"> 年0</w:t>
      </w:r>
      <w:r>
        <w:rPr>
          <w:rFonts w:hint="eastAsia" w:asciiTheme="minorEastAsia" w:hAnsiTheme="minorEastAsia" w:eastAsiaTheme="minorEastAsia" w:cstheme="minorEastAsia"/>
          <w:b/>
          <w:color w:val="auto"/>
          <w:spacing w:val="40"/>
          <w:sz w:val="28"/>
          <w:szCs w:val="28"/>
          <w:highlight w:val="none"/>
          <w:lang w:val="en-US" w:eastAsia="zh-CN"/>
        </w:rPr>
        <w:t>6</w:t>
      </w:r>
      <w:r>
        <w:rPr>
          <w:rFonts w:hint="eastAsia" w:asciiTheme="minorEastAsia" w:hAnsiTheme="minorEastAsia" w:eastAsiaTheme="minorEastAsia" w:cstheme="minorEastAsia"/>
          <w:b/>
          <w:color w:val="auto"/>
          <w:spacing w:val="40"/>
          <w:sz w:val="28"/>
          <w:szCs w:val="28"/>
          <w:highlight w:val="none"/>
        </w:rPr>
        <w:t xml:space="preserve">月  </w:t>
      </w:r>
    </w:p>
    <w:p w14:paraId="0A7155F8">
      <w:pPr>
        <w:pStyle w:val="10"/>
        <w:spacing w:line="360" w:lineRule="auto"/>
        <w:ind w:firstLine="422"/>
        <w:jc w:val="center"/>
        <w:outlineLvl w:val="0"/>
        <w:rPr>
          <w:rStyle w:val="26"/>
          <w:rFonts w:hint="eastAsia" w:hAnsi="宋体" w:cs="宋体"/>
          <w:b/>
          <w:color w:val="auto"/>
          <w:szCs w:val="21"/>
          <w:highlight w:val="none"/>
        </w:rPr>
        <w:sectPr>
          <w:headerReference r:id="rId7" w:type="first"/>
          <w:headerReference r:id="rId5" w:type="default"/>
          <w:footerReference r:id="rId8" w:type="default"/>
          <w:headerReference r:id="rId6" w:type="even"/>
          <w:pgSz w:w="11906" w:h="16838"/>
          <w:pgMar w:top="1440" w:right="1800" w:bottom="1440" w:left="1800" w:header="851" w:footer="992" w:gutter="0"/>
          <w:cols w:space="425" w:num="1"/>
          <w:docGrid w:type="lines" w:linePitch="312" w:charSpace="0"/>
        </w:sectPr>
      </w:pPr>
    </w:p>
    <w:p w14:paraId="38631785">
      <w:pPr>
        <w:pStyle w:val="10"/>
        <w:spacing w:line="360" w:lineRule="auto"/>
        <w:ind w:firstLine="422"/>
        <w:jc w:val="center"/>
        <w:outlineLvl w:val="0"/>
        <w:rPr>
          <w:rStyle w:val="26"/>
          <w:rFonts w:hint="eastAsia" w:hAnsi="宋体" w:cs="宋体"/>
          <w:b/>
          <w:color w:val="auto"/>
          <w:szCs w:val="21"/>
          <w:highlight w:val="none"/>
        </w:rPr>
      </w:pPr>
    </w:p>
    <w:p w14:paraId="13359CA9">
      <w:pPr>
        <w:pStyle w:val="10"/>
        <w:spacing w:line="360" w:lineRule="auto"/>
        <w:ind w:firstLine="482"/>
        <w:jc w:val="center"/>
        <w:outlineLvl w:val="0"/>
        <w:rPr>
          <w:rStyle w:val="26"/>
          <w:rFonts w:hint="eastAsia" w:hAnsi="宋体" w:cs="宋体"/>
          <w:b/>
          <w:color w:val="auto"/>
          <w:sz w:val="24"/>
          <w:szCs w:val="24"/>
          <w:highlight w:val="none"/>
        </w:rPr>
      </w:pPr>
      <w:r>
        <w:rPr>
          <w:rStyle w:val="26"/>
          <w:rFonts w:hint="eastAsia" w:hAnsi="宋体" w:cs="宋体"/>
          <w:b/>
          <w:color w:val="auto"/>
          <w:sz w:val="24"/>
          <w:szCs w:val="24"/>
          <w:highlight w:val="none"/>
        </w:rPr>
        <w:t>目  录</w:t>
      </w:r>
    </w:p>
    <w:p w14:paraId="6F9B4F6F">
      <w:pPr>
        <w:spacing w:line="360" w:lineRule="auto"/>
        <w:rPr>
          <w:rFonts w:hint="eastAsia" w:ascii="宋体" w:hAnsi="宋体" w:cs="宋体"/>
          <w:b/>
          <w:color w:val="auto"/>
          <w:sz w:val="24"/>
          <w:highlight w:val="none"/>
        </w:rPr>
      </w:pPr>
    </w:p>
    <w:p w14:paraId="3F214F41">
      <w:pPr>
        <w:spacing w:line="360" w:lineRule="auto"/>
        <w:rPr>
          <w:rFonts w:hint="eastAsia" w:ascii="宋体" w:hAnsi="宋体" w:cs="宋体"/>
          <w:b/>
          <w:color w:val="auto"/>
          <w:sz w:val="24"/>
          <w:highlight w:val="none"/>
        </w:rPr>
      </w:pPr>
    </w:p>
    <w:p w14:paraId="1432D3D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"1-3" \h \z \u </w:instrText>
      </w:r>
      <w:r>
        <w:rPr>
          <w:rFonts w:hint="eastAsia" w:ascii="宋体" w:hAnsi="宋体" w:cs="宋体"/>
          <w:b/>
          <w:color w:val="auto"/>
          <w:sz w:val="24"/>
          <w:highlight w:val="none"/>
        </w:rPr>
        <w:fldChar w:fldCharType="separate"/>
      </w:r>
    </w:p>
    <w:p w14:paraId="7DA80891">
      <w:pPr>
        <w:spacing w:line="360" w:lineRule="auto"/>
        <w:rPr>
          <w:rFonts w:hint="eastAsia" w:ascii="宋体" w:hAnsi="宋体" w:cs="宋体"/>
          <w:b/>
          <w:color w:val="auto"/>
          <w:sz w:val="24"/>
          <w:highlight w:val="none"/>
        </w:rPr>
      </w:pPr>
    </w:p>
    <w:p w14:paraId="0DFDA6B3">
      <w:pPr>
        <w:spacing w:line="360" w:lineRule="auto"/>
        <w:rPr>
          <w:rFonts w:hint="eastAsia" w:ascii="宋体" w:hAnsi="宋体" w:cs="宋体"/>
          <w:b/>
          <w:color w:val="auto"/>
          <w:sz w:val="24"/>
          <w:highlight w:val="none"/>
        </w:rPr>
      </w:pPr>
    </w:p>
    <w:p w14:paraId="3D5227B3">
      <w:pPr>
        <w:spacing w:line="360" w:lineRule="auto"/>
        <w:rPr>
          <w:rFonts w:hint="eastAsia" w:ascii="宋体" w:hAnsi="宋体" w:cs="宋体"/>
          <w:b/>
          <w:color w:val="auto"/>
          <w:sz w:val="24"/>
          <w:highlight w:val="none"/>
        </w:rPr>
      </w:pPr>
      <w:r>
        <w:rPr>
          <w:color w:val="auto"/>
          <w:highlight w:val="none"/>
        </w:rPr>
        <w:fldChar w:fldCharType="begin"/>
      </w:r>
      <w:r>
        <w:rPr>
          <w:color w:val="auto"/>
          <w:highlight w:val="none"/>
        </w:rPr>
        <w:instrText xml:space="preserve"> HYPERLINK "file:///D:\\外网\\20090911\\界面资料091011\\界面资料\\部门资料\\采购文件范本1104\\招标文件范本\\印刷版本\\政府采购招标文件印刷.doc" \l "_Toc246826096#_Toc246826096" </w:instrText>
      </w:r>
      <w:r>
        <w:rPr>
          <w:color w:val="auto"/>
          <w:highlight w:val="none"/>
        </w:rPr>
        <w:fldChar w:fldCharType="separate"/>
      </w:r>
      <w:r>
        <w:rPr>
          <w:rFonts w:hint="eastAsia" w:ascii="宋体" w:hAnsi="宋体" w:cs="宋体"/>
          <w:b/>
          <w:color w:val="auto"/>
          <w:sz w:val="24"/>
          <w:highlight w:val="none"/>
        </w:rPr>
        <w:t>第一章  比选公告……………………………………………………</w:t>
      </w:r>
      <w:r>
        <w:rPr>
          <w:rFonts w:hint="eastAsia" w:ascii="宋体" w:hAnsi="宋体" w:cs="宋体"/>
          <w:b/>
          <w:color w:val="auto"/>
          <w:sz w:val="24"/>
          <w:highlight w:val="none"/>
        </w:rPr>
        <w:fldChar w:fldCharType="end"/>
      </w:r>
      <w:r>
        <w:rPr>
          <w:rFonts w:hint="eastAsia" w:ascii="宋体" w:hAnsi="宋体" w:cs="宋体"/>
          <w:b/>
          <w:color w:val="auto"/>
          <w:sz w:val="24"/>
          <w:highlight w:val="none"/>
        </w:rPr>
        <w:t>……3-4</w:t>
      </w:r>
    </w:p>
    <w:p w14:paraId="102866E0">
      <w:pPr>
        <w:spacing w:line="360" w:lineRule="auto"/>
        <w:rPr>
          <w:rFonts w:hint="eastAsia" w:ascii="宋体" w:hAnsi="宋体" w:cs="宋体"/>
          <w:b/>
          <w:color w:val="auto"/>
          <w:sz w:val="24"/>
          <w:highlight w:val="none"/>
        </w:rPr>
      </w:pPr>
      <w:r>
        <w:rPr>
          <w:color w:val="auto"/>
          <w:highlight w:val="none"/>
        </w:rPr>
        <w:fldChar w:fldCharType="begin"/>
      </w:r>
      <w:r>
        <w:rPr>
          <w:color w:val="auto"/>
          <w:highlight w:val="none"/>
        </w:rPr>
        <w:instrText xml:space="preserve"> HYPERLINK "file:///D:\\外网\\20090911\\界面资料091011\\界面资料\\部门资料\\采购文件范本1104\\招标文件范本\\印刷版本\\政府采购招标文件印刷.doc" \l "_Toc246826105#_Toc246826105" </w:instrText>
      </w:r>
      <w:r>
        <w:rPr>
          <w:color w:val="auto"/>
          <w:highlight w:val="none"/>
        </w:rPr>
        <w:fldChar w:fldCharType="separate"/>
      </w:r>
      <w:r>
        <w:rPr>
          <w:rFonts w:hint="eastAsia" w:ascii="宋体" w:hAnsi="宋体" w:cs="宋体"/>
          <w:b/>
          <w:color w:val="auto"/>
          <w:sz w:val="24"/>
          <w:highlight w:val="none"/>
        </w:rPr>
        <w:t>第二章  采购需求……………………………………………………</w:t>
      </w:r>
      <w:r>
        <w:rPr>
          <w:rFonts w:hint="eastAsia" w:ascii="宋体" w:hAnsi="宋体" w:cs="宋体"/>
          <w:b/>
          <w:color w:val="auto"/>
          <w:sz w:val="24"/>
          <w:highlight w:val="none"/>
        </w:rPr>
        <w:fldChar w:fldCharType="end"/>
      </w:r>
      <w:r>
        <w:rPr>
          <w:rFonts w:hint="eastAsia" w:ascii="宋体" w:hAnsi="宋体" w:cs="宋体"/>
          <w:b/>
          <w:color w:val="auto"/>
          <w:sz w:val="24"/>
          <w:highlight w:val="none"/>
        </w:rPr>
        <w:t>……5</w:t>
      </w:r>
    </w:p>
    <w:p w14:paraId="764592B5">
      <w:pPr>
        <w:spacing w:line="360" w:lineRule="auto"/>
        <w:rPr>
          <w:rFonts w:hint="default" w:ascii="宋体" w:hAnsi="宋体" w:eastAsia="宋体" w:cs="宋体"/>
          <w:b/>
          <w:color w:val="auto"/>
          <w:sz w:val="24"/>
          <w:highlight w:val="none"/>
          <w:lang w:val="en-US" w:eastAsia="zh-CN"/>
        </w:rPr>
      </w:pPr>
      <w:r>
        <w:rPr>
          <w:color w:val="auto"/>
          <w:highlight w:val="none"/>
        </w:rPr>
        <w:fldChar w:fldCharType="begin"/>
      </w:r>
      <w:r>
        <w:rPr>
          <w:color w:val="auto"/>
          <w:highlight w:val="none"/>
        </w:rPr>
        <w:instrText xml:space="preserve"> HYPERLINK "file:///D:\\外网\\20090911\\界面资料091011\\界面资料\\部门资料\\采购文件范本1104\\招标文件范本\\印刷版本\\政府采购招标文件印刷.doc" \l "_Toc246826118#_Toc246826118" </w:instrText>
      </w:r>
      <w:r>
        <w:rPr>
          <w:color w:val="auto"/>
          <w:highlight w:val="none"/>
        </w:rPr>
        <w:fldChar w:fldCharType="separate"/>
      </w:r>
      <w:r>
        <w:rPr>
          <w:rFonts w:hint="eastAsia" w:ascii="宋体" w:hAnsi="宋体" w:cs="宋体"/>
          <w:b/>
          <w:color w:val="auto"/>
          <w:sz w:val="24"/>
          <w:highlight w:val="none"/>
        </w:rPr>
        <w:t>第三章  供应商须知………………………………………</w:t>
      </w:r>
      <w:r>
        <w:rPr>
          <w:rFonts w:hint="eastAsia" w:ascii="宋体" w:hAnsi="宋体" w:cs="宋体"/>
          <w:b/>
          <w:color w:val="auto"/>
          <w:sz w:val="24"/>
          <w:highlight w:val="none"/>
        </w:rPr>
        <w:fldChar w:fldCharType="end"/>
      </w:r>
      <w:r>
        <w:rPr>
          <w:rFonts w:hint="eastAsia" w:ascii="宋体" w:hAnsi="宋体" w:cs="宋体"/>
          <w:b/>
          <w:color w:val="auto"/>
          <w:sz w:val="24"/>
          <w:highlight w:val="none"/>
        </w:rPr>
        <w:t>………………</w:t>
      </w:r>
      <w:r>
        <w:rPr>
          <w:rFonts w:hint="eastAsia" w:ascii="宋体" w:hAnsi="宋体" w:cs="宋体"/>
          <w:b/>
          <w:color w:val="auto"/>
          <w:sz w:val="24"/>
          <w:highlight w:val="none"/>
        </w:rPr>
        <w:fldChar w:fldCharType="end"/>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20</w:t>
      </w:r>
    </w:p>
    <w:p w14:paraId="61150DA3">
      <w:pPr>
        <w:spacing w:line="360" w:lineRule="auto"/>
        <w:rPr>
          <w:rFonts w:hint="default" w:ascii="宋体" w:hAnsi="宋体" w:eastAsia="宋体" w:cs="宋体"/>
          <w:b/>
          <w:color w:val="auto"/>
          <w:sz w:val="24"/>
          <w:highlight w:val="none"/>
          <w:lang w:val="en-US" w:eastAsia="zh-CN"/>
        </w:rPr>
      </w:pPr>
      <w:r>
        <w:rPr>
          <w:color w:val="auto"/>
          <w:highlight w:val="none"/>
        </w:rPr>
        <w:fldChar w:fldCharType="begin"/>
      </w:r>
      <w:r>
        <w:rPr>
          <w:color w:val="auto"/>
          <w:highlight w:val="none"/>
        </w:rPr>
        <w:instrText xml:space="preserve"> HYPERLINK "file:///D:\\外网\\20090911\\界面资料091011\\界面资料\\部门资料\\采购文件范本1104\\招标文件范本\\印刷版本\\政府采购招标文件印刷.doc" \l "_Toc246826115#_Toc246826115" </w:instrText>
      </w:r>
      <w:r>
        <w:rPr>
          <w:color w:val="auto"/>
          <w:highlight w:val="none"/>
        </w:rPr>
        <w:fldChar w:fldCharType="separate"/>
      </w:r>
      <w:r>
        <w:rPr>
          <w:rFonts w:hint="eastAsia" w:ascii="宋体" w:hAnsi="宋体" w:cs="宋体"/>
          <w:b/>
          <w:color w:val="auto"/>
          <w:sz w:val="24"/>
          <w:highlight w:val="none"/>
        </w:rPr>
        <w:t>第四章  审查标准和评审标准………………………</w:t>
      </w:r>
      <w:r>
        <w:rPr>
          <w:rFonts w:hint="eastAsia" w:ascii="宋体" w:hAnsi="宋体" w:cs="宋体"/>
          <w:b/>
          <w:color w:val="auto"/>
          <w:sz w:val="24"/>
          <w:highlight w:val="none"/>
        </w:rPr>
        <w:fldChar w:fldCharType="end"/>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24</w:t>
      </w:r>
    </w:p>
    <w:p w14:paraId="6AC9AC24">
      <w:pPr>
        <w:spacing w:line="360" w:lineRule="auto"/>
        <w:rPr>
          <w:rFonts w:hint="default" w:ascii="宋体" w:hAnsi="宋体" w:eastAsia="宋体" w:cs="宋体"/>
          <w:b/>
          <w:color w:val="auto"/>
          <w:sz w:val="24"/>
          <w:highlight w:val="none"/>
          <w:lang w:val="en-US" w:eastAsia="zh-CN"/>
        </w:rPr>
      </w:pPr>
      <w:r>
        <w:rPr>
          <w:color w:val="auto"/>
          <w:highlight w:val="none"/>
        </w:rPr>
        <w:fldChar w:fldCharType="begin"/>
      </w:r>
      <w:r>
        <w:rPr>
          <w:color w:val="auto"/>
          <w:highlight w:val="none"/>
        </w:rPr>
        <w:instrText xml:space="preserve"> HYPERLINK "file:///D:\\外网\\20090911\\界面资料091011\\界面资料\\部门资料\\采购文件范本1104\\招标文件范本\\印刷版本\\政府采购招标文件印刷.doc" \l "_Toc246826104#_Toc246826104" </w:instrText>
      </w:r>
      <w:r>
        <w:rPr>
          <w:color w:val="auto"/>
          <w:highlight w:val="none"/>
        </w:rPr>
        <w:fldChar w:fldCharType="separate"/>
      </w:r>
      <w:r>
        <w:rPr>
          <w:rFonts w:hint="eastAsia" w:ascii="宋体" w:hAnsi="宋体" w:cs="宋体"/>
          <w:b/>
          <w:color w:val="auto"/>
          <w:sz w:val="24"/>
          <w:highlight w:val="none"/>
        </w:rPr>
        <w:t>第五章  采购合同格式……………………………………………………</w:t>
      </w:r>
      <w:r>
        <w:rPr>
          <w:rFonts w:hint="eastAsia" w:ascii="宋体" w:hAnsi="宋体" w:cs="宋体"/>
          <w:b/>
          <w:color w:val="auto"/>
          <w:sz w:val="24"/>
          <w:highlight w:val="none"/>
        </w:rPr>
        <w:fldChar w:fldCharType="end"/>
      </w:r>
      <w:r>
        <w:rPr>
          <w:rFonts w:hint="eastAsia" w:ascii="宋体" w:hAnsi="宋体" w:cs="宋体"/>
          <w:b/>
          <w:color w:val="auto"/>
          <w:sz w:val="24"/>
          <w:highlight w:val="none"/>
          <w:lang w:val="en-US" w:eastAsia="zh-CN"/>
        </w:rPr>
        <w:t>25</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39</w:t>
      </w:r>
    </w:p>
    <w:p w14:paraId="5C56A063">
      <w:pPr>
        <w:spacing w:line="360" w:lineRule="auto"/>
        <w:rPr>
          <w:rFonts w:hint="default" w:ascii="宋体" w:hAnsi="宋体" w:eastAsia="宋体" w:cs="宋体"/>
          <w:b/>
          <w:color w:val="auto"/>
          <w:sz w:val="24"/>
          <w:highlight w:val="none"/>
          <w:lang w:val="en-US" w:eastAsia="zh-CN"/>
        </w:rPr>
      </w:pPr>
      <w:r>
        <w:rPr>
          <w:color w:val="auto"/>
          <w:highlight w:val="none"/>
        </w:rPr>
        <w:fldChar w:fldCharType="begin"/>
      </w:r>
      <w:r>
        <w:rPr>
          <w:color w:val="auto"/>
          <w:highlight w:val="none"/>
        </w:rPr>
        <w:instrText xml:space="preserve"> HYPERLINK "file:///D:\\外网\\20090911\\界面资料091011\\界面资料\\部门资料\\采购文件范本1104\\招标文件范本\\印刷版本\\政府采购招标文件印刷.doc" \l "_Toc246826118#_Toc246826118" </w:instrText>
      </w:r>
      <w:r>
        <w:rPr>
          <w:color w:val="auto"/>
          <w:highlight w:val="none"/>
        </w:rPr>
        <w:fldChar w:fldCharType="separate"/>
      </w:r>
      <w:r>
        <w:rPr>
          <w:rFonts w:hint="eastAsia" w:ascii="宋体" w:hAnsi="宋体" w:cs="宋体"/>
          <w:b/>
          <w:color w:val="auto"/>
          <w:sz w:val="24"/>
          <w:highlight w:val="none"/>
        </w:rPr>
        <w:t>第六章  响应文件格式及附件……………………………………………</w:t>
      </w:r>
      <w:r>
        <w:rPr>
          <w:rFonts w:hint="eastAsia" w:ascii="宋体" w:hAnsi="宋体" w:cs="宋体"/>
          <w:b/>
          <w:color w:val="auto"/>
          <w:sz w:val="24"/>
          <w:highlight w:val="none"/>
        </w:rPr>
        <w:fldChar w:fldCharType="end"/>
      </w:r>
      <w:r>
        <w:rPr>
          <w:rFonts w:hint="eastAsia" w:ascii="宋体" w:hAnsi="宋体" w:cs="宋体"/>
          <w:b/>
          <w:color w:val="auto"/>
          <w:sz w:val="24"/>
          <w:highlight w:val="none"/>
          <w:lang w:val="en-US" w:eastAsia="zh-CN"/>
        </w:rPr>
        <w:t>40</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48</w:t>
      </w:r>
    </w:p>
    <w:p w14:paraId="69D8CBEA">
      <w:pPr>
        <w:spacing w:line="360" w:lineRule="auto"/>
        <w:rPr>
          <w:rFonts w:hint="eastAsia" w:ascii="宋体" w:hAnsi="宋体" w:cs="宋体"/>
          <w:b/>
          <w:color w:val="auto"/>
          <w:sz w:val="24"/>
          <w:highlight w:val="none"/>
        </w:rPr>
      </w:pPr>
    </w:p>
    <w:p w14:paraId="25315DD6">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7473E47D">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6DEDDC45">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1A26B9D6">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63C68B56">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768C69DB">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3F167BFC">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7ED3F809">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1F15680A">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01131332">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7051C4BB">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599F3EE3">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0B2231A4">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024D7859">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68761F91">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0D8475F5">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57BAB1E5">
      <w:pPr>
        <w:pStyle w:val="10"/>
        <w:adjustRightInd w:val="0"/>
        <w:snapToGrid w:val="0"/>
        <w:spacing w:line="360" w:lineRule="auto"/>
        <w:ind w:firstLine="422"/>
        <w:jc w:val="center"/>
        <w:outlineLvl w:val="0"/>
        <w:rPr>
          <w:rFonts w:hint="eastAsia" w:asciiTheme="minorEastAsia" w:hAnsiTheme="minorEastAsia" w:eastAsiaTheme="minorEastAsia" w:cstheme="minorEastAsia"/>
          <w:b/>
          <w:color w:val="auto"/>
          <w:szCs w:val="21"/>
          <w:highlight w:val="none"/>
        </w:rPr>
      </w:pPr>
    </w:p>
    <w:p w14:paraId="088133CE">
      <w:pPr>
        <w:pStyle w:val="10"/>
        <w:adjustRightInd w:val="0"/>
        <w:snapToGrid w:val="0"/>
        <w:spacing w:line="360" w:lineRule="auto"/>
        <w:ind w:firstLine="422"/>
        <w:outlineLvl w:val="0"/>
        <w:rPr>
          <w:rFonts w:hint="eastAsia" w:asciiTheme="minorEastAsia" w:hAnsiTheme="minorEastAsia" w:eastAsiaTheme="minorEastAsia" w:cstheme="minorEastAsia"/>
          <w:b/>
          <w:color w:val="auto"/>
          <w:szCs w:val="21"/>
          <w:highlight w:val="none"/>
        </w:rPr>
      </w:pPr>
    </w:p>
    <w:p w14:paraId="0552C467">
      <w:pPr>
        <w:pStyle w:val="10"/>
        <w:adjustRightInd w:val="0"/>
        <w:snapToGrid w:val="0"/>
        <w:spacing w:line="360" w:lineRule="auto"/>
        <w:ind w:firstLine="422"/>
        <w:jc w:val="center"/>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第一章  比选公告</w:t>
      </w:r>
    </w:p>
    <w:p w14:paraId="01C6C563">
      <w:pPr>
        <w:adjustRightInd w:val="0"/>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一、项目基本情况</w:t>
      </w:r>
    </w:p>
    <w:p w14:paraId="47802259">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1、项目编号：zfcg-fw20250521-001</w:t>
      </w:r>
    </w:p>
    <w:p w14:paraId="78CBA073">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2、项目名称：海口江东新区控规调整、单元控规编制及入库审查工作                </w:t>
      </w:r>
    </w:p>
    <w:p w14:paraId="4230E651">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3、预算金额：人民币1</w:t>
      </w:r>
      <w:r>
        <w:rPr>
          <w:rFonts w:hint="eastAsia" w:asciiTheme="minorEastAsia" w:hAnsiTheme="minorEastAsia" w:eastAsiaTheme="minorEastAsia" w:cstheme="minorEastAsia"/>
          <w:bCs/>
          <w:color w:val="auto"/>
          <w:szCs w:val="21"/>
          <w:highlight w:val="none"/>
          <w:lang w:val="en-US" w:eastAsia="zh-CN"/>
        </w:rPr>
        <w:t>60</w:t>
      </w:r>
      <w:r>
        <w:rPr>
          <w:rFonts w:hint="eastAsia" w:asciiTheme="minorEastAsia" w:hAnsiTheme="minorEastAsia" w:eastAsiaTheme="minorEastAsia" w:cstheme="minorEastAsia"/>
          <w:bCs/>
          <w:color w:val="auto"/>
          <w:szCs w:val="21"/>
          <w:highlight w:val="none"/>
        </w:rPr>
        <w:t>0000元</w:t>
      </w:r>
    </w:p>
    <w:p w14:paraId="2333F3B1">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r>
        <w:rPr>
          <w:rFonts w:hint="eastAsia" w:hAnsi="宋体" w:cs="宋体"/>
          <w:color w:val="auto"/>
          <w:kern w:val="28"/>
          <w:szCs w:val="21"/>
          <w:highlight w:val="none"/>
        </w:rPr>
        <w:t xml:space="preserve">  </w:t>
      </w:r>
      <w:r>
        <w:rPr>
          <w:rFonts w:hint="eastAsia" w:asciiTheme="minorEastAsia" w:hAnsiTheme="minorEastAsia" w:eastAsiaTheme="minorEastAsia" w:cstheme="minorEastAsia"/>
          <w:bCs/>
          <w:color w:val="auto"/>
          <w:szCs w:val="21"/>
          <w:highlight w:val="none"/>
        </w:rPr>
        <w:t>最高限价:人民币1</w:t>
      </w:r>
      <w:r>
        <w:rPr>
          <w:rFonts w:hint="eastAsia" w:asciiTheme="minorEastAsia" w:hAnsiTheme="minorEastAsia" w:eastAsiaTheme="minorEastAsia" w:cstheme="minorEastAsia"/>
          <w:bCs/>
          <w:color w:val="auto"/>
          <w:szCs w:val="21"/>
          <w:highlight w:val="none"/>
          <w:lang w:val="en-US" w:eastAsia="zh-CN"/>
        </w:rPr>
        <w:t>60</w:t>
      </w:r>
      <w:r>
        <w:rPr>
          <w:rFonts w:hint="eastAsia" w:asciiTheme="minorEastAsia" w:hAnsiTheme="minorEastAsia" w:eastAsiaTheme="minorEastAsia" w:cstheme="minorEastAsia"/>
          <w:bCs/>
          <w:color w:val="auto"/>
          <w:szCs w:val="21"/>
          <w:highlight w:val="none"/>
        </w:rPr>
        <w:t>0000元</w:t>
      </w:r>
    </w:p>
    <w:p w14:paraId="62CB6B48">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4、采购需求一览表：</w:t>
      </w:r>
      <w:r>
        <w:rPr>
          <w:rFonts w:hint="eastAsia" w:hAnsi="宋体" w:cs="宋体"/>
          <w:bCs/>
          <w:color w:val="auto"/>
          <w:szCs w:val="21"/>
          <w:highlight w:val="none"/>
        </w:rPr>
        <w:t>详细需求详见第二章《采购需求》</w:t>
      </w:r>
    </w:p>
    <w:p w14:paraId="0CFAD729">
      <w:pPr>
        <w:spacing w:line="400" w:lineRule="exact"/>
        <w:ind w:right="-197" w:rightChars="-94" w:firstLine="420" w:firstLineChars="200"/>
        <w:rPr>
          <w:rFonts w:hint="eastAsia" w:ascii="宋体" w:hAnsi="宋体"/>
          <w:bCs/>
          <w:color w:val="auto"/>
          <w:szCs w:val="21"/>
          <w:highlight w:val="none"/>
        </w:rPr>
      </w:pPr>
      <w:r>
        <w:rPr>
          <w:rFonts w:hint="eastAsia" w:asciiTheme="minorEastAsia" w:hAnsiTheme="minorEastAsia" w:eastAsiaTheme="minorEastAsia" w:cstheme="minorEastAsia"/>
          <w:bCs/>
          <w:color w:val="auto"/>
          <w:szCs w:val="21"/>
          <w:highlight w:val="none"/>
        </w:rPr>
        <w:t>5、服务期限</w:t>
      </w:r>
      <w:bookmarkStart w:id="12" w:name="_Toc35393791"/>
      <w:bookmarkStart w:id="13" w:name="_Toc28359003"/>
      <w:bookmarkStart w:id="14" w:name="_Toc35393622"/>
      <w:bookmarkStart w:id="15" w:name="_Toc28359080"/>
      <w:r>
        <w:rPr>
          <w:rFonts w:hint="eastAsia" w:asciiTheme="minorEastAsia" w:hAnsiTheme="minorEastAsia" w:eastAsiaTheme="minorEastAsia" w:cstheme="minorEastAsia"/>
          <w:bCs/>
          <w:color w:val="auto"/>
          <w:szCs w:val="21"/>
          <w:highlight w:val="none"/>
        </w:rPr>
        <w:t>：自合同签订之日起365日历天内完成</w:t>
      </w:r>
    </w:p>
    <w:p w14:paraId="4EBCD19D">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6、服务地点：海口江东新区</w:t>
      </w:r>
    </w:p>
    <w:p w14:paraId="3F2E6E59">
      <w:pPr>
        <w:pStyle w:val="10"/>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0"/>
        <w:rPr>
          <w:rFonts w:hint="default" w:asciiTheme="minorEastAsia" w:hAnsiTheme="minorEastAsia" w:eastAsiaTheme="minorEastAsia" w:cstheme="minorEastAsia"/>
          <w:bCs/>
          <w:color w:val="auto"/>
          <w:szCs w:val="21"/>
          <w:highlight w:val="none"/>
          <w:lang w:val="en-US"/>
        </w:rPr>
      </w:pPr>
      <w:r>
        <w:rPr>
          <w:rFonts w:hint="eastAsia" w:asciiTheme="minorEastAsia" w:hAnsiTheme="minorEastAsia" w:eastAsiaTheme="minorEastAsia" w:cstheme="minorEastAsia"/>
          <w:b w:val="0"/>
          <w:bCs/>
          <w:color w:val="auto"/>
          <w:sz w:val="21"/>
          <w:szCs w:val="21"/>
          <w:highlight w:val="yellow"/>
          <w:lang w:val="en-US" w:eastAsia="zh-CN"/>
        </w:rPr>
        <w:t>7</w:t>
      </w:r>
      <w:r>
        <w:rPr>
          <w:rFonts w:hint="eastAsia" w:asciiTheme="minorEastAsia" w:hAnsiTheme="minorEastAsia" w:eastAsiaTheme="minorEastAsia" w:cstheme="minorEastAsia"/>
          <w:b w:val="0"/>
          <w:bCs/>
          <w:color w:val="auto"/>
          <w:sz w:val="21"/>
          <w:szCs w:val="21"/>
          <w:highlight w:val="yellow"/>
        </w:rPr>
        <w:t>、</w:t>
      </w:r>
      <w:r>
        <w:rPr>
          <w:rFonts w:hint="eastAsia" w:asciiTheme="minorEastAsia" w:hAnsiTheme="minorEastAsia" w:eastAsiaTheme="minorEastAsia" w:cstheme="minorEastAsia"/>
          <w:b w:val="0"/>
          <w:bCs/>
          <w:color w:val="auto"/>
          <w:kern w:val="2"/>
          <w:sz w:val="21"/>
          <w:szCs w:val="21"/>
          <w:highlight w:val="yellow"/>
          <w:lang w:val="en-US" w:eastAsia="zh-CN" w:bidi="ar-SA"/>
        </w:rPr>
        <w:t>质量标准：符合采购文件要求。</w:t>
      </w:r>
    </w:p>
    <w:p w14:paraId="56389370">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二、供应商的资格要求：</w:t>
      </w:r>
      <w:bookmarkEnd w:id="12"/>
      <w:bookmarkEnd w:id="13"/>
      <w:bookmarkEnd w:id="14"/>
      <w:bookmarkEnd w:id="15"/>
    </w:p>
    <w:p w14:paraId="192AA8DE">
      <w:pPr>
        <w:pStyle w:val="10"/>
        <w:adjustRightInd w:val="0"/>
        <w:snapToGrid w:val="0"/>
        <w:spacing w:line="400" w:lineRule="exact"/>
        <w:ind w:firstLine="420" w:firstLineChars="200"/>
        <w:jc w:val="left"/>
        <w:outlineLvl w:val="0"/>
        <w:rPr>
          <w:rFonts w:hint="eastAsia" w:hAnsi="宋体" w:cs="宋体"/>
          <w:bCs/>
          <w:color w:val="auto"/>
          <w:szCs w:val="21"/>
          <w:highlight w:val="none"/>
        </w:rPr>
      </w:pPr>
      <w:bookmarkStart w:id="16" w:name="_Toc35393623"/>
      <w:bookmarkStart w:id="17" w:name="_Toc28359081"/>
      <w:bookmarkStart w:id="18" w:name="_Toc35393792"/>
      <w:bookmarkStart w:id="19" w:name="_Toc28359004"/>
      <w:r>
        <w:rPr>
          <w:rFonts w:hint="eastAsia" w:hAnsi="宋体" w:cs="宋体"/>
          <w:bCs/>
          <w:color w:val="auto"/>
          <w:szCs w:val="21"/>
          <w:highlight w:val="none"/>
        </w:rPr>
        <w:t>1、满足《中华人民共和国政府采购法》第二十二条规定；</w:t>
      </w:r>
    </w:p>
    <w:p w14:paraId="395B8910">
      <w:pPr>
        <w:pStyle w:val="10"/>
        <w:adjustRightInd w:val="0"/>
        <w:snapToGrid w:val="0"/>
        <w:spacing w:line="400" w:lineRule="exact"/>
        <w:ind w:firstLine="420" w:firstLineChars="200"/>
        <w:jc w:val="left"/>
        <w:outlineLvl w:val="0"/>
        <w:rPr>
          <w:rFonts w:hint="eastAsia" w:hAnsi="宋体" w:cs="宋体"/>
          <w:bCs/>
          <w:color w:val="auto"/>
          <w:szCs w:val="21"/>
          <w:highlight w:val="none"/>
        </w:rPr>
      </w:pPr>
      <w:r>
        <w:rPr>
          <w:rFonts w:hint="eastAsia" w:hAnsi="宋体" w:cs="宋体"/>
          <w:bCs/>
          <w:color w:val="auto"/>
          <w:szCs w:val="21"/>
          <w:highlight w:val="none"/>
        </w:rPr>
        <w:t>2、落实政府采购政策需满足的资格要求：无；</w:t>
      </w:r>
    </w:p>
    <w:p w14:paraId="5C5398A3">
      <w:pPr>
        <w:pStyle w:val="10"/>
        <w:adjustRightInd w:val="0"/>
        <w:snapToGrid w:val="0"/>
        <w:spacing w:line="400" w:lineRule="exact"/>
        <w:ind w:firstLine="420" w:firstLineChars="200"/>
        <w:jc w:val="left"/>
        <w:outlineLvl w:val="0"/>
        <w:rPr>
          <w:rFonts w:hint="eastAsia" w:hAnsi="宋体" w:cs="宋体"/>
          <w:bCs/>
          <w:color w:val="auto"/>
          <w:szCs w:val="21"/>
          <w:highlight w:val="none"/>
        </w:rPr>
      </w:pPr>
      <w:r>
        <w:rPr>
          <w:rFonts w:hint="eastAsia" w:hAnsi="宋体" w:cs="宋体"/>
          <w:bCs/>
          <w:color w:val="auto"/>
          <w:szCs w:val="21"/>
          <w:highlight w:val="none"/>
        </w:rPr>
        <w:t>3、符合采购人根据采购项目实际情况要求的特定资格条件和其他法律法规规定的条件，具体如下：</w:t>
      </w:r>
    </w:p>
    <w:p w14:paraId="1CCAD2C7">
      <w:pPr>
        <w:pStyle w:val="10"/>
        <w:adjustRightInd w:val="0"/>
        <w:snapToGrid w:val="0"/>
        <w:spacing w:line="400" w:lineRule="exact"/>
        <w:ind w:firstLine="420" w:firstLineChars="200"/>
        <w:outlineLvl w:val="0"/>
        <w:rPr>
          <w:rFonts w:hint="eastAsia" w:hAnsi="宋体" w:cs="宋体"/>
          <w:bCs/>
          <w:color w:val="auto"/>
          <w:szCs w:val="21"/>
          <w:highlight w:val="none"/>
        </w:rPr>
      </w:pPr>
      <w:r>
        <w:rPr>
          <w:rFonts w:hint="eastAsia" w:hAnsi="宋体" w:cs="宋体"/>
          <w:bCs/>
          <w:color w:val="auto"/>
          <w:szCs w:val="21"/>
          <w:highlight w:val="none"/>
        </w:rPr>
        <w:t>3.1、供应商未被列入失信被执行人、重大税收违法案件当事人名单（税收违法黑名单）和政府采购严重违法失信行为记录名单（须提供“信用中国”网站（www.creditchina.gov.cn)查询失信被执行人、</w:t>
      </w:r>
      <w:r>
        <w:rPr>
          <w:rFonts w:hint="eastAsia" w:ascii="宋体" w:hAnsi="宋体" w:eastAsia="宋体" w:cs="宋体"/>
          <w:b w:val="0"/>
          <w:bCs/>
          <w:color w:val="auto"/>
          <w:sz w:val="21"/>
          <w:szCs w:val="21"/>
        </w:rPr>
        <w:t>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hAnsi="宋体" w:cs="宋体"/>
          <w:bCs/>
          <w:color w:val="auto"/>
          <w:szCs w:val="21"/>
          <w:highlight w:val="none"/>
        </w:rPr>
        <w:t>的查询结果截图并加盖公章；和“中国政府采购网”网站（http://www.ccgp.gov.cn/）查询政府采购严重违法失信行为记录名单的查询结果截图并加盖公章），如相关失信记录已失效，供应商须提供相关证明资料并加盖公章；</w:t>
      </w:r>
    </w:p>
    <w:p w14:paraId="5CF86984">
      <w:pPr>
        <w:pStyle w:val="10"/>
        <w:adjustRightInd w:val="0"/>
        <w:snapToGrid w:val="0"/>
        <w:spacing w:line="400" w:lineRule="exact"/>
        <w:ind w:firstLine="420" w:firstLineChars="200"/>
        <w:jc w:val="left"/>
        <w:outlineLvl w:val="0"/>
        <w:rPr>
          <w:rFonts w:hint="eastAsia" w:hAnsi="宋体" w:cs="宋体"/>
          <w:bCs/>
          <w:color w:val="auto"/>
          <w:szCs w:val="21"/>
          <w:highlight w:val="none"/>
        </w:rPr>
      </w:pPr>
      <w:r>
        <w:rPr>
          <w:rFonts w:hint="eastAsia" w:hAnsi="宋体" w:cs="宋体"/>
          <w:bCs/>
          <w:color w:val="auto"/>
          <w:szCs w:val="21"/>
          <w:highlight w:val="none"/>
        </w:rPr>
        <w:t>3.2本项目不接受联合体响应；</w:t>
      </w:r>
    </w:p>
    <w:p w14:paraId="6677C7DB">
      <w:pPr>
        <w:pStyle w:val="10"/>
        <w:adjustRightInd w:val="0"/>
        <w:snapToGrid w:val="0"/>
        <w:spacing w:line="400" w:lineRule="exact"/>
        <w:ind w:firstLine="420" w:firstLineChars="200"/>
        <w:jc w:val="left"/>
        <w:outlineLvl w:val="0"/>
        <w:rPr>
          <w:rFonts w:hint="eastAsia" w:hAnsi="宋体" w:cs="宋体"/>
          <w:bCs/>
          <w:color w:val="auto"/>
          <w:szCs w:val="21"/>
          <w:highlight w:val="none"/>
        </w:rPr>
      </w:pPr>
      <w:r>
        <w:rPr>
          <w:rFonts w:hint="eastAsia" w:hAnsi="宋体" w:cs="宋体"/>
          <w:bCs/>
          <w:color w:val="auto"/>
          <w:szCs w:val="21"/>
          <w:highlight w:val="none"/>
        </w:rPr>
        <w:t>3.3 供应商应具备城乡规划编制乙级</w:t>
      </w:r>
      <w:r>
        <w:rPr>
          <w:rFonts w:hint="eastAsia" w:hAnsi="宋体" w:cs="宋体"/>
          <w:bCs/>
          <w:color w:val="auto"/>
          <w:szCs w:val="21"/>
          <w:highlight w:val="none"/>
          <w:lang w:val="en-US" w:eastAsia="zh-CN"/>
        </w:rPr>
        <w:t>或</w:t>
      </w:r>
      <w:r>
        <w:rPr>
          <w:rFonts w:hint="eastAsia" w:hAnsi="宋体" w:cs="宋体"/>
          <w:bCs/>
          <w:color w:val="auto"/>
          <w:szCs w:val="21"/>
          <w:highlight w:val="none"/>
        </w:rPr>
        <w:t>以上资质。</w:t>
      </w:r>
    </w:p>
    <w:p w14:paraId="1CC56BE8">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w:t>
      </w:r>
      <w:bookmarkEnd w:id="16"/>
      <w:bookmarkEnd w:id="17"/>
      <w:bookmarkEnd w:id="18"/>
      <w:bookmarkEnd w:id="19"/>
      <w:r>
        <w:rPr>
          <w:rFonts w:hint="eastAsia" w:asciiTheme="minorEastAsia" w:hAnsiTheme="minorEastAsia" w:eastAsiaTheme="minorEastAsia" w:cstheme="minorEastAsia"/>
          <w:b/>
          <w:color w:val="auto"/>
          <w:szCs w:val="21"/>
          <w:highlight w:val="none"/>
        </w:rPr>
        <w:t>采购文件获取办法</w:t>
      </w:r>
    </w:p>
    <w:p w14:paraId="37FB4830">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yellow"/>
        </w:rPr>
      </w:pPr>
      <w:r>
        <w:rPr>
          <w:rFonts w:hint="eastAsia" w:asciiTheme="minorEastAsia" w:hAnsiTheme="minorEastAsia" w:eastAsiaTheme="minorEastAsia" w:cstheme="minorEastAsia"/>
          <w:bCs/>
          <w:color w:val="auto"/>
          <w:szCs w:val="21"/>
          <w:highlight w:val="yellow"/>
        </w:rPr>
        <w:t>1、采购比选文件获取时间： 202</w:t>
      </w:r>
      <w:r>
        <w:rPr>
          <w:rFonts w:hint="eastAsia" w:asciiTheme="minorEastAsia" w:hAnsiTheme="minorEastAsia" w:eastAsiaTheme="minorEastAsia" w:cstheme="minorEastAsia"/>
          <w:bCs/>
          <w:color w:val="auto"/>
          <w:szCs w:val="21"/>
          <w:highlight w:val="yellow"/>
          <w:lang w:val="en-US" w:eastAsia="zh-CN"/>
        </w:rPr>
        <w:t>5</w:t>
      </w:r>
      <w:r>
        <w:rPr>
          <w:rFonts w:hint="eastAsia" w:asciiTheme="minorEastAsia" w:hAnsiTheme="minorEastAsia" w:eastAsiaTheme="minorEastAsia" w:cstheme="minorEastAsia"/>
          <w:bCs/>
          <w:color w:val="auto"/>
          <w:szCs w:val="21"/>
          <w:highlight w:val="yellow"/>
        </w:rPr>
        <w:t>年</w:t>
      </w:r>
      <w:r>
        <w:rPr>
          <w:rFonts w:hint="eastAsia" w:asciiTheme="minorEastAsia" w:hAnsiTheme="minorEastAsia" w:eastAsiaTheme="minorEastAsia" w:cstheme="minorEastAsia"/>
          <w:bCs/>
          <w:color w:val="auto"/>
          <w:szCs w:val="21"/>
          <w:highlight w:val="yellow"/>
          <w:lang w:val="en-US" w:eastAsia="zh-CN"/>
        </w:rPr>
        <w:t>6</w:t>
      </w:r>
      <w:r>
        <w:rPr>
          <w:rFonts w:hint="eastAsia" w:asciiTheme="minorEastAsia" w:hAnsiTheme="minorEastAsia" w:eastAsiaTheme="minorEastAsia" w:cstheme="minorEastAsia"/>
          <w:bCs/>
          <w:color w:val="auto"/>
          <w:szCs w:val="21"/>
          <w:highlight w:val="yellow"/>
        </w:rPr>
        <w:t>月</w:t>
      </w:r>
      <w:r>
        <w:rPr>
          <w:rFonts w:hint="eastAsia" w:asciiTheme="minorEastAsia" w:hAnsiTheme="minorEastAsia" w:cstheme="minorEastAsia"/>
          <w:bCs/>
          <w:color w:val="auto"/>
          <w:szCs w:val="21"/>
          <w:highlight w:val="yellow"/>
          <w:lang w:val="en-US" w:eastAsia="zh-CN"/>
        </w:rPr>
        <w:t>10</w:t>
      </w:r>
      <w:r>
        <w:rPr>
          <w:rFonts w:hint="eastAsia" w:asciiTheme="minorEastAsia" w:hAnsiTheme="minorEastAsia" w:eastAsiaTheme="minorEastAsia" w:cstheme="minorEastAsia"/>
          <w:bCs/>
          <w:color w:val="auto"/>
          <w:szCs w:val="21"/>
          <w:highlight w:val="yellow"/>
        </w:rPr>
        <w:t>日00时00分至20</w:t>
      </w:r>
      <w:r>
        <w:rPr>
          <w:rFonts w:asciiTheme="minorEastAsia" w:hAnsiTheme="minorEastAsia" w:eastAsiaTheme="minorEastAsia" w:cstheme="minorEastAsia"/>
          <w:bCs/>
          <w:color w:val="auto"/>
          <w:szCs w:val="21"/>
          <w:highlight w:val="yellow"/>
        </w:rPr>
        <w:t>2</w:t>
      </w:r>
      <w:r>
        <w:rPr>
          <w:rFonts w:hint="eastAsia" w:asciiTheme="minorEastAsia" w:hAnsiTheme="minorEastAsia" w:eastAsiaTheme="minorEastAsia" w:cstheme="minorEastAsia"/>
          <w:bCs/>
          <w:color w:val="auto"/>
          <w:szCs w:val="21"/>
          <w:highlight w:val="yellow"/>
          <w:lang w:val="en-US" w:eastAsia="zh-CN"/>
        </w:rPr>
        <w:t>5</w:t>
      </w:r>
      <w:r>
        <w:rPr>
          <w:rFonts w:hint="eastAsia" w:asciiTheme="minorEastAsia" w:hAnsiTheme="minorEastAsia" w:eastAsiaTheme="minorEastAsia" w:cstheme="minorEastAsia"/>
          <w:bCs/>
          <w:color w:val="auto"/>
          <w:szCs w:val="21"/>
          <w:highlight w:val="yellow"/>
        </w:rPr>
        <w:t>年</w:t>
      </w:r>
      <w:r>
        <w:rPr>
          <w:rFonts w:hint="eastAsia" w:asciiTheme="minorEastAsia" w:hAnsiTheme="minorEastAsia" w:eastAsiaTheme="minorEastAsia" w:cstheme="minorEastAsia"/>
          <w:bCs/>
          <w:color w:val="auto"/>
          <w:szCs w:val="21"/>
          <w:highlight w:val="yellow"/>
          <w:lang w:val="en-US" w:eastAsia="zh-CN"/>
        </w:rPr>
        <w:t>6</w:t>
      </w:r>
      <w:r>
        <w:rPr>
          <w:rFonts w:hint="eastAsia" w:asciiTheme="minorEastAsia" w:hAnsiTheme="minorEastAsia" w:eastAsiaTheme="minorEastAsia" w:cstheme="minorEastAsia"/>
          <w:bCs/>
          <w:color w:val="auto"/>
          <w:szCs w:val="21"/>
          <w:highlight w:val="yellow"/>
        </w:rPr>
        <w:t>月</w:t>
      </w:r>
      <w:r>
        <w:rPr>
          <w:rFonts w:hint="eastAsia" w:asciiTheme="minorEastAsia" w:hAnsiTheme="minorEastAsia" w:cstheme="minorEastAsia"/>
          <w:bCs/>
          <w:color w:val="auto"/>
          <w:szCs w:val="21"/>
          <w:highlight w:val="yellow"/>
          <w:lang w:val="en-US" w:eastAsia="zh-CN"/>
        </w:rPr>
        <w:t>12</w:t>
      </w:r>
      <w:r>
        <w:rPr>
          <w:rFonts w:hint="eastAsia" w:asciiTheme="minorEastAsia" w:hAnsiTheme="minorEastAsia" w:eastAsiaTheme="minorEastAsia" w:cstheme="minorEastAsia"/>
          <w:bCs/>
          <w:color w:val="auto"/>
          <w:szCs w:val="21"/>
          <w:highlight w:val="yellow"/>
        </w:rPr>
        <w:t>日23点59分（北京时间）；</w:t>
      </w:r>
    </w:p>
    <w:p w14:paraId="4BBE5704">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2、采购比选文件获取方式：请有意向参与本项目采购活动的单位在比选公告界面自行下载比选文件。</w:t>
      </w:r>
    </w:p>
    <w:p w14:paraId="1EF62F2A">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bookmarkStart w:id="20" w:name="_Toc35393627"/>
      <w:bookmarkStart w:id="21" w:name="_Toc28359008"/>
      <w:bookmarkStart w:id="22" w:name="_Toc28359085"/>
      <w:bookmarkStart w:id="23" w:name="_Toc35393796"/>
      <w:r>
        <w:rPr>
          <w:rFonts w:hint="eastAsia" w:asciiTheme="minorEastAsia" w:hAnsiTheme="minorEastAsia" w:eastAsiaTheme="minorEastAsia" w:cstheme="minorEastAsia"/>
          <w:b/>
          <w:color w:val="auto"/>
          <w:szCs w:val="21"/>
          <w:highlight w:val="none"/>
        </w:rPr>
        <w:t>四、响应文件递交截止时间、开标时间及地点</w:t>
      </w:r>
    </w:p>
    <w:p w14:paraId="7E94810B">
      <w:pPr>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bookmarkStart w:id="24" w:name="_Toc28359007"/>
      <w:bookmarkStart w:id="25" w:name="_Toc35393625"/>
      <w:bookmarkStart w:id="26" w:name="_Toc28359084"/>
      <w:bookmarkStart w:id="27" w:name="_Toc35393794"/>
      <w:r>
        <w:rPr>
          <w:rFonts w:hint="eastAsia" w:asciiTheme="minorEastAsia" w:hAnsiTheme="minorEastAsia" w:eastAsiaTheme="minorEastAsia" w:cstheme="minorEastAsia"/>
          <w:bCs/>
          <w:color w:val="auto"/>
          <w:szCs w:val="21"/>
          <w:highlight w:val="none"/>
        </w:rPr>
        <w:t>1、响应文件递交截止时间</w:t>
      </w:r>
      <w:r>
        <w:rPr>
          <w:rFonts w:hint="eastAsia" w:asciiTheme="minorEastAsia" w:hAnsiTheme="minorEastAsia" w:eastAsiaTheme="minorEastAsia" w:cstheme="minorEastAsia"/>
          <w:bCs/>
          <w:color w:val="auto"/>
          <w:szCs w:val="21"/>
          <w:highlight w:val="yellow"/>
        </w:rPr>
        <w:t>:202</w:t>
      </w:r>
      <w:r>
        <w:rPr>
          <w:rFonts w:hint="eastAsia" w:asciiTheme="minorEastAsia" w:hAnsiTheme="minorEastAsia" w:eastAsiaTheme="minorEastAsia" w:cstheme="minorEastAsia"/>
          <w:bCs/>
          <w:color w:val="auto"/>
          <w:szCs w:val="21"/>
          <w:highlight w:val="yellow"/>
          <w:lang w:val="en-US" w:eastAsia="zh-CN"/>
        </w:rPr>
        <w:t>5</w:t>
      </w:r>
      <w:r>
        <w:rPr>
          <w:rFonts w:hint="eastAsia" w:asciiTheme="minorEastAsia" w:hAnsiTheme="minorEastAsia" w:eastAsiaTheme="minorEastAsia" w:cstheme="minorEastAsia"/>
          <w:bCs/>
          <w:color w:val="auto"/>
          <w:szCs w:val="21"/>
          <w:highlight w:val="yellow"/>
        </w:rPr>
        <w:t>年</w:t>
      </w:r>
      <w:r>
        <w:rPr>
          <w:rFonts w:hint="eastAsia" w:asciiTheme="minorEastAsia" w:hAnsiTheme="minorEastAsia" w:eastAsiaTheme="minorEastAsia" w:cstheme="minorEastAsia"/>
          <w:bCs/>
          <w:color w:val="auto"/>
          <w:szCs w:val="21"/>
          <w:highlight w:val="yellow"/>
          <w:lang w:val="en-US" w:eastAsia="zh-CN"/>
        </w:rPr>
        <w:t>6</w:t>
      </w:r>
      <w:r>
        <w:rPr>
          <w:rFonts w:hint="eastAsia" w:asciiTheme="minorEastAsia" w:hAnsiTheme="minorEastAsia" w:eastAsiaTheme="minorEastAsia" w:cstheme="minorEastAsia"/>
          <w:bCs/>
          <w:color w:val="auto"/>
          <w:szCs w:val="21"/>
          <w:highlight w:val="yellow"/>
        </w:rPr>
        <w:t>月</w:t>
      </w:r>
      <w:r>
        <w:rPr>
          <w:rFonts w:hint="eastAsia" w:asciiTheme="minorEastAsia" w:hAnsiTheme="minorEastAsia" w:cstheme="minorEastAsia"/>
          <w:bCs/>
          <w:color w:val="auto"/>
          <w:szCs w:val="21"/>
          <w:highlight w:val="yellow"/>
          <w:lang w:val="en-US" w:eastAsia="zh-CN"/>
        </w:rPr>
        <w:t>13</w:t>
      </w:r>
      <w:r>
        <w:rPr>
          <w:rFonts w:hint="eastAsia" w:asciiTheme="minorEastAsia" w:hAnsiTheme="minorEastAsia" w:eastAsiaTheme="minorEastAsia" w:cstheme="minorEastAsia"/>
          <w:bCs/>
          <w:color w:val="auto"/>
          <w:szCs w:val="21"/>
          <w:highlight w:val="yellow"/>
        </w:rPr>
        <w:t>日上午9:00（北京时间）；</w:t>
      </w:r>
    </w:p>
    <w:p w14:paraId="7B3A46C0">
      <w:pPr>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2、开标时间:与响应文件递交截止时间为同一时间；</w:t>
      </w:r>
    </w:p>
    <w:p w14:paraId="1ED8176D">
      <w:pPr>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3、响应文件递交及开标地点:海口江东新区管理局；</w:t>
      </w:r>
    </w:p>
    <w:p w14:paraId="3D025F5B">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4、逾期未送达指定地点的响应文件，视为无效响应文件不予接收。</w:t>
      </w:r>
    </w:p>
    <w:p w14:paraId="599E8E66">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五、采购信息发布媒体</w:t>
      </w:r>
    </w:p>
    <w:p w14:paraId="5D2E7540">
      <w:pPr>
        <w:adjustRightInd w:val="0"/>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1、本项目采购信息指定发布媒体为海口江东新区管理局官网；</w:t>
      </w:r>
    </w:p>
    <w:p w14:paraId="3FF98D4E">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b w:val="0"/>
          <w:bCs/>
          <w:color w:val="auto"/>
          <w:sz w:val="21"/>
          <w:szCs w:val="21"/>
        </w:rPr>
        <w:t>有关本项目采购文件的补遗、澄清及变更信息以上述网站公告与下载为准，</w:t>
      </w:r>
      <w:r>
        <w:rPr>
          <w:rFonts w:hint="eastAsia" w:asciiTheme="minorEastAsia" w:hAnsiTheme="minorEastAsia" w:eastAsiaTheme="minorEastAsia" w:cstheme="minorEastAsia"/>
          <w:b w:val="0"/>
          <w:bCs/>
          <w:color w:val="auto"/>
          <w:sz w:val="21"/>
          <w:szCs w:val="21"/>
          <w:lang w:eastAsia="zh-CN"/>
        </w:rPr>
        <w:t>采购人</w:t>
      </w:r>
      <w:r>
        <w:rPr>
          <w:rFonts w:hint="eastAsia" w:asciiTheme="minorEastAsia" w:hAnsiTheme="minorEastAsia" w:eastAsiaTheme="minorEastAsia" w:cstheme="minorEastAsia"/>
          <w:b w:val="0"/>
          <w:bCs/>
          <w:color w:val="auto"/>
          <w:sz w:val="21"/>
          <w:szCs w:val="21"/>
        </w:rPr>
        <w:t>不再另行通知，采购文件与更正公告的内容相互矛盾时，以最后发出的更正公告内容为准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14:paraId="3E0B0BA9">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六、公告期限</w:t>
      </w:r>
    </w:p>
    <w:bookmarkEnd w:id="24"/>
    <w:bookmarkEnd w:id="25"/>
    <w:bookmarkEnd w:id="26"/>
    <w:bookmarkEnd w:id="27"/>
    <w:p w14:paraId="269649CE">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highlight w:val="yellow"/>
        </w:rPr>
      </w:pPr>
      <w:bookmarkStart w:id="28" w:name="_Toc35393626"/>
      <w:bookmarkStart w:id="29" w:name="_Toc35393795"/>
      <w:r>
        <w:rPr>
          <w:rFonts w:hint="eastAsia" w:asciiTheme="minorEastAsia" w:hAnsiTheme="minorEastAsia" w:eastAsiaTheme="minorEastAsia" w:cstheme="minorEastAsia"/>
          <w:bCs/>
          <w:color w:val="auto"/>
          <w:szCs w:val="21"/>
          <w:highlight w:val="yellow"/>
        </w:rPr>
        <w:t>本项目采购比选文件公告自本公告发布之日起不少于3个工作日，自202</w:t>
      </w:r>
      <w:r>
        <w:rPr>
          <w:rFonts w:hint="eastAsia" w:asciiTheme="minorEastAsia" w:hAnsiTheme="minorEastAsia" w:eastAsiaTheme="minorEastAsia" w:cstheme="minorEastAsia"/>
          <w:bCs/>
          <w:color w:val="auto"/>
          <w:szCs w:val="21"/>
          <w:highlight w:val="yellow"/>
          <w:lang w:val="en-US" w:eastAsia="zh-CN"/>
        </w:rPr>
        <w:t>5</w:t>
      </w:r>
      <w:r>
        <w:rPr>
          <w:rFonts w:hint="eastAsia" w:asciiTheme="minorEastAsia" w:hAnsiTheme="minorEastAsia" w:eastAsiaTheme="minorEastAsia" w:cstheme="minorEastAsia"/>
          <w:bCs/>
          <w:color w:val="auto"/>
          <w:szCs w:val="21"/>
          <w:highlight w:val="yellow"/>
        </w:rPr>
        <w:t>年</w:t>
      </w:r>
      <w:r>
        <w:rPr>
          <w:rFonts w:hint="eastAsia" w:asciiTheme="minorEastAsia" w:hAnsiTheme="minorEastAsia" w:eastAsiaTheme="minorEastAsia" w:cstheme="minorEastAsia"/>
          <w:bCs/>
          <w:color w:val="auto"/>
          <w:szCs w:val="21"/>
          <w:highlight w:val="yellow"/>
          <w:lang w:val="en-US" w:eastAsia="zh-CN"/>
        </w:rPr>
        <w:t>6</w:t>
      </w:r>
      <w:r>
        <w:rPr>
          <w:rFonts w:hint="eastAsia" w:asciiTheme="minorEastAsia" w:hAnsiTheme="minorEastAsia" w:eastAsiaTheme="minorEastAsia" w:cstheme="minorEastAsia"/>
          <w:bCs/>
          <w:color w:val="auto"/>
          <w:szCs w:val="21"/>
          <w:highlight w:val="yellow"/>
        </w:rPr>
        <w:t>月</w:t>
      </w:r>
      <w:r>
        <w:rPr>
          <w:rFonts w:hint="eastAsia" w:asciiTheme="minorEastAsia" w:hAnsiTheme="minorEastAsia" w:cstheme="minorEastAsia"/>
          <w:bCs/>
          <w:color w:val="auto"/>
          <w:szCs w:val="21"/>
          <w:highlight w:val="yellow"/>
          <w:lang w:val="en-US" w:eastAsia="zh-CN"/>
        </w:rPr>
        <w:t>10</w:t>
      </w:r>
      <w:r>
        <w:rPr>
          <w:rFonts w:hint="eastAsia" w:asciiTheme="minorEastAsia" w:hAnsiTheme="minorEastAsia" w:eastAsiaTheme="minorEastAsia" w:cstheme="minorEastAsia"/>
          <w:bCs/>
          <w:color w:val="auto"/>
          <w:szCs w:val="21"/>
          <w:highlight w:val="yellow"/>
        </w:rPr>
        <w:t>日零时起至202</w:t>
      </w:r>
      <w:r>
        <w:rPr>
          <w:rFonts w:hint="eastAsia" w:asciiTheme="minorEastAsia" w:hAnsiTheme="minorEastAsia" w:eastAsiaTheme="minorEastAsia" w:cstheme="minorEastAsia"/>
          <w:bCs/>
          <w:color w:val="auto"/>
          <w:szCs w:val="21"/>
          <w:highlight w:val="yellow"/>
          <w:lang w:val="en-US" w:eastAsia="zh-CN"/>
        </w:rPr>
        <w:t>5</w:t>
      </w:r>
      <w:r>
        <w:rPr>
          <w:rFonts w:hint="eastAsia" w:asciiTheme="minorEastAsia" w:hAnsiTheme="minorEastAsia" w:eastAsiaTheme="minorEastAsia" w:cstheme="minorEastAsia"/>
          <w:bCs/>
          <w:color w:val="auto"/>
          <w:szCs w:val="21"/>
          <w:highlight w:val="yellow"/>
        </w:rPr>
        <w:t>年</w:t>
      </w:r>
      <w:r>
        <w:rPr>
          <w:rFonts w:hint="eastAsia" w:asciiTheme="minorEastAsia" w:hAnsiTheme="minorEastAsia" w:eastAsiaTheme="minorEastAsia" w:cstheme="minorEastAsia"/>
          <w:bCs/>
          <w:color w:val="auto"/>
          <w:szCs w:val="21"/>
          <w:highlight w:val="yellow"/>
          <w:lang w:val="en-US" w:eastAsia="zh-CN"/>
        </w:rPr>
        <w:t>6</w:t>
      </w:r>
      <w:r>
        <w:rPr>
          <w:rFonts w:hint="eastAsia" w:asciiTheme="minorEastAsia" w:hAnsiTheme="minorEastAsia" w:eastAsiaTheme="minorEastAsia" w:cstheme="minorEastAsia"/>
          <w:bCs/>
          <w:color w:val="auto"/>
          <w:szCs w:val="21"/>
          <w:highlight w:val="yellow"/>
        </w:rPr>
        <w:t xml:space="preserve">月 </w:t>
      </w:r>
      <w:r>
        <w:rPr>
          <w:rFonts w:hint="eastAsia" w:asciiTheme="minorEastAsia" w:hAnsiTheme="minorEastAsia" w:cstheme="minorEastAsia"/>
          <w:bCs/>
          <w:color w:val="auto"/>
          <w:szCs w:val="21"/>
          <w:highlight w:val="yellow"/>
          <w:lang w:val="en-US" w:eastAsia="zh-CN"/>
        </w:rPr>
        <w:t>12</w:t>
      </w:r>
      <w:r>
        <w:rPr>
          <w:rFonts w:hint="eastAsia" w:asciiTheme="minorEastAsia" w:hAnsiTheme="minorEastAsia" w:eastAsiaTheme="minorEastAsia" w:cstheme="minorEastAsia"/>
          <w:bCs/>
          <w:color w:val="auto"/>
          <w:szCs w:val="21"/>
          <w:highlight w:val="yellow"/>
        </w:rPr>
        <w:t>日24时止。</w:t>
      </w:r>
    </w:p>
    <w:p w14:paraId="6F02604F">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七、其他补充事宜</w:t>
      </w:r>
      <w:bookmarkEnd w:id="28"/>
      <w:bookmarkEnd w:id="29"/>
      <w:r>
        <w:rPr>
          <w:rFonts w:hint="eastAsia" w:asciiTheme="minorEastAsia" w:hAnsiTheme="minorEastAsia" w:eastAsiaTheme="minorEastAsia" w:cstheme="minorEastAsia"/>
          <w:b/>
          <w:color w:val="auto"/>
          <w:szCs w:val="21"/>
          <w:highlight w:val="none"/>
        </w:rPr>
        <w:t>：无</w:t>
      </w:r>
    </w:p>
    <w:p w14:paraId="64ACDD93">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八、对本次招标提出询问，请按以下方式联系</w:t>
      </w:r>
      <w:bookmarkEnd w:id="20"/>
      <w:bookmarkEnd w:id="21"/>
      <w:bookmarkEnd w:id="22"/>
      <w:bookmarkEnd w:id="23"/>
    </w:p>
    <w:p w14:paraId="7EC95733">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名称：海口江东新区管理局</w:t>
      </w:r>
    </w:p>
    <w:p w14:paraId="016C4AC7">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地址：海口市美兰区江东大道</w:t>
      </w:r>
      <w:r>
        <w:rPr>
          <w:rFonts w:asciiTheme="minorEastAsia" w:hAnsiTheme="minorEastAsia" w:eastAsiaTheme="minorEastAsia" w:cstheme="minorEastAsia"/>
          <w:bCs/>
          <w:color w:val="auto"/>
          <w:szCs w:val="21"/>
          <w:highlight w:val="none"/>
        </w:rPr>
        <w:t>20</w:t>
      </w:r>
      <w:r>
        <w:rPr>
          <w:rFonts w:hint="eastAsia" w:asciiTheme="minorEastAsia" w:hAnsiTheme="minorEastAsia" w:eastAsiaTheme="minorEastAsia" w:cstheme="minorEastAsia"/>
          <w:bCs/>
          <w:color w:val="auto"/>
          <w:szCs w:val="21"/>
          <w:highlight w:val="none"/>
        </w:rPr>
        <w:t>2号江东发展大厦</w:t>
      </w:r>
    </w:p>
    <w:p w14:paraId="261B70FE">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联系人：</w:t>
      </w:r>
      <w:r>
        <w:rPr>
          <w:rFonts w:hint="eastAsia" w:asciiTheme="minorEastAsia" w:hAnsiTheme="minorEastAsia" w:eastAsiaTheme="minorEastAsia" w:cstheme="minorEastAsia"/>
          <w:bCs/>
          <w:color w:val="auto"/>
          <w:szCs w:val="21"/>
          <w:highlight w:val="none"/>
          <w:lang w:val="en-US" w:eastAsia="zh-CN"/>
        </w:rPr>
        <w:t>胡</w:t>
      </w:r>
      <w:r>
        <w:rPr>
          <w:rFonts w:hint="eastAsia" w:asciiTheme="minorEastAsia" w:hAnsiTheme="minorEastAsia" w:eastAsiaTheme="minorEastAsia" w:cstheme="minorEastAsia"/>
          <w:bCs/>
          <w:color w:val="auto"/>
          <w:szCs w:val="21"/>
          <w:highlight w:val="none"/>
        </w:rPr>
        <w:t>女士</w:t>
      </w:r>
    </w:p>
    <w:p w14:paraId="266D07F6">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rPr>
        <w:sectPr>
          <w:headerReference r:id="rId9" w:type="first"/>
          <w:footerReference r:id="rId11" w:type="first"/>
          <w:footerReference r:id="rId10"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联系方式： 089865686619</w:t>
      </w:r>
    </w:p>
    <w:p w14:paraId="531B590C">
      <w:pPr>
        <w:adjustRightInd w:val="0"/>
        <w:snapToGrid w:val="0"/>
        <w:spacing w:line="360" w:lineRule="auto"/>
        <w:ind w:firstLine="3162" w:firstLineChars="1500"/>
        <w:rPr>
          <w:rFonts w:hint="eastAsia" w:ascii="宋体" w:hAnsi="宋体" w:cs="宋体"/>
          <w:b/>
          <w:color w:val="auto"/>
          <w:szCs w:val="21"/>
          <w:highlight w:val="none"/>
        </w:rPr>
      </w:pPr>
      <w:r>
        <w:rPr>
          <w:rFonts w:hint="eastAsia" w:ascii="宋体" w:hAnsi="宋体" w:cs="宋体"/>
          <w:b/>
          <w:color w:val="auto"/>
          <w:szCs w:val="21"/>
          <w:highlight w:val="none"/>
        </w:rPr>
        <w:t>第二章  采购需求</w:t>
      </w:r>
    </w:p>
    <w:p w14:paraId="6555AB4F">
      <w:pPr>
        <w:pStyle w:val="10"/>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r>
        <w:rPr>
          <w:rFonts w:hint="eastAsia" w:asciiTheme="minorEastAsia" w:hAnsiTheme="minorEastAsia" w:eastAsiaTheme="minorEastAsia" w:cstheme="minorEastAsia"/>
          <w:b/>
          <w:color w:val="auto"/>
          <w:szCs w:val="21"/>
          <w:highlight w:val="none"/>
          <w:lang w:eastAsia="zh-CN"/>
        </w:rPr>
        <w:t>工作</w:t>
      </w:r>
      <w:r>
        <w:rPr>
          <w:rFonts w:hint="eastAsia" w:asciiTheme="minorEastAsia" w:hAnsiTheme="minorEastAsia" w:eastAsiaTheme="minorEastAsia" w:cstheme="minorEastAsia"/>
          <w:b/>
          <w:color w:val="auto"/>
          <w:szCs w:val="21"/>
          <w:highlight w:val="none"/>
        </w:rPr>
        <w:t>内容及</w:t>
      </w:r>
      <w:r>
        <w:rPr>
          <w:rFonts w:hint="eastAsia" w:asciiTheme="minorEastAsia" w:hAnsiTheme="minorEastAsia" w:eastAsiaTheme="minorEastAsia" w:cstheme="minorEastAsia"/>
          <w:b/>
          <w:color w:val="auto"/>
          <w:szCs w:val="21"/>
          <w:highlight w:val="none"/>
          <w:lang w:eastAsia="zh-CN"/>
        </w:rPr>
        <w:t>成果</w:t>
      </w:r>
      <w:r>
        <w:rPr>
          <w:rFonts w:hint="eastAsia" w:asciiTheme="minorEastAsia" w:hAnsiTheme="minorEastAsia" w:eastAsiaTheme="minorEastAsia" w:cstheme="minorEastAsia"/>
          <w:b/>
          <w:color w:val="auto"/>
          <w:szCs w:val="21"/>
          <w:highlight w:val="none"/>
        </w:rPr>
        <w:t>要求</w:t>
      </w:r>
    </w:p>
    <w:p w14:paraId="4D9DA6C9">
      <w:pPr>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结合《关于印发海南省城镇开发边界内控制性详细规划调整管理办法(试行)的通知》，</w:t>
      </w:r>
      <w:r>
        <w:rPr>
          <w:rFonts w:hint="eastAsia" w:asciiTheme="minorEastAsia" w:hAnsiTheme="minorEastAsia" w:eastAsiaTheme="minorEastAsia" w:cstheme="minorEastAsia"/>
          <w:bCs/>
          <w:color w:val="auto"/>
          <w:szCs w:val="21"/>
          <w:highlight w:val="none"/>
          <w:lang w:eastAsia="zh-CN"/>
        </w:rPr>
        <w:t>本次</w:t>
      </w:r>
      <w:r>
        <w:rPr>
          <w:rFonts w:hint="eastAsia" w:asciiTheme="minorEastAsia" w:hAnsiTheme="minorEastAsia" w:eastAsiaTheme="minorEastAsia" w:cstheme="minorEastAsia"/>
          <w:bCs/>
          <w:color w:val="auto"/>
          <w:szCs w:val="21"/>
          <w:highlight w:val="none"/>
        </w:rPr>
        <w:t>工作的主要内容包括：</w:t>
      </w:r>
    </w:p>
    <w:p w14:paraId="79B49718">
      <w:pPr>
        <w:snapToGrid w:val="0"/>
        <w:spacing w:line="400" w:lineRule="exact"/>
        <w:ind w:firstLine="420" w:firstLineChars="200"/>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1.1江东新区城镇开发边界内控规调整和独立地块单元控规编制。控规调整包括“重大调整”、“一般调整”及“技术修正”。其中，需组织专家评审会审议的“技术修正”计入宗数，不需组织专家评审会审议的“技术修正”不计入宗数。</w:t>
      </w:r>
    </w:p>
    <w:p w14:paraId="7C33F5DA">
      <w:pPr>
        <w:snapToGrid w:val="0"/>
        <w:spacing w:line="400" w:lineRule="exact"/>
        <w:ind w:firstLine="420" w:firstLine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1.2</w:t>
      </w:r>
      <w:r>
        <w:rPr>
          <w:rFonts w:hint="eastAsia" w:asciiTheme="minorEastAsia" w:hAnsiTheme="minorEastAsia" w:eastAsiaTheme="minorEastAsia" w:cstheme="minorEastAsia"/>
          <w:bCs/>
          <w:color w:val="auto"/>
          <w:szCs w:val="21"/>
          <w:highlight w:val="none"/>
        </w:rPr>
        <w:t>控规调整</w:t>
      </w:r>
      <w:r>
        <w:rPr>
          <w:rFonts w:hint="eastAsia" w:asciiTheme="minorEastAsia" w:hAnsiTheme="minorEastAsia" w:eastAsiaTheme="minorEastAsia" w:cstheme="minorEastAsia"/>
          <w:bCs/>
          <w:color w:val="auto"/>
          <w:szCs w:val="21"/>
          <w:highlight w:val="none"/>
          <w:lang w:val="en-US" w:eastAsia="zh-CN"/>
        </w:rPr>
        <w:t>项目成果</w:t>
      </w:r>
      <w:r>
        <w:rPr>
          <w:rFonts w:hint="eastAsia" w:asciiTheme="minorEastAsia" w:hAnsiTheme="minorEastAsia" w:eastAsiaTheme="minorEastAsia" w:cstheme="minorEastAsia"/>
          <w:bCs/>
          <w:color w:val="auto"/>
          <w:szCs w:val="21"/>
          <w:highlight w:val="none"/>
        </w:rPr>
        <w:t>图数审查，即控规调整批复后，负责对控规调整</w:t>
      </w:r>
      <w:r>
        <w:rPr>
          <w:rFonts w:hint="eastAsia" w:asciiTheme="minorEastAsia" w:hAnsiTheme="minorEastAsia" w:eastAsiaTheme="minorEastAsia" w:cstheme="minorEastAsia"/>
          <w:bCs/>
          <w:color w:val="auto"/>
          <w:szCs w:val="21"/>
          <w:highlight w:val="none"/>
          <w:lang w:val="en-US" w:eastAsia="zh-CN"/>
        </w:rPr>
        <w:t>项目</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含片区控规修编）</w:t>
      </w:r>
      <w:r>
        <w:rPr>
          <w:rFonts w:hint="eastAsia" w:asciiTheme="minorEastAsia" w:hAnsiTheme="minorEastAsia" w:eastAsiaTheme="minorEastAsia" w:cstheme="minorEastAsia"/>
          <w:bCs/>
          <w:color w:val="auto"/>
          <w:szCs w:val="21"/>
          <w:highlight w:val="none"/>
        </w:rPr>
        <w:t>编制单位提交的控规调整入库材料进行图数审查和质检，并指导其修改至材料图数一致且符合</w:t>
      </w:r>
      <w:r>
        <w:rPr>
          <w:rFonts w:hint="eastAsia" w:asciiTheme="minorEastAsia" w:hAnsiTheme="minorEastAsia" w:eastAsiaTheme="minorEastAsia" w:cstheme="minorEastAsia"/>
          <w:bCs/>
          <w:color w:val="auto"/>
          <w:szCs w:val="21"/>
          <w:highlight w:val="none"/>
          <w:lang w:val="en-US" w:eastAsia="zh-CN"/>
        </w:rPr>
        <w:t>录入海南省国土空间规划基础信息平台</w:t>
      </w:r>
      <w:r>
        <w:rPr>
          <w:rFonts w:hint="eastAsia" w:asciiTheme="minorEastAsia" w:hAnsiTheme="minorEastAsia" w:eastAsiaTheme="minorEastAsia" w:cstheme="minorEastAsia"/>
          <w:bCs/>
          <w:color w:val="auto"/>
          <w:szCs w:val="21"/>
          <w:highlight w:val="none"/>
        </w:rPr>
        <w:t>要求，出具校核报告</w:t>
      </w:r>
      <w:r>
        <w:rPr>
          <w:rFonts w:hint="eastAsia" w:asciiTheme="minorEastAsia" w:hAnsiTheme="minorEastAsia" w:eastAsiaTheme="minorEastAsia" w:cstheme="minorEastAsia"/>
          <w:bCs/>
          <w:color w:val="auto"/>
          <w:szCs w:val="21"/>
          <w:highlight w:val="none"/>
          <w:lang w:eastAsia="zh-CN"/>
        </w:rPr>
        <w:t>。</w:t>
      </w:r>
    </w:p>
    <w:p w14:paraId="3FF43729">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2.编制费用估算</w:t>
      </w:r>
    </w:p>
    <w:p w14:paraId="0C7A17EA">
      <w:pPr>
        <w:pStyle w:val="10"/>
        <w:adjustRightInd w:val="0"/>
        <w:snapToGrid w:val="0"/>
        <w:spacing w:line="400" w:lineRule="exact"/>
        <w:ind w:firstLine="420" w:firstLineChars="200"/>
        <w:jc w:val="left"/>
        <w:outlineLvl w:val="0"/>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rPr>
        <w:t>项目编制费用估算：1</w:t>
      </w:r>
      <w:r>
        <w:rPr>
          <w:rFonts w:hint="eastAsia" w:asciiTheme="minorEastAsia" w:hAnsiTheme="minorEastAsia" w:eastAsiaTheme="minorEastAsia" w:cstheme="minorEastAsia"/>
          <w:bCs/>
          <w:color w:val="auto"/>
          <w:szCs w:val="21"/>
          <w:highlight w:val="none"/>
          <w:lang w:val="en-US" w:eastAsia="zh-CN"/>
        </w:rPr>
        <w:t>60</w:t>
      </w:r>
      <w:r>
        <w:rPr>
          <w:rFonts w:hint="eastAsia" w:asciiTheme="minorEastAsia" w:hAnsiTheme="minorEastAsia" w:eastAsiaTheme="minorEastAsia" w:cstheme="minorEastAsia"/>
          <w:bCs/>
          <w:color w:val="auto"/>
          <w:szCs w:val="21"/>
          <w:highlight w:val="none"/>
        </w:rPr>
        <w:t>0000.00元。</w:t>
      </w:r>
      <w:r>
        <w:rPr>
          <w:rFonts w:hint="eastAsia" w:asciiTheme="minorEastAsia" w:hAnsiTheme="minorEastAsia" w:eastAsiaTheme="minorEastAsia" w:cstheme="minorEastAsia"/>
          <w:bCs/>
          <w:color w:val="auto"/>
          <w:szCs w:val="21"/>
          <w:highlight w:val="none"/>
          <w:lang w:val="en-US" w:eastAsia="zh-CN"/>
        </w:rPr>
        <w:t>其中，控规调整工作800000元，控规入库核查工作800000元。</w:t>
      </w:r>
    </w:p>
    <w:p w14:paraId="036E4989">
      <w:pPr>
        <w:pStyle w:val="10"/>
        <w:adjustRightInd w:val="0"/>
        <w:snapToGrid w:val="0"/>
        <w:spacing w:line="400" w:lineRule="exact"/>
        <w:ind w:firstLine="422" w:firstLineChars="200"/>
        <w:jc w:val="left"/>
        <w:outlineLvl w:val="0"/>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rPr>
        <w:t>3.</w:t>
      </w:r>
      <w:r>
        <w:rPr>
          <w:rFonts w:hint="eastAsia" w:asciiTheme="minorEastAsia" w:hAnsiTheme="minorEastAsia" w:eastAsiaTheme="minorEastAsia" w:cstheme="minorEastAsia"/>
          <w:b/>
          <w:color w:val="auto"/>
          <w:szCs w:val="21"/>
          <w:highlight w:val="none"/>
          <w:lang w:val="en-US" w:eastAsia="zh-CN"/>
        </w:rPr>
        <w:t>其他要求</w:t>
      </w:r>
    </w:p>
    <w:p w14:paraId="728DCEF3">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en-US" w:eastAsia="zh-CN"/>
        </w:rPr>
        <w:t>3.1</w:t>
      </w:r>
      <w:r>
        <w:rPr>
          <w:rFonts w:hint="eastAsia" w:asciiTheme="minorEastAsia" w:hAnsiTheme="minorEastAsia" w:eastAsiaTheme="minorEastAsia" w:cstheme="minorEastAsia"/>
          <w:bCs/>
          <w:color w:val="auto"/>
          <w:szCs w:val="21"/>
          <w:highlight w:val="none"/>
          <w:lang w:val="zh-CN"/>
        </w:rPr>
        <w:t>服务期：</w:t>
      </w:r>
    </w:p>
    <w:p w14:paraId="2F40C4E5">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自合同签订日起一年以内。</w:t>
      </w:r>
    </w:p>
    <w:p w14:paraId="0DDD096A">
      <w:pPr>
        <w:snapToGrid w:val="0"/>
        <w:spacing w:line="400" w:lineRule="exact"/>
        <w:ind w:firstLine="420" w:firstLineChars="200"/>
        <w:jc w:val="left"/>
        <w:rPr>
          <w:rFonts w:hint="default" w:eastAsiaTheme="minorEastAsia"/>
          <w:color w:val="auto"/>
          <w:highlight w:val="none"/>
          <w:lang w:val="en-US" w:eastAsia="zh-CN"/>
        </w:rPr>
      </w:pPr>
      <w:r>
        <w:rPr>
          <w:rFonts w:hint="eastAsia" w:eastAsiaTheme="minorEastAsia"/>
          <w:color w:val="auto"/>
          <w:highlight w:val="none"/>
          <w:lang w:val="en-US" w:eastAsia="zh-CN"/>
        </w:rPr>
        <w:t>若一年内未完成指定数量，则时间顺延至完成为止。</w:t>
      </w:r>
    </w:p>
    <w:p w14:paraId="5571DC3F">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en-US" w:eastAsia="zh-CN"/>
        </w:rPr>
        <w:t>3.2</w:t>
      </w:r>
      <w:r>
        <w:rPr>
          <w:rFonts w:hint="eastAsia" w:asciiTheme="minorEastAsia" w:hAnsiTheme="minorEastAsia" w:eastAsiaTheme="minorEastAsia" w:cstheme="minorEastAsia"/>
          <w:bCs/>
          <w:color w:val="auto"/>
          <w:szCs w:val="21"/>
          <w:highlight w:val="none"/>
          <w:lang w:val="zh-CN"/>
        </w:rPr>
        <w:t>交付地点：</w:t>
      </w:r>
    </w:p>
    <w:p w14:paraId="28474C0A">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en-US" w:eastAsia="zh-CN"/>
        </w:rPr>
        <w:t>采购人</w:t>
      </w:r>
      <w:r>
        <w:rPr>
          <w:rFonts w:hint="eastAsia" w:asciiTheme="minorEastAsia" w:hAnsiTheme="minorEastAsia" w:eastAsiaTheme="minorEastAsia" w:cstheme="minorEastAsia"/>
          <w:bCs/>
          <w:color w:val="auto"/>
          <w:szCs w:val="21"/>
          <w:highlight w:val="none"/>
          <w:lang w:val="zh-CN"/>
        </w:rPr>
        <w:t xml:space="preserve">指定地点。 </w:t>
      </w:r>
    </w:p>
    <w:p w14:paraId="4BCDD51A">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3.</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lang w:val="zh-CN"/>
        </w:rPr>
        <w:t>付款条件：</w:t>
      </w:r>
    </w:p>
    <w:p w14:paraId="15923CA5">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en-US" w:eastAsia="zh-CN"/>
        </w:rPr>
        <w:t>本合同签订后按项目完成数量比例分批次支付</w:t>
      </w:r>
      <w:r>
        <w:rPr>
          <w:rFonts w:hint="eastAsia" w:hAnsi="宋体" w:cs="宋体"/>
          <w:bCs/>
          <w:color w:val="auto"/>
          <w:szCs w:val="21"/>
          <w:highlight w:val="none"/>
        </w:rPr>
        <w:t>支付中标价款</w:t>
      </w:r>
      <w:r>
        <w:rPr>
          <w:rFonts w:hint="eastAsia" w:hAnsi="宋体" w:cs="宋体"/>
          <w:bCs/>
          <w:color w:val="auto"/>
          <w:szCs w:val="21"/>
          <w:highlight w:val="none"/>
          <w:lang w:eastAsia="zh-CN"/>
        </w:rPr>
        <w:t>，</w:t>
      </w:r>
      <w:r>
        <w:rPr>
          <w:rFonts w:hint="eastAsia" w:hAnsi="宋体" w:cs="宋体"/>
          <w:bCs/>
          <w:color w:val="auto"/>
          <w:szCs w:val="21"/>
          <w:highlight w:val="none"/>
          <w:lang w:val="en-US" w:eastAsia="zh-CN"/>
        </w:rPr>
        <w:t>其中，控规调整和独立地块单元控规编制工作以获得批复并录入</w:t>
      </w:r>
      <w:r>
        <w:rPr>
          <w:rFonts w:hint="eastAsia" w:asciiTheme="minorEastAsia" w:hAnsiTheme="minorEastAsia" w:eastAsiaTheme="minorEastAsia" w:cstheme="minorEastAsia"/>
          <w:bCs/>
          <w:color w:val="auto"/>
          <w:szCs w:val="21"/>
          <w:highlight w:val="none"/>
          <w:lang w:val="en-US" w:eastAsia="zh-CN"/>
        </w:rPr>
        <w:t>海南省国土空间规划基础信息平台为完成标准。</w:t>
      </w:r>
      <w:r>
        <w:rPr>
          <w:rFonts w:hint="eastAsia" w:asciiTheme="minorEastAsia" w:hAnsiTheme="minorEastAsia" w:eastAsiaTheme="minorEastAsia" w:cstheme="minorEastAsia"/>
          <w:bCs/>
          <w:color w:val="auto"/>
          <w:szCs w:val="21"/>
          <w:highlight w:val="none"/>
          <w:lang w:val="zh-CN"/>
        </w:rPr>
        <w:t>采购双方签订合同时另行约定。</w:t>
      </w:r>
    </w:p>
    <w:p w14:paraId="7FAABA8C">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en-US" w:eastAsia="zh-CN"/>
        </w:rPr>
        <w:t>3.4</w:t>
      </w:r>
      <w:r>
        <w:rPr>
          <w:rFonts w:hint="eastAsia" w:asciiTheme="minorEastAsia" w:hAnsiTheme="minorEastAsia" w:eastAsiaTheme="minorEastAsia" w:cstheme="minorEastAsia"/>
          <w:bCs/>
          <w:color w:val="auto"/>
          <w:szCs w:val="21"/>
          <w:highlight w:val="none"/>
          <w:lang w:val="zh-CN"/>
        </w:rPr>
        <w:t>验收要求：</w:t>
      </w:r>
    </w:p>
    <w:p w14:paraId="1F657780">
      <w:pPr>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按照国家有关标准、采购文件及投标文件的技术要求进行验收。</w:t>
      </w:r>
    </w:p>
    <w:p w14:paraId="312E2F10">
      <w:pPr>
        <w:snapToGrid w:val="0"/>
        <w:spacing w:line="400" w:lineRule="exact"/>
        <w:ind w:firstLine="420" w:firstLineChars="200"/>
        <w:jc w:val="left"/>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3.5有承担过规划调整入库材料审查工作的单位优先。</w:t>
      </w:r>
    </w:p>
    <w:p w14:paraId="33DE6BE6">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4</w:t>
      </w:r>
      <w:r>
        <w:rPr>
          <w:rFonts w:hint="eastAsia" w:asciiTheme="minorEastAsia" w:hAnsiTheme="minorEastAsia" w:eastAsiaTheme="minorEastAsia" w:cstheme="minorEastAsia"/>
          <w:b/>
          <w:color w:val="auto"/>
          <w:szCs w:val="21"/>
          <w:highlight w:val="none"/>
        </w:rPr>
        <w:t>.其他要求</w:t>
      </w:r>
    </w:p>
    <w:p w14:paraId="61A60F48">
      <w:pPr>
        <w:pStyle w:val="10"/>
        <w:adjustRightInd w:val="0"/>
        <w:snapToGrid w:val="0"/>
        <w:spacing w:line="400" w:lineRule="exact"/>
        <w:ind w:firstLine="420" w:firstLineChars="200"/>
        <w:jc w:val="left"/>
        <w:outlineLvl w:val="0"/>
        <w:rPr>
          <w:rFonts w:hint="eastAsia" w:hAnsi="宋体" w:cs="宋体"/>
          <w:bCs/>
          <w:color w:val="auto"/>
          <w:szCs w:val="21"/>
          <w:highlight w:val="none"/>
        </w:rPr>
      </w:pPr>
      <w:r>
        <w:rPr>
          <w:rFonts w:hint="eastAsia" w:hAnsi="宋体" w:cs="宋体"/>
          <w:bCs/>
          <w:color w:val="auto"/>
          <w:szCs w:val="21"/>
          <w:highlight w:val="none"/>
          <w:lang w:val="en-US" w:eastAsia="zh-CN"/>
        </w:rPr>
        <w:t>4.1</w:t>
      </w:r>
      <w:r>
        <w:rPr>
          <w:rFonts w:hint="eastAsia" w:hAnsi="宋体" w:cs="宋体"/>
          <w:bCs/>
          <w:color w:val="auto"/>
          <w:szCs w:val="21"/>
          <w:highlight w:val="none"/>
        </w:rPr>
        <w:t>若项目执行过程中出现成交供应商不按响应文件或合同内容要求执行，无法满足于项目排查要求、弄虚作假、降低质量标准、超过服务期限等行为，采购人有权终止合同，并报政府采购管理部门严肃处理。</w:t>
      </w:r>
    </w:p>
    <w:p w14:paraId="5DC92E1A">
      <w:pPr>
        <w:pStyle w:val="10"/>
        <w:adjustRightInd w:val="0"/>
        <w:snapToGrid w:val="0"/>
        <w:spacing w:line="400" w:lineRule="exact"/>
        <w:ind w:firstLine="420" w:firstLineChars="200"/>
        <w:jc w:val="left"/>
        <w:outlineLvl w:val="0"/>
        <w:rPr>
          <w:rFonts w:hint="eastAsia" w:hAnsi="宋体" w:cs="宋体"/>
          <w:bCs/>
          <w:color w:val="auto"/>
          <w:szCs w:val="21"/>
          <w:highlight w:val="none"/>
        </w:rPr>
      </w:pPr>
      <w:r>
        <w:rPr>
          <w:rFonts w:hint="eastAsia" w:hAnsi="宋体" w:cs="宋体"/>
          <w:bCs/>
          <w:color w:val="auto"/>
          <w:szCs w:val="21"/>
          <w:highlight w:val="none"/>
          <w:lang w:val="en-US" w:eastAsia="zh-CN"/>
        </w:rPr>
        <w:t>4.2</w:t>
      </w:r>
      <w:r>
        <w:rPr>
          <w:rFonts w:hint="eastAsia" w:hAnsi="宋体" w:cs="宋体"/>
          <w:bCs/>
          <w:color w:val="auto"/>
          <w:szCs w:val="21"/>
          <w:highlight w:val="none"/>
        </w:rPr>
        <w:t>具体服务内容与采购人沟通，以采购人意见为主。</w:t>
      </w:r>
    </w:p>
    <w:p w14:paraId="22FB5ECF">
      <w:pPr>
        <w:pStyle w:val="10"/>
        <w:adjustRightInd w:val="0"/>
        <w:spacing w:line="400" w:lineRule="exact"/>
        <w:jc w:val="left"/>
        <w:outlineLvl w:val="0"/>
        <w:rPr>
          <w:rFonts w:hint="eastAsia" w:hAnsi="宋体" w:cs="宋体"/>
          <w:bCs/>
          <w:color w:val="auto"/>
          <w:szCs w:val="21"/>
          <w:highlight w:val="none"/>
        </w:rPr>
        <w:sectPr>
          <w:footerReference r:id="rId12" w:type="default"/>
          <w:pgSz w:w="11906" w:h="16838"/>
          <w:pgMar w:top="1440" w:right="1800" w:bottom="1440" w:left="1800" w:header="794" w:footer="992" w:gutter="0"/>
          <w:cols w:space="425" w:num="1"/>
          <w:docGrid w:type="lines" w:linePitch="312" w:charSpace="0"/>
        </w:sectPr>
      </w:pPr>
    </w:p>
    <w:p w14:paraId="0F1155F9">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第三章  供应商须知</w:t>
      </w:r>
    </w:p>
    <w:p w14:paraId="7BD26B60">
      <w:pPr>
        <w:adjustRightInd w:val="0"/>
        <w:snapToGrid w:val="0"/>
        <w:spacing w:before="120" w:after="24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供应商须知前附表</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28F4A3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23737AC7">
            <w:pPr>
              <w:pStyle w:val="33"/>
              <w:snapToGrid w:val="0"/>
              <w:spacing w:line="360" w:lineRule="auto"/>
              <w:ind w:left="9"/>
              <w:jc w:val="center"/>
              <w:rPr>
                <w:rFonts w:hint="eastAsia" w:asciiTheme="minorEastAsia" w:hAnsiTheme="minorEastAsia" w:eastAsiaTheme="minorEastAsia" w:cstheme="minorEastAsia"/>
                <w:b/>
                <w:color w:val="auto"/>
                <w:sz w:val="21"/>
                <w:szCs w:val="21"/>
                <w:highlight w:val="none"/>
                <w:lang w:val="zh-CN"/>
              </w:rPr>
            </w:pPr>
            <w:bookmarkStart w:id="30" w:name="_Toc246826106"/>
            <w:r>
              <w:rPr>
                <w:rFonts w:hint="eastAsia" w:asciiTheme="minorEastAsia" w:hAnsiTheme="minorEastAsia" w:eastAsiaTheme="minorEastAsia" w:cstheme="minorEastAsia"/>
                <w:b/>
                <w:color w:val="auto"/>
                <w:sz w:val="21"/>
                <w:szCs w:val="21"/>
                <w:highlight w:val="none"/>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57B35D23">
            <w:pPr>
              <w:pStyle w:val="33"/>
              <w:snapToGrid w:val="0"/>
              <w:spacing w:line="360" w:lineRule="auto"/>
              <w:jc w:val="cente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47F4CF63">
            <w:pPr>
              <w:pStyle w:val="33"/>
              <w:snapToGrid w:val="0"/>
              <w:spacing w:line="360" w:lineRule="auto"/>
              <w:jc w:val="cente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说明和要求</w:t>
            </w:r>
          </w:p>
        </w:tc>
      </w:tr>
      <w:tr w14:paraId="6B3AC46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1E256AA4">
            <w:pPr>
              <w:pStyle w:val="33"/>
              <w:snapToGrid w:val="0"/>
              <w:spacing w:line="360" w:lineRule="auto"/>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4FC2E6FF">
            <w:pPr>
              <w:adjustRightInd w:val="0"/>
              <w:snapToGrid w:val="0"/>
              <w:spacing w:line="360" w:lineRule="auto"/>
              <w:ind w:left="105" w:leftChars="50"/>
              <w:rPr>
                <w:rFonts w:hint="eastAsia" w:asciiTheme="minorEastAsia" w:hAnsiTheme="minorEastAsia" w:eastAsiaTheme="minorEastAsia" w:cstheme="minorEastAsia"/>
                <w:bCs/>
                <w:color w:val="auto"/>
                <w:kern w:val="0"/>
                <w:szCs w:val="21"/>
                <w:highlight w:val="none"/>
                <w:lang w:val="zh-CN"/>
              </w:rPr>
            </w:pPr>
            <w:r>
              <w:rPr>
                <w:rFonts w:hint="eastAsia" w:asciiTheme="minorEastAsia" w:hAnsiTheme="minorEastAsia" w:eastAsiaTheme="minorEastAsia" w:cstheme="minorEastAsia"/>
                <w:bCs/>
                <w:color w:val="auto"/>
                <w:kern w:val="0"/>
                <w:szCs w:val="21"/>
                <w:highlight w:val="none"/>
                <w:lang w:val="zh-CN"/>
              </w:rPr>
              <w:t>有无带</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kern w:val="0"/>
                <w:szCs w:val="21"/>
                <w:highlight w:val="none"/>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075896AD">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zh-CN"/>
              </w:rPr>
              <w:t>有，</w:t>
            </w:r>
            <w:r>
              <w:rPr>
                <w:rFonts w:hint="eastAsia" w:asciiTheme="minorEastAsia" w:hAnsiTheme="minorEastAsia" w:eastAsiaTheme="minorEastAsia" w:cstheme="minorEastAsia"/>
                <w:bCs/>
                <w:color w:val="auto"/>
                <w:szCs w:val="21"/>
                <w:highlight w:val="none"/>
              </w:rPr>
              <w:t>带</w:t>
            </w:r>
            <w:r>
              <w:rPr>
                <w:rFonts w:hint="eastAsia" w:asciiTheme="minorEastAsia" w:hAnsiTheme="minorEastAsia" w:eastAsiaTheme="minorEastAsia" w:cstheme="minorEastAsia"/>
                <w:bCs/>
                <w:color w:val="auto"/>
                <w:szCs w:val="21"/>
                <w:highlight w:val="none"/>
                <w:lang w:val="zh-CN"/>
              </w:rPr>
              <w:t>★</w:t>
            </w:r>
            <w:r>
              <w:rPr>
                <w:rFonts w:hint="eastAsia" w:asciiTheme="minorEastAsia" w:hAnsiTheme="minorEastAsia" w:eastAsiaTheme="minorEastAsia" w:cstheme="minorEastAsia"/>
                <w:bCs/>
                <w:color w:val="auto"/>
                <w:szCs w:val="21"/>
                <w:highlight w:val="none"/>
              </w:rPr>
              <w:t>的是实质性要求，供应商</w:t>
            </w:r>
            <w:r>
              <w:rPr>
                <w:rFonts w:hint="eastAsia" w:asciiTheme="minorEastAsia" w:hAnsiTheme="minorEastAsia" w:eastAsiaTheme="minorEastAsia" w:cstheme="minorEastAsia"/>
                <w:bCs/>
                <w:color w:val="auto"/>
                <w:szCs w:val="21"/>
                <w:highlight w:val="none"/>
                <w:lang w:val="zh-CN"/>
              </w:rPr>
              <w:t>必须作出实质性响应满足或优于采购文件的要求，否则视为无效</w:t>
            </w:r>
            <w:r>
              <w:rPr>
                <w:rFonts w:hint="eastAsia" w:asciiTheme="minorEastAsia" w:hAnsiTheme="minorEastAsia" w:eastAsiaTheme="minorEastAsia" w:cstheme="minorEastAsia"/>
                <w:bCs/>
                <w:color w:val="auto"/>
                <w:szCs w:val="21"/>
                <w:highlight w:val="none"/>
              </w:rPr>
              <w:t>响应</w:t>
            </w:r>
            <w:r>
              <w:rPr>
                <w:rFonts w:hint="eastAsia" w:asciiTheme="minorEastAsia" w:hAnsiTheme="minorEastAsia" w:eastAsiaTheme="minorEastAsia" w:cstheme="minorEastAsia"/>
                <w:bCs/>
                <w:color w:val="auto"/>
                <w:szCs w:val="21"/>
                <w:highlight w:val="none"/>
                <w:lang w:val="zh-CN"/>
              </w:rPr>
              <w:t>。</w:t>
            </w:r>
          </w:p>
        </w:tc>
      </w:tr>
      <w:tr w14:paraId="3109DF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0CA30C3E">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544C3C45">
            <w:pPr>
              <w:adjustRightInd w:val="0"/>
              <w:snapToGrid w:val="0"/>
              <w:spacing w:line="360" w:lineRule="auto"/>
              <w:ind w:left="105" w:leftChars="5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34846909">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不组织</w:t>
            </w:r>
          </w:p>
        </w:tc>
      </w:tr>
      <w:tr w14:paraId="317C2E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03CD4607">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642F7493">
            <w:pPr>
              <w:pStyle w:val="33"/>
              <w:snapToGrid w:val="0"/>
              <w:spacing w:line="360" w:lineRule="auto"/>
              <w:ind w:left="105" w:leftChars="50"/>
              <w:jc w:val="both"/>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149345F1">
            <w:pPr>
              <w:adjustRightInd w:val="0"/>
              <w:snapToGrid w:val="0"/>
              <w:spacing w:line="360" w:lineRule="auto"/>
              <w:ind w:left="105" w:leftChars="50"/>
              <w:rPr>
                <w:rFonts w:hint="eastAsia" w:asciiTheme="minorEastAsia" w:hAnsiTheme="minorEastAsia" w:eastAsiaTheme="minorEastAsia" w:cstheme="minorEastAsia"/>
                <w:bCs/>
                <w:color w:val="auto"/>
                <w:kern w:val="0"/>
                <w:szCs w:val="21"/>
                <w:highlight w:val="none"/>
                <w:lang w:val="zh-CN"/>
              </w:rPr>
            </w:pPr>
            <w:r>
              <w:rPr>
                <w:rFonts w:hint="eastAsia" w:asciiTheme="minorEastAsia" w:hAnsiTheme="minorEastAsia" w:eastAsiaTheme="minorEastAsia" w:cstheme="minorEastAsia"/>
                <w:bCs/>
                <w:color w:val="auto"/>
                <w:szCs w:val="21"/>
                <w:highlight w:val="none"/>
              </w:rPr>
              <w:t>无</w:t>
            </w:r>
          </w:p>
        </w:tc>
      </w:tr>
      <w:tr w14:paraId="69C72F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42F4262C">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5</w:t>
            </w:r>
          </w:p>
        </w:tc>
        <w:tc>
          <w:tcPr>
            <w:tcW w:w="2435" w:type="dxa"/>
            <w:tcBorders>
              <w:top w:val="single" w:color="auto" w:sz="8" w:space="0"/>
              <w:left w:val="single" w:color="auto" w:sz="4" w:space="0"/>
              <w:bottom w:val="single" w:color="auto" w:sz="8" w:space="0"/>
              <w:right w:val="single" w:color="auto" w:sz="8" w:space="0"/>
            </w:tcBorders>
            <w:vAlign w:val="center"/>
          </w:tcPr>
          <w:p w14:paraId="22CEB7A0">
            <w:pPr>
              <w:pStyle w:val="33"/>
              <w:snapToGrid w:val="0"/>
              <w:spacing w:line="360" w:lineRule="auto"/>
              <w:ind w:left="105" w:leftChars="5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74858E4D">
            <w:pPr>
              <w:widowControl/>
              <w:tabs>
                <w:tab w:val="left" w:pos="425"/>
              </w:tabs>
              <w:spacing w:line="360" w:lineRule="auto"/>
              <w:ind w:left="210" w:leftChars="100"/>
              <w:jc w:val="left"/>
              <w:rPr>
                <w:rFonts w:hint="eastAsia" w:asciiTheme="minorEastAsia" w:hAnsiTheme="minorEastAsia" w:eastAsiaTheme="minorEastAsia" w:cstheme="minorEastAsia"/>
                <w:bCs/>
                <w:color w:val="auto"/>
                <w:szCs w:val="21"/>
                <w:highlight w:val="none"/>
              </w:rPr>
            </w:pPr>
            <w:r>
              <w:rPr>
                <w:rFonts w:hint="eastAsia" w:ascii="宋体" w:hAnsi="宋体" w:cs="宋体"/>
                <w:bCs/>
                <w:color w:val="auto"/>
                <w:kern w:val="0"/>
                <w:szCs w:val="21"/>
                <w:highlight w:val="none"/>
                <w:lang w:val="zh-CN"/>
              </w:rPr>
              <w:t>不接受</w:t>
            </w:r>
          </w:p>
        </w:tc>
      </w:tr>
      <w:tr w14:paraId="73BED4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09897D61">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6</w:t>
            </w:r>
          </w:p>
        </w:tc>
        <w:tc>
          <w:tcPr>
            <w:tcW w:w="2435" w:type="dxa"/>
            <w:tcBorders>
              <w:top w:val="single" w:color="auto" w:sz="8" w:space="0"/>
              <w:left w:val="single" w:color="auto" w:sz="4" w:space="0"/>
              <w:bottom w:val="single" w:color="auto" w:sz="8" w:space="0"/>
              <w:right w:val="single" w:color="auto" w:sz="8" w:space="0"/>
            </w:tcBorders>
            <w:vAlign w:val="center"/>
          </w:tcPr>
          <w:p w14:paraId="3CC0A44A">
            <w:pPr>
              <w:pStyle w:val="33"/>
              <w:snapToGrid w:val="0"/>
              <w:spacing w:line="360" w:lineRule="auto"/>
              <w:ind w:left="105" w:leftChars="5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03544121">
            <w:pPr>
              <w:widowControl/>
              <w:tabs>
                <w:tab w:val="left" w:pos="425"/>
              </w:tabs>
              <w:spacing w:line="360" w:lineRule="auto"/>
              <w:ind w:left="210" w:leftChars="100"/>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zh-CN"/>
              </w:rPr>
              <w:t>、</w:t>
            </w:r>
            <w:r>
              <w:rPr>
                <w:rFonts w:hint="eastAsia" w:ascii="宋体" w:hAnsi="宋体" w:cs="宋体"/>
                <w:bCs/>
                <w:color w:val="auto"/>
                <w:kern w:val="0"/>
                <w:szCs w:val="21"/>
                <w:highlight w:val="none"/>
              </w:rPr>
              <w:t>响应</w:t>
            </w:r>
            <w:r>
              <w:rPr>
                <w:rFonts w:hint="eastAsia" w:ascii="宋体" w:hAnsi="宋体" w:cs="宋体"/>
                <w:bCs/>
                <w:color w:val="auto"/>
                <w:kern w:val="0"/>
                <w:szCs w:val="21"/>
                <w:highlight w:val="none"/>
                <w:lang w:val="zh-CN"/>
              </w:rPr>
              <w:t>声明函；</w:t>
            </w:r>
          </w:p>
          <w:p w14:paraId="2FDB7964">
            <w:pPr>
              <w:widowControl/>
              <w:tabs>
                <w:tab w:val="left" w:pos="425"/>
              </w:tabs>
              <w:spacing w:line="360" w:lineRule="auto"/>
              <w:ind w:left="210" w:leftChars="100"/>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2、法定代表人授权委托书（提供委托代理人的身份证复印件，非中国国籍的则提供护照复印件）（非法定代表人签署响应文件适用）；</w:t>
            </w:r>
          </w:p>
          <w:p w14:paraId="145933EE">
            <w:pPr>
              <w:widowControl/>
              <w:tabs>
                <w:tab w:val="left" w:pos="425"/>
              </w:tabs>
              <w:spacing w:line="360" w:lineRule="auto"/>
              <w:ind w:left="210" w:leftChars="100"/>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3、法定代表人身份证明书（提供法定代表人身份证复印件，非中国国籍的则提供护照复印件）；</w:t>
            </w:r>
          </w:p>
          <w:p w14:paraId="62B27213">
            <w:pPr>
              <w:widowControl/>
              <w:tabs>
                <w:tab w:val="left" w:pos="425"/>
              </w:tabs>
              <w:snapToGrid w:val="0"/>
              <w:spacing w:line="360" w:lineRule="auto"/>
              <w:ind w:left="210" w:leftChars="1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4、提供营业执照副本、或事业单位法人证书（事业单位）、或执业许可证（非企业专业服务机构）的复印件；如果供应商为自然人的则提供身份证复印件；</w:t>
            </w:r>
          </w:p>
          <w:p w14:paraId="0A944068">
            <w:pPr>
              <w:widowControl/>
              <w:tabs>
                <w:tab w:val="left" w:pos="425"/>
              </w:tabs>
              <w:snapToGrid w:val="0"/>
              <w:spacing w:line="360" w:lineRule="auto"/>
              <w:ind w:left="210" w:leftChars="1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5、</w:t>
            </w:r>
            <w:r>
              <w:rPr>
                <w:rFonts w:hint="eastAsia" w:asciiTheme="minorEastAsia" w:hAnsiTheme="minorEastAsia" w:eastAsiaTheme="minorEastAsia" w:cstheme="minorEastAsia"/>
                <w:bCs/>
                <w:color w:val="auto"/>
                <w:kern w:val="0"/>
                <w:szCs w:val="21"/>
                <w:highlight w:val="none"/>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14:paraId="17835354">
            <w:pPr>
              <w:widowControl/>
              <w:tabs>
                <w:tab w:val="left" w:pos="425"/>
              </w:tabs>
              <w:snapToGrid w:val="0"/>
              <w:spacing w:line="360" w:lineRule="auto"/>
              <w:ind w:left="210" w:leftChars="1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rPr>
              <w:t>6</w:t>
            </w:r>
            <w:r>
              <w:rPr>
                <w:rFonts w:hint="eastAsia" w:ascii="宋体" w:hAnsi="宋体" w:cs="宋体"/>
                <w:bCs/>
                <w:color w:val="auto"/>
                <w:kern w:val="0"/>
                <w:szCs w:val="21"/>
                <w:highlight w:val="none"/>
                <w:lang w:val="zh-CN"/>
              </w:rPr>
              <w:t>、资格审查及符合性审查要求提供的其他资料（详见资格审查表及符合性审查表要求）；</w:t>
            </w:r>
          </w:p>
          <w:p w14:paraId="6140C54B">
            <w:pPr>
              <w:widowControl/>
              <w:tabs>
                <w:tab w:val="left" w:pos="425"/>
              </w:tabs>
              <w:snapToGrid w:val="0"/>
              <w:spacing w:line="360" w:lineRule="auto"/>
              <w:ind w:left="210" w:leftChars="1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rPr>
              <w:t>7</w:t>
            </w:r>
            <w:r>
              <w:rPr>
                <w:rFonts w:hint="eastAsia" w:ascii="宋体" w:hAnsi="宋体" w:cs="宋体"/>
                <w:bCs/>
                <w:color w:val="auto"/>
                <w:kern w:val="0"/>
                <w:szCs w:val="21"/>
                <w:highlight w:val="none"/>
                <w:lang w:val="zh-CN"/>
              </w:rPr>
              <w:t>、评审标准要求提供的其他资料（详见评审细则要求）；</w:t>
            </w:r>
          </w:p>
          <w:p w14:paraId="66B44D59">
            <w:pPr>
              <w:adjustRightInd w:val="0"/>
              <w:snapToGrid w:val="0"/>
              <w:spacing w:line="360" w:lineRule="auto"/>
              <w:ind w:left="210" w:leftChars="100"/>
              <w:jc w:val="left"/>
              <w:rPr>
                <w:rFonts w:hint="eastAsia" w:asciiTheme="minorEastAsia" w:hAnsiTheme="minorEastAsia" w:eastAsiaTheme="minorEastAsia" w:cstheme="minorEastAsia"/>
                <w:bCs/>
                <w:color w:val="auto"/>
                <w:kern w:val="0"/>
                <w:szCs w:val="21"/>
                <w:highlight w:val="none"/>
                <w:lang w:val="zh-CN"/>
              </w:rPr>
            </w:pPr>
            <w:r>
              <w:rPr>
                <w:rFonts w:hint="eastAsia" w:ascii="宋体" w:hAnsi="宋体" w:cs="宋体"/>
                <w:bCs/>
                <w:color w:val="auto"/>
                <w:kern w:val="0"/>
                <w:szCs w:val="21"/>
                <w:highlight w:val="none"/>
              </w:rPr>
              <w:t>8</w:t>
            </w:r>
            <w:r>
              <w:rPr>
                <w:rFonts w:hint="eastAsia" w:ascii="宋体" w:hAnsi="宋体" w:cs="宋体"/>
                <w:bCs/>
                <w:color w:val="auto"/>
                <w:kern w:val="0"/>
                <w:szCs w:val="21"/>
                <w:highlight w:val="none"/>
                <w:lang w:val="zh-CN"/>
              </w:rPr>
              <w:t>、供应商认为需要提供的其他资格证明文件和商务资料。</w:t>
            </w:r>
          </w:p>
        </w:tc>
      </w:tr>
      <w:tr w14:paraId="5691A1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4C5286F2">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7</w:t>
            </w:r>
          </w:p>
        </w:tc>
        <w:tc>
          <w:tcPr>
            <w:tcW w:w="2435" w:type="dxa"/>
            <w:tcBorders>
              <w:top w:val="single" w:color="auto" w:sz="8" w:space="0"/>
              <w:left w:val="single" w:color="auto" w:sz="4" w:space="0"/>
              <w:bottom w:val="single" w:color="auto" w:sz="8" w:space="0"/>
              <w:right w:val="single" w:color="auto" w:sz="8" w:space="0"/>
            </w:tcBorders>
            <w:vAlign w:val="center"/>
          </w:tcPr>
          <w:p w14:paraId="6DB507E7">
            <w:pPr>
              <w:adjustRightInd w:val="0"/>
              <w:snapToGrid w:val="0"/>
              <w:spacing w:line="360" w:lineRule="auto"/>
              <w:ind w:left="105" w:leftChars="5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zh-CN"/>
              </w:rPr>
              <w:t>本项目要求供应商</w:t>
            </w:r>
            <w:r>
              <w:rPr>
                <w:rFonts w:hint="eastAsia" w:asciiTheme="minorEastAsia" w:hAnsiTheme="minorEastAsia" w:eastAsiaTheme="minorEastAsia" w:cstheme="minorEastAsia"/>
                <w:bCs/>
                <w:color w:val="auto"/>
                <w:kern w:val="0"/>
                <w:szCs w:val="21"/>
                <w:highlight w:val="none"/>
                <w:lang w:val="zh-CN"/>
              </w:rPr>
              <w:t>提供的</w:t>
            </w:r>
            <w:r>
              <w:rPr>
                <w:rFonts w:hint="eastAsia" w:asciiTheme="minorEastAsia" w:hAnsiTheme="minorEastAsia" w:eastAsiaTheme="minorEastAsia" w:cstheme="minorEastAsia"/>
                <w:bCs/>
                <w:color w:val="auto"/>
                <w:kern w:val="0"/>
                <w:szCs w:val="21"/>
                <w:highlight w:val="none"/>
              </w:rPr>
              <w:t>响应</w:t>
            </w:r>
            <w:r>
              <w:rPr>
                <w:rFonts w:hint="eastAsia" w:asciiTheme="minorEastAsia" w:hAnsiTheme="minorEastAsia" w:eastAsiaTheme="minorEastAsia" w:cstheme="minorEastAsia"/>
                <w:bCs/>
                <w:color w:val="auto"/>
                <w:szCs w:val="21"/>
                <w:highlight w:val="none"/>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7C006B11">
            <w:pPr>
              <w:adjustRightInd w:val="0"/>
              <w:snapToGrid w:val="0"/>
              <w:spacing w:line="360" w:lineRule="auto"/>
              <w:ind w:left="105" w:leftChars="50"/>
              <w:rPr>
                <w:rFonts w:hint="eastAsia" w:asciiTheme="minorEastAsia" w:hAnsiTheme="minorEastAsia" w:eastAsiaTheme="minorEastAsia" w:cstheme="minorEastAsia"/>
                <w:bCs/>
                <w:color w:val="auto"/>
                <w:kern w:val="0"/>
                <w:szCs w:val="21"/>
                <w:highlight w:val="none"/>
                <w:lang w:val="zh-CN"/>
              </w:rPr>
            </w:pPr>
            <w:r>
              <w:rPr>
                <w:rFonts w:hint="eastAsia" w:asciiTheme="minorEastAsia" w:hAnsiTheme="minorEastAsia" w:eastAsiaTheme="minorEastAsia" w:cstheme="minorEastAsia"/>
                <w:bCs/>
                <w:color w:val="auto"/>
                <w:kern w:val="0"/>
                <w:szCs w:val="21"/>
                <w:highlight w:val="none"/>
              </w:rPr>
              <w:t>1、</w:t>
            </w:r>
            <w:r>
              <w:rPr>
                <w:rFonts w:hint="eastAsia" w:asciiTheme="minorEastAsia" w:hAnsiTheme="minorEastAsia" w:eastAsiaTheme="minorEastAsia" w:cstheme="minorEastAsia"/>
                <w:bCs/>
                <w:color w:val="auto"/>
                <w:kern w:val="0"/>
                <w:szCs w:val="21"/>
                <w:highlight w:val="none"/>
                <w:lang w:val="zh-CN"/>
              </w:rPr>
              <w:t>开标一览表</w:t>
            </w:r>
          </w:p>
          <w:p w14:paraId="42BFCA3B">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kern w:val="0"/>
                <w:szCs w:val="21"/>
                <w:highlight w:val="none"/>
              </w:rPr>
              <w:t>2、响应</w:t>
            </w:r>
            <w:r>
              <w:rPr>
                <w:rFonts w:hint="eastAsia" w:asciiTheme="minorEastAsia" w:hAnsiTheme="minorEastAsia" w:eastAsiaTheme="minorEastAsia" w:cstheme="minorEastAsia"/>
                <w:bCs/>
                <w:color w:val="auto"/>
                <w:kern w:val="0"/>
                <w:szCs w:val="21"/>
                <w:highlight w:val="none"/>
                <w:lang w:val="zh-CN"/>
              </w:rPr>
              <w:t>报价明细表</w:t>
            </w:r>
          </w:p>
        </w:tc>
      </w:tr>
      <w:tr w14:paraId="3E01D7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65D60814">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8</w:t>
            </w:r>
          </w:p>
        </w:tc>
        <w:tc>
          <w:tcPr>
            <w:tcW w:w="2435" w:type="dxa"/>
            <w:tcBorders>
              <w:top w:val="single" w:color="auto" w:sz="8" w:space="0"/>
              <w:left w:val="single" w:color="auto" w:sz="4" w:space="0"/>
              <w:bottom w:val="single" w:color="auto" w:sz="8" w:space="0"/>
              <w:right w:val="single" w:color="auto" w:sz="8" w:space="0"/>
            </w:tcBorders>
            <w:vAlign w:val="center"/>
          </w:tcPr>
          <w:p w14:paraId="6D13860F">
            <w:pPr>
              <w:pStyle w:val="33"/>
              <w:snapToGrid w:val="0"/>
              <w:spacing w:line="360" w:lineRule="auto"/>
              <w:ind w:left="105" w:leftChars="50"/>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响应</w:t>
            </w:r>
            <w:r>
              <w:rPr>
                <w:rFonts w:hint="eastAsia" w:asciiTheme="minorEastAsia" w:hAnsiTheme="minorEastAsia" w:eastAsiaTheme="minorEastAsia" w:cstheme="minorEastAsia"/>
                <w:bCs/>
                <w:color w:val="auto"/>
                <w:sz w:val="21"/>
                <w:szCs w:val="21"/>
                <w:highlight w:val="none"/>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40729108">
            <w:pPr>
              <w:pStyle w:val="33"/>
              <w:snapToGrid w:val="0"/>
              <w:spacing w:line="360" w:lineRule="auto"/>
              <w:ind w:left="105" w:leftChars="50"/>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自响应文件递交截止之日起90天。</w:t>
            </w:r>
          </w:p>
        </w:tc>
      </w:tr>
      <w:tr w14:paraId="687C37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6EFC5B3E">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9</w:t>
            </w:r>
          </w:p>
        </w:tc>
        <w:tc>
          <w:tcPr>
            <w:tcW w:w="2435" w:type="dxa"/>
            <w:tcBorders>
              <w:top w:val="single" w:color="auto" w:sz="8" w:space="0"/>
              <w:left w:val="single" w:color="auto" w:sz="4" w:space="0"/>
              <w:bottom w:val="single" w:color="auto" w:sz="8" w:space="0"/>
              <w:right w:val="single" w:color="auto" w:sz="8" w:space="0"/>
            </w:tcBorders>
            <w:vAlign w:val="center"/>
          </w:tcPr>
          <w:p w14:paraId="31780477">
            <w:pPr>
              <w:pStyle w:val="33"/>
              <w:snapToGrid w:val="0"/>
              <w:spacing w:line="360" w:lineRule="auto"/>
              <w:ind w:left="105" w:leftChars="50"/>
              <w:rPr>
                <w:rFonts w:hint="eastAsia"/>
                <w:bCs/>
                <w:color w:val="auto"/>
                <w:kern w:val="2"/>
                <w:sz w:val="21"/>
                <w:szCs w:val="21"/>
                <w:highlight w:val="none"/>
              </w:rPr>
            </w:pPr>
            <w:r>
              <w:rPr>
                <w:rFonts w:hint="eastAsia"/>
                <w:bCs/>
                <w:color w:val="auto"/>
                <w:kern w:val="2"/>
                <w:sz w:val="21"/>
                <w:szCs w:val="21"/>
                <w:highlight w:val="none"/>
                <w:lang w:val="zh-CN"/>
              </w:rPr>
              <w:t>响应保证金</w:t>
            </w:r>
            <w:r>
              <w:rPr>
                <w:rFonts w:hint="eastAsia"/>
                <w:bCs/>
                <w:color w:val="auto"/>
                <w:kern w:val="2"/>
                <w:sz w:val="21"/>
                <w:szCs w:val="21"/>
                <w:highlight w:val="none"/>
              </w:rPr>
              <w:t>要求</w:t>
            </w:r>
          </w:p>
          <w:p w14:paraId="7F778955">
            <w:pPr>
              <w:pStyle w:val="33"/>
              <w:snapToGrid w:val="0"/>
              <w:spacing w:line="360" w:lineRule="auto"/>
              <w:ind w:left="105" w:leftChars="50"/>
              <w:rPr>
                <w:rFonts w:hint="eastAsia"/>
                <w:bCs/>
                <w:color w:val="auto"/>
                <w:kern w:val="2"/>
                <w:sz w:val="21"/>
                <w:szCs w:val="21"/>
                <w:highlight w:val="none"/>
              </w:rPr>
            </w:pPr>
          </w:p>
        </w:tc>
        <w:tc>
          <w:tcPr>
            <w:tcW w:w="5220" w:type="dxa"/>
            <w:tcBorders>
              <w:top w:val="single" w:color="auto" w:sz="8" w:space="0"/>
              <w:left w:val="single" w:color="auto" w:sz="8" w:space="0"/>
              <w:bottom w:val="single" w:color="auto" w:sz="8" w:space="0"/>
              <w:right w:val="single" w:color="auto" w:sz="18" w:space="0"/>
            </w:tcBorders>
            <w:vAlign w:val="center"/>
          </w:tcPr>
          <w:p w14:paraId="2BFB4C8C">
            <w:pPr>
              <w:pStyle w:val="7"/>
              <w:adjustRightInd w:val="0"/>
              <w:snapToGrid w:val="0"/>
              <w:spacing w:line="360" w:lineRule="auto"/>
              <w:ind w:left="105" w:leftChars="50" w:firstLine="420" w:firstLineChars="200"/>
              <w:rPr>
                <w:rFonts w:hint="eastAsia" w:asciiTheme="minorEastAsia" w:hAnsiTheme="minorEastAsia" w:cstheme="minorEastAsia"/>
                <w:bCs/>
                <w:color w:val="auto"/>
                <w:szCs w:val="21"/>
                <w:highlight w:val="none"/>
              </w:rPr>
            </w:pPr>
            <w:r>
              <w:rPr>
                <w:rFonts w:hint="eastAsia" w:ascii="宋体" w:hAnsi="宋体" w:cs="宋体"/>
                <w:bCs/>
                <w:color w:val="auto"/>
                <w:szCs w:val="21"/>
                <w:highlight w:val="none"/>
              </w:rPr>
              <w:t>本项目不收取保证金</w:t>
            </w:r>
          </w:p>
        </w:tc>
      </w:tr>
      <w:tr w14:paraId="78ACD1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036CDB2F">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w:t>
            </w:r>
          </w:p>
        </w:tc>
        <w:tc>
          <w:tcPr>
            <w:tcW w:w="2435" w:type="dxa"/>
            <w:tcBorders>
              <w:top w:val="single" w:color="auto" w:sz="8" w:space="0"/>
              <w:left w:val="single" w:color="auto" w:sz="4" w:space="0"/>
              <w:bottom w:val="single" w:color="auto" w:sz="8" w:space="0"/>
              <w:right w:val="single" w:color="auto" w:sz="8" w:space="0"/>
            </w:tcBorders>
            <w:vAlign w:val="center"/>
          </w:tcPr>
          <w:p w14:paraId="51FE5200">
            <w:pPr>
              <w:pStyle w:val="33"/>
              <w:snapToGrid w:val="0"/>
              <w:spacing w:line="360" w:lineRule="auto"/>
              <w:ind w:left="105" w:leftChars="5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响应</w:t>
            </w:r>
            <w:r>
              <w:rPr>
                <w:rFonts w:hint="eastAsia" w:asciiTheme="minorEastAsia" w:hAnsiTheme="minorEastAsia" w:eastAsiaTheme="minorEastAsia" w:cstheme="minorEastAsia"/>
                <w:bCs/>
                <w:color w:val="auto"/>
                <w:sz w:val="21"/>
                <w:szCs w:val="21"/>
                <w:highlight w:val="none"/>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3F5FEFD8">
            <w:pPr>
              <w:pStyle w:val="7"/>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 1 \* GB3 \* MERGEFORMAT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rPr>
              <w:t>①</w:t>
            </w:r>
            <w:r>
              <w:rPr>
                <w:rFonts w:hint="eastAsia" w:asciiTheme="minorEastAsia" w:hAnsiTheme="minorEastAsia" w:eastAsiaTheme="minorEastAsia" w:cstheme="minorEastAsia"/>
                <w:bCs/>
                <w:color w:val="auto"/>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正本</w:t>
            </w:r>
            <w:r>
              <w:rPr>
                <w:rFonts w:hint="eastAsia" w:asciiTheme="minorEastAsia" w:hAnsiTheme="minorEastAsia" w:eastAsiaTheme="minorEastAsia" w:cstheme="minorEastAsia"/>
                <w:bCs/>
                <w:color w:val="auto"/>
                <w:szCs w:val="21"/>
                <w:highlight w:val="none"/>
                <w:u w:val="single"/>
                <w:lang w:val="zh-CN"/>
              </w:rPr>
              <w:t xml:space="preserve"> 壹 </w:t>
            </w:r>
            <w:r>
              <w:rPr>
                <w:rFonts w:hint="eastAsia" w:asciiTheme="minorEastAsia" w:hAnsiTheme="minorEastAsia" w:eastAsiaTheme="minorEastAsia" w:cstheme="minorEastAsia"/>
                <w:bCs/>
                <w:color w:val="auto"/>
                <w:szCs w:val="21"/>
                <w:highlight w:val="none"/>
                <w:lang w:val="zh-CN"/>
              </w:rPr>
              <w:t xml:space="preserve">份  </w:t>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 2 \* GB3 \* MERGEFORMAT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rPr>
              <w:t>②</w:t>
            </w:r>
            <w:r>
              <w:rPr>
                <w:rFonts w:hint="eastAsia" w:asciiTheme="minorEastAsia" w:hAnsiTheme="minorEastAsia" w:eastAsiaTheme="minorEastAsia" w:cstheme="minorEastAsia"/>
                <w:bCs/>
                <w:color w:val="auto"/>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副本</w:t>
            </w:r>
            <w:r>
              <w:rPr>
                <w:rFonts w:hint="eastAsia" w:asciiTheme="minorEastAsia" w:hAnsiTheme="minorEastAsia" w:eastAsiaTheme="minorEastAsia" w:cstheme="minorEastAsia"/>
                <w:bCs/>
                <w:color w:val="auto"/>
                <w:szCs w:val="21"/>
                <w:highlight w:val="none"/>
                <w:u w:val="single"/>
              </w:rPr>
              <w:t xml:space="preserve"> 贰</w:t>
            </w:r>
            <w:r>
              <w:rPr>
                <w:rFonts w:hint="eastAsia" w:asciiTheme="minorEastAsia" w:hAnsiTheme="minorEastAsia" w:eastAsiaTheme="minorEastAsia" w:cstheme="minorEastAsia"/>
                <w:bCs/>
                <w:color w:val="auto"/>
                <w:szCs w:val="21"/>
                <w:highlight w:val="none"/>
                <w:u w:val="single"/>
                <w:lang w:val="zh-CN"/>
              </w:rPr>
              <w:t xml:space="preserve"> </w:t>
            </w:r>
            <w:r>
              <w:rPr>
                <w:rFonts w:hint="eastAsia" w:asciiTheme="minorEastAsia" w:hAnsiTheme="minorEastAsia" w:eastAsiaTheme="minorEastAsia" w:cstheme="minorEastAsia"/>
                <w:bCs/>
                <w:color w:val="auto"/>
                <w:szCs w:val="21"/>
                <w:highlight w:val="none"/>
                <w:lang w:val="zh-CN"/>
              </w:rPr>
              <w:t xml:space="preserve">份 </w:t>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 3 \* GB3 \* MERGEFORMAT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rPr>
              <w:t>③</w:t>
            </w:r>
            <w:r>
              <w:rPr>
                <w:rFonts w:hint="eastAsia" w:asciiTheme="minorEastAsia" w:hAnsiTheme="minorEastAsia" w:eastAsiaTheme="minorEastAsia" w:cstheme="minorEastAsia"/>
                <w:bCs/>
                <w:color w:val="auto"/>
                <w:szCs w:val="21"/>
                <w:highlight w:val="none"/>
                <w:lang w:val="zh-CN"/>
              </w:rPr>
              <w:fldChar w:fldCharType="end"/>
            </w:r>
            <w:r>
              <w:rPr>
                <w:rFonts w:hint="eastAsia" w:asciiTheme="minorEastAsia" w:hAnsiTheme="minorEastAsia" w:eastAsiaTheme="minorEastAsia" w:cstheme="minorEastAsia"/>
                <w:bCs/>
                <w:color w:val="auto"/>
                <w:szCs w:val="21"/>
                <w:highlight w:val="none"/>
                <w:lang w:val="zh-CN"/>
              </w:rPr>
              <w:t>电子版响应文件</w:t>
            </w:r>
            <w:r>
              <w:rPr>
                <w:rFonts w:hint="eastAsia" w:asciiTheme="minorEastAsia" w:hAnsiTheme="minorEastAsia" w:eastAsiaTheme="minorEastAsia" w:cstheme="minorEastAsia"/>
                <w:bCs/>
                <w:color w:val="auto"/>
                <w:szCs w:val="21"/>
                <w:highlight w:val="none"/>
              </w:rPr>
              <w:t>U盘一个。</w:t>
            </w:r>
          </w:p>
          <w:p w14:paraId="2F541EC5">
            <w:pPr>
              <w:tabs>
                <w:tab w:val="left" w:pos="420"/>
              </w:tabs>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要求：</w:t>
            </w:r>
          </w:p>
          <w:p w14:paraId="537FA651">
            <w:pPr>
              <w:tabs>
                <w:tab w:val="left" w:pos="420"/>
              </w:tabs>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1、少于数量要求的响应文件视为无效响应文件。</w:t>
            </w:r>
          </w:p>
          <w:p w14:paraId="2C5E89BB">
            <w:pPr>
              <w:pStyle w:val="7"/>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rPr>
              <w:t>2、电子版响应文件（电子版</w:t>
            </w:r>
            <w:r>
              <w:rPr>
                <w:rFonts w:hint="eastAsia" w:asciiTheme="minorEastAsia" w:hAnsiTheme="minorEastAsia" w:eastAsiaTheme="minorEastAsia" w:cstheme="minorEastAsia"/>
                <w:bCs/>
                <w:color w:val="auto"/>
                <w:szCs w:val="21"/>
                <w:highlight w:val="none"/>
                <w:lang w:val="zh-CN"/>
              </w:rPr>
              <w:t>响应文件</w:t>
            </w:r>
            <w:r>
              <w:rPr>
                <w:rFonts w:hint="eastAsia" w:asciiTheme="minorEastAsia" w:hAnsiTheme="minorEastAsia" w:eastAsiaTheme="minorEastAsia" w:cstheme="minorEastAsia"/>
                <w:bCs/>
                <w:color w:val="auto"/>
                <w:szCs w:val="21"/>
                <w:highlight w:val="none"/>
              </w:rPr>
              <w:t>须是PDF格式）为正本完整版的扫描件</w:t>
            </w:r>
            <w:r>
              <w:rPr>
                <w:rFonts w:hint="eastAsia" w:asciiTheme="minorEastAsia" w:hAnsiTheme="minorEastAsia" w:eastAsiaTheme="minorEastAsia" w:cstheme="minorEastAsia"/>
                <w:bCs/>
                <w:color w:val="auto"/>
                <w:szCs w:val="21"/>
                <w:highlight w:val="none"/>
                <w:lang w:val="zh-CN"/>
              </w:rPr>
              <w:t>。</w:t>
            </w:r>
          </w:p>
        </w:tc>
      </w:tr>
      <w:tr w14:paraId="54034C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0985354B">
            <w:pPr>
              <w:pStyle w:val="33"/>
              <w:snapToGrid w:val="0"/>
              <w:spacing w:line="360" w:lineRule="auto"/>
              <w:ind w:left="9"/>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w:t>
            </w:r>
          </w:p>
        </w:tc>
        <w:tc>
          <w:tcPr>
            <w:tcW w:w="2435" w:type="dxa"/>
            <w:tcBorders>
              <w:top w:val="single" w:color="auto" w:sz="8" w:space="0"/>
              <w:left w:val="single" w:color="auto" w:sz="4" w:space="0"/>
              <w:bottom w:val="single" w:color="auto" w:sz="8" w:space="0"/>
              <w:right w:val="single" w:color="auto" w:sz="8" w:space="0"/>
            </w:tcBorders>
            <w:vAlign w:val="center"/>
          </w:tcPr>
          <w:p w14:paraId="5253752D">
            <w:pPr>
              <w:pStyle w:val="33"/>
              <w:snapToGrid w:val="0"/>
              <w:spacing w:line="360" w:lineRule="auto"/>
              <w:ind w:left="105" w:leftChars="5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68AA175F">
            <w:pPr>
              <w:pStyle w:val="33"/>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1、响应文件正本和副本须密封，并在密封处加盖单位公章或供应商授权代表签名；</w:t>
            </w:r>
          </w:p>
          <w:p w14:paraId="0A94399E">
            <w:pPr>
              <w:pStyle w:val="33"/>
              <w:snapToGrid w:val="0"/>
              <w:spacing w:line="360" w:lineRule="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rPr>
              <w:t>2、电子版响应文件（PDF格式）与开标一览表一并密封，并在密封处加盖单位公章或供应商授权代表签名。</w:t>
            </w:r>
          </w:p>
          <w:p w14:paraId="1008C5ED">
            <w:pPr>
              <w:pStyle w:val="33"/>
              <w:snapToGrid w:val="0"/>
              <w:spacing w:line="360" w:lineRule="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rPr>
              <w:t>3、电子版响应文件和纸质版响应文件一起提交。</w:t>
            </w:r>
          </w:p>
          <w:p w14:paraId="7E27CAFC">
            <w:pPr>
              <w:pStyle w:val="33"/>
              <w:snapToGrid w:val="0"/>
              <w:spacing w:line="360" w:lineRule="auto"/>
              <w:ind w:left="105" w:leftChars="50"/>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要求：不符合上述密封签章要求的响应文件存在视为无效响应文件风险。</w:t>
            </w:r>
          </w:p>
        </w:tc>
      </w:tr>
      <w:tr w14:paraId="462E95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F0A7495">
            <w:pPr>
              <w:pStyle w:val="6"/>
              <w:adjustRightInd w:val="0"/>
              <w:snapToGrid w:val="0"/>
              <w:spacing w:line="360" w:lineRule="auto"/>
              <w:ind w:left="9" w:firstLine="0"/>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lang w:val="zh-CN"/>
              </w:rPr>
              <w:t>1</w:t>
            </w:r>
            <w:r>
              <w:rPr>
                <w:rFonts w:hint="eastAsia" w:asciiTheme="minorEastAsia" w:hAnsiTheme="minorEastAsia" w:eastAsiaTheme="minorEastAsia" w:cstheme="minorEastAsia"/>
                <w:bCs/>
                <w:color w:val="auto"/>
                <w:szCs w:val="21"/>
                <w:highlight w:val="none"/>
              </w:rPr>
              <w:t>2</w:t>
            </w:r>
          </w:p>
        </w:tc>
        <w:tc>
          <w:tcPr>
            <w:tcW w:w="2435" w:type="dxa"/>
            <w:tcBorders>
              <w:top w:val="single" w:color="auto" w:sz="8" w:space="0"/>
              <w:left w:val="single" w:color="auto" w:sz="4" w:space="0"/>
              <w:bottom w:val="single" w:color="auto" w:sz="8" w:space="0"/>
              <w:right w:val="single" w:color="auto" w:sz="8" w:space="0"/>
            </w:tcBorders>
            <w:vAlign w:val="center"/>
          </w:tcPr>
          <w:p w14:paraId="5BB38DC9">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7D983A59">
            <w:pPr>
              <w:pStyle w:val="33"/>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响应文件    正本（副本）</w:t>
            </w:r>
          </w:p>
          <w:p w14:paraId="69E3645A">
            <w:pPr>
              <w:pStyle w:val="33"/>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项目名称:</w:t>
            </w:r>
          </w:p>
          <w:p w14:paraId="50DF56BC">
            <w:pPr>
              <w:pStyle w:val="33"/>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项目编号（分包号，如果有）：</w:t>
            </w:r>
          </w:p>
          <w:p w14:paraId="68376461">
            <w:pPr>
              <w:pStyle w:val="33"/>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供应商的名称（加盖公章）：</w:t>
            </w:r>
          </w:p>
          <w:p w14:paraId="4BCA3138">
            <w:pPr>
              <w:pStyle w:val="33"/>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供应商联系人姓名、联系电话：</w:t>
            </w:r>
          </w:p>
          <w:p w14:paraId="7EE6F02D">
            <w:pPr>
              <w:pStyle w:val="33"/>
              <w:snapToGrid w:val="0"/>
              <w:spacing w:line="360" w:lineRule="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 w:val="21"/>
                <w:szCs w:val="21"/>
                <w:highlight w:val="none"/>
              </w:rPr>
              <w:t>于在</w:t>
            </w:r>
            <w:r>
              <w:rPr>
                <w:rFonts w:hint="eastAsia" w:asciiTheme="minorEastAsia" w:hAnsiTheme="minorEastAsia" w:eastAsiaTheme="minorEastAsia" w:cstheme="minorEastAsia"/>
                <w:bCs/>
                <w:color w:val="auto"/>
                <w:sz w:val="21"/>
                <w:szCs w:val="21"/>
                <w:highlight w:val="none"/>
                <w:lang w:val="en-US" w:eastAsia="zh-CN"/>
              </w:rPr>
              <w:t>2025</w:t>
            </w:r>
            <w:r>
              <w:rPr>
                <w:rFonts w:hint="eastAsia" w:asciiTheme="minorEastAsia" w:hAnsiTheme="minorEastAsia" w:eastAsiaTheme="minorEastAsia" w:cstheme="minorEastAsia"/>
                <w:bCs/>
                <w:color w:val="auto"/>
                <w:sz w:val="21"/>
                <w:szCs w:val="21"/>
                <w:highlight w:val="none"/>
                <w:lang w:val="zh-CN"/>
              </w:rPr>
              <w:t>年</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lang w:val="zh-CN"/>
              </w:rPr>
              <w:t>月</w:t>
            </w:r>
            <w:r>
              <w:rPr>
                <w:rFonts w:hint="eastAsia" w:asciiTheme="minorEastAsia" w:hAnsiTheme="minorEastAsia" w:eastAsiaTheme="minorEastAsia" w:cstheme="minorEastAsia"/>
                <w:bCs/>
                <w:color w:val="auto"/>
                <w:sz w:val="21"/>
                <w:szCs w:val="21"/>
                <w:highlight w:val="none"/>
                <w:lang w:val="en-US" w:eastAsia="zh-CN"/>
              </w:rPr>
              <w:t>13</w:t>
            </w:r>
            <w:r>
              <w:rPr>
                <w:rFonts w:hint="eastAsia" w:asciiTheme="minorEastAsia" w:hAnsiTheme="minorEastAsia" w:eastAsiaTheme="minorEastAsia" w:cstheme="minorEastAsia"/>
                <w:bCs/>
                <w:color w:val="auto"/>
                <w:sz w:val="21"/>
                <w:szCs w:val="21"/>
                <w:highlight w:val="none"/>
                <w:lang w:val="zh-CN"/>
              </w:rPr>
              <w:t>日</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lang w:val="zh-CN"/>
              </w:rPr>
              <w:t>时</w:t>
            </w:r>
            <w:r>
              <w:rPr>
                <w:rFonts w:hint="eastAsia" w:asciiTheme="minorEastAsia" w:hAnsiTheme="minorEastAsia" w:eastAsiaTheme="minorEastAsia" w:cstheme="minorEastAsia"/>
                <w:bCs/>
                <w:color w:val="auto"/>
                <w:sz w:val="21"/>
                <w:szCs w:val="21"/>
                <w:highlight w:val="none"/>
                <w:lang w:val="en-US" w:eastAsia="zh-CN"/>
              </w:rPr>
              <w:t>00</w:t>
            </w:r>
            <w:r>
              <w:rPr>
                <w:rFonts w:hint="eastAsia" w:asciiTheme="minorEastAsia" w:hAnsiTheme="minorEastAsia" w:eastAsiaTheme="minorEastAsia" w:cstheme="minorEastAsia"/>
                <w:bCs/>
                <w:color w:val="auto"/>
                <w:sz w:val="21"/>
                <w:szCs w:val="21"/>
                <w:highlight w:val="none"/>
                <w:lang w:val="zh-CN"/>
              </w:rPr>
              <w:t>分前</w:t>
            </w:r>
            <w:r>
              <w:rPr>
                <w:rFonts w:hint="eastAsia" w:asciiTheme="minorEastAsia" w:hAnsiTheme="minorEastAsia" w:eastAsiaTheme="minorEastAsia" w:cstheme="minorEastAsia"/>
                <w:bCs/>
                <w:color w:val="auto"/>
                <w:sz w:val="21"/>
                <w:szCs w:val="21"/>
                <w:highlight w:val="none"/>
              </w:rPr>
              <w:t>（开标时间）不得开启</w:t>
            </w:r>
            <w:r>
              <w:rPr>
                <w:rFonts w:hint="eastAsia" w:asciiTheme="minorEastAsia" w:hAnsiTheme="minorEastAsia" w:eastAsiaTheme="minorEastAsia" w:cstheme="minorEastAsia"/>
                <w:bCs/>
                <w:color w:val="auto"/>
                <w:sz w:val="21"/>
                <w:szCs w:val="21"/>
                <w:highlight w:val="none"/>
                <w:lang w:eastAsia="zh-CN"/>
              </w:rPr>
              <w:t>。</w:t>
            </w:r>
          </w:p>
        </w:tc>
      </w:tr>
      <w:tr w14:paraId="03326E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2DBA0D76">
            <w:pPr>
              <w:pStyle w:val="6"/>
              <w:adjustRightInd w:val="0"/>
              <w:snapToGrid w:val="0"/>
              <w:spacing w:line="360" w:lineRule="auto"/>
              <w:ind w:left="9" w:firstLine="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13</w:t>
            </w:r>
          </w:p>
        </w:tc>
        <w:tc>
          <w:tcPr>
            <w:tcW w:w="2435" w:type="dxa"/>
            <w:vAlign w:val="center"/>
          </w:tcPr>
          <w:p w14:paraId="361BF3DE">
            <w:pPr>
              <w:pStyle w:val="33"/>
              <w:snapToGrid w:val="0"/>
              <w:spacing w:line="360" w:lineRule="auto"/>
              <w:ind w:left="105" w:leftChars="5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参加开标供应商代表身份证明文件</w:t>
            </w:r>
          </w:p>
        </w:tc>
        <w:tc>
          <w:tcPr>
            <w:tcW w:w="5220" w:type="dxa"/>
            <w:vAlign w:val="center"/>
          </w:tcPr>
          <w:p w14:paraId="7F5C25E9">
            <w:pPr>
              <w:pStyle w:val="33"/>
              <w:snapToGrid w:val="0"/>
              <w:spacing w:line="360" w:lineRule="auto"/>
              <w:ind w:left="105" w:leftChars="5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个人身份证（或其他有效证件）复印件</w:t>
            </w:r>
          </w:p>
        </w:tc>
      </w:tr>
      <w:tr w14:paraId="124334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42CD5F62">
            <w:pPr>
              <w:pStyle w:val="6"/>
              <w:adjustRightInd w:val="0"/>
              <w:snapToGrid w:val="0"/>
              <w:spacing w:line="360" w:lineRule="auto"/>
              <w:ind w:left="9" w:firstLine="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w:t>
            </w:r>
          </w:p>
        </w:tc>
        <w:tc>
          <w:tcPr>
            <w:tcW w:w="2435" w:type="dxa"/>
            <w:vAlign w:val="center"/>
          </w:tcPr>
          <w:p w14:paraId="7D2911AE">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开标程序</w:t>
            </w:r>
          </w:p>
        </w:tc>
        <w:tc>
          <w:tcPr>
            <w:tcW w:w="5220" w:type="dxa"/>
            <w:vAlign w:val="center"/>
          </w:tcPr>
          <w:p w14:paraId="5BE5B959">
            <w:pPr>
              <w:adjustRightInd w:val="0"/>
              <w:snapToGrid w:val="0"/>
              <w:spacing w:line="360" w:lineRule="auto"/>
              <w:ind w:left="105" w:leftChars="50"/>
              <w:outlineLvl w:val="1"/>
              <w:rPr>
                <w:color w:val="auto"/>
                <w:highlight w:val="none"/>
              </w:rPr>
            </w:pPr>
            <w:r>
              <w:rPr>
                <w:rFonts w:hint="eastAsia"/>
                <w:color w:val="auto"/>
                <w:highlight w:val="none"/>
              </w:rPr>
              <w:t>1、主持人宣布开标会议开始；</w:t>
            </w:r>
          </w:p>
          <w:p w14:paraId="7FBBCB9C">
            <w:pPr>
              <w:adjustRightInd w:val="0"/>
              <w:snapToGrid w:val="0"/>
              <w:spacing w:line="360" w:lineRule="auto"/>
              <w:ind w:left="105" w:leftChars="50"/>
              <w:outlineLvl w:val="1"/>
              <w:rPr>
                <w:color w:val="auto"/>
                <w:highlight w:val="none"/>
              </w:rPr>
            </w:pPr>
            <w:r>
              <w:rPr>
                <w:rFonts w:hint="eastAsia"/>
                <w:color w:val="auto"/>
                <w:highlight w:val="none"/>
              </w:rPr>
              <w:t>2、介绍参加开标会议的人员；</w:t>
            </w:r>
          </w:p>
          <w:p w14:paraId="3B118038">
            <w:pPr>
              <w:adjustRightInd w:val="0"/>
              <w:snapToGrid w:val="0"/>
              <w:spacing w:line="360" w:lineRule="auto"/>
              <w:ind w:left="105" w:leftChars="50"/>
              <w:outlineLvl w:val="1"/>
              <w:rPr>
                <w:color w:val="auto"/>
                <w:highlight w:val="none"/>
              </w:rPr>
            </w:pPr>
            <w:r>
              <w:rPr>
                <w:rFonts w:hint="eastAsia"/>
                <w:color w:val="auto"/>
                <w:highlight w:val="none"/>
              </w:rPr>
              <w:t>3、宣读开标纪律；</w:t>
            </w:r>
          </w:p>
          <w:p w14:paraId="6D848F6C">
            <w:pPr>
              <w:adjustRightInd w:val="0"/>
              <w:snapToGrid w:val="0"/>
              <w:spacing w:line="360" w:lineRule="auto"/>
              <w:ind w:left="105" w:leftChars="50"/>
              <w:outlineLvl w:val="1"/>
              <w:rPr>
                <w:color w:val="auto"/>
                <w:highlight w:val="none"/>
              </w:rPr>
            </w:pPr>
            <w:r>
              <w:rPr>
                <w:rFonts w:hint="eastAsia"/>
                <w:color w:val="auto"/>
                <w:highlight w:val="none"/>
              </w:rPr>
              <w:t>4、查验各响应文件的密封性并予以确认；</w:t>
            </w:r>
          </w:p>
          <w:p w14:paraId="1163E848">
            <w:pPr>
              <w:adjustRightInd w:val="0"/>
              <w:snapToGrid w:val="0"/>
              <w:spacing w:line="360" w:lineRule="auto"/>
              <w:ind w:left="105" w:leftChars="50"/>
              <w:outlineLvl w:val="1"/>
              <w:rPr>
                <w:color w:val="auto"/>
                <w:highlight w:val="none"/>
              </w:rPr>
            </w:pPr>
            <w:r>
              <w:rPr>
                <w:rFonts w:hint="eastAsia"/>
                <w:color w:val="auto"/>
                <w:highlight w:val="none"/>
              </w:rPr>
              <w:t>5、拆封响应文件；</w:t>
            </w:r>
          </w:p>
          <w:p w14:paraId="1336B529">
            <w:pPr>
              <w:adjustRightInd w:val="0"/>
              <w:snapToGrid w:val="0"/>
              <w:spacing w:line="360" w:lineRule="auto"/>
              <w:ind w:left="105" w:leftChars="50"/>
              <w:outlineLvl w:val="1"/>
              <w:rPr>
                <w:color w:val="auto"/>
                <w:highlight w:val="none"/>
              </w:rPr>
            </w:pPr>
            <w:r>
              <w:rPr>
                <w:rFonts w:hint="eastAsia"/>
                <w:color w:val="auto"/>
                <w:highlight w:val="none"/>
              </w:rPr>
              <w:t>6、唱标，唱标内容为“开标一览表”所载明的内容；</w:t>
            </w:r>
          </w:p>
          <w:p w14:paraId="5C6365A2">
            <w:pPr>
              <w:adjustRightInd w:val="0"/>
              <w:snapToGrid w:val="0"/>
              <w:spacing w:line="360" w:lineRule="auto"/>
              <w:ind w:left="105" w:leftChars="50"/>
              <w:outlineLvl w:val="1"/>
              <w:rPr>
                <w:color w:val="auto"/>
                <w:highlight w:val="none"/>
              </w:rPr>
            </w:pPr>
            <w:r>
              <w:rPr>
                <w:rFonts w:hint="eastAsia"/>
                <w:color w:val="auto"/>
                <w:highlight w:val="none"/>
              </w:rPr>
              <w:t>7、记录唱标结果及开标过程；</w:t>
            </w:r>
          </w:p>
          <w:p w14:paraId="37B2C11F">
            <w:pPr>
              <w:adjustRightInd w:val="0"/>
              <w:snapToGrid w:val="0"/>
              <w:spacing w:line="360" w:lineRule="auto"/>
              <w:ind w:left="105" w:leftChars="50"/>
              <w:rPr>
                <w:color w:val="auto"/>
                <w:highlight w:val="none"/>
              </w:rPr>
            </w:pPr>
            <w:r>
              <w:rPr>
                <w:rFonts w:hint="eastAsia"/>
                <w:color w:val="auto"/>
                <w:highlight w:val="none"/>
              </w:rPr>
              <w:t>8、主持人宣布开标会议结束。</w:t>
            </w:r>
          </w:p>
          <w:p w14:paraId="33EBE982">
            <w:pPr>
              <w:pStyle w:val="17"/>
              <w:ind w:left="0" w:leftChars="0" w:firstLine="0" w:firstLineChars="0"/>
              <w:rPr>
                <w:color w:val="auto"/>
                <w:highlight w:val="none"/>
              </w:rPr>
            </w:pPr>
            <w:r>
              <w:rPr>
                <w:rFonts w:hint="eastAsia" w:ascii="宋体" w:hAnsi="宋体" w:eastAsia="宋体" w:cs="宋体"/>
                <w:color w:val="auto"/>
                <w:highlight w:val="none"/>
              </w:rPr>
              <w:t>备注：本项目不要求供应商授权代表参与开标会议</w:t>
            </w:r>
            <w:r>
              <w:rPr>
                <w:rFonts w:hint="eastAsia"/>
                <w:color w:val="auto"/>
                <w:highlight w:val="none"/>
              </w:rPr>
              <w:t>。</w:t>
            </w:r>
          </w:p>
        </w:tc>
      </w:tr>
      <w:tr w14:paraId="4B21B7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0DE6F7EE">
            <w:pPr>
              <w:pStyle w:val="6"/>
              <w:adjustRightInd w:val="0"/>
              <w:snapToGrid w:val="0"/>
              <w:spacing w:line="360" w:lineRule="auto"/>
              <w:ind w:left="9" w:firstLine="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w:t>
            </w:r>
          </w:p>
        </w:tc>
        <w:tc>
          <w:tcPr>
            <w:tcW w:w="2435" w:type="dxa"/>
            <w:vAlign w:val="center"/>
          </w:tcPr>
          <w:p w14:paraId="135FE137">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唱标内容</w:t>
            </w:r>
          </w:p>
        </w:tc>
        <w:tc>
          <w:tcPr>
            <w:tcW w:w="5220" w:type="dxa"/>
            <w:vAlign w:val="center"/>
          </w:tcPr>
          <w:p w14:paraId="55643E69">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1、“开标一览表”所载明的内容</w:t>
            </w:r>
          </w:p>
          <w:p w14:paraId="6AEF7AF1">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14:paraId="6C75DC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0EBE888E">
            <w:pPr>
              <w:pStyle w:val="6"/>
              <w:keepNext w:val="0"/>
              <w:keepLines w:val="0"/>
              <w:pageBreakBefore w:val="0"/>
              <w:kinsoku/>
              <w:wordWrap/>
              <w:overflowPunct/>
              <w:topLinePunct w:val="0"/>
              <w:bidi w:val="0"/>
              <w:adjustRightInd w:val="0"/>
              <w:snapToGrid w:val="0"/>
              <w:spacing w:line="360" w:lineRule="auto"/>
              <w:ind w:left="9" w:leftChars="0" w:firstLine="0" w:firstLineChars="0"/>
              <w:jc w:val="center"/>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 w:val="21"/>
                <w:szCs w:val="21"/>
              </w:rPr>
              <w:t>16</w:t>
            </w:r>
          </w:p>
        </w:tc>
        <w:tc>
          <w:tcPr>
            <w:tcW w:w="2435" w:type="dxa"/>
            <w:vAlign w:val="center"/>
          </w:tcPr>
          <w:p w14:paraId="5D9E5C28">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 w:val="21"/>
                <w:szCs w:val="21"/>
              </w:rPr>
              <w:t>资格审查</w:t>
            </w:r>
          </w:p>
        </w:tc>
        <w:tc>
          <w:tcPr>
            <w:tcW w:w="5220" w:type="dxa"/>
            <w:vAlign w:val="center"/>
          </w:tcPr>
          <w:p w14:paraId="4FCEE522">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tc>
      </w:tr>
      <w:tr w14:paraId="615BA7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51F39183">
            <w:pPr>
              <w:pStyle w:val="6"/>
              <w:adjustRightInd w:val="0"/>
              <w:snapToGrid w:val="0"/>
              <w:spacing w:line="360" w:lineRule="auto"/>
              <w:ind w:left="9" w:firstLine="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val="en-US" w:eastAsia="zh-CN"/>
              </w:rPr>
              <w:t>7</w:t>
            </w:r>
          </w:p>
        </w:tc>
        <w:tc>
          <w:tcPr>
            <w:tcW w:w="2435" w:type="dxa"/>
            <w:vAlign w:val="center"/>
          </w:tcPr>
          <w:p w14:paraId="6F9079AF">
            <w:pPr>
              <w:adjustRightInd w:val="0"/>
              <w:snapToGrid w:val="0"/>
              <w:spacing w:line="360" w:lineRule="auto"/>
              <w:ind w:left="105" w:leftChars="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修正内容</w:t>
            </w:r>
          </w:p>
        </w:tc>
        <w:tc>
          <w:tcPr>
            <w:tcW w:w="5220" w:type="dxa"/>
            <w:vAlign w:val="center"/>
          </w:tcPr>
          <w:p w14:paraId="6C4E8D88">
            <w:pPr>
              <w:adjustRightInd w:val="0"/>
              <w:snapToGrid w:val="0"/>
              <w:spacing w:line="360" w:lineRule="auto"/>
              <w:ind w:left="105" w:leftChars="5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响应文件中开标一览表（报价表）内容与响应文件中相应内容不一致的，以开标一览表（报价表）为准,但价格评审时则以最不利于评审结果的标准取值。</w:t>
            </w:r>
          </w:p>
        </w:tc>
      </w:tr>
      <w:tr w14:paraId="08C36F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18A64990">
            <w:pPr>
              <w:pStyle w:val="6"/>
              <w:adjustRightInd w:val="0"/>
              <w:snapToGrid w:val="0"/>
              <w:spacing w:line="360" w:lineRule="auto"/>
              <w:ind w:left="9" w:firstLine="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val="en-US" w:eastAsia="zh-CN"/>
              </w:rPr>
              <w:t>8</w:t>
            </w:r>
          </w:p>
        </w:tc>
        <w:tc>
          <w:tcPr>
            <w:tcW w:w="2435" w:type="dxa"/>
            <w:vAlign w:val="center"/>
          </w:tcPr>
          <w:p w14:paraId="0A0A9D89">
            <w:pPr>
              <w:pStyle w:val="33"/>
              <w:snapToGrid w:val="0"/>
              <w:spacing w:line="360" w:lineRule="auto"/>
              <w:ind w:left="105" w:leftChars="50"/>
              <w:jc w:val="both"/>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评审方法</w:t>
            </w:r>
          </w:p>
        </w:tc>
        <w:tc>
          <w:tcPr>
            <w:tcW w:w="5220" w:type="dxa"/>
            <w:vAlign w:val="center"/>
          </w:tcPr>
          <w:p w14:paraId="5753FBFF">
            <w:pPr>
              <w:pStyle w:val="33"/>
              <w:snapToGrid w:val="0"/>
              <w:spacing w:line="360" w:lineRule="auto"/>
              <w:ind w:left="105" w:leftChars="5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综合评分法</w:t>
            </w:r>
          </w:p>
        </w:tc>
      </w:tr>
      <w:tr w14:paraId="7A238B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0401A2DE">
            <w:pPr>
              <w:pStyle w:val="6"/>
              <w:adjustRightInd w:val="0"/>
              <w:snapToGrid w:val="0"/>
              <w:spacing w:line="360" w:lineRule="auto"/>
              <w:ind w:left="9" w:firstLine="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val="en-US" w:eastAsia="zh-CN"/>
              </w:rPr>
              <w:t>9</w:t>
            </w:r>
          </w:p>
        </w:tc>
        <w:tc>
          <w:tcPr>
            <w:tcW w:w="7655" w:type="dxa"/>
            <w:gridSpan w:val="2"/>
            <w:vAlign w:val="center"/>
          </w:tcPr>
          <w:p w14:paraId="6232FBBD">
            <w:pPr>
              <w:pStyle w:val="33"/>
              <w:snapToGrid w:val="0"/>
              <w:spacing w:line="360" w:lineRule="auto"/>
              <w:ind w:left="105" w:leftChars="50"/>
              <w:rPr>
                <w:rFonts w:hint="eastAsia" w:asciiTheme="minorEastAsia" w:hAnsi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本项目</w:t>
            </w:r>
            <w:r>
              <w:rPr>
                <w:rFonts w:hint="eastAsia"/>
                <w:color w:val="auto"/>
                <w:sz w:val="21"/>
                <w:szCs w:val="21"/>
                <w:highlight w:val="none"/>
              </w:rPr>
              <w:t>对应的中小企业划分标准所属行业：</w:t>
            </w:r>
          </w:p>
        </w:tc>
      </w:tr>
    </w:tbl>
    <w:p w14:paraId="4F372ED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一、总则</w:t>
      </w:r>
      <w:bookmarkEnd w:id="30"/>
    </w:p>
    <w:p w14:paraId="76F6CC21">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bookmarkStart w:id="31" w:name="_Toc246826115"/>
      <w:r>
        <w:rPr>
          <w:rFonts w:hint="eastAsia" w:asciiTheme="minorEastAsia" w:hAnsiTheme="minorEastAsia" w:eastAsiaTheme="minorEastAsia" w:cstheme="minorEastAsia"/>
          <w:bCs/>
          <w:color w:val="auto"/>
          <w:kern w:val="0"/>
          <w:szCs w:val="21"/>
          <w:highlight w:val="none"/>
        </w:rPr>
        <w:t>1、适用范围</w:t>
      </w:r>
    </w:p>
    <w:p w14:paraId="0B69DF65">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本采购文件仅适用于本次比选公告中所述项目的采购。</w:t>
      </w:r>
    </w:p>
    <w:p w14:paraId="3A946B6A">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2、定义</w:t>
      </w:r>
    </w:p>
    <w:p w14:paraId="6A4DAD79">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本采购文件中的下列术语应解释为：</w:t>
      </w:r>
    </w:p>
    <w:p w14:paraId="0B88B2B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2" w:name="_Toc267320062"/>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14:paraId="4E467EC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2.2“</w:t>
      </w:r>
      <w:r>
        <w:rPr>
          <w:rFonts w:hint="eastAsia" w:asciiTheme="minorEastAsia" w:hAnsiTheme="minorEastAsia" w:eastAsiaTheme="minorEastAsia" w:cstheme="minorEastAsia"/>
          <w:bCs/>
          <w:color w:val="auto"/>
          <w:kern w:val="0"/>
          <w:sz w:val="21"/>
          <w:szCs w:val="21"/>
          <w:lang w:eastAsia="zh-CN"/>
        </w:rPr>
        <w:t>采购人</w:t>
      </w:r>
      <w:r>
        <w:rPr>
          <w:rFonts w:hint="eastAsia" w:asciiTheme="minorEastAsia" w:hAnsiTheme="minorEastAsia" w:eastAsiaTheme="minorEastAsia" w:cstheme="minorEastAsia"/>
          <w:bCs/>
          <w:color w:val="auto"/>
          <w:kern w:val="0"/>
          <w:sz w:val="21"/>
          <w:szCs w:val="21"/>
        </w:rPr>
        <w:t>”系指组织本次采购活动的</w:t>
      </w:r>
      <w:r>
        <w:rPr>
          <w:rFonts w:hint="eastAsia" w:asciiTheme="minorEastAsia" w:hAnsiTheme="minorEastAsia" w:eastAsiaTheme="minorEastAsia" w:cstheme="minorEastAsia"/>
          <w:bCs/>
          <w:color w:val="auto"/>
          <w:kern w:val="0"/>
          <w:sz w:val="21"/>
          <w:szCs w:val="21"/>
          <w:lang w:val="en-US" w:eastAsia="zh-CN"/>
        </w:rPr>
        <w:t>海口江东新区管理局</w:t>
      </w:r>
      <w:r>
        <w:rPr>
          <w:rFonts w:hint="eastAsia" w:asciiTheme="minorEastAsia" w:hAnsiTheme="minorEastAsia" w:eastAsiaTheme="minorEastAsia" w:cstheme="minorEastAsia"/>
          <w:bCs/>
          <w:color w:val="auto"/>
          <w:kern w:val="0"/>
          <w:sz w:val="21"/>
          <w:szCs w:val="21"/>
        </w:rPr>
        <w:t>。</w:t>
      </w:r>
    </w:p>
    <w:p w14:paraId="308021A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2.3“</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人（</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供应商）。</w:t>
      </w:r>
    </w:p>
    <w:p w14:paraId="6FA882EE">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w:t>
      </w:r>
      <w:bookmarkEnd w:id="32"/>
      <w:r>
        <w:rPr>
          <w:rFonts w:hint="eastAsia" w:asciiTheme="minorEastAsia" w:hAnsiTheme="minorEastAsia" w:eastAsiaTheme="minorEastAsia" w:cstheme="minorEastAsia"/>
          <w:bCs/>
          <w:color w:val="auto"/>
          <w:kern w:val="0"/>
          <w:szCs w:val="21"/>
          <w:highlight w:val="none"/>
        </w:rPr>
        <w:t>供应商</w:t>
      </w:r>
    </w:p>
    <w:p w14:paraId="2A689C4D">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3.1合格供应商条件</w:t>
      </w:r>
    </w:p>
    <w:p w14:paraId="10448C6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Cs w:val="21"/>
          <w:highlight w:val="none"/>
          <w:lang w:val="zh-CN"/>
        </w:rPr>
        <w:t>或者</w:t>
      </w:r>
      <w:r>
        <w:rPr>
          <w:rFonts w:hint="eastAsia" w:asciiTheme="minorEastAsia" w:hAnsiTheme="minorEastAsia" w:eastAsiaTheme="minorEastAsia" w:cstheme="minorEastAsia"/>
          <w:bCs/>
          <w:color w:val="auto"/>
          <w:szCs w:val="21"/>
          <w:highlight w:val="none"/>
        </w:rPr>
        <w:t>自然人；</w:t>
      </w:r>
    </w:p>
    <w:p w14:paraId="2B624EB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3.1.2符合《政府采购法》第二十二条规定的条件：</w:t>
      </w:r>
    </w:p>
    <w:p w14:paraId="5C68FAD6">
      <w:pPr>
        <w:adjustRightInd w:val="0"/>
        <w:snapToGrid w:val="0"/>
        <w:spacing w:line="360" w:lineRule="auto"/>
        <w:ind w:firstLine="840" w:firstLineChars="4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3.1.2.1具有独立承担民事责任的能力；</w:t>
      </w:r>
    </w:p>
    <w:p w14:paraId="537A9909">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  3.1.2.</w:t>
      </w:r>
      <w:r>
        <w:rPr>
          <w:rFonts w:hint="eastAsia" w:asciiTheme="minorEastAsia" w:hAnsiTheme="minorEastAsia" w:eastAsiaTheme="minorEastAsia" w:cstheme="minorEastAsia"/>
          <w:bCs/>
          <w:color w:val="auto"/>
          <w:kern w:val="0"/>
          <w:szCs w:val="21"/>
          <w:highlight w:val="none"/>
          <w:lang w:val="en-US" w:eastAsia="zh-CN"/>
        </w:rPr>
        <w:t>2</w:t>
      </w:r>
      <w:r>
        <w:rPr>
          <w:rFonts w:hint="eastAsia" w:asciiTheme="minorEastAsia" w:hAnsiTheme="minorEastAsia" w:eastAsiaTheme="minorEastAsia" w:cstheme="minorEastAsia"/>
          <w:bCs/>
          <w:color w:val="auto"/>
          <w:kern w:val="0"/>
          <w:szCs w:val="21"/>
          <w:highlight w:val="none"/>
        </w:rPr>
        <w:t>具有良好的商业信誉和健全的财务会计制度；</w:t>
      </w:r>
    </w:p>
    <w:p w14:paraId="472E3E71">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  3.1.2.</w:t>
      </w:r>
      <w:r>
        <w:rPr>
          <w:rFonts w:hint="eastAsia" w:asciiTheme="minorEastAsia" w:hAnsiTheme="minorEastAsia" w:eastAsiaTheme="minorEastAsia" w:cstheme="minorEastAsia"/>
          <w:bCs/>
          <w:color w:val="auto"/>
          <w:kern w:val="0"/>
          <w:szCs w:val="21"/>
          <w:highlight w:val="none"/>
          <w:lang w:val="en-US" w:eastAsia="zh-CN"/>
        </w:rPr>
        <w:t>3</w:t>
      </w:r>
      <w:r>
        <w:rPr>
          <w:rFonts w:hint="eastAsia" w:asciiTheme="minorEastAsia" w:hAnsiTheme="minorEastAsia" w:eastAsiaTheme="minorEastAsia" w:cstheme="minorEastAsia"/>
          <w:bCs/>
          <w:color w:val="auto"/>
          <w:kern w:val="0"/>
          <w:szCs w:val="21"/>
          <w:highlight w:val="none"/>
        </w:rPr>
        <w:t>具有履行合同所必需的设备和专业技术能力；</w:t>
      </w:r>
    </w:p>
    <w:p w14:paraId="03E857E1">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  3.1.2.</w:t>
      </w:r>
      <w:r>
        <w:rPr>
          <w:rFonts w:hint="eastAsia" w:asciiTheme="minorEastAsia" w:hAnsiTheme="minorEastAsia" w:eastAsiaTheme="minorEastAsia" w:cstheme="minorEastAsia"/>
          <w:bCs/>
          <w:color w:val="auto"/>
          <w:kern w:val="0"/>
          <w:szCs w:val="21"/>
          <w:highlight w:val="none"/>
          <w:lang w:val="en-US" w:eastAsia="zh-CN"/>
        </w:rPr>
        <w:t>4</w:t>
      </w:r>
      <w:r>
        <w:rPr>
          <w:rFonts w:hint="eastAsia" w:asciiTheme="minorEastAsia" w:hAnsiTheme="minorEastAsia" w:eastAsiaTheme="minorEastAsia" w:cstheme="minorEastAsia"/>
          <w:bCs/>
          <w:color w:val="auto"/>
          <w:kern w:val="0"/>
          <w:szCs w:val="21"/>
          <w:highlight w:val="none"/>
        </w:rPr>
        <w:t>有依法缴纳税收和社会保障资金的良好记录；</w:t>
      </w:r>
    </w:p>
    <w:p w14:paraId="478BD778">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  3.1.2.</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参加政府采购活动前三年内，在经营活动中没有重大违法记录；</w:t>
      </w:r>
    </w:p>
    <w:p w14:paraId="44974C5A">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3.1.2.</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法律、行政法规规定的其他条件。</w:t>
      </w:r>
    </w:p>
    <w:p w14:paraId="7A01B6C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3.1.3满足采购文件报价、商务和技术等实质性要求的；</w:t>
      </w:r>
    </w:p>
    <w:p w14:paraId="013A8C89">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3.2供应商的风险</w:t>
      </w:r>
    </w:p>
    <w:p w14:paraId="6776FDFE">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3.2.1供应商没有按照采购文件的要求编制、签署、密封、标记、递交及修正响应文件的，或者响应文件没有对采购文件在各方面都做出实质性响应的，将导致响应无效。</w:t>
      </w:r>
    </w:p>
    <w:p w14:paraId="32CF2D2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color w:val="auto"/>
          <w:kern w:val="0"/>
          <w:szCs w:val="21"/>
          <w:highlight w:val="none"/>
        </w:rPr>
        <w:t>：</w:t>
      </w:r>
    </w:p>
    <w:p w14:paraId="5F4146A8">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（1）提供虚假的资料；</w:t>
      </w:r>
    </w:p>
    <w:p w14:paraId="3D95B33F">
      <w:pPr>
        <w:adjustRightInd w:val="0"/>
        <w:snapToGrid w:val="0"/>
        <w:spacing w:line="360" w:lineRule="auto"/>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（2）在实质性方面失实；</w:t>
      </w:r>
    </w:p>
    <w:p w14:paraId="33DB00D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3.2.3</w:t>
      </w:r>
      <w:r>
        <w:rPr>
          <w:rFonts w:hint="eastAsia" w:asciiTheme="minorEastAsia" w:hAnsiTheme="minorEastAsia" w:eastAsiaTheme="minorEastAsia" w:cstheme="minorEastAsia"/>
          <w:bCs/>
          <w:color w:val="auto"/>
          <w:szCs w:val="21"/>
          <w:highlight w:val="none"/>
        </w:rPr>
        <w:t>供应商享受政策优惠条件但提供的证明（说明）文件或</w:t>
      </w:r>
      <w:r>
        <w:rPr>
          <w:rFonts w:hint="eastAsia"/>
          <w:color w:val="auto"/>
          <w:szCs w:val="21"/>
          <w:highlight w:val="none"/>
        </w:rPr>
        <w:t>承诺文件失实的，</w:t>
      </w:r>
      <w:r>
        <w:rPr>
          <w:rFonts w:hint="eastAsia" w:asciiTheme="minorEastAsia" w:hAnsiTheme="minorEastAsia" w:eastAsiaTheme="minorEastAsia" w:cstheme="minorEastAsia"/>
          <w:bCs/>
          <w:color w:val="auto"/>
          <w:szCs w:val="21"/>
          <w:highlight w:val="none"/>
        </w:rPr>
        <w:t>视同响应文件提供虚假资料论处。</w:t>
      </w:r>
    </w:p>
    <w:p w14:paraId="7D188A9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响应费用</w:t>
      </w:r>
    </w:p>
    <w:p w14:paraId="6C63527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eastAsia="zh-CN"/>
        </w:rPr>
        <w:t>响应过程</w:t>
      </w:r>
      <w:r>
        <w:rPr>
          <w:rFonts w:hint="eastAsia" w:asciiTheme="minorEastAsia" w:hAnsiTheme="minorEastAsia" w:eastAsiaTheme="minorEastAsia" w:cstheme="minorEastAsia"/>
          <w:bCs/>
          <w:color w:val="auto"/>
          <w:sz w:val="21"/>
          <w:szCs w:val="21"/>
        </w:rPr>
        <w:t>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有关的全部费用；</w:t>
      </w:r>
    </w:p>
    <w:p w14:paraId="1BA7719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1241BBF4">
      <w:pPr>
        <w:pStyle w:val="7"/>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5.1关于符合上述规定的小微企业（供应商）参与响应</w:t>
      </w:r>
    </w:p>
    <w:p w14:paraId="043BBBD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5.1.1监狱企业、残疾人福利性单位视同小型、微型企业；以联合体形式参加政府采购活动，联合体各方均为小微企业的，联合体视同为小微企业。</w:t>
      </w:r>
    </w:p>
    <w:p w14:paraId="7BA9A58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5.1.2供应商为符合规定的小型或微型企业时，报价给予20%的价格扣除，用扣除后的价格参与评审；</w:t>
      </w:r>
    </w:p>
    <w:p w14:paraId="63256F4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5.1.3供应商为大中型企业和其他自然人、法人或者其他组织与小微企业组成联合体或者大中型企业向小微企业分包的，对联合体报价给予6%</w:t>
      </w:r>
      <w:r>
        <w:rPr>
          <w:rFonts w:hint="eastAsia" w:asciiTheme="minorEastAsia" w:hAnsiTheme="minorEastAsia" w:eastAsiaTheme="minorEastAsia" w:cstheme="minorEastAsia"/>
          <w:bCs/>
          <w:i/>
          <w:iCs/>
          <w:color w:val="auto"/>
          <w:szCs w:val="21"/>
          <w:highlight w:val="none"/>
          <w:u w:val="single"/>
        </w:rPr>
        <w:t>（</w:t>
      </w:r>
      <w:r>
        <w:rPr>
          <w:rFonts w:hint="eastAsia" w:asciiTheme="minorEastAsia" w:hAnsiTheme="minorEastAsia" w:eastAsiaTheme="minorEastAsia" w:cstheme="minorEastAsia"/>
          <w:bCs/>
          <w:color w:val="auto"/>
          <w:szCs w:val="21"/>
          <w:highlight w:val="none"/>
        </w:rPr>
        <w:t>的价格扣除，用扣除后的价格参与评审；</w:t>
      </w:r>
    </w:p>
    <w:p w14:paraId="06DC76B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5.1.4本条款中两种价格扣除优惠原则不同时使用。</w:t>
      </w:r>
    </w:p>
    <w:p w14:paraId="14F2EBF9">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5.1.5组成联合体或者接受分包的小微企业与联合体内其他企业、分包企业之间存在直接控股、管理关系的，不享受价格扣除优惠政策；</w:t>
      </w:r>
    </w:p>
    <w:p w14:paraId="76DD858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5.1.6供应商认为其为小型或微型企业的应提供合法有效的“中小企业声明函”（附件1），并明确企业类型；供应商认为其为监狱企业须提供由省级以上监狱管理局、戒毒管理局（含新疆生产建设兵团）出具的属于监狱企业的证明文件(附件2)；供应商认为其为符合条件的残疾人福利性单位在参加政府采购活动时，应当提供《残疾人福利性单位声明函》（附件3），并对声明的真实性负责，否则评审时不能享受相应的价格扣除。</w:t>
      </w:r>
    </w:p>
    <w:p w14:paraId="2B1ECC5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5.1.7在货物采购项目中，供应商提供的货物既有小微企业制造货物，也有大中型企业制造货物的，不享受本办法规定的小微企业扶持政策。</w:t>
      </w:r>
    </w:p>
    <w:p w14:paraId="30BB35F2">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5.1.8享受扶持政策获得政府采购合同的，小微企业不得将合同分包给大中型企业，中型企业不得将合同分包给大型企业。</w:t>
      </w:r>
    </w:p>
    <w:p w14:paraId="48CF99D4">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 关于强制采购节能产品、信息安全产品和优先采购环境标志产品的要求。</w:t>
      </w:r>
    </w:p>
    <w:p w14:paraId="5EB27AC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4293B6D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5.2.2提供的产品属于信息安全产品的，供应商应当选择经国家认证的信息安全产品响应，并提供有效的中国国家信息安全产品认证证书复印件。</w:t>
      </w:r>
    </w:p>
    <w:p w14:paraId="32DF715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5.2.3提供的产品属于政府强制采购节能产品的，供应商应当选择《节能产品政府采购清单》中的产品响应，并提供有效的节能产品认证证书复印件。</w:t>
      </w:r>
    </w:p>
    <w:p w14:paraId="7B371883">
      <w:pPr>
        <w:adjustRightInd w:val="0"/>
        <w:snapToGrid w:val="0"/>
        <w:spacing w:line="360" w:lineRule="auto"/>
        <w:ind w:firstLine="420" w:firstLineChars="200"/>
        <w:rPr>
          <w:color w:val="auto"/>
          <w:szCs w:val="21"/>
          <w:highlight w:val="none"/>
        </w:rPr>
      </w:pPr>
      <w:r>
        <w:rPr>
          <w:rFonts w:hint="eastAsia" w:asciiTheme="minorEastAsia" w:hAnsiTheme="minorEastAsia" w:eastAsiaTheme="minorEastAsia" w:cstheme="minorEastAsia"/>
          <w:bCs/>
          <w:color w:val="auto"/>
          <w:szCs w:val="21"/>
          <w:highlight w:val="none"/>
        </w:rPr>
        <w:t>5.2.4 提供的产品属于优先采购环境标志产品的，供应商应当选择《环境标志产品政府采购清单》中的产品响应，并提供有效的环境标志产品认证证书复印件。</w:t>
      </w:r>
    </w:p>
    <w:p w14:paraId="3A3757A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6、注意事项</w:t>
      </w:r>
    </w:p>
    <w:p w14:paraId="1220EA5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6.1如果没有特别声明或要求，供应商被视为充分熟悉本招标项目所在地与履行合同有关的各种情况，包括自然环境、气候条件、劳动力及公用设施等，本采购文件不再对上述情况进行描述。</w:t>
      </w:r>
    </w:p>
    <w:p w14:paraId="1608E932">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6.2分包采购详见“供应商须知前附表”要求。</w:t>
      </w:r>
    </w:p>
    <w:p w14:paraId="4A55F8D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33" w:name="_Toc246826107"/>
      <w:r>
        <w:rPr>
          <w:rFonts w:hint="eastAsia" w:asciiTheme="minorEastAsia" w:hAnsiTheme="minorEastAsia" w:eastAsiaTheme="minorEastAsia" w:cstheme="minorEastAsia"/>
          <w:bCs/>
          <w:color w:val="auto"/>
          <w:szCs w:val="21"/>
          <w:highlight w:val="none"/>
        </w:rPr>
        <w:t>二、采购文件</w:t>
      </w:r>
      <w:bookmarkEnd w:id="33"/>
    </w:p>
    <w:p w14:paraId="0FCD508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7、采购文件的组成</w:t>
      </w:r>
    </w:p>
    <w:p w14:paraId="3B5A4686">
      <w:pPr>
        <w:pStyle w:val="6"/>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采购文件用以阐明供应商准备响应文件所必须的信息，以及响应、开标、评审和签订合同等有关规定。采购文件以电子版形式下载，采购文件由下述章节组成：</w:t>
      </w:r>
    </w:p>
    <w:p w14:paraId="459F96DD">
      <w:pPr>
        <w:pStyle w:val="6"/>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（1）比选公告</w:t>
      </w:r>
    </w:p>
    <w:p w14:paraId="1142AA74">
      <w:pPr>
        <w:pStyle w:val="6"/>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（2）采购需求</w:t>
      </w:r>
    </w:p>
    <w:p w14:paraId="6FC92DB5">
      <w:pPr>
        <w:pStyle w:val="6"/>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（3）供应商须知</w:t>
      </w:r>
    </w:p>
    <w:p w14:paraId="0DE326A9">
      <w:pPr>
        <w:pStyle w:val="6"/>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（4）审查标准和评审标准</w:t>
      </w:r>
    </w:p>
    <w:p w14:paraId="01E4EB45">
      <w:pPr>
        <w:pStyle w:val="6"/>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（5）政府采购合同格式</w:t>
      </w:r>
    </w:p>
    <w:p w14:paraId="3D7F913D">
      <w:pPr>
        <w:pStyle w:val="6"/>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（6）响应文件格式及附件</w:t>
      </w:r>
    </w:p>
    <w:p w14:paraId="0377D041">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34" w:name="_Toc183582211"/>
      <w:bookmarkStart w:id="35" w:name="_Toc183682348"/>
      <w:bookmarkStart w:id="36" w:name="_Toc217446040"/>
      <w:r>
        <w:rPr>
          <w:rFonts w:hint="eastAsia" w:asciiTheme="minorEastAsia" w:hAnsiTheme="minorEastAsia" w:eastAsiaTheme="minorEastAsia" w:cstheme="minorEastAsia"/>
          <w:bCs/>
          <w:color w:val="auto"/>
          <w:szCs w:val="21"/>
          <w:highlight w:val="none"/>
        </w:rPr>
        <w:t>8、采购文件的澄清</w:t>
      </w:r>
      <w:bookmarkEnd w:id="34"/>
      <w:bookmarkEnd w:id="35"/>
      <w:r>
        <w:rPr>
          <w:rFonts w:hint="eastAsia" w:asciiTheme="minorEastAsia" w:hAnsiTheme="minorEastAsia" w:eastAsiaTheme="minorEastAsia" w:cstheme="minorEastAsia"/>
          <w:bCs/>
          <w:color w:val="auto"/>
          <w:szCs w:val="21"/>
          <w:highlight w:val="none"/>
        </w:rPr>
        <w:t>和修改</w:t>
      </w:r>
      <w:bookmarkEnd w:id="36"/>
    </w:p>
    <w:p w14:paraId="446B5268">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8.1 在响应文件递交截止时间前，采购人无论出于何种原因，可以对采购文件进行澄清或者修改。</w:t>
      </w:r>
    </w:p>
    <w:p w14:paraId="6C56D2E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8.2</w:t>
      </w:r>
      <w:bookmarkStart w:id="37" w:name="_Toc415567498"/>
      <w:bookmarkStart w:id="38" w:name="_Toc430490613"/>
      <w:bookmarkStart w:id="39" w:name="_Toc430422414"/>
      <w:bookmarkStart w:id="40" w:name="_Toc430492127"/>
      <w:bookmarkStart w:id="41" w:name="_Toc430488645"/>
      <w:bookmarkStart w:id="42" w:name="_Toc430489120"/>
      <w:bookmarkStart w:id="43" w:name="_Toc430488852"/>
      <w:r>
        <w:rPr>
          <w:rFonts w:hint="eastAsia" w:asciiTheme="minorEastAsia" w:hAnsiTheme="minorEastAsia" w:eastAsiaTheme="minorEastAsia" w:cstheme="minorEastAsia"/>
          <w:bCs/>
          <w:color w:val="auto"/>
          <w:szCs w:val="21"/>
          <w:highlight w:val="none"/>
        </w:rPr>
        <w:t xml:space="preserve"> 采购文件的修改</w:t>
      </w:r>
      <w:bookmarkEnd w:id="37"/>
      <w:bookmarkEnd w:id="38"/>
      <w:bookmarkEnd w:id="39"/>
      <w:bookmarkEnd w:id="40"/>
      <w:bookmarkEnd w:id="41"/>
      <w:bookmarkEnd w:id="42"/>
      <w:bookmarkEnd w:id="43"/>
    </w:p>
    <w:p w14:paraId="42C99CEA">
      <w:pPr>
        <w:pStyle w:val="1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44" w:name="_Toc245887536"/>
      <w:bookmarkStart w:id="45" w:name="_Toc245888275"/>
      <w:bookmarkStart w:id="46" w:name="_Toc246826109"/>
      <w:bookmarkStart w:id="47" w:name="_Toc246825804"/>
      <w:r>
        <w:rPr>
          <w:rFonts w:hint="eastAsia" w:asciiTheme="minorEastAsia" w:hAnsiTheme="minorEastAsia" w:eastAsiaTheme="minorEastAsia" w:cstheme="minorEastAsia"/>
          <w:bCs/>
          <w:color w:val="auto"/>
          <w:szCs w:val="21"/>
          <w:highlight w:val="none"/>
        </w:rPr>
        <w:t>（1）在响应文件递交截止时间以前，采购人可主动或依供应商要求澄清或质疑的问题对采购文件进行必要的补遗、澄清或修改；</w:t>
      </w:r>
      <w:bookmarkEnd w:id="44"/>
      <w:bookmarkEnd w:id="45"/>
      <w:bookmarkEnd w:id="46"/>
      <w:bookmarkEnd w:id="47"/>
      <w:bookmarkStart w:id="48" w:name="_Toc217446041"/>
      <w:bookmarkStart w:id="49" w:name="_Toc208848971"/>
    </w:p>
    <w:p w14:paraId="3720285A">
      <w:pPr>
        <w:pStyle w:val="1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补遗、澄清或修改内容可能影响响应文件编制的，采购人须在响应文件递交截止时间2日前发布公告；不足2日的，采购人应当顺延提交响应文件的截止时间和开标时间，在此情况下，采购当事人受响应文件递交截止期制约的所有权利和义务均应延长至新的截止日期；</w:t>
      </w:r>
    </w:p>
    <w:p w14:paraId="31F44CA4">
      <w:pPr>
        <w:pStyle w:val="1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（3）补遗、澄清或修改后的内容是采购文件的组成部分，并对潜在供应商具有约束力。有关</w:t>
      </w:r>
      <w:r>
        <w:rPr>
          <w:rFonts w:hint="eastAsia" w:asciiTheme="minorEastAsia" w:hAnsiTheme="minorEastAsia" w:eastAsiaTheme="minorEastAsia" w:cstheme="minorEastAsia"/>
          <w:bCs/>
          <w:color w:val="auto"/>
          <w:spacing w:val="-8"/>
          <w:szCs w:val="21"/>
          <w:highlight w:val="none"/>
        </w:rPr>
        <w:t>本项目采购文件的补遗、澄清及变更信息以第一章指定网站公告及下载内容为准，</w:t>
      </w:r>
      <w:r>
        <w:rPr>
          <w:rFonts w:hint="eastAsia" w:asciiTheme="minorEastAsia" w:hAnsiTheme="minorEastAsia" w:eastAsiaTheme="minorEastAsia" w:cstheme="minorEastAsia"/>
          <w:bCs/>
          <w:color w:val="auto"/>
          <w:szCs w:val="21"/>
          <w:highlight w:val="none"/>
        </w:rPr>
        <w:t>采购人不再另行通知，潜在供应商须及时关注关于本项目采购信息的更新事项，否则自行承担由此产生的风险。采购文件与更正公告的内容相互矛盾时，以最后发出的更正公告为准。</w:t>
      </w:r>
    </w:p>
    <w:p w14:paraId="745E379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9、其他</w:t>
      </w:r>
    </w:p>
    <w:p w14:paraId="1D0AF41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9.1标前答疑会和</w:t>
      </w:r>
      <w:bookmarkEnd w:id="48"/>
      <w:bookmarkEnd w:id="49"/>
      <w:r>
        <w:rPr>
          <w:rFonts w:hint="eastAsia" w:asciiTheme="minorEastAsia" w:hAnsiTheme="minorEastAsia" w:eastAsiaTheme="minorEastAsia" w:cstheme="minorEastAsia"/>
          <w:bCs/>
          <w:color w:val="auto"/>
          <w:szCs w:val="21"/>
          <w:highlight w:val="none"/>
        </w:rPr>
        <w:t>现场考察</w:t>
      </w:r>
    </w:p>
    <w:p w14:paraId="6101462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9.1.1供应商须知前附表规定组织答疑会或/和现场考察的，采购人按供应商须知前附表规定的时间、地点组织答疑会或考察项目现场，供应商如不参加的，其风险由供应商自行承担，采购人不承担任何责任。采购人不组织现场考察的，供应商可以自行决定是否考察现场。</w:t>
      </w:r>
    </w:p>
    <w:p w14:paraId="0CCE910A">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9.1.2答疑会上，采购人将解答供应商的疑问。会上所有的解答与说明仅供供应商编制响应文件时参考，采购人不对供应商据此作出的判断和决策负责。</w:t>
      </w:r>
    </w:p>
    <w:p w14:paraId="1F90552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9.1.3采购人在考察现场中口头介绍的情况（如有），供供应商在编制响应文件时参考，采购人不对供应商据此作出的判断和决策负责。</w:t>
      </w:r>
    </w:p>
    <w:p w14:paraId="0CB4521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9.1.4采购人不单独或者分别组织只有1个供应商参加的现场考察及标前答疑会。</w:t>
      </w:r>
    </w:p>
    <w:p w14:paraId="312E476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9.1.5供应商自行承担参加答疑或现场考察所发生的一切费用。</w:t>
      </w:r>
    </w:p>
    <w:p w14:paraId="2FF0572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9.2述标和/或演示</w:t>
      </w:r>
    </w:p>
    <w:p w14:paraId="0762B90B">
      <w:pPr>
        <w:pStyle w:val="6"/>
        <w:adjustRightInd w:val="0"/>
        <w:snapToGrid w:val="0"/>
        <w:spacing w:line="360" w:lineRule="auto"/>
        <w:ind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具体要求详见第二章“采购需求”和/或“供应商须知前附表”有关规定。</w:t>
      </w:r>
    </w:p>
    <w:p w14:paraId="78C13B1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bookmarkStart w:id="50" w:name="_Toc246826110"/>
      <w:r>
        <w:rPr>
          <w:rFonts w:hint="eastAsia" w:asciiTheme="minorEastAsia" w:hAnsiTheme="minorEastAsia" w:eastAsiaTheme="minorEastAsia" w:cstheme="minorEastAsia"/>
          <w:bCs/>
          <w:color w:val="auto"/>
          <w:szCs w:val="21"/>
          <w:highlight w:val="none"/>
        </w:rPr>
        <w:t>三、响应文件的编写</w:t>
      </w:r>
      <w:bookmarkEnd w:id="50"/>
    </w:p>
    <w:p w14:paraId="660D6530">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 响应文件的编制要求：供应商应当根据采购文件的要求编制响应文件（包括签名和盖章），否则自行承担由此产生的风险。</w:t>
      </w:r>
    </w:p>
    <w:p w14:paraId="0AD251D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14:paraId="41FA9B8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10.2供应商提供的文件必须真实、充分、全面，并对响应文件所提供全部资料的真实性和合法性承担法律责任。</w:t>
      </w:r>
    </w:p>
    <w:p w14:paraId="51DC7587">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10.3每一单项服务项目只允许有一个报价，否则将被视为无效响应。</w:t>
      </w:r>
    </w:p>
    <w:p w14:paraId="29D1779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10.4只允许供应商有一个响应方案，否则将被视为无效响应。（采购文件允许有备选方案的除外）</w:t>
      </w:r>
    </w:p>
    <w:p w14:paraId="780F6DDC">
      <w:pPr>
        <w:pStyle w:val="7"/>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10.5响应文件的正本、副本和电子版响应文件的数量应当符合采购文件的要求。</w:t>
      </w:r>
    </w:p>
    <w:p w14:paraId="54BF83E3">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10.6响应文件必须编页码，页码必须连续。</w:t>
      </w:r>
    </w:p>
    <w:p w14:paraId="2F33606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10.7响应文件应装订牢固不可拆卸（如：胶订），如因装订不牢固导致的任何损失及风险由供应商承担。</w:t>
      </w:r>
    </w:p>
    <w:p w14:paraId="286BE572">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11. 响应文件语言、货物及计量单位</w:t>
      </w:r>
    </w:p>
    <w:p w14:paraId="4906314F">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11.1除采购文件中另有规定外，供应商提交的响应文件及其与采购人和采购人所有来往文件均应使用中文，若有不同文本，以中文文本为准。非中文的响应文件内容应翻译成中文。</w:t>
      </w:r>
    </w:p>
    <w:p w14:paraId="3D8BDDC8">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11.2货币单位：本次采购项目的响应均以人民币报价。</w:t>
      </w:r>
    </w:p>
    <w:p w14:paraId="6A77D461">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11.3计量单位：除采购文件中另有规定外，供应商在响应文件中及其与采购人所有往来文件中所使用的计量单位均应采用中华人民共和国法定计量单位。</w:t>
      </w:r>
      <w:bookmarkStart w:id="51" w:name="_Toc217446046"/>
    </w:p>
    <w:bookmarkEnd w:id="51"/>
    <w:p w14:paraId="55D6AD1A">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254B41AE">
      <w:pPr>
        <w:pStyle w:val="9"/>
        <w:adjustRightIn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12.1响应文件的商务部分</w:t>
      </w:r>
    </w:p>
    <w:p w14:paraId="1C23842C">
      <w:pPr>
        <w:pStyle w:val="9"/>
        <w:adjustRightIn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 商务部分是证明供应商是合格的，并且在成交后有能力履行合同的证明文件，这些文件可以是但不限于文字资料、证书复印件和数据报表等。</w:t>
      </w:r>
    </w:p>
    <w:p w14:paraId="285545EF">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12.1.2 不满足商务部分实质性要求的将视为无效响应。</w:t>
      </w:r>
    </w:p>
    <w:p w14:paraId="225157F3">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12.2 响应文件的技术部分</w:t>
      </w:r>
    </w:p>
    <w:p w14:paraId="5F0CF57A">
      <w:pPr>
        <w:pStyle w:val="9"/>
        <w:adjustRightIn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14:paraId="28F5D526">
      <w:pPr>
        <w:autoSpaceDE w:val="0"/>
        <w:autoSpaceDN w:val="0"/>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12.3 响应文件的价格部分 </w:t>
      </w:r>
    </w:p>
    <w:p w14:paraId="422DAD7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效响应。</w:t>
      </w:r>
    </w:p>
    <w:p w14:paraId="48D6516E">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12.4 响应文件的其他部分</w:t>
      </w:r>
    </w:p>
    <w:p w14:paraId="26EBDB2A">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其他部分由供应商根据编制响应文件需要提供的其他相关文件组成。</w:t>
      </w:r>
    </w:p>
    <w:p w14:paraId="5A02D67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13、响应有效期</w:t>
      </w:r>
    </w:p>
    <w:p w14:paraId="6F7B74FC">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13.1 响应文件从“供应商须知前附表”所规定的响应文件递交截止期之后开始生效，在“供应商须知前附表”所规定的响应有效期期限内保持有效。有效期不足将导致其响应无效。</w:t>
      </w:r>
    </w:p>
    <w:p w14:paraId="5B25B25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不同意延长响应有效期的，响应有效期满自动失效。</w:t>
      </w:r>
    </w:p>
    <w:p w14:paraId="11A042B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14、响应保证金</w:t>
      </w:r>
    </w:p>
    <w:p w14:paraId="7D57BC0F">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14.1 如项目需交纳响应保证金，则响应保证金为响应文件的组成部分之一。</w:t>
      </w:r>
    </w:p>
    <w:p w14:paraId="2AC8E14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14.2 供应商应在提交响应文件之前向采购人交纳“供应商须知前附表”所规定的响应保证金。联合体响应的，由联合体中的一方提交响应保证金，以一方名义提交响应保证金的，对联合体各方均具有约束力。</w:t>
      </w:r>
    </w:p>
    <w:p w14:paraId="785A030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14.3 响应保证金用于保护本次采购活动免受供应商的行为而引起的风险。</w:t>
      </w:r>
    </w:p>
    <w:p w14:paraId="5A38287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14.4 供应商未按采购文件要求提交响应保证金的，视为无效响应；项目免收响应保证金的除外。</w:t>
      </w:r>
    </w:p>
    <w:p w14:paraId="33C3408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14.5 未成交供应商的响应保证金将在成交通知书发出后5个工作日内退还，成交供应商的响应保证金将在合同送达采购人存档及公告后5个工作日内退还。</w:t>
      </w:r>
    </w:p>
    <w:p w14:paraId="2C5A54D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14.6 响应保证金的有效期与响应有效期一致。</w:t>
      </w:r>
    </w:p>
    <w:p w14:paraId="7864355E">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14.7供应商交纳响应保证金的单位名称须与响应的单位名称一致，否则自行承担响应无效的风险。</w:t>
      </w:r>
    </w:p>
    <w:p w14:paraId="3CCE691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14.8 发生以下情况之一的，响应保证金将不予退还：</w:t>
      </w:r>
    </w:p>
    <w:p w14:paraId="41A7D63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（1）供应商在响应有效期内撤回已提交的响应文件的；</w:t>
      </w:r>
    </w:p>
    <w:p w14:paraId="0455FD9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（2）供应商在响应文件中提供虚假材料的；</w:t>
      </w:r>
    </w:p>
    <w:p w14:paraId="0298DF4E">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（3）除因不可抗力或采购文件认可的情形以外，成交供应商放弃成交资格的；</w:t>
      </w:r>
    </w:p>
    <w:p w14:paraId="2D2A007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（4）供应商与采购人、其他供应商或者采购人恶意串通的；</w:t>
      </w:r>
    </w:p>
    <w:p w14:paraId="2F43331E">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（5）成交供应商无正当理由不与采购人签订合同的；</w:t>
      </w:r>
    </w:p>
    <w:p w14:paraId="4941BEE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（6）供应商有违反政府采购法律、法规和扰乱会场秩序行为的；</w:t>
      </w:r>
    </w:p>
    <w:p w14:paraId="667AAD3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（7）拒绝履行合同义务的；</w:t>
      </w:r>
    </w:p>
    <w:p w14:paraId="6DC1A0A4">
      <w:pPr>
        <w:pStyle w:val="17"/>
        <w:ind w:left="0" w:leftChars="0"/>
        <w:rPr>
          <w:rFonts w:eastAsiaTheme="minorEastAsia"/>
          <w:color w:val="auto"/>
          <w:highlight w:val="none"/>
        </w:rPr>
      </w:pPr>
      <w:r>
        <w:rPr>
          <w:rFonts w:hint="eastAsia" w:asciiTheme="minorEastAsia" w:hAnsiTheme="minorEastAsia" w:eastAsiaTheme="minorEastAsia" w:cstheme="minorEastAsia"/>
          <w:color w:val="auto"/>
          <w:highlight w:val="none"/>
        </w:rPr>
        <w:t>（8）法律法规及采购文件规定的其他情形。</w:t>
      </w:r>
    </w:p>
    <w:p w14:paraId="2E7192A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上述不予退还响应保证金的情况给采购人或采购人造成损失的，还要承担赔偿责任。</w:t>
      </w:r>
    </w:p>
    <w:p w14:paraId="3E885039">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 响应文件的格式及签署</w:t>
      </w:r>
    </w:p>
    <w:p w14:paraId="1D3813EB">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highlight w:val="none"/>
        </w:rPr>
        <w:t>15.1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仅使用纸质响应文件）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w:t>
      </w:r>
      <w:r>
        <w:rPr>
          <w:rFonts w:hint="eastAsia" w:asciiTheme="minorEastAsia" w:hAnsiTheme="minorEastAsia" w:eastAsiaTheme="minorEastAsia" w:cstheme="minorEastAsia"/>
          <w:bCs/>
          <w:color w:val="auto"/>
          <w:sz w:val="21"/>
          <w:szCs w:val="21"/>
          <w:lang w:val="en-US" w:eastAsia="zh-CN"/>
        </w:rPr>
        <w:t>贰</w:t>
      </w:r>
      <w:r>
        <w:rPr>
          <w:rFonts w:hint="eastAsia" w:asciiTheme="minorEastAsia" w:hAnsiTheme="minorEastAsia" w:eastAsiaTheme="minorEastAsia" w:cstheme="minorEastAsia"/>
          <w:bCs/>
          <w:color w:val="auto"/>
          <w:sz w:val="21"/>
          <w:szCs w:val="21"/>
        </w:rPr>
        <w:t>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14:paraId="5F43F02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15.2响应文件应当由供应商的法定代表人或经其正式授权的代表签字，授权代表须出具书面的法定代表人授权委托书并附载响应文件中，否则视为无效响应文件；</w:t>
      </w:r>
    </w:p>
    <w:p w14:paraId="0FDA48D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15.3响应文件所使用的印章必须为单位公章，且与供应商单位名称完全一致，不能以其他业务章或附属机构印章代替，否则视为无效响应文件；</w:t>
      </w:r>
    </w:p>
    <w:p w14:paraId="4FDF6A0A">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15.4响应文件中的任何行间插字，涂改和增删，须由法定代表人或经其正式授权的代表在旁边签字方可有效；</w:t>
      </w:r>
    </w:p>
    <w:p w14:paraId="52DE930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15.5供应商应按照采购文件第六章中提供的“响应文件格式”编制响应文件，如自有格式并按其格式编制的响应文件，其内容必须包含“响应文件格式”中所有的实质性内容并受其约束。</w:t>
      </w:r>
    </w:p>
    <w:p w14:paraId="69D5687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15.6供应商须将响应文件的商务部分、技术部分和价格部分整合为一份响应文件，并制作详细目录、页码索引。</w:t>
      </w:r>
    </w:p>
    <w:p w14:paraId="0C679690">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15.7响应文件因字迹潦草或表达不清所引起的后果由供应商负责。</w:t>
      </w:r>
    </w:p>
    <w:p w14:paraId="1CB850D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bookmarkStart w:id="52" w:name="_Toc246826111"/>
      <w:r>
        <w:rPr>
          <w:rFonts w:hint="eastAsia" w:asciiTheme="minorEastAsia" w:hAnsiTheme="minorEastAsia" w:eastAsiaTheme="minorEastAsia" w:cstheme="minorEastAsia"/>
          <w:bCs/>
          <w:color w:val="auto"/>
          <w:szCs w:val="21"/>
          <w:highlight w:val="none"/>
        </w:rPr>
        <w:t>四、响应文件的提交</w:t>
      </w:r>
      <w:bookmarkEnd w:id="52"/>
    </w:p>
    <w:p w14:paraId="5A3B06EC">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16.响应文件的密封和递交</w:t>
      </w:r>
    </w:p>
    <w:p w14:paraId="48E63EDC">
      <w:pPr>
        <w:pStyle w:val="7"/>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16.1 供应商应将纸质版响应文件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bCs/>
          <w:color w:val="auto"/>
          <w:szCs w:val="21"/>
          <w:highlight w:val="none"/>
        </w:rPr>
        <w:t>电子版响应文件（PDF格式）密封提交，响应文件密封袋上标示“供应商须知前附表”所规定的内容。</w:t>
      </w:r>
    </w:p>
    <w:p w14:paraId="6E483F1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16.2电子版响应文件U盘应密封提交。</w:t>
      </w:r>
    </w:p>
    <w:p w14:paraId="217BF46C">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16.3供应商应将响应文件按照本须知正文第16.1条及16.2的规定进行密封和标记后，按第一章/比选公告注明的递交响应文件地址送至采购人指定地点。</w:t>
      </w:r>
    </w:p>
    <w:p w14:paraId="4FC527A4">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16.4如果未按上述规定进行密封和标记，采购人将不承担由此造成的对响应文件的误投或提前拆封的责任。</w:t>
      </w:r>
    </w:p>
    <w:p w14:paraId="6C1301E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16.5响应文件应在第一章/比选公告中所规定的响应文件递交截止时间前送达，迟到的响应文件为无效响应文件, 将被拒收；未按照采购文件要求密封的响应文件将被拒收。</w:t>
      </w:r>
    </w:p>
    <w:p w14:paraId="5F1D956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yellow"/>
        </w:rPr>
      </w:pPr>
      <w:bookmarkStart w:id="53" w:name="_Toc183682365"/>
      <w:bookmarkStart w:id="54" w:name="_Toc183582228"/>
      <w:bookmarkStart w:id="55" w:name="_Toc217446055"/>
      <w:r>
        <w:rPr>
          <w:rFonts w:hint="eastAsia" w:asciiTheme="minorEastAsia" w:hAnsiTheme="minorEastAsia" w:eastAsiaTheme="minorEastAsia" w:cstheme="minorEastAsia"/>
          <w:bCs/>
          <w:color w:val="auto"/>
          <w:sz w:val="21"/>
          <w:szCs w:val="21"/>
          <w:highlight w:val="yellow"/>
        </w:rPr>
        <w:t>16.</w:t>
      </w:r>
      <w:r>
        <w:rPr>
          <w:rFonts w:hint="eastAsia" w:asciiTheme="minorEastAsia" w:hAnsiTheme="minorEastAsia" w:eastAsiaTheme="minorEastAsia" w:cstheme="minorEastAsia"/>
          <w:bCs/>
          <w:color w:val="auto"/>
          <w:sz w:val="21"/>
          <w:szCs w:val="21"/>
          <w:highlight w:val="yellow"/>
          <w:lang w:val="en-US" w:eastAsia="zh-CN"/>
        </w:rPr>
        <w:t>6</w:t>
      </w:r>
      <w:r>
        <w:rPr>
          <w:rFonts w:hint="eastAsia" w:asciiTheme="minorEastAsia" w:hAnsiTheme="minorEastAsia" w:eastAsiaTheme="minorEastAsia" w:cstheme="minorEastAsia"/>
          <w:bCs/>
          <w:color w:val="auto"/>
          <w:sz w:val="21"/>
          <w:szCs w:val="21"/>
          <w:highlight w:val="yellow"/>
        </w:rPr>
        <w:t>截至</w:t>
      </w:r>
      <w:r>
        <w:rPr>
          <w:rFonts w:hint="eastAsia" w:asciiTheme="minorEastAsia" w:hAnsiTheme="minorEastAsia" w:eastAsiaTheme="minorEastAsia" w:cstheme="minorEastAsia"/>
          <w:bCs/>
          <w:color w:val="auto"/>
          <w:sz w:val="21"/>
          <w:szCs w:val="21"/>
          <w:highlight w:val="yellow"/>
          <w:lang w:eastAsia="zh-CN"/>
        </w:rPr>
        <w:t>响应文件递交截止时间</w:t>
      </w:r>
      <w:r>
        <w:rPr>
          <w:rFonts w:hint="eastAsia" w:asciiTheme="minorEastAsia" w:hAnsiTheme="minorEastAsia" w:eastAsiaTheme="minorEastAsia" w:cstheme="minorEastAsia"/>
          <w:bCs/>
          <w:color w:val="auto"/>
          <w:sz w:val="21"/>
          <w:szCs w:val="21"/>
          <w:highlight w:val="yellow"/>
        </w:rPr>
        <w:t>，参加</w:t>
      </w:r>
      <w:r>
        <w:rPr>
          <w:rFonts w:hint="eastAsia" w:asciiTheme="minorEastAsia" w:hAnsiTheme="minorEastAsia" w:eastAsiaTheme="minorEastAsia" w:cstheme="minorEastAsia"/>
          <w:bCs/>
          <w:color w:val="auto"/>
          <w:sz w:val="21"/>
          <w:szCs w:val="21"/>
          <w:highlight w:val="yellow"/>
          <w:lang w:val="en-US" w:eastAsia="zh-CN"/>
        </w:rPr>
        <w:t>响应</w:t>
      </w:r>
      <w:r>
        <w:rPr>
          <w:rFonts w:hint="eastAsia" w:asciiTheme="minorEastAsia" w:hAnsiTheme="minorEastAsia" w:eastAsiaTheme="minorEastAsia" w:cstheme="minorEastAsia"/>
          <w:bCs/>
          <w:color w:val="auto"/>
          <w:sz w:val="21"/>
          <w:szCs w:val="21"/>
          <w:highlight w:val="yellow"/>
        </w:rPr>
        <w:t>的供应商（以开标会场签到为准）不足三家的，予以废标，</w:t>
      </w:r>
      <w:r>
        <w:rPr>
          <w:rFonts w:hint="eastAsia" w:asciiTheme="minorEastAsia" w:hAnsiTheme="minorEastAsia" w:eastAsiaTheme="minorEastAsia" w:cstheme="minorEastAsia"/>
          <w:bCs/>
          <w:color w:val="auto"/>
          <w:sz w:val="21"/>
          <w:szCs w:val="21"/>
          <w:highlight w:val="yellow"/>
          <w:lang w:eastAsia="zh-CN"/>
        </w:rPr>
        <w:t>响应文件</w:t>
      </w:r>
      <w:r>
        <w:rPr>
          <w:rFonts w:hint="eastAsia" w:asciiTheme="minorEastAsia" w:hAnsiTheme="minorEastAsia" w:eastAsiaTheme="minorEastAsia" w:cstheme="minorEastAsia"/>
          <w:bCs/>
          <w:color w:val="auto"/>
          <w:sz w:val="21"/>
          <w:szCs w:val="21"/>
          <w:highlight w:val="yellow"/>
        </w:rPr>
        <w:t>不予拆封，由</w:t>
      </w:r>
      <w:r>
        <w:rPr>
          <w:rFonts w:hint="eastAsia" w:asciiTheme="minorEastAsia" w:hAnsiTheme="minorEastAsia" w:eastAsiaTheme="minorEastAsia" w:cstheme="minorEastAsia"/>
          <w:bCs/>
          <w:color w:val="auto"/>
          <w:sz w:val="21"/>
          <w:szCs w:val="21"/>
          <w:highlight w:val="yellow"/>
          <w:lang w:eastAsia="zh-CN"/>
        </w:rPr>
        <w:t>供应商</w:t>
      </w:r>
      <w:r>
        <w:rPr>
          <w:rFonts w:hint="eastAsia" w:asciiTheme="minorEastAsia" w:hAnsiTheme="minorEastAsia" w:eastAsiaTheme="minorEastAsia" w:cstheme="minorEastAsia"/>
          <w:bCs/>
          <w:color w:val="auto"/>
          <w:sz w:val="21"/>
          <w:szCs w:val="21"/>
          <w:highlight w:val="yellow"/>
        </w:rPr>
        <w:t>自行处理；</w:t>
      </w:r>
    </w:p>
    <w:p w14:paraId="7FEA9669">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lang w:val="en-US" w:eastAsia="zh-CN"/>
        </w:rPr>
        <w:t>16.7</w:t>
      </w:r>
      <w:r>
        <w:rPr>
          <w:rFonts w:hint="eastAsia" w:asciiTheme="minorEastAsia" w:hAnsiTheme="minorEastAsia" w:eastAsiaTheme="minorEastAsia" w:cstheme="minorEastAsia"/>
          <w:bCs/>
          <w:color w:val="auto"/>
          <w:sz w:val="21"/>
          <w:szCs w:val="21"/>
          <w:highlight w:val="yellow"/>
        </w:rPr>
        <w:t>参加</w:t>
      </w:r>
      <w:r>
        <w:rPr>
          <w:rFonts w:hint="eastAsia" w:asciiTheme="minorEastAsia" w:hAnsiTheme="minorEastAsia" w:eastAsiaTheme="minorEastAsia" w:cstheme="minorEastAsia"/>
          <w:bCs/>
          <w:color w:val="auto"/>
          <w:sz w:val="21"/>
          <w:szCs w:val="21"/>
          <w:highlight w:val="yellow"/>
          <w:lang w:eastAsia="zh-CN"/>
        </w:rPr>
        <w:t>供应商</w:t>
      </w:r>
      <w:r>
        <w:rPr>
          <w:rFonts w:hint="eastAsia" w:asciiTheme="minorEastAsia" w:hAnsiTheme="minorEastAsia" w:eastAsiaTheme="minorEastAsia" w:cstheme="minorEastAsia"/>
          <w:bCs/>
          <w:color w:val="auto"/>
          <w:sz w:val="21"/>
          <w:szCs w:val="21"/>
          <w:highlight w:val="yellow"/>
        </w:rPr>
        <w:t>数量满足三家或以上的，同一时间予以开标，开标后，</w:t>
      </w:r>
      <w:r>
        <w:rPr>
          <w:rFonts w:hint="eastAsia" w:asciiTheme="minorEastAsia" w:hAnsiTheme="minorEastAsia" w:eastAsiaTheme="minorEastAsia" w:cstheme="minorEastAsia"/>
          <w:bCs/>
          <w:color w:val="auto"/>
          <w:sz w:val="21"/>
          <w:szCs w:val="21"/>
          <w:highlight w:val="yellow"/>
          <w:lang w:eastAsia="zh-CN"/>
        </w:rPr>
        <w:t>响应文件</w:t>
      </w:r>
      <w:r>
        <w:rPr>
          <w:rFonts w:hint="eastAsia" w:asciiTheme="minorEastAsia" w:hAnsiTheme="minorEastAsia" w:eastAsiaTheme="minorEastAsia" w:cstheme="minorEastAsia"/>
          <w:bCs/>
          <w:color w:val="auto"/>
          <w:sz w:val="21"/>
          <w:szCs w:val="21"/>
          <w:highlight w:val="yellow"/>
        </w:rPr>
        <w:t>一律不予退还。</w:t>
      </w:r>
    </w:p>
    <w:p w14:paraId="539A5BC9">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highlight w:val="yellow"/>
          <w:lang w:val="en-US" w:eastAsia="zh-CN"/>
        </w:rPr>
      </w:pPr>
      <w:r>
        <w:rPr>
          <w:rFonts w:hint="eastAsia" w:asciiTheme="minorEastAsia" w:hAnsiTheme="minorEastAsia" w:eastAsiaTheme="minorEastAsia" w:cstheme="minorEastAsia"/>
          <w:bCs/>
          <w:color w:val="auto"/>
          <w:sz w:val="21"/>
          <w:szCs w:val="21"/>
          <w:highlight w:val="yellow"/>
          <w:lang w:val="en-US" w:eastAsia="zh-CN"/>
        </w:rPr>
        <w:t>16.8</w:t>
      </w:r>
      <w:r>
        <w:rPr>
          <w:rFonts w:hint="eastAsia" w:asciiTheme="minorEastAsia" w:hAnsiTheme="minorEastAsia" w:eastAsiaTheme="minorEastAsia" w:cstheme="minorEastAsia"/>
          <w:bCs/>
          <w:color w:val="auto"/>
          <w:sz w:val="21"/>
          <w:szCs w:val="21"/>
          <w:highlight w:val="yellow"/>
        </w:rPr>
        <w:t>接受邮寄</w:t>
      </w:r>
      <w:r>
        <w:rPr>
          <w:rFonts w:hint="eastAsia" w:asciiTheme="minorEastAsia" w:hAnsiTheme="minorEastAsia" w:eastAsiaTheme="minorEastAsia" w:cstheme="minorEastAsia"/>
          <w:bCs/>
          <w:color w:val="auto"/>
          <w:sz w:val="21"/>
          <w:szCs w:val="21"/>
          <w:highlight w:val="yellow"/>
          <w:lang w:eastAsia="zh-CN"/>
        </w:rPr>
        <w:t>的响应文件，</w:t>
      </w:r>
      <w:r>
        <w:rPr>
          <w:rFonts w:hint="eastAsia" w:asciiTheme="minorEastAsia" w:hAnsiTheme="minorEastAsia" w:eastAsiaTheme="minorEastAsia" w:cstheme="minorEastAsia"/>
          <w:bCs/>
          <w:color w:val="auto"/>
          <w:sz w:val="21"/>
          <w:szCs w:val="21"/>
          <w:highlight w:val="yellow"/>
          <w:lang w:val="en-US" w:eastAsia="zh-CN"/>
        </w:rPr>
        <w:t>但必须密封完整</w:t>
      </w:r>
      <w:r>
        <w:rPr>
          <w:rFonts w:hint="eastAsia" w:asciiTheme="minorEastAsia" w:hAnsiTheme="minorEastAsia" w:eastAsiaTheme="minorEastAsia" w:cstheme="minorEastAsia"/>
          <w:bCs/>
          <w:color w:val="auto"/>
          <w:sz w:val="21"/>
          <w:szCs w:val="21"/>
          <w:highlight w:val="yellow"/>
        </w:rPr>
        <w:t>。</w:t>
      </w:r>
    </w:p>
    <w:p w14:paraId="636255E1">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17.响应文件的修改和撤</w:t>
      </w:r>
      <w:bookmarkEnd w:id="53"/>
      <w:bookmarkEnd w:id="54"/>
      <w:r>
        <w:rPr>
          <w:rFonts w:hint="eastAsia" w:asciiTheme="minorEastAsia" w:hAnsiTheme="minorEastAsia" w:eastAsiaTheme="minorEastAsia" w:cstheme="minorEastAsia"/>
          <w:bCs/>
          <w:color w:val="auto"/>
          <w:szCs w:val="21"/>
          <w:highlight w:val="none"/>
        </w:rPr>
        <w:t>回</w:t>
      </w:r>
      <w:bookmarkEnd w:id="55"/>
    </w:p>
    <w:p w14:paraId="557ABEC3">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56" w:name="_Toc246826112"/>
      <w:r>
        <w:rPr>
          <w:rFonts w:hint="eastAsia" w:asciiTheme="minorEastAsia" w:hAnsiTheme="minorEastAsia" w:eastAsiaTheme="minorEastAsia" w:cstheme="minorEastAsia"/>
          <w:bCs/>
          <w:color w:val="auto"/>
          <w:szCs w:val="21"/>
          <w:highlight w:val="none"/>
        </w:rPr>
        <w:t>17.l 供应商在提交响应文件后可对其进行修改或撤回，但必须使采购人在响应文件递交截止时间前收到该修改的书面内容或撤回的书面通知。</w:t>
      </w:r>
    </w:p>
    <w:p w14:paraId="0FAE0F5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14:paraId="536F58E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17.3 供应商不得在响应文件递交截止时间以后修改或/和撤回响应文件。</w:t>
      </w:r>
    </w:p>
    <w:p w14:paraId="4C7B83FE">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五、开标与</w:t>
      </w:r>
      <w:bookmarkEnd w:id="56"/>
      <w:r>
        <w:rPr>
          <w:rFonts w:hint="eastAsia" w:asciiTheme="minorEastAsia" w:hAnsiTheme="minorEastAsia" w:eastAsiaTheme="minorEastAsia" w:cstheme="minorEastAsia"/>
          <w:bCs/>
          <w:color w:val="auto"/>
          <w:szCs w:val="21"/>
          <w:highlight w:val="none"/>
        </w:rPr>
        <w:t>评审</w:t>
      </w:r>
    </w:p>
    <w:p w14:paraId="05C4DADC">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18．开标</w:t>
      </w:r>
    </w:p>
    <w:p w14:paraId="12062374">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18.1 在第一章/比选公告所规定的开标时间和地点开标。</w:t>
      </w:r>
    </w:p>
    <w:p w14:paraId="2A70DF6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yellow"/>
        </w:rPr>
      </w:pPr>
      <w:r>
        <w:rPr>
          <w:rFonts w:hint="eastAsia" w:asciiTheme="minorEastAsia" w:hAnsiTheme="minorEastAsia" w:eastAsiaTheme="minorEastAsia" w:cstheme="minorEastAsia"/>
          <w:bCs/>
          <w:color w:val="auto"/>
          <w:szCs w:val="21"/>
          <w:highlight w:val="yellow"/>
        </w:rPr>
        <w:t>18.2开标时，供应商法定代表人或法人授权的供应商授权代表须携带个人身份证（或其他有效证件）复印件和授权委托书原件亲自出席开标会并确认开标情况。如果不参加开标会议的，则视为认可开标情况。</w:t>
      </w:r>
    </w:p>
    <w:p w14:paraId="66084F21">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18.3 开标时，由供应商代表或采购人内部监督部门，检查响应文件的密封情况。供应商认为响应文件存在密封有瑕疵情形的，现场应如实记录，由评审委员会对响应文件实质性有效与否作出判断，由此产生的风险由供应商自行承担。</w:t>
      </w:r>
    </w:p>
    <w:p w14:paraId="4246947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18.4开标程序详见“供应商须知前附表”。</w:t>
      </w:r>
    </w:p>
    <w:p w14:paraId="4528A40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18.5唱标要求详见“供应商须知前附表”。</w:t>
      </w:r>
    </w:p>
    <w:p w14:paraId="2F9C15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rPr>
        <w:t>18.6资格审查：开标结束后，先对</w:t>
      </w:r>
      <w:r>
        <w:rPr>
          <w:rFonts w:hint="eastAsia" w:asciiTheme="minorEastAsia" w:hAnsiTheme="minorEastAsia" w:eastAsiaTheme="minorEastAsia" w:cstheme="minorEastAsia"/>
          <w:bCs/>
          <w:color w:val="auto"/>
          <w:sz w:val="21"/>
          <w:szCs w:val="21"/>
          <w:highlight w:val="yellow"/>
          <w:lang w:eastAsia="zh-CN"/>
        </w:rPr>
        <w:t>供应商</w:t>
      </w:r>
      <w:r>
        <w:rPr>
          <w:rFonts w:hint="eastAsia" w:asciiTheme="minorEastAsia" w:hAnsiTheme="minorEastAsia" w:eastAsiaTheme="minorEastAsia" w:cstheme="minorEastAsia"/>
          <w:bCs/>
          <w:color w:val="auto"/>
          <w:sz w:val="21"/>
          <w:szCs w:val="21"/>
          <w:highlight w:val="yellow"/>
        </w:rPr>
        <w:t>的资格进行审查，以确定其是否具备合格的</w:t>
      </w:r>
      <w:r>
        <w:rPr>
          <w:rFonts w:hint="eastAsia" w:asciiTheme="minorEastAsia" w:hAnsiTheme="minorEastAsia" w:eastAsiaTheme="minorEastAsia" w:cstheme="minorEastAsia"/>
          <w:bCs/>
          <w:color w:val="auto"/>
          <w:sz w:val="21"/>
          <w:szCs w:val="21"/>
          <w:highlight w:val="yellow"/>
          <w:lang w:eastAsia="zh-CN"/>
        </w:rPr>
        <w:t>响应</w:t>
      </w:r>
      <w:r>
        <w:rPr>
          <w:rFonts w:hint="eastAsia" w:asciiTheme="minorEastAsia" w:hAnsiTheme="minorEastAsia" w:eastAsiaTheme="minorEastAsia" w:cstheme="minorEastAsia"/>
          <w:bCs/>
          <w:color w:val="auto"/>
          <w:sz w:val="21"/>
          <w:szCs w:val="21"/>
          <w:highlight w:val="yellow"/>
        </w:rPr>
        <w:t>资格，合格</w:t>
      </w:r>
      <w:r>
        <w:rPr>
          <w:rFonts w:hint="eastAsia" w:asciiTheme="minorEastAsia" w:hAnsiTheme="minorEastAsia" w:eastAsiaTheme="minorEastAsia" w:cstheme="minorEastAsia"/>
          <w:bCs/>
          <w:color w:val="auto"/>
          <w:sz w:val="21"/>
          <w:szCs w:val="21"/>
          <w:highlight w:val="yellow"/>
          <w:lang w:eastAsia="zh-CN"/>
        </w:rPr>
        <w:t>供应商</w:t>
      </w:r>
      <w:r>
        <w:rPr>
          <w:rFonts w:hint="eastAsia" w:asciiTheme="minorEastAsia" w:hAnsiTheme="minorEastAsia" w:eastAsiaTheme="minorEastAsia" w:cstheme="minorEastAsia"/>
          <w:bCs/>
          <w:color w:val="auto"/>
          <w:sz w:val="21"/>
          <w:szCs w:val="21"/>
          <w:highlight w:val="yellow"/>
        </w:rPr>
        <w:t>不足3家的，不得</w:t>
      </w:r>
      <w:r>
        <w:rPr>
          <w:rFonts w:hint="eastAsia" w:asciiTheme="minorEastAsia" w:hAnsiTheme="minorEastAsia" w:eastAsiaTheme="minorEastAsia" w:cstheme="minorEastAsia"/>
          <w:bCs/>
          <w:color w:val="auto"/>
          <w:sz w:val="21"/>
          <w:szCs w:val="21"/>
          <w:highlight w:val="yellow"/>
          <w:lang w:eastAsia="zh-CN"/>
        </w:rPr>
        <w:t>评审</w:t>
      </w:r>
      <w:r>
        <w:rPr>
          <w:rFonts w:hint="eastAsia" w:asciiTheme="minorEastAsia" w:hAnsiTheme="minorEastAsia" w:eastAsiaTheme="minorEastAsia" w:cstheme="minorEastAsia"/>
          <w:bCs/>
          <w:color w:val="auto"/>
          <w:sz w:val="21"/>
          <w:szCs w:val="21"/>
          <w:highlight w:val="yellow"/>
        </w:rPr>
        <w:t>。依据法律法规和采购文件的规定，资格审查内容是指采购文件对</w:t>
      </w:r>
      <w:r>
        <w:rPr>
          <w:rFonts w:hint="eastAsia" w:asciiTheme="minorEastAsia" w:hAnsiTheme="minorEastAsia" w:eastAsiaTheme="minorEastAsia" w:cstheme="minorEastAsia"/>
          <w:bCs/>
          <w:color w:val="auto"/>
          <w:sz w:val="21"/>
          <w:szCs w:val="21"/>
          <w:highlight w:val="yellow"/>
          <w:lang w:eastAsia="zh-CN"/>
        </w:rPr>
        <w:t>供应商</w:t>
      </w:r>
      <w:r>
        <w:rPr>
          <w:rFonts w:hint="eastAsia" w:asciiTheme="minorEastAsia" w:hAnsiTheme="minorEastAsia" w:eastAsiaTheme="minorEastAsia" w:cstheme="minorEastAsia"/>
          <w:bCs/>
          <w:color w:val="auto"/>
          <w:sz w:val="21"/>
          <w:szCs w:val="21"/>
          <w:highlight w:val="yellow"/>
        </w:rPr>
        <w:t>的资格要求等内容，详见《资格审查表》。</w:t>
      </w:r>
    </w:p>
    <w:p w14:paraId="364BF3A0">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19、评审</w:t>
      </w:r>
    </w:p>
    <w:p w14:paraId="3431E33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19.1评审委员会</w:t>
      </w:r>
    </w:p>
    <w:p w14:paraId="089D859F">
      <w:pPr>
        <w:pStyle w:val="7"/>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19.1.1评审委员会由采购人各部门代表组成，成员人数应当为3人以上单数。</w:t>
      </w:r>
    </w:p>
    <w:p w14:paraId="25BF5F5B">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19.1.2评审委员会成员与供应商有下列利害关系之一的，应当回避：</w:t>
      </w:r>
    </w:p>
    <w:p w14:paraId="5C8501BE">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（1）参加采购活动前3年内与供应商存在劳动关系；</w:t>
      </w:r>
    </w:p>
    <w:p w14:paraId="0DB570AC">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（2）参加采购活动前3年内担任供应商的董事、监事；</w:t>
      </w:r>
    </w:p>
    <w:p w14:paraId="7BBE1997">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（3）参加采购活动前3年内是供应商的控股股东或者实际控制人；</w:t>
      </w:r>
    </w:p>
    <w:p w14:paraId="1D9D2BF1">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（4）与供应商的法定代表人或者负责人有夫妻、直系血亲、三代以内旁系血亲或者近姻亲关系；</w:t>
      </w:r>
    </w:p>
    <w:p w14:paraId="6BAA489C">
      <w:pPr>
        <w:snapToGrid w:val="0"/>
        <w:spacing w:line="360" w:lineRule="auto"/>
        <w:ind w:firstLine="420" w:firstLineChars="200"/>
        <w:outlineLvl w:val="1"/>
        <w:rPr>
          <w:rFonts w:hint="eastAsia" w:ascii="宋体" w:hAnsi="宋体" w:cs="宋体"/>
          <w:bCs/>
          <w:color w:val="auto"/>
          <w:szCs w:val="21"/>
          <w:highlight w:val="none"/>
        </w:rPr>
      </w:pPr>
      <w:r>
        <w:rPr>
          <w:rFonts w:hint="eastAsia" w:ascii="宋体" w:hAnsi="宋体" w:cs="宋体"/>
          <w:bCs/>
          <w:color w:val="auto"/>
          <w:szCs w:val="21"/>
          <w:highlight w:val="none"/>
        </w:rPr>
        <w:t>（5）与供应商有其他可能影响政府采购活动公平、公正进行的关系。</w:t>
      </w:r>
    </w:p>
    <w:p w14:paraId="6491F149">
      <w:pPr>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宋体" w:hAnsi="宋体" w:cs="宋体"/>
          <w:bCs/>
          <w:color w:val="auto"/>
          <w:szCs w:val="21"/>
          <w:highlight w:val="none"/>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14:paraId="0220D458">
      <w:pPr>
        <w:pStyle w:val="7"/>
        <w:adjustRightInd w:val="0"/>
        <w:snapToGrid w:val="0"/>
        <w:spacing w:line="360" w:lineRule="auto"/>
        <w:ind w:firstLine="420" w:firstLineChars="200"/>
        <w:rPr>
          <w:rFonts w:hint="eastAsia" w:ascii="宋体" w:hAnsi="宋体" w:cs="宋体"/>
          <w:bCs/>
          <w:color w:val="auto"/>
          <w:szCs w:val="21"/>
          <w:highlight w:val="none"/>
        </w:rPr>
      </w:pPr>
      <w:r>
        <w:rPr>
          <w:rFonts w:hint="eastAsia" w:asciiTheme="minorEastAsia" w:hAnsiTheme="minorEastAsia" w:eastAsiaTheme="minorEastAsia" w:cstheme="minorEastAsia"/>
          <w:bCs/>
          <w:color w:val="auto"/>
          <w:szCs w:val="21"/>
          <w:highlight w:val="none"/>
        </w:rPr>
        <w:t>19.1.3</w:t>
      </w:r>
      <w:r>
        <w:rPr>
          <w:rFonts w:hint="eastAsia" w:ascii="宋体" w:hAnsi="宋体" w:cs="宋体"/>
          <w:bCs/>
          <w:color w:val="auto"/>
          <w:szCs w:val="21"/>
          <w:highlight w:val="none"/>
        </w:rPr>
        <w:t>评审委员会将严格遵守评审工作纪律，按照客观、公正、审慎的原则，根据采购文件规定的评审程序、评审方法和评审标准进行独立评审。</w:t>
      </w:r>
    </w:p>
    <w:p w14:paraId="3648F87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 响应文件的评审</w:t>
      </w:r>
    </w:p>
    <w:p w14:paraId="1ED79CD0">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19.2.1 要求</w:t>
      </w:r>
    </w:p>
    <w:p w14:paraId="3CCEBA3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审委员会对所有供应商的评审，都采用相同的程序和标准并严格按照采购文件的要求和条件进行。评审委员会决定响应文件是否实质性响应只根据响应文件本身的内容，以及述标和/或演示内容（如果有），而不寻求其他的外部证据。</w:t>
      </w:r>
    </w:p>
    <w:p w14:paraId="430B8D5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19.2.2 符合性审查：依据采购文件的规定，评审委员会将从响应文件的有效性、完整性和对采购文件的响应程度进行审查，以确定是否符合对采购文件的实质性要求作出响应。</w:t>
      </w:r>
    </w:p>
    <w:p w14:paraId="2D1B4B21">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19.2.3 响应文件的澄清 </w:t>
      </w:r>
    </w:p>
    <w:p w14:paraId="1CCCCCA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14:paraId="2E5BDE8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19.2.3.2算术错误将按以下方法更正：</w:t>
      </w:r>
    </w:p>
    <w:p w14:paraId="6B85B20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（1）响应文件中开标一览表（报价表）内容与响应文件中相应内容不一致的，以开标一览表（报价表）为准；</w:t>
      </w:r>
    </w:p>
    <w:p w14:paraId="0BF67C4C">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（2）大写金额和小写金额不一致的，以大写金额为准；</w:t>
      </w:r>
    </w:p>
    <w:p w14:paraId="6E663D2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（3）单价金额小数点或者百分比有明显错位的，以开标一览表的总价为准，并修改单价；</w:t>
      </w:r>
    </w:p>
    <w:p w14:paraId="17CF075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（4）总价金额与按单价汇总金额不一致的，以单价金额计算结果为准；同时出现两种以上不一致的，按照前款规定的顺序修正。修正后的报价经供应商确认后产生约束力，供应商不确认的，其响应无效。</w:t>
      </w:r>
    </w:p>
    <w:p w14:paraId="02630BEC">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19.2.4 比较与评价</w:t>
      </w:r>
    </w:p>
    <w:p w14:paraId="4AF2EA4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19.2.4.1 评审委员会将按第四章所规定的评审方法与标准，对资格性审查和符合性检查合格的响应文件进行评审。</w:t>
      </w:r>
    </w:p>
    <w:p w14:paraId="22C7B0D1">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14:paraId="57AF414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19.2.5有下列情形之一的，视为供应商串通响应，其响应无效：</w:t>
      </w:r>
    </w:p>
    <w:p w14:paraId="705DD56D">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（一）不同供应商的响应文件由同一单位或者个人编制；</w:t>
      </w:r>
    </w:p>
    <w:p w14:paraId="259070E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（二）不同供应商委托同一单位或者个人办理项目响应相关事宜；</w:t>
      </w:r>
    </w:p>
    <w:p w14:paraId="47F9FA1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（三）不同供应商的响应文件载明的项目管理成员或者联系人员为同一人；</w:t>
      </w:r>
    </w:p>
    <w:p w14:paraId="656EC6C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（四）不同供应商的响应文件异常一致或者响应报价呈规律性差异；</w:t>
      </w:r>
    </w:p>
    <w:p w14:paraId="647BD58B">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（五）不同供应商的响应文件相互混装；</w:t>
      </w:r>
    </w:p>
    <w:p w14:paraId="532D58E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（六）不同供应商的响应保证金从同一单位或者个人的账户转出。</w:t>
      </w:r>
    </w:p>
    <w:p w14:paraId="7EB4BEC4">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20、废标</w:t>
      </w:r>
      <w:bookmarkStart w:id="57" w:name="_Toc217446072"/>
      <w:r>
        <w:rPr>
          <w:rFonts w:hint="eastAsia" w:asciiTheme="minorEastAsia" w:hAnsiTheme="minorEastAsia" w:eastAsiaTheme="minorEastAsia" w:cstheme="minorEastAsia"/>
          <w:bCs/>
          <w:color w:val="auto"/>
          <w:szCs w:val="21"/>
          <w:highlight w:val="none"/>
        </w:rPr>
        <w:t>的情形</w:t>
      </w:r>
      <w:bookmarkEnd w:id="57"/>
    </w:p>
    <w:p w14:paraId="64CCB5CE">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rPr>
        <w:t>招标采购中，出现下列情形之一的，予以废标：</w:t>
      </w:r>
    </w:p>
    <w:p w14:paraId="672FDA2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rPr>
        <w:t>（1）符合专业条件的供应商或者对采购文件作实质响应的供应商不足三家的；</w:t>
      </w:r>
    </w:p>
    <w:p w14:paraId="214CFB80">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rPr>
        <w:t>（2）出现影响采购公正的违法、违规行为的；</w:t>
      </w:r>
    </w:p>
    <w:p w14:paraId="6BDB45F1">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rPr>
        <w:t>（3）</w:t>
      </w:r>
      <w:r>
        <w:rPr>
          <w:rFonts w:hint="eastAsia" w:asciiTheme="minorEastAsia" w:hAnsiTheme="minorEastAsia" w:eastAsiaTheme="minorEastAsia" w:cstheme="minorEastAsia"/>
          <w:bCs/>
          <w:color w:val="auto"/>
          <w:sz w:val="21"/>
          <w:szCs w:val="21"/>
          <w:highlight w:val="yellow"/>
          <w:lang w:eastAsia="zh-CN"/>
        </w:rPr>
        <w:t>供应商</w:t>
      </w:r>
      <w:r>
        <w:rPr>
          <w:rFonts w:hint="eastAsia" w:asciiTheme="minorEastAsia" w:hAnsiTheme="minorEastAsia" w:eastAsiaTheme="minorEastAsia" w:cstheme="minorEastAsia"/>
          <w:bCs/>
          <w:color w:val="auto"/>
          <w:sz w:val="21"/>
          <w:szCs w:val="21"/>
          <w:highlight w:val="yellow"/>
        </w:rPr>
        <w:t>的报价均超过了预算，采购人不能支付的；</w:t>
      </w:r>
    </w:p>
    <w:p w14:paraId="3C9632B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rPr>
        <w:t>（4）因重大变故，采购任务取消的。</w:t>
      </w:r>
    </w:p>
    <w:p w14:paraId="11DB49AC">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rPr>
        <w:t>废标后，</w:t>
      </w:r>
      <w:r>
        <w:rPr>
          <w:rFonts w:hint="eastAsia" w:asciiTheme="minorEastAsia" w:hAnsiTheme="minorEastAsia" w:eastAsiaTheme="minorEastAsia" w:cstheme="minorEastAsia"/>
          <w:bCs/>
          <w:color w:val="auto"/>
          <w:sz w:val="21"/>
          <w:szCs w:val="21"/>
          <w:highlight w:val="yellow"/>
          <w:lang w:eastAsia="zh-CN"/>
        </w:rPr>
        <w:t>采购人</w:t>
      </w:r>
      <w:r>
        <w:rPr>
          <w:rFonts w:hint="eastAsia" w:asciiTheme="minorEastAsia" w:hAnsiTheme="minorEastAsia" w:eastAsiaTheme="minorEastAsia" w:cstheme="minorEastAsia"/>
          <w:bCs/>
          <w:color w:val="auto"/>
          <w:sz w:val="21"/>
          <w:szCs w:val="21"/>
          <w:highlight w:val="yellow"/>
        </w:rPr>
        <w:t>将在指定网站发布废标公告。</w:t>
      </w:r>
    </w:p>
    <w:p w14:paraId="4CFBF521">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21、纪律和监督</w:t>
      </w:r>
    </w:p>
    <w:p w14:paraId="789628A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58" w:name="_Toc296602462"/>
      <w:bookmarkStart w:id="59" w:name="_Toc247085733"/>
      <w:bookmarkStart w:id="60" w:name="_Toc144974543"/>
      <w:bookmarkStart w:id="61" w:name="_Toc179632593"/>
      <w:bookmarkStart w:id="62" w:name="_Toc246996962"/>
      <w:bookmarkStart w:id="63" w:name="_Toc152045575"/>
      <w:bookmarkStart w:id="64" w:name="_Toc296590983"/>
      <w:bookmarkStart w:id="65" w:name="_Toc152042351"/>
      <w:bookmarkStart w:id="66" w:name="_Toc246996219"/>
      <w:r>
        <w:rPr>
          <w:rFonts w:hint="eastAsia" w:asciiTheme="minorEastAsia" w:hAnsiTheme="minorEastAsia" w:eastAsiaTheme="minorEastAsia" w:cstheme="minorEastAsia"/>
          <w:bCs/>
          <w:color w:val="auto"/>
          <w:szCs w:val="21"/>
          <w:highlight w:val="none"/>
        </w:rPr>
        <w:t>21.1 对采购人的纪律要求</w:t>
      </w:r>
      <w:bookmarkEnd w:id="58"/>
      <w:bookmarkEnd w:id="59"/>
      <w:bookmarkEnd w:id="60"/>
      <w:bookmarkEnd w:id="61"/>
      <w:bookmarkEnd w:id="62"/>
      <w:bookmarkEnd w:id="63"/>
      <w:bookmarkEnd w:id="64"/>
      <w:bookmarkEnd w:id="65"/>
      <w:bookmarkEnd w:id="66"/>
    </w:p>
    <w:p w14:paraId="2E9A156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采购人不得泄漏招标采购活动中应当保密的情况和资料，不得与供应商串通损害国家利益、社会公共利益或者他人合法权益。</w:t>
      </w:r>
    </w:p>
    <w:p w14:paraId="3B4A1EB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67" w:name="_Toc246996220"/>
      <w:bookmarkStart w:id="68" w:name="_Toc152042352"/>
      <w:bookmarkStart w:id="69" w:name="_Toc144974544"/>
      <w:bookmarkStart w:id="70" w:name="_Toc246996963"/>
      <w:bookmarkStart w:id="71" w:name="_Toc179632594"/>
      <w:bookmarkStart w:id="72" w:name="_Toc152045576"/>
      <w:bookmarkStart w:id="73" w:name="_Toc296602463"/>
      <w:bookmarkStart w:id="74" w:name="_Toc247085734"/>
      <w:r>
        <w:rPr>
          <w:rFonts w:hint="eastAsia" w:asciiTheme="minorEastAsia" w:hAnsiTheme="minorEastAsia" w:eastAsiaTheme="minorEastAsia" w:cstheme="minorEastAsia"/>
          <w:bCs/>
          <w:color w:val="auto"/>
          <w:szCs w:val="21"/>
          <w:highlight w:val="none"/>
        </w:rPr>
        <w:t>21.2对供应商的纪律要求</w:t>
      </w:r>
      <w:bookmarkEnd w:id="67"/>
      <w:bookmarkEnd w:id="68"/>
      <w:bookmarkEnd w:id="69"/>
      <w:bookmarkEnd w:id="70"/>
      <w:bookmarkEnd w:id="71"/>
      <w:bookmarkEnd w:id="72"/>
      <w:bookmarkEnd w:id="73"/>
      <w:bookmarkEnd w:id="74"/>
    </w:p>
    <w:p w14:paraId="1A44ED84">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供应商不得相互串通响应或者与采购人串通响应，不得向采购人或者评审委员会成员行贿谋取成交，不得以他人名义响应或者以其他方式弄虚作假骗取成交；供应商不得以任何方式干扰、影响评审工作。</w:t>
      </w:r>
    </w:p>
    <w:p w14:paraId="167E61E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75" w:name="_Toc246996221"/>
      <w:bookmarkStart w:id="76" w:name="_Toc144974545"/>
      <w:bookmarkStart w:id="77" w:name="_Toc179632595"/>
      <w:bookmarkStart w:id="78" w:name="_Toc152045577"/>
      <w:bookmarkStart w:id="79" w:name="_Toc247085735"/>
      <w:bookmarkStart w:id="80" w:name="_Toc246996964"/>
      <w:bookmarkStart w:id="81" w:name="_Toc296602464"/>
      <w:bookmarkStart w:id="82" w:name="_Toc152042353"/>
      <w:r>
        <w:rPr>
          <w:rFonts w:hint="eastAsia" w:asciiTheme="minorEastAsia" w:hAnsiTheme="minorEastAsia" w:eastAsiaTheme="minorEastAsia" w:cstheme="minorEastAsia"/>
          <w:bCs/>
          <w:color w:val="auto"/>
          <w:szCs w:val="21"/>
          <w:highlight w:val="none"/>
        </w:rPr>
        <w:t>21.3对评审委员会成员的纪律要求</w:t>
      </w:r>
      <w:bookmarkEnd w:id="75"/>
      <w:bookmarkEnd w:id="76"/>
      <w:bookmarkEnd w:id="77"/>
      <w:bookmarkEnd w:id="78"/>
      <w:bookmarkEnd w:id="79"/>
      <w:bookmarkEnd w:id="80"/>
      <w:bookmarkEnd w:id="81"/>
      <w:bookmarkEnd w:id="82"/>
    </w:p>
    <w:p w14:paraId="688526DE">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文件没有规定的评审因素和标准进行评审。</w:t>
      </w:r>
    </w:p>
    <w:p w14:paraId="4363ADBA">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3" w:name="_Toc152042354"/>
      <w:bookmarkStart w:id="84" w:name="_Toc152045578"/>
      <w:bookmarkStart w:id="85" w:name="_Toc296602465"/>
      <w:bookmarkStart w:id="86" w:name="_Toc179632596"/>
      <w:bookmarkStart w:id="87" w:name="_Toc246996222"/>
      <w:bookmarkStart w:id="88" w:name="_Toc246996965"/>
      <w:bookmarkStart w:id="89" w:name="_Toc247085736"/>
      <w:r>
        <w:rPr>
          <w:rFonts w:hint="eastAsia" w:asciiTheme="minorEastAsia" w:hAnsiTheme="minorEastAsia" w:eastAsiaTheme="minorEastAsia" w:cstheme="minorEastAsia"/>
          <w:bCs/>
          <w:color w:val="auto"/>
          <w:szCs w:val="21"/>
          <w:highlight w:val="none"/>
        </w:rPr>
        <w:t>21.4对与评审活动有关的工作人员的纪律要求</w:t>
      </w:r>
      <w:bookmarkEnd w:id="83"/>
      <w:bookmarkEnd w:id="84"/>
      <w:bookmarkEnd w:id="85"/>
      <w:bookmarkEnd w:id="86"/>
      <w:bookmarkEnd w:id="87"/>
      <w:bookmarkEnd w:id="88"/>
      <w:bookmarkEnd w:id="89"/>
    </w:p>
    <w:p w14:paraId="0540BAC4">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90" w:name="_Toc152042355"/>
      <w:r>
        <w:rPr>
          <w:rFonts w:hint="eastAsia" w:asciiTheme="minorEastAsia" w:hAnsiTheme="minorEastAsia" w:eastAsiaTheme="minorEastAsia" w:cstheme="minorEastAsia"/>
          <w:bCs/>
          <w:color w:val="auto"/>
          <w:szCs w:val="21"/>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90"/>
    </w:p>
    <w:p w14:paraId="320261A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bookmarkStart w:id="91" w:name="_Toc246826113"/>
      <w:r>
        <w:rPr>
          <w:rFonts w:hint="eastAsia" w:asciiTheme="minorEastAsia" w:hAnsiTheme="minorEastAsia" w:eastAsiaTheme="minorEastAsia" w:cstheme="minorEastAsia"/>
          <w:bCs/>
          <w:color w:val="auto"/>
          <w:szCs w:val="21"/>
          <w:highlight w:val="none"/>
        </w:rPr>
        <w:t>六、定标、合同</w:t>
      </w:r>
      <w:bookmarkEnd w:id="91"/>
      <w:r>
        <w:rPr>
          <w:rFonts w:hint="eastAsia" w:asciiTheme="minorEastAsia" w:hAnsiTheme="minorEastAsia" w:eastAsiaTheme="minorEastAsia" w:cstheme="minorEastAsia"/>
          <w:bCs/>
          <w:color w:val="auto"/>
          <w:szCs w:val="21"/>
          <w:highlight w:val="none"/>
        </w:rPr>
        <w:t>与验收</w:t>
      </w:r>
    </w:p>
    <w:p w14:paraId="4745A1F7">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22、定标准则</w:t>
      </w:r>
    </w:p>
    <w:p w14:paraId="6B3A6749">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22.1任何单项因素的最优不能作为成交的保证。</w:t>
      </w:r>
    </w:p>
    <w:p w14:paraId="241DED83">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22.2评审委员会推荐排名第一且经采购人确认的供应商即为成交供应商。</w:t>
      </w:r>
    </w:p>
    <w:p w14:paraId="560E5667">
      <w:pPr>
        <w:adjustRightInd w:val="0"/>
        <w:snapToGrid w:val="0"/>
        <w:spacing w:line="360" w:lineRule="auto"/>
        <w:ind w:left="420" w:left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23、成交通知</w:t>
      </w:r>
    </w:p>
    <w:p w14:paraId="51D1E6C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23.1由采购人在比选公告发布媒体上公布成交结果，并向成交供应商发送《成交通知书》。</w:t>
      </w:r>
    </w:p>
    <w:p w14:paraId="56666905">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23.2成交通知书为签订政府采购合同的依据，是合同的有效组成部分。</w:t>
      </w:r>
    </w:p>
    <w:p w14:paraId="01A93AAC">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23.3成交通知书对采购人和成交人均具有法律效力。成交通知书发出后，采购人改变成交结果，或者成交人无正当理由放弃成交的，应当承担相应的法律责任。</w:t>
      </w:r>
    </w:p>
    <w:p w14:paraId="0754C9B0">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24、合同签订</w:t>
      </w:r>
    </w:p>
    <w:p w14:paraId="4BBD047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24.1成交人在收到《成交通知书》后，应在规定的时间内与采购人签订采购合同。由于成交人的原因逾期未与采购人签订采购合同的，将视为放弃成交，取消其成交资格并将按相关规定进行处理。</w:t>
      </w:r>
    </w:p>
    <w:p w14:paraId="692A6EA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24.2采购人不得向成交人提出任何不合理的要求作为签订合同的条件，不得与成交人私下订立背离合同实质性内容的任何协议，所签订的合同不得对采购文件和成交人响应文件作实质性修改。</w:t>
      </w:r>
    </w:p>
    <w:p w14:paraId="7A1A9B3C">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yellow"/>
          <w:lang w:val="en-US" w:eastAsia="zh-CN"/>
        </w:rPr>
      </w:pPr>
      <w:r>
        <w:rPr>
          <w:rFonts w:hint="eastAsia" w:asciiTheme="minorEastAsia" w:hAnsiTheme="minorEastAsia" w:eastAsiaTheme="minorEastAsia" w:cstheme="minorEastAsia"/>
          <w:bCs/>
          <w:color w:val="auto"/>
          <w:sz w:val="21"/>
          <w:szCs w:val="21"/>
          <w:highlight w:val="yellow"/>
          <w:lang w:val="en-US" w:eastAsia="zh-CN"/>
        </w:rPr>
        <w:t>24.3采购人应当自政府采购合同签订之日起 2 个工作日内，将政府采购合同在省级以上人民政府财政部门指定的媒体上公告。</w:t>
      </w:r>
    </w:p>
    <w:p w14:paraId="62A0A342">
      <w:pPr>
        <w:pageBreakBefore w:val="0"/>
        <w:wordWrap/>
        <w:topLinePunct w:val="0"/>
        <w:bidi w:val="0"/>
        <w:adjustRightInd w:val="0"/>
        <w:snapToGrid w:val="0"/>
        <w:spacing w:line="360" w:lineRule="auto"/>
        <w:ind w:firstLine="420" w:firstLineChars="200"/>
        <w:textAlignment w:val="auto"/>
        <w:outlineLvl w:val="1"/>
        <w:rPr>
          <w:rFonts w:hint="eastAsia"/>
          <w:highlight w:val="yellow"/>
        </w:rPr>
      </w:pPr>
      <w:r>
        <w:rPr>
          <w:rFonts w:hint="eastAsia" w:asciiTheme="minorEastAsia" w:hAnsiTheme="minorEastAsia" w:eastAsiaTheme="minorEastAsia" w:cstheme="minorEastAsia"/>
          <w:bCs/>
          <w:color w:val="auto"/>
          <w:sz w:val="21"/>
          <w:szCs w:val="21"/>
          <w:highlight w:val="yellow"/>
          <w:lang w:val="en-US" w:eastAsia="zh-CN"/>
        </w:rPr>
        <w:t>24.5政府采购合同公示须经采购人保密信息审查，如合同中涉及国家秘密、商业秘密的内容不得公示，涉及商业秘密或敏感工作秘密的，须经相关部门审核并做脱敏处理后方可公示。</w:t>
      </w:r>
    </w:p>
    <w:p w14:paraId="0B01351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bookmarkStart w:id="92" w:name="_Toc217446069"/>
      <w:r>
        <w:rPr>
          <w:rFonts w:hint="eastAsia" w:asciiTheme="minorEastAsia" w:hAnsiTheme="minorEastAsia" w:eastAsiaTheme="minorEastAsia" w:cstheme="minorEastAsia"/>
          <w:bCs/>
          <w:color w:val="auto"/>
          <w:szCs w:val="21"/>
          <w:highlight w:val="none"/>
        </w:rPr>
        <w:t>25、合同</w:t>
      </w:r>
      <w:bookmarkEnd w:id="92"/>
      <w:r>
        <w:rPr>
          <w:rFonts w:hint="eastAsia" w:asciiTheme="minorEastAsia" w:hAnsiTheme="minorEastAsia" w:eastAsiaTheme="minorEastAsia" w:cstheme="minorEastAsia"/>
          <w:bCs/>
          <w:color w:val="auto"/>
          <w:szCs w:val="21"/>
          <w:highlight w:val="none"/>
        </w:rPr>
        <w:t>履行</w:t>
      </w:r>
    </w:p>
    <w:p w14:paraId="714D548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25.1成交人与采购人签订合同后，合同双方应严格执行合同条款，履行合同规定的义务，保证合同的顺利完成。</w:t>
      </w:r>
    </w:p>
    <w:p w14:paraId="5C187FFE">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25.2采购人应严格按照合同约定事项，制定科学合理的验收方案开展验收；</w:t>
      </w:r>
    </w:p>
    <w:p w14:paraId="0C56949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25.3在合同履行过程中，如发生合同纠纷，合同双方应按照《民法典》的有关规定进行处理。</w:t>
      </w:r>
    </w:p>
    <w:p w14:paraId="55FAAB1C">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七、评审方法</w:t>
      </w:r>
    </w:p>
    <w:p w14:paraId="47B9427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26、采购比选评审方法分为:综合评分法。</w:t>
      </w:r>
    </w:p>
    <w:p w14:paraId="64D1880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综合评分法，是指响应文件满足采购文件全部实质性要求且按照评审因素的量化指标评审得分最高的供应商为成交候选人的评审方法。</w:t>
      </w:r>
    </w:p>
    <w:p w14:paraId="379D4B37">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评审总得分＝F1×A1＋F2×A2＋……＋Fn×An</w:t>
      </w:r>
    </w:p>
    <w:p w14:paraId="10EFF11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F1、F2……Fn分别为价格、商务和技术部分评分因素的汇总得分；A1、A2、……An分别为价格、商务和技术部分评分因素所占的权重(A1＋A2＋......＋An＝1)。</w:t>
      </w:r>
    </w:p>
    <w:p w14:paraId="729C4CA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其中价格分统一采用低价优先法计算，即满足采购文件要求且响应价格最低的响应报价为评审基准价，其价格分为满分。其他供应商的价格分统一按照下列公式计算：</w:t>
      </w:r>
    </w:p>
    <w:p w14:paraId="6106508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响应报价得分＝（评审基准价／响应报价）×价格权值×100　　</w:t>
      </w:r>
    </w:p>
    <w:p w14:paraId="3694F6F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八、质疑</w:t>
      </w:r>
    </w:p>
    <w:p w14:paraId="45F2F96E">
      <w:pPr>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27、供应商认为采购文件、采购过程</w:t>
      </w:r>
      <w:r>
        <w:rPr>
          <w:rFonts w:hint="eastAsia" w:asciiTheme="minorEastAsia" w:hAnsiTheme="minorEastAsia" w:eastAsiaTheme="minorEastAsia" w:cstheme="minorEastAsia"/>
          <w:bCs/>
          <w:color w:val="auto"/>
          <w:szCs w:val="21"/>
          <w:highlight w:val="none"/>
          <w:lang w:val="en-US" w:eastAsia="zh-CN"/>
        </w:rPr>
        <w:t>和</w:t>
      </w:r>
      <w:r>
        <w:rPr>
          <w:rFonts w:hint="eastAsia" w:asciiTheme="minorEastAsia" w:hAnsiTheme="minorEastAsia" w:eastAsiaTheme="minorEastAsia" w:cstheme="minorEastAsia"/>
          <w:bCs/>
          <w:color w:val="auto"/>
          <w:szCs w:val="21"/>
          <w:highlight w:val="none"/>
        </w:rPr>
        <w:t xml:space="preserve">成交结果使自己的合法权益受到损害的，应当在知道或者应知其权益受到损害之日起七个工作日（质疑有效期）内，向采购人提出询问或以书面形式向其质疑。 </w:t>
      </w:r>
    </w:p>
    <w:p w14:paraId="2EFCB65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3BA87878">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29、质疑有效期的计算</w:t>
      </w:r>
    </w:p>
    <w:p w14:paraId="3B40E1C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Cs/>
          <w:color w:val="auto"/>
          <w:sz w:val="21"/>
          <w:szCs w:val="21"/>
          <w:highlight w:val="yellow"/>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14:paraId="041058C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九、无效响应的其他有关规定：</w:t>
      </w:r>
    </w:p>
    <w:p w14:paraId="2E5D061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30、除符合采购文件中载明的无效响应规定外，如果发现下列情况之一者，同样作无效响应处理，其中30.1至30.3款情形的所有相关供应商均作无效响应处理。因此产生其他法律责任的由供应商自行承担：</w:t>
      </w:r>
    </w:p>
    <w:p w14:paraId="4F2CFE25">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30.1不同供应商的法定代表人、委托代理人等由同一个单位缴纳社会保险的；</w:t>
      </w:r>
    </w:p>
    <w:p w14:paraId="3885F91C">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30.2由同一人携带两个及以上供应商的企业资料参与开标会议的；</w:t>
      </w:r>
    </w:p>
    <w:p w14:paraId="092B7653">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30.3单位负责人为同一人或者存在直接控股、管理关系的不同供应商，同时参加同一合同项下的政府采购活动的；</w:t>
      </w:r>
    </w:p>
    <w:p w14:paraId="5115BE1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30.4为采购项目提供整体设计、规范编制或者项目管理、监理、检测等服务的供应商，再参加该采购项目的其他采购活动的；</w:t>
      </w:r>
    </w:p>
    <w:p w14:paraId="0373CBE5">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30.5属于采购人任何不具有独立法人资格的附属机构（单位）；</w:t>
      </w:r>
    </w:p>
    <w:p w14:paraId="222C448A">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30.6没有按要求提供补充文件，或调整补充内容超出规定范围。</w:t>
      </w:r>
    </w:p>
    <w:p w14:paraId="763725EA">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30.7</w:t>
      </w:r>
      <w:r>
        <w:rPr>
          <w:rFonts w:asciiTheme="minorEastAsia" w:hAnsiTheme="minorEastAsia" w:eastAsiaTheme="minorEastAsia" w:cstheme="minorEastAsia"/>
          <w:bCs/>
          <w:color w:val="auto"/>
          <w:szCs w:val="21"/>
          <w:highlight w:val="none"/>
        </w:rPr>
        <w:t>未按照</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文件的规定提交</w:t>
      </w:r>
      <w:r>
        <w:rPr>
          <w:rFonts w:hint="eastAsia" w:asciiTheme="minorEastAsia" w:hAnsiTheme="minorEastAsia" w:eastAsiaTheme="minorEastAsia" w:cstheme="minorEastAsia"/>
          <w:bCs/>
          <w:color w:val="auto"/>
          <w:szCs w:val="21"/>
          <w:highlight w:val="none"/>
        </w:rPr>
        <w:t>响应</w:t>
      </w:r>
      <w:r>
        <w:rPr>
          <w:rFonts w:asciiTheme="minorEastAsia" w:hAnsiTheme="minorEastAsia" w:eastAsiaTheme="minorEastAsia" w:cstheme="minorEastAsia"/>
          <w:bCs/>
          <w:color w:val="auto"/>
          <w:szCs w:val="21"/>
          <w:highlight w:val="none"/>
        </w:rPr>
        <w:t>保证金的；</w:t>
      </w:r>
    </w:p>
    <w:p w14:paraId="479592CD">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30.8响应文件</w:t>
      </w:r>
      <w:r>
        <w:rPr>
          <w:rFonts w:asciiTheme="minorEastAsia" w:hAnsiTheme="minorEastAsia" w:eastAsiaTheme="minorEastAsia" w:cstheme="minorEastAsia"/>
          <w:bCs/>
          <w:color w:val="auto"/>
          <w:szCs w:val="21"/>
          <w:highlight w:val="none"/>
        </w:rPr>
        <w:t>未按</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文件要求签署、盖章的；</w:t>
      </w:r>
    </w:p>
    <w:p w14:paraId="3FBE5A93">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30.9</w:t>
      </w:r>
      <w:r>
        <w:rPr>
          <w:rFonts w:asciiTheme="minorEastAsia" w:hAnsiTheme="minorEastAsia" w:eastAsiaTheme="minorEastAsia" w:cstheme="minorEastAsia"/>
          <w:bCs/>
          <w:color w:val="auto"/>
          <w:szCs w:val="21"/>
          <w:highlight w:val="none"/>
        </w:rPr>
        <w:t>不具备</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文件中规定的资格要求的；</w:t>
      </w:r>
    </w:p>
    <w:p w14:paraId="6D817F57">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30.10</w:t>
      </w:r>
      <w:r>
        <w:rPr>
          <w:rFonts w:asciiTheme="minorEastAsia" w:hAnsiTheme="minorEastAsia" w:eastAsiaTheme="minorEastAsia" w:cstheme="minorEastAsia"/>
          <w:bCs/>
          <w:color w:val="auto"/>
          <w:szCs w:val="21"/>
          <w:highlight w:val="none"/>
        </w:rPr>
        <w:t>报价超过</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文件中规定的预算金额或者最高限价的；</w:t>
      </w:r>
    </w:p>
    <w:p w14:paraId="2C245B73">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30.11响应文件</w:t>
      </w:r>
      <w:r>
        <w:rPr>
          <w:rFonts w:asciiTheme="minorEastAsia" w:hAnsiTheme="minorEastAsia" w:eastAsiaTheme="minorEastAsia" w:cstheme="minorEastAsia"/>
          <w:bCs/>
          <w:color w:val="auto"/>
          <w:szCs w:val="21"/>
          <w:highlight w:val="none"/>
        </w:rPr>
        <w:t>含有采购人不能接受的附加条件的；</w:t>
      </w:r>
    </w:p>
    <w:p w14:paraId="1F2EC3A4">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30.12</w:t>
      </w:r>
      <w:r>
        <w:rPr>
          <w:rFonts w:asciiTheme="minorEastAsia" w:hAnsiTheme="minorEastAsia" w:eastAsiaTheme="minorEastAsia" w:cstheme="minorEastAsia"/>
          <w:bCs/>
          <w:color w:val="auto"/>
          <w:szCs w:val="21"/>
          <w:highlight w:val="none"/>
        </w:rPr>
        <w:t>法律、法规和</w:t>
      </w:r>
      <w:r>
        <w:rPr>
          <w:rFonts w:hint="eastAsia" w:asciiTheme="minorEastAsia" w:hAnsiTheme="minorEastAsia" w:eastAsiaTheme="minorEastAsia" w:cstheme="minorEastAsia"/>
          <w:bCs/>
          <w:color w:val="auto"/>
          <w:szCs w:val="21"/>
          <w:highlight w:val="none"/>
        </w:rPr>
        <w:t>采购</w:t>
      </w:r>
      <w:r>
        <w:rPr>
          <w:rFonts w:asciiTheme="minorEastAsia" w:hAnsiTheme="minorEastAsia" w:eastAsiaTheme="minorEastAsia" w:cstheme="minorEastAsia"/>
          <w:bCs/>
          <w:color w:val="auto"/>
          <w:szCs w:val="21"/>
          <w:highlight w:val="none"/>
        </w:rPr>
        <w:t>文件规定的其他无效情形。</w:t>
      </w:r>
    </w:p>
    <w:p w14:paraId="147003B3">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31、其他法律法规及规章制度认定参加政府采购无效的情形等。</w:t>
      </w:r>
    </w:p>
    <w:p w14:paraId="109FEA24">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31.1存在恶意串通响应行为的；</w:t>
      </w:r>
    </w:p>
    <w:p w14:paraId="605D052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31.2参与政府采购活动有不良行为记录且正处于处罚期内并适用于海口行政区域的；</w:t>
      </w:r>
    </w:p>
    <w:p w14:paraId="75A53EA3">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31.3企业在经营活动中存在不诚信记录且正处于处罚期内并适用于海口行政区域政府采购领域的；</w:t>
      </w:r>
    </w:p>
    <w:p w14:paraId="02EAC07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31.4其他法律法规及规章制度认定参加政府采购活动无效并适用海口行政区域的情形等。</w:t>
      </w:r>
    </w:p>
    <w:p w14:paraId="4ECD0B23">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sectPr>
          <w:footerReference r:id="rId13" w:type="default"/>
          <w:pgSz w:w="11906" w:h="16838"/>
          <w:pgMar w:top="1440" w:right="1800" w:bottom="1440" w:left="1800" w:header="794" w:footer="992" w:gutter="0"/>
          <w:cols w:space="425" w:num="1"/>
          <w:docGrid w:type="lines" w:linePitch="312" w:charSpace="0"/>
        </w:sectPr>
      </w:pPr>
    </w:p>
    <w:p w14:paraId="653737D3">
      <w:pPr>
        <w:pStyle w:val="6"/>
        <w:adjustRightInd w:val="0"/>
        <w:snapToGrid w:val="0"/>
        <w:spacing w:line="360" w:lineRule="auto"/>
        <w:ind w:firstLine="0"/>
        <w:jc w:val="center"/>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第四章  </w:t>
      </w:r>
      <w:bookmarkEnd w:id="31"/>
      <w:r>
        <w:rPr>
          <w:rFonts w:hint="eastAsia" w:asciiTheme="minorEastAsia" w:hAnsiTheme="minorEastAsia" w:eastAsiaTheme="minorEastAsia" w:cstheme="minorEastAsia"/>
          <w:b/>
          <w:color w:val="auto"/>
          <w:szCs w:val="21"/>
          <w:highlight w:val="none"/>
        </w:rPr>
        <w:t>审查标准和</w:t>
      </w:r>
      <w:bookmarkStart w:id="93" w:name="_Toc246826116"/>
      <w:r>
        <w:rPr>
          <w:rFonts w:hint="eastAsia" w:asciiTheme="minorEastAsia" w:hAnsiTheme="minorEastAsia" w:eastAsiaTheme="minorEastAsia" w:cstheme="minorEastAsia"/>
          <w:b/>
          <w:color w:val="auto"/>
          <w:szCs w:val="21"/>
          <w:highlight w:val="none"/>
        </w:rPr>
        <w:t>评审标准</w:t>
      </w:r>
    </w:p>
    <w:bookmarkEnd w:id="93"/>
    <w:p w14:paraId="1210413A">
      <w:pPr>
        <w:spacing w:line="360" w:lineRule="auto"/>
        <w:ind w:firstLine="422" w:firstLineChars="200"/>
        <w:outlineLvl w:val="0"/>
        <w:rPr>
          <w:rFonts w:hint="eastAsia" w:ascii="宋体" w:hAnsi="宋体" w:cs="宋体"/>
          <w:b/>
          <w:color w:val="auto"/>
          <w:szCs w:val="21"/>
          <w:highlight w:val="none"/>
        </w:rPr>
      </w:pPr>
      <w:bookmarkStart w:id="94" w:name="_Toc246826117"/>
      <w:r>
        <w:rPr>
          <w:rFonts w:hint="eastAsia" w:ascii="宋体" w:hAnsi="宋体" w:cs="宋体"/>
          <w:b/>
          <w:color w:val="auto"/>
          <w:szCs w:val="21"/>
          <w:highlight w:val="none"/>
        </w:rPr>
        <w:t>一、基本要求：</w:t>
      </w:r>
    </w:p>
    <w:p w14:paraId="48DBAA7E">
      <w:pPr>
        <w:pStyle w:val="6"/>
        <w:snapToGrid w:val="0"/>
        <w:spacing w:line="360" w:lineRule="auto"/>
        <w:ind w:firstLineChars="200"/>
        <w:outlineLvl w:val="0"/>
        <w:rPr>
          <w:rFonts w:hint="eastAsia" w:ascii="宋体" w:hAnsi="宋体" w:cs="宋体"/>
          <w:bCs/>
          <w:color w:val="auto"/>
          <w:szCs w:val="21"/>
          <w:highlight w:val="none"/>
        </w:rPr>
      </w:pPr>
      <w:r>
        <w:rPr>
          <w:rFonts w:hint="eastAsia" w:ascii="宋体" w:hAnsi="宋体" w:cs="宋体"/>
          <w:bCs/>
          <w:color w:val="auto"/>
          <w:szCs w:val="21"/>
          <w:highlight w:val="none"/>
        </w:rPr>
        <w:t>（一）资格审查、符合性审查或评审标准中凡涉及到提供针对本项目授权书、承诺书的，均须以原件为准，否则不予认可。</w:t>
      </w:r>
    </w:p>
    <w:p w14:paraId="189B7D98">
      <w:pPr>
        <w:pStyle w:val="6"/>
        <w:snapToGrid w:val="0"/>
        <w:spacing w:line="360" w:lineRule="auto"/>
        <w:ind w:firstLineChars="200"/>
        <w:outlineLvl w:val="0"/>
        <w:rPr>
          <w:rFonts w:hint="eastAsia" w:ascii="宋体" w:hAnsi="宋体" w:cs="宋体"/>
          <w:bCs/>
          <w:color w:val="auto"/>
          <w:szCs w:val="21"/>
          <w:highlight w:val="none"/>
        </w:rPr>
      </w:pPr>
      <w:r>
        <w:rPr>
          <w:rFonts w:hint="eastAsia" w:ascii="宋体" w:hAnsi="宋体" w:cs="宋体"/>
          <w:bCs/>
          <w:color w:val="auto"/>
          <w:szCs w:val="21"/>
          <w:highlight w:val="yellow"/>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将以无效响应或取消成交资格论处，并上报政府采购监督管理部门。</w:t>
      </w:r>
    </w:p>
    <w:p w14:paraId="56BE7985">
      <w:pPr>
        <w:snapToGrid w:val="0"/>
        <w:spacing w:line="360" w:lineRule="auto"/>
        <w:ind w:firstLine="420" w:firstLineChars="200"/>
        <w:outlineLvl w:val="0"/>
        <w:rPr>
          <w:rFonts w:hint="eastAsia" w:ascii="宋体" w:hAnsi="宋体" w:cs="宋体"/>
          <w:b/>
          <w:color w:val="auto"/>
          <w:szCs w:val="21"/>
          <w:highlight w:val="none"/>
        </w:rPr>
      </w:pPr>
      <w:r>
        <w:rPr>
          <w:rFonts w:hint="eastAsia" w:ascii="宋体" w:hAnsi="宋体" w:cs="宋体"/>
          <w:bCs/>
          <w:color w:val="auto"/>
          <w:szCs w:val="21"/>
          <w:highlight w:val="none"/>
        </w:rPr>
        <w:t>（三）凡小微型企业或视同小微企业参与采购活动的，依照第三章5.1款规定执行。</w:t>
      </w:r>
    </w:p>
    <w:p w14:paraId="62EF01EE">
      <w:pPr>
        <w:pStyle w:val="6"/>
        <w:snapToGrid w:val="0"/>
        <w:spacing w:line="360" w:lineRule="auto"/>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二、审查标准</w:t>
      </w:r>
    </w:p>
    <w:p w14:paraId="66AFD781">
      <w:pPr>
        <w:snapToGrid w:val="0"/>
        <w:spacing w:line="360" w:lineRule="auto"/>
        <w:ind w:firstLine="420" w:firstLineChars="200"/>
        <w:outlineLvl w:val="0"/>
        <w:rPr>
          <w:rFonts w:hint="eastAsia" w:ascii="宋体" w:hAnsi="宋体" w:cs="宋体"/>
          <w:bCs/>
          <w:color w:val="auto"/>
          <w:szCs w:val="21"/>
          <w:highlight w:val="none"/>
        </w:rPr>
      </w:pPr>
      <w:r>
        <w:rPr>
          <w:rFonts w:hint="eastAsia" w:ascii="宋体" w:hAnsi="宋体" w:cs="宋体"/>
          <w:bCs/>
          <w:color w:val="auto"/>
          <w:szCs w:val="21"/>
          <w:highlight w:val="none"/>
        </w:rPr>
        <w:t>1、资格审查表和符合性审查表中所列内容全部审查意见为“合格”，方视为“合格”，其中有一项不合格，将视为不合格供应商。</w:t>
      </w:r>
    </w:p>
    <w:p w14:paraId="2B26535D">
      <w:pPr>
        <w:snapToGrid w:val="0"/>
        <w:spacing w:line="360" w:lineRule="auto"/>
        <w:ind w:firstLine="420" w:firstLineChars="200"/>
        <w:outlineLvl w:val="0"/>
        <w:rPr>
          <w:rFonts w:hint="eastAsia" w:ascii="宋体" w:hAnsi="宋体" w:cs="宋体"/>
          <w:bCs/>
          <w:color w:val="auto"/>
          <w:szCs w:val="21"/>
          <w:highlight w:val="none"/>
        </w:rPr>
      </w:pPr>
      <w:r>
        <w:rPr>
          <w:rFonts w:hint="eastAsia" w:ascii="宋体" w:hAnsi="宋体" w:cs="宋体"/>
          <w:bCs/>
          <w:color w:val="auto"/>
          <w:szCs w:val="21"/>
          <w:highlight w:val="none"/>
        </w:rPr>
        <w:t>2、在审查意见汇总的过程中，如存在不同审查意见，则按照少数服从多数的原则做出结论。</w:t>
      </w:r>
    </w:p>
    <w:p w14:paraId="11C92194">
      <w:pPr>
        <w:snapToGrid w:val="0"/>
        <w:spacing w:line="360" w:lineRule="auto"/>
        <w:ind w:firstLine="420" w:firstLineChars="200"/>
        <w:outlineLvl w:val="0"/>
        <w:rPr>
          <w:rFonts w:hint="eastAsia" w:ascii="宋体" w:hAnsi="宋体" w:cs="宋体"/>
          <w:bCs/>
          <w:color w:val="auto"/>
          <w:szCs w:val="21"/>
          <w:highlight w:val="none"/>
        </w:rPr>
      </w:pPr>
      <w:r>
        <w:rPr>
          <w:rFonts w:hint="eastAsia" w:ascii="宋体" w:hAnsi="宋体" w:cs="宋体"/>
          <w:bCs/>
          <w:color w:val="auto"/>
          <w:szCs w:val="21"/>
          <w:highlight w:val="none"/>
        </w:rPr>
        <w:t>3、本表格“审查意见”栏默认“√”视为合格标示，“×”视为不合格标示。</w:t>
      </w:r>
    </w:p>
    <w:p w14:paraId="2BF418CB">
      <w:pPr>
        <w:snapToGrid w:val="0"/>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0E39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4D6FE50A">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6A4B5DA7">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3B51CCBD">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0000ACB4">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审查意见</w:t>
            </w:r>
          </w:p>
        </w:tc>
      </w:tr>
      <w:tr w14:paraId="0B3F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E6E2BA0">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6B09C1BD">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220FF4AC">
            <w:pPr>
              <w:widowControl/>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71CE35A4">
            <w:pPr>
              <w:snapToGrid w:val="0"/>
              <w:spacing w:line="360" w:lineRule="auto"/>
              <w:ind w:firstLine="420" w:firstLineChars="200"/>
              <w:jc w:val="center"/>
              <w:rPr>
                <w:rFonts w:hint="eastAsia" w:ascii="宋体" w:hAnsi="宋体" w:cs="宋体"/>
                <w:bCs/>
                <w:color w:val="auto"/>
                <w:szCs w:val="21"/>
                <w:highlight w:val="none"/>
              </w:rPr>
            </w:pPr>
          </w:p>
        </w:tc>
      </w:tr>
      <w:tr w14:paraId="0AC7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6DE0E0D4">
            <w:pPr>
              <w:snapToGrid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4650" w:type="dxa"/>
            <w:tcBorders>
              <w:top w:val="single" w:color="auto" w:sz="4" w:space="0"/>
              <w:left w:val="single" w:color="auto" w:sz="4" w:space="0"/>
              <w:right w:val="single" w:color="auto" w:sz="4" w:space="0"/>
            </w:tcBorders>
            <w:noWrap/>
            <w:vAlign w:val="center"/>
          </w:tcPr>
          <w:p w14:paraId="708D8D2C">
            <w:pPr>
              <w:snapToGrid w:val="0"/>
              <w:spacing w:line="360" w:lineRule="auto"/>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274E6521">
            <w:pPr>
              <w:snapToGrid w:val="0"/>
              <w:spacing w:line="360" w:lineRule="auto"/>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4D49AF22">
            <w:pPr>
              <w:snapToGrid w:val="0"/>
              <w:spacing w:line="360" w:lineRule="auto"/>
              <w:ind w:firstLine="420" w:firstLineChars="200"/>
              <w:jc w:val="center"/>
              <w:rPr>
                <w:rFonts w:hint="eastAsia" w:ascii="宋体" w:hAnsi="宋体" w:cs="宋体"/>
                <w:bCs/>
                <w:color w:val="auto"/>
                <w:szCs w:val="21"/>
                <w:highlight w:val="none"/>
              </w:rPr>
            </w:pPr>
          </w:p>
        </w:tc>
      </w:tr>
      <w:tr w14:paraId="4703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0267B7F">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64A605D6">
            <w:pPr>
              <w:pStyle w:val="7"/>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35561E36">
            <w:pPr>
              <w:pStyle w:val="7"/>
              <w:spacing w:line="360" w:lineRule="auto"/>
              <w:rPr>
                <w:rFonts w:hint="eastAsia" w:ascii="宋体" w:hAnsi="宋体" w:cs="宋体"/>
                <w:bCs/>
                <w:color w:val="auto"/>
                <w:szCs w:val="21"/>
                <w:highlight w:val="none"/>
                <w:lang w:val="zh-CN"/>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2A4E34C">
            <w:pPr>
              <w:snapToGrid w:val="0"/>
              <w:spacing w:line="360" w:lineRule="auto"/>
              <w:ind w:firstLine="420" w:firstLineChars="200"/>
              <w:jc w:val="center"/>
              <w:rPr>
                <w:rFonts w:hint="eastAsia" w:ascii="宋体" w:hAnsi="宋体" w:cs="宋体"/>
                <w:bCs/>
                <w:color w:val="auto"/>
                <w:szCs w:val="21"/>
                <w:highlight w:val="none"/>
              </w:rPr>
            </w:pPr>
          </w:p>
        </w:tc>
      </w:tr>
      <w:tr w14:paraId="609F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49DB4AD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13D5FEAD">
            <w:pPr>
              <w:pStyle w:val="7"/>
              <w:snapToGrid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0132CF08">
            <w:pPr>
              <w:pStyle w:val="7"/>
              <w:snapToGrid w:val="0"/>
              <w:spacing w:line="360" w:lineRule="auto"/>
              <w:rPr>
                <w:rFonts w:hint="eastAsia" w:ascii="宋体" w:hAnsi="宋体" w:cs="宋体"/>
                <w:bCs/>
                <w:color w:val="auto"/>
                <w:szCs w:val="21"/>
                <w:highlight w:val="none"/>
              </w:rPr>
            </w:pPr>
            <w:r>
              <w:rPr>
                <w:rFonts w:hint="eastAsia" w:ascii="宋体" w:hAnsi="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116D514C">
            <w:pPr>
              <w:snapToGrid w:val="0"/>
              <w:spacing w:line="360" w:lineRule="auto"/>
              <w:ind w:firstLine="420" w:firstLineChars="200"/>
              <w:jc w:val="center"/>
              <w:rPr>
                <w:rFonts w:hint="eastAsia" w:ascii="宋体" w:hAnsi="宋体" w:cs="宋体"/>
                <w:bCs/>
                <w:color w:val="auto"/>
                <w:szCs w:val="21"/>
                <w:highlight w:val="none"/>
              </w:rPr>
            </w:pPr>
          </w:p>
        </w:tc>
      </w:tr>
      <w:tr w14:paraId="1BB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4B051A7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1853F3EA">
            <w:pPr>
              <w:pStyle w:val="7"/>
              <w:snapToGrid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供应商未被列入“信用中国”网站(www.creditchina.gov.cn)“记录失信被执行人或重大税收违法失信主体的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14:paraId="78E12401">
            <w:pPr>
              <w:pStyle w:val="7"/>
              <w:snapToGrid w:val="0"/>
              <w:spacing w:line="360" w:lineRule="auto"/>
              <w:rPr>
                <w:rFonts w:hint="eastAsia" w:ascii="宋体" w:hAnsi="宋体" w:cs="宋体"/>
                <w:bCs/>
                <w:color w:val="auto"/>
                <w:szCs w:val="21"/>
                <w:highlight w:val="none"/>
              </w:rPr>
            </w:pPr>
            <w:r>
              <w:rPr>
                <w:rFonts w:hint="eastAsia" w:ascii="宋体" w:hAnsi="宋体" w:cs="宋体"/>
                <w:bCs/>
                <w:color w:val="auto"/>
                <w:kern w:val="0"/>
                <w:szCs w:val="21"/>
                <w:highlight w:val="none"/>
                <w:lang w:val="zh-CN"/>
              </w:rPr>
              <w:t>提供</w:t>
            </w:r>
            <w:r>
              <w:rPr>
                <w:rFonts w:hint="eastAsia" w:ascii="宋体" w:hAnsi="宋体" w:cs="宋体"/>
                <w:bCs/>
                <w:color w:val="auto"/>
                <w:kern w:val="0"/>
                <w:szCs w:val="21"/>
                <w:highlight w:val="none"/>
              </w:rPr>
              <w:t>比选公告发布时间后</w:t>
            </w:r>
            <w:r>
              <w:rPr>
                <w:rFonts w:hint="eastAsia" w:ascii="宋体" w:hAnsi="宋体" w:cs="宋体"/>
                <w:bCs/>
                <w:color w:val="auto"/>
                <w:kern w:val="0"/>
                <w:szCs w:val="21"/>
                <w:highlight w:val="none"/>
                <w:lang w:val="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11E16E03">
            <w:pPr>
              <w:snapToGrid w:val="0"/>
              <w:spacing w:line="360" w:lineRule="auto"/>
              <w:ind w:firstLine="420" w:firstLineChars="200"/>
              <w:jc w:val="center"/>
              <w:rPr>
                <w:rFonts w:hint="eastAsia" w:ascii="宋体" w:hAnsi="宋体" w:cs="宋体"/>
                <w:bCs/>
                <w:color w:val="auto"/>
                <w:szCs w:val="21"/>
                <w:highlight w:val="none"/>
              </w:rPr>
            </w:pPr>
          </w:p>
        </w:tc>
      </w:tr>
      <w:tr w14:paraId="1178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0C6E8A52">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46D4465E">
            <w:pPr>
              <w:pStyle w:val="7"/>
              <w:snapToGrid w:val="0"/>
              <w:spacing w:line="360" w:lineRule="auto"/>
              <w:jc w:val="both"/>
              <w:rPr>
                <w:rFonts w:hint="eastAsia" w:ascii="宋体" w:hAnsi="宋体" w:cs="宋体"/>
                <w:bCs/>
                <w:color w:val="auto"/>
                <w:szCs w:val="21"/>
                <w:highlight w:val="none"/>
              </w:rPr>
            </w:pPr>
            <w:r>
              <w:rPr>
                <w:rFonts w:hint="eastAsia" w:hAnsi="宋体" w:cs="宋体"/>
                <w:bCs/>
                <w:color w:val="auto"/>
                <w:szCs w:val="21"/>
                <w:highlight w:val="none"/>
              </w:rPr>
              <w:t>城乡规划编制</w:t>
            </w:r>
            <w:r>
              <w:rPr>
                <w:rFonts w:hint="eastAsia" w:hAnsi="宋体" w:cs="宋体"/>
                <w:bCs/>
                <w:color w:val="auto"/>
                <w:szCs w:val="21"/>
                <w:highlight w:val="none"/>
                <w:lang w:val="en-US" w:eastAsia="zh-CN"/>
              </w:rPr>
              <w:t>乙级或</w:t>
            </w:r>
            <w:r>
              <w:rPr>
                <w:rFonts w:hint="eastAsia" w:hAnsi="宋体" w:cs="宋体"/>
                <w:bCs/>
                <w:color w:val="auto"/>
                <w:szCs w:val="21"/>
                <w:highlight w:val="none"/>
              </w:rPr>
              <w:t>以上资质</w:t>
            </w:r>
          </w:p>
        </w:tc>
        <w:tc>
          <w:tcPr>
            <w:tcW w:w="2130" w:type="dxa"/>
            <w:tcBorders>
              <w:top w:val="single" w:color="auto" w:sz="4" w:space="0"/>
              <w:left w:val="single" w:color="auto" w:sz="4" w:space="0"/>
              <w:bottom w:val="single" w:color="auto" w:sz="4" w:space="0"/>
              <w:right w:val="single" w:color="auto" w:sz="4" w:space="0"/>
            </w:tcBorders>
            <w:noWrap/>
            <w:vAlign w:val="center"/>
          </w:tcPr>
          <w:p w14:paraId="78CD9638">
            <w:pPr>
              <w:pStyle w:val="7"/>
              <w:snapToGrid w:val="0"/>
              <w:spacing w:line="360" w:lineRule="auto"/>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提供相应资质证书</w:t>
            </w:r>
          </w:p>
        </w:tc>
        <w:tc>
          <w:tcPr>
            <w:tcW w:w="975" w:type="dxa"/>
            <w:tcBorders>
              <w:top w:val="single" w:color="auto" w:sz="4" w:space="0"/>
              <w:left w:val="single" w:color="auto" w:sz="4" w:space="0"/>
              <w:bottom w:val="single" w:color="auto" w:sz="4" w:space="0"/>
              <w:right w:val="single" w:color="auto" w:sz="4" w:space="0"/>
            </w:tcBorders>
            <w:noWrap/>
            <w:vAlign w:val="center"/>
          </w:tcPr>
          <w:p w14:paraId="76AA2591">
            <w:pPr>
              <w:snapToGrid w:val="0"/>
              <w:spacing w:line="360" w:lineRule="auto"/>
              <w:ind w:firstLine="420" w:firstLineChars="200"/>
              <w:jc w:val="center"/>
              <w:rPr>
                <w:rFonts w:hint="eastAsia" w:ascii="宋体" w:hAnsi="宋体" w:cs="宋体"/>
                <w:bCs/>
                <w:color w:val="auto"/>
                <w:szCs w:val="21"/>
                <w:highlight w:val="none"/>
              </w:rPr>
            </w:pPr>
          </w:p>
        </w:tc>
      </w:tr>
    </w:tbl>
    <w:p w14:paraId="112FD732">
      <w:pPr>
        <w:pStyle w:val="8"/>
        <w:rPr>
          <w:color w:val="auto"/>
          <w:highlight w:val="none"/>
        </w:rPr>
        <w:sectPr>
          <w:pgSz w:w="11906" w:h="16838"/>
          <w:pgMar w:top="1440" w:right="1800" w:bottom="1440" w:left="1800" w:header="794" w:footer="992" w:gutter="0"/>
          <w:cols w:space="425" w:num="1"/>
          <w:docGrid w:type="lines" w:linePitch="312" w:charSpace="0"/>
        </w:sectPr>
      </w:pPr>
    </w:p>
    <w:p w14:paraId="4157EC72">
      <w:pPr>
        <w:rPr>
          <w:color w:val="auto"/>
          <w:highlight w:val="none"/>
        </w:rPr>
      </w:pPr>
    </w:p>
    <w:p w14:paraId="23DEC195">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6838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797FCC33">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06EFC708">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141655BF">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313369C0">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审查意见</w:t>
            </w:r>
          </w:p>
        </w:tc>
      </w:tr>
      <w:tr w14:paraId="65D8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27D6251">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6E6E1B02">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49A9B1A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458CD073">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r>
      <w:tr w14:paraId="66E3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C0B7506">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6C8EDAAE">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14:paraId="6D893135">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71D87476">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r>
      <w:tr w14:paraId="0FD9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D4E138B">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02AF23F6">
            <w:pPr>
              <w:adjustRightInd w:val="0"/>
              <w:snapToGrid w:val="0"/>
              <w:spacing w:line="360" w:lineRule="auto"/>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08419D5F">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43458CA0">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r>
      <w:tr w14:paraId="650E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1C03F4D">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66BAB3D2">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质量标准。</w:t>
            </w:r>
          </w:p>
        </w:tc>
        <w:tc>
          <w:tcPr>
            <w:tcW w:w="2535" w:type="dxa"/>
            <w:tcBorders>
              <w:top w:val="single" w:color="auto" w:sz="4" w:space="0"/>
              <w:left w:val="single" w:color="auto" w:sz="4" w:space="0"/>
              <w:bottom w:val="single" w:color="auto" w:sz="4" w:space="0"/>
              <w:right w:val="single" w:color="auto" w:sz="4" w:space="0"/>
            </w:tcBorders>
            <w:noWrap/>
          </w:tcPr>
          <w:p w14:paraId="6AB6FD88">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7555DC0F">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r>
      <w:tr w14:paraId="1AFB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69E4542">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6119621F">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w:t>
            </w:r>
          </w:p>
        </w:tc>
        <w:tc>
          <w:tcPr>
            <w:tcW w:w="2535" w:type="dxa"/>
            <w:tcBorders>
              <w:top w:val="single" w:color="auto" w:sz="4" w:space="0"/>
              <w:left w:val="single" w:color="auto" w:sz="4" w:space="0"/>
              <w:bottom w:val="single" w:color="auto" w:sz="4" w:space="0"/>
              <w:right w:val="single" w:color="auto" w:sz="4" w:space="0"/>
            </w:tcBorders>
            <w:noWrap/>
          </w:tcPr>
          <w:p w14:paraId="4AB42838">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32837F48">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tc>
      </w:tr>
      <w:tr w14:paraId="3739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F12DD47">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39F6C685">
            <w:pPr>
              <w:adjustRightInd w:val="0"/>
              <w:snapToGrid w:val="0"/>
              <w:spacing w:line="360" w:lineRule="auto"/>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4A492CC1">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5DF0B0F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tc>
      </w:tr>
      <w:tr w14:paraId="477C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3348AC5">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3FA6481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14:paraId="36F17106">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26644FAC">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tc>
      </w:tr>
    </w:tbl>
    <w:p w14:paraId="1D7AEDBA">
      <w:pPr>
        <w:pStyle w:val="17"/>
        <w:ind w:left="0" w:leftChars="0" w:firstLine="0" w:firstLineChars="0"/>
        <w:rPr>
          <w:color w:val="auto"/>
          <w:highlight w:val="none"/>
        </w:rPr>
      </w:pPr>
    </w:p>
    <w:p w14:paraId="3168C509">
      <w:pPr>
        <w:adjustRightInd w:val="0"/>
        <w:snapToGrid w:val="0"/>
        <w:spacing w:line="360" w:lineRule="auto"/>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三、评审标准</w:t>
      </w:r>
    </w:p>
    <w:p w14:paraId="15ADD787">
      <w:pPr>
        <w:adjustRightInd w:val="0"/>
        <w:snapToGrid w:val="0"/>
        <w:spacing w:line="360" w:lineRule="auto"/>
        <w:ind w:firstLine="422" w:firstLineChars="20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（一）评审方法及评审结果排列顺序规定如下：</w:t>
      </w:r>
    </w:p>
    <w:p w14:paraId="7CFA9A46">
      <w:pPr>
        <w:pStyle w:val="7"/>
        <w:spacing w:line="360" w:lineRule="auto"/>
        <w:ind w:firstLine="420" w:firstLineChars="200"/>
        <w:jc w:val="both"/>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采用综合评分法的，评审结果按评审后得分由高到低顺序排列。得分相同的，按响应报价由低到高顺序排列。得分且响应报价相同的并列或者评审委员会根据响应情况推荐评审结果排列顺序或予以授标建议。</w:t>
      </w:r>
    </w:p>
    <w:p w14:paraId="51454861">
      <w:pPr>
        <w:numPr>
          <w:ilvl w:val="0"/>
          <w:numId w:val="1"/>
        </w:numPr>
        <w:adjustRightInd w:val="0"/>
        <w:snapToGrid w:val="0"/>
        <w:spacing w:line="360" w:lineRule="auto"/>
        <w:ind w:firstLine="422"/>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23581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6DEFF12F">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14:paraId="780E7793">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14:paraId="57369733">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价格</w:t>
            </w:r>
          </w:p>
        </w:tc>
      </w:tr>
      <w:tr w14:paraId="002C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32AF6512">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2865" w:type="dxa"/>
            <w:tcBorders>
              <w:top w:val="single" w:color="auto" w:sz="6" w:space="0"/>
              <w:left w:val="single" w:color="auto" w:sz="6" w:space="0"/>
              <w:bottom w:val="single" w:color="auto" w:sz="6" w:space="0"/>
              <w:right w:val="single" w:color="auto" w:sz="6" w:space="0"/>
            </w:tcBorders>
            <w:vAlign w:val="center"/>
          </w:tcPr>
          <w:p w14:paraId="58E763CC">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90分</w:t>
            </w:r>
          </w:p>
        </w:tc>
        <w:tc>
          <w:tcPr>
            <w:tcW w:w="2911" w:type="dxa"/>
            <w:tcBorders>
              <w:top w:val="single" w:color="auto" w:sz="6" w:space="0"/>
              <w:left w:val="single" w:color="auto" w:sz="6" w:space="0"/>
              <w:bottom w:val="single" w:color="auto" w:sz="6" w:space="0"/>
              <w:right w:val="single" w:color="auto" w:sz="6" w:space="0"/>
            </w:tcBorders>
            <w:vAlign w:val="center"/>
          </w:tcPr>
          <w:p w14:paraId="1103F77D">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10分</w:t>
            </w:r>
          </w:p>
        </w:tc>
      </w:tr>
      <w:bookmarkEnd w:id="94"/>
    </w:tbl>
    <w:p w14:paraId="4CB1C9C4">
      <w:pPr>
        <w:adjustRightInd w:val="0"/>
        <w:snapToGrid w:val="0"/>
        <w:spacing w:line="360" w:lineRule="auto"/>
        <w:ind w:firstLine="422" w:firstLineChars="200"/>
        <w:outlineLvl w:val="1"/>
        <w:rPr>
          <w:rFonts w:hint="eastAsia" w:asciiTheme="minorEastAsia" w:hAnsiTheme="minorEastAsia" w:eastAsiaTheme="minorEastAsia" w:cstheme="minorEastAsia"/>
          <w:b/>
          <w:color w:val="auto"/>
          <w:szCs w:val="21"/>
          <w:highlight w:val="none"/>
        </w:rPr>
      </w:pPr>
      <w:bookmarkStart w:id="95" w:name="_Toc246826118"/>
      <w:r>
        <w:rPr>
          <w:rFonts w:hint="eastAsia" w:asciiTheme="minorEastAsia" w:hAnsiTheme="minorEastAsia" w:eastAsiaTheme="minorEastAsia" w:cstheme="minorEastAsia"/>
          <w:b/>
          <w:color w:val="auto"/>
          <w:szCs w:val="21"/>
          <w:highlight w:val="none"/>
        </w:rPr>
        <w:t>（三）响应报价的评审要求</w:t>
      </w:r>
    </w:p>
    <w:p w14:paraId="23798CAF">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1、价格核准：评审委员会对符合性审查合格的供应商的响应报价明细进行复核，看其是否有计算错误，如有则按供应商须知有关规定修正或澄清。</w:t>
      </w:r>
    </w:p>
    <w:p w14:paraId="22E770A9">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2、价格评审：</w:t>
      </w:r>
    </w:p>
    <w:p w14:paraId="52803EA2">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综合评分法，价格分统一采用低价优先法计算，即满足采购文件要求（通过资格审查和符合性审查）且评审价(指修正及价格扣除后的价格，下同)最低的为评审基准价，其价格分为满分。其他供应商的价格分统一按照下列公式计算：</w:t>
      </w:r>
    </w:p>
    <w:p w14:paraId="252EBABA">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价格评分=（评审基准价／评审价）×价格分值</w:t>
      </w:r>
    </w:p>
    <w:p w14:paraId="6B278DD3">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响应报价对小型、微型企业或者视同小型、微企业参与响应的参照第三章5.1款的规定以扣除后的价格参与评审。</w:t>
      </w:r>
    </w:p>
    <w:p w14:paraId="0D2F1C38">
      <w:pPr>
        <w:adjustRightInd w:val="0"/>
        <w:spacing w:line="360" w:lineRule="auto"/>
        <w:ind w:firstLine="422" w:firstLineChars="200"/>
        <w:outlineLvl w:val="1"/>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bCs w:val="0"/>
          <w:color w:val="auto"/>
          <w:szCs w:val="21"/>
          <w:highlight w:val="none"/>
          <w:lang w:eastAsia="zh-CN"/>
        </w:rPr>
        <w:t>（</w:t>
      </w:r>
      <w:r>
        <w:rPr>
          <w:rFonts w:hint="eastAsia" w:asciiTheme="minorEastAsia" w:hAnsiTheme="minorEastAsia" w:eastAsiaTheme="minorEastAsia" w:cstheme="minorEastAsia"/>
          <w:b/>
          <w:bCs w:val="0"/>
          <w:color w:val="auto"/>
          <w:szCs w:val="21"/>
          <w:highlight w:val="none"/>
          <w:lang w:val="en-US" w:eastAsia="zh-CN"/>
        </w:rPr>
        <w:t>四）评审细则</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311"/>
        <w:gridCol w:w="6142"/>
      </w:tblGrid>
      <w:tr w14:paraId="7E3A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tcBorders>
              <w:top w:val="single" w:color="auto" w:sz="4" w:space="0"/>
              <w:left w:val="single" w:color="auto" w:sz="4" w:space="0"/>
              <w:bottom w:val="single" w:color="auto" w:sz="4" w:space="0"/>
              <w:right w:val="single" w:color="auto" w:sz="4" w:space="0"/>
            </w:tcBorders>
            <w:noWrap/>
            <w:vAlign w:val="center"/>
          </w:tcPr>
          <w:p w14:paraId="5F3DCD21">
            <w:pPr>
              <w:jc w:val="center"/>
              <w:rPr>
                <w:rFonts w:hint="eastAsia" w:ascii="宋体" w:hAnsi="宋体" w:cs="宋体"/>
                <w:b/>
                <w:color w:val="auto"/>
                <w:sz w:val="20"/>
                <w:szCs w:val="20"/>
                <w:highlight w:val="none"/>
              </w:rPr>
            </w:pPr>
            <w:r>
              <w:rPr>
                <w:rFonts w:hint="eastAsia" w:ascii="宋体" w:hAnsi="宋体" w:cs="宋体"/>
                <w:b/>
                <w:color w:val="auto"/>
                <w:sz w:val="20"/>
                <w:szCs w:val="20"/>
                <w:highlight w:val="none"/>
              </w:rPr>
              <w:t>条款号</w:t>
            </w:r>
          </w:p>
        </w:tc>
        <w:tc>
          <w:tcPr>
            <w:tcW w:w="769" w:type="pct"/>
            <w:tcBorders>
              <w:top w:val="single" w:color="auto" w:sz="4" w:space="0"/>
              <w:left w:val="single" w:color="auto" w:sz="4" w:space="0"/>
              <w:bottom w:val="single" w:color="auto" w:sz="4" w:space="0"/>
              <w:right w:val="single" w:color="auto" w:sz="4" w:space="0"/>
            </w:tcBorders>
            <w:noWrap/>
            <w:vAlign w:val="center"/>
          </w:tcPr>
          <w:p w14:paraId="170A9373">
            <w:pPr>
              <w:jc w:val="center"/>
              <w:rPr>
                <w:rFonts w:hint="eastAsia" w:ascii="宋体" w:hAnsi="宋体" w:cs="宋体"/>
                <w:b/>
                <w:color w:val="auto"/>
                <w:sz w:val="20"/>
                <w:szCs w:val="20"/>
                <w:highlight w:val="none"/>
              </w:rPr>
            </w:pPr>
            <w:r>
              <w:rPr>
                <w:rFonts w:hint="eastAsia" w:ascii="宋体" w:hAnsi="宋体" w:cs="宋体"/>
                <w:b/>
                <w:color w:val="auto"/>
                <w:sz w:val="20"/>
                <w:szCs w:val="20"/>
                <w:highlight w:val="none"/>
              </w:rPr>
              <w:t>评审因素</w:t>
            </w:r>
          </w:p>
        </w:tc>
        <w:tc>
          <w:tcPr>
            <w:tcW w:w="3603" w:type="pct"/>
            <w:tcBorders>
              <w:top w:val="single" w:color="auto" w:sz="4" w:space="0"/>
              <w:left w:val="single" w:color="auto" w:sz="4" w:space="0"/>
              <w:bottom w:val="single" w:color="auto" w:sz="4" w:space="0"/>
              <w:right w:val="single" w:color="auto" w:sz="4" w:space="0"/>
            </w:tcBorders>
            <w:noWrap/>
            <w:vAlign w:val="center"/>
          </w:tcPr>
          <w:p w14:paraId="389800DD">
            <w:pPr>
              <w:jc w:val="center"/>
              <w:rPr>
                <w:rFonts w:hint="eastAsia" w:ascii="宋体" w:hAnsi="宋体" w:cs="宋体"/>
                <w:b/>
                <w:color w:val="auto"/>
                <w:sz w:val="20"/>
                <w:szCs w:val="20"/>
                <w:highlight w:val="none"/>
              </w:rPr>
            </w:pPr>
            <w:r>
              <w:rPr>
                <w:rFonts w:hint="eastAsia" w:ascii="宋体" w:hAnsi="宋体" w:cs="宋体"/>
                <w:b/>
                <w:color w:val="auto"/>
                <w:sz w:val="20"/>
                <w:szCs w:val="20"/>
                <w:highlight w:val="none"/>
              </w:rPr>
              <w:t>评审标准</w:t>
            </w:r>
          </w:p>
        </w:tc>
      </w:tr>
      <w:tr w14:paraId="5815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pct"/>
            <w:gridSpan w:val="2"/>
            <w:tcBorders>
              <w:top w:val="single" w:color="auto" w:sz="4" w:space="0"/>
              <w:left w:val="single" w:color="auto" w:sz="4" w:space="0"/>
              <w:bottom w:val="single" w:color="auto" w:sz="4" w:space="0"/>
              <w:right w:val="single" w:color="auto" w:sz="4" w:space="0"/>
            </w:tcBorders>
            <w:noWrap/>
            <w:vAlign w:val="center"/>
          </w:tcPr>
          <w:p w14:paraId="0AF46AF7">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分值构成</w:t>
            </w:r>
          </w:p>
          <w:p w14:paraId="4F77833E">
            <w:pPr>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0"/>
                <w:szCs w:val="20"/>
                <w:highlight w:val="none"/>
              </w:rPr>
              <w:t>(总分100分)</w:t>
            </w:r>
          </w:p>
        </w:tc>
        <w:tc>
          <w:tcPr>
            <w:tcW w:w="3603" w:type="pct"/>
            <w:tcBorders>
              <w:top w:val="single" w:color="auto" w:sz="4" w:space="0"/>
              <w:left w:val="single" w:color="auto" w:sz="4" w:space="0"/>
              <w:bottom w:val="single" w:color="auto" w:sz="4" w:space="0"/>
              <w:right w:val="single" w:color="auto" w:sz="4" w:space="0"/>
            </w:tcBorders>
            <w:noWrap/>
            <w:vAlign w:val="center"/>
          </w:tcPr>
          <w:p w14:paraId="733E232E">
            <w:p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价格评审</w:t>
            </w:r>
            <w:r>
              <w:rPr>
                <w:rFonts w:hint="eastAsia" w:asciiTheme="minorEastAsia" w:hAnsiTheme="minorEastAsia" w:eastAsiaTheme="minorEastAsia" w:cstheme="minorEastAsia"/>
                <w:color w:val="auto"/>
                <w:sz w:val="18"/>
                <w:szCs w:val="18"/>
                <w:highlight w:val="none"/>
                <w:u w:val="single"/>
              </w:rPr>
              <w:t>10</w:t>
            </w:r>
            <w:r>
              <w:rPr>
                <w:rFonts w:hint="eastAsia" w:asciiTheme="minorEastAsia" w:hAnsiTheme="minorEastAsia" w:eastAsiaTheme="minorEastAsia" w:cstheme="minorEastAsia"/>
                <w:color w:val="auto"/>
                <w:sz w:val="18"/>
                <w:szCs w:val="18"/>
                <w:highlight w:val="none"/>
              </w:rPr>
              <w:t>分</w:t>
            </w:r>
          </w:p>
          <w:p w14:paraId="335374F1">
            <w:p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技术部分</w:t>
            </w:r>
            <w:r>
              <w:rPr>
                <w:rFonts w:hint="eastAsia" w:asciiTheme="minorEastAsia" w:hAnsiTheme="minorEastAsia" w:eastAsiaTheme="minorEastAsia" w:cstheme="minorEastAsia"/>
                <w:color w:val="auto"/>
                <w:sz w:val="18"/>
                <w:szCs w:val="18"/>
                <w:highlight w:val="none"/>
                <w:u w:val="single"/>
                <w:lang w:val="en-US" w:eastAsia="zh-CN"/>
              </w:rPr>
              <w:t>50</w:t>
            </w:r>
            <w:r>
              <w:rPr>
                <w:rFonts w:hint="eastAsia" w:asciiTheme="minorEastAsia" w:hAnsiTheme="minorEastAsia" w:eastAsiaTheme="minorEastAsia" w:cstheme="minorEastAsia"/>
                <w:color w:val="auto"/>
                <w:sz w:val="18"/>
                <w:szCs w:val="18"/>
                <w:highlight w:val="none"/>
              </w:rPr>
              <w:t>分</w:t>
            </w:r>
          </w:p>
          <w:p w14:paraId="36B94AE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18"/>
                <w:szCs w:val="18"/>
                <w:highlight w:val="none"/>
              </w:rPr>
              <w:t>商务部分</w:t>
            </w:r>
            <w:r>
              <w:rPr>
                <w:rFonts w:hint="eastAsia" w:asciiTheme="minorEastAsia" w:hAnsiTheme="minorEastAsia" w:eastAsiaTheme="minorEastAsia" w:cstheme="minorEastAsia"/>
                <w:color w:val="auto"/>
                <w:sz w:val="18"/>
                <w:szCs w:val="18"/>
                <w:highlight w:val="none"/>
                <w:u w:val="single"/>
                <w:lang w:val="en-US" w:eastAsia="zh-CN"/>
              </w:rPr>
              <w:t>40</w:t>
            </w:r>
            <w:r>
              <w:rPr>
                <w:rFonts w:hint="eastAsia" w:asciiTheme="minorEastAsia" w:hAnsiTheme="minorEastAsia" w:eastAsiaTheme="minorEastAsia" w:cstheme="minorEastAsia"/>
                <w:color w:val="auto"/>
                <w:sz w:val="18"/>
                <w:szCs w:val="18"/>
                <w:highlight w:val="none"/>
              </w:rPr>
              <w:t>分</w:t>
            </w:r>
          </w:p>
        </w:tc>
      </w:tr>
      <w:tr w14:paraId="7C8C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pct"/>
            <w:gridSpan w:val="2"/>
            <w:tcBorders>
              <w:top w:val="single" w:color="auto" w:sz="4" w:space="0"/>
              <w:left w:val="single" w:color="auto" w:sz="4" w:space="0"/>
              <w:bottom w:val="single" w:color="auto" w:sz="4" w:space="0"/>
              <w:right w:val="single" w:color="auto" w:sz="4" w:space="0"/>
            </w:tcBorders>
            <w:noWrap/>
            <w:vAlign w:val="center"/>
          </w:tcPr>
          <w:p w14:paraId="1A6864F9">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价格评审</w:t>
            </w:r>
          </w:p>
          <w:p w14:paraId="4D650992">
            <w:pPr>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0"/>
                <w:szCs w:val="20"/>
                <w:highlight w:val="none"/>
              </w:rPr>
              <w:t>（10分）</w:t>
            </w:r>
          </w:p>
        </w:tc>
        <w:tc>
          <w:tcPr>
            <w:tcW w:w="3603" w:type="pct"/>
            <w:tcBorders>
              <w:top w:val="single" w:color="auto" w:sz="4" w:space="0"/>
              <w:left w:val="single" w:color="auto" w:sz="4" w:space="0"/>
              <w:bottom w:val="single" w:color="auto" w:sz="4" w:space="0"/>
              <w:right w:val="single" w:color="auto" w:sz="4" w:space="0"/>
            </w:tcBorders>
            <w:noWrap/>
            <w:vAlign w:val="center"/>
          </w:tcPr>
          <w:p w14:paraId="6D2D354F">
            <w:p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响应报价得分以满分</w:t>
            </w:r>
            <w:r>
              <w:rPr>
                <w:rFonts w:hint="eastAsia" w:asciiTheme="minorEastAsia" w:hAnsiTheme="minorEastAsia" w:eastAsiaTheme="minorEastAsia" w:cstheme="minorEastAsia"/>
                <w:color w:val="auto"/>
                <w:sz w:val="20"/>
                <w:szCs w:val="20"/>
                <w:highlight w:val="none"/>
                <w:u w:val="single"/>
              </w:rPr>
              <w:t>10分</w:t>
            </w:r>
            <w:r>
              <w:rPr>
                <w:rFonts w:hint="eastAsia" w:asciiTheme="minorEastAsia" w:hAnsiTheme="minorEastAsia" w:eastAsiaTheme="minorEastAsia" w:cstheme="minorEastAsia"/>
                <w:color w:val="auto"/>
                <w:sz w:val="20"/>
                <w:szCs w:val="20"/>
                <w:highlight w:val="none"/>
              </w:rPr>
              <w:t>计算。满足比选文件要求且响应报价最低的响应报价为评审基准价，其价格分为满分。其他供应商的价格分统一按照下列公式计算：</w:t>
            </w:r>
          </w:p>
          <w:p w14:paraId="69309E09">
            <w:p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响应报价得分=（评审基准价/响应报价）×10</w:t>
            </w:r>
          </w:p>
          <w:p w14:paraId="7285C3D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0"/>
                <w:szCs w:val="20"/>
                <w:highlight w:val="none"/>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14:paraId="6701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27" w:type="pct"/>
            <w:vMerge w:val="restart"/>
            <w:tcBorders>
              <w:top w:val="single" w:color="auto" w:sz="4" w:space="0"/>
              <w:left w:val="single" w:color="auto" w:sz="4" w:space="0"/>
              <w:right w:val="single" w:color="auto" w:sz="4" w:space="0"/>
            </w:tcBorders>
            <w:noWrap/>
            <w:vAlign w:val="center"/>
          </w:tcPr>
          <w:p w14:paraId="55EB03DE">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技术部分</w:t>
            </w:r>
          </w:p>
          <w:p w14:paraId="62610EBF">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w:t>
            </w:r>
            <w:r>
              <w:rPr>
                <w:rFonts w:hint="eastAsia" w:asciiTheme="minorEastAsia" w:hAnsiTheme="minorEastAsia" w:eastAsiaTheme="minorEastAsia" w:cstheme="minorEastAsia"/>
                <w:b/>
                <w:bCs/>
                <w:color w:val="auto"/>
                <w:sz w:val="20"/>
                <w:szCs w:val="20"/>
                <w:highlight w:val="none"/>
                <w:lang w:val="en-US" w:eastAsia="zh-CN"/>
              </w:rPr>
              <w:t>50</w:t>
            </w:r>
            <w:r>
              <w:rPr>
                <w:rFonts w:hint="eastAsia" w:asciiTheme="minorEastAsia" w:hAnsiTheme="minorEastAsia" w:eastAsiaTheme="minorEastAsia" w:cstheme="minorEastAsia"/>
                <w:b/>
                <w:bCs/>
                <w:color w:val="auto"/>
                <w:sz w:val="20"/>
                <w:szCs w:val="20"/>
                <w:highlight w:val="none"/>
              </w:rPr>
              <w:t>分）</w:t>
            </w:r>
          </w:p>
          <w:p w14:paraId="72BCCFF9">
            <w:pPr>
              <w:jc w:val="center"/>
              <w:rPr>
                <w:rFonts w:hint="eastAsia" w:asciiTheme="minorEastAsia" w:hAnsiTheme="minorEastAsia" w:eastAsiaTheme="minorEastAsia" w:cstheme="minorEastAsia"/>
                <w:b/>
                <w:bCs/>
                <w:color w:val="auto"/>
                <w:sz w:val="20"/>
                <w:szCs w:val="20"/>
                <w:highlight w:val="none"/>
              </w:rPr>
            </w:pPr>
          </w:p>
          <w:p w14:paraId="627200A7">
            <w:pPr>
              <w:jc w:val="center"/>
              <w:rPr>
                <w:rFonts w:hint="eastAsia" w:asciiTheme="minorEastAsia" w:hAnsiTheme="minorEastAsia" w:eastAsiaTheme="minorEastAsia" w:cstheme="minorEastAsia"/>
                <w:b/>
                <w:bCs/>
                <w:color w:val="auto"/>
                <w:sz w:val="20"/>
                <w:szCs w:val="20"/>
                <w:highlight w:val="none"/>
              </w:rPr>
            </w:pPr>
          </w:p>
        </w:tc>
        <w:tc>
          <w:tcPr>
            <w:tcW w:w="769" w:type="pct"/>
            <w:tcBorders>
              <w:top w:val="single" w:color="auto" w:sz="4" w:space="0"/>
              <w:left w:val="single" w:color="auto" w:sz="4" w:space="0"/>
              <w:bottom w:val="single" w:color="auto" w:sz="4" w:space="0"/>
              <w:right w:val="single" w:color="auto" w:sz="4" w:space="0"/>
            </w:tcBorders>
            <w:noWrap/>
            <w:vAlign w:val="center"/>
          </w:tcPr>
          <w:p w14:paraId="09C625DD">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对项目的</w:t>
            </w:r>
          </w:p>
          <w:p w14:paraId="676D66FA">
            <w:pPr>
              <w:jc w:val="center"/>
              <w:rPr>
                <w:rFonts w:hint="default" w:asciiTheme="minorEastAsia" w:hAnsiTheme="minorEastAsia" w:eastAsiaTheme="minorEastAsia" w:cstheme="minorEastAsia"/>
                <w:b/>
                <w:bCs/>
                <w:color w:val="auto"/>
                <w:sz w:val="20"/>
                <w:szCs w:val="20"/>
                <w:highlight w:val="none"/>
                <w:lang w:val="en-US"/>
              </w:rPr>
            </w:pPr>
            <w:r>
              <w:rPr>
                <w:rFonts w:hint="eastAsia" w:asciiTheme="minorEastAsia" w:hAnsiTheme="minorEastAsia" w:eastAsiaTheme="minorEastAsia" w:cstheme="minorEastAsia"/>
                <w:b/>
                <w:bCs/>
                <w:color w:val="auto"/>
                <w:sz w:val="20"/>
                <w:szCs w:val="20"/>
                <w:highlight w:val="none"/>
              </w:rPr>
              <w:t>理解与</w:t>
            </w:r>
            <w:r>
              <w:rPr>
                <w:rFonts w:hint="eastAsia" w:asciiTheme="minorEastAsia" w:hAnsiTheme="minorEastAsia" w:eastAsiaTheme="minorEastAsia" w:cstheme="minorEastAsia"/>
                <w:b/>
                <w:bCs/>
                <w:color w:val="auto"/>
                <w:sz w:val="20"/>
                <w:szCs w:val="20"/>
                <w:highlight w:val="none"/>
                <w:lang w:val="en-US" w:eastAsia="zh-CN"/>
              </w:rPr>
              <w:t>认识</w:t>
            </w:r>
          </w:p>
          <w:p w14:paraId="654114CA">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（20分）</w:t>
            </w:r>
          </w:p>
        </w:tc>
        <w:tc>
          <w:tcPr>
            <w:tcW w:w="36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21DA5">
            <w:pP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供应商对项目背景、项目目的、工作内容的理解与认识。</w:t>
            </w:r>
            <w:r>
              <w:rPr>
                <w:rFonts w:hint="eastAsia" w:asciiTheme="minorEastAsia" w:hAnsiTheme="minorEastAsia" w:eastAsiaTheme="minorEastAsia" w:cstheme="minorEastAsia"/>
                <w:b/>
                <w:bCs/>
                <w:color w:val="auto"/>
                <w:sz w:val="20"/>
                <w:szCs w:val="20"/>
                <w:highlight w:val="none"/>
                <w:lang w:eastAsia="zh-CN"/>
              </w:rPr>
              <w:t>（</w:t>
            </w:r>
            <w:r>
              <w:rPr>
                <w:rFonts w:hint="eastAsia" w:asciiTheme="minorEastAsia" w:hAnsiTheme="minorEastAsia" w:eastAsiaTheme="minorEastAsia" w:cstheme="minorEastAsia"/>
                <w:b/>
                <w:bCs/>
                <w:color w:val="auto"/>
                <w:sz w:val="20"/>
                <w:szCs w:val="20"/>
                <w:highlight w:val="none"/>
              </w:rPr>
              <w:t>本项最高得分20分</w:t>
            </w:r>
            <w:r>
              <w:rPr>
                <w:rFonts w:hint="eastAsia" w:asciiTheme="minorEastAsia" w:hAnsiTheme="minorEastAsia" w:eastAsiaTheme="minorEastAsia" w:cstheme="minorEastAsia"/>
                <w:b/>
                <w:bCs/>
                <w:color w:val="auto"/>
                <w:sz w:val="20"/>
                <w:szCs w:val="20"/>
                <w:highlight w:val="none"/>
                <w:lang w:eastAsia="zh-CN"/>
              </w:rPr>
              <w:t>）</w:t>
            </w:r>
          </w:p>
          <w:p w14:paraId="59F7F833">
            <w:pPr>
              <w:shd w:val="clea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1、对项目背景了解全面，项目目的明确、工作内容理解透彻，得 20-14 分；</w:t>
            </w:r>
          </w:p>
          <w:p w14:paraId="71ED4869">
            <w:pPr>
              <w:shd w:val="clea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2、对项目背景了解不太全面，项目目的不是很明确、工作内容理解不太透彻，得 13-7 分；</w:t>
            </w:r>
          </w:p>
          <w:p w14:paraId="65604073">
            <w:pPr>
              <w:shd w:val="clea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3、对项目背景了解不全面，项目目的不明确、工作内容理解不透彻，得 6-0 分；</w:t>
            </w:r>
          </w:p>
          <w:p w14:paraId="46AC5C5F">
            <w:p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lang w:val="en-US" w:eastAsia="zh-CN"/>
              </w:rPr>
              <w:t>4、未提供不得分</w:t>
            </w:r>
            <w:commentRangeStart w:id="0"/>
            <w:r>
              <w:rPr>
                <w:rFonts w:hint="eastAsia" w:asciiTheme="minorEastAsia" w:hAnsiTheme="minorEastAsia" w:eastAsiaTheme="minorEastAsia" w:cstheme="minorEastAsia"/>
                <w:b w:val="0"/>
                <w:bCs w:val="0"/>
                <w:color w:val="auto"/>
                <w:sz w:val="20"/>
                <w:szCs w:val="20"/>
                <w:highlight w:val="none"/>
                <w:lang w:eastAsia="zh-CN"/>
              </w:rPr>
              <w:t>。</w:t>
            </w:r>
            <w:commentRangeEnd w:id="0"/>
            <w:r>
              <w:rPr>
                <w:b w:val="0"/>
                <w:bCs w:val="0"/>
                <w:highlight w:val="none"/>
              </w:rPr>
              <w:commentReference w:id="0"/>
            </w:r>
          </w:p>
        </w:tc>
      </w:tr>
      <w:tr w14:paraId="5CFB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27" w:type="pct"/>
            <w:vMerge w:val="continue"/>
            <w:tcBorders>
              <w:left w:val="single" w:color="auto" w:sz="4" w:space="0"/>
              <w:right w:val="single" w:color="auto" w:sz="4" w:space="0"/>
            </w:tcBorders>
            <w:noWrap/>
            <w:vAlign w:val="center"/>
          </w:tcPr>
          <w:p w14:paraId="2C675B56">
            <w:pPr>
              <w:jc w:val="center"/>
              <w:rPr>
                <w:rFonts w:hint="eastAsia" w:asciiTheme="minorEastAsia" w:hAnsiTheme="minorEastAsia" w:eastAsiaTheme="minorEastAsia" w:cstheme="minorEastAsia"/>
                <w:b/>
                <w:bCs/>
                <w:color w:val="auto"/>
                <w:sz w:val="20"/>
                <w:szCs w:val="20"/>
                <w:highlight w:val="none"/>
              </w:rPr>
            </w:pPr>
          </w:p>
        </w:tc>
        <w:tc>
          <w:tcPr>
            <w:tcW w:w="769" w:type="pct"/>
            <w:tcBorders>
              <w:top w:val="single" w:color="auto" w:sz="4" w:space="0"/>
              <w:left w:val="single" w:color="auto" w:sz="4" w:space="0"/>
              <w:bottom w:val="single" w:color="auto" w:sz="4" w:space="0"/>
              <w:right w:val="single" w:color="auto" w:sz="4" w:space="0"/>
            </w:tcBorders>
            <w:noWrap/>
            <w:vAlign w:val="center"/>
          </w:tcPr>
          <w:p w14:paraId="4E8A4C2E">
            <w:pPr>
              <w:jc w:val="center"/>
              <w:rPr>
                <w:rFonts w:hint="default" w:asciiTheme="minorEastAsia" w:hAnsiTheme="minorEastAsia" w:eastAsiaTheme="minorEastAsia" w:cstheme="minorEastAsia"/>
                <w:b/>
                <w:bCs/>
                <w:color w:val="auto"/>
                <w:sz w:val="20"/>
                <w:szCs w:val="20"/>
                <w:highlight w:val="none"/>
                <w:lang w:val="en-US" w:eastAsia="zh-CN"/>
              </w:rPr>
            </w:pPr>
            <w:r>
              <w:rPr>
                <w:rFonts w:hint="eastAsia" w:asciiTheme="minorEastAsia" w:hAnsiTheme="minorEastAsia" w:eastAsiaTheme="minorEastAsia" w:cstheme="minorEastAsia"/>
                <w:b/>
                <w:bCs/>
                <w:color w:val="auto"/>
                <w:sz w:val="20"/>
                <w:szCs w:val="20"/>
                <w:highlight w:val="none"/>
                <w:lang w:eastAsia="zh-CN"/>
              </w:rPr>
              <w:t>工作</w:t>
            </w:r>
            <w:r>
              <w:rPr>
                <w:rFonts w:hint="eastAsia" w:asciiTheme="minorEastAsia" w:hAnsiTheme="minorEastAsia" w:eastAsiaTheme="minorEastAsia" w:cstheme="minorEastAsia"/>
                <w:b/>
                <w:bCs/>
                <w:color w:val="auto"/>
                <w:sz w:val="20"/>
                <w:szCs w:val="20"/>
                <w:highlight w:val="none"/>
              </w:rPr>
              <w:t>思路</w:t>
            </w:r>
            <w:r>
              <w:rPr>
                <w:rFonts w:hint="eastAsia" w:asciiTheme="minorEastAsia" w:hAnsiTheme="minorEastAsia" w:eastAsiaTheme="minorEastAsia" w:cstheme="minorEastAsia"/>
                <w:b/>
                <w:bCs/>
                <w:color w:val="auto"/>
                <w:sz w:val="20"/>
                <w:szCs w:val="20"/>
                <w:highlight w:val="none"/>
                <w:lang w:val="en-US" w:eastAsia="zh-CN"/>
              </w:rPr>
              <w:t>与技术路线</w:t>
            </w:r>
          </w:p>
          <w:p w14:paraId="6AB9B0E9">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w:t>
            </w:r>
            <w:r>
              <w:rPr>
                <w:rFonts w:hint="eastAsia" w:asciiTheme="minorEastAsia" w:hAnsiTheme="minorEastAsia" w:eastAsiaTheme="minorEastAsia" w:cstheme="minorEastAsia"/>
                <w:b/>
                <w:bCs/>
                <w:color w:val="auto"/>
                <w:sz w:val="20"/>
                <w:szCs w:val="20"/>
                <w:highlight w:val="none"/>
                <w:lang w:val="en-US" w:eastAsia="zh-CN"/>
              </w:rPr>
              <w:t>30</w:t>
            </w:r>
            <w:r>
              <w:rPr>
                <w:rFonts w:hint="eastAsia" w:asciiTheme="minorEastAsia" w:hAnsiTheme="minorEastAsia" w:eastAsiaTheme="minorEastAsia" w:cstheme="minorEastAsia"/>
                <w:b/>
                <w:bCs/>
                <w:color w:val="auto"/>
                <w:sz w:val="20"/>
                <w:szCs w:val="20"/>
                <w:highlight w:val="none"/>
              </w:rPr>
              <w:t>分）</w:t>
            </w:r>
          </w:p>
        </w:tc>
        <w:tc>
          <w:tcPr>
            <w:tcW w:w="36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D45F5">
            <w:pP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供应商</w:t>
            </w:r>
            <w:r>
              <w:rPr>
                <w:rFonts w:hint="eastAsia" w:asciiTheme="minorEastAsia" w:hAnsiTheme="minorEastAsia" w:eastAsiaTheme="minorEastAsia" w:cstheme="minorEastAsia"/>
                <w:b/>
                <w:bCs/>
                <w:color w:val="auto"/>
                <w:sz w:val="20"/>
                <w:szCs w:val="20"/>
                <w:highlight w:val="none"/>
              </w:rPr>
              <w:t>提</w:t>
            </w:r>
            <w:commentRangeStart w:id="1"/>
            <w:r>
              <w:rPr>
                <w:rFonts w:hint="eastAsia" w:asciiTheme="minorEastAsia" w:hAnsiTheme="minorEastAsia" w:eastAsiaTheme="minorEastAsia" w:cstheme="minorEastAsia"/>
                <w:b/>
                <w:bCs/>
                <w:color w:val="auto"/>
                <w:sz w:val="20"/>
                <w:szCs w:val="20"/>
                <w:highlight w:val="none"/>
              </w:rPr>
              <w:t>出</w:t>
            </w:r>
            <w:r>
              <w:rPr>
                <w:rFonts w:hint="eastAsia" w:asciiTheme="minorEastAsia" w:hAnsiTheme="minorEastAsia" w:eastAsiaTheme="minorEastAsia" w:cstheme="minorEastAsia"/>
                <w:b/>
                <w:bCs/>
                <w:color w:val="auto"/>
                <w:sz w:val="20"/>
                <w:szCs w:val="20"/>
                <w:highlight w:val="none"/>
                <w:lang w:val="en-US" w:eastAsia="zh-CN"/>
              </w:rPr>
              <w:t>项目的</w:t>
            </w:r>
            <w:r>
              <w:rPr>
                <w:rFonts w:hint="eastAsia" w:asciiTheme="minorEastAsia" w:hAnsiTheme="minorEastAsia" w:eastAsiaTheme="minorEastAsia" w:cstheme="minorEastAsia"/>
                <w:b/>
                <w:bCs/>
                <w:color w:val="auto"/>
                <w:sz w:val="20"/>
                <w:szCs w:val="20"/>
                <w:highlight w:val="none"/>
                <w:lang w:eastAsia="zh-CN"/>
              </w:rPr>
              <w:t>工作</w:t>
            </w:r>
            <w:r>
              <w:rPr>
                <w:rFonts w:hint="eastAsia" w:asciiTheme="minorEastAsia" w:hAnsiTheme="minorEastAsia" w:eastAsiaTheme="minorEastAsia" w:cstheme="minorEastAsia"/>
                <w:b/>
                <w:bCs/>
                <w:color w:val="auto"/>
                <w:sz w:val="20"/>
                <w:szCs w:val="20"/>
                <w:highlight w:val="none"/>
              </w:rPr>
              <w:t>思路及</w:t>
            </w:r>
            <w:r>
              <w:rPr>
                <w:rFonts w:hint="eastAsia" w:asciiTheme="minorEastAsia" w:hAnsiTheme="minorEastAsia" w:eastAsiaTheme="minorEastAsia" w:cstheme="minorEastAsia"/>
                <w:b/>
                <w:bCs/>
                <w:color w:val="auto"/>
                <w:sz w:val="20"/>
                <w:szCs w:val="20"/>
                <w:highlight w:val="none"/>
                <w:lang w:val="en-US" w:eastAsia="zh-CN"/>
              </w:rPr>
              <w:t>工作</w:t>
            </w:r>
            <w:r>
              <w:rPr>
                <w:rFonts w:hint="eastAsia" w:asciiTheme="minorEastAsia" w:hAnsiTheme="minorEastAsia" w:eastAsiaTheme="minorEastAsia" w:cstheme="minorEastAsia"/>
                <w:b/>
                <w:bCs/>
                <w:color w:val="auto"/>
                <w:sz w:val="20"/>
                <w:szCs w:val="20"/>
                <w:highlight w:val="none"/>
              </w:rPr>
              <w:t>技术路线</w:t>
            </w:r>
            <w:r>
              <w:rPr>
                <w:rFonts w:hint="eastAsia" w:asciiTheme="minorEastAsia" w:hAnsiTheme="minorEastAsia" w:eastAsiaTheme="minorEastAsia" w:cstheme="minorEastAsia"/>
                <w:b/>
                <w:bCs/>
                <w:color w:val="auto"/>
                <w:sz w:val="20"/>
                <w:szCs w:val="20"/>
                <w:highlight w:val="none"/>
                <w:lang w:eastAsia="zh-CN"/>
              </w:rPr>
              <w:t>。</w:t>
            </w:r>
            <w:r>
              <w:rPr>
                <w:rFonts w:hint="eastAsia" w:asciiTheme="minorEastAsia" w:hAnsiTheme="minorEastAsia" w:eastAsiaTheme="minorEastAsia" w:cstheme="minorEastAsia"/>
                <w:b/>
                <w:bCs/>
                <w:color w:val="auto"/>
                <w:sz w:val="20"/>
                <w:szCs w:val="20"/>
                <w:highlight w:val="none"/>
              </w:rPr>
              <w:t>（本项最高得分</w:t>
            </w:r>
            <w:r>
              <w:rPr>
                <w:rFonts w:hint="eastAsia" w:asciiTheme="minorEastAsia" w:hAnsiTheme="minorEastAsia" w:eastAsiaTheme="minorEastAsia" w:cstheme="minorEastAsia"/>
                <w:b/>
                <w:bCs/>
                <w:color w:val="auto"/>
                <w:sz w:val="20"/>
                <w:szCs w:val="20"/>
                <w:highlight w:val="none"/>
                <w:lang w:val="en-US" w:eastAsia="zh-CN"/>
              </w:rPr>
              <w:t>3</w:t>
            </w:r>
            <w:r>
              <w:rPr>
                <w:rFonts w:hint="eastAsia" w:asciiTheme="minorEastAsia" w:hAnsiTheme="minorEastAsia" w:eastAsiaTheme="minorEastAsia" w:cstheme="minorEastAsia"/>
                <w:b/>
                <w:bCs/>
                <w:color w:val="auto"/>
                <w:sz w:val="20"/>
                <w:szCs w:val="20"/>
                <w:highlight w:val="none"/>
              </w:rPr>
              <w:t>0分）</w:t>
            </w:r>
          </w:p>
          <w:p w14:paraId="4FE2315F">
            <w:pPr>
              <w:numPr>
                <w:ilvl w:val="0"/>
                <w:numId w:val="2"/>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工作</w:t>
            </w:r>
            <w:r>
              <w:rPr>
                <w:rFonts w:hint="eastAsia" w:asciiTheme="minorEastAsia" w:hAnsiTheme="minorEastAsia" w:eastAsiaTheme="minorEastAsia" w:cstheme="minorEastAsia"/>
                <w:color w:val="auto"/>
                <w:sz w:val="20"/>
                <w:szCs w:val="20"/>
                <w:highlight w:val="none"/>
                <w:lang w:val="en-US" w:eastAsia="zh-CN"/>
              </w:rPr>
              <w:t>思路</w:t>
            </w:r>
            <w:r>
              <w:rPr>
                <w:rFonts w:hint="eastAsia" w:asciiTheme="minorEastAsia" w:hAnsiTheme="minorEastAsia" w:eastAsiaTheme="minorEastAsia" w:cstheme="minorEastAsia"/>
                <w:color w:val="auto"/>
                <w:sz w:val="20"/>
                <w:szCs w:val="20"/>
                <w:highlight w:val="none"/>
              </w:rPr>
              <w:t>、技术路线科学合理，可行性高，得</w:t>
            </w:r>
            <w:r>
              <w:rPr>
                <w:rFonts w:hint="eastAsia" w:asciiTheme="minorEastAsia" w:hAnsiTheme="minorEastAsia" w:eastAsiaTheme="minorEastAsia" w:cstheme="minorEastAsia"/>
                <w:color w:val="auto"/>
                <w:sz w:val="20"/>
                <w:szCs w:val="20"/>
                <w:highlight w:val="none"/>
                <w:lang w:val="en-US" w:eastAsia="zh-CN"/>
              </w:rPr>
              <w:t>30</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0"/>
                <w:szCs w:val="20"/>
                <w:highlight w:val="none"/>
                <w:lang w:val="en-US" w:eastAsia="zh-CN"/>
              </w:rPr>
              <w:t>21</w:t>
            </w:r>
            <w:r>
              <w:rPr>
                <w:rFonts w:hint="eastAsia" w:asciiTheme="minorEastAsia" w:hAnsiTheme="minorEastAsia" w:eastAsiaTheme="minorEastAsia" w:cstheme="minorEastAsia"/>
                <w:color w:val="auto"/>
                <w:sz w:val="20"/>
                <w:szCs w:val="20"/>
                <w:highlight w:val="none"/>
              </w:rPr>
              <w:t>分；</w:t>
            </w:r>
          </w:p>
          <w:p w14:paraId="7B29D18E">
            <w:pPr>
              <w:numPr>
                <w:ilvl w:val="0"/>
                <w:numId w:val="2"/>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工作思路、技术路线比较科学合理，可行性一般</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得</w:t>
            </w:r>
            <w:r>
              <w:rPr>
                <w:rFonts w:hint="eastAsia" w:asciiTheme="minorEastAsia" w:hAnsiTheme="minorEastAsia" w:eastAsiaTheme="minorEastAsia" w:cstheme="minorEastAsia"/>
                <w:color w:val="auto"/>
                <w:sz w:val="20"/>
                <w:szCs w:val="20"/>
                <w:highlight w:val="none"/>
                <w:lang w:val="en-US" w:eastAsia="zh-CN"/>
              </w:rPr>
              <w:t>20</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0"/>
                <w:szCs w:val="20"/>
                <w:highlight w:val="none"/>
                <w:lang w:val="en-US" w:eastAsia="zh-CN"/>
              </w:rPr>
              <w:t>11</w:t>
            </w:r>
            <w:r>
              <w:rPr>
                <w:rFonts w:hint="eastAsia" w:asciiTheme="minorEastAsia" w:hAnsiTheme="minorEastAsia" w:eastAsiaTheme="minorEastAsia" w:cstheme="minorEastAsia"/>
                <w:color w:val="auto"/>
                <w:sz w:val="20"/>
                <w:szCs w:val="20"/>
                <w:highlight w:val="none"/>
              </w:rPr>
              <w:t>分；</w:t>
            </w:r>
          </w:p>
          <w:p w14:paraId="76653D03">
            <w:pPr>
              <w:numPr>
                <w:ilvl w:val="0"/>
                <w:numId w:val="2"/>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工作思路不太清晰</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技术路线不太合理，可行性不高，得</w:t>
            </w:r>
            <w:r>
              <w:rPr>
                <w:rFonts w:hint="eastAsia" w:asciiTheme="minorEastAsia" w:hAnsiTheme="minorEastAsia" w:eastAsiaTheme="minorEastAsia" w:cstheme="minorEastAsia"/>
                <w:color w:val="auto"/>
                <w:sz w:val="20"/>
                <w:szCs w:val="20"/>
                <w:highlight w:val="none"/>
                <w:lang w:val="en-US" w:eastAsia="zh-CN"/>
              </w:rPr>
              <w:t>10</w:t>
            </w:r>
            <w:r>
              <w:rPr>
                <w:rFonts w:hint="eastAsia" w:asciiTheme="minorEastAsia" w:hAnsiTheme="minorEastAsia" w:eastAsiaTheme="minorEastAsia" w:cstheme="minorEastAsia"/>
                <w:color w:val="auto"/>
                <w:sz w:val="20"/>
                <w:szCs w:val="20"/>
                <w:highlight w:val="none"/>
              </w:rPr>
              <w:t>-0分；</w:t>
            </w:r>
          </w:p>
          <w:p w14:paraId="6632EADF">
            <w:pPr>
              <w:numPr>
                <w:ilvl w:val="0"/>
                <w:numId w:val="2"/>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未提供不得分。</w:t>
            </w:r>
            <w:commentRangeEnd w:id="1"/>
            <w:r>
              <w:rPr>
                <w:highlight w:val="none"/>
              </w:rPr>
              <w:commentReference w:id="1"/>
            </w:r>
          </w:p>
        </w:tc>
      </w:tr>
      <w:tr w14:paraId="44E8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27" w:type="pct"/>
            <w:vMerge w:val="restart"/>
            <w:tcBorders>
              <w:left w:val="single" w:color="auto" w:sz="4" w:space="0"/>
              <w:right w:val="single" w:color="auto" w:sz="4" w:space="0"/>
            </w:tcBorders>
            <w:noWrap/>
            <w:vAlign w:val="center"/>
          </w:tcPr>
          <w:p w14:paraId="4A15DE85">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商务部分（</w:t>
            </w:r>
            <w:r>
              <w:rPr>
                <w:rFonts w:hint="eastAsia" w:asciiTheme="minorEastAsia" w:hAnsiTheme="minorEastAsia" w:eastAsiaTheme="minorEastAsia" w:cstheme="minorEastAsia"/>
                <w:b/>
                <w:bCs/>
                <w:color w:val="auto"/>
                <w:sz w:val="20"/>
                <w:szCs w:val="20"/>
                <w:highlight w:val="none"/>
                <w:lang w:val="en-US" w:eastAsia="zh-CN"/>
              </w:rPr>
              <w:t>40</w:t>
            </w:r>
            <w:r>
              <w:rPr>
                <w:rFonts w:hint="eastAsia" w:asciiTheme="minorEastAsia" w:hAnsiTheme="minorEastAsia" w:eastAsiaTheme="minorEastAsia" w:cstheme="minorEastAsia"/>
                <w:b/>
                <w:bCs/>
                <w:color w:val="auto"/>
                <w:sz w:val="20"/>
                <w:szCs w:val="20"/>
                <w:highlight w:val="none"/>
              </w:rPr>
              <w:t>分）</w:t>
            </w:r>
          </w:p>
        </w:tc>
        <w:tc>
          <w:tcPr>
            <w:tcW w:w="769" w:type="pct"/>
            <w:tcBorders>
              <w:top w:val="single" w:color="auto" w:sz="4" w:space="0"/>
              <w:left w:val="single" w:color="auto" w:sz="4" w:space="0"/>
              <w:bottom w:val="single" w:color="auto" w:sz="4" w:space="0"/>
              <w:right w:val="single" w:color="auto" w:sz="4" w:space="0"/>
            </w:tcBorders>
            <w:noWrap/>
            <w:vAlign w:val="center"/>
          </w:tcPr>
          <w:p w14:paraId="3E20A08B">
            <w:pPr>
              <w:jc w:val="center"/>
              <w:rPr>
                <w:rFonts w:hint="eastAsia" w:asciiTheme="minorEastAsia" w:hAnsiTheme="minorEastAsia" w:eastAsiaTheme="minorEastAsia" w:cstheme="minorEastAsia"/>
                <w:b/>
                <w:bCs/>
                <w:color w:val="auto"/>
                <w:sz w:val="20"/>
                <w:szCs w:val="20"/>
                <w:highlight w:val="none"/>
                <w:lang w:eastAsia="zh-CN"/>
              </w:rPr>
            </w:pPr>
            <w:r>
              <w:rPr>
                <w:rFonts w:hint="eastAsia" w:asciiTheme="minorEastAsia" w:hAnsiTheme="minorEastAsia" w:eastAsiaTheme="minorEastAsia" w:cstheme="minorEastAsia"/>
                <w:b/>
                <w:bCs/>
                <w:color w:val="auto"/>
                <w:sz w:val="20"/>
                <w:szCs w:val="20"/>
                <w:highlight w:val="none"/>
                <w:lang w:eastAsia="zh-CN"/>
              </w:rPr>
              <w:t>项目负责人</w:t>
            </w:r>
          </w:p>
          <w:p w14:paraId="39B7C455">
            <w:pPr>
              <w:jc w:val="center"/>
              <w:rPr>
                <w:rFonts w:hint="eastAsia" w:asciiTheme="minorEastAsia" w:hAnsiTheme="minorEastAsia" w:eastAsiaTheme="minorEastAsia" w:cstheme="minorEastAsia"/>
                <w:b/>
                <w:bCs/>
                <w:color w:val="auto"/>
                <w:sz w:val="20"/>
                <w:szCs w:val="20"/>
                <w:highlight w:val="none"/>
                <w:lang w:eastAsia="zh-CN"/>
              </w:rPr>
            </w:pPr>
            <w:r>
              <w:rPr>
                <w:rFonts w:hint="eastAsia" w:asciiTheme="minorEastAsia" w:hAnsiTheme="minorEastAsia" w:eastAsiaTheme="minorEastAsia" w:cstheme="minorEastAsia"/>
                <w:b/>
                <w:bCs/>
                <w:color w:val="auto"/>
                <w:sz w:val="20"/>
                <w:szCs w:val="20"/>
                <w:highlight w:val="none"/>
                <w:lang w:eastAsia="zh-CN"/>
              </w:rPr>
              <w:t>（</w:t>
            </w:r>
            <w:r>
              <w:rPr>
                <w:rFonts w:hint="eastAsia" w:asciiTheme="minorEastAsia" w:hAnsiTheme="minorEastAsia" w:eastAsiaTheme="minorEastAsia" w:cstheme="minorEastAsia"/>
                <w:b/>
                <w:bCs/>
                <w:color w:val="auto"/>
                <w:sz w:val="20"/>
                <w:szCs w:val="20"/>
                <w:highlight w:val="none"/>
                <w:lang w:val="en-US" w:eastAsia="zh-CN"/>
              </w:rPr>
              <w:t>8</w:t>
            </w:r>
            <w:r>
              <w:rPr>
                <w:rFonts w:hint="eastAsia" w:asciiTheme="minorEastAsia" w:hAnsiTheme="minorEastAsia" w:eastAsiaTheme="minorEastAsia" w:cstheme="minorEastAsia"/>
                <w:b/>
                <w:bCs/>
                <w:color w:val="auto"/>
                <w:sz w:val="20"/>
                <w:szCs w:val="20"/>
                <w:highlight w:val="none"/>
                <w:lang w:eastAsia="zh-CN"/>
              </w:rPr>
              <w:t>分）</w:t>
            </w:r>
          </w:p>
        </w:tc>
        <w:tc>
          <w:tcPr>
            <w:tcW w:w="3603" w:type="pct"/>
            <w:tcBorders>
              <w:top w:val="single" w:color="auto" w:sz="4" w:space="0"/>
              <w:left w:val="single" w:color="auto" w:sz="4" w:space="0"/>
              <w:bottom w:val="single" w:color="auto" w:sz="4" w:space="0"/>
              <w:right w:val="single" w:color="auto" w:sz="4" w:space="0"/>
            </w:tcBorders>
            <w:noWrap/>
            <w:vAlign w:val="center"/>
          </w:tcPr>
          <w:p w14:paraId="4F337CC4">
            <w:pPr>
              <w:rPr>
                <w:rFonts w:hint="eastAsia" w:asciiTheme="minorEastAsia" w:hAnsiTheme="minorEastAsia" w:eastAsiaTheme="minorEastAsia" w:cstheme="minorEastAsia"/>
                <w:b/>
                <w:bCs/>
                <w:color w:val="auto"/>
                <w:sz w:val="20"/>
                <w:szCs w:val="20"/>
                <w:highlight w:val="none"/>
                <w:lang w:val="en-GB"/>
              </w:rPr>
            </w:pPr>
            <w:r>
              <w:rPr>
                <w:rFonts w:hint="eastAsia" w:asciiTheme="minorEastAsia" w:hAnsiTheme="minorEastAsia" w:eastAsiaTheme="minorEastAsia" w:cstheme="minorEastAsia"/>
                <w:b/>
                <w:bCs/>
                <w:color w:val="auto"/>
                <w:sz w:val="20"/>
                <w:szCs w:val="20"/>
                <w:highlight w:val="none"/>
                <w:lang w:val="en-GB"/>
              </w:rPr>
              <w:t>项目负责人，必须为供应商自有员工</w:t>
            </w:r>
            <w:r>
              <w:rPr>
                <w:rFonts w:hint="eastAsia" w:asciiTheme="minorEastAsia" w:hAnsiTheme="minorEastAsia" w:eastAsiaTheme="minorEastAsia" w:cstheme="minorEastAsia"/>
                <w:b/>
                <w:bCs/>
                <w:color w:val="auto"/>
                <w:sz w:val="20"/>
                <w:szCs w:val="20"/>
                <w:highlight w:val="none"/>
                <w:lang w:val="en-GB" w:eastAsia="zh-CN"/>
              </w:rPr>
              <w:t>。</w:t>
            </w:r>
            <w:r>
              <w:rPr>
                <w:rFonts w:hint="eastAsia" w:asciiTheme="minorEastAsia" w:hAnsiTheme="minorEastAsia" w:eastAsiaTheme="minorEastAsia" w:cstheme="minorEastAsia"/>
                <w:b/>
                <w:bCs/>
                <w:color w:val="auto"/>
                <w:sz w:val="20"/>
                <w:szCs w:val="20"/>
                <w:highlight w:val="none"/>
                <w:lang w:val="en-GB"/>
              </w:rPr>
              <w:t>（本项最高得分</w:t>
            </w:r>
            <w:r>
              <w:rPr>
                <w:rFonts w:hint="eastAsia" w:asciiTheme="minorEastAsia" w:hAnsiTheme="minorEastAsia" w:eastAsiaTheme="minorEastAsia" w:cstheme="minorEastAsia"/>
                <w:b/>
                <w:bCs/>
                <w:color w:val="auto"/>
                <w:sz w:val="20"/>
                <w:szCs w:val="20"/>
                <w:highlight w:val="none"/>
                <w:lang w:val="en-US" w:eastAsia="zh-CN"/>
              </w:rPr>
              <w:t>8</w:t>
            </w:r>
            <w:r>
              <w:rPr>
                <w:rFonts w:hint="eastAsia" w:asciiTheme="minorEastAsia" w:hAnsiTheme="minorEastAsia" w:eastAsiaTheme="minorEastAsia" w:cstheme="minorEastAsia"/>
                <w:b/>
                <w:bCs/>
                <w:color w:val="auto"/>
                <w:sz w:val="20"/>
                <w:szCs w:val="20"/>
                <w:highlight w:val="none"/>
                <w:lang w:val="en-GB"/>
              </w:rPr>
              <w:t>分）</w:t>
            </w:r>
          </w:p>
          <w:p w14:paraId="0A7B2524">
            <w:pPr>
              <w:numPr>
                <w:ilvl w:val="0"/>
                <w:numId w:val="3"/>
              </w:numPr>
              <w:shd w:val="clea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具有注册规划师证书得5分；</w:t>
            </w:r>
          </w:p>
          <w:p w14:paraId="648A2CF5">
            <w:pPr>
              <w:numPr>
                <w:ilvl w:val="0"/>
                <w:numId w:val="3"/>
              </w:numPr>
              <w:shd w:val="clea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具有规划类高级或以上职称证书得3分；具有中级职称证书得1分。</w:t>
            </w:r>
          </w:p>
          <w:p w14:paraId="0B50473C">
            <w:pPr>
              <w:rPr>
                <w:rFonts w:hint="eastAsia" w:asciiTheme="minorEastAsia" w:hAnsiTheme="minorEastAsia" w:eastAsiaTheme="minorEastAsia" w:cstheme="minorEastAsia"/>
                <w:color w:val="auto"/>
                <w:sz w:val="20"/>
                <w:szCs w:val="20"/>
                <w:highlight w:val="none"/>
                <w:lang w:val="en-GB"/>
              </w:rPr>
            </w:pPr>
            <w:r>
              <w:rPr>
                <w:rFonts w:hint="eastAsia" w:asciiTheme="minorEastAsia" w:hAnsiTheme="minorEastAsia" w:eastAsiaTheme="minorEastAsia" w:cstheme="minorEastAsia"/>
                <w:color w:val="auto"/>
                <w:sz w:val="20"/>
                <w:szCs w:val="20"/>
                <w:highlight w:val="none"/>
                <w:lang w:val="en-GB"/>
              </w:rPr>
              <w:t>证明材料：职称证书及执业注册证书、</w:t>
            </w:r>
            <w:r>
              <w:rPr>
                <w:rFonts w:hint="eastAsia" w:asciiTheme="minorEastAsia" w:hAnsiTheme="minorEastAsia" w:eastAsiaTheme="minorEastAsia" w:cstheme="minorEastAsia"/>
                <w:color w:val="auto"/>
                <w:sz w:val="20"/>
                <w:szCs w:val="20"/>
                <w:highlight w:val="none"/>
                <w:lang w:val="en-US" w:eastAsia="zh-CN"/>
              </w:rPr>
              <w:t>2025年第一季度</w:t>
            </w:r>
            <w:commentRangeStart w:id="2"/>
            <w:r>
              <w:rPr>
                <w:rFonts w:hint="eastAsia" w:asciiTheme="minorEastAsia" w:hAnsiTheme="minorEastAsia" w:eastAsiaTheme="minorEastAsia" w:cstheme="minorEastAsia"/>
                <w:color w:val="auto"/>
                <w:sz w:val="20"/>
                <w:szCs w:val="20"/>
                <w:highlight w:val="none"/>
                <w:lang w:val="en-GB"/>
              </w:rPr>
              <w:t>在本单位社保缴纳记录</w:t>
            </w:r>
            <w:commentRangeEnd w:id="2"/>
            <w:r>
              <w:commentReference w:id="2"/>
            </w:r>
            <w:r>
              <w:rPr>
                <w:rFonts w:hint="eastAsia" w:asciiTheme="minorEastAsia" w:hAnsiTheme="minorEastAsia" w:eastAsiaTheme="minorEastAsia" w:cstheme="minorEastAsia"/>
                <w:color w:val="auto"/>
                <w:sz w:val="20"/>
                <w:szCs w:val="20"/>
                <w:highlight w:val="none"/>
                <w:lang w:val="en-US" w:eastAsia="zh-CN"/>
              </w:rPr>
              <w:t>，</w:t>
            </w:r>
            <w:r>
              <w:rPr>
                <w:rFonts w:hint="eastAsia" w:asciiTheme="minorEastAsia" w:hAnsiTheme="minorEastAsia" w:eastAsiaTheme="minorEastAsia" w:cstheme="minorEastAsia"/>
                <w:color w:val="auto"/>
                <w:sz w:val="20"/>
                <w:szCs w:val="20"/>
                <w:highlight w:val="none"/>
                <w:lang w:val="en-GB"/>
              </w:rPr>
              <w:t>复印件加盖单位公章。</w:t>
            </w:r>
          </w:p>
        </w:tc>
      </w:tr>
      <w:tr w14:paraId="58F1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27" w:type="pct"/>
            <w:vMerge w:val="continue"/>
            <w:tcBorders>
              <w:left w:val="single" w:color="auto" w:sz="4" w:space="0"/>
              <w:right w:val="single" w:color="auto" w:sz="4" w:space="0"/>
            </w:tcBorders>
            <w:noWrap/>
            <w:vAlign w:val="center"/>
          </w:tcPr>
          <w:p w14:paraId="38F36725">
            <w:pPr>
              <w:jc w:val="center"/>
              <w:rPr>
                <w:rFonts w:hint="eastAsia" w:asciiTheme="minorEastAsia" w:hAnsiTheme="minorEastAsia" w:eastAsiaTheme="minorEastAsia" w:cstheme="minorEastAsia"/>
                <w:b/>
                <w:bCs/>
                <w:color w:val="auto"/>
                <w:sz w:val="20"/>
                <w:szCs w:val="20"/>
                <w:highlight w:val="none"/>
              </w:rPr>
            </w:pPr>
          </w:p>
        </w:tc>
        <w:tc>
          <w:tcPr>
            <w:tcW w:w="769" w:type="pct"/>
            <w:tcBorders>
              <w:top w:val="single" w:color="auto" w:sz="4" w:space="0"/>
              <w:left w:val="single" w:color="auto" w:sz="4" w:space="0"/>
              <w:bottom w:val="single" w:color="auto" w:sz="4" w:space="0"/>
              <w:right w:val="single" w:color="auto" w:sz="4" w:space="0"/>
            </w:tcBorders>
            <w:noWrap/>
            <w:vAlign w:val="center"/>
          </w:tcPr>
          <w:p w14:paraId="74DF5506">
            <w:pPr>
              <w:jc w:val="center"/>
              <w:rPr>
                <w:rFonts w:hint="eastAsia" w:asciiTheme="minorEastAsia" w:hAnsiTheme="minorEastAsia" w:eastAsiaTheme="minorEastAsia" w:cstheme="minorEastAsia"/>
                <w:b/>
                <w:bCs/>
                <w:color w:val="auto"/>
                <w:sz w:val="20"/>
                <w:szCs w:val="20"/>
                <w:highlight w:val="none"/>
                <w:lang w:eastAsia="zh-CN"/>
              </w:rPr>
            </w:pPr>
            <w:r>
              <w:rPr>
                <w:rFonts w:hint="eastAsia" w:asciiTheme="minorEastAsia" w:hAnsiTheme="minorEastAsia" w:eastAsiaTheme="minorEastAsia" w:cstheme="minorEastAsia"/>
                <w:b/>
                <w:bCs/>
                <w:color w:val="auto"/>
                <w:sz w:val="20"/>
                <w:szCs w:val="20"/>
                <w:highlight w:val="none"/>
                <w:lang w:eastAsia="zh-CN"/>
              </w:rPr>
              <w:t>项目组人员（项目负责人除外）</w:t>
            </w:r>
          </w:p>
          <w:p w14:paraId="60F5B945">
            <w:pPr>
              <w:jc w:val="center"/>
              <w:rPr>
                <w:rFonts w:hint="eastAsia" w:asciiTheme="minorEastAsia" w:hAnsiTheme="minorEastAsia" w:eastAsiaTheme="minorEastAsia" w:cstheme="minorEastAsia"/>
                <w:b/>
                <w:bCs/>
                <w:color w:val="auto"/>
                <w:sz w:val="20"/>
                <w:szCs w:val="20"/>
                <w:highlight w:val="none"/>
                <w:lang w:eastAsia="zh-CN"/>
              </w:rPr>
            </w:pPr>
            <w:r>
              <w:rPr>
                <w:rFonts w:hint="eastAsia" w:asciiTheme="minorEastAsia" w:hAnsiTheme="minorEastAsia" w:eastAsiaTheme="minorEastAsia" w:cstheme="minorEastAsia"/>
                <w:b/>
                <w:bCs/>
                <w:color w:val="auto"/>
                <w:sz w:val="20"/>
                <w:szCs w:val="20"/>
                <w:highlight w:val="none"/>
                <w:lang w:eastAsia="zh-CN"/>
              </w:rPr>
              <w:t>（</w:t>
            </w:r>
            <w:r>
              <w:rPr>
                <w:rFonts w:hint="eastAsia" w:asciiTheme="minorEastAsia" w:hAnsiTheme="minorEastAsia" w:eastAsiaTheme="minorEastAsia" w:cstheme="minorEastAsia"/>
                <w:b/>
                <w:bCs/>
                <w:color w:val="auto"/>
                <w:sz w:val="20"/>
                <w:szCs w:val="20"/>
                <w:highlight w:val="none"/>
                <w:lang w:val="en-US" w:eastAsia="zh-CN"/>
              </w:rPr>
              <w:t>12</w:t>
            </w:r>
            <w:r>
              <w:rPr>
                <w:rFonts w:hint="eastAsia" w:asciiTheme="minorEastAsia" w:hAnsiTheme="minorEastAsia" w:eastAsiaTheme="minorEastAsia" w:cstheme="minorEastAsia"/>
                <w:b/>
                <w:bCs/>
                <w:color w:val="auto"/>
                <w:sz w:val="20"/>
                <w:szCs w:val="20"/>
                <w:highlight w:val="none"/>
                <w:lang w:eastAsia="zh-CN"/>
              </w:rPr>
              <w:t>分）</w:t>
            </w:r>
          </w:p>
        </w:tc>
        <w:tc>
          <w:tcPr>
            <w:tcW w:w="3603" w:type="pct"/>
            <w:tcBorders>
              <w:top w:val="single" w:color="auto" w:sz="4" w:space="0"/>
              <w:left w:val="single" w:color="auto" w:sz="4" w:space="0"/>
              <w:bottom w:val="single" w:color="auto" w:sz="4" w:space="0"/>
              <w:right w:val="single" w:color="auto" w:sz="4" w:space="0"/>
            </w:tcBorders>
            <w:noWrap/>
            <w:vAlign w:val="center"/>
          </w:tcPr>
          <w:p w14:paraId="719CD83B">
            <w:pPr>
              <w:rPr>
                <w:rFonts w:hint="eastAsia" w:asciiTheme="minorEastAsia" w:hAnsiTheme="minorEastAsia" w:eastAsiaTheme="minorEastAsia" w:cstheme="minorEastAsia"/>
                <w:b/>
                <w:bCs/>
                <w:color w:val="auto"/>
                <w:sz w:val="20"/>
                <w:szCs w:val="20"/>
                <w:highlight w:val="none"/>
                <w:lang w:val="en-GB" w:eastAsia="zh-CN"/>
              </w:rPr>
            </w:pPr>
            <w:r>
              <w:rPr>
                <w:rFonts w:hint="eastAsia" w:asciiTheme="minorEastAsia" w:hAnsiTheme="minorEastAsia" w:eastAsiaTheme="minorEastAsia" w:cstheme="minorEastAsia"/>
                <w:b/>
                <w:bCs/>
                <w:color w:val="auto"/>
                <w:sz w:val="20"/>
                <w:szCs w:val="20"/>
                <w:highlight w:val="none"/>
                <w:lang w:val="en-GB" w:eastAsia="zh-CN"/>
              </w:rPr>
              <w:t>项目</w:t>
            </w:r>
            <w:r>
              <w:rPr>
                <w:rFonts w:hint="eastAsia" w:asciiTheme="minorEastAsia" w:hAnsiTheme="minorEastAsia" w:eastAsiaTheme="minorEastAsia" w:cstheme="minorEastAsia"/>
                <w:b/>
                <w:bCs/>
                <w:color w:val="auto"/>
                <w:sz w:val="20"/>
                <w:szCs w:val="20"/>
                <w:highlight w:val="none"/>
                <w:lang w:val="en-US" w:eastAsia="zh-CN"/>
              </w:rPr>
              <w:t>组</w:t>
            </w:r>
            <w:r>
              <w:rPr>
                <w:rFonts w:hint="eastAsia" w:asciiTheme="minorEastAsia" w:hAnsiTheme="minorEastAsia" w:eastAsiaTheme="minorEastAsia" w:cstheme="minorEastAsia"/>
                <w:b/>
                <w:bCs/>
                <w:color w:val="auto"/>
                <w:sz w:val="20"/>
                <w:szCs w:val="20"/>
                <w:highlight w:val="none"/>
                <w:lang w:val="en-GB" w:eastAsia="zh-CN"/>
              </w:rPr>
              <w:t>其他成员</w:t>
            </w:r>
            <w:r>
              <w:rPr>
                <w:rFonts w:hint="eastAsia" w:asciiTheme="minorEastAsia" w:hAnsiTheme="minorEastAsia" w:eastAsiaTheme="minorEastAsia" w:cstheme="minorEastAsia"/>
                <w:b/>
                <w:bCs/>
                <w:color w:val="auto"/>
                <w:sz w:val="20"/>
                <w:szCs w:val="20"/>
                <w:highlight w:val="none"/>
                <w:lang w:val="en-GB"/>
              </w:rPr>
              <w:t>，必须为供应商自有员工</w:t>
            </w:r>
            <w:r>
              <w:rPr>
                <w:rFonts w:hint="eastAsia" w:asciiTheme="minorEastAsia" w:hAnsiTheme="minorEastAsia" w:eastAsiaTheme="minorEastAsia" w:cstheme="minorEastAsia"/>
                <w:b/>
                <w:bCs/>
                <w:color w:val="auto"/>
                <w:sz w:val="20"/>
                <w:szCs w:val="20"/>
                <w:highlight w:val="none"/>
                <w:lang w:val="en-GB" w:eastAsia="zh-CN"/>
              </w:rPr>
              <w:t>。（本项最高得分</w:t>
            </w:r>
            <w:r>
              <w:rPr>
                <w:rFonts w:hint="eastAsia" w:asciiTheme="minorEastAsia" w:hAnsiTheme="minorEastAsia" w:eastAsiaTheme="minorEastAsia" w:cstheme="minorEastAsia"/>
                <w:b/>
                <w:bCs/>
                <w:color w:val="auto"/>
                <w:sz w:val="20"/>
                <w:szCs w:val="20"/>
                <w:highlight w:val="none"/>
                <w:lang w:val="en-US" w:eastAsia="zh-CN"/>
              </w:rPr>
              <w:t>12</w:t>
            </w:r>
            <w:r>
              <w:rPr>
                <w:rFonts w:hint="eastAsia" w:asciiTheme="minorEastAsia" w:hAnsiTheme="minorEastAsia" w:eastAsiaTheme="minorEastAsia" w:cstheme="minorEastAsia"/>
                <w:b/>
                <w:bCs/>
                <w:color w:val="auto"/>
                <w:sz w:val="20"/>
                <w:szCs w:val="20"/>
                <w:highlight w:val="none"/>
                <w:lang w:val="en-GB" w:eastAsia="zh-CN"/>
              </w:rPr>
              <w:t>分）</w:t>
            </w:r>
          </w:p>
          <w:p w14:paraId="36F05613">
            <w:pPr>
              <w:numPr>
                <w:ilvl w:val="-1"/>
                <w:numId w:val="0"/>
              </w:numPr>
              <w:rPr>
                <w:rFonts w:hint="eastAsia" w:asciiTheme="minorEastAsia" w:hAnsiTheme="minorEastAsia" w:eastAsiaTheme="minorEastAsia" w:cstheme="minorEastAsia"/>
                <w:color w:val="auto"/>
                <w:sz w:val="20"/>
                <w:szCs w:val="20"/>
                <w:highlight w:val="none"/>
                <w:lang w:val="en-GB" w:eastAsia="zh-CN"/>
              </w:rPr>
            </w:pPr>
            <w:r>
              <w:rPr>
                <w:rFonts w:hint="eastAsia" w:asciiTheme="minorEastAsia" w:hAnsiTheme="minorEastAsia" w:eastAsiaTheme="minorEastAsia" w:cstheme="minorEastAsia"/>
                <w:color w:val="auto"/>
                <w:sz w:val="20"/>
                <w:szCs w:val="20"/>
                <w:highlight w:val="none"/>
                <w:lang w:val="en-US" w:eastAsia="zh-CN"/>
              </w:rPr>
              <w:t>1、具有</w:t>
            </w:r>
            <w:r>
              <w:rPr>
                <w:rFonts w:hint="eastAsia" w:asciiTheme="minorEastAsia" w:hAnsiTheme="minorEastAsia" w:eastAsiaTheme="minorEastAsia" w:cstheme="minorEastAsia"/>
                <w:color w:val="auto"/>
                <w:sz w:val="20"/>
                <w:szCs w:val="20"/>
                <w:highlight w:val="none"/>
                <w:lang w:val="en-GB" w:eastAsia="zh-CN"/>
              </w:rPr>
              <w:t>规划、</w:t>
            </w:r>
            <w:r>
              <w:rPr>
                <w:rFonts w:hint="eastAsia" w:asciiTheme="minorEastAsia" w:hAnsiTheme="minorEastAsia" w:eastAsiaTheme="minorEastAsia" w:cstheme="minorEastAsia"/>
                <w:color w:val="auto"/>
                <w:sz w:val="20"/>
                <w:szCs w:val="20"/>
                <w:highlight w:val="none"/>
                <w:lang w:val="en-US" w:eastAsia="zh-CN"/>
              </w:rPr>
              <w:t>道路</w:t>
            </w:r>
            <w:r>
              <w:rPr>
                <w:rFonts w:hint="eastAsia" w:asciiTheme="minorEastAsia" w:hAnsiTheme="minorEastAsia" w:eastAsiaTheme="minorEastAsia" w:cstheme="minorEastAsia"/>
                <w:color w:val="auto"/>
                <w:sz w:val="20"/>
                <w:szCs w:val="20"/>
                <w:highlight w:val="none"/>
                <w:lang w:val="en-GB" w:eastAsia="zh-CN"/>
              </w:rPr>
              <w:t>、</w:t>
            </w:r>
            <w:r>
              <w:rPr>
                <w:rFonts w:hint="eastAsia" w:asciiTheme="minorEastAsia" w:hAnsiTheme="minorEastAsia" w:eastAsiaTheme="minorEastAsia" w:cstheme="minorEastAsia"/>
                <w:color w:val="auto"/>
                <w:sz w:val="20"/>
                <w:szCs w:val="20"/>
                <w:highlight w:val="none"/>
                <w:lang w:val="en-US" w:eastAsia="zh-CN"/>
              </w:rPr>
              <w:t>给排水</w:t>
            </w:r>
            <w:r>
              <w:rPr>
                <w:rFonts w:hint="eastAsia" w:asciiTheme="minorEastAsia" w:hAnsiTheme="minorEastAsia" w:eastAsiaTheme="minorEastAsia" w:cstheme="minorEastAsia"/>
                <w:color w:val="auto"/>
                <w:sz w:val="20"/>
                <w:szCs w:val="20"/>
                <w:highlight w:val="none"/>
                <w:lang w:val="en-GB" w:eastAsia="zh-CN"/>
              </w:rPr>
              <w:t>、建筑4个专业，同一专业</w:t>
            </w:r>
            <w:r>
              <w:rPr>
                <w:rFonts w:hint="eastAsia" w:asciiTheme="minorEastAsia" w:hAnsiTheme="minorEastAsia" w:eastAsiaTheme="minorEastAsia" w:cstheme="minorEastAsia"/>
                <w:color w:val="auto"/>
                <w:sz w:val="20"/>
                <w:szCs w:val="20"/>
                <w:highlight w:val="none"/>
                <w:lang w:val="en-US" w:eastAsia="zh-CN"/>
              </w:rPr>
              <w:t>不同</w:t>
            </w:r>
            <w:r>
              <w:rPr>
                <w:rFonts w:hint="eastAsia" w:asciiTheme="minorEastAsia" w:hAnsiTheme="minorEastAsia" w:eastAsiaTheme="minorEastAsia" w:cstheme="minorEastAsia"/>
                <w:color w:val="auto"/>
                <w:sz w:val="20"/>
                <w:szCs w:val="20"/>
                <w:highlight w:val="none"/>
                <w:lang w:val="en-GB" w:eastAsia="zh-CN"/>
              </w:rPr>
              <w:t>人员不重复计分，同一人不同专业不重复计分。</w:t>
            </w:r>
          </w:p>
          <w:p w14:paraId="6B14658D">
            <w:pPr>
              <w:numPr>
                <w:ilvl w:val="-1"/>
                <w:numId w:val="0"/>
              </w:numP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w:t>
            </w:r>
            <w:r>
              <w:rPr>
                <w:rFonts w:hint="eastAsia" w:asciiTheme="minorEastAsia" w:hAnsiTheme="minorEastAsia" w:eastAsiaTheme="minorEastAsia" w:cstheme="minorEastAsia"/>
                <w:b w:val="0"/>
                <w:bCs w:val="0"/>
                <w:color w:val="auto"/>
                <w:sz w:val="20"/>
                <w:szCs w:val="20"/>
                <w:highlight w:val="none"/>
                <w:lang w:val="en-US" w:eastAsia="zh-CN"/>
              </w:rPr>
              <w:t>具有</w:t>
            </w:r>
            <w:r>
              <w:rPr>
                <w:rFonts w:hint="eastAsia" w:asciiTheme="minorEastAsia" w:hAnsiTheme="minorEastAsia" w:eastAsiaTheme="minorEastAsia" w:cstheme="minorEastAsia"/>
                <w:color w:val="auto"/>
                <w:sz w:val="20"/>
                <w:szCs w:val="20"/>
                <w:highlight w:val="none"/>
                <w:lang w:val="en-GB" w:eastAsia="zh-CN"/>
              </w:rPr>
              <w:t>执业注册</w:t>
            </w:r>
            <w:r>
              <w:rPr>
                <w:rFonts w:hint="eastAsia" w:asciiTheme="minorEastAsia" w:hAnsiTheme="minorEastAsia" w:eastAsiaTheme="minorEastAsia" w:cstheme="minorEastAsia"/>
                <w:color w:val="auto"/>
                <w:sz w:val="20"/>
                <w:szCs w:val="20"/>
                <w:highlight w:val="none"/>
                <w:lang w:val="en-US" w:eastAsia="zh-CN"/>
              </w:rPr>
              <w:t>证书</w:t>
            </w:r>
            <w:r>
              <w:rPr>
                <w:rFonts w:hint="eastAsia" w:asciiTheme="minorEastAsia" w:hAnsiTheme="minorEastAsia" w:eastAsiaTheme="minorEastAsia" w:cstheme="minorEastAsia"/>
                <w:b w:val="0"/>
                <w:bCs w:val="0"/>
                <w:color w:val="auto"/>
                <w:sz w:val="20"/>
                <w:szCs w:val="20"/>
                <w:highlight w:val="none"/>
                <w:lang w:val="en-US" w:eastAsia="zh-CN"/>
              </w:rPr>
              <w:t>得3分；</w:t>
            </w:r>
          </w:p>
          <w:p w14:paraId="102B9E12">
            <w:pPr>
              <w:numPr>
                <w:ilvl w:val="-1"/>
                <w:numId w:val="0"/>
              </w:numPr>
              <w:rPr>
                <w:rFonts w:hint="eastAsia" w:asciiTheme="minorEastAsia" w:hAnsiTheme="minorEastAsia" w:eastAsiaTheme="minorEastAsia" w:cstheme="minorEastAsia"/>
                <w:color w:val="auto"/>
                <w:sz w:val="20"/>
                <w:szCs w:val="20"/>
                <w:highlight w:val="none"/>
                <w:lang w:val="en-GB" w:eastAsia="zh-CN"/>
              </w:rPr>
            </w:pPr>
            <w:r>
              <w:rPr>
                <w:rFonts w:hint="eastAsia" w:asciiTheme="minorEastAsia" w:hAnsiTheme="minorEastAsia" w:eastAsiaTheme="minorEastAsia" w:cstheme="minorEastAsia"/>
                <w:b w:val="0"/>
                <w:bCs w:val="0"/>
                <w:color w:val="auto"/>
                <w:sz w:val="20"/>
                <w:szCs w:val="20"/>
                <w:highlight w:val="none"/>
                <w:lang w:val="en-US" w:eastAsia="zh-CN"/>
              </w:rPr>
              <w:t>3、具有高级或以上职称证书得3分，具有中级以上职称证书得1分，</w:t>
            </w:r>
            <w:r>
              <w:rPr>
                <w:rFonts w:hint="eastAsia" w:asciiTheme="minorEastAsia" w:hAnsiTheme="minorEastAsia" w:eastAsiaTheme="minorEastAsia" w:cstheme="minorEastAsia"/>
                <w:color w:val="auto"/>
                <w:sz w:val="20"/>
                <w:szCs w:val="20"/>
                <w:highlight w:val="none"/>
                <w:lang w:val="en-GB" w:eastAsia="zh-CN"/>
              </w:rPr>
              <w:t>每个专业最高得</w:t>
            </w:r>
            <w:r>
              <w:rPr>
                <w:rFonts w:hint="eastAsia" w:asciiTheme="minorEastAsia" w:hAnsiTheme="minorEastAsia" w:eastAsiaTheme="minorEastAsia" w:cstheme="minorEastAsia"/>
                <w:color w:val="auto"/>
                <w:sz w:val="20"/>
                <w:szCs w:val="20"/>
                <w:highlight w:val="none"/>
                <w:lang w:val="en-US" w:eastAsia="zh-CN"/>
              </w:rPr>
              <w:t>3</w:t>
            </w:r>
            <w:r>
              <w:rPr>
                <w:rFonts w:hint="eastAsia" w:asciiTheme="minorEastAsia" w:hAnsiTheme="minorEastAsia" w:eastAsiaTheme="minorEastAsia" w:cstheme="minorEastAsia"/>
                <w:color w:val="auto"/>
                <w:sz w:val="20"/>
                <w:szCs w:val="20"/>
                <w:highlight w:val="none"/>
                <w:lang w:val="en-GB" w:eastAsia="zh-CN"/>
              </w:rPr>
              <w:t>分。</w:t>
            </w:r>
          </w:p>
          <w:p w14:paraId="0627EB1F">
            <w:pPr>
              <w:rPr>
                <w:rFonts w:hint="eastAsia" w:asciiTheme="minorEastAsia" w:hAnsiTheme="minorEastAsia" w:eastAsiaTheme="minorEastAsia" w:cstheme="minorEastAsia"/>
                <w:color w:val="auto"/>
                <w:sz w:val="20"/>
                <w:szCs w:val="20"/>
                <w:highlight w:val="none"/>
                <w:lang w:val="en-GB" w:eastAsia="zh-CN"/>
              </w:rPr>
            </w:pPr>
            <w:r>
              <w:rPr>
                <w:rFonts w:hint="eastAsia" w:asciiTheme="minorEastAsia" w:hAnsiTheme="minorEastAsia" w:eastAsiaTheme="minorEastAsia" w:cstheme="minorEastAsia"/>
                <w:color w:val="auto"/>
                <w:sz w:val="20"/>
                <w:szCs w:val="20"/>
                <w:highlight w:val="none"/>
                <w:lang w:val="en-GB" w:eastAsia="zh-CN"/>
              </w:rPr>
              <w:t>证明材料：</w:t>
            </w:r>
            <w:r>
              <w:rPr>
                <w:rFonts w:hint="eastAsia" w:asciiTheme="minorEastAsia" w:hAnsiTheme="minorEastAsia" w:eastAsiaTheme="minorEastAsia" w:cstheme="minorEastAsia"/>
                <w:color w:val="auto"/>
                <w:sz w:val="20"/>
                <w:szCs w:val="20"/>
                <w:highlight w:val="none"/>
                <w:lang w:val="en-GB"/>
              </w:rPr>
              <w:t>职称证书及执业注册证书、</w:t>
            </w:r>
            <w:r>
              <w:rPr>
                <w:rFonts w:hint="eastAsia" w:asciiTheme="minorEastAsia" w:hAnsiTheme="minorEastAsia" w:eastAsiaTheme="minorEastAsia" w:cstheme="minorEastAsia"/>
                <w:color w:val="auto"/>
                <w:sz w:val="20"/>
                <w:szCs w:val="20"/>
                <w:highlight w:val="none"/>
                <w:lang w:val="en-US" w:eastAsia="zh-CN"/>
              </w:rPr>
              <w:t>2025年第一季度</w:t>
            </w:r>
            <w:r>
              <w:rPr>
                <w:rFonts w:hint="eastAsia" w:asciiTheme="minorEastAsia" w:hAnsiTheme="minorEastAsia" w:eastAsiaTheme="minorEastAsia" w:cstheme="minorEastAsia"/>
                <w:color w:val="auto"/>
                <w:sz w:val="20"/>
                <w:szCs w:val="20"/>
                <w:highlight w:val="none"/>
                <w:lang w:val="en-GB" w:eastAsia="zh-CN"/>
              </w:rPr>
              <w:t>在本单位社保缴纳记录，复印件加盖单位公章。</w:t>
            </w:r>
          </w:p>
        </w:tc>
      </w:tr>
      <w:tr w14:paraId="4E6A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27" w:type="pct"/>
            <w:vMerge w:val="continue"/>
            <w:tcBorders>
              <w:left w:val="single" w:color="auto" w:sz="4" w:space="0"/>
              <w:right w:val="single" w:color="auto" w:sz="4" w:space="0"/>
            </w:tcBorders>
            <w:noWrap/>
            <w:vAlign w:val="center"/>
          </w:tcPr>
          <w:p w14:paraId="40D84D9E">
            <w:pPr>
              <w:jc w:val="center"/>
              <w:rPr>
                <w:rFonts w:hint="eastAsia" w:asciiTheme="minorEastAsia" w:hAnsiTheme="minorEastAsia" w:eastAsiaTheme="minorEastAsia" w:cstheme="minorEastAsia"/>
                <w:b/>
                <w:bCs/>
                <w:color w:val="auto"/>
                <w:sz w:val="20"/>
                <w:szCs w:val="20"/>
                <w:highlight w:val="none"/>
              </w:rPr>
            </w:pPr>
          </w:p>
        </w:tc>
        <w:tc>
          <w:tcPr>
            <w:tcW w:w="769" w:type="pct"/>
            <w:vMerge w:val="restart"/>
            <w:tcBorders>
              <w:top w:val="single" w:color="auto" w:sz="4" w:space="0"/>
              <w:left w:val="single" w:color="auto" w:sz="4" w:space="0"/>
              <w:right w:val="single" w:color="auto" w:sz="4" w:space="0"/>
            </w:tcBorders>
            <w:noWrap/>
            <w:vAlign w:val="center"/>
          </w:tcPr>
          <w:p w14:paraId="3C2044A8">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供应商项目经验情况</w:t>
            </w:r>
          </w:p>
          <w:p w14:paraId="7EB3B436">
            <w:pPr>
              <w:jc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w:t>
            </w:r>
            <w:r>
              <w:rPr>
                <w:rFonts w:hint="eastAsia" w:asciiTheme="minorEastAsia" w:hAnsiTheme="minorEastAsia" w:eastAsiaTheme="minorEastAsia" w:cstheme="minorEastAsia"/>
                <w:b/>
                <w:bCs/>
                <w:color w:val="auto"/>
                <w:sz w:val="20"/>
                <w:szCs w:val="20"/>
                <w:highlight w:val="none"/>
                <w:lang w:val="en-US" w:eastAsia="zh-CN"/>
              </w:rPr>
              <w:t>20</w:t>
            </w:r>
            <w:r>
              <w:rPr>
                <w:rFonts w:hint="eastAsia" w:asciiTheme="minorEastAsia" w:hAnsiTheme="minorEastAsia" w:eastAsiaTheme="minorEastAsia" w:cstheme="minorEastAsia"/>
                <w:b/>
                <w:bCs/>
                <w:color w:val="auto"/>
                <w:sz w:val="20"/>
                <w:szCs w:val="20"/>
                <w:highlight w:val="none"/>
              </w:rPr>
              <w:t>分）</w:t>
            </w:r>
          </w:p>
        </w:tc>
        <w:tc>
          <w:tcPr>
            <w:tcW w:w="3603" w:type="pct"/>
            <w:tcBorders>
              <w:top w:val="single" w:color="auto" w:sz="4" w:space="0"/>
              <w:left w:val="single" w:color="auto" w:sz="4" w:space="0"/>
              <w:bottom w:val="single" w:color="auto" w:sz="4" w:space="0"/>
              <w:right w:val="single" w:color="auto" w:sz="4" w:space="0"/>
            </w:tcBorders>
            <w:noWrap/>
            <w:vAlign w:val="center"/>
          </w:tcPr>
          <w:p w14:paraId="5136FD41">
            <w:pPr>
              <w:rPr>
                <w:rFonts w:hint="eastAsia" w:asciiTheme="minorEastAsia" w:hAnsiTheme="minorEastAsia" w:eastAsiaTheme="minorEastAsia" w:cstheme="minorEastAsia"/>
                <w:b/>
                <w:bCs/>
                <w:color w:val="auto"/>
                <w:sz w:val="20"/>
                <w:szCs w:val="20"/>
                <w:highlight w:val="none"/>
                <w:lang w:val="en-GB"/>
              </w:rPr>
            </w:pPr>
            <w:r>
              <w:rPr>
                <w:rFonts w:hint="eastAsia" w:asciiTheme="minorEastAsia" w:hAnsiTheme="minorEastAsia" w:eastAsiaTheme="minorEastAsia" w:cstheme="minorEastAsia"/>
                <w:b/>
                <w:bCs/>
                <w:color w:val="auto"/>
                <w:sz w:val="20"/>
                <w:szCs w:val="20"/>
                <w:highlight w:val="none"/>
                <w:lang w:val="en-GB"/>
              </w:rPr>
              <w:t>项目业绩</w:t>
            </w:r>
            <w:r>
              <w:rPr>
                <w:rFonts w:hint="eastAsia" w:asciiTheme="minorEastAsia" w:hAnsiTheme="minorEastAsia" w:eastAsiaTheme="minorEastAsia" w:cstheme="minorEastAsia"/>
                <w:b/>
                <w:bCs/>
                <w:color w:val="auto"/>
                <w:sz w:val="20"/>
                <w:szCs w:val="20"/>
                <w:highlight w:val="none"/>
                <w:lang w:val="en-GB" w:eastAsia="zh-CN"/>
              </w:rPr>
              <w:t>。</w:t>
            </w:r>
            <w:r>
              <w:rPr>
                <w:rFonts w:hint="eastAsia" w:asciiTheme="minorEastAsia" w:hAnsiTheme="minorEastAsia" w:eastAsiaTheme="minorEastAsia" w:cstheme="minorEastAsia"/>
                <w:b/>
                <w:bCs/>
                <w:color w:val="auto"/>
                <w:sz w:val="20"/>
                <w:szCs w:val="20"/>
                <w:highlight w:val="none"/>
                <w:lang w:val="en-GB"/>
              </w:rPr>
              <w:t>（本项最高得分</w:t>
            </w:r>
            <w:r>
              <w:rPr>
                <w:rFonts w:hint="eastAsia" w:asciiTheme="minorEastAsia" w:hAnsiTheme="minorEastAsia" w:eastAsiaTheme="minorEastAsia" w:cstheme="minorEastAsia"/>
                <w:b/>
                <w:bCs/>
                <w:color w:val="auto"/>
                <w:sz w:val="20"/>
                <w:szCs w:val="20"/>
                <w:highlight w:val="none"/>
                <w:lang w:val="en-US" w:eastAsia="zh-CN"/>
              </w:rPr>
              <w:t>15</w:t>
            </w:r>
            <w:r>
              <w:rPr>
                <w:rFonts w:hint="eastAsia" w:asciiTheme="minorEastAsia" w:hAnsiTheme="minorEastAsia" w:eastAsiaTheme="minorEastAsia" w:cstheme="minorEastAsia"/>
                <w:b/>
                <w:bCs/>
                <w:color w:val="auto"/>
                <w:sz w:val="20"/>
                <w:szCs w:val="20"/>
                <w:highlight w:val="none"/>
                <w:lang w:val="en-GB"/>
              </w:rPr>
              <w:t>分）</w:t>
            </w:r>
          </w:p>
          <w:p w14:paraId="2C960062">
            <w:pPr>
              <w:rPr>
                <w:rFonts w:hint="eastAsia" w:asciiTheme="minorEastAsia" w:hAnsiTheme="minorEastAsia" w:eastAsiaTheme="minorEastAsia" w:cstheme="minorEastAsia"/>
                <w:color w:val="auto"/>
                <w:sz w:val="20"/>
                <w:szCs w:val="20"/>
                <w:highlight w:val="none"/>
                <w:lang w:val="en-US" w:eastAsia="zh-CN"/>
              </w:rPr>
            </w:pPr>
            <w:commentRangeStart w:id="3"/>
            <w:r>
              <w:rPr>
                <w:rFonts w:hint="eastAsia" w:asciiTheme="minorEastAsia" w:hAnsiTheme="minorEastAsia" w:eastAsiaTheme="minorEastAsia" w:cstheme="minorEastAsia"/>
                <w:color w:val="auto"/>
                <w:sz w:val="20"/>
                <w:szCs w:val="20"/>
                <w:highlight w:val="none"/>
                <w:lang w:val="en-US" w:eastAsia="zh-CN"/>
              </w:rPr>
              <w:t>自2020年1月至今，供应商</w:t>
            </w:r>
            <w:r>
              <w:rPr>
                <w:rFonts w:hint="eastAsia" w:asciiTheme="minorEastAsia" w:hAnsiTheme="minorEastAsia" w:eastAsiaTheme="minorEastAsia" w:cstheme="minorEastAsia"/>
                <w:color w:val="auto"/>
                <w:sz w:val="20"/>
                <w:szCs w:val="20"/>
                <w:highlight w:val="none"/>
                <w:lang w:val="en-GB"/>
              </w:rPr>
              <w:t>承担过类似项目</w:t>
            </w:r>
            <w:commentRangeEnd w:id="3"/>
            <w:r>
              <w:commentReference w:id="3"/>
            </w:r>
            <w:r>
              <w:rPr>
                <w:rFonts w:hint="eastAsia" w:asciiTheme="minorEastAsia" w:hAnsiTheme="minorEastAsia" w:eastAsiaTheme="minorEastAsia" w:cstheme="minorEastAsia"/>
                <w:color w:val="auto"/>
                <w:sz w:val="20"/>
                <w:szCs w:val="20"/>
                <w:highlight w:val="none"/>
                <w:lang w:val="en-GB" w:eastAsia="zh-CN"/>
              </w:rPr>
              <w:t>，</w:t>
            </w:r>
            <w:r>
              <w:rPr>
                <w:rFonts w:hint="eastAsia" w:asciiTheme="minorEastAsia" w:hAnsiTheme="minorEastAsia" w:eastAsiaTheme="minorEastAsia" w:cstheme="minorEastAsia"/>
                <w:color w:val="auto"/>
                <w:sz w:val="20"/>
                <w:szCs w:val="20"/>
                <w:highlight w:val="none"/>
                <w:lang w:val="en-US" w:eastAsia="zh-CN"/>
              </w:rPr>
              <w:t>每提供一个业绩得5分。</w:t>
            </w:r>
          </w:p>
          <w:p w14:paraId="426F0DF4">
            <w:pP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GB"/>
              </w:rPr>
              <w:t>证明材料：</w:t>
            </w:r>
            <w:r>
              <w:rPr>
                <w:rFonts w:hint="eastAsia" w:asciiTheme="minorEastAsia" w:hAnsiTheme="minorEastAsia" w:eastAsiaTheme="minorEastAsia" w:cstheme="minorEastAsia"/>
                <w:color w:val="auto"/>
                <w:sz w:val="20"/>
                <w:szCs w:val="20"/>
                <w:highlight w:val="none"/>
                <w:lang w:val="en-US" w:eastAsia="zh-CN"/>
              </w:rPr>
              <w:t>以合同签订日期为准，</w:t>
            </w:r>
            <w:r>
              <w:rPr>
                <w:rFonts w:hint="eastAsia" w:asciiTheme="minorEastAsia" w:hAnsiTheme="minorEastAsia" w:eastAsiaTheme="minorEastAsia" w:cstheme="minorEastAsia"/>
                <w:color w:val="auto"/>
                <w:sz w:val="20"/>
                <w:szCs w:val="20"/>
                <w:highlight w:val="none"/>
                <w:lang w:val="en-GB"/>
              </w:rPr>
              <w:t>提供合同或可证明材料复印件加盖公章，不提供不得分。</w:t>
            </w:r>
          </w:p>
        </w:tc>
      </w:tr>
      <w:tr w14:paraId="1463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27" w:type="pct"/>
            <w:vMerge w:val="continue"/>
            <w:tcBorders>
              <w:left w:val="single" w:color="auto" w:sz="4" w:space="0"/>
              <w:right w:val="single" w:color="auto" w:sz="4" w:space="0"/>
            </w:tcBorders>
            <w:noWrap/>
            <w:vAlign w:val="center"/>
          </w:tcPr>
          <w:p w14:paraId="73C49416">
            <w:pPr>
              <w:jc w:val="center"/>
              <w:rPr>
                <w:rFonts w:hint="eastAsia" w:asciiTheme="minorEastAsia" w:hAnsiTheme="minorEastAsia" w:eastAsiaTheme="minorEastAsia" w:cstheme="minorEastAsia"/>
                <w:color w:val="auto"/>
                <w:sz w:val="20"/>
                <w:szCs w:val="20"/>
                <w:highlight w:val="none"/>
              </w:rPr>
            </w:pPr>
          </w:p>
        </w:tc>
        <w:tc>
          <w:tcPr>
            <w:tcW w:w="769" w:type="pct"/>
            <w:vMerge w:val="continue"/>
            <w:tcBorders>
              <w:left w:val="single" w:color="auto" w:sz="4" w:space="0"/>
              <w:bottom w:val="single" w:color="auto" w:sz="4" w:space="0"/>
              <w:right w:val="single" w:color="auto" w:sz="4" w:space="0"/>
            </w:tcBorders>
            <w:noWrap/>
            <w:vAlign w:val="center"/>
          </w:tcPr>
          <w:p w14:paraId="551A09C3">
            <w:pPr>
              <w:jc w:val="center"/>
              <w:rPr>
                <w:rFonts w:hint="eastAsia" w:asciiTheme="minorEastAsia" w:hAnsiTheme="minorEastAsia" w:eastAsiaTheme="minorEastAsia" w:cstheme="minorEastAsia"/>
                <w:color w:val="auto"/>
                <w:sz w:val="20"/>
                <w:szCs w:val="20"/>
                <w:highlight w:val="none"/>
              </w:rPr>
            </w:pPr>
          </w:p>
        </w:tc>
        <w:tc>
          <w:tcPr>
            <w:tcW w:w="3603" w:type="pct"/>
            <w:tcBorders>
              <w:top w:val="single" w:color="auto" w:sz="4" w:space="0"/>
              <w:left w:val="single" w:color="auto" w:sz="4" w:space="0"/>
              <w:bottom w:val="single" w:color="auto" w:sz="4" w:space="0"/>
              <w:right w:val="single" w:color="auto" w:sz="4" w:space="0"/>
            </w:tcBorders>
            <w:noWrap/>
            <w:vAlign w:val="center"/>
          </w:tcPr>
          <w:p w14:paraId="45010EC7">
            <w:pPr>
              <w:rPr>
                <w:rFonts w:hint="eastAsia" w:asciiTheme="minorEastAsia" w:hAnsiTheme="minorEastAsia" w:eastAsiaTheme="minorEastAsia" w:cstheme="minorEastAsia"/>
                <w:b/>
                <w:bCs/>
                <w:color w:val="auto"/>
                <w:sz w:val="20"/>
                <w:szCs w:val="20"/>
                <w:highlight w:val="none"/>
                <w:lang w:val="en-US" w:eastAsia="zh-CN"/>
              </w:rPr>
            </w:pPr>
            <w:r>
              <w:rPr>
                <w:rFonts w:hint="eastAsia" w:asciiTheme="minorEastAsia" w:hAnsiTheme="minorEastAsia" w:eastAsiaTheme="minorEastAsia" w:cstheme="minorEastAsia"/>
                <w:b/>
                <w:bCs/>
                <w:color w:val="auto"/>
                <w:sz w:val="20"/>
                <w:szCs w:val="20"/>
                <w:highlight w:val="none"/>
                <w:lang w:val="en-US" w:eastAsia="zh-CN"/>
              </w:rPr>
              <w:t>获奖情况。（本项最高得分5分）</w:t>
            </w:r>
          </w:p>
          <w:p w14:paraId="1A44BA38">
            <w:pPr>
              <w:numPr>
                <w:ilvl w:val="0"/>
                <w:numId w:val="0"/>
              </w:numP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自2020年1月起至今，供应商获得规划主管部门或行业协会（民政部门登记注册）颁发的规划类奖项，每项2.5分。</w:t>
            </w:r>
          </w:p>
          <w:p w14:paraId="20237CEF">
            <w:pPr>
              <w:rPr>
                <w:rFonts w:hint="eastAsia" w:asciiTheme="minorEastAsia" w:hAnsiTheme="minorEastAsia" w:eastAsiaTheme="minorEastAsia" w:cstheme="minorEastAsia"/>
                <w:color w:val="auto"/>
                <w:sz w:val="20"/>
                <w:szCs w:val="20"/>
                <w:highlight w:val="none"/>
                <w:lang w:val="en-GB"/>
              </w:rPr>
            </w:pPr>
            <w:r>
              <w:rPr>
                <w:rFonts w:hint="eastAsia" w:asciiTheme="minorEastAsia" w:hAnsiTheme="minorEastAsia" w:eastAsiaTheme="minorEastAsia" w:cstheme="minorEastAsia"/>
                <w:color w:val="auto"/>
                <w:sz w:val="20"/>
                <w:szCs w:val="20"/>
                <w:highlight w:val="none"/>
                <w:lang w:val="en-US" w:eastAsia="zh-CN"/>
              </w:rPr>
              <w:t>证明材料：以获奖日期为准，提供获奖证书复印件并加盖公章</w:t>
            </w:r>
            <w:r>
              <w:rPr>
                <w:rFonts w:hint="eastAsia" w:asciiTheme="minorEastAsia" w:hAnsiTheme="minorEastAsia" w:eastAsiaTheme="minorEastAsia" w:cstheme="minorEastAsia"/>
                <w:color w:val="auto"/>
                <w:sz w:val="20"/>
                <w:szCs w:val="20"/>
                <w:highlight w:val="none"/>
                <w:lang w:val="en-GB"/>
              </w:rPr>
              <w:t>，不提供不得分</w:t>
            </w:r>
            <w:r>
              <w:rPr>
                <w:rFonts w:hint="eastAsia" w:asciiTheme="minorEastAsia" w:hAnsiTheme="minorEastAsia" w:eastAsiaTheme="minorEastAsia" w:cstheme="minorEastAsia"/>
                <w:color w:val="auto"/>
                <w:sz w:val="20"/>
                <w:szCs w:val="20"/>
                <w:highlight w:val="none"/>
                <w:lang w:val="en-US" w:eastAsia="zh-CN"/>
              </w:rPr>
              <w:t>。</w:t>
            </w:r>
          </w:p>
        </w:tc>
      </w:tr>
    </w:tbl>
    <w:p w14:paraId="0308C012">
      <w:pPr>
        <w:rPr>
          <w:color w:val="auto"/>
          <w:highlight w:val="none"/>
        </w:rPr>
      </w:pPr>
    </w:p>
    <w:p w14:paraId="52271AD3">
      <w:pPr>
        <w:pStyle w:val="8"/>
        <w:rPr>
          <w:color w:val="auto"/>
          <w:highlight w:val="none"/>
        </w:rPr>
      </w:pPr>
    </w:p>
    <w:p w14:paraId="0E71DAD3">
      <w:pPr>
        <w:rPr>
          <w:color w:val="auto"/>
          <w:highlight w:val="none"/>
        </w:rPr>
      </w:pPr>
    </w:p>
    <w:p w14:paraId="33F6A013">
      <w:pPr>
        <w:pStyle w:val="8"/>
        <w:rPr>
          <w:color w:val="auto"/>
          <w:highlight w:val="none"/>
        </w:rPr>
      </w:pPr>
    </w:p>
    <w:p w14:paraId="32CC517D">
      <w:pPr>
        <w:rPr>
          <w:color w:val="auto"/>
          <w:highlight w:val="none"/>
        </w:rPr>
      </w:pPr>
    </w:p>
    <w:p w14:paraId="11045199">
      <w:pPr>
        <w:pStyle w:val="8"/>
        <w:rPr>
          <w:color w:val="auto"/>
          <w:highlight w:val="none"/>
        </w:rPr>
      </w:pPr>
    </w:p>
    <w:p w14:paraId="5139654C">
      <w:pPr>
        <w:rPr>
          <w:color w:val="auto"/>
          <w:highlight w:val="none"/>
        </w:rPr>
      </w:pPr>
    </w:p>
    <w:p w14:paraId="40AD6201">
      <w:pPr>
        <w:adjustRightInd w:val="0"/>
        <w:snapToGrid w:val="0"/>
        <w:spacing w:line="360" w:lineRule="auto"/>
        <w:outlineLvl w:val="1"/>
        <w:rPr>
          <w:rFonts w:hint="eastAsia" w:asciiTheme="minorEastAsia" w:hAnsiTheme="minorEastAsia" w:eastAsiaTheme="minorEastAsia" w:cstheme="minorEastAsia"/>
          <w:b/>
          <w:color w:val="auto"/>
          <w:szCs w:val="21"/>
          <w:highlight w:val="none"/>
        </w:rPr>
        <w:sectPr>
          <w:pgSz w:w="11906" w:h="16838"/>
          <w:pgMar w:top="1440" w:right="1800" w:bottom="1440" w:left="1800" w:header="794" w:footer="992" w:gutter="0"/>
          <w:cols w:space="425" w:num="1"/>
          <w:docGrid w:type="lines" w:linePitch="312" w:charSpace="0"/>
        </w:sectPr>
      </w:pPr>
    </w:p>
    <w:p w14:paraId="0A6C1401">
      <w:pPr>
        <w:pStyle w:val="8"/>
        <w:rPr>
          <w:color w:val="auto"/>
          <w:highlight w:val="none"/>
        </w:rPr>
      </w:pPr>
    </w:p>
    <w:p w14:paraId="67B9A7A3">
      <w:pPr>
        <w:numPr>
          <w:ilvl w:val="0"/>
          <w:numId w:val="4"/>
        </w:numPr>
        <w:adjustRightInd w:val="0"/>
        <w:snapToGrid w:val="0"/>
        <w:spacing w:line="360" w:lineRule="auto"/>
        <w:jc w:val="center"/>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采购合同</w:t>
      </w:r>
      <w:bookmarkEnd w:id="95"/>
      <w:r>
        <w:rPr>
          <w:rFonts w:hint="eastAsia" w:asciiTheme="minorEastAsia" w:hAnsiTheme="minorEastAsia" w:eastAsiaTheme="minorEastAsia" w:cstheme="minorEastAsia"/>
          <w:b/>
          <w:color w:val="auto"/>
          <w:szCs w:val="21"/>
          <w:highlight w:val="none"/>
        </w:rPr>
        <w:t>格式</w:t>
      </w:r>
    </w:p>
    <w:p w14:paraId="5B3A2181">
      <w:pPr>
        <w:rPr>
          <w:color w:val="auto"/>
          <w:highlight w:val="none"/>
        </w:rPr>
      </w:pPr>
    </w:p>
    <w:p w14:paraId="4AF3D129">
      <w:pPr>
        <w:jc w:val="center"/>
        <w:rPr>
          <w:rFonts w:hint="eastAsia" w:ascii="仿宋_GB2312" w:hAnsi="仿宋_GB2312" w:eastAsia="仿宋_GB2312" w:cs="仿宋_GB2312"/>
          <w:color w:val="auto"/>
          <w:sz w:val="48"/>
          <w:szCs w:val="48"/>
          <w:highlight w:val="none"/>
        </w:rPr>
      </w:pPr>
    </w:p>
    <w:p w14:paraId="351F49B0">
      <w:pPr>
        <w:jc w:val="center"/>
        <w:rPr>
          <w:rFonts w:hint="eastAsia" w:ascii="仿宋_GB2312" w:hAnsi="仿宋_GB2312" w:eastAsia="仿宋_GB2312" w:cs="仿宋_GB2312"/>
          <w:color w:val="auto"/>
          <w:sz w:val="48"/>
          <w:szCs w:val="48"/>
          <w:highlight w:val="none"/>
        </w:rPr>
      </w:pPr>
      <w:r>
        <w:rPr>
          <w:rFonts w:hint="eastAsia" w:ascii="仿宋_GB2312" w:hAnsi="仿宋_GB2312" w:eastAsia="仿宋_GB2312" w:cs="仿宋_GB2312"/>
          <w:color w:val="auto"/>
          <w:sz w:val="48"/>
          <w:szCs w:val="48"/>
          <w:highlight w:val="none"/>
        </w:rPr>
        <w:t>海口江东新区控规调整及入库审查工作</w:t>
      </w:r>
    </w:p>
    <w:p w14:paraId="03CC67D9">
      <w:pPr>
        <w:jc w:val="center"/>
        <w:rPr>
          <w:rFonts w:hint="eastAsia" w:ascii="仿宋_GB2312" w:hAnsi="仿宋_GB2312" w:eastAsia="仿宋_GB2312" w:cs="仿宋_GB2312"/>
          <w:color w:val="auto"/>
          <w:sz w:val="48"/>
          <w:szCs w:val="48"/>
          <w:highlight w:val="none"/>
        </w:rPr>
      </w:pPr>
      <w:r>
        <w:rPr>
          <w:rFonts w:hint="eastAsia" w:ascii="仿宋_GB2312" w:hAnsi="仿宋_GB2312" w:eastAsia="仿宋_GB2312" w:cs="仿宋_GB2312"/>
          <w:color w:val="auto"/>
          <w:sz w:val="48"/>
          <w:szCs w:val="48"/>
          <w:highlight w:val="none"/>
          <w:lang w:val="en-US" w:eastAsia="zh-CN"/>
        </w:rPr>
        <w:t>委托</w:t>
      </w:r>
      <w:r>
        <w:rPr>
          <w:rFonts w:hint="eastAsia" w:ascii="仿宋_GB2312" w:hAnsi="仿宋_GB2312" w:eastAsia="仿宋_GB2312" w:cs="仿宋_GB2312"/>
          <w:color w:val="auto"/>
          <w:sz w:val="48"/>
          <w:szCs w:val="48"/>
          <w:highlight w:val="none"/>
        </w:rPr>
        <w:t>合同</w:t>
      </w:r>
    </w:p>
    <w:p w14:paraId="2181F30E">
      <w:pPr>
        <w:jc w:val="center"/>
        <w:rPr>
          <w:rFonts w:hint="eastAsia" w:ascii="仿宋_GB2312" w:hAnsi="仿宋_GB2312" w:eastAsia="仿宋_GB2312" w:cs="仿宋_GB2312"/>
          <w:color w:val="auto"/>
          <w:sz w:val="30"/>
          <w:szCs w:val="30"/>
          <w:highlight w:val="none"/>
        </w:rPr>
      </w:pPr>
    </w:p>
    <w:p w14:paraId="74C07366">
      <w:pPr>
        <w:rPr>
          <w:rFonts w:hint="eastAsia" w:ascii="仿宋_GB2312" w:hAnsi="仿宋_GB2312" w:eastAsia="仿宋_GB2312" w:cs="仿宋_GB2312"/>
          <w:color w:val="auto"/>
          <w:sz w:val="30"/>
          <w:szCs w:val="30"/>
          <w:highlight w:val="none"/>
        </w:rPr>
      </w:pPr>
    </w:p>
    <w:p w14:paraId="3F385C2B">
      <w:pPr>
        <w:spacing w:line="640" w:lineRule="exact"/>
        <w:ind w:firstLine="838" w:firstLineChars="262"/>
        <w:rPr>
          <w:rFonts w:hint="eastAsia" w:ascii="仿宋_GB2312" w:hAnsi="仿宋_GB2312" w:eastAsia="仿宋_GB2312" w:cs="仿宋_GB2312"/>
          <w:color w:val="auto"/>
          <w:sz w:val="32"/>
          <w:szCs w:val="32"/>
          <w:highlight w:val="none"/>
        </w:rPr>
      </w:pPr>
    </w:p>
    <w:p w14:paraId="2A4A49FA">
      <w:pPr>
        <w:spacing w:line="480" w:lineRule="auto"/>
        <w:jc w:val="cente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项 目 名 称：</w:t>
      </w:r>
      <w:r>
        <w:rPr>
          <w:rFonts w:hint="eastAsia" w:ascii="仿宋_GB2312" w:hAnsi="仿宋_GB2312" w:eastAsia="仿宋_GB2312" w:cs="仿宋_GB2312"/>
          <w:color w:val="auto"/>
          <w:sz w:val="32"/>
          <w:szCs w:val="32"/>
          <w:highlight w:val="none"/>
          <w:u w:val="single"/>
        </w:rPr>
        <w:t>海口江东新区控规调整及入库审查工作</w:t>
      </w:r>
    </w:p>
    <w:p w14:paraId="498C530A">
      <w:pPr>
        <w:spacing w:line="480" w:lineRule="auto"/>
        <w:ind w:firstLine="838" w:firstLineChars="262"/>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项 目 地 点：</w:t>
      </w:r>
      <w:r>
        <w:rPr>
          <w:rFonts w:hint="eastAsia" w:ascii="仿宋_GB2312" w:hAnsi="仿宋_GB2312" w:eastAsia="仿宋_GB2312" w:cs="仿宋_GB2312"/>
          <w:color w:val="auto"/>
          <w:sz w:val="32"/>
          <w:szCs w:val="32"/>
          <w:highlight w:val="none"/>
          <w:u w:val="single"/>
        </w:rPr>
        <w:t xml:space="preserve">          海口市            </w:t>
      </w:r>
    </w:p>
    <w:p w14:paraId="279B4E2D">
      <w:pPr>
        <w:spacing w:line="480" w:lineRule="auto"/>
        <w:ind w:firstLine="838" w:firstLineChars="262"/>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合 同 编 号：</w:t>
      </w:r>
      <w:r>
        <w:rPr>
          <w:rFonts w:hint="eastAsia" w:ascii="仿宋_GB2312" w:hAnsi="仿宋_GB2312" w:eastAsia="仿宋_GB2312" w:cs="仿宋_GB2312"/>
          <w:color w:val="auto"/>
          <w:sz w:val="32"/>
          <w:szCs w:val="32"/>
          <w:highlight w:val="none"/>
          <w:u w:val="single"/>
        </w:rPr>
        <w:t xml:space="preserve">                            </w:t>
      </w:r>
    </w:p>
    <w:p w14:paraId="5C092CEA">
      <w:pPr>
        <w:spacing w:line="480" w:lineRule="auto"/>
        <w:ind w:firstLine="838" w:firstLineChars="262"/>
        <w:rPr>
          <w:rFonts w:hint="eastAsia" w:ascii="仿宋_GB2312" w:hAnsi="仿宋_GB2312" w:eastAsia="仿宋_GB2312" w:cs="仿宋_GB2312"/>
          <w:color w:val="auto"/>
          <w:spacing w:val="-10"/>
          <w:sz w:val="32"/>
          <w:szCs w:val="32"/>
          <w:highlight w:val="none"/>
          <w:u w:val="single"/>
        </w:rPr>
      </w:pPr>
      <w:r>
        <w:rPr>
          <w:rFonts w:hint="eastAsia" w:ascii="仿宋_GB2312" w:hAnsi="仿宋_GB2312" w:eastAsia="仿宋_GB2312" w:cs="仿宋_GB2312"/>
          <w:color w:val="auto"/>
          <w:sz w:val="32"/>
          <w:szCs w:val="32"/>
          <w:highlight w:val="none"/>
          <w:lang w:val="en-US" w:eastAsia="zh-CN"/>
        </w:rPr>
        <w:t>甲       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海口江东新区管理局    </w:t>
      </w:r>
    </w:p>
    <w:p w14:paraId="02B52F72">
      <w:pPr>
        <w:spacing w:line="480" w:lineRule="auto"/>
        <w:ind w:firstLine="838" w:firstLineChars="262"/>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乙       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p>
    <w:p w14:paraId="39A4B1F8">
      <w:pPr>
        <w:spacing w:line="480" w:lineRule="auto"/>
        <w:ind w:firstLine="838" w:firstLineChars="26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2"/>
          <w:szCs w:val="32"/>
          <w:highlight w:val="none"/>
        </w:rPr>
        <w:t>签 订 日 期 ：</w:t>
      </w:r>
      <w:r>
        <w:rPr>
          <w:rFonts w:hint="eastAsia" w:ascii="仿宋_GB2312" w:hAnsi="仿宋_GB2312" w:eastAsia="仿宋_GB2312" w:cs="仿宋_GB2312"/>
          <w:color w:val="auto"/>
          <w:sz w:val="32"/>
          <w:szCs w:val="32"/>
          <w:highlight w:val="none"/>
          <w:u w:val="single"/>
        </w:rPr>
        <w:t xml:space="preserve">      年    月    日       </w:t>
      </w:r>
    </w:p>
    <w:p w14:paraId="5A1FBD78">
      <w:pPr>
        <w:rPr>
          <w:color w:val="auto"/>
          <w:sz w:val="30"/>
          <w:szCs w:val="30"/>
          <w:highlight w:val="none"/>
        </w:rPr>
      </w:pPr>
    </w:p>
    <w:p w14:paraId="6F07258C">
      <w:pPr>
        <w:pStyle w:val="54"/>
        <w:rPr>
          <w:color w:val="auto"/>
          <w:highlight w:val="none"/>
          <w:lang w:eastAsia="zh-CN"/>
        </w:rPr>
      </w:pPr>
    </w:p>
    <w:p w14:paraId="3DF55C2E">
      <w:pPr>
        <w:pStyle w:val="54"/>
        <w:rPr>
          <w:color w:val="auto"/>
          <w:highlight w:val="none"/>
          <w:lang w:eastAsia="zh-CN"/>
        </w:rPr>
      </w:pPr>
    </w:p>
    <w:p w14:paraId="6162DDD5">
      <w:pPr>
        <w:pStyle w:val="54"/>
        <w:rPr>
          <w:color w:val="auto"/>
          <w:highlight w:val="none"/>
          <w:lang w:eastAsia="zh-CN"/>
        </w:rPr>
      </w:pPr>
    </w:p>
    <w:p w14:paraId="1E2A29EF">
      <w:pPr>
        <w:pStyle w:val="54"/>
        <w:rPr>
          <w:color w:val="auto"/>
          <w:highlight w:val="none"/>
          <w:lang w:eastAsia="zh-CN"/>
        </w:rPr>
      </w:pPr>
    </w:p>
    <w:p w14:paraId="6FFA346F">
      <w:pPr>
        <w:pStyle w:val="54"/>
        <w:rPr>
          <w:color w:val="auto"/>
          <w:highlight w:val="none"/>
          <w:lang w:eastAsia="zh-CN"/>
        </w:rPr>
      </w:pPr>
    </w:p>
    <w:p w14:paraId="6C9FA92F">
      <w:pPr>
        <w:pStyle w:val="54"/>
        <w:rPr>
          <w:color w:val="auto"/>
          <w:highlight w:val="none"/>
          <w:lang w:eastAsia="zh-CN"/>
        </w:rPr>
      </w:pPr>
    </w:p>
    <w:p w14:paraId="771F97D5">
      <w:pPr>
        <w:pStyle w:val="54"/>
        <w:rPr>
          <w:color w:val="auto"/>
          <w:highlight w:val="none"/>
          <w:lang w:eastAsia="zh-CN"/>
        </w:rPr>
      </w:pPr>
    </w:p>
    <w:p w14:paraId="74D71101">
      <w:pPr>
        <w:pStyle w:val="54"/>
        <w:rPr>
          <w:color w:val="auto"/>
          <w:highlight w:val="none"/>
          <w:lang w:eastAsia="zh-CN"/>
        </w:rPr>
      </w:pPr>
    </w:p>
    <w:p w14:paraId="5F9C7DB7">
      <w:pPr>
        <w:pStyle w:val="54"/>
        <w:rPr>
          <w:color w:val="auto"/>
          <w:highlight w:val="none"/>
          <w:lang w:eastAsia="zh-CN"/>
        </w:rPr>
      </w:pPr>
    </w:p>
    <w:p w14:paraId="0A1B2B3E">
      <w:pPr>
        <w:pStyle w:val="54"/>
        <w:rPr>
          <w:color w:val="auto"/>
          <w:highlight w:val="none"/>
          <w:lang w:eastAsia="zh-CN"/>
        </w:rPr>
      </w:pPr>
    </w:p>
    <w:p w14:paraId="62952986">
      <w:pPr>
        <w:tabs>
          <w:tab w:val="left" w:pos="1709"/>
        </w:tabs>
        <w:rPr>
          <w:color w:val="auto"/>
          <w:sz w:val="30"/>
          <w:szCs w:val="30"/>
          <w:highlight w:val="none"/>
        </w:rPr>
      </w:pPr>
    </w:p>
    <w:p w14:paraId="31244CE3">
      <w:pPr>
        <w:pStyle w:val="17"/>
        <w:rPr>
          <w:color w:val="auto"/>
          <w:sz w:val="30"/>
          <w:szCs w:val="30"/>
          <w:highlight w:val="none"/>
        </w:rPr>
      </w:pPr>
    </w:p>
    <w:p w14:paraId="7482BEC3">
      <w:pPr>
        <w:rPr>
          <w:color w:val="auto"/>
          <w:sz w:val="30"/>
          <w:szCs w:val="30"/>
          <w:highlight w:val="none"/>
        </w:rPr>
      </w:pPr>
    </w:p>
    <w:p w14:paraId="666F6D80">
      <w:pPr>
        <w:pStyle w:val="17"/>
        <w:rPr>
          <w:color w:val="auto"/>
          <w:sz w:val="30"/>
          <w:szCs w:val="30"/>
          <w:highlight w:val="none"/>
        </w:rPr>
      </w:pPr>
    </w:p>
    <w:p w14:paraId="6B90585F">
      <w:pPr>
        <w:rPr>
          <w:color w:val="auto"/>
          <w:sz w:val="30"/>
          <w:szCs w:val="30"/>
          <w:highlight w:val="none"/>
        </w:rPr>
      </w:pPr>
    </w:p>
    <w:p w14:paraId="61B06F39">
      <w:pPr>
        <w:pStyle w:val="17"/>
      </w:pPr>
    </w:p>
    <w:p w14:paraId="7DE46436">
      <w:pPr>
        <w:pStyle w:val="17"/>
        <w:rPr>
          <w:color w:val="auto"/>
          <w:highlight w:val="none"/>
        </w:rPr>
      </w:pPr>
    </w:p>
    <w:p w14:paraId="047E2EC3">
      <w:pPr>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甲方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海口江东新区管理局</w:t>
      </w:r>
      <w:r>
        <w:rPr>
          <w:rFonts w:hint="eastAsia" w:ascii="仿宋_GB2312" w:hAnsi="仿宋_GB2312" w:eastAsia="仿宋_GB2312" w:cs="仿宋_GB2312"/>
          <w:color w:val="auto"/>
          <w:spacing w:val="-10"/>
          <w:sz w:val="24"/>
          <w:highlight w:val="none"/>
          <w:u w:val="single"/>
        </w:rPr>
        <w:t xml:space="preserve">       </w:t>
      </w:r>
    </w:p>
    <w:p w14:paraId="3D1EBA68">
      <w:pPr>
        <w:spacing w:line="560" w:lineRule="exac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lang w:val="en-US" w:eastAsia="zh-CN"/>
        </w:rPr>
        <w:t>乙方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5D30F382">
      <w:pPr>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根据江东新区规划管理需要，拟委托开展海口江东新区控规调整及入库审查工作，</w:t>
      </w:r>
      <w:r>
        <w:rPr>
          <w:rFonts w:hint="eastAsia" w:ascii="仿宋_GB2312" w:hAnsi="仿宋_GB2312" w:eastAsia="仿宋_GB2312" w:cs="仿宋_GB2312"/>
          <w:color w:val="auto"/>
          <w:sz w:val="24"/>
          <w:highlight w:val="none"/>
        </w:rPr>
        <w:t>根据《中华人民共和国民法典》等法律、法规的相关规定以及招标编号：【招标编号为：】的有关内容，合同各方遵循平等、自愿、公平和诚信的原则，就下述</w:t>
      </w:r>
      <w:r>
        <w:rPr>
          <w:rFonts w:hint="eastAsia" w:ascii="仿宋_GB2312" w:hAnsi="仿宋_GB2312" w:eastAsia="仿宋_GB2312" w:cs="仿宋_GB2312"/>
          <w:color w:val="auto"/>
          <w:sz w:val="24"/>
          <w:highlight w:val="none"/>
          <w:u w:val="single"/>
        </w:rPr>
        <w:t>海口江东新区控规调整及入库审查工作</w:t>
      </w:r>
      <w:r>
        <w:rPr>
          <w:rFonts w:hint="eastAsia" w:ascii="仿宋_GB2312" w:hAnsi="仿宋_GB2312" w:eastAsia="仿宋_GB2312" w:cs="仿宋_GB2312"/>
          <w:color w:val="auto"/>
          <w:sz w:val="24"/>
          <w:highlight w:val="none"/>
        </w:rPr>
        <w:t>事项协商一致，订立本合同。</w:t>
      </w:r>
    </w:p>
    <w:p w14:paraId="0D78946C">
      <w:pPr>
        <w:spacing w:line="560" w:lineRule="exact"/>
        <w:ind w:firstLine="480" w:firstLineChars="200"/>
        <w:rPr>
          <w:rFonts w:hint="default" w:ascii="仿宋_GB2312" w:hAnsi="仿宋_GB2312" w:eastAsia="仿宋_GB2312" w:cs="仿宋_GB2312"/>
          <w:color w:val="auto"/>
          <w:sz w:val="24"/>
          <w:highlight w:val="none"/>
          <w:lang w:val="en-US" w:eastAsia="zh-CN"/>
        </w:rPr>
      </w:pPr>
    </w:p>
    <w:p w14:paraId="7ABAA344">
      <w:pPr>
        <w:pStyle w:val="8"/>
        <w:spacing w:after="0" w:line="560" w:lineRule="exact"/>
        <w:ind w:left="524"/>
        <w:outlineLvl w:val="0"/>
        <w:rPr>
          <w:rFonts w:hint="eastAsia" w:ascii="仿宋_GB2312" w:hAnsi="仿宋_GB2312" w:eastAsia="仿宋_GB2312" w:cs="仿宋_GB2312"/>
          <w:b/>
          <w:bCs/>
          <w:color w:val="auto"/>
          <w:spacing w:val="-7"/>
          <w:sz w:val="24"/>
          <w:highlight w:val="none"/>
        </w:rPr>
      </w:pPr>
      <w:r>
        <w:rPr>
          <w:rFonts w:hint="eastAsia" w:ascii="仿宋_GB2312" w:hAnsi="仿宋_GB2312" w:eastAsia="仿宋_GB2312" w:cs="仿宋_GB2312"/>
          <w:b/>
          <w:bCs/>
          <w:color w:val="auto"/>
          <w:spacing w:val="-7"/>
          <w:sz w:val="24"/>
          <w:highlight w:val="none"/>
        </w:rPr>
        <w:t>第一条  项目概况</w:t>
      </w:r>
    </w:p>
    <w:p w14:paraId="51A8AFBC">
      <w:pPr>
        <w:spacing w:line="560" w:lineRule="exact"/>
        <w:ind w:firstLine="600"/>
        <w:rPr>
          <w:rFonts w:hint="eastAsia" w:ascii="仿宋_GB2312" w:hAnsi="仿宋_GB2312" w:eastAsia="仿宋_GB2312" w:cs="仿宋_GB2312"/>
          <w:color w:val="auto"/>
          <w:spacing w:val="-10"/>
          <w:sz w:val="24"/>
          <w:highlight w:val="none"/>
          <w:u w:val="single"/>
        </w:rPr>
      </w:pPr>
      <w:r>
        <w:rPr>
          <w:rFonts w:hint="eastAsia" w:ascii="仿宋_GB2312" w:hAnsi="仿宋_GB2312" w:eastAsia="仿宋_GB2312" w:cs="仿宋_GB2312"/>
          <w:color w:val="auto"/>
          <w:sz w:val="24"/>
          <w:highlight w:val="none"/>
        </w:rPr>
        <w:t>1.1 项目名称：</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海口江东新区控规调整及入库</w:t>
      </w:r>
      <w:r>
        <w:rPr>
          <w:rFonts w:hint="eastAsia" w:ascii="仿宋_GB2312" w:hAnsi="仿宋_GB2312" w:eastAsia="仿宋_GB2312" w:cs="仿宋_GB2312"/>
          <w:color w:val="auto"/>
          <w:sz w:val="24"/>
          <w:highlight w:val="none"/>
          <w:u w:val="single"/>
          <w:lang w:val="en-US" w:eastAsia="zh-CN"/>
        </w:rPr>
        <w:t>材料</w:t>
      </w:r>
      <w:r>
        <w:rPr>
          <w:rFonts w:hint="eastAsia" w:ascii="仿宋_GB2312" w:hAnsi="仿宋_GB2312" w:eastAsia="仿宋_GB2312" w:cs="仿宋_GB2312"/>
          <w:color w:val="auto"/>
          <w:sz w:val="24"/>
          <w:highlight w:val="none"/>
          <w:u w:val="single"/>
        </w:rPr>
        <w:t xml:space="preserve">审查工作      </w:t>
      </w:r>
    </w:p>
    <w:p w14:paraId="11FCCB8F">
      <w:pPr>
        <w:spacing w:line="560" w:lineRule="exact"/>
        <w:ind w:firstLine="6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 项目地点：</w:t>
      </w:r>
      <w:r>
        <w:rPr>
          <w:rFonts w:hint="eastAsia" w:ascii="仿宋_GB2312" w:hAnsi="仿宋_GB2312" w:eastAsia="仿宋_GB2312" w:cs="仿宋_GB2312"/>
          <w:color w:val="auto"/>
          <w:spacing w:val="-10"/>
          <w:sz w:val="24"/>
          <w:highlight w:val="none"/>
          <w:u w:val="single"/>
        </w:rPr>
        <w:t xml:space="preserve">               海口江东新区</w:t>
      </w:r>
      <w:r>
        <w:rPr>
          <w:rFonts w:hint="eastAsia" w:ascii="仿宋_GB2312" w:hAnsi="仿宋_GB2312" w:eastAsia="仿宋_GB2312" w:cs="仿宋_GB2312"/>
          <w:color w:val="auto"/>
          <w:sz w:val="24"/>
          <w:highlight w:val="none"/>
          <w:u w:val="single"/>
        </w:rPr>
        <w:t xml:space="preserve">                    </w:t>
      </w:r>
    </w:p>
    <w:p w14:paraId="02A10247">
      <w:pPr>
        <w:spacing w:line="560" w:lineRule="exact"/>
        <w:ind w:firstLine="6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 项目范围：</w:t>
      </w:r>
      <w:r>
        <w:rPr>
          <w:rFonts w:hint="eastAsia" w:ascii="仿宋_GB2312" w:hAnsi="仿宋_GB2312" w:eastAsia="仿宋_GB2312" w:cs="仿宋_GB2312"/>
          <w:color w:val="auto"/>
          <w:sz w:val="24"/>
          <w:highlight w:val="none"/>
          <w:lang w:val="en-US" w:eastAsia="zh-CN"/>
        </w:rPr>
        <w:t>包括</w:t>
      </w:r>
      <w:r>
        <w:rPr>
          <w:rFonts w:hint="eastAsia" w:ascii="仿宋_GB2312" w:hAnsi="仿宋_GB2312" w:eastAsia="仿宋_GB2312" w:cs="仿宋_GB2312"/>
          <w:color w:val="auto"/>
          <w:sz w:val="24"/>
          <w:highlight w:val="none"/>
        </w:rPr>
        <w:t>江东新区</w:t>
      </w:r>
      <w:r>
        <w:rPr>
          <w:rFonts w:hint="eastAsia" w:ascii="仿宋_GB2312" w:hAnsi="仿宋_GB2312" w:eastAsia="仿宋_GB2312" w:cs="仿宋_GB2312"/>
          <w:color w:val="auto"/>
          <w:sz w:val="24"/>
          <w:highlight w:val="none"/>
          <w:lang w:val="en-US" w:eastAsia="zh-CN"/>
        </w:rPr>
        <w:t>全域范围内的控规调整项目及入库材料</w:t>
      </w:r>
      <w:r>
        <w:rPr>
          <w:rFonts w:hint="eastAsia" w:ascii="仿宋_GB2312" w:hAnsi="仿宋_GB2312" w:eastAsia="仿宋_GB2312" w:cs="仿宋_GB2312"/>
          <w:color w:val="auto"/>
          <w:sz w:val="24"/>
          <w:highlight w:val="none"/>
        </w:rPr>
        <w:t>，东起东寨港（海口行政边界），西至南渡江，北临海口东海岸线，南至绕城高速二期和212省道，约298平方公里。</w:t>
      </w:r>
    </w:p>
    <w:p w14:paraId="1CD65E33">
      <w:pPr>
        <w:spacing w:line="560" w:lineRule="exact"/>
        <w:ind w:firstLine="464" w:firstLineChars="200"/>
        <w:rPr>
          <w:rFonts w:hint="eastAsia" w:ascii="仿宋_GB2312" w:hAnsi="仿宋_GB2312" w:eastAsia="仿宋_GB2312" w:cs="仿宋_GB2312"/>
          <w:color w:val="auto"/>
          <w:spacing w:val="-4"/>
          <w:sz w:val="24"/>
          <w:highlight w:val="none"/>
          <w:lang w:val="en-US" w:eastAsia="zh-CN"/>
        </w:rPr>
      </w:pPr>
      <w:r>
        <w:rPr>
          <w:rFonts w:hint="eastAsia" w:ascii="仿宋_GB2312" w:hAnsi="仿宋_GB2312" w:eastAsia="仿宋_GB2312" w:cs="仿宋_GB2312"/>
          <w:color w:val="auto"/>
          <w:spacing w:val="-4"/>
          <w:sz w:val="24"/>
          <w:highlight w:val="none"/>
        </w:rPr>
        <w:t>1.4 项目内容：</w:t>
      </w:r>
      <w:r>
        <w:rPr>
          <w:rFonts w:hint="eastAsia" w:ascii="仿宋_GB2312" w:hAnsi="仿宋_GB2312" w:eastAsia="仿宋_GB2312" w:cs="仿宋_GB2312"/>
          <w:color w:val="auto"/>
          <w:spacing w:val="-4"/>
          <w:sz w:val="24"/>
          <w:highlight w:val="none"/>
          <w:lang w:val="en-US" w:eastAsia="zh-CN"/>
        </w:rPr>
        <w:t>包括（1）江东新区城镇开发边界内控规调整和独立地块单元控规编制；（2）以及</w:t>
      </w:r>
      <w:r>
        <w:rPr>
          <w:rFonts w:hint="eastAsia" w:ascii="仿宋_GB2312" w:hAnsi="仿宋_GB2312" w:eastAsia="仿宋_GB2312" w:cs="仿宋_GB2312"/>
          <w:color w:val="auto"/>
          <w:spacing w:val="-4"/>
          <w:sz w:val="24"/>
          <w:highlight w:val="none"/>
        </w:rPr>
        <w:t>控规调整</w:t>
      </w:r>
      <w:r>
        <w:rPr>
          <w:rFonts w:hint="eastAsia" w:ascii="仿宋_GB2312" w:hAnsi="仿宋_GB2312" w:eastAsia="仿宋_GB2312" w:cs="仿宋_GB2312"/>
          <w:color w:val="auto"/>
          <w:spacing w:val="-4"/>
          <w:sz w:val="24"/>
          <w:highlight w:val="none"/>
          <w:lang w:val="en-US" w:eastAsia="zh-CN"/>
        </w:rPr>
        <w:t>项目</w:t>
      </w:r>
      <w:r>
        <w:rPr>
          <w:rFonts w:hint="eastAsia" w:ascii="仿宋_GB2312" w:hAnsi="仿宋_GB2312" w:eastAsia="仿宋_GB2312" w:cs="仿宋_GB2312"/>
          <w:color w:val="auto"/>
          <w:spacing w:val="-4"/>
          <w:sz w:val="24"/>
          <w:highlight w:val="none"/>
          <w:lang w:eastAsia="zh-CN"/>
        </w:rPr>
        <w:t>（</w:t>
      </w:r>
      <w:r>
        <w:rPr>
          <w:rFonts w:hint="eastAsia" w:ascii="仿宋_GB2312" w:hAnsi="仿宋_GB2312" w:eastAsia="仿宋_GB2312" w:cs="仿宋_GB2312"/>
          <w:color w:val="auto"/>
          <w:spacing w:val="-4"/>
          <w:sz w:val="24"/>
          <w:highlight w:val="none"/>
          <w:lang w:val="en-US" w:eastAsia="zh-CN"/>
        </w:rPr>
        <w:t>含其他单独委托的片区控规修编）成果</w:t>
      </w:r>
      <w:r>
        <w:rPr>
          <w:rFonts w:hint="eastAsia" w:ascii="仿宋_GB2312" w:hAnsi="仿宋_GB2312" w:eastAsia="仿宋_GB2312" w:cs="仿宋_GB2312"/>
          <w:color w:val="auto"/>
          <w:spacing w:val="-4"/>
          <w:sz w:val="24"/>
          <w:highlight w:val="none"/>
        </w:rPr>
        <w:t>图数审查</w:t>
      </w:r>
      <w:r>
        <w:rPr>
          <w:rFonts w:hint="eastAsia" w:ascii="仿宋_GB2312" w:hAnsi="仿宋_GB2312" w:eastAsia="仿宋_GB2312" w:cs="仿宋_GB2312"/>
          <w:color w:val="auto"/>
          <w:spacing w:val="-4"/>
          <w:sz w:val="24"/>
          <w:highlight w:val="none"/>
          <w:lang w:eastAsia="zh-CN"/>
        </w:rPr>
        <w:t>；（</w:t>
      </w:r>
      <w:r>
        <w:rPr>
          <w:rFonts w:hint="eastAsia" w:ascii="仿宋_GB2312" w:hAnsi="仿宋_GB2312" w:eastAsia="仿宋_GB2312" w:cs="仿宋_GB2312"/>
          <w:color w:val="auto"/>
          <w:spacing w:val="-4"/>
          <w:sz w:val="24"/>
          <w:highlight w:val="none"/>
          <w:lang w:val="en-US" w:eastAsia="zh-CN"/>
        </w:rPr>
        <w:t>3</w:t>
      </w:r>
      <w:r>
        <w:rPr>
          <w:rFonts w:hint="eastAsia" w:ascii="仿宋_GB2312" w:hAnsi="仿宋_GB2312" w:eastAsia="仿宋_GB2312" w:cs="仿宋_GB2312"/>
          <w:color w:val="auto"/>
          <w:spacing w:val="-4"/>
          <w:sz w:val="24"/>
          <w:highlight w:val="none"/>
          <w:lang w:eastAsia="zh-CN"/>
        </w:rPr>
        <w:t>）安排一名工作人员驻点我局配合控规调整及入库工作。</w:t>
      </w:r>
    </w:p>
    <w:p w14:paraId="7AD1DF86">
      <w:pPr>
        <w:pStyle w:val="8"/>
        <w:spacing w:after="0" w:line="560" w:lineRule="exact"/>
        <w:ind w:left="524"/>
        <w:outlineLvl w:val="0"/>
        <w:rPr>
          <w:rFonts w:hint="eastAsia" w:ascii="仿宋_GB2312" w:hAnsi="仿宋_GB2312" w:eastAsia="仿宋_GB2312" w:cs="仿宋_GB2312"/>
          <w:b/>
          <w:bCs/>
          <w:color w:val="auto"/>
          <w:spacing w:val="-7"/>
          <w:sz w:val="24"/>
          <w:highlight w:val="none"/>
        </w:rPr>
      </w:pPr>
      <w:r>
        <w:rPr>
          <w:rFonts w:hint="eastAsia" w:ascii="仿宋_GB2312" w:hAnsi="仿宋_GB2312" w:eastAsia="仿宋_GB2312" w:cs="仿宋_GB2312"/>
          <w:b/>
          <w:bCs/>
          <w:color w:val="auto"/>
          <w:spacing w:val="-7"/>
          <w:sz w:val="24"/>
          <w:highlight w:val="none"/>
        </w:rPr>
        <w:t>第二条 工作</w:t>
      </w:r>
      <w:r>
        <w:rPr>
          <w:rFonts w:hint="eastAsia" w:ascii="仿宋_GB2312" w:hAnsi="仿宋_GB2312" w:eastAsia="仿宋_GB2312" w:cs="仿宋_GB2312"/>
          <w:b/>
          <w:bCs/>
          <w:color w:val="auto"/>
          <w:spacing w:val="-7"/>
          <w:sz w:val="24"/>
          <w:highlight w:val="none"/>
          <w:lang w:val="en-US" w:eastAsia="zh-CN"/>
        </w:rPr>
        <w:t>具体内容及进度</w:t>
      </w:r>
      <w:r>
        <w:rPr>
          <w:rFonts w:hint="eastAsia" w:ascii="仿宋_GB2312" w:hAnsi="仿宋_GB2312" w:eastAsia="仿宋_GB2312" w:cs="仿宋_GB2312"/>
          <w:b/>
          <w:bCs/>
          <w:color w:val="auto"/>
          <w:spacing w:val="-7"/>
          <w:sz w:val="24"/>
          <w:highlight w:val="none"/>
        </w:rPr>
        <w:t>要求</w:t>
      </w:r>
    </w:p>
    <w:p w14:paraId="26BDAC52">
      <w:pPr>
        <w:spacing w:line="560" w:lineRule="exact"/>
        <w:ind w:firstLine="464" w:firstLineChars="200"/>
        <w:rPr>
          <w:rFonts w:hint="eastAsia" w:ascii="仿宋_GB2312" w:hAnsi="仿宋_GB2312" w:eastAsia="仿宋_GB2312" w:cs="仿宋_GB2312"/>
          <w:color w:val="auto"/>
          <w:spacing w:val="-4"/>
          <w:sz w:val="24"/>
          <w:highlight w:val="none"/>
          <w:lang w:val="en-US" w:eastAsia="zh-CN"/>
        </w:rPr>
      </w:pPr>
      <w:r>
        <w:rPr>
          <w:rFonts w:hint="eastAsia" w:ascii="仿宋_GB2312" w:hAnsi="仿宋_GB2312" w:eastAsia="仿宋_GB2312" w:cs="仿宋_GB2312"/>
          <w:color w:val="auto"/>
          <w:spacing w:val="-4"/>
          <w:sz w:val="24"/>
          <w:highlight w:val="none"/>
          <w:lang w:val="en-US" w:eastAsia="zh-CN"/>
        </w:rPr>
        <w:t>2.1工作具体内容。</w:t>
      </w:r>
    </w:p>
    <w:p w14:paraId="1E59148E">
      <w:pPr>
        <w:spacing w:line="560" w:lineRule="exact"/>
        <w:ind w:firstLine="464" w:firstLineChars="200"/>
        <w:rPr>
          <w:rFonts w:hint="default" w:ascii="仿宋_GB2312" w:hAnsi="仿宋_GB2312" w:eastAsia="仿宋_GB2312" w:cs="仿宋_GB2312"/>
          <w:color w:val="auto"/>
          <w:spacing w:val="-4"/>
          <w:sz w:val="24"/>
          <w:highlight w:val="none"/>
          <w:lang w:val="en-US" w:eastAsia="zh-CN"/>
        </w:rPr>
      </w:pPr>
      <w:r>
        <w:rPr>
          <w:rFonts w:hint="eastAsia" w:ascii="仿宋_GB2312" w:hAnsi="仿宋_GB2312" w:eastAsia="仿宋_GB2312" w:cs="仿宋_GB2312"/>
          <w:color w:val="auto"/>
          <w:spacing w:val="-4"/>
          <w:sz w:val="24"/>
          <w:highlight w:val="none"/>
          <w:lang w:val="en-US" w:eastAsia="zh-CN"/>
        </w:rPr>
        <w:t>（1）江东新区城镇开发边界内控规调整和独立地块单元控规编制。控规调整包括“重大调整”、“一般调整”及“技术修正”，共计10宗。</w:t>
      </w:r>
      <w:r>
        <w:rPr>
          <w:rFonts w:hint="eastAsia" w:ascii="仿宋_GB2312" w:hAnsi="仿宋_GB2312" w:eastAsia="仿宋_GB2312" w:cs="仿宋_GB2312"/>
          <w:color w:val="auto"/>
          <w:spacing w:val="-4"/>
          <w:sz w:val="24"/>
          <w:highlight w:val="none"/>
          <w:lang w:val="en-US" w:eastAsia="zh-CN"/>
        </w:rPr>
        <w:t>其中，其中需组织专家评审会审议的“技术修正”计入宗数，不需组织专家评审会审议的“技术修正”不计入宗数；</w:t>
      </w:r>
    </w:p>
    <w:p w14:paraId="4289E22D">
      <w:pPr>
        <w:spacing w:line="560" w:lineRule="exact"/>
        <w:ind w:firstLine="464" w:firstLineChars="200"/>
        <w:rPr>
          <w:rFonts w:hint="default" w:ascii="仿宋_GB2312" w:hAnsi="仿宋_GB2312" w:eastAsia="仿宋_GB2312" w:cs="仿宋_GB2312"/>
          <w:color w:val="auto"/>
          <w:spacing w:val="-4"/>
          <w:sz w:val="24"/>
          <w:highlight w:val="none"/>
          <w:lang w:val="en-US" w:eastAsia="zh-CN"/>
        </w:rPr>
      </w:pPr>
      <w:r>
        <w:rPr>
          <w:rFonts w:hint="eastAsia" w:ascii="仿宋_GB2312" w:hAnsi="仿宋_GB2312" w:eastAsia="仿宋_GB2312" w:cs="仿宋_GB2312"/>
          <w:color w:val="auto"/>
          <w:spacing w:val="-4"/>
          <w:sz w:val="24"/>
          <w:highlight w:val="none"/>
          <w:lang w:val="en-US" w:eastAsia="zh-CN"/>
        </w:rPr>
        <w:t>（2）控规调整项目成果图数审查，即控规调整批复后，负责对控规调整项目（含其他单独委托的片区控规修编）编制单位提交的控规调整入库材料进行图数审查和质检，并指导其修改至材料图数一致且符合录入海南省国土空间规划基础信息平台要求，出具校核报告。审查项目数量为115宗，其中片区控规修编项目按控规街区单元数量计入宗数。当合同约定服务期项目数量不足115个时，服务期顺延至完成约定数量；当服务期内超115 个项目时不另行收费。</w:t>
      </w:r>
    </w:p>
    <w:p w14:paraId="01D9A73C">
      <w:pPr>
        <w:pStyle w:val="8"/>
        <w:spacing w:after="0" w:line="560" w:lineRule="exact"/>
        <w:ind w:left="65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3"/>
          <w:sz w:val="24"/>
          <w:highlight w:val="none"/>
        </w:rPr>
        <w:t>2.2</w:t>
      </w:r>
      <w:r>
        <w:rPr>
          <w:rFonts w:hint="eastAsia" w:ascii="仿宋_GB2312" w:hAnsi="仿宋_GB2312" w:eastAsia="仿宋_GB2312" w:cs="仿宋_GB2312"/>
          <w:color w:val="auto"/>
          <w:spacing w:val="19"/>
          <w:sz w:val="24"/>
          <w:highlight w:val="none"/>
        </w:rPr>
        <w:t xml:space="preserve"> </w:t>
      </w:r>
      <w:r>
        <w:rPr>
          <w:rFonts w:hint="eastAsia" w:ascii="仿宋_GB2312" w:hAnsi="仿宋_GB2312" w:eastAsia="仿宋_GB2312" w:cs="仿宋_GB2312"/>
          <w:color w:val="auto"/>
          <w:spacing w:val="-3"/>
          <w:sz w:val="24"/>
          <w:highlight w:val="none"/>
        </w:rPr>
        <w:t>项目服务</w:t>
      </w:r>
      <w:r>
        <w:rPr>
          <w:rFonts w:hint="eastAsia" w:ascii="仿宋_GB2312" w:hAnsi="仿宋_GB2312" w:eastAsia="仿宋_GB2312" w:cs="仿宋_GB2312"/>
          <w:color w:val="auto"/>
          <w:spacing w:val="-3"/>
          <w:sz w:val="24"/>
          <w:highlight w:val="none"/>
          <w:lang w:val="en-US" w:eastAsia="zh-CN"/>
        </w:rPr>
        <w:t>进度及</w:t>
      </w:r>
      <w:r>
        <w:rPr>
          <w:rFonts w:hint="eastAsia" w:ascii="仿宋_GB2312" w:hAnsi="仿宋_GB2312" w:eastAsia="仿宋_GB2312" w:cs="仿宋_GB2312"/>
          <w:color w:val="auto"/>
          <w:spacing w:val="-3"/>
          <w:sz w:val="24"/>
          <w:highlight w:val="none"/>
        </w:rPr>
        <w:t>期限</w:t>
      </w:r>
      <w:bookmarkStart w:id="96" w:name="_GoBack"/>
      <w:bookmarkEnd w:id="96"/>
    </w:p>
    <w:p w14:paraId="5140B32F">
      <w:pPr>
        <w:pStyle w:val="8"/>
        <w:spacing w:after="0" w:line="560" w:lineRule="exact"/>
        <w:ind w:left="180" w:right="96" w:firstLine="481"/>
        <w:rPr>
          <w:rFonts w:hint="eastAsia" w:ascii="仿宋_GB2312" w:hAnsi="仿宋_GB2312" w:eastAsia="仿宋_GB2312" w:cs="仿宋_GB2312"/>
          <w:color w:val="auto"/>
          <w:spacing w:val="-4"/>
          <w:sz w:val="24"/>
          <w:highlight w:val="none"/>
        </w:rPr>
      </w:pPr>
      <w:r>
        <w:rPr>
          <w:rFonts w:hint="eastAsia" w:ascii="仿宋_GB2312" w:hAnsi="仿宋_GB2312" w:eastAsia="仿宋_GB2312" w:cs="仿宋_GB2312"/>
          <w:color w:val="auto"/>
          <w:spacing w:val="-6"/>
          <w:sz w:val="24"/>
          <w:highlight w:val="none"/>
        </w:rPr>
        <w:t>本项目服务期一年，自</w:t>
      </w:r>
      <w:r>
        <w:rPr>
          <w:rFonts w:hint="eastAsia" w:ascii="仿宋_GB2312" w:hAnsi="仿宋_GB2312" w:eastAsia="仿宋_GB2312" w:cs="仿宋_GB2312"/>
          <w:color w:val="auto"/>
          <w:spacing w:val="-34"/>
          <w:sz w:val="24"/>
          <w:highlight w:val="none"/>
        </w:rPr>
        <w:t xml:space="preserve"> </w:t>
      </w:r>
      <w:r>
        <w:rPr>
          <w:rFonts w:hint="eastAsia" w:ascii="仿宋_GB2312" w:hAnsi="仿宋_GB2312" w:eastAsia="仿宋_GB2312" w:cs="仿宋_GB2312"/>
          <w:color w:val="auto"/>
          <w:spacing w:val="-6"/>
          <w:sz w:val="24"/>
          <w:highlight w:val="none"/>
        </w:rPr>
        <w:t>202</w:t>
      </w:r>
      <w:r>
        <w:rPr>
          <w:rFonts w:hint="eastAsia" w:ascii="仿宋_GB2312" w:hAnsi="仿宋_GB2312" w:eastAsia="仿宋_GB2312" w:cs="仿宋_GB2312"/>
          <w:color w:val="auto"/>
          <w:spacing w:val="-6"/>
          <w:sz w:val="24"/>
          <w:highlight w:val="none"/>
          <w:lang w:val="en-US" w:eastAsia="zh-CN"/>
        </w:rPr>
        <w:t>5</w:t>
      </w:r>
      <w:r>
        <w:rPr>
          <w:rFonts w:hint="eastAsia" w:ascii="仿宋_GB2312" w:hAnsi="仿宋_GB2312" w:eastAsia="仿宋_GB2312" w:cs="仿宋_GB2312"/>
          <w:color w:val="auto"/>
          <w:spacing w:val="-6"/>
          <w:sz w:val="24"/>
          <w:highlight w:val="none"/>
        </w:rPr>
        <w:t>年【 】月【</w:t>
      </w:r>
      <w:r>
        <w:rPr>
          <w:rFonts w:hint="eastAsia" w:ascii="仿宋_GB2312" w:hAnsi="仿宋_GB2312" w:eastAsia="仿宋_GB2312" w:cs="仿宋_GB2312"/>
          <w:color w:val="auto"/>
          <w:spacing w:val="35"/>
          <w:sz w:val="24"/>
          <w:highlight w:val="none"/>
        </w:rPr>
        <w:t xml:space="preserve"> </w:t>
      </w:r>
      <w:r>
        <w:rPr>
          <w:rFonts w:hint="eastAsia" w:ascii="仿宋_GB2312" w:hAnsi="仿宋_GB2312" w:eastAsia="仿宋_GB2312" w:cs="仿宋_GB2312"/>
          <w:color w:val="auto"/>
          <w:spacing w:val="-6"/>
          <w:sz w:val="24"/>
          <w:highlight w:val="none"/>
        </w:rPr>
        <w:t>】日至</w:t>
      </w:r>
      <w:r>
        <w:rPr>
          <w:rFonts w:hint="eastAsia" w:ascii="仿宋_GB2312" w:hAnsi="仿宋_GB2312" w:eastAsia="仿宋_GB2312" w:cs="仿宋_GB2312"/>
          <w:color w:val="auto"/>
          <w:spacing w:val="-30"/>
          <w:sz w:val="24"/>
          <w:highlight w:val="none"/>
        </w:rPr>
        <w:t xml:space="preserve"> </w:t>
      </w:r>
      <w:r>
        <w:rPr>
          <w:rFonts w:hint="eastAsia" w:ascii="仿宋_GB2312" w:hAnsi="仿宋_GB2312" w:eastAsia="仿宋_GB2312" w:cs="仿宋_GB2312"/>
          <w:color w:val="auto"/>
          <w:spacing w:val="-6"/>
          <w:sz w:val="24"/>
          <w:highlight w:val="none"/>
        </w:rPr>
        <w:t>202</w:t>
      </w:r>
      <w:r>
        <w:rPr>
          <w:rFonts w:hint="eastAsia" w:ascii="仿宋_GB2312" w:hAnsi="仿宋_GB2312" w:eastAsia="仿宋_GB2312" w:cs="仿宋_GB2312"/>
          <w:color w:val="auto"/>
          <w:spacing w:val="-6"/>
          <w:sz w:val="24"/>
          <w:highlight w:val="none"/>
          <w:lang w:val="en-US" w:eastAsia="zh-CN"/>
        </w:rPr>
        <w:t>6</w:t>
      </w:r>
      <w:r>
        <w:rPr>
          <w:rFonts w:hint="eastAsia" w:ascii="仿宋_GB2312" w:hAnsi="仿宋_GB2312" w:eastAsia="仿宋_GB2312" w:cs="仿宋_GB2312"/>
          <w:color w:val="auto"/>
          <w:spacing w:val="-39"/>
          <w:sz w:val="24"/>
          <w:highlight w:val="none"/>
        </w:rPr>
        <w:t xml:space="preserve"> </w:t>
      </w:r>
      <w:r>
        <w:rPr>
          <w:rFonts w:hint="eastAsia" w:ascii="仿宋_GB2312" w:hAnsi="仿宋_GB2312" w:eastAsia="仿宋_GB2312" w:cs="仿宋_GB2312"/>
          <w:color w:val="auto"/>
          <w:spacing w:val="-6"/>
          <w:sz w:val="24"/>
          <w:highlight w:val="none"/>
        </w:rPr>
        <w:t>年【 】月【</w:t>
      </w:r>
      <w:r>
        <w:rPr>
          <w:rFonts w:hint="eastAsia" w:ascii="仿宋_GB2312" w:hAnsi="仿宋_GB2312" w:eastAsia="仿宋_GB2312" w:cs="仿宋_GB2312"/>
          <w:color w:val="auto"/>
          <w:spacing w:val="34"/>
          <w:sz w:val="24"/>
          <w:highlight w:val="none"/>
        </w:rPr>
        <w:t xml:space="preserve"> </w:t>
      </w:r>
      <w:r>
        <w:rPr>
          <w:rFonts w:hint="eastAsia" w:ascii="仿宋_GB2312" w:hAnsi="仿宋_GB2312" w:eastAsia="仿宋_GB2312" w:cs="仿宋_GB2312"/>
          <w:color w:val="auto"/>
          <w:spacing w:val="-6"/>
          <w:sz w:val="24"/>
          <w:highlight w:val="none"/>
        </w:rPr>
        <w:t>】日。</w:t>
      </w:r>
      <w:r>
        <w:rPr>
          <w:rFonts w:hint="eastAsia" w:ascii="仿宋_GB2312" w:hAnsi="仿宋_GB2312" w:eastAsia="仿宋_GB2312" w:cs="仿宋_GB2312"/>
          <w:color w:val="auto"/>
          <w:sz w:val="24"/>
          <w:highlight w:val="none"/>
        </w:rPr>
        <w:t xml:space="preserve"> 乙方应在本合同签订之日起365日历天内完成全部项目工作内容编制并通过甲方</w:t>
      </w:r>
      <w:r>
        <w:rPr>
          <w:rFonts w:hint="eastAsia" w:ascii="仿宋_GB2312" w:hAnsi="仿宋_GB2312" w:eastAsia="仿宋_GB2312" w:cs="仿宋_GB2312"/>
          <w:color w:val="auto"/>
          <w:spacing w:val="-9"/>
          <w:sz w:val="24"/>
          <w:highlight w:val="none"/>
        </w:rPr>
        <w:t>验收（含前置行政审批，如有</w:t>
      </w:r>
      <w:r>
        <w:rPr>
          <w:rFonts w:hint="eastAsia" w:ascii="仿宋_GB2312" w:hAnsi="仿宋_GB2312" w:eastAsia="仿宋_GB2312" w:cs="仿宋_GB2312"/>
          <w:color w:val="auto"/>
          <w:spacing w:val="4"/>
          <w:sz w:val="24"/>
          <w:highlight w:val="none"/>
        </w:rPr>
        <w:t>），</w:t>
      </w:r>
      <w:r>
        <w:rPr>
          <w:rFonts w:hint="eastAsia" w:ascii="仿宋_GB2312" w:hAnsi="仿宋_GB2312" w:eastAsia="仿宋_GB2312" w:cs="仿宋_GB2312"/>
          <w:color w:val="auto"/>
          <w:spacing w:val="-9"/>
          <w:sz w:val="24"/>
          <w:highlight w:val="none"/>
        </w:rPr>
        <w:t>由甲方出具验收证明。在合同履行过程中，在</w:t>
      </w:r>
      <w:r>
        <w:rPr>
          <w:rFonts w:hint="eastAsia" w:ascii="仿宋_GB2312" w:hAnsi="仿宋_GB2312" w:eastAsia="仿宋_GB2312" w:cs="仿宋_GB2312"/>
          <w:color w:val="auto"/>
          <w:spacing w:val="-3"/>
          <w:sz w:val="24"/>
          <w:highlight w:val="none"/>
        </w:rPr>
        <w:t>必要情况下，经甲方书面同意，可对上述服务期限时</w:t>
      </w:r>
      <w:r>
        <w:rPr>
          <w:rFonts w:hint="eastAsia" w:ascii="仿宋_GB2312" w:hAnsi="仿宋_GB2312" w:eastAsia="仿宋_GB2312" w:cs="仿宋_GB2312"/>
          <w:color w:val="auto"/>
          <w:spacing w:val="-4"/>
          <w:sz w:val="24"/>
          <w:highlight w:val="none"/>
        </w:rPr>
        <w:t>间进行调整，并将最终成果提交日期按照工作进度顺延。</w:t>
      </w:r>
    </w:p>
    <w:p w14:paraId="27F5FACF">
      <w:pPr>
        <w:spacing w:line="560" w:lineRule="exact"/>
        <w:ind w:firstLine="464" w:firstLineChars="200"/>
        <w:rPr>
          <w:rFonts w:hint="eastAsia" w:ascii="仿宋_GB2312" w:hAnsi="仿宋_GB2312" w:eastAsia="仿宋_GB2312" w:cs="仿宋_GB2312"/>
          <w:color w:val="auto"/>
          <w:spacing w:val="-4"/>
          <w:sz w:val="24"/>
          <w:highlight w:val="none"/>
          <w:lang w:val="en-US" w:eastAsia="zh-CN"/>
        </w:rPr>
      </w:pPr>
      <w:r>
        <w:rPr>
          <w:rFonts w:hint="eastAsia" w:ascii="仿宋_GB2312" w:hAnsi="仿宋_GB2312" w:eastAsia="仿宋_GB2312" w:cs="仿宋_GB2312"/>
          <w:color w:val="auto"/>
          <w:spacing w:val="-4"/>
          <w:sz w:val="24"/>
          <w:highlight w:val="none"/>
          <w:lang w:val="en-US" w:eastAsia="zh-CN"/>
        </w:rPr>
        <w:t>具体工作进度以合同签订后甲方下发任务时间为准，其中，控规调整和独立地块单元控规编制单项工作总时长不超过60个工作日（不含政府部门审查审批时间），控规调整项目成果图数审查单项工作总时长不超过15个工作日（不含政府部门审查审批时间）。</w:t>
      </w:r>
    </w:p>
    <w:p w14:paraId="59CDBA47">
      <w:pPr>
        <w:pStyle w:val="8"/>
        <w:spacing w:after="0" w:line="560" w:lineRule="exact"/>
        <w:ind w:left="182" w:right="167"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在合同履行过程中，在必要情况下，经双方协商一致，可对上述工作</w:t>
      </w:r>
      <w:r>
        <w:rPr>
          <w:rFonts w:hint="eastAsia" w:ascii="仿宋_GB2312" w:hAnsi="仿宋_GB2312" w:eastAsia="仿宋_GB2312" w:cs="仿宋_GB2312"/>
          <w:color w:val="auto"/>
          <w:spacing w:val="-4"/>
          <w:sz w:val="24"/>
          <w:highlight w:val="none"/>
          <w:lang w:val="en-US" w:eastAsia="zh-CN"/>
        </w:rPr>
        <w:t>进度</w:t>
      </w:r>
      <w:r>
        <w:rPr>
          <w:rFonts w:hint="eastAsia" w:ascii="仿宋_GB2312" w:hAnsi="仿宋_GB2312" w:eastAsia="仿宋_GB2312" w:cs="仿宋_GB2312"/>
          <w:color w:val="auto"/>
          <w:spacing w:val="-7"/>
          <w:sz w:val="24"/>
          <w:highlight w:val="none"/>
        </w:rPr>
        <w:t>要求进行调整，但不应影响甲方下一步工作的开展。合同履行期间，乙</w:t>
      </w:r>
      <w:r>
        <w:rPr>
          <w:rFonts w:hint="eastAsia" w:ascii="仿宋_GB2312" w:hAnsi="仿宋_GB2312" w:eastAsia="仿宋_GB2312" w:cs="仿宋_GB2312"/>
          <w:color w:val="auto"/>
          <w:spacing w:val="-6"/>
          <w:sz w:val="24"/>
          <w:highlight w:val="none"/>
        </w:rPr>
        <w:t>方应按甲方的要求</w:t>
      </w:r>
      <w:r>
        <w:rPr>
          <w:rFonts w:hint="eastAsia" w:ascii="仿宋_GB2312" w:hAnsi="仿宋_GB2312" w:eastAsia="仿宋_GB2312" w:cs="仿宋_GB2312"/>
          <w:color w:val="auto"/>
          <w:spacing w:val="-6"/>
          <w:sz w:val="24"/>
          <w:highlight w:val="none"/>
          <w:lang w:val="en-US" w:eastAsia="zh-CN"/>
        </w:rPr>
        <w:t>推进</w:t>
      </w:r>
      <w:r>
        <w:rPr>
          <w:rFonts w:hint="eastAsia" w:ascii="仿宋_GB2312" w:hAnsi="仿宋_GB2312" w:eastAsia="仿宋_GB2312" w:cs="仿宋_GB2312"/>
          <w:color w:val="auto"/>
          <w:spacing w:val="-6"/>
          <w:sz w:val="24"/>
          <w:highlight w:val="none"/>
        </w:rPr>
        <w:t>工作。</w:t>
      </w:r>
    </w:p>
    <w:p w14:paraId="324D400E">
      <w:pPr>
        <w:pStyle w:val="8"/>
        <w:spacing w:after="0" w:line="560" w:lineRule="exact"/>
        <w:ind w:left="65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3"/>
          <w:sz w:val="24"/>
          <w:highlight w:val="none"/>
        </w:rPr>
        <w:t>2.3</w:t>
      </w:r>
      <w:r>
        <w:rPr>
          <w:rFonts w:hint="eastAsia" w:ascii="仿宋_GB2312" w:hAnsi="仿宋_GB2312" w:eastAsia="仿宋_GB2312" w:cs="仿宋_GB2312"/>
          <w:color w:val="auto"/>
          <w:spacing w:val="21"/>
          <w:sz w:val="24"/>
          <w:highlight w:val="none"/>
        </w:rPr>
        <w:t xml:space="preserve"> </w:t>
      </w:r>
      <w:r>
        <w:rPr>
          <w:rFonts w:hint="eastAsia" w:ascii="仿宋_GB2312" w:hAnsi="仿宋_GB2312" w:eastAsia="仿宋_GB2312" w:cs="仿宋_GB2312"/>
          <w:color w:val="auto"/>
          <w:spacing w:val="-3"/>
          <w:sz w:val="24"/>
          <w:highlight w:val="none"/>
        </w:rPr>
        <w:t>项目跟进服务</w:t>
      </w:r>
    </w:p>
    <w:p w14:paraId="461BA5CA">
      <w:pPr>
        <w:pStyle w:val="8"/>
        <w:spacing w:after="0" w:line="560" w:lineRule="exact"/>
        <w:ind w:left="182" w:right="167" w:firstLine="47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本项目服务期届满后，乙方提供【6】个月的跟进服务，跟进服务期自本项</w:t>
      </w:r>
      <w:r>
        <w:rPr>
          <w:rFonts w:hint="eastAsia" w:ascii="仿宋_GB2312" w:hAnsi="仿宋_GB2312" w:eastAsia="仿宋_GB2312" w:cs="仿宋_GB2312"/>
          <w:color w:val="auto"/>
          <w:spacing w:val="-7"/>
          <w:sz w:val="24"/>
          <w:highlight w:val="none"/>
        </w:rPr>
        <w:t>目服务期届满日的次日起算。跟进服务期内，乙方须与甲方保持全面沟通，提供</w:t>
      </w:r>
      <w:r>
        <w:rPr>
          <w:rFonts w:hint="eastAsia" w:ascii="仿宋_GB2312" w:hAnsi="仿宋_GB2312" w:eastAsia="仿宋_GB2312" w:cs="仿宋_GB2312"/>
          <w:color w:val="auto"/>
          <w:spacing w:val="-2"/>
          <w:sz w:val="24"/>
          <w:highlight w:val="none"/>
        </w:rPr>
        <w:t>技术服务支持，使甲方能全面理解成果文件，确保成果实施。</w:t>
      </w:r>
    </w:p>
    <w:p w14:paraId="14A25B83">
      <w:pPr>
        <w:pStyle w:val="8"/>
        <w:spacing w:after="0" w:line="560" w:lineRule="exact"/>
        <w:ind w:left="65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2.4</w:t>
      </w:r>
      <w:r>
        <w:rPr>
          <w:rFonts w:hint="eastAsia" w:ascii="仿宋_GB2312" w:hAnsi="仿宋_GB2312" w:eastAsia="仿宋_GB2312" w:cs="仿宋_GB2312"/>
          <w:color w:val="auto"/>
          <w:spacing w:val="25"/>
          <w:sz w:val="24"/>
          <w:highlight w:val="none"/>
        </w:rPr>
        <w:t xml:space="preserve"> </w:t>
      </w:r>
      <w:r>
        <w:rPr>
          <w:rFonts w:hint="eastAsia" w:ascii="仿宋_GB2312" w:hAnsi="仿宋_GB2312" w:eastAsia="仿宋_GB2312" w:cs="仿宋_GB2312"/>
          <w:color w:val="auto"/>
          <w:spacing w:val="-4"/>
          <w:sz w:val="24"/>
          <w:highlight w:val="none"/>
        </w:rPr>
        <w:t>最终成果</w:t>
      </w:r>
    </w:p>
    <w:p w14:paraId="01C8239E">
      <w:pPr>
        <w:pStyle w:val="8"/>
        <w:spacing w:after="0" w:line="560" w:lineRule="exact"/>
        <w:ind w:left="668"/>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最终成果由乙方统一汇总提交，具体如下：</w:t>
      </w:r>
    </w:p>
    <w:p w14:paraId="246C0E03">
      <w:pPr>
        <w:pStyle w:val="8"/>
        <w:spacing w:after="0" w:line="560" w:lineRule="exact"/>
        <w:ind w:left="668"/>
        <w:rPr>
          <w:rFonts w:hint="default" w:ascii="仿宋_GB2312" w:hAnsi="仿宋_GB2312" w:eastAsia="仿宋_GB2312" w:cs="仿宋_GB2312"/>
          <w:color w:val="auto"/>
          <w:spacing w:val="-6"/>
          <w:sz w:val="24"/>
          <w:highlight w:val="none"/>
          <w:lang w:val="en-US" w:eastAsia="zh-CN"/>
        </w:rPr>
      </w:pPr>
      <w:r>
        <w:rPr>
          <w:rFonts w:hint="eastAsia" w:ascii="仿宋_GB2312" w:hAnsi="仿宋_GB2312" w:eastAsia="仿宋_GB2312" w:cs="仿宋_GB2312"/>
          <w:color w:val="auto"/>
          <w:spacing w:val="-6"/>
          <w:sz w:val="24"/>
          <w:highlight w:val="none"/>
        </w:rPr>
        <w:t>（1）江东新区城镇开发边界内控规调整和独立地块单元控规编制</w:t>
      </w:r>
      <w:r>
        <w:rPr>
          <w:rFonts w:hint="eastAsia" w:ascii="仿宋_GB2312" w:hAnsi="仿宋_GB2312" w:eastAsia="仿宋_GB2312" w:cs="仿宋_GB2312"/>
          <w:color w:val="auto"/>
          <w:spacing w:val="-6"/>
          <w:sz w:val="24"/>
          <w:highlight w:val="none"/>
          <w:lang w:val="en-US" w:eastAsia="zh-CN"/>
        </w:rPr>
        <w:t>成果，含方案图纸、图则及文本说明；</w:t>
      </w:r>
    </w:p>
    <w:p w14:paraId="143C5E71">
      <w:pPr>
        <w:pStyle w:val="8"/>
        <w:spacing w:after="0" w:line="560" w:lineRule="exact"/>
        <w:ind w:left="668"/>
        <w:rPr>
          <w:rFonts w:hint="eastAsia" w:ascii="仿宋_GB2312" w:hAnsi="仿宋_GB2312" w:eastAsia="仿宋_GB2312" w:cs="仿宋_GB2312"/>
          <w:color w:val="auto"/>
          <w:spacing w:val="-6"/>
          <w:sz w:val="24"/>
          <w:highlight w:val="none"/>
          <w:lang w:eastAsia="zh-CN"/>
        </w:rPr>
      </w:pPr>
      <w:r>
        <w:rPr>
          <w:rFonts w:hint="eastAsia" w:ascii="仿宋_GB2312" w:hAnsi="仿宋_GB2312" w:eastAsia="仿宋_GB2312" w:cs="仿宋_GB2312"/>
          <w:color w:val="auto"/>
          <w:spacing w:val="-6"/>
          <w:sz w:val="24"/>
          <w:highlight w:val="none"/>
          <w:lang w:eastAsia="zh-CN"/>
        </w:rPr>
        <w:t>（</w:t>
      </w:r>
      <w:r>
        <w:rPr>
          <w:rFonts w:hint="eastAsia" w:ascii="仿宋_GB2312" w:hAnsi="仿宋_GB2312" w:eastAsia="仿宋_GB2312" w:cs="仿宋_GB2312"/>
          <w:color w:val="auto"/>
          <w:spacing w:val="-6"/>
          <w:sz w:val="24"/>
          <w:highlight w:val="none"/>
          <w:lang w:val="en-US" w:eastAsia="zh-CN"/>
        </w:rPr>
        <w:t>2</w:t>
      </w:r>
      <w:r>
        <w:rPr>
          <w:rFonts w:hint="eastAsia" w:ascii="仿宋_GB2312" w:hAnsi="仿宋_GB2312" w:eastAsia="仿宋_GB2312" w:cs="仿宋_GB2312"/>
          <w:color w:val="auto"/>
          <w:spacing w:val="-6"/>
          <w:sz w:val="24"/>
          <w:highlight w:val="none"/>
          <w:lang w:eastAsia="zh-CN"/>
        </w:rPr>
        <w:t>）控规调整项目成果图数审查校核报告。</w:t>
      </w:r>
    </w:p>
    <w:p w14:paraId="14A1C42E">
      <w:pPr>
        <w:pStyle w:val="8"/>
        <w:spacing w:after="0" w:line="560" w:lineRule="exact"/>
        <w:ind w:left="668"/>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（3）以上文件的电子档案格式要求：WORD、JPG、PDF</w:t>
      </w:r>
    </w:p>
    <w:p w14:paraId="0DFABB09">
      <w:pPr>
        <w:pStyle w:val="8"/>
        <w:spacing w:after="0" w:line="560" w:lineRule="exact"/>
        <w:ind w:left="652"/>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2.5 验收标准及方式</w:t>
      </w:r>
    </w:p>
    <w:p w14:paraId="6A6F3478">
      <w:pPr>
        <w:pStyle w:val="8"/>
        <w:spacing w:after="0" w:line="560" w:lineRule="exact"/>
        <w:ind w:left="66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6"/>
          <w:sz w:val="24"/>
          <w:highlight w:val="none"/>
        </w:rPr>
        <w:t>最终成果验收合格的标志为：</w:t>
      </w:r>
    </w:p>
    <w:p w14:paraId="1099A523">
      <w:pPr>
        <w:pStyle w:val="8"/>
        <w:spacing w:after="0" w:line="560" w:lineRule="exact"/>
        <w:ind w:left="180" w:right="164" w:firstLine="51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甲方审查验收（含前置行政审批，如有</w:t>
      </w:r>
      <w:r>
        <w:rPr>
          <w:rFonts w:hint="eastAsia" w:ascii="仿宋_GB2312" w:hAnsi="仿宋_GB2312" w:eastAsia="仿宋_GB2312" w:cs="仿宋_GB2312"/>
          <w:color w:val="auto"/>
          <w:spacing w:val="-12"/>
          <w:sz w:val="24"/>
          <w:highlight w:val="none"/>
        </w:rPr>
        <w:t>），</w:t>
      </w:r>
      <w:r>
        <w:rPr>
          <w:rFonts w:hint="eastAsia" w:ascii="仿宋_GB2312" w:hAnsi="仿宋_GB2312" w:eastAsia="仿宋_GB2312" w:cs="仿宋_GB2312"/>
          <w:color w:val="auto"/>
          <w:spacing w:val="-4"/>
          <w:sz w:val="24"/>
          <w:highlight w:val="none"/>
        </w:rPr>
        <w:t>采用甲方验收方式，由甲方出具</w:t>
      </w:r>
      <w:r>
        <w:rPr>
          <w:rFonts w:hint="eastAsia" w:ascii="仿宋_GB2312" w:hAnsi="仿宋_GB2312" w:eastAsia="仿宋_GB2312" w:cs="仿宋_GB2312"/>
          <w:color w:val="auto"/>
          <w:spacing w:val="-6"/>
          <w:sz w:val="24"/>
          <w:highlight w:val="none"/>
        </w:rPr>
        <w:t>验收合格证明。</w:t>
      </w:r>
    </w:p>
    <w:p w14:paraId="4172BD26">
      <w:pPr>
        <w:pStyle w:val="8"/>
        <w:spacing w:after="0" w:line="560" w:lineRule="exact"/>
        <w:ind w:left="524"/>
        <w:outlineLvl w:val="0"/>
        <w:rPr>
          <w:rFonts w:hint="eastAsia" w:ascii="仿宋_GB2312" w:hAnsi="仿宋_GB2312" w:eastAsia="仿宋_GB2312" w:cs="仿宋_GB2312"/>
          <w:b/>
          <w:bCs/>
          <w:color w:val="auto"/>
          <w:spacing w:val="-6"/>
          <w:sz w:val="24"/>
          <w:highlight w:val="none"/>
        </w:rPr>
      </w:pPr>
      <w:r>
        <w:rPr>
          <w:rFonts w:hint="eastAsia" w:ascii="仿宋_GB2312" w:hAnsi="仿宋_GB2312" w:eastAsia="仿宋_GB2312" w:cs="仿宋_GB2312"/>
          <w:b/>
          <w:bCs/>
          <w:color w:val="auto"/>
          <w:spacing w:val="-6"/>
          <w:sz w:val="24"/>
          <w:highlight w:val="none"/>
        </w:rPr>
        <w:t>第三条 合同价款及支付方式</w:t>
      </w:r>
    </w:p>
    <w:p w14:paraId="20D2145A">
      <w:pPr>
        <w:pStyle w:val="8"/>
        <w:spacing w:after="0" w:line="560" w:lineRule="exact"/>
        <w:ind w:left="32" w:right="118" w:firstLine="47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8"/>
          <w:sz w:val="24"/>
          <w:highlight w:val="none"/>
        </w:rPr>
        <w:t>3.1 本合同含税金额为人民币（大写</w:t>
      </w:r>
      <w:r>
        <w:rPr>
          <w:rFonts w:hint="eastAsia" w:ascii="仿宋_GB2312" w:hAnsi="仿宋_GB2312" w:eastAsia="仿宋_GB2312" w:cs="仿宋_GB2312"/>
          <w:color w:val="auto"/>
          <w:spacing w:val="-44"/>
          <w:w w:val="64"/>
          <w:sz w:val="24"/>
          <w:highlight w:val="none"/>
        </w:rPr>
        <w:t>）：</w:t>
      </w:r>
      <w:r>
        <w:rPr>
          <w:rFonts w:hint="eastAsia" w:ascii="仿宋_GB2312" w:hAnsi="仿宋_GB2312" w:eastAsia="仿宋_GB2312" w:cs="仿宋_GB2312"/>
          <w:color w:val="auto"/>
          <w:spacing w:val="-8"/>
          <w:sz w:val="24"/>
          <w:highlight w:val="none"/>
        </w:rPr>
        <w:t xml:space="preserve">【 】(¥【 </w:t>
      </w:r>
      <w:r>
        <w:rPr>
          <w:rFonts w:hint="eastAsia" w:ascii="仿宋_GB2312" w:hAnsi="仿宋_GB2312" w:eastAsia="仿宋_GB2312" w:cs="仿宋_GB2312"/>
          <w:color w:val="auto"/>
          <w:spacing w:val="-7"/>
          <w:sz w:val="24"/>
          <w:highlight w:val="none"/>
        </w:rPr>
        <w:t>】</w:t>
      </w:r>
      <w:r>
        <w:rPr>
          <w:rFonts w:hint="eastAsia" w:ascii="仿宋_GB2312" w:hAnsi="仿宋_GB2312" w:eastAsia="仿宋_GB2312" w:cs="仿宋_GB2312"/>
          <w:color w:val="auto"/>
          <w:spacing w:val="-15"/>
          <w:sz w:val="24"/>
          <w:highlight w:val="none"/>
        </w:rPr>
        <w:t>），</w:t>
      </w:r>
      <w:r>
        <w:rPr>
          <w:rFonts w:hint="eastAsia" w:ascii="仿宋_GB2312" w:hAnsi="仿宋_GB2312" w:eastAsia="仿宋_GB2312" w:cs="仿宋_GB2312"/>
          <w:color w:val="auto"/>
          <w:spacing w:val="-7"/>
          <w:sz w:val="24"/>
          <w:highlight w:val="none"/>
        </w:rPr>
        <w:t>其中，不含税价人民币（大写</w:t>
      </w:r>
      <w:r>
        <w:rPr>
          <w:rFonts w:hint="eastAsia" w:ascii="仿宋_GB2312" w:hAnsi="仿宋_GB2312" w:eastAsia="仿宋_GB2312" w:cs="仿宋_GB2312"/>
          <w:color w:val="auto"/>
          <w:spacing w:val="-15"/>
          <w:sz w:val="24"/>
          <w:highlight w:val="none"/>
        </w:rPr>
        <w:t>）：</w:t>
      </w:r>
      <w:r>
        <w:rPr>
          <w:rFonts w:hint="eastAsia" w:ascii="仿宋_GB2312" w:hAnsi="仿宋_GB2312" w:eastAsia="仿宋_GB2312" w:cs="仿宋_GB2312"/>
          <w:color w:val="auto"/>
          <w:spacing w:val="-7"/>
          <w:sz w:val="24"/>
          <w:highlight w:val="none"/>
        </w:rPr>
        <w:t xml:space="preserve">【 </w:t>
      </w:r>
      <w:r>
        <w:rPr>
          <w:rFonts w:hint="eastAsia" w:ascii="仿宋_GB2312" w:hAnsi="仿宋_GB2312" w:eastAsia="仿宋_GB2312" w:cs="仿宋_GB2312"/>
          <w:color w:val="auto"/>
          <w:spacing w:val="-2"/>
          <w:sz w:val="24"/>
          <w:highlight w:val="none"/>
        </w:rPr>
        <w:t>】(¥  【 】</w:t>
      </w:r>
      <w:r>
        <w:rPr>
          <w:rFonts w:hint="eastAsia" w:ascii="仿宋_GB2312" w:hAnsi="仿宋_GB2312" w:eastAsia="仿宋_GB2312" w:cs="仿宋_GB2312"/>
          <w:color w:val="auto"/>
          <w:spacing w:val="-14"/>
          <w:sz w:val="24"/>
          <w:highlight w:val="none"/>
        </w:rPr>
        <w:t>），</w:t>
      </w:r>
      <w:r>
        <w:rPr>
          <w:rFonts w:hint="eastAsia" w:ascii="仿宋_GB2312" w:hAnsi="仿宋_GB2312" w:eastAsia="仿宋_GB2312" w:cs="仿宋_GB2312"/>
          <w:color w:val="auto"/>
          <w:spacing w:val="-2"/>
          <w:sz w:val="24"/>
          <w:highlight w:val="none"/>
        </w:rPr>
        <w:t>增值税为人民币（大写）:【</w:t>
      </w:r>
      <w:r>
        <w:rPr>
          <w:rFonts w:hint="eastAsia" w:ascii="仿宋_GB2312" w:hAnsi="仿宋_GB2312" w:eastAsia="仿宋_GB2312" w:cs="仿宋_GB2312"/>
          <w:color w:val="auto"/>
          <w:spacing w:val="3"/>
          <w:sz w:val="24"/>
          <w:highlight w:val="none"/>
        </w:rPr>
        <w:t>】(¥  【】</w:t>
      </w:r>
      <w:r>
        <w:rPr>
          <w:rFonts w:hint="eastAsia" w:ascii="仿宋_GB2312" w:hAnsi="仿宋_GB2312" w:eastAsia="仿宋_GB2312" w:cs="仿宋_GB2312"/>
          <w:color w:val="auto"/>
          <w:spacing w:val="-3"/>
          <w:sz w:val="24"/>
          <w:highlight w:val="none"/>
        </w:rPr>
        <w:t>），</w:t>
      </w:r>
      <w:r>
        <w:rPr>
          <w:rFonts w:hint="eastAsia" w:ascii="仿宋_GB2312" w:hAnsi="仿宋_GB2312" w:eastAsia="仿宋_GB2312" w:cs="仿宋_GB2312"/>
          <w:color w:val="auto"/>
          <w:spacing w:val="3"/>
          <w:sz w:val="24"/>
          <w:highlight w:val="none"/>
        </w:rPr>
        <w:t>增值税税率为【6</w:t>
      </w:r>
      <w:r>
        <w:rPr>
          <w:rFonts w:hint="eastAsia" w:ascii="仿宋_GB2312" w:hAnsi="仿宋_GB2312" w:eastAsia="仿宋_GB2312" w:cs="仿宋_GB2312"/>
          <w:color w:val="auto"/>
          <w:spacing w:val="2"/>
          <w:sz w:val="24"/>
          <w:highlight w:val="none"/>
        </w:rPr>
        <w:t>】%。如果</w:t>
      </w:r>
      <w:r>
        <w:rPr>
          <w:rFonts w:hint="eastAsia" w:ascii="仿宋_GB2312" w:hAnsi="仿宋_GB2312" w:eastAsia="仿宋_GB2312" w:cs="仿宋_GB2312"/>
          <w:color w:val="auto"/>
          <w:spacing w:val="-4"/>
          <w:sz w:val="24"/>
          <w:highlight w:val="none"/>
        </w:rPr>
        <w:t>因国家税法相关规定增值税税率变动，本合同含税金额不变（不含税价和增值税</w:t>
      </w:r>
      <w:r>
        <w:rPr>
          <w:rFonts w:hint="eastAsia" w:ascii="仿宋_GB2312" w:hAnsi="仿宋_GB2312" w:eastAsia="仿宋_GB2312" w:cs="仿宋_GB2312"/>
          <w:color w:val="auto"/>
          <w:spacing w:val="-3"/>
          <w:sz w:val="24"/>
          <w:highlight w:val="none"/>
        </w:rPr>
        <w:t>予以相应调整</w:t>
      </w:r>
      <w:r>
        <w:rPr>
          <w:rFonts w:hint="eastAsia" w:ascii="仿宋_GB2312" w:hAnsi="仿宋_GB2312" w:eastAsia="仿宋_GB2312" w:cs="仿宋_GB2312"/>
          <w:color w:val="auto"/>
          <w:spacing w:val="4"/>
          <w:sz w:val="24"/>
          <w:highlight w:val="none"/>
        </w:rPr>
        <w:t>），</w:t>
      </w:r>
      <w:r>
        <w:rPr>
          <w:rFonts w:hint="eastAsia" w:ascii="仿宋_GB2312" w:hAnsi="仿宋_GB2312" w:eastAsia="仿宋_GB2312" w:cs="仿宋_GB2312"/>
          <w:color w:val="auto"/>
          <w:spacing w:val="-3"/>
          <w:sz w:val="24"/>
          <w:highlight w:val="none"/>
        </w:rPr>
        <w:t>并按含税金额作为付款依据。</w:t>
      </w:r>
    </w:p>
    <w:p w14:paraId="4A6CB2A4">
      <w:pPr>
        <w:pStyle w:val="8"/>
        <w:spacing w:after="0" w:line="560" w:lineRule="exact"/>
        <w:ind w:left="30" w:right="48" w:firstLine="482"/>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4"/>
          <w:sz w:val="24"/>
          <w:highlight w:val="none"/>
        </w:rPr>
        <w:t>上述价款已包括履行本合同义务的成果编制、装订、调研、管理、税费、专</w:t>
      </w:r>
      <w:r>
        <w:rPr>
          <w:rFonts w:hint="eastAsia" w:ascii="仿宋_GB2312" w:hAnsi="仿宋_GB2312" w:eastAsia="仿宋_GB2312" w:cs="仿宋_GB2312"/>
          <w:color w:val="auto"/>
          <w:spacing w:val="-8"/>
          <w:sz w:val="24"/>
          <w:highlight w:val="none"/>
        </w:rPr>
        <w:t>家咨询费（含会议费、专家费用）等乙方为完成本合同项下服务所需的全部费用，</w:t>
      </w:r>
      <w:r>
        <w:rPr>
          <w:rFonts w:hint="eastAsia" w:ascii="仿宋_GB2312" w:hAnsi="仿宋_GB2312" w:eastAsia="仿宋_GB2312" w:cs="仿宋_GB2312"/>
          <w:color w:val="auto"/>
          <w:spacing w:val="4"/>
          <w:sz w:val="24"/>
          <w:highlight w:val="none"/>
        </w:rPr>
        <w:t xml:space="preserve"> </w:t>
      </w:r>
      <w:r>
        <w:rPr>
          <w:rFonts w:hint="eastAsia" w:ascii="仿宋_GB2312" w:hAnsi="仿宋_GB2312" w:eastAsia="仿宋_GB2312" w:cs="仿宋_GB2312"/>
          <w:color w:val="auto"/>
          <w:spacing w:val="-3"/>
          <w:sz w:val="24"/>
          <w:highlight w:val="none"/>
        </w:rPr>
        <w:t>在合同实施期间，除另签订补充合同外，乙方不得以</w:t>
      </w:r>
      <w:r>
        <w:rPr>
          <w:rFonts w:hint="eastAsia" w:ascii="仿宋_GB2312" w:hAnsi="仿宋_GB2312" w:eastAsia="仿宋_GB2312" w:cs="仿宋_GB2312"/>
          <w:color w:val="auto"/>
          <w:spacing w:val="-4"/>
          <w:sz w:val="24"/>
          <w:highlight w:val="none"/>
        </w:rPr>
        <w:t>任何理由、任何名目提出增</w:t>
      </w:r>
      <w:r>
        <w:rPr>
          <w:rFonts w:hint="eastAsia" w:ascii="仿宋_GB2312" w:hAnsi="仿宋_GB2312" w:eastAsia="仿宋_GB2312" w:cs="仿宋_GB2312"/>
          <w:color w:val="auto"/>
          <w:spacing w:val="-6"/>
          <w:sz w:val="24"/>
          <w:highlight w:val="none"/>
        </w:rPr>
        <w:t>加费用的要求。</w:t>
      </w:r>
    </w:p>
    <w:p w14:paraId="74B888CD">
      <w:pPr>
        <w:pStyle w:val="8"/>
        <w:spacing w:after="0" w:line="560" w:lineRule="exact"/>
        <w:ind w:left="30" w:right="48" w:firstLine="482"/>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lang w:val="en-US" w:eastAsia="zh-CN"/>
        </w:rPr>
        <w:t>每次付款前，乙方须提供等额合规发票，否则甲方有权不支付合同款项。甲方出现财务审批延误或政府封账等特殊情况无法及时支付费用，付款可顺延，不视为甲方违约。</w:t>
      </w:r>
    </w:p>
    <w:p w14:paraId="7C607B25">
      <w:pPr>
        <w:pStyle w:val="8"/>
        <w:spacing w:after="0" w:line="560" w:lineRule="exact"/>
        <w:ind w:left="50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9"/>
          <w:sz w:val="24"/>
          <w:highlight w:val="none"/>
        </w:rPr>
        <w:t>3.2</w:t>
      </w:r>
      <w:r>
        <w:rPr>
          <w:rFonts w:hint="eastAsia" w:ascii="仿宋_GB2312" w:hAnsi="仿宋_GB2312" w:eastAsia="仿宋_GB2312" w:cs="仿宋_GB2312"/>
          <w:color w:val="auto"/>
          <w:spacing w:val="18"/>
          <w:sz w:val="24"/>
          <w:highlight w:val="none"/>
        </w:rPr>
        <w:t xml:space="preserve"> </w:t>
      </w:r>
      <w:r>
        <w:rPr>
          <w:rFonts w:hint="eastAsia" w:ascii="仿宋_GB2312" w:hAnsi="仿宋_GB2312" w:eastAsia="仿宋_GB2312" w:cs="仿宋_GB2312"/>
          <w:color w:val="auto"/>
          <w:spacing w:val="-9"/>
          <w:sz w:val="24"/>
          <w:highlight w:val="none"/>
        </w:rPr>
        <w:t>付款方式：</w:t>
      </w:r>
    </w:p>
    <w:p w14:paraId="28BEAAC4">
      <w:pPr>
        <w:pStyle w:val="8"/>
        <w:spacing w:after="0" w:line="560" w:lineRule="exact"/>
        <w:ind w:left="30" w:right="48" w:firstLine="482"/>
        <w:rPr>
          <w:rFonts w:hint="default" w:ascii="仿宋_GB2312" w:hAnsi="仿宋_GB2312" w:eastAsia="仿宋_GB2312" w:cs="仿宋_GB2312"/>
          <w:color w:val="auto"/>
          <w:spacing w:val="-6"/>
          <w:sz w:val="24"/>
          <w:highlight w:val="none"/>
          <w:lang w:val="en-US" w:eastAsia="zh-CN"/>
        </w:rPr>
      </w:pPr>
      <w:r>
        <w:rPr>
          <w:rFonts w:hint="eastAsia" w:ascii="仿宋_GB2312" w:hAnsi="仿宋_GB2312" w:eastAsia="仿宋_GB2312" w:cs="仿宋_GB2312"/>
          <w:color w:val="auto"/>
          <w:spacing w:val="-6"/>
          <w:sz w:val="24"/>
          <w:highlight w:val="none"/>
          <w:lang w:val="en-US" w:eastAsia="zh-CN"/>
        </w:rPr>
        <w:t>价款支付方式由甲方与乙方协商，按完成比例分批次支付至乙方指定银行账户，具体批次不超过4次。本合同签订后，乙方按完成具体项目数量计算付款比例和应支付合同金额，并提供相应佐证材料，</w:t>
      </w:r>
      <w:r>
        <w:rPr>
          <w:rFonts w:hint="eastAsia" w:ascii="仿宋_GB2312" w:hAnsi="仿宋_GB2312" w:eastAsia="仿宋_GB2312" w:cs="仿宋_GB2312"/>
          <w:color w:val="auto"/>
          <w:spacing w:val="-5"/>
          <w:sz w:val="24"/>
          <w:highlight w:val="none"/>
        </w:rPr>
        <w:t>乙方向甲方提出付款申请后15</w:t>
      </w:r>
      <w:r>
        <w:rPr>
          <w:rFonts w:hint="eastAsia" w:ascii="仿宋_GB2312" w:hAnsi="仿宋_GB2312" w:eastAsia="仿宋_GB2312" w:cs="仿宋_GB2312"/>
          <w:color w:val="auto"/>
          <w:spacing w:val="-43"/>
          <w:sz w:val="24"/>
          <w:highlight w:val="none"/>
        </w:rPr>
        <w:t xml:space="preserve"> </w:t>
      </w:r>
      <w:r>
        <w:rPr>
          <w:rFonts w:hint="eastAsia" w:ascii="仿宋_GB2312" w:hAnsi="仿宋_GB2312" w:eastAsia="仿宋_GB2312" w:cs="仿宋_GB2312"/>
          <w:color w:val="auto"/>
          <w:spacing w:val="-5"/>
          <w:sz w:val="24"/>
          <w:highlight w:val="none"/>
        </w:rPr>
        <w:t>个工作日内</w:t>
      </w:r>
      <w:r>
        <w:rPr>
          <w:rFonts w:hint="eastAsia" w:ascii="仿宋_GB2312" w:hAnsi="仿宋_GB2312" w:eastAsia="仿宋_GB2312" w:cs="仿宋_GB2312"/>
          <w:color w:val="auto"/>
          <w:spacing w:val="-5"/>
          <w:sz w:val="24"/>
          <w:highlight w:val="none"/>
          <w:lang w:eastAsia="zh-CN"/>
        </w:rPr>
        <w:t>，</w:t>
      </w:r>
      <w:r>
        <w:rPr>
          <w:rFonts w:hint="eastAsia" w:ascii="仿宋_GB2312" w:hAnsi="仿宋_GB2312" w:eastAsia="仿宋_GB2312" w:cs="仿宋_GB2312"/>
          <w:color w:val="auto"/>
          <w:spacing w:val="-5"/>
          <w:sz w:val="24"/>
          <w:highlight w:val="none"/>
          <w:lang w:val="en-US" w:eastAsia="zh-CN"/>
        </w:rPr>
        <w:t>经</w:t>
      </w:r>
      <w:r>
        <w:rPr>
          <w:rFonts w:hint="eastAsia" w:ascii="仿宋_GB2312" w:hAnsi="仿宋_GB2312" w:eastAsia="仿宋_GB2312" w:cs="仿宋_GB2312"/>
          <w:color w:val="auto"/>
          <w:spacing w:val="-5"/>
          <w:sz w:val="24"/>
          <w:highlight w:val="none"/>
        </w:rPr>
        <w:t>甲方</w:t>
      </w:r>
      <w:r>
        <w:rPr>
          <w:rFonts w:hint="eastAsia" w:ascii="仿宋_GB2312" w:hAnsi="仿宋_GB2312" w:eastAsia="仿宋_GB2312" w:cs="仿宋_GB2312"/>
          <w:color w:val="auto"/>
          <w:spacing w:val="-5"/>
          <w:sz w:val="24"/>
          <w:highlight w:val="none"/>
          <w:lang w:val="en-US" w:eastAsia="zh-CN"/>
        </w:rPr>
        <w:t>复核材料无误，由甲方</w:t>
      </w:r>
      <w:r>
        <w:rPr>
          <w:rFonts w:hint="eastAsia" w:ascii="仿宋_GB2312" w:hAnsi="仿宋_GB2312" w:eastAsia="仿宋_GB2312" w:cs="仿宋_GB2312"/>
          <w:color w:val="auto"/>
          <w:spacing w:val="2"/>
          <w:sz w:val="24"/>
          <w:highlight w:val="none"/>
        </w:rPr>
        <w:t>向乙方支付</w:t>
      </w:r>
      <w:r>
        <w:rPr>
          <w:rFonts w:hint="eastAsia" w:ascii="仿宋_GB2312" w:hAnsi="仿宋_GB2312" w:eastAsia="仿宋_GB2312" w:cs="仿宋_GB2312"/>
          <w:color w:val="auto"/>
          <w:spacing w:val="2"/>
          <w:sz w:val="24"/>
          <w:highlight w:val="none"/>
          <w:lang w:val="en-US" w:eastAsia="zh-CN"/>
        </w:rPr>
        <w:t>相应金额（</w:t>
      </w:r>
      <w:r>
        <w:rPr>
          <w:rFonts w:hint="eastAsia" w:ascii="仿宋_GB2312" w:hAnsi="仿宋_GB2312" w:eastAsia="仿宋_GB2312" w:cs="仿宋_GB2312"/>
          <w:color w:val="auto"/>
          <w:spacing w:val="2"/>
          <w:sz w:val="24"/>
          <w:highlight w:val="none"/>
        </w:rPr>
        <w:t>含税</w:t>
      </w:r>
      <w:r>
        <w:rPr>
          <w:rFonts w:hint="eastAsia" w:ascii="仿宋_GB2312" w:hAnsi="仿宋_GB2312" w:eastAsia="仿宋_GB2312" w:cs="仿宋_GB2312"/>
          <w:color w:val="auto"/>
          <w:spacing w:val="2"/>
          <w:sz w:val="24"/>
          <w:highlight w:val="none"/>
          <w:lang w:val="en-US" w:eastAsia="zh-CN"/>
        </w:rPr>
        <w:t>)。</w:t>
      </w:r>
    </w:p>
    <w:p w14:paraId="54E5B40F">
      <w:pPr>
        <w:pStyle w:val="8"/>
        <w:spacing w:after="0" w:line="560" w:lineRule="exact"/>
        <w:ind w:left="524"/>
        <w:outlineLvl w:val="0"/>
        <w:rPr>
          <w:rFonts w:hint="eastAsia" w:ascii="仿宋_GB2312" w:hAnsi="仿宋_GB2312" w:eastAsia="仿宋_GB2312" w:cs="仿宋_GB2312"/>
          <w:b/>
          <w:bCs/>
          <w:color w:val="auto"/>
          <w:spacing w:val="-6"/>
          <w:sz w:val="24"/>
          <w:highlight w:val="none"/>
        </w:rPr>
      </w:pPr>
      <w:r>
        <w:rPr>
          <w:rFonts w:hint="eastAsia" w:ascii="仿宋_GB2312" w:hAnsi="仿宋_GB2312" w:eastAsia="仿宋_GB2312" w:cs="仿宋_GB2312"/>
          <w:b/>
          <w:bCs/>
          <w:color w:val="auto"/>
          <w:spacing w:val="-6"/>
          <w:sz w:val="24"/>
          <w:highlight w:val="none"/>
        </w:rPr>
        <w:t>第四条 双方的权利和义务</w:t>
      </w:r>
    </w:p>
    <w:p w14:paraId="6F0F1C36">
      <w:pPr>
        <w:pStyle w:val="8"/>
        <w:spacing w:after="0" w:line="560" w:lineRule="exact"/>
        <w:ind w:left="505"/>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4.1</w:t>
      </w:r>
      <w:r>
        <w:rPr>
          <w:rFonts w:hint="eastAsia" w:ascii="仿宋_GB2312" w:hAnsi="仿宋_GB2312" w:eastAsia="仿宋_GB2312" w:cs="仿宋_GB2312"/>
          <w:color w:val="auto"/>
          <w:spacing w:val="49"/>
          <w:sz w:val="24"/>
          <w:highlight w:val="none"/>
        </w:rPr>
        <w:t xml:space="preserve"> </w:t>
      </w:r>
      <w:r>
        <w:rPr>
          <w:rFonts w:hint="eastAsia" w:ascii="仿宋_GB2312" w:hAnsi="仿宋_GB2312" w:eastAsia="仿宋_GB2312" w:cs="仿宋_GB2312"/>
          <w:color w:val="auto"/>
          <w:spacing w:val="-5"/>
          <w:sz w:val="24"/>
          <w:highlight w:val="none"/>
        </w:rPr>
        <w:t>甲方的权利与义务</w:t>
      </w:r>
    </w:p>
    <w:p w14:paraId="73F46738">
      <w:pPr>
        <w:pStyle w:val="8"/>
        <w:spacing w:after="0" w:line="560" w:lineRule="exact"/>
        <w:ind w:left="53" w:right="15" w:firstLine="45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（1）甲方有权向乙方询问项目工作进展及相关情况，并要求乙方在指定时</w:t>
      </w:r>
      <w:r>
        <w:rPr>
          <w:rFonts w:hint="eastAsia" w:ascii="仿宋_GB2312" w:hAnsi="仿宋_GB2312" w:eastAsia="仿宋_GB2312" w:cs="仿宋_GB2312"/>
          <w:color w:val="auto"/>
          <w:spacing w:val="-9"/>
          <w:sz w:val="24"/>
          <w:highlight w:val="none"/>
        </w:rPr>
        <w:t>间内做出答复。</w:t>
      </w:r>
    </w:p>
    <w:p w14:paraId="208FA642">
      <w:pPr>
        <w:pStyle w:val="8"/>
        <w:spacing w:after="0" w:line="560" w:lineRule="exact"/>
        <w:ind w:left="50" w:right="33" w:firstLine="4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（2）甲方有权对乙方提交的成果等相关文件进行</w:t>
      </w:r>
      <w:r>
        <w:rPr>
          <w:rFonts w:hint="eastAsia" w:ascii="仿宋_GB2312" w:hAnsi="仿宋_GB2312" w:eastAsia="仿宋_GB2312" w:cs="仿宋_GB2312"/>
          <w:color w:val="auto"/>
          <w:spacing w:val="-7"/>
          <w:sz w:val="24"/>
          <w:highlight w:val="none"/>
        </w:rPr>
        <w:t>审核并提出修改意见。</w:t>
      </w:r>
    </w:p>
    <w:p w14:paraId="1276AD02">
      <w:pPr>
        <w:pStyle w:val="8"/>
        <w:spacing w:after="0" w:line="560" w:lineRule="exact"/>
        <w:ind w:left="34"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（3）如乙方工作人员未按照本合同要求履行职责，甲方有权要求乙方限期</w:t>
      </w:r>
      <w:r>
        <w:rPr>
          <w:rFonts w:hint="eastAsia" w:ascii="仿宋_GB2312" w:hAnsi="仿宋_GB2312" w:eastAsia="仿宋_GB2312" w:cs="仿宋_GB2312"/>
          <w:color w:val="auto"/>
          <w:spacing w:val="-3"/>
          <w:sz w:val="24"/>
          <w:highlight w:val="none"/>
        </w:rPr>
        <w:t>更换人员并按本合同要求履行职责。</w:t>
      </w:r>
    </w:p>
    <w:p w14:paraId="5356449C">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（4）甲方对乙方在委托权限范围内完成委托事项负有指导、监督责任。</w:t>
      </w:r>
    </w:p>
    <w:p w14:paraId="68B2520F">
      <w:pPr>
        <w:pStyle w:val="8"/>
        <w:spacing w:after="0" w:line="560" w:lineRule="exact"/>
        <w:ind w:left="31" w:firstLine="47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（5）甲方应配合乙方的工作，</w:t>
      </w:r>
      <w:r>
        <w:rPr>
          <w:rFonts w:hint="eastAsia" w:ascii="仿宋_GB2312" w:hAnsi="仿宋_GB2312" w:eastAsia="仿宋_GB2312" w:cs="仿宋_GB2312"/>
          <w:color w:val="auto"/>
          <w:sz w:val="24"/>
          <w:highlight w:val="none"/>
        </w:rPr>
        <w:t>并</w:t>
      </w:r>
      <w:r>
        <w:rPr>
          <w:rFonts w:hint="eastAsia" w:ascii="仿宋_GB2312" w:hAnsi="仿宋_GB2312" w:eastAsia="仿宋_GB2312" w:cs="仿宋_GB2312"/>
          <w:color w:val="auto"/>
          <w:spacing w:val="-3"/>
          <w:sz w:val="24"/>
          <w:highlight w:val="none"/>
        </w:rPr>
        <w:t>在合同签订</w:t>
      </w:r>
      <w:r>
        <w:rPr>
          <w:rFonts w:hint="eastAsia" w:ascii="仿宋_GB2312" w:hAnsi="仿宋_GB2312" w:eastAsia="仿宋_GB2312" w:cs="仿宋_GB2312"/>
          <w:color w:val="auto"/>
          <w:spacing w:val="-3"/>
          <w:sz w:val="24"/>
          <w:highlight w:val="none"/>
          <w:lang w:eastAsia="zh-CN"/>
        </w:rPr>
        <w:t>、</w:t>
      </w:r>
      <w:r>
        <w:rPr>
          <w:rFonts w:hint="eastAsia" w:ascii="仿宋_GB2312" w:hAnsi="仿宋_GB2312" w:eastAsia="仿宋_GB2312" w:cs="仿宋_GB2312"/>
          <w:color w:val="auto"/>
          <w:spacing w:val="-3"/>
          <w:sz w:val="24"/>
          <w:highlight w:val="none"/>
          <w:lang w:val="en-US" w:eastAsia="zh-CN"/>
        </w:rPr>
        <w:t>下发各项工作任务</w:t>
      </w:r>
      <w:r>
        <w:rPr>
          <w:rFonts w:hint="eastAsia" w:ascii="仿宋_GB2312" w:hAnsi="仿宋_GB2312" w:eastAsia="仿宋_GB2312" w:cs="仿宋_GB2312"/>
          <w:color w:val="auto"/>
          <w:spacing w:val="-3"/>
          <w:sz w:val="24"/>
          <w:highlight w:val="none"/>
        </w:rPr>
        <w:t>十五日内提交</w:t>
      </w:r>
      <w:r>
        <w:rPr>
          <w:rFonts w:hint="eastAsia" w:ascii="仿宋_GB2312" w:hAnsi="仿宋_GB2312" w:eastAsia="仿宋_GB2312" w:cs="仿宋_GB2312"/>
          <w:color w:val="auto"/>
          <w:spacing w:val="-4"/>
          <w:sz w:val="24"/>
          <w:highlight w:val="none"/>
          <w:lang w:val="en-US" w:eastAsia="zh-CN"/>
        </w:rPr>
        <w:t>相关</w:t>
      </w:r>
      <w:r>
        <w:rPr>
          <w:rFonts w:hint="eastAsia" w:ascii="仿宋_GB2312" w:hAnsi="仿宋_GB2312" w:eastAsia="仿宋_GB2312" w:cs="仿宋_GB2312"/>
          <w:color w:val="auto"/>
          <w:spacing w:val="-4"/>
          <w:sz w:val="24"/>
          <w:highlight w:val="none"/>
        </w:rPr>
        <w:t>资料及文件，并对其完整</w:t>
      </w:r>
      <w:r>
        <w:rPr>
          <w:rFonts w:hint="eastAsia" w:ascii="仿宋_GB2312" w:hAnsi="仿宋_GB2312" w:eastAsia="仿宋_GB2312" w:cs="仿宋_GB2312"/>
          <w:color w:val="auto"/>
          <w:spacing w:val="-1"/>
          <w:sz w:val="24"/>
          <w:highlight w:val="none"/>
        </w:rPr>
        <w:t>性、正确性及时限性负责。</w:t>
      </w:r>
    </w:p>
    <w:p w14:paraId="53CB5154">
      <w:pPr>
        <w:pStyle w:val="8"/>
        <w:spacing w:after="0" w:line="560" w:lineRule="exact"/>
        <w:ind w:left="30" w:right="6"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（6）甲方不得要求乙方违反国家和地方的法律法规及相关技术标准、规范、</w:t>
      </w:r>
      <w:r>
        <w:rPr>
          <w:rFonts w:hint="eastAsia" w:ascii="仿宋_GB2312" w:hAnsi="仿宋_GB2312" w:eastAsia="仿宋_GB2312" w:cs="仿宋_GB2312"/>
          <w:color w:val="auto"/>
          <w:spacing w:val="-4"/>
          <w:sz w:val="24"/>
          <w:highlight w:val="none"/>
        </w:rPr>
        <w:t>规定等进行规划设计工作。</w:t>
      </w:r>
    </w:p>
    <w:p w14:paraId="31654F61">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（7）甲方应按照本合同的约定向乙方支付服务费用。</w:t>
      </w:r>
    </w:p>
    <w:p w14:paraId="58A15423">
      <w:pPr>
        <w:pStyle w:val="8"/>
        <w:spacing w:after="0" w:line="560" w:lineRule="exact"/>
        <w:ind w:left="32" w:right="116" w:firstLine="47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（8）甲方应当协助乙方与外部关系的协调工作（包括但不限于当地政府主管</w:t>
      </w:r>
      <w:r>
        <w:rPr>
          <w:rFonts w:hint="eastAsia" w:ascii="仿宋_GB2312" w:hAnsi="仿宋_GB2312" w:eastAsia="仿宋_GB2312" w:cs="仿宋_GB2312"/>
          <w:color w:val="auto"/>
          <w:spacing w:val="-2"/>
          <w:sz w:val="24"/>
          <w:highlight w:val="none"/>
        </w:rPr>
        <w:t>部门、行业协会、相关企业等</w:t>
      </w:r>
      <w:r>
        <w:rPr>
          <w:rFonts w:hint="eastAsia" w:ascii="仿宋_GB2312" w:hAnsi="仿宋_GB2312" w:eastAsia="仿宋_GB2312" w:cs="仿宋_GB2312"/>
          <w:color w:val="auto"/>
          <w:spacing w:val="5"/>
          <w:sz w:val="24"/>
          <w:highlight w:val="none"/>
        </w:rPr>
        <w:t>），</w:t>
      </w:r>
      <w:r>
        <w:rPr>
          <w:rFonts w:hint="eastAsia" w:ascii="仿宋_GB2312" w:hAnsi="仿宋_GB2312" w:eastAsia="仿宋_GB2312" w:cs="仿宋_GB2312"/>
          <w:color w:val="auto"/>
          <w:spacing w:val="-2"/>
          <w:sz w:val="24"/>
          <w:highlight w:val="none"/>
        </w:rPr>
        <w:t>为乙方履行合同提供必要的外部条件。</w:t>
      </w:r>
    </w:p>
    <w:p w14:paraId="25886454">
      <w:pPr>
        <w:pStyle w:val="8"/>
        <w:spacing w:after="0" w:line="560" w:lineRule="exact"/>
        <w:ind w:left="505"/>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4.2</w:t>
      </w:r>
      <w:r>
        <w:rPr>
          <w:rFonts w:hint="eastAsia" w:ascii="仿宋_GB2312" w:hAnsi="仿宋_GB2312" w:eastAsia="仿宋_GB2312" w:cs="仿宋_GB2312"/>
          <w:color w:val="auto"/>
          <w:spacing w:val="36"/>
          <w:sz w:val="24"/>
          <w:highlight w:val="none"/>
        </w:rPr>
        <w:t xml:space="preserve"> </w:t>
      </w:r>
      <w:r>
        <w:rPr>
          <w:rFonts w:hint="eastAsia" w:ascii="仿宋_GB2312" w:hAnsi="仿宋_GB2312" w:eastAsia="仿宋_GB2312" w:cs="仿宋_GB2312"/>
          <w:color w:val="auto"/>
          <w:spacing w:val="-4"/>
          <w:sz w:val="24"/>
          <w:highlight w:val="none"/>
        </w:rPr>
        <w:t>乙方的权利与义务</w:t>
      </w:r>
    </w:p>
    <w:p w14:paraId="2FB3A896">
      <w:pPr>
        <w:pStyle w:val="8"/>
        <w:spacing w:after="0" w:line="560" w:lineRule="exact"/>
        <w:ind w:left="31" w:right="88" w:firstLine="47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（1）为保证项目成果的质量，乙方在合同履行期间，应按照服务内容要求</w:t>
      </w:r>
      <w:r>
        <w:rPr>
          <w:rFonts w:hint="eastAsia" w:ascii="仿宋_GB2312" w:hAnsi="仿宋_GB2312" w:eastAsia="仿宋_GB2312" w:cs="仿宋_GB2312"/>
          <w:color w:val="auto"/>
          <w:spacing w:val="-3"/>
          <w:sz w:val="24"/>
          <w:highlight w:val="none"/>
        </w:rPr>
        <w:t>组织专家队伍，成立专门的项目小组，并保障项目</w:t>
      </w:r>
      <w:r>
        <w:rPr>
          <w:rFonts w:hint="eastAsia" w:ascii="仿宋_GB2312" w:hAnsi="仿宋_GB2312" w:eastAsia="仿宋_GB2312" w:cs="仿宋_GB2312"/>
          <w:color w:val="auto"/>
          <w:spacing w:val="-4"/>
          <w:sz w:val="24"/>
          <w:highlight w:val="none"/>
        </w:rPr>
        <w:t>团队成员到位。乙方应保证本</w:t>
      </w:r>
      <w:r>
        <w:rPr>
          <w:rFonts w:hint="eastAsia" w:ascii="仿宋_GB2312" w:hAnsi="仿宋_GB2312" w:eastAsia="仿宋_GB2312" w:cs="仿宋_GB2312"/>
          <w:color w:val="auto"/>
          <w:spacing w:val="-3"/>
          <w:sz w:val="24"/>
          <w:highlight w:val="none"/>
        </w:rPr>
        <w:t>合同的主要核心成员在项目实施期间全程参与项目</w:t>
      </w:r>
      <w:r>
        <w:rPr>
          <w:rFonts w:hint="eastAsia" w:ascii="仿宋_GB2312" w:hAnsi="仿宋_GB2312" w:eastAsia="仿宋_GB2312" w:cs="仿宋_GB2312"/>
          <w:color w:val="auto"/>
          <w:spacing w:val="-4"/>
          <w:sz w:val="24"/>
          <w:highlight w:val="none"/>
        </w:rPr>
        <w:t>实质性工作，</w:t>
      </w:r>
      <w:r>
        <w:rPr>
          <w:rFonts w:hint="eastAsia" w:ascii="仿宋_GB2312" w:hAnsi="仿宋_GB2312" w:eastAsia="仿宋_GB2312" w:cs="仿宋_GB2312"/>
          <w:color w:val="auto"/>
          <w:spacing w:val="-2"/>
          <w:sz w:val="24"/>
          <w:highlight w:val="none"/>
        </w:rPr>
        <w:t>如确需更换项目团队成员，乙方应</w:t>
      </w:r>
      <w:r>
        <w:rPr>
          <w:rFonts w:hint="eastAsia" w:ascii="仿宋_GB2312" w:hAnsi="仿宋_GB2312" w:eastAsia="仿宋_GB2312" w:cs="仿宋_GB2312"/>
          <w:color w:val="auto"/>
          <w:spacing w:val="-3"/>
          <w:sz w:val="24"/>
          <w:highlight w:val="none"/>
        </w:rPr>
        <w:t>事先征得甲方的书面同意，且接替人员的职位、资历应与原定成员相当。</w:t>
      </w:r>
    </w:p>
    <w:p w14:paraId="45E76476">
      <w:pPr>
        <w:pStyle w:val="8"/>
        <w:spacing w:after="0" w:line="560" w:lineRule="exact"/>
        <w:ind w:left="33" w:right="17" w:firstLine="47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8"/>
          <w:sz w:val="24"/>
          <w:highlight w:val="none"/>
        </w:rPr>
        <w:t>（2）乙方必须按本合同约定的内容、标准和期限完成项目工</w:t>
      </w:r>
      <w:r>
        <w:rPr>
          <w:rFonts w:hint="eastAsia" w:ascii="仿宋_GB2312" w:hAnsi="仿宋_GB2312" w:eastAsia="仿宋_GB2312" w:cs="仿宋_GB2312"/>
          <w:color w:val="auto"/>
          <w:spacing w:val="-9"/>
          <w:sz w:val="24"/>
          <w:highlight w:val="none"/>
        </w:rPr>
        <w:t>作，解答疑问，</w:t>
      </w:r>
      <w:r>
        <w:rPr>
          <w:rFonts w:hint="eastAsia" w:ascii="仿宋_GB2312" w:hAnsi="仿宋_GB2312" w:eastAsia="仿宋_GB2312" w:cs="仿宋_GB2312"/>
          <w:color w:val="auto"/>
          <w:spacing w:val="3"/>
          <w:sz w:val="24"/>
          <w:highlight w:val="none"/>
        </w:rPr>
        <w:t>并按照甲方要求将完成委托事项的相关资料交给甲方，并对提交的成果质量负</w:t>
      </w:r>
      <w:r>
        <w:rPr>
          <w:rFonts w:hint="eastAsia" w:ascii="仿宋_GB2312" w:hAnsi="仿宋_GB2312" w:eastAsia="仿宋_GB2312" w:cs="仿宋_GB2312"/>
          <w:color w:val="auto"/>
          <w:spacing w:val="-2"/>
          <w:sz w:val="24"/>
          <w:highlight w:val="none"/>
        </w:rPr>
        <w:t>责。如甲方需对工作进度进行调整，甲方、乙方应共同协商解决。</w:t>
      </w:r>
    </w:p>
    <w:p w14:paraId="6F38643A">
      <w:pPr>
        <w:pStyle w:val="8"/>
        <w:spacing w:after="0" w:line="560" w:lineRule="exact"/>
        <w:ind w:left="31" w:right="87" w:firstLine="47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3"/>
          <w:sz w:val="24"/>
          <w:highlight w:val="none"/>
        </w:rPr>
        <w:t>（3）乙方应配合甲方验收人员的工作,对</w:t>
      </w:r>
      <w:r>
        <w:rPr>
          <w:rFonts w:hint="eastAsia" w:ascii="仿宋_GB2312" w:hAnsi="仿宋_GB2312" w:eastAsia="仿宋_GB2312" w:cs="仿宋_GB2312"/>
          <w:color w:val="auto"/>
          <w:spacing w:val="-4"/>
          <w:sz w:val="24"/>
          <w:highlight w:val="none"/>
        </w:rPr>
        <w:t>于验收过程中发现的问题，乙方应</w:t>
      </w:r>
      <w:r>
        <w:rPr>
          <w:rFonts w:hint="eastAsia" w:ascii="仿宋_GB2312" w:hAnsi="仿宋_GB2312" w:eastAsia="仿宋_GB2312" w:cs="仿宋_GB2312"/>
          <w:color w:val="auto"/>
          <w:spacing w:val="-3"/>
          <w:sz w:val="24"/>
          <w:highlight w:val="none"/>
        </w:rPr>
        <w:t>及时改正，并按照甲方提供的书面成果审查或审批</w:t>
      </w:r>
      <w:r>
        <w:rPr>
          <w:rFonts w:hint="eastAsia" w:ascii="仿宋_GB2312" w:hAnsi="仿宋_GB2312" w:eastAsia="仿宋_GB2312" w:cs="仿宋_GB2312"/>
          <w:color w:val="auto"/>
          <w:spacing w:val="-4"/>
          <w:sz w:val="24"/>
          <w:highlight w:val="none"/>
        </w:rPr>
        <w:t>意见进行修改和完善，向甲方</w:t>
      </w:r>
      <w:r>
        <w:rPr>
          <w:rFonts w:hint="eastAsia" w:ascii="仿宋_GB2312" w:hAnsi="仿宋_GB2312" w:eastAsia="仿宋_GB2312" w:cs="仿宋_GB2312"/>
          <w:color w:val="auto"/>
          <w:spacing w:val="-3"/>
          <w:sz w:val="24"/>
          <w:highlight w:val="none"/>
        </w:rPr>
        <w:t>提供相应的书面报告说明成果修改的详细情况，以</w:t>
      </w:r>
      <w:r>
        <w:rPr>
          <w:rFonts w:hint="eastAsia" w:ascii="仿宋_GB2312" w:hAnsi="仿宋_GB2312" w:eastAsia="仿宋_GB2312" w:cs="仿宋_GB2312"/>
          <w:color w:val="auto"/>
          <w:spacing w:val="-4"/>
          <w:sz w:val="24"/>
          <w:highlight w:val="none"/>
        </w:rPr>
        <w:t>符合国家法律法规、规范性文</w:t>
      </w:r>
      <w:r>
        <w:rPr>
          <w:rFonts w:hint="eastAsia" w:ascii="仿宋_GB2312" w:hAnsi="仿宋_GB2312" w:eastAsia="仿宋_GB2312" w:cs="仿宋_GB2312"/>
          <w:color w:val="auto"/>
          <w:spacing w:val="-5"/>
          <w:sz w:val="24"/>
          <w:highlight w:val="none"/>
        </w:rPr>
        <w:t>件及甲方的需要。如乙方提供的成果文件不符合本合同质</w:t>
      </w:r>
      <w:r>
        <w:rPr>
          <w:rFonts w:hint="eastAsia" w:ascii="仿宋_GB2312" w:hAnsi="仿宋_GB2312" w:eastAsia="仿宋_GB2312" w:cs="仿宋_GB2312"/>
          <w:color w:val="auto"/>
          <w:spacing w:val="-6"/>
          <w:sz w:val="24"/>
          <w:highlight w:val="none"/>
        </w:rPr>
        <w:t>量要求或甲方需求，</w:t>
      </w:r>
      <w:r>
        <w:rPr>
          <w:rFonts w:hint="eastAsia" w:ascii="仿宋_GB2312" w:hAnsi="仿宋_GB2312" w:eastAsia="仿宋_GB2312" w:cs="仿宋_GB2312"/>
          <w:color w:val="auto"/>
          <w:spacing w:val="-53"/>
          <w:sz w:val="24"/>
          <w:highlight w:val="none"/>
        </w:rPr>
        <w:t xml:space="preserve"> </w:t>
      </w:r>
      <w:r>
        <w:rPr>
          <w:rFonts w:hint="eastAsia" w:ascii="仿宋_GB2312" w:hAnsi="仿宋_GB2312" w:eastAsia="仿宋_GB2312" w:cs="仿宋_GB2312"/>
          <w:color w:val="auto"/>
          <w:spacing w:val="-6"/>
          <w:sz w:val="24"/>
          <w:highlight w:val="none"/>
        </w:rPr>
        <w:t>应</w:t>
      </w:r>
      <w:r>
        <w:rPr>
          <w:rFonts w:hint="eastAsia" w:ascii="仿宋_GB2312" w:hAnsi="仿宋_GB2312" w:eastAsia="仿宋_GB2312" w:cs="仿宋_GB2312"/>
          <w:color w:val="auto"/>
          <w:spacing w:val="-7"/>
          <w:sz w:val="24"/>
          <w:highlight w:val="none"/>
        </w:rPr>
        <w:t>在甲方指定期限内无条件修改，其费用由乙方自行承担。修改期间，甲方付款时</w:t>
      </w:r>
      <w:r>
        <w:rPr>
          <w:rFonts w:hint="eastAsia" w:ascii="仿宋_GB2312" w:hAnsi="仿宋_GB2312" w:eastAsia="仿宋_GB2312" w:cs="仿宋_GB2312"/>
          <w:color w:val="auto"/>
          <w:spacing w:val="-2"/>
          <w:sz w:val="24"/>
          <w:highlight w:val="none"/>
        </w:rPr>
        <w:t>间相应顺延。未经甲方书面同意，乙方不得随意修改已经验收的成果文件。</w:t>
      </w:r>
    </w:p>
    <w:p w14:paraId="49F68029">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3"/>
          <w:sz w:val="24"/>
          <w:highlight w:val="none"/>
        </w:rPr>
        <w:t>（4）乙方有维护甲方声誉的义务。</w:t>
      </w:r>
    </w:p>
    <w:p w14:paraId="12A22B31">
      <w:pPr>
        <w:pStyle w:val="8"/>
        <w:spacing w:after="0" w:line="560" w:lineRule="exact"/>
        <w:ind w:left="33" w:right="62"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（5）乙方应根据甲方的要求，参加与本项目相关的工作会议，并在项目推</w:t>
      </w:r>
      <w:r>
        <w:rPr>
          <w:rFonts w:hint="eastAsia" w:ascii="仿宋_GB2312" w:hAnsi="仿宋_GB2312" w:eastAsia="仿宋_GB2312" w:cs="仿宋_GB2312"/>
          <w:color w:val="auto"/>
          <w:spacing w:val="-3"/>
          <w:sz w:val="24"/>
          <w:highlight w:val="none"/>
        </w:rPr>
        <w:t>进过程中向甲方提供相关的咨询服务，及时解</w:t>
      </w:r>
      <w:r>
        <w:rPr>
          <w:rFonts w:hint="eastAsia" w:ascii="仿宋_GB2312" w:hAnsi="仿宋_GB2312" w:eastAsia="仿宋_GB2312" w:cs="仿宋_GB2312"/>
          <w:color w:val="auto"/>
          <w:spacing w:val="-4"/>
          <w:sz w:val="24"/>
          <w:highlight w:val="none"/>
        </w:rPr>
        <w:t>答甲方所提出的相关问题，必要时</w:t>
      </w:r>
      <w:r>
        <w:rPr>
          <w:rFonts w:hint="eastAsia" w:ascii="仿宋_GB2312" w:hAnsi="仿宋_GB2312" w:eastAsia="仿宋_GB2312" w:cs="仿宋_GB2312"/>
          <w:color w:val="auto"/>
          <w:spacing w:val="-3"/>
          <w:sz w:val="24"/>
          <w:highlight w:val="none"/>
        </w:rPr>
        <w:t>给予协助；配合甲方组织、举办本合同范围内项目各工作</w:t>
      </w:r>
      <w:r>
        <w:rPr>
          <w:rFonts w:hint="eastAsia" w:ascii="仿宋_GB2312" w:hAnsi="仿宋_GB2312" w:eastAsia="仿宋_GB2312" w:cs="仿宋_GB2312"/>
          <w:color w:val="auto"/>
          <w:spacing w:val="-4"/>
          <w:sz w:val="24"/>
          <w:highlight w:val="none"/>
        </w:rPr>
        <w:t>阶段的汇报、审查、研</w:t>
      </w:r>
      <w:r>
        <w:rPr>
          <w:rFonts w:hint="eastAsia" w:ascii="仿宋_GB2312" w:hAnsi="仿宋_GB2312" w:eastAsia="仿宋_GB2312" w:cs="仿宋_GB2312"/>
          <w:color w:val="auto"/>
          <w:spacing w:val="-3"/>
          <w:sz w:val="24"/>
          <w:highlight w:val="none"/>
        </w:rPr>
        <w:t>讨等工作，并负责汇报或解答相应的问题；协</w:t>
      </w:r>
      <w:r>
        <w:rPr>
          <w:rFonts w:hint="eastAsia" w:ascii="仿宋_GB2312" w:hAnsi="仿宋_GB2312" w:eastAsia="仿宋_GB2312" w:cs="仿宋_GB2312"/>
          <w:color w:val="auto"/>
          <w:spacing w:val="-4"/>
          <w:sz w:val="24"/>
          <w:highlight w:val="none"/>
        </w:rPr>
        <w:t>助甲方进行项目送审、报批及参与</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pacing w:val="-5"/>
          <w:sz w:val="24"/>
          <w:highlight w:val="none"/>
        </w:rPr>
        <w:t>专家评审会等有关事宜。</w:t>
      </w:r>
    </w:p>
    <w:p w14:paraId="7F76694E">
      <w:pPr>
        <w:pStyle w:val="8"/>
        <w:spacing w:after="0" w:line="560" w:lineRule="exact"/>
        <w:ind w:left="30" w:right="62"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（6）乙方应依据合同在咨询服务工作过程中，接受甲方或甲方聘请的咨询</w:t>
      </w:r>
      <w:r>
        <w:rPr>
          <w:rFonts w:hint="eastAsia" w:ascii="仿宋_GB2312" w:hAnsi="仿宋_GB2312" w:eastAsia="仿宋_GB2312" w:cs="仿宋_GB2312"/>
          <w:color w:val="auto"/>
          <w:spacing w:val="-3"/>
          <w:sz w:val="24"/>
          <w:highlight w:val="none"/>
        </w:rPr>
        <w:t>单位或评审机构的咨询、评审、检查（如有）。但咨</w:t>
      </w:r>
      <w:r>
        <w:rPr>
          <w:rFonts w:hint="eastAsia" w:ascii="仿宋_GB2312" w:hAnsi="仿宋_GB2312" w:eastAsia="仿宋_GB2312" w:cs="仿宋_GB2312"/>
          <w:color w:val="auto"/>
          <w:spacing w:val="-4"/>
          <w:sz w:val="24"/>
          <w:highlight w:val="none"/>
        </w:rPr>
        <w:t>询单位、评审机构的任何建</w:t>
      </w:r>
      <w:r>
        <w:rPr>
          <w:rFonts w:hint="eastAsia" w:ascii="仿宋_GB2312" w:hAnsi="仿宋_GB2312" w:eastAsia="仿宋_GB2312" w:cs="仿宋_GB2312"/>
          <w:color w:val="auto"/>
          <w:spacing w:val="-1"/>
          <w:sz w:val="24"/>
          <w:highlight w:val="none"/>
        </w:rPr>
        <w:t>议、检查、确认、同意、批准或类似行为不</w:t>
      </w:r>
      <w:r>
        <w:rPr>
          <w:rFonts w:hint="eastAsia" w:ascii="仿宋_GB2312" w:hAnsi="仿宋_GB2312" w:eastAsia="仿宋_GB2312" w:cs="仿宋_GB2312"/>
          <w:color w:val="auto"/>
          <w:spacing w:val="-2"/>
          <w:sz w:val="24"/>
          <w:highlight w:val="none"/>
        </w:rPr>
        <w:t>应变更或免除乙方的责任义务。</w:t>
      </w:r>
    </w:p>
    <w:p w14:paraId="0DE42E88">
      <w:pPr>
        <w:pStyle w:val="8"/>
        <w:spacing w:after="0" w:line="560" w:lineRule="exact"/>
        <w:ind w:left="32" w:right="80" w:firstLine="47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（7）本合同期满或提前解除、终止后，乙方应将甲方的档案资料、信息数</w:t>
      </w:r>
      <w:r>
        <w:rPr>
          <w:rFonts w:hint="eastAsia" w:ascii="仿宋_GB2312" w:hAnsi="仿宋_GB2312" w:eastAsia="仿宋_GB2312" w:cs="仿宋_GB2312"/>
          <w:color w:val="auto"/>
          <w:spacing w:val="-3"/>
          <w:sz w:val="24"/>
          <w:highlight w:val="none"/>
        </w:rPr>
        <w:t>据等交还甲方，并应销毁或删除所有备份。</w:t>
      </w:r>
    </w:p>
    <w:p w14:paraId="57A176D9">
      <w:pPr>
        <w:pStyle w:val="8"/>
        <w:spacing w:after="0" w:line="560" w:lineRule="exact"/>
        <w:ind w:left="34" w:right="62" w:firstLine="4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（8）乙方对其工作人员在合同履行期间的一切行为负责，期间发生的一切</w:t>
      </w:r>
      <w:r>
        <w:rPr>
          <w:rFonts w:hint="eastAsia" w:ascii="仿宋_GB2312" w:hAnsi="仿宋_GB2312" w:eastAsia="仿宋_GB2312" w:cs="仿宋_GB2312"/>
          <w:color w:val="auto"/>
          <w:spacing w:val="-3"/>
          <w:sz w:val="24"/>
          <w:highlight w:val="none"/>
        </w:rPr>
        <w:t>安全事故责任及因此发生的人身损害赔偿和其</w:t>
      </w:r>
      <w:r>
        <w:rPr>
          <w:rFonts w:hint="eastAsia" w:ascii="仿宋_GB2312" w:hAnsi="仿宋_GB2312" w:eastAsia="仿宋_GB2312" w:cs="仿宋_GB2312"/>
          <w:color w:val="auto"/>
          <w:spacing w:val="-4"/>
          <w:sz w:val="24"/>
          <w:highlight w:val="none"/>
        </w:rPr>
        <w:t>他费用由乙方自行承担，概与甲方</w:t>
      </w:r>
      <w:r>
        <w:rPr>
          <w:rFonts w:hint="eastAsia" w:ascii="仿宋_GB2312" w:hAnsi="仿宋_GB2312" w:eastAsia="仿宋_GB2312" w:cs="仿宋_GB2312"/>
          <w:color w:val="auto"/>
          <w:spacing w:val="-12"/>
          <w:sz w:val="24"/>
          <w:highlight w:val="none"/>
        </w:rPr>
        <w:t>无关。</w:t>
      </w:r>
    </w:p>
    <w:p w14:paraId="11F59897">
      <w:pPr>
        <w:pStyle w:val="8"/>
        <w:spacing w:after="0" w:line="560" w:lineRule="exact"/>
        <w:ind w:left="32" w:right="60" w:firstLine="47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（9）乙方在完成本项目过程中，不得损害其他任何第三方的知识产权等合</w:t>
      </w:r>
      <w:r>
        <w:rPr>
          <w:rFonts w:hint="eastAsia" w:ascii="仿宋_GB2312" w:hAnsi="仿宋_GB2312" w:eastAsia="仿宋_GB2312" w:cs="仿宋_GB2312"/>
          <w:color w:val="auto"/>
          <w:spacing w:val="-3"/>
          <w:sz w:val="24"/>
          <w:highlight w:val="none"/>
        </w:rPr>
        <w:t>法权益，如果由于乙方原因导致采用的文件、数据、</w:t>
      </w:r>
      <w:r>
        <w:rPr>
          <w:rFonts w:hint="eastAsia" w:ascii="仿宋_GB2312" w:hAnsi="仿宋_GB2312" w:eastAsia="仿宋_GB2312" w:cs="仿宋_GB2312"/>
          <w:color w:val="auto"/>
          <w:spacing w:val="-4"/>
          <w:sz w:val="24"/>
          <w:highlight w:val="none"/>
        </w:rPr>
        <w:t>资料、软件、技术等发生侵</w:t>
      </w:r>
      <w:r>
        <w:rPr>
          <w:rFonts w:hint="eastAsia" w:ascii="仿宋_GB2312" w:hAnsi="仿宋_GB2312" w:eastAsia="仿宋_GB2312" w:cs="仿宋_GB2312"/>
          <w:color w:val="auto"/>
          <w:spacing w:val="-1"/>
          <w:sz w:val="24"/>
          <w:highlight w:val="none"/>
        </w:rPr>
        <w:t>犯知识产权的行为而引起索赔或诉讼，则乙</w:t>
      </w:r>
      <w:r>
        <w:rPr>
          <w:rFonts w:hint="eastAsia" w:ascii="仿宋_GB2312" w:hAnsi="仿宋_GB2312" w:eastAsia="仿宋_GB2312" w:cs="仿宋_GB2312"/>
          <w:color w:val="auto"/>
          <w:spacing w:val="-2"/>
          <w:sz w:val="24"/>
          <w:highlight w:val="none"/>
        </w:rPr>
        <w:t>方应承担全部责任，与甲方无关。</w:t>
      </w:r>
    </w:p>
    <w:p w14:paraId="0C57E6C3">
      <w:pPr>
        <w:pStyle w:val="8"/>
        <w:spacing w:after="0" w:line="560" w:lineRule="exact"/>
        <w:ind w:left="524"/>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pacing w:val="-6"/>
          <w:sz w:val="24"/>
          <w:highlight w:val="none"/>
        </w:rPr>
        <w:t>第五条</w:t>
      </w:r>
      <w:r>
        <w:rPr>
          <w:rFonts w:hint="eastAsia" w:ascii="仿宋_GB2312" w:hAnsi="仿宋_GB2312" w:eastAsia="仿宋_GB2312" w:cs="仿宋_GB2312"/>
          <w:color w:val="auto"/>
          <w:spacing w:val="-6"/>
          <w:sz w:val="24"/>
          <w:highlight w:val="none"/>
        </w:rPr>
        <w:t xml:space="preserve"> </w:t>
      </w:r>
      <w:r>
        <w:rPr>
          <w:rFonts w:hint="eastAsia" w:ascii="仿宋_GB2312" w:hAnsi="仿宋_GB2312" w:eastAsia="仿宋_GB2312" w:cs="仿宋_GB2312"/>
          <w:b/>
          <w:bCs/>
          <w:color w:val="auto"/>
          <w:spacing w:val="-6"/>
          <w:sz w:val="24"/>
          <w:highlight w:val="none"/>
        </w:rPr>
        <w:t>成果权属(知识产权)</w:t>
      </w:r>
    </w:p>
    <w:p w14:paraId="3D12F78C">
      <w:pPr>
        <w:pStyle w:val="8"/>
        <w:spacing w:after="0" w:line="560" w:lineRule="exact"/>
        <w:ind w:left="32" w:right="62" w:firstLine="4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5.1</w:t>
      </w:r>
      <w:r>
        <w:rPr>
          <w:rFonts w:hint="eastAsia" w:ascii="仿宋_GB2312" w:hAnsi="仿宋_GB2312" w:eastAsia="仿宋_GB2312" w:cs="仿宋_GB2312"/>
          <w:color w:val="auto"/>
          <w:spacing w:val="48"/>
          <w:sz w:val="24"/>
          <w:highlight w:val="none"/>
        </w:rPr>
        <w:t xml:space="preserve"> </w:t>
      </w:r>
      <w:r>
        <w:rPr>
          <w:rFonts w:hint="eastAsia" w:ascii="仿宋_GB2312" w:hAnsi="仿宋_GB2312" w:eastAsia="仿宋_GB2312" w:cs="仿宋_GB2312"/>
          <w:color w:val="auto"/>
          <w:spacing w:val="-5"/>
          <w:sz w:val="24"/>
          <w:highlight w:val="none"/>
        </w:rPr>
        <w:t>甲、乙双方履行本合同产生的项目规划设计成</w:t>
      </w:r>
      <w:r>
        <w:rPr>
          <w:rFonts w:hint="eastAsia" w:ascii="仿宋_GB2312" w:hAnsi="仿宋_GB2312" w:eastAsia="仿宋_GB2312" w:cs="仿宋_GB2312"/>
          <w:color w:val="auto"/>
          <w:spacing w:val="-6"/>
          <w:sz w:val="24"/>
          <w:highlight w:val="none"/>
        </w:rPr>
        <w:t>果的所有权（包括但不限</w:t>
      </w:r>
      <w:r>
        <w:rPr>
          <w:rFonts w:hint="eastAsia" w:ascii="仿宋_GB2312" w:hAnsi="仿宋_GB2312" w:eastAsia="仿宋_GB2312" w:cs="仿宋_GB2312"/>
          <w:color w:val="auto"/>
          <w:spacing w:val="-3"/>
          <w:sz w:val="24"/>
          <w:highlight w:val="none"/>
        </w:rPr>
        <w:t>于除署名权外的版权和其他知识产权）归甲方，</w:t>
      </w:r>
      <w:r>
        <w:rPr>
          <w:rFonts w:hint="eastAsia" w:ascii="仿宋_GB2312" w:hAnsi="仿宋_GB2312" w:eastAsia="仿宋_GB2312" w:cs="仿宋_GB2312"/>
          <w:color w:val="auto"/>
          <w:spacing w:val="-4"/>
          <w:sz w:val="24"/>
          <w:highlight w:val="none"/>
        </w:rPr>
        <w:t>乙方享有署名权，乙方除享有署</w:t>
      </w:r>
      <w:r>
        <w:rPr>
          <w:rFonts w:hint="eastAsia" w:ascii="仿宋_GB2312" w:hAnsi="仿宋_GB2312" w:eastAsia="仿宋_GB2312" w:cs="仿宋_GB2312"/>
          <w:color w:val="auto"/>
          <w:spacing w:val="-3"/>
          <w:sz w:val="24"/>
          <w:highlight w:val="none"/>
        </w:rPr>
        <w:t>名权外，还可以下列方式使用项目规划设计</w:t>
      </w:r>
      <w:r>
        <w:rPr>
          <w:rFonts w:hint="eastAsia" w:ascii="仿宋_GB2312" w:hAnsi="仿宋_GB2312" w:eastAsia="仿宋_GB2312" w:cs="仿宋_GB2312"/>
          <w:color w:val="auto"/>
          <w:spacing w:val="-4"/>
          <w:sz w:val="24"/>
          <w:highlight w:val="none"/>
        </w:rPr>
        <w:t>成果：</w:t>
      </w:r>
    </w:p>
    <w:p w14:paraId="2696BA92">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（1）定期或不定期进行规划设计工作总结；</w:t>
      </w:r>
    </w:p>
    <w:p w14:paraId="4CB1467F">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3"/>
          <w:sz w:val="24"/>
          <w:highlight w:val="none"/>
        </w:rPr>
        <w:t>（2）撰写项目研究论文、报告或参加规划设计课题研究报告；</w:t>
      </w:r>
    </w:p>
    <w:p w14:paraId="46EEE08A">
      <w:pPr>
        <w:pStyle w:val="8"/>
        <w:spacing w:after="0" w:line="560" w:lineRule="exact"/>
        <w:ind w:left="33" w:right="83" w:firstLine="47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（3）将项目研究论文或规划设计课题研究报告编辑出版及在国内外公开发</w:t>
      </w:r>
      <w:r>
        <w:rPr>
          <w:rFonts w:hint="eastAsia" w:ascii="仿宋_GB2312" w:hAnsi="仿宋_GB2312" w:eastAsia="仿宋_GB2312" w:cs="仿宋_GB2312"/>
          <w:color w:val="auto"/>
          <w:spacing w:val="-18"/>
          <w:sz w:val="24"/>
          <w:highlight w:val="none"/>
        </w:rPr>
        <w:t>行；</w:t>
      </w:r>
    </w:p>
    <w:p w14:paraId="4C6F547B">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（4）在国内外举办规划设计成果展览展示；</w:t>
      </w:r>
    </w:p>
    <w:p w14:paraId="421A5F09">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（5）参加国内外规划设计成果交流、研讨和评优评奖活动。</w:t>
      </w:r>
    </w:p>
    <w:p w14:paraId="45739A8B">
      <w:pPr>
        <w:pStyle w:val="8"/>
        <w:spacing w:after="0" w:line="560" w:lineRule="exact"/>
        <w:ind w:left="62" w:firstLine="447"/>
        <w:rPr>
          <w:rFonts w:hint="eastAsia" w:ascii="仿宋_GB2312" w:hAnsi="仿宋_GB2312" w:eastAsia="仿宋_GB2312" w:cs="仿宋_GB2312"/>
          <w:color w:val="auto"/>
          <w:spacing w:val="-3"/>
          <w:sz w:val="24"/>
          <w:highlight w:val="none"/>
        </w:rPr>
      </w:pPr>
      <w:r>
        <w:rPr>
          <w:rFonts w:hint="eastAsia" w:ascii="仿宋_GB2312" w:hAnsi="仿宋_GB2312" w:eastAsia="仿宋_GB2312" w:cs="仿宋_GB2312"/>
          <w:color w:val="auto"/>
          <w:spacing w:val="-3"/>
          <w:sz w:val="24"/>
          <w:highlight w:val="none"/>
        </w:rPr>
        <w:t>5.2</w:t>
      </w:r>
      <w:r>
        <w:rPr>
          <w:rFonts w:hint="eastAsia" w:ascii="仿宋_GB2312" w:hAnsi="仿宋_GB2312" w:eastAsia="仿宋_GB2312" w:cs="仿宋_GB2312"/>
          <w:color w:val="auto"/>
          <w:spacing w:val="49"/>
          <w:sz w:val="24"/>
          <w:highlight w:val="none"/>
        </w:rPr>
        <w:t xml:space="preserve"> </w:t>
      </w:r>
      <w:r>
        <w:rPr>
          <w:rFonts w:hint="eastAsia" w:ascii="仿宋_GB2312" w:hAnsi="仿宋_GB2312" w:eastAsia="仿宋_GB2312" w:cs="仿宋_GB2312"/>
          <w:color w:val="auto"/>
          <w:spacing w:val="-3"/>
          <w:sz w:val="24"/>
          <w:highlight w:val="none"/>
        </w:rPr>
        <w:t>乙方保证所提交的全部阶段性成果和最终成果文件及任何数据、资料、软件等未侵犯任何第三方的知识产权或其他权利，由</w:t>
      </w:r>
      <w:r>
        <w:rPr>
          <w:rFonts w:hint="eastAsia" w:ascii="仿宋_GB2312" w:hAnsi="仿宋_GB2312" w:eastAsia="仿宋_GB2312" w:cs="仿宋_GB2312"/>
          <w:color w:val="auto"/>
          <w:spacing w:val="-4"/>
          <w:sz w:val="24"/>
          <w:highlight w:val="none"/>
        </w:rPr>
        <w:t>于使用该等文件、数据、资</w:t>
      </w:r>
      <w:r>
        <w:rPr>
          <w:rFonts w:hint="eastAsia" w:ascii="仿宋_GB2312" w:hAnsi="仿宋_GB2312" w:eastAsia="仿宋_GB2312" w:cs="仿宋_GB2312"/>
          <w:color w:val="auto"/>
          <w:spacing w:val="-7"/>
          <w:sz w:val="24"/>
          <w:highlight w:val="none"/>
        </w:rPr>
        <w:t>料、软件所导致的任何索赔或责任均由乙方承担。同时，甲方有权要求乙方修改</w:t>
      </w:r>
      <w:r>
        <w:rPr>
          <w:rFonts w:hint="eastAsia" w:ascii="仿宋_GB2312" w:hAnsi="仿宋_GB2312" w:eastAsia="仿宋_GB2312" w:cs="仿宋_GB2312"/>
          <w:color w:val="auto"/>
          <w:spacing w:val="-3"/>
          <w:sz w:val="24"/>
          <w:highlight w:val="none"/>
        </w:rPr>
        <w:t>成果至不侵权或解除合同为止，并保留要求乙方赔偿</w:t>
      </w:r>
      <w:r>
        <w:rPr>
          <w:rFonts w:hint="eastAsia" w:ascii="仿宋_GB2312" w:hAnsi="仿宋_GB2312" w:eastAsia="仿宋_GB2312" w:cs="仿宋_GB2312"/>
          <w:color w:val="auto"/>
          <w:spacing w:val="-4"/>
          <w:sz w:val="24"/>
          <w:highlight w:val="none"/>
        </w:rPr>
        <w:t>实际损失的权利，包括但不</w:t>
      </w:r>
      <w:r>
        <w:rPr>
          <w:rFonts w:hint="eastAsia" w:ascii="仿宋_GB2312" w:hAnsi="仿宋_GB2312" w:eastAsia="仿宋_GB2312" w:cs="仿宋_GB2312"/>
          <w:color w:val="auto"/>
          <w:spacing w:val="-2"/>
          <w:sz w:val="24"/>
          <w:highlight w:val="none"/>
        </w:rPr>
        <w:t>限于上述索赔或责任所产生的诉讼费用、律师费用、鉴定评估费用、调查费用、</w:t>
      </w:r>
      <w:r>
        <w:rPr>
          <w:rFonts w:hint="eastAsia" w:ascii="仿宋_GB2312" w:hAnsi="仿宋_GB2312" w:eastAsia="仿宋_GB2312" w:cs="仿宋_GB2312"/>
          <w:color w:val="auto"/>
          <w:spacing w:val="-3"/>
          <w:sz w:val="24"/>
          <w:highlight w:val="none"/>
        </w:rPr>
        <w:t>和解金额或生效法律文书中规定的赔偿金额。</w:t>
      </w:r>
    </w:p>
    <w:p w14:paraId="20BDDF08">
      <w:pPr>
        <w:pStyle w:val="8"/>
        <w:spacing w:after="0" w:line="560" w:lineRule="exact"/>
        <w:ind w:left="62" w:firstLine="44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5.3 双方确定，甲方有权对乙方按照本合同约</w:t>
      </w:r>
      <w:r>
        <w:rPr>
          <w:rFonts w:hint="eastAsia" w:ascii="仿宋_GB2312" w:hAnsi="仿宋_GB2312" w:eastAsia="仿宋_GB2312" w:cs="仿宋_GB2312"/>
          <w:color w:val="auto"/>
          <w:spacing w:val="-2"/>
          <w:sz w:val="24"/>
          <w:highlight w:val="none"/>
        </w:rPr>
        <w:t>定提供的成果进行后续改进。</w:t>
      </w:r>
      <w:r>
        <w:rPr>
          <w:rFonts w:hint="eastAsia" w:ascii="仿宋_GB2312" w:hAnsi="仿宋_GB2312" w:eastAsia="仿宋_GB2312" w:cs="仿宋_GB2312"/>
          <w:color w:val="auto"/>
          <w:spacing w:val="3"/>
          <w:sz w:val="24"/>
          <w:highlight w:val="none"/>
        </w:rPr>
        <w:t>由此产生的具有实质性或创造性技术进步特征</w:t>
      </w:r>
      <w:r>
        <w:rPr>
          <w:rFonts w:hint="eastAsia" w:ascii="仿宋_GB2312" w:hAnsi="仿宋_GB2312" w:eastAsia="仿宋_GB2312" w:cs="仿宋_GB2312"/>
          <w:color w:val="auto"/>
          <w:spacing w:val="2"/>
          <w:sz w:val="24"/>
          <w:highlight w:val="none"/>
        </w:rPr>
        <w:t>的新的技术成果及其权利全部由</w:t>
      </w:r>
      <w:r>
        <w:rPr>
          <w:rFonts w:hint="eastAsia" w:ascii="仿宋_GB2312" w:hAnsi="仿宋_GB2312" w:eastAsia="仿宋_GB2312" w:cs="仿宋_GB2312"/>
          <w:color w:val="auto"/>
          <w:spacing w:val="-13"/>
          <w:sz w:val="24"/>
          <w:highlight w:val="none"/>
        </w:rPr>
        <w:t>甲方享有。</w:t>
      </w:r>
    </w:p>
    <w:p w14:paraId="6C587C5D">
      <w:pPr>
        <w:pStyle w:val="8"/>
        <w:spacing w:after="0" w:line="560" w:lineRule="exact"/>
        <w:ind w:left="524"/>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pacing w:val="-13"/>
          <w:sz w:val="24"/>
          <w:highlight w:val="none"/>
        </w:rPr>
        <w:t>第</w:t>
      </w:r>
      <w:r>
        <w:rPr>
          <w:rFonts w:hint="eastAsia" w:ascii="仿宋_GB2312" w:hAnsi="仿宋_GB2312" w:eastAsia="仿宋_GB2312" w:cs="仿宋_GB2312"/>
          <w:color w:val="auto"/>
          <w:spacing w:val="-45"/>
          <w:sz w:val="24"/>
          <w:highlight w:val="none"/>
        </w:rPr>
        <w:t xml:space="preserve"> </w:t>
      </w:r>
      <w:r>
        <w:rPr>
          <w:rFonts w:hint="eastAsia" w:ascii="仿宋_GB2312" w:hAnsi="仿宋_GB2312" w:eastAsia="仿宋_GB2312" w:cs="仿宋_GB2312"/>
          <w:b/>
          <w:bCs/>
          <w:color w:val="auto"/>
          <w:spacing w:val="-13"/>
          <w:sz w:val="24"/>
          <w:highlight w:val="none"/>
        </w:rPr>
        <w:t>六条</w:t>
      </w:r>
      <w:r>
        <w:rPr>
          <w:rFonts w:hint="eastAsia" w:ascii="仿宋_GB2312" w:hAnsi="仿宋_GB2312" w:eastAsia="仿宋_GB2312" w:cs="仿宋_GB2312"/>
          <w:color w:val="auto"/>
          <w:spacing w:val="20"/>
          <w:sz w:val="24"/>
          <w:highlight w:val="none"/>
        </w:rPr>
        <w:t xml:space="preserve"> </w:t>
      </w:r>
      <w:r>
        <w:rPr>
          <w:rFonts w:hint="eastAsia" w:ascii="仿宋_GB2312" w:hAnsi="仿宋_GB2312" w:eastAsia="仿宋_GB2312" w:cs="仿宋_GB2312"/>
          <w:b/>
          <w:bCs/>
          <w:color w:val="auto"/>
          <w:spacing w:val="-13"/>
          <w:sz w:val="24"/>
          <w:highlight w:val="none"/>
        </w:rPr>
        <w:t>保密条款</w:t>
      </w:r>
    </w:p>
    <w:p w14:paraId="440F9108">
      <w:pPr>
        <w:pStyle w:val="8"/>
        <w:spacing w:after="0" w:line="560" w:lineRule="exact"/>
        <w:ind w:left="32" w:right="62" w:firstLine="477"/>
        <w:rPr>
          <w:rFonts w:hint="eastAsia" w:ascii="仿宋_GB2312" w:hAnsi="仿宋_GB2312" w:eastAsia="仿宋_GB2312" w:cs="仿宋_GB2312"/>
          <w:color w:val="auto"/>
          <w:spacing w:val="-5"/>
          <w:sz w:val="24"/>
          <w:highlight w:val="none"/>
        </w:rPr>
      </w:pPr>
      <w:r>
        <w:rPr>
          <w:rFonts w:hint="eastAsia" w:ascii="仿宋_GB2312" w:hAnsi="仿宋_GB2312" w:eastAsia="仿宋_GB2312" w:cs="仿宋_GB2312"/>
          <w:color w:val="auto"/>
          <w:spacing w:val="-5"/>
          <w:sz w:val="24"/>
          <w:highlight w:val="none"/>
        </w:rPr>
        <w:t>6.1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范围内，乙方仅在为提供本合同服务之目的，包括独立性、质量及风险管理复核、内部财务报告、信息技术支持以及遵守监管规定，与其他乙方机构共同使用和向其披露甲方信息（可能包括必要的保密信息）和个人数据，但其他乙方机构也将履行与乙方同等的保密义务。乙方将就其他乙方机构违反本合同保密义务的行为向甲方承担责任。</w:t>
      </w:r>
    </w:p>
    <w:p w14:paraId="6AFBEB10">
      <w:pPr>
        <w:pStyle w:val="8"/>
        <w:spacing w:after="0" w:line="560" w:lineRule="exact"/>
        <w:ind w:left="32" w:right="62" w:firstLine="477"/>
        <w:rPr>
          <w:rFonts w:hint="eastAsia" w:ascii="仿宋_GB2312" w:hAnsi="仿宋_GB2312" w:eastAsia="仿宋_GB2312" w:cs="仿宋_GB2312"/>
          <w:color w:val="auto"/>
          <w:spacing w:val="-5"/>
          <w:sz w:val="24"/>
          <w:highlight w:val="none"/>
        </w:rPr>
      </w:pPr>
      <w:r>
        <w:rPr>
          <w:rFonts w:hint="eastAsia" w:ascii="仿宋_GB2312" w:hAnsi="仿宋_GB2312" w:eastAsia="仿宋_GB2312" w:cs="仿宋_GB2312"/>
          <w:color w:val="auto"/>
          <w:spacing w:val="-5"/>
          <w:sz w:val="24"/>
          <w:highlight w:val="none"/>
        </w:rPr>
        <w:t>6.2本合同约定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14:paraId="27E80665">
      <w:pPr>
        <w:pStyle w:val="8"/>
        <w:spacing w:after="0" w:line="560" w:lineRule="exact"/>
        <w:ind w:left="32" w:right="62" w:firstLine="477"/>
        <w:rPr>
          <w:rFonts w:hint="eastAsia" w:ascii="仿宋_GB2312" w:hAnsi="仿宋_GB2312" w:eastAsia="仿宋_GB2312" w:cs="仿宋_GB2312"/>
          <w:color w:val="auto"/>
          <w:spacing w:val="-5"/>
          <w:sz w:val="24"/>
          <w:highlight w:val="none"/>
        </w:rPr>
      </w:pPr>
      <w:r>
        <w:rPr>
          <w:rFonts w:hint="eastAsia" w:ascii="仿宋_GB2312" w:hAnsi="仿宋_GB2312" w:eastAsia="仿宋_GB2312" w:cs="仿宋_GB2312"/>
          <w:color w:val="auto"/>
          <w:spacing w:val="-5"/>
          <w:sz w:val="24"/>
          <w:highlight w:val="none"/>
        </w:rPr>
        <w:t>6.3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14:paraId="4ED823CA">
      <w:pPr>
        <w:pStyle w:val="8"/>
        <w:spacing w:after="0" w:line="560" w:lineRule="exact"/>
        <w:ind w:left="32" w:right="62" w:firstLine="477"/>
        <w:rPr>
          <w:rFonts w:hint="eastAsia" w:ascii="仿宋_GB2312" w:hAnsi="仿宋_GB2312" w:eastAsia="仿宋_GB2312" w:cs="仿宋_GB2312"/>
          <w:color w:val="auto"/>
          <w:spacing w:val="-5"/>
          <w:sz w:val="24"/>
          <w:highlight w:val="none"/>
        </w:rPr>
      </w:pPr>
      <w:r>
        <w:rPr>
          <w:rFonts w:hint="eastAsia" w:ascii="仿宋_GB2312" w:hAnsi="仿宋_GB2312" w:eastAsia="仿宋_GB2312" w:cs="仿宋_GB2312"/>
          <w:color w:val="auto"/>
          <w:spacing w:val="-5"/>
          <w:sz w:val="24"/>
          <w:highlight w:val="none"/>
        </w:rPr>
        <w:t>6.4甲方按照本合同约定支付费用前提下，乙方为完成项目交付的知识产权（包括著作权、专利、专有技术、专利申请权）归甲方所有，乙方负有保密义务。</w:t>
      </w:r>
    </w:p>
    <w:p w14:paraId="2B385181">
      <w:pPr>
        <w:pStyle w:val="8"/>
        <w:spacing w:after="0" w:line="560" w:lineRule="exact"/>
        <w:ind w:left="32" w:right="62" w:firstLine="477"/>
        <w:rPr>
          <w:rFonts w:hint="eastAsia" w:ascii="仿宋_GB2312" w:hAnsi="仿宋_GB2312" w:eastAsia="仿宋_GB2312" w:cs="仿宋_GB2312"/>
          <w:color w:val="auto"/>
          <w:spacing w:val="-5"/>
          <w:sz w:val="24"/>
          <w:highlight w:val="none"/>
        </w:rPr>
      </w:pPr>
      <w:r>
        <w:rPr>
          <w:rFonts w:hint="eastAsia" w:ascii="仿宋_GB2312" w:hAnsi="仿宋_GB2312" w:eastAsia="仿宋_GB2312" w:cs="仿宋_GB2312"/>
          <w:color w:val="auto"/>
          <w:spacing w:val="-5"/>
          <w:sz w:val="24"/>
          <w:highlight w:val="none"/>
        </w:rPr>
        <w:t>6.5 保密信息只能由乙方及其人员为本合同目的而使用。除本合同另有规定外，未经甲方的书面同意，乙方及其知悉保密信息的人员均不得直接或间接地以任何方式提供、转让或披露给任何第三方。为此，乙方应提供相应的廉洁保密承诺书。</w:t>
      </w:r>
    </w:p>
    <w:p w14:paraId="6D4AA4C2">
      <w:pPr>
        <w:pStyle w:val="8"/>
        <w:spacing w:after="0" w:line="560" w:lineRule="exact"/>
        <w:ind w:left="32" w:right="62" w:firstLine="477"/>
        <w:rPr>
          <w:rFonts w:hint="eastAsia" w:ascii="仿宋_GB2312" w:hAnsi="仿宋_GB2312" w:eastAsia="仿宋_GB2312" w:cs="仿宋_GB2312"/>
          <w:color w:val="auto"/>
          <w:spacing w:val="-5"/>
          <w:sz w:val="24"/>
          <w:highlight w:val="none"/>
        </w:rPr>
      </w:pPr>
      <w:r>
        <w:rPr>
          <w:rFonts w:hint="eastAsia" w:ascii="仿宋_GB2312" w:hAnsi="仿宋_GB2312" w:eastAsia="仿宋_GB2312" w:cs="仿宋_GB2312"/>
          <w:color w:val="auto"/>
          <w:spacing w:val="-5"/>
          <w:sz w:val="24"/>
          <w:highlight w:val="none"/>
        </w:rPr>
        <w:t>6.6 乙方须以保密方式处理保密信息。向履行本合同的有关人员提供的，也应履行保密义务并限于履行合同的必需范围，且相关人员应接受至少与本条款同等严格的保密条款的约束。</w:t>
      </w:r>
    </w:p>
    <w:p w14:paraId="171FFB0B">
      <w:pPr>
        <w:pStyle w:val="8"/>
        <w:spacing w:after="0" w:line="560" w:lineRule="exact"/>
        <w:ind w:left="32" w:right="62" w:firstLine="477"/>
        <w:rPr>
          <w:rFonts w:hint="eastAsia" w:ascii="仿宋_GB2312" w:hAnsi="仿宋_GB2312" w:eastAsia="仿宋_GB2312" w:cs="仿宋_GB2312"/>
          <w:color w:val="auto"/>
          <w:spacing w:val="-5"/>
          <w:sz w:val="24"/>
          <w:highlight w:val="none"/>
        </w:rPr>
      </w:pPr>
      <w:r>
        <w:rPr>
          <w:rFonts w:hint="eastAsia" w:ascii="仿宋_GB2312" w:hAnsi="仿宋_GB2312" w:eastAsia="仿宋_GB2312" w:cs="仿宋_GB2312"/>
          <w:color w:val="auto"/>
          <w:spacing w:val="-5"/>
          <w:sz w:val="24"/>
          <w:highlight w:val="none"/>
        </w:rPr>
        <w:t>6.7 本保密条款效力不受合同其他条款效力影响，在本合同终止或解除后持续有效，直至保密信息合法成为公共领域的信息。</w:t>
      </w:r>
    </w:p>
    <w:p w14:paraId="28AF4243">
      <w:pPr>
        <w:pStyle w:val="8"/>
        <w:spacing w:after="0" w:line="560" w:lineRule="exact"/>
        <w:ind w:left="32" w:right="62" w:firstLine="477"/>
        <w:rPr>
          <w:rFonts w:hint="eastAsia" w:ascii="仿宋_GB2312" w:hAnsi="仿宋_GB2312" w:eastAsia="仿宋_GB2312" w:cs="仿宋_GB2312"/>
          <w:color w:val="auto"/>
          <w:spacing w:val="-5"/>
          <w:sz w:val="24"/>
          <w:highlight w:val="none"/>
        </w:rPr>
      </w:pPr>
      <w:r>
        <w:rPr>
          <w:rFonts w:hint="eastAsia" w:ascii="仿宋_GB2312" w:hAnsi="仿宋_GB2312" w:eastAsia="仿宋_GB2312" w:cs="仿宋_GB2312"/>
          <w:color w:val="auto"/>
          <w:spacing w:val="-5"/>
          <w:sz w:val="24"/>
          <w:highlight w:val="none"/>
        </w:rPr>
        <w:t>6.8若法律规定或国家行政机关、司法机关要求提供本合同、前述保密信息的，提供方应于提供的当日通知对方。</w:t>
      </w:r>
    </w:p>
    <w:p w14:paraId="766ADFF1">
      <w:pPr>
        <w:pStyle w:val="8"/>
        <w:spacing w:after="0" w:line="560" w:lineRule="exact"/>
        <w:ind w:left="31" w:right="7" w:firstLine="473"/>
        <w:rPr>
          <w:rFonts w:hint="eastAsia" w:ascii="仿宋_GB2312" w:hAnsi="仿宋_GB2312" w:eastAsia="仿宋_GB2312" w:cs="仿宋_GB2312"/>
          <w:b/>
          <w:bCs/>
          <w:color w:val="auto"/>
          <w:spacing w:val="-13"/>
          <w:sz w:val="24"/>
          <w:highlight w:val="none"/>
        </w:rPr>
      </w:pPr>
      <w:r>
        <w:rPr>
          <w:rFonts w:hint="eastAsia" w:ascii="仿宋_GB2312" w:hAnsi="仿宋_GB2312" w:eastAsia="仿宋_GB2312" w:cs="仿宋_GB2312"/>
          <w:b/>
          <w:bCs/>
          <w:color w:val="auto"/>
          <w:spacing w:val="-13"/>
          <w:sz w:val="24"/>
          <w:highlight w:val="none"/>
        </w:rPr>
        <w:t>第</w:t>
      </w:r>
      <w:r>
        <w:rPr>
          <w:rFonts w:hint="eastAsia" w:ascii="仿宋_GB2312" w:hAnsi="仿宋_GB2312" w:eastAsia="仿宋_GB2312" w:cs="仿宋_GB2312"/>
          <w:color w:val="auto"/>
          <w:spacing w:val="-46"/>
          <w:sz w:val="24"/>
          <w:highlight w:val="none"/>
        </w:rPr>
        <w:t xml:space="preserve"> </w:t>
      </w:r>
      <w:r>
        <w:rPr>
          <w:rFonts w:hint="eastAsia" w:ascii="仿宋_GB2312" w:hAnsi="仿宋_GB2312" w:eastAsia="仿宋_GB2312" w:cs="仿宋_GB2312"/>
          <w:b/>
          <w:bCs/>
          <w:color w:val="auto"/>
          <w:spacing w:val="-13"/>
          <w:sz w:val="24"/>
          <w:highlight w:val="none"/>
        </w:rPr>
        <w:t>七</w:t>
      </w:r>
      <w:r>
        <w:rPr>
          <w:rFonts w:hint="eastAsia" w:ascii="仿宋_GB2312" w:hAnsi="仿宋_GB2312" w:eastAsia="仿宋_GB2312" w:cs="仿宋_GB2312"/>
          <w:color w:val="auto"/>
          <w:spacing w:val="-42"/>
          <w:sz w:val="24"/>
          <w:highlight w:val="none"/>
        </w:rPr>
        <w:t xml:space="preserve"> </w:t>
      </w:r>
      <w:r>
        <w:rPr>
          <w:rFonts w:hint="eastAsia" w:ascii="仿宋_GB2312" w:hAnsi="仿宋_GB2312" w:eastAsia="仿宋_GB2312" w:cs="仿宋_GB2312"/>
          <w:b/>
          <w:bCs/>
          <w:color w:val="auto"/>
          <w:spacing w:val="-13"/>
          <w:sz w:val="24"/>
          <w:highlight w:val="none"/>
        </w:rPr>
        <w:t>条</w:t>
      </w:r>
      <w:r>
        <w:rPr>
          <w:rFonts w:hint="eastAsia" w:ascii="仿宋_GB2312" w:hAnsi="仿宋_GB2312" w:eastAsia="仿宋_GB2312" w:cs="仿宋_GB2312"/>
          <w:color w:val="auto"/>
          <w:spacing w:val="21"/>
          <w:sz w:val="24"/>
          <w:highlight w:val="none"/>
        </w:rPr>
        <w:t xml:space="preserve"> </w:t>
      </w:r>
      <w:r>
        <w:rPr>
          <w:rFonts w:hint="eastAsia" w:ascii="仿宋_GB2312" w:hAnsi="仿宋_GB2312" w:eastAsia="仿宋_GB2312" w:cs="仿宋_GB2312"/>
          <w:b/>
          <w:bCs/>
          <w:color w:val="auto"/>
          <w:spacing w:val="-13"/>
          <w:sz w:val="24"/>
          <w:highlight w:val="none"/>
        </w:rPr>
        <w:t>违约责任</w:t>
      </w:r>
    </w:p>
    <w:p w14:paraId="1BEB4B3F">
      <w:pPr>
        <w:pStyle w:val="8"/>
        <w:spacing w:after="0" w:line="560" w:lineRule="exact"/>
        <w:ind w:left="38" w:right="81" w:firstLine="46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7.1甲方无正当理由拒绝接受服务或者接收服务成果，</w:t>
      </w:r>
      <w:r>
        <w:rPr>
          <w:rFonts w:hint="eastAsia" w:ascii="仿宋_GB2312" w:hAnsi="仿宋_GB2312" w:eastAsia="仿宋_GB2312" w:cs="仿宋_GB2312"/>
          <w:color w:val="auto"/>
          <w:spacing w:val="-5"/>
          <w:sz w:val="24"/>
          <w:highlight w:val="none"/>
          <w:lang w:val="en-US" w:eastAsia="zh-CN"/>
        </w:rPr>
        <w:t>无正当理由</w:t>
      </w:r>
      <w:r>
        <w:rPr>
          <w:rFonts w:hint="eastAsia" w:ascii="仿宋_GB2312" w:hAnsi="仿宋_GB2312" w:eastAsia="仿宋_GB2312" w:cs="仿宋_GB2312"/>
          <w:color w:val="auto"/>
          <w:spacing w:val="-5"/>
          <w:sz w:val="24"/>
          <w:highlight w:val="none"/>
        </w:rPr>
        <w:t>到期明确表示拒付服</w:t>
      </w:r>
      <w:r>
        <w:rPr>
          <w:rFonts w:hint="eastAsia" w:ascii="仿宋_GB2312" w:hAnsi="仿宋_GB2312" w:eastAsia="仿宋_GB2312" w:cs="仿宋_GB2312"/>
          <w:color w:val="auto"/>
          <w:spacing w:val="-2"/>
          <w:sz w:val="24"/>
          <w:highlight w:val="none"/>
        </w:rPr>
        <w:t>务款项的，</w:t>
      </w:r>
      <w:r>
        <w:rPr>
          <w:rFonts w:hint="eastAsia" w:ascii="仿宋_GB2312" w:hAnsi="仿宋_GB2312" w:eastAsia="仿宋_GB2312" w:cs="仿宋_GB2312"/>
          <w:color w:val="auto"/>
          <w:spacing w:val="-2"/>
          <w:sz w:val="24"/>
          <w:highlight w:val="none"/>
          <w:lang w:val="en-US" w:eastAsia="zh-CN"/>
        </w:rPr>
        <w:t>每逾期一天，甲方应按应付未付款项的万分之一支付违约金，违约金上限不超过应付未付款项</w:t>
      </w:r>
      <w:r>
        <w:rPr>
          <w:rFonts w:hint="eastAsia" w:ascii="仿宋_GB2312" w:hAnsi="仿宋_GB2312" w:eastAsia="仿宋_GB2312" w:cs="仿宋_GB2312"/>
          <w:color w:val="auto"/>
          <w:spacing w:val="-7"/>
          <w:sz w:val="24"/>
          <w:highlight w:val="none"/>
        </w:rPr>
        <w:t>的</w:t>
      </w:r>
      <w:r>
        <w:rPr>
          <w:rFonts w:hint="eastAsia" w:ascii="仿宋_GB2312" w:hAnsi="仿宋_GB2312" w:eastAsia="仿宋_GB2312" w:cs="仿宋_GB2312"/>
          <w:color w:val="auto"/>
          <w:spacing w:val="-47"/>
          <w:sz w:val="24"/>
          <w:highlight w:val="none"/>
        </w:rPr>
        <w:t xml:space="preserve"> </w:t>
      </w:r>
      <w:r>
        <w:rPr>
          <w:rFonts w:hint="eastAsia" w:ascii="仿宋_GB2312" w:hAnsi="仿宋_GB2312" w:eastAsia="仿宋_GB2312" w:cs="仿宋_GB2312"/>
          <w:color w:val="auto"/>
          <w:spacing w:val="-47"/>
          <w:sz w:val="24"/>
          <w:highlight w:val="none"/>
          <w:lang w:val="en-US" w:eastAsia="zh-CN"/>
        </w:rPr>
        <w:t xml:space="preserve">5 </w:t>
      </w:r>
      <w:r>
        <w:rPr>
          <w:rFonts w:hint="eastAsia" w:ascii="仿宋_GB2312" w:hAnsi="仿宋_GB2312" w:eastAsia="仿宋_GB2312" w:cs="仿宋_GB2312"/>
          <w:color w:val="auto"/>
          <w:spacing w:val="-7"/>
          <w:sz w:val="24"/>
          <w:highlight w:val="none"/>
        </w:rPr>
        <w:t>%</w:t>
      </w:r>
      <w:r>
        <w:rPr>
          <w:rFonts w:hint="eastAsia" w:ascii="仿宋_GB2312" w:hAnsi="仿宋_GB2312" w:eastAsia="仿宋_GB2312" w:cs="仿宋_GB2312"/>
          <w:color w:val="auto"/>
          <w:spacing w:val="-2"/>
          <w:sz w:val="24"/>
          <w:highlight w:val="none"/>
        </w:rPr>
        <w:t>。</w:t>
      </w:r>
    </w:p>
    <w:p w14:paraId="40AA8D5E">
      <w:pPr>
        <w:pStyle w:val="8"/>
        <w:spacing w:after="0" w:line="560" w:lineRule="exact"/>
        <w:ind w:left="32" w:right="80" w:firstLine="47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6"/>
          <w:sz w:val="24"/>
          <w:highlight w:val="none"/>
        </w:rPr>
        <w:t>7.2因乙方原因延迟交付</w:t>
      </w:r>
      <w:r>
        <w:rPr>
          <w:rFonts w:hint="eastAsia" w:ascii="仿宋_GB2312" w:hAnsi="仿宋_GB2312" w:eastAsia="仿宋_GB2312" w:cs="仿宋_GB2312"/>
          <w:color w:val="auto"/>
          <w:spacing w:val="-6"/>
          <w:sz w:val="24"/>
          <w:highlight w:val="none"/>
          <w:lang w:val="en-US" w:eastAsia="zh-CN"/>
        </w:rPr>
        <w:t>初步</w:t>
      </w:r>
      <w:r>
        <w:rPr>
          <w:rFonts w:hint="eastAsia" w:ascii="仿宋_GB2312" w:hAnsi="仿宋_GB2312" w:eastAsia="仿宋_GB2312" w:cs="仿宋_GB2312"/>
          <w:color w:val="auto"/>
          <w:spacing w:val="-6"/>
          <w:sz w:val="24"/>
          <w:highlight w:val="none"/>
        </w:rPr>
        <w:t>服务成果</w:t>
      </w:r>
      <w:r>
        <w:rPr>
          <w:rFonts w:hint="eastAsia" w:ascii="仿宋_GB2312" w:hAnsi="仿宋_GB2312" w:eastAsia="仿宋_GB2312" w:cs="仿宋_GB2312"/>
          <w:color w:val="auto"/>
          <w:spacing w:val="-6"/>
          <w:sz w:val="24"/>
          <w:highlight w:val="none"/>
          <w:lang w:val="en-US" w:eastAsia="zh-CN"/>
        </w:rPr>
        <w:t>或最终成果</w:t>
      </w:r>
      <w:r>
        <w:rPr>
          <w:rFonts w:hint="eastAsia" w:ascii="仿宋_GB2312" w:hAnsi="仿宋_GB2312" w:eastAsia="仿宋_GB2312" w:cs="仿宋_GB2312"/>
          <w:color w:val="auto"/>
          <w:spacing w:val="-6"/>
          <w:sz w:val="24"/>
          <w:highlight w:val="none"/>
        </w:rPr>
        <w:t>的，每延迟</w:t>
      </w:r>
      <w:r>
        <w:rPr>
          <w:rFonts w:hint="eastAsia" w:ascii="仿宋_GB2312" w:hAnsi="仿宋_GB2312" w:eastAsia="仿宋_GB2312" w:cs="仿宋_GB2312"/>
          <w:color w:val="auto"/>
          <w:spacing w:val="-7"/>
          <w:sz w:val="24"/>
          <w:highlight w:val="none"/>
        </w:rPr>
        <w:t>一</w:t>
      </w:r>
      <w:r>
        <w:rPr>
          <w:rFonts w:hint="eastAsia" w:ascii="仿宋_GB2312" w:hAnsi="仿宋_GB2312" w:eastAsia="仿宋_GB2312" w:cs="仿宋_GB2312"/>
          <w:color w:val="auto"/>
          <w:spacing w:val="-54"/>
          <w:sz w:val="24"/>
          <w:highlight w:val="none"/>
        </w:rPr>
        <w:t xml:space="preserve"> </w:t>
      </w:r>
      <w:r>
        <w:rPr>
          <w:rFonts w:hint="eastAsia" w:ascii="仿宋_GB2312" w:hAnsi="仿宋_GB2312" w:eastAsia="仿宋_GB2312" w:cs="仿宋_GB2312"/>
          <w:color w:val="auto"/>
          <w:spacing w:val="-7"/>
          <w:sz w:val="24"/>
          <w:highlight w:val="none"/>
        </w:rPr>
        <w:t>日，须按合同</w:t>
      </w:r>
      <w:r>
        <w:rPr>
          <w:rFonts w:hint="eastAsia" w:ascii="仿宋_GB2312" w:hAnsi="仿宋_GB2312" w:eastAsia="仿宋_GB2312" w:cs="仿宋_GB2312"/>
          <w:color w:val="auto"/>
          <w:spacing w:val="-7"/>
          <w:sz w:val="24"/>
          <w:highlight w:val="none"/>
          <w:lang w:val="en-US" w:eastAsia="zh-CN"/>
        </w:rPr>
        <w:t>合同总额</w:t>
      </w:r>
      <w:r>
        <w:rPr>
          <w:rFonts w:hint="eastAsia" w:ascii="仿宋_GB2312" w:hAnsi="仿宋_GB2312" w:eastAsia="仿宋_GB2312" w:cs="仿宋_GB2312"/>
          <w:color w:val="auto"/>
          <w:spacing w:val="-3"/>
          <w:sz w:val="24"/>
          <w:highlight w:val="none"/>
        </w:rPr>
        <w:t>的万分之</w:t>
      </w:r>
      <w:r>
        <w:rPr>
          <w:rFonts w:hint="eastAsia" w:ascii="仿宋_GB2312" w:hAnsi="仿宋_GB2312" w:eastAsia="仿宋_GB2312" w:cs="仿宋_GB2312"/>
          <w:color w:val="auto"/>
          <w:spacing w:val="-3"/>
          <w:sz w:val="24"/>
          <w:highlight w:val="none"/>
          <w:lang w:val="en-US" w:eastAsia="zh-CN"/>
        </w:rPr>
        <w:t>一</w:t>
      </w:r>
      <w:r>
        <w:rPr>
          <w:rFonts w:hint="eastAsia" w:ascii="仿宋_GB2312" w:hAnsi="仿宋_GB2312" w:eastAsia="仿宋_GB2312" w:cs="仿宋_GB2312"/>
          <w:color w:val="auto"/>
          <w:spacing w:val="-3"/>
          <w:sz w:val="24"/>
          <w:highlight w:val="none"/>
        </w:rPr>
        <w:t>向甲方支付违约金。</w:t>
      </w:r>
      <w:r>
        <w:rPr>
          <w:rFonts w:hint="eastAsia" w:ascii="仿宋_GB2312" w:hAnsi="仿宋_GB2312" w:eastAsia="仿宋_GB2312" w:cs="仿宋_GB2312"/>
          <w:color w:val="auto"/>
          <w:spacing w:val="-7"/>
          <w:sz w:val="24"/>
          <w:highlight w:val="none"/>
          <w:lang w:val="en-US" w:eastAsia="zh-CN"/>
        </w:rPr>
        <w:t>逾期超30日的，甲方有权解除合同，并要求乙方按合同总额的20%支付违约金，违约金不足以弥补由此造成的实际损失的，应予以补足。</w:t>
      </w:r>
      <w:r>
        <w:rPr>
          <w:rFonts w:hint="eastAsia" w:ascii="仿宋_GB2312" w:hAnsi="仿宋_GB2312" w:eastAsia="仿宋_GB2312" w:cs="仿宋_GB2312"/>
          <w:color w:val="auto"/>
          <w:spacing w:val="-3"/>
          <w:sz w:val="24"/>
          <w:highlight w:val="none"/>
        </w:rPr>
        <w:t>乙方未按约定派</w:t>
      </w:r>
      <w:r>
        <w:rPr>
          <w:rFonts w:hint="eastAsia" w:ascii="仿宋_GB2312" w:hAnsi="仿宋_GB2312" w:eastAsia="仿宋_GB2312" w:cs="仿宋_GB2312"/>
          <w:color w:val="auto"/>
          <w:spacing w:val="-4"/>
          <w:sz w:val="24"/>
          <w:highlight w:val="none"/>
        </w:rPr>
        <w:t>出现场服务人员、擅自更换项目</w:t>
      </w:r>
      <w:r>
        <w:rPr>
          <w:rFonts w:hint="eastAsia" w:ascii="仿宋_GB2312" w:hAnsi="仿宋_GB2312" w:eastAsia="仿宋_GB2312" w:cs="仿宋_GB2312"/>
          <w:color w:val="auto"/>
          <w:spacing w:val="-7"/>
          <w:sz w:val="24"/>
          <w:highlight w:val="none"/>
        </w:rPr>
        <w:t>负责人或技术人员、拒不履行或无故迟延履行配合、咨询义务等的，甲方有权视</w:t>
      </w:r>
      <w:r>
        <w:rPr>
          <w:rFonts w:hint="eastAsia" w:ascii="仿宋_GB2312" w:hAnsi="仿宋_GB2312" w:eastAsia="仿宋_GB2312" w:cs="仿宋_GB2312"/>
          <w:color w:val="auto"/>
          <w:sz w:val="24"/>
          <w:highlight w:val="none"/>
        </w:rPr>
        <w:t>乙方违约情况每次要求乙方按照不超过本合同总价款的3%支付违约金；合同其</w:t>
      </w:r>
      <w:r>
        <w:rPr>
          <w:rFonts w:hint="eastAsia" w:ascii="仿宋_GB2312" w:hAnsi="仿宋_GB2312" w:eastAsia="仿宋_GB2312" w:cs="仿宋_GB2312"/>
          <w:color w:val="auto"/>
          <w:spacing w:val="-2"/>
          <w:sz w:val="24"/>
          <w:highlight w:val="none"/>
        </w:rPr>
        <w:t>他违约责任条款有明确约定的，以该条款约定为</w:t>
      </w:r>
      <w:r>
        <w:rPr>
          <w:rFonts w:hint="eastAsia" w:ascii="仿宋_GB2312" w:hAnsi="仿宋_GB2312" w:eastAsia="仿宋_GB2312" w:cs="仿宋_GB2312"/>
          <w:color w:val="auto"/>
          <w:spacing w:val="-3"/>
          <w:sz w:val="24"/>
          <w:highlight w:val="none"/>
        </w:rPr>
        <w:t>准。</w:t>
      </w:r>
    </w:p>
    <w:p w14:paraId="754271E7">
      <w:pPr>
        <w:pStyle w:val="8"/>
        <w:spacing w:after="0" w:line="560" w:lineRule="exact"/>
        <w:ind w:left="37" w:right="14" w:firstLine="46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3"/>
          <w:sz w:val="24"/>
          <w:highlight w:val="none"/>
        </w:rPr>
        <w:t>7.3 本合同履行期间，发生下述情形时，甲方有权解除本合</w:t>
      </w:r>
      <w:r>
        <w:rPr>
          <w:rFonts w:hint="eastAsia" w:ascii="仿宋_GB2312" w:hAnsi="仿宋_GB2312" w:eastAsia="仿宋_GB2312" w:cs="仿宋_GB2312"/>
          <w:color w:val="auto"/>
          <w:spacing w:val="-4"/>
          <w:sz w:val="24"/>
          <w:highlight w:val="none"/>
        </w:rPr>
        <w:t>同，乙方应向甲</w:t>
      </w:r>
      <w:r>
        <w:rPr>
          <w:rFonts w:hint="eastAsia" w:ascii="仿宋_GB2312" w:hAnsi="仿宋_GB2312" w:eastAsia="仿宋_GB2312" w:cs="仿宋_GB2312"/>
          <w:color w:val="auto"/>
          <w:spacing w:val="-7"/>
          <w:sz w:val="24"/>
          <w:highlight w:val="none"/>
        </w:rPr>
        <w:t>方支付合同总价款</w:t>
      </w:r>
      <w:r>
        <w:rPr>
          <w:rFonts w:hint="eastAsia" w:ascii="仿宋_GB2312" w:hAnsi="仿宋_GB2312" w:eastAsia="仿宋_GB2312" w:cs="仿宋_GB2312"/>
          <w:color w:val="auto"/>
          <w:spacing w:val="-38"/>
          <w:sz w:val="24"/>
          <w:highlight w:val="none"/>
        </w:rPr>
        <w:t xml:space="preserve"> </w:t>
      </w:r>
      <w:r>
        <w:rPr>
          <w:rFonts w:hint="eastAsia" w:ascii="仿宋_GB2312" w:hAnsi="仿宋_GB2312" w:eastAsia="仿宋_GB2312" w:cs="仿宋_GB2312"/>
          <w:color w:val="auto"/>
          <w:spacing w:val="-7"/>
          <w:sz w:val="24"/>
          <w:highlight w:val="none"/>
        </w:rPr>
        <w:t>20%的违约金，同时，甲方保留要求乙方赔偿相应损失的权利：</w:t>
      </w:r>
    </w:p>
    <w:p w14:paraId="56158C61">
      <w:pPr>
        <w:pStyle w:val="8"/>
        <w:spacing w:after="0" w:line="560" w:lineRule="exact"/>
        <w:ind w:left="30"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（1）乙方提交的成果未达到本合同的要求或国家相关规定与行业技术标准、</w:t>
      </w:r>
      <w:r>
        <w:rPr>
          <w:rFonts w:hint="eastAsia" w:ascii="仿宋_GB2312" w:hAnsi="仿宋_GB2312" w:eastAsia="仿宋_GB2312" w:cs="仿宋_GB2312"/>
          <w:color w:val="auto"/>
          <w:spacing w:val="-6"/>
          <w:sz w:val="24"/>
          <w:highlight w:val="none"/>
        </w:rPr>
        <w:t>规定而未通过验收且乙方拒绝整改、完善或重作，或虽如期提交阶段性成果和最</w:t>
      </w:r>
      <w:r>
        <w:rPr>
          <w:rFonts w:hint="eastAsia" w:ascii="仿宋_GB2312" w:hAnsi="仿宋_GB2312" w:eastAsia="仿宋_GB2312" w:cs="仿宋_GB2312"/>
          <w:color w:val="auto"/>
          <w:spacing w:val="-4"/>
          <w:sz w:val="24"/>
          <w:highlight w:val="none"/>
        </w:rPr>
        <w:t>终成果，但成果连续二次未能通过评审验收的；</w:t>
      </w:r>
    </w:p>
    <w:p w14:paraId="3696FCB8">
      <w:pPr>
        <w:pStyle w:val="8"/>
        <w:spacing w:after="0" w:line="560" w:lineRule="exact"/>
        <w:ind w:left="32" w:right="97" w:firstLine="47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（2）发现乙方或乙方工作人员出现全部或</w:t>
      </w:r>
      <w:r>
        <w:rPr>
          <w:rFonts w:hint="eastAsia" w:ascii="仿宋_GB2312" w:hAnsi="仿宋_GB2312" w:eastAsia="仿宋_GB2312" w:cs="仿宋_GB2312"/>
          <w:color w:val="auto"/>
          <w:spacing w:val="-1"/>
          <w:sz w:val="24"/>
          <w:highlight w:val="none"/>
        </w:rPr>
        <w:t>部分丧失履行委托服务能力的情</w:t>
      </w:r>
      <w:r>
        <w:rPr>
          <w:rFonts w:hint="eastAsia" w:ascii="仿宋_GB2312" w:hAnsi="仿宋_GB2312" w:eastAsia="仿宋_GB2312" w:cs="仿宋_GB2312"/>
          <w:color w:val="auto"/>
          <w:sz w:val="24"/>
          <w:highlight w:val="none"/>
        </w:rPr>
        <w:t>况，甲方有权通知乙方【3】日内整改或更换</w:t>
      </w:r>
      <w:r>
        <w:rPr>
          <w:rFonts w:hint="eastAsia" w:ascii="仿宋_GB2312" w:hAnsi="仿宋_GB2312" w:eastAsia="仿宋_GB2312" w:cs="仿宋_GB2312"/>
          <w:color w:val="auto"/>
          <w:spacing w:val="-1"/>
          <w:sz w:val="24"/>
          <w:highlight w:val="none"/>
        </w:rPr>
        <w:t>工作人员，期限届满乙方并未整改</w:t>
      </w:r>
      <w:r>
        <w:rPr>
          <w:rFonts w:hint="eastAsia" w:ascii="仿宋_GB2312" w:hAnsi="仿宋_GB2312" w:eastAsia="仿宋_GB2312" w:cs="仿宋_GB2312"/>
          <w:color w:val="auto"/>
          <w:spacing w:val="-12"/>
          <w:sz w:val="24"/>
          <w:highlight w:val="none"/>
        </w:rPr>
        <w:t>或更换的；</w:t>
      </w:r>
    </w:p>
    <w:p w14:paraId="59F06CF4">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（3）乙方出现破产、解散、被依法关闭、撤销情形或已进入清算阶段</w:t>
      </w:r>
      <w:r>
        <w:rPr>
          <w:rFonts w:hint="eastAsia" w:ascii="仿宋_GB2312" w:hAnsi="仿宋_GB2312" w:eastAsia="仿宋_GB2312" w:cs="仿宋_GB2312"/>
          <w:color w:val="auto"/>
          <w:spacing w:val="-3"/>
          <w:sz w:val="24"/>
          <w:highlight w:val="none"/>
        </w:rPr>
        <w:t>的；</w:t>
      </w:r>
    </w:p>
    <w:p w14:paraId="7AB4AF7F">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3"/>
          <w:sz w:val="24"/>
          <w:highlight w:val="none"/>
        </w:rPr>
        <w:t>（4）乙方明确表示或者以自己的行为表明不履行本合同的；</w:t>
      </w:r>
    </w:p>
    <w:p w14:paraId="61FF3612">
      <w:pPr>
        <w:pStyle w:val="8"/>
        <w:spacing w:after="0" w:line="560" w:lineRule="exact"/>
        <w:ind w:left="34" w:right="105" w:firstLine="4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（5）乙方人员如有索贿、受贿或以其他不正当手段企图获取或己经获取不</w:t>
      </w:r>
      <w:r>
        <w:rPr>
          <w:rFonts w:hint="eastAsia" w:ascii="仿宋_GB2312" w:hAnsi="仿宋_GB2312" w:eastAsia="仿宋_GB2312" w:cs="仿宋_GB2312"/>
          <w:color w:val="auto"/>
          <w:spacing w:val="-5"/>
          <w:sz w:val="24"/>
          <w:highlight w:val="none"/>
        </w:rPr>
        <w:t>正当利益的行为，经查证属实的；</w:t>
      </w:r>
    </w:p>
    <w:p w14:paraId="7EFF2133">
      <w:pPr>
        <w:pStyle w:val="8"/>
        <w:spacing w:after="0" w:line="560" w:lineRule="exact"/>
        <w:ind w:left="43" w:right="102" w:firstLine="46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（6）乙方或乙方项目人员违反本合同保密条款相关约定，擅自披露甲方保</w:t>
      </w:r>
      <w:r>
        <w:rPr>
          <w:rFonts w:hint="eastAsia" w:ascii="仿宋_GB2312" w:hAnsi="仿宋_GB2312" w:eastAsia="仿宋_GB2312" w:cs="仿宋_GB2312"/>
          <w:color w:val="auto"/>
          <w:spacing w:val="-13"/>
          <w:sz w:val="24"/>
          <w:highlight w:val="none"/>
        </w:rPr>
        <w:t>密信息的；</w:t>
      </w:r>
    </w:p>
    <w:p w14:paraId="72F62600">
      <w:pPr>
        <w:pStyle w:val="8"/>
        <w:spacing w:after="0" w:line="560" w:lineRule="exact"/>
        <w:ind w:left="39" w:right="96" w:firstLine="47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（7）乙方违反成果权属等条款约定，侵害</w:t>
      </w:r>
      <w:r>
        <w:rPr>
          <w:rFonts w:hint="eastAsia" w:ascii="仿宋_GB2312" w:hAnsi="仿宋_GB2312" w:eastAsia="仿宋_GB2312" w:cs="仿宋_GB2312"/>
          <w:color w:val="auto"/>
          <w:spacing w:val="-1"/>
          <w:sz w:val="24"/>
          <w:highlight w:val="none"/>
        </w:rPr>
        <w:t>甲方或第三方知识产权或其他合</w:t>
      </w:r>
      <w:r>
        <w:rPr>
          <w:rFonts w:hint="eastAsia" w:ascii="仿宋_GB2312" w:hAnsi="仿宋_GB2312" w:eastAsia="仿宋_GB2312" w:cs="仿宋_GB2312"/>
          <w:color w:val="auto"/>
          <w:spacing w:val="-13"/>
          <w:sz w:val="24"/>
          <w:highlight w:val="none"/>
        </w:rPr>
        <w:t>法权益的；</w:t>
      </w:r>
    </w:p>
    <w:p w14:paraId="1DDDDE02">
      <w:pPr>
        <w:pStyle w:val="8"/>
        <w:spacing w:after="0" w:line="560" w:lineRule="exact"/>
        <w:ind w:left="37" w:right="99" w:firstLine="474"/>
        <w:rPr>
          <w:rFonts w:hint="eastAsia" w:ascii="仿宋_GB2312" w:hAnsi="仿宋_GB2312" w:eastAsia="仿宋_GB2312" w:cs="仿宋_GB2312"/>
          <w:color w:val="auto"/>
          <w:spacing w:val="-4"/>
          <w:sz w:val="24"/>
          <w:highlight w:val="none"/>
        </w:rPr>
      </w:pPr>
      <w:r>
        <w:rPr>
          <w:rFonts w:hint="eastAsia" w:ascii="仿宋_GB2312" w:hAnsi="仿宋_GB2312" w:eastAsia="仿宋_GB2312" w:cs="仿宋_GB2312"/>
          <w:color w:val="auto"/>
          <w:spacing w:val="-1"/>
          <w:sz w:val="24"/>
          <w:highlight w:val="none"/>
        </w:rPr>
        <w:t>（8）出现其他违约行为经甲方通知后【10】个工作日内仍未完成整改或提</w:t>
      </w:r>
      <w:r>
        <w:rPr>
          <w:rFonts w:hint="eastAsia" w:ascii="仿宋_GB2312" w:hAnsi="仿宋_GB2312" w:eastAsia="仿宋_GB2312" w:cs="仿宋_GB2312"/>
          <w:color w:val="auto"/>
          <w:spacing w:val="-4"/>
          <w:sz w:val="24"/>
          <w:highlight w:val="none"/>
        </w:rPr>
        <w:t>交符合甲方要求的整改方案的。</w:t>
      </w:r>
    </w:p>
    <w:p w14:paraId="09A572E6">
      <w:pPr>
        <w:pStyle w:val="8"/>
        <w:spacing w:after="0" w:line="560" w:lineRule="exact"/>
        <w:ind w:left="37" w:right="99" w:firstLine="4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7.</w:t>
      </w:r>
      <w:r>
        <w:rPr>
          <w:rFonts w:hint="eastAsia" w:ascii="仿宋_GB2312" w:hAnsi="仿宋_GB2312" w:eastAsia="仿宋_GB2312" w:cs="仿宋_GB2312"/>
          <w:color w:val="auto"/>
          <w:spacing w:val="-2"/>
          <w:sz w:val="24"/>
          <w:highlight w:val="none"/>
          <w:lang w:val="en-US" w:eastAsia="zh-CN"/>
        </w:rPr>
        <w:t>4</w:t>
      </w:r>
      <w:r>
        <w:rPr>
          <w:rFonts w:hint="eastAsia" w:ascii="仿宋_GB2312" w:hAnsi="仿宋_GB2312" w:eastAsia="仿宋_GB2312" w:cs="仿宋_GB2312"/>
          <w:color w:val="auto"/>
          <w:spacing w:val="-2"/>
          <w:sz w:val="24"/>
          <w:highlight w:val="none"/>
        </w:rPr>
        <w:t>甲乙双方违反本合同保密条款相关约定，擅自披露对方保</w:t>
      </w:r>
      <w:r>
        <w:rPr>
          <w:rFonts w:hint="eastAsia" w:ascii="仿宋_GB2312" w:hAnsi="仿宋_GB2312" w:eastAsia="仿宋_GB2312" w:cs="仿宋_GB2312"/>
          <w:color w:val="auto"/>
          <w:spacing w:val="-3"/>
          <w:sz w:val="24"/>
          <w:highlight w:val="none"/>
        </w:rPr>
        <w:t>密信息的，乙</w:t>
      </w:r>
      <w:r>
        <w:rPr>
          <w:rFonts w:hint="eastAsia" w:ascii="仿宋_GB2312" w:hAnsi="仿宋_GB2312" w:eastAsia="仿宋_GB2312" w:cs="仿宋_GB2312"/>
          <w:color w:val="auto"/>
          <w:spacing w:val="-2"/>
          <w:sz w:val="24"/>
          <w:highlight w:val="none"/>
        </w:rPr>
        <w:t>方按第7.</w:t>
      </w:r>
      <w:r>
        <w:rPr>
          <w:rFonts w:hint="eastAsia" w:ascii="仿宋_GB2312" w:hAnsi="仿宋_GB2312" w:eastAsia="仿宋_GB2312" w:cs="仿宋_GB2312"/>
          <w:color w:val="auto"/>
          <w:spacing w:val="-2"/>
          <w:sz w:val="24"/>
          <w:highlight w:val="none"/>
          <w:lang w:val="en-US" w:eastAsia="zh-CN"/>
        </w:rPr>
        <w:t>3</w:t>
      </w:r>
      <w:r>
        <w:rPr>
          <w:rFonts w:hint="eastAsia" w:ascii="仿宋_GB2312" w:hAnsi="仿宋_GB2312" w:eastAsia="仿宋_GB2312" w:cs="仿宋_GB2312"/>
          <w:color w:val="auto"/>
          <w:spacing w:val="-2"/>
          <w:sz w:val="24"/>
          <w:highlight w:val="none"/>
        </w:rPr>
        <w:t>款约定承担违约责任，甲方按合同总价款20%向乙方支付违约</w:t>
      </w:r>
      <w:r>
        <w:rPr>
          <w:rFonts w:hint="eastAsia" w:ascii="仿宋_GB2312" w:hAnsi="仿宋_GB2312" w:eastAsia="仿宋_GB2312" w:cs="仿宋_GB2312"/>
          <w:color w:val="auto"/>
          <w:spacing w:val="-3"/>
          <w:sz w:val="24"/>
          <w:highlight w:val="none"/>
        </w:rPr>
        <w:t>金；违</w:t>
      </w:r>
      <w:r>
        <w:rPr>
          <w:rFonts w:hint="eastAsia" w:ascii="仿宋_GB2312" w:hAnsi="仿宋_GB2312" w:eastAsia="仿宋_GB2312" w:cs="仿宋_GB2312"/>
          <w:color w:val="auto"/>
          <w:spacing w:val="-2"/>
          <w:sz w:val="24"/>
          <w:highlight w:val="none"/>
        </w:rPr>
        <w:t>约金如低于因违约行为所造成的损失，违约方应补偿不足部分损失。</w:t>
      </w:r>
    </w:p>
    <w:p w14:paraId="7AD092FB">
      <w:pPr>
        <w:pStyle w:val="8"/>
        <w:spacing w:after="0" w:line="560" w:lineRule="exact"/>
        <w:ind w:left="30" w:right="35" w:firstLine="4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7.</w:t>
      </w:r>
      <w:r>
        <w:rPr>
          <w:rFonts w:hint="eastAsia" w:ascii="仿宋_GB2312" w:hAnsi="仿宋_GB2312" w:eastAsia="仿宋_GB2312" w:cs="仿宋_GB2312"/>
          <w:color w:val="auto"/>
          <w:spacing w:val="-2"/>
          <w:sz w:val="24"/>
          <w:highlight w:val="none"/>
          <w:lang w:val="en-US" w:eastAsia="zh-CN"/>
        </w:rPr>
        <w:t>5</w:t>
      </w:r>
      <w:r>
        <w:rPr>
          <w:rFonts w:hint="eastAsia" w:ascii="仿宋_GB2312" w:hAnsi="仿宋_GB2312" w:eastAsia="仿宋_GB2312" w:cs="仿宋_GB2312"/>
          <w:color w:val="auto"/>
          <w:spacing w:val="-2"/>
          <w:sz w:val="24"/>
          <w:highlight w:val="none"/>
        </w:rPr>
        <w:t>乙方提交的服务成果不论是否已通过验收，如经发现存在</w:t>
      </w:r>
      <w:r>
        <w:rPr>
          <w:rFonts w:hint="eastAsia" w:ascii="仿宋_GB2312" w:hAnsi="仿宋_GB2312" w:eastAsia="仿宋_GB2312" w:cs="仿宋_GB2312"/>
          <w:color w:val="auto"/>
          <w:spacing w:val="-3"/>
          <w:sz w:val="24"/>
          <w:highlight w:val="none"/>
        </w:rPr>
        <w:t>下列情形的，甲方均有权对成果内容不予认可或重新视为验收不通过</w:t>
      </w:r>
      <w:r>
        <w:rPr>
          <w:rFonts w:hint="eastAsia" w:ascii="仿宋_GB2312" w:hAnsi="仿宋_GB2312" w:eastAsia="仿宋_GB2312" w:cs="仿宋_GB2312"/>
          <w:color w:val="auto"/>
          <w:spacing w:val="-4"/>
          <w:sz w:val="24"/>
          <w:highlight w:val="none"/>
        </w:rPr>
        <w:t>，乙方应配合纠正。乙方</w:t>
      </w:r>
      <w:r>
        <w:rPr>
          <w:rFonts w:hint="eastAsia" w:ascii="仿宋_GB2312" w:hAnsi="仿宋_GB2312" w:eastAsia="仿宋_GB2312" w:cs="仿宋_GB2312"/>
          <w:color w:val="auto"/>
          <w:spacing w:val="-8"/>
          <w:sz w:val="24"/>
          <w:highlight w:val="none"/>
        </w:rPr>
        <w:t>未按要求纠正的，该部分成果的费用甲方可不予支付，如已支付的乙方应当返还，</w:t>
      </w:r>
      <w:r>
        <w:rPr>
          <w:rFonts w:hint="eastAsia" w:ascii="仿宋_GB2312" w:hAnsi="仿宋_GB2312" w:eastAsia="仿宋_GB2312" w:cs="仿宋_GB2312"/>
          <w:color w:val="auto"/>
          <w:spacing w:val="-2"/>
          <w:sz w:val="24"/>
          <w:highlight w:val="none"/>
        </w:rPr>
        <w:t>但其他已经过甲方验收的部分不受此影响，退返比例参照第8.2条约定的结算</w:t>
      </w:r>
      <w:r>
        <w:rPr>
          <w:rFonts w:hint="eastAsia" w:ascii="仿宋_GB2312" w:hAnsi="仿宋_GB2312" w:eastAsia="仿宋_GB2312" w:cs="仿宋_GB2312"/>
          <w:color w:val="auto"/>
          <w:spacing w:val="-11"/>
          <w:sz w:val="24"/>
          <w:highlight w:val="none"/>
        </w:rPr>
        <w:t>规则执行：</w:t>
      </w:r>
    </w:p>
    <w:p w14:paraId="3D4CA621">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6"/>
          <w:sz w:val="24"/>
          <w:highlight w:val="none"/>
        </w:rPr>
        <w:t>（1）格式、语言不规范；</w:t>
      </w:r>
    </w:p>
    <w:p w14:paraId="6EC525D7">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8"/>
          <w:sz w:val="24"/>
          <w:highlight w:val="none"/>
        </w:rPr>
        <w:t>（2）逻辑混乱；</w:t>
      </w:r>
    </w:p>
    <w:p w14:paraId="0D90566B">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（3）引用、数据不真实或者错误；</w:t>
      </w:r>
    </w:p>
    <w:p w14:paraId="17548708">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（4）研究质量不符合约定标准；</w:t>
      </w:r>
    </w:p>
    <w:p w14:paraId="22006B81">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（5）其他导致成果无法使用或明显质量低下的成果。</w:t>
      </w:r>
    </w:p>
    <w:p w14:paraId="32802CB8">
      <w:pPr>
        <w:pStyle w:val="8"/>
        <w:spacing w:after="0" w:line="560" w:lineRule="exact"/>
        <w:ind w:left="31" w:firstLine="47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7.</w:t>
      </w:r>
      <w:r>
        <w:rPr>
          <w:rFonts w:hint="eastAsia" w:ascii="仿宋_GB2312" w:hAnsi="仿宋_GB2312" w:eastAsia="仿宋_GB2312" w:cs="仿宋_GB2312"/>
          <w:color w:val="auto"/>
          <w:spacing w:val="-4"/>
          <w:sz w:val="24"/>
          <w:highlight w:val="none"/>
          <w:lang w:val="en-US" w:eastAsia="zh-CN"/>
        </w:rPr>
        <w:t>6</w:t>
      </w:r>
      <w:r>
        <w:rPr>
          <w:rFonts w:hint="eastAsia" w:ascii="仿宋_GB2312" w:hAnsi="仿宋_GB2312" w:eastAsia="仿宋_GB2312" w:cs="仿宋_GB2312"/>
          <w:color w:val="auto"/>
          <w:spacing w:val="-4"/>
          <w:sz w:val="24"/>
          <w:highlight w:val="none"/>
        </w:rPr>
        <w:t>乙方应审慎勤勉地履行本合同项下各项服务内容，</w:t>
      </w:r>
      <w:r>
        <w:rPr>
          <w:rFonts w:hint="eastAsia" w:ascii="仿宋_GB2312" w:hAnsi="仿宋_GB2312" w:eastAsia="仿宋_GB2312" w:cs="仿宋_GB2312"/>
          <w:color w:val="auto"/>
          <w:spacing w:val="-5"/>
          <w:sz w:val="24"/>
          <w:highlight w:val="none"/>
        </w:rPr>
        <w:t>如甲方基于乙方服务</w:t>
      </w:r>
      <w:r>
        <w:rPr>
          <w:rFonts w:hint="eastAsia" w:ascii="仿宋_GB2312" w:hAnsi="仿宋_GB2312" w:eastAsia="仿宋_GB2312" w:cs="仿宋_GB2312"/>
          <w:color w:val="auto"/>
          <w:spacing w:val="-7"/>
          <w:sz w:val="24"/>
          <w:highlight w:val="none"/>
        </w:rPr>
        <w:t>成果作出相应决策或开展相应工作后，给甲方造成损失（包括财产、名誉损失等）</w:t>
      </w:r>
      <w:r>
        <w:rPr>
          <w:rFonts w:hint="eastAsia" w:ascii="仿宋_GB2312" w:hAnsi="仿宋_GB2312" w:eastAsia="仿宋_GB2312" w:cs="仿宋_GB2312"/>
          <w:color w:val="auto"/>
          <w:spacing w:val="-3"/>
          <w:sz w:val="24"/>
          <w:highlight w:val="none"/>
        </w:rPr>
        <w:t>或不利影响的，甲方有权终止合同，如有未支付的款</w:t>
      </w:r>
      <w:r>
        <w:rPr>
          <w:rFonts w:hint="eastAsia" w:ascii="仿宋_GB2312" w:hAnsi="仿宋_GB2312" w:eastAsia="仿宋_GB2312" w:cs="仿宋_GB2312"/>
          <w:color w:val="auto"/>
          <w:spacing w:val="-4"/>
          <w:sz w:val="24"/>
          <w:highlight w:val="none"/>
        </w:rPr>
        <w:t>项不再支付给乙方，且乙方</w:t>
      </w:r>
      <w:r>
        <w:rPr>
          <w:rFonts w:hint="eastAsia" w:ascii="仿宋_GB2312" w:hAnsi="仿宋_GB2312" w:eastAsia="仿宋_GB2312" w:cs="仿宋_GB2312"/>
          <w:color w:val="auto"/>
          <w:spacing w:val="-3"/>
          <w:sz w:val="24"/>
          <w:highlight w:val="none"/>
        </w:rPr>
        <w:t>应在甲方损失范围（包括但不限于违约金、赔偿金、处</w:t>
      </w:r>
      <w:r>
        <w:rPr>
          <w:rFonts w:hint="eastAsia" w:ascii="仿宋_GB2312" w:hAnsi="仿宋_GB2312" w:eastAsia="仿宋_GB2312" w:cs="仿宋_GB2312"/>
          <w:color w:val="auto"/>
          <w:spacing w:val="-4"/>
          <w:sz w:val="24"/>
          <w:highlight w:val="none"/>
        </w:rPr>
        <w:t>罚金、诉讼费、证据保全</w:t>
      </w:r>
      <w:r>
        <w:rPr>
          <w:rFonts w:hint="eastAsia" w:ascii="仿宋_GB2312" w:hAnsi="仿宋_GB2312" w:eastAsia="仿宋_GB2312" w:cs="仿宋_GB2312"/>
          <w:color w:val="auto"/>
          <w:spacing w:val="-7"/>
          <w:sz w:val="24"/>
          <w:highlight w:val="none"/>
        </w:rPr>
        <w:t>费、公证费、合理的处理费、律师费及差旅费等）及为消除不利影响而承担的费</w:t>
      </w:r>
      <w:r>
        <w:rPr>
          <w:rFonts w:hint="eastAsia" w:ascii="仿宋_GB2312" w:hAnsi="仿宋_GB2312" w:eastAsia="仿宋_GB2312" w:cs="仿宋_GB2312"/>
          <w:color w:val="auto"/>
          <w:spacing w:val="-8"/>
          <w:sz w:val="24"/>
          <w:highlight w:val="none"/>
        </w:rPr>
        <w:t>用内予以补偿，该补偿义务不因服务期满而终止；如前述损失及费用难以定量的，</w:t>
      </w:r>
      <w:r>
        <w:rPr>
          <w:rFonts w:hint="eastAsia" w:ascii="仿宋_GB2312" w:hAnsi="仿宋_GB2312" w:eastAsia="仿宋_GB2312" w:cs="仿宋_GB2312"/>
          <w:color w:val="auto"/>
          <w:spacing w:val="-1"/>
          <w:sz w:val="24"/>
          <w:highlight w:val="none"/>
        </w:rPr>
        <w:t>甲方有权要求乙方按合同总价款的【15%】</w:t>
      </w:r>
      <w:r>
        <w:rPr>
          <w:rFonts w:hint="eastAsia" w:ascii="仿宋_GB2312" w:hAnsi="仿宋_GB2312" w:eastAsia="仿宋_GB2312" w:cs="仿宋_GB2312"/>
          <w:color w:val="auto"/>
          <w:spacing w:val="-2"/>
          <w:sz w:val="24"/>
          <w:highlight w:val="none"/>
        </w:rPr>
        <w:t>予以补偿，乙方对此无异议。</w:t>
      </w:r>
    </w:p>
    <w:p w14:paraId="7163370C">
      <w:pPr>
        <w:pStyle w:val="8"/>
        <w:spacing w:after="0" w:line="560" w:lineRule="exact"/>
        <w:ind w:left="0" w:right="0" w:firstLine="47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7.</w:t>
      </w:r>
      <w:r>
        <w:rPr>
          <w:rFonts w:hint="eastAsia" w:ascii="仿宋_GB2312" w:hAnsi="仿宋_GB2312" w:eastAsia="仿宋_GB2312" w:cs="仿宋_GB2312"/>
          <w:color w:val="auto"/>
          <w:spacing w:val="-5"/>
          <w:sz w:val="24"/>
          <w:highlight w:val="none"/>
          <w:lang w:val="en-US" w:eastAsia="zh-CN"/>
        </w:rPr>
        <w:t>7</w:t>
      </w:r>
      <w:r>
        <w:rPr>
          <w:rFonts w:hint="eastAsia" w:ascii="仿宋_GB2312" w:hAnsi="仿宋_GB2312" w:eastAsia="仿宋_GB2312" w:cs="仿宋_GB2312"/>
          <w:color w:val="auto"/>
          <w:spacing w:val="-5"/>
          <w:sz w:val="24"/>
          <w:highlight w:val="none"/>
        </w:rPr>
        <w:t>甲方有权直接从应付未付的款项中扣除乙方应承担的费用、损失、违约</w:t>
      </w:r>
      <w:r>
        <w:rPr>
          <w:rFonts w:hint="eastAsia" w:ascii="仿宋_GB2312" w:hAnsi="仿宋_GB2312" w:eastAsia="仿宋_GB2312" w:cs="仿宋_GB2312"/>
          <w:color w:val="auto"/>
          <w:spacing w:val="-3"/>
          <w:sz w:val="24"/>
          <w:highlight w:val="none"/>
        </w:rPr>
        <w:t>金、赔偿金、补偿金及其他应由乙方承担的款项。</w:t>
      </w:r>
      <w:r>
        <w:rPr>
          <w:rFonts w:hint="eastAsia" w:ascii="仿宋_GB2312" w:hAnsi="仿宋_GB2312" w:eastAsia="仿宋_GB2312" w:cs="仿宋_GB2312"/>
          <w:color w:val="auto"/>
          <w:spacing w:val="-4"/>
          <w:sz w:val="24"/>
          <w:highlight w:val="none"/>
        </w:rPr>
        <w:t>甲方收取违约金的权利不影响</w:t>
      </w:r>
      <w:r>
        <w:rPr>
          <w:rFonts w:hint="eastAsia" w:ascii="仿宋_GB2312" w:hAnsi="仿宋_GB2312" w:eastAsia="仿宋_GB2312" w:cs="仿宋_GB2312"/>
          <w:color w:val="auto"/>
          <w:spacing w:val="-3"/>
          <w:sz w:val="24"/>
          <w:highlight w:val="none"/>
        </w:rPr>
        <w:t>甲方根据本合同或适用的法律享有的其他权利。</w:t>
      </w:r>
    </w:p>
    <w:p w14:paraId="38814393">
      <w:pPr>
        <w:pStyle w:val="8"/>
        <w:spacing w:line="560" w:lineRule="exact"/>
        <w:ind w:firstLine="47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3"/>
          <w:sz w:val="24"/>
          <w:highlight w:val="none"/>
        </w:rPr>
        <w:t>7.</w:t>
      </w:r>
      <w:r>
        <w:rPr>
          <w:rFonts w:hint="eastAsia" w:ascii="仿宋_GB2312" w:hAnsi="仿宋_GB2312" w:eastAsia="仿宋_GB2312" w:cs="仿宋_GB2312"/>
          <w:color w:val="auto"/>
          <w:spacing w:val="-3"/>
          <w:sz w:val="24"/>
          <w:highlight w:val="none"/>
          <w:lang w:val="en-US" w:eastAsia="zh-CN"/>
        </w:rPr>
        <w:t>8</w:t>
      </w:r>
      <w:r>
        <w:rPr>
          <w:rFonts w:hint="eastAsia" w:ascii="仿宋_GB2312" w:hAnsi="仿宋_GB2312" w:eastAsia="仿宋_GB2312" w:cs="仿宋_GB2312"/>
          <w:color w:val="auto"/>
          <w:spacing w:val="-3"/>
          <w:sz w:val="24"/>
          <w:highlight w:val="none"/>
        </w:rPr>
        <w:t>本合同所约定的违约金如低于因违约行为所造成的损失，</w:t>
      </w:r>
      <w:r>
        <w:rPr>
          <w:rFonts w:hint="eastAsia" w:ascii="仿宋_GB2312" w:hAnsi="仿宋_GB2312" w:eastAsia="仿宋_GB2312" w:cs="仿宋_GB2312"/>
          <w:color w:val="auto"/>
          <w:spacing w:val="-4"/>
          <w:sz w:val="24"/>
          <w:highlight w:val="none"/>
        </w:rPr>
        <w:t>违约方应补偿</w:t>
      </w:r>
      <w:r>
        <w:rPr>
          <w:rFonts w:hint="eastAsia" w:ascii="仿宋_GB2312" w:hAnsi="仿宋_GB2312" w:eastAsia="仿宋_GB2312" w:cs="仿宋_GB2312"/>
          <w:color w:val="auto"/>
          <w:spacing w:val="-5"/>
          <w:sz w:val="24"/>
          <w:highlight w:val="none"/>
        </w:rPr>
        <w:t>上述不足部分的损失。</w:t>
      </w:r>
    </w:p>
    <w:p w14:paraId="7557C17B">
      <w:pPr>
        <w:pStyle w:val="8"/>
        <w:spacing w:after="0" w:line="560" w:lineRule="exact"/>
        <w:ind w:left="0" w:firstLine="426" w:firstLineChars="200"/>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pacing w:val="-14"/>
          <w:sz w:val="24"/>
          <w:highlight w:val="none"/>
        </w:rPr>
        <w:t>第八条</w:t>
      </w:r>
      <w:r>
        <w:rPr>
          <w:rFonts w:hint="eastAsia" w:ascii="仿宋_GB2312" w:hAnsi="仿宋_GB2312" w:eastAsia="仿宋_GB2312" w:cs="仿宋_GB2312"/>
          <w:color w:val="auto"/>
          <w:spacing w:val="22"/>
          <w:sz w:val="24"/>
          <w:highlight w:val="none"/>
        </w:rPr>
        <w:t xml:space="preserve"> </w:t>
      </w:r>
      <w:r>
        <w:rPr>
          <w:rFonts w:hint="eastAsia" w:ascii="仿宋_GB2312" w:hAnsi="仿宋_GB2312" w:eastAsia="仿宋_GB2312" w:cs="仿宋_GB2312"/>
          <w:b/>
          <w:bCs/>
          <w:color w:val="auto"/>
          <w:spacing w:val="-14"/>
          <w:sz w:val="24"/>
          <w:highlight w:val="none"/>
        </w:rPr>
        <w:t>合同解除</w:t>
      </w:r>
    </w:p>
    <w:p w14:paraId="02E0B2CA">
      <w:pPr>
        <w:pStyle w:val="8"/>
        <w:spacing w:after="0" w:line="560" w:lineRule="exact"/>
        <w:ind w:left="0" w:right="0" w:firstLine="48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8.1 本合同履行过程中出现以下情形之一的，任何一方均可书面通知对方解除合同：</w:t>
      </w:r>
    </w:p>
    <w:p w14:paraId="39CCB8FB">
      <w:pPr>
        <w:pStyle w:val="8"/>
        <w:spacing w:after="0" w:line="560" w:lineRule="exact"/>
        <w:ind w:left="33" w:right="108" w:firstLine="48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（1）非归责于任何一方的原因，本合同范围内项目取消的；</w:t>
      </w:r>
    </w:p>
    <w:p w14:paraId="5866AA49">
      <w:pPr>
        <w:pStyle w:val="8"/>
        <w:spacing w:after="0" w:line="560" w:lineRule="exact"/>
        <w:ind w:left="33" w:right="108" w:firstLine="48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（2）非归责于任何一方的原因，本合同范围内项目长期暂停，超过60天的；</w:t>
      </w:r>
    </w:p>
    <w:p w14:paraId="5FC75CEB">
      <w:pPr>
        <w:pStyle w:val="8"/>
        <w:spacing w:after="0" w:line="560" w:lineRule="exact"/>
        <w:ind w:left="33" w:right="108" w:firstLine="48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（3）甲方的职能发生转变，不再具有委托职能；</w:t>
      </w:r>
    </w:p>
    <w:p w14:paraId="72ABCD00">
      <w:pPr>
        <w:pStyle w:val="8"/>
        <w:spacing w:after="0" w:line="560" w:lineRule="exact"/>
        <w:ind w:left="33" w:right="108" w:firstLine="48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（4）本合同签订时适用的法律法规或政策发生变化，且对本合同的继续履行造成重大影响；</w:t>
      </w:r>
    </w:p>
    <w:p w14:paraId="157B4C9D">
      <w:pPr>
        <w:pStyle w:val="8"/>
        <w:spacing w:after="0" w:line="560" w:lineRule="exact"/>
        <w:ind w:left="33" w:right="108" w:firstLine="48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（5）其它非归责于任何一方的原因导致合同目的不能实现情形。</w:t>
      </w:r>
    </w:p>
    <w:p w14:paraId="37874BCA">
      <w:pPr>
        <w:pStyle w:val="8"/>
        <w:spacing w:after="0" w:line="560" w:lineRule="exact"/>
        <w:ind w:left="33" w:right="108" w:firstLine="48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8.2 本合同履行期间</w:t>
      </w:r>
      <w:r>
        <w:rPr>
          <w:rFonts w:hint="eastAsia" w:ascii="仿宋_GB2312" w:hAnsi="仿宋_GB2312" w:eastAsia="仿宋_GB2312" w:cs="仿宋_GB2312"/>
          <w:strike w:val="0"/>
          <w:color w:val="auto"/>
          <w:sz w:val="24"/>
          <w:highlight w:val="none"/>
        </w:rPr>
        <w:t>，因上述情形造成</w:t>
      </w:r>
      <w:r>
        <w:rPr>
          <w:rFonts w:hint="eastAsia" w:ascii="仿宋_GB2312" w:hAnsi="仿宋_GB2312" w:eastAsia="仿宋_GB2312" w:cs="仿宋_GB2312"/>
          <w:color w:val="auto"/>
          <w:sz w:val="24"/>
          <w:highlight w:val="none"/>
        </w:rPr>
        <w:t>合同解除</w:t>
      </w:r>
      <w:r>
        <w:rPr>
          <w:rFonts w:hint="eastAsia" w:ascii="仿宋_GB2312" w:hAnsi="仿宋_GB2312" w:eastAsia="仿宋_GB2312" w:cs="仿宋_GB2312"/>
          <w:color w:val="auto"/>
          <w:sz w:val="24"/>
          <w:highlight w:val="none"/>
          <w:lang w:val="en-US" w:eastAsia="zh-CN"/>
        </w:rPr>
        <w:t>的</w:t>
      </w:r>
      <w:r>
        <w:rPr>
          <w:rFonts w:hint="eastAsia" w:ascii="仿宋_GB2312" w:hAnsi="仿宋_GB2312" w:eastAsia="仿宋_GB2312" w:cs="仿宋_GB2312"/>
          <w:color w:val="auto"/>
          <w:sz w:val="24"/>
          <w:highlight w:val="none"/>
        </w:rPr>
        <w:t>，甲方应按乙方已经完成并验收合格的工作量向乙方支付费用，如未全部完成或未验收合格的，该部分占比费用将不予结算；乙方应将已完成的阶段性成果移交给甲方，并退还全部有关资料或予以销毁、删除。</w:t>
      </w:r>
    </w:p>
    <w:p w14:paraId="085A87D6">
      <w:pPr>
        <w:pStyle w:val="8"/>
        <w:spacing w:after="0" w:line="560" w:lineRule="exact"/>
        <w:ind w:left="128" w:right="14" w:firstLine="49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8.3甲方明确表示或者以自己的行为表明不履行本合同的，乙方有权解除</w:t>
      </w:r>
      <w:r>
        <w:rPr>
          <w:rFonts w:hint="eastAsia" w:ascii="仿宋_GB2312" w:hAnsi="仿宋_GB2312" w:eastAsia="仿宋_GB2312" w:cs="仿宋_GB2312"/>
          <w:color w:val="auto"/>
          <w:spacing w:val="-7"/>
          <w:sz w:val="24"/>
          <w:highlight w:val="none"/>
        </w:rPr>
        <w:t>合同。乙方未开始提供服务的，甲方不支付任何费用，已支付的乙方应全额退还</w:t>
      </w:r>
      <w:r>
        <w:rPr>
          <w:rFonts w:hint="eastAsia" w:ascii="仿宋_GB2312" w:hAnsi="仿宋_GB2312" w:eastAsia="仿宋_GB2312" w:cs="仿宋_GB2312"/>
          <w:color w:val="auto"/>
          <w:spacing w:val="-3"/>
          <w:sz w:val="24"/>
          <w:highlight w:val="none"/>
        </w:rPr>
        <w:t>给甲方；已开始提供服务的，甲方按乙方已经完成</w:t>
      </w:r>
      <w:r>
        <w:rPr>
          <w:rFonts w:hint="eastAsia" w:ascii="仿宋_GB2312" w:hAnsi="仿宋_GB2312" w:eastAsia="仿宋_GB2312" w:cs="仿宋_GB2312"/>
          <w:color w:val="auto"/>
          <w:spacing w:val="-4"/>
          <w:sz w:val="24"/>
          <w:highlight w:val="none"/>
        </w:rPr>
        <w:t>并验收合格的工作量向乙方支</w:t>
      </w:r>
      <w:r>
        <w:rPr>
          <w:rFonts w:hint="eastAsia" w:ascii="仿宋_GB2312" w:hAnsi="仿宋_GB2312" w:eastAsia="仿宋_GB2312" w:cs="仿宋_GB2312"/>
          <w:color w:val="auto"/>
          <w:spacing w:val="-2"/>
          <w:sz w:val="24"/>
          <w:highlight w:val="none"/>
        </w:rPr>
        <w:t>付费用，费用结算按</w:t>
      </w:r>
      <w:r>
        <w:rPr>
          <w:rFonts w:hint="eastAsia" w:ascii="仿宋_GB2312" w:hAnsi="仿宋_GB2312" w:eastAsia="仿宋_GB2312" w:cs="仿宋_GB2312"/>
          <w:color w:val="auto"/>
          <w:spacing w:val="-2"/>
          <w:sz w:val="24"/>
          <w:highlight w:val="none"/>
          <w:lang w:val="en-US" w:eastAsia="zh-CN"/>
        </w:rPr>
        <w:t>8</w:t>
      </w:r>
      <w:r>
        <w:rPr>
          <w:rFonts w:hint="eastAsia" w:ascii="仿宋_GB2312" w:hAnsi="仿宋_GB2312" w:eastAsia="仿宋_GB2312" w:cs="仿宋_GB2312"/>
          <w:color w:val="auto"/>
          <w:spacing w:val="-2"/>
          <w:sz w:val="24"/>
          <w:highlight w:val="none"/>
        </w:rPr>
        <w:t>.2</w:t>
      </w:r>
      <w:r>
        <w:rPr>
          <w:rFonts w:hint="eastAsia" w:ascii="仿宋_GB2312" w:hAnsi="仿宋_GB2312" w:eastAsia="仿宋_GB2312" w:cs="仿宋_GB2312"/>
          <w:color w:val="auto"/>
          <w:spacing w:val="-32"/>
          <w:sz w:val="24"/>
          <w:highlight w:val="none"/>
        </w:rPr>
        <w:t xml:space="preserve"> </w:t>
      </w:r>
      <w:r>
        <w:rPr>
          <w:rFonts w:hint="eastAsia" w:ascii="仿宋_GB2312" w:hAnsi="仿宋_GB2312" w:eastAsia="仿宋_GB2312" w:cs="仿宋_GB2312"/>
          <w:color w:val="auto"/>
          <w:spacing w:val="-2"/>
          <w:sz w:val="24"/>
          <w:highlight w:val="none"/>
        </w:rPr>
        <w:t>条约定的结算规则执行。乙方应同时将已完成的阶段成果移交给甲方，并退还全部有关资料或予以销毁、删除。</w:t>
      </w:r>
    </w:p>
    <w:p w14:paraId="5505A3A1">
      <w:pPr>
        <w:pStyle w:val="8"/>
        <w:spacing w:after="0" w:line="560" w:lineRule="exact"/>
        <w:ind w:left="32" w:right="67" w:firstLine="489"/>
        <w:rPr>
          <w:rFonts w:hint="eastAsia" w:ascii="仿宋_GB2312" w:hAnsi="仿宋_GB2312" w:eastAsia="仿宋_GB2312" w:cs="仿宋_GB2312"/>
          <w:b/>
          <w:bCs/>
          <w:color w:val="auto"/>
          <w:spacing w:val="-14"/>
          <w:sz w:val="24"/>
          <w:highlight w:val="none"/>
        </w:rPr>
      </w:pPr>
      <w:r>
        <w:rPr>
          <w:rFonts w:hint="eastAsia" w:ascii="仿宋_GB2312" w:hAnsi="仿宋_GB2312" w:eastAsia="仿宋_GB2312" w:cs="仿宋_GB2312"/>
          <w:b/>
          <w:bCs/>
          <w:color w:val="auto"/>
          <w:spacing w:val="-14"/>
          <w:sz w:val="24"/>
          <w:highlight w:val="none"/>
        </w:rPr>
        <w:t>第九条</w:t>
      </w:r>
      <w:r>
        <w:rPr>
          <w:rFonts w:hint="eastAsia" w:ascii="仿宋_GB2312" w:hAnsi="仿宋_GB2312" w:eastAsia="仿宋_GB2312" w:cs="仿宋_GB2312"/>
          <w:color w:val="auto"/>
          <w:spacing w:val="21"/>
          <w:sz w:val="24"/>
          <w:highlight w:val="none"/>
        </w:rPr>
        <w:t xml:space="preserve"> </w:t>
      </w:r>
      <w:r>
        <w:rPr>
          <w:rFonts w:hint="eastAsia" w:ascii="仿宋_GB2312" w:hAnsi="仿宋_GB2312" w:eastAsia="仿宋_GB2312" w:cs="仿宋_GB2312"/>
          <w:b/>
          <w:bCs/>
          <w:color w:val="auto"/>
          <w:spacing w:val="-14"/>
          <w:sz w:val="24"/>
          <w:highlight w:val="none"/>
        </w:rPr>
        <w:t>不可抗力</w:t>
      </w:r>
    </w:p>
    <w:p w14:paraId="057DD667">
      <w:pPr>
        <w:pStyle w:val="8"/>
        <w:spacing w:after="0" w:line="560" w:lineRule="exact"/>
        <w:ind w:left="32" w:right="67" w:firstLine="48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9.1“不可抗力”事件指一方无法控制致使该方无</w:t>
      </w:r>
      <w:r>
        <w:rPr>
          <w:rFonts w:hint="eastAsia" w:ascii="仿宋_GB2312" w:hAnsi="仿宋_GB2312" w:eastAsia="仿宋_GB2312" w:cs="仿宋_GB2312"/>
          <w:color w:val="auto"/>
          <w:spacing w:val="-1"/>
          <w:sz w:val="24"/>
          <w:highlight w:val="none"/>
        </w:rPr>
        <w:t>法完全履行其在本合同</w:t>
      </w:r>
      <w:r>
        <w:rPr>
          <w:rFonts w:hint="eastAsia" w:ascii="仿宋_GB2312" w:hAnsi="仿宋_GB2312" w:eastAsia="仿宋_GB2312" w:cs="仿宋_GB2312"/>
          <w:color w:val="auto"/>
          <w:spacing w:val="-3"/>
          <w:sz w:val="24"/>
          <w:highlight w:val="none"/>
        </w:rPr>
        <w:t>项下义务的事件。不可抗力事件包括但不限于政府</w:t>
      </w:r>
      <w:r>
        <w:rPr>
          <w:rFonts w:hint="eastAsia" w:ascii="仿宋_GB2312" w:hAnsi="仿宋_GB2312" w:eastAsia="仿宋_GB2312" w:cs="仿宋_GB2312"/>
          <w:color w:val="auto"/>
          <w:spacing w:val="-4"/>
          <w:sz w:val="24"/>
          <w:highlight w:val="none"/>
        </w:rPr>
        <w:t>或政府机构的禁令或行为，暴</w:t>
      </w:r>
      <w:r>
        <w:rPr>
          <w:rFonts w:hint="eastAsia" w:ascii="仿宋_GB2312" w:hAnsi="仿宋_GB2312" w:eastAsia="仿宋_GB2312" w:cs="仿宋_GB2312"/>
          <w:color w:val="auto"/>
          <w:spacing w:val="-8"/>
          <w:sz w:val="24"/>
          <w:highlight w:val="none"/>
        </w:rPr>
        <w:t>乱、战争、敌对状态、公共骚乱、罢工或其他劳务纠纷和停工，运输</w:t>
      </w:r>
      <w:r>
        <w:rPr>
          <w:rFonts w:hint="eastAsia" w:ascii="仿宋_GB2312" w:hAnsi="仿宋_GB2312" w:eastAsia="仿宋_GB2312" w:cs="仿宋_GB2312"/>
          <w:color w:val="auto"/>
          <w:spacing w:val="-9"/>
          <w:sz w:val="24"/>
          <w:highlight w:val="none"/>
        </w:rPr>
        <w:t>或其他设施</w:t>
      </w:r>
      <w:r>
        <w:rPr>
          <w:rFonts w:hint="eastAsia" w:ascii="仿宋_GB2312" w:hAnsi="仿宋_GB2312" w:eastAsia="仿宋_GB2312" w:cs="仿宋_GB2312"/>
          <w:color w:val="auto"/>
          <w:spacing w:val="-2"/>
          <w:sz w:val="24"/>
          <w:highlight w:val="none"/>
        </w:rPr>
        <w:t>停顿或中断、瘟疫、火灾、水灾、地震、风暴或其他自然现象等。</w:t>
      </w:r>
    </w:p>
    <w:p w14:paraId="54964511">
      <w:pPr>
        <w:pStyle w:val="8"/>
        <w:spacing w:after="0" w:line="560" w:lineRule="exact"/>
        <w:ind w:left="30" w:firstLine="49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7"/>
          <w:sz w:val="24"/>
          <w:highlight w:val="none"/>
        </w:rPr>
        <w:t>9.2 若发生不可抗力事件直接影响本合同的履行或使</w:t>
      </w:r>
      <w:r>
        <w:rPr>
          <w:rFonts w:hint="eastAsia" w:ascii="仿宋_GB2312" w:hAnsi="仿宋_GB2312" w:eastAsia="仿宋_GB2312" w:cs="仿宋_GB2312"/>
          <w:color w:val="auto"/>
          <w:spacing w:val="6"/>
          <w:sz w:val="24"/>
          <w:highlight w:val="none"/>
        </w:rPr>
        <w:t>本合同不能完全履</w:t>
      </w:r>
      <w:r>
        <w:rPr>
          <w:rFonts w:hint="eastAsia" w:ascii="仿宋_GB2312" w:hAnsi="仿宋_GB2312" w:eastAsia="仿宋_GB2312" w:cs="仿宋_GB2312"/>
          <w:color w:val="auto"/>
          <w:spacing w:val="-8"/>
          <w:sz w:val="24"/>
          <w:highlight w:val="none"/>
        </w:rPr>
        <w:t>行，遭受不可抗力事件的一方应在事件发生后（因不可抗力事件导致通讯中断的，</w:t>
      </w:r>
      <w:r>
        <w:rPr>
          <w:rFonts w:hint="eastAsia" w:ascii="仿宋_GB2312" w:hAnsi="仿宋_GB2312" w:eastAsia="仿宋_GB2312" w:cs="仿宋_GB2312"/>
          <w:color w:val="auto"/>
          <w:sz w:val="24"/>
          <w:highlight w:val="none"/>
        </w:rPr>
        <w:t>则为恢复通讯之日后）24小时内通过电话或传真将事件的状况通知另一方，并</w:t>
      </w:r>
      <w:r>
        <w:rPr>
          <w:rFonts w:hint="eastAsia" w:ascii="仿宋_GB2312" w:hAnsi="仿宋_GB2312" w:eastAsia="仿宋_GB2312" w:cs="仿宋_GB2312"/>
          <w:color w:val="auto"/>
          <w:spacing w:val="-2"/>
          <w:sz w:val="24"/>
          <w:highlight w:val="none"/>
        </w:rPr>
        <w:t>应在事件发生后10</w:t>
      </w:r>
      <w:r>
        <w:rPr>
          <w:rFonts w:hint="eastAsia" w:ascii="仿宋_GB2312" w:hAnsi="仿宋_GB2312" w:eastAsia="仿宋_GB2312" w:cs="仿宋_GB2312"/>
          <w:color w:val="auto"/>
          <w:spacing w:val="-34"/>
          <w:sz w:val="24"/>
          <w:highlight w:val="none"/>
        </w:rPr>
        <w:t xml:space="preserve"> </w:t>
      </w:r>
      <w:r>
        <w:rPr>
          <w:rFonts w:hint="eastAsia" w:ascii="仿宋_GB2312" w:hAnsi="仿宋_GB2312" w:eastAsia="仿宋_GB2312" w:cs="仿宋_GB2312"/>
          <w:color w:val="auto"/>
          <w:spacing w:val="-2"/>
          <w:sz w:val="24"/>
          <w:highlight w:val="none"/>
        </w:rPr>
        <w:t>天内向另一方提供事件的详情及证明其不能履行、需延期履</w:t>
      </w:r>
      <w:r>
        <w:rPr>
          <w:rFonts w:hint="eastAsia" w:ascii="仿宋_GB2312" w:hAnsi="仿宋_GB2312" w:eastAsia="仿宋_GB2312" w:cs="仿宋_GB2312"/>
          <w:color w:val="auto"/>
          <w:spacing w:val="-3"/>
          <w:sz w:val="24"/>
          <w:highlight w:val="none"/>
        </w:rPr>
        <w:t>行或者只能部分履行本合同的有效证明文件。双方按事</w:t>
      </w:r>
      <w:r>
        <w:rPr>
          <w:rFonts w:hint="eastAsia" w:ascii="仿宋_GB2312" w:hAnsi="仿宋_GB2312" w:eastAsia="仿宋_GB2312" w:cs="仿宋_GB2312"/>
          <w:color w:val="auto"/>
          <w:spacing w:val="-4"/>
          <w:sz w:val="24"/>
          <w:highlight w:val="none"/>
        </w:rPr>
        <w:t>件对履行本合同影响的程</w:t>
      </w:r>
      <w:r>
        <w:rPr>
          <w:rFonts w:hint="eastAsia" w:ascii="仿宋_GB2312" w:hAnsi="仿宋_GB2312" w:eastAsia="仿宋_GB2312" w:cs="仿宋_GB2312"/>
          <w:color w:val="auto"/>
          <w:spacing w:val="-3"/>
          <w:sz w:val="24"/>
          <w:highlight w:val="none"/>
        </w:rPr>
        <w:t>度，协商决定是否免除履行本合同的部分责任，或者</w:t>
      </w:r>
      <w:r>
        <w:rPr>
          <w:rFonts w:hint="eastAsia" w:ascii="仿宋_GB2312" w:hAnsi="仿宋_GB2312" w:eastAsia="仿宋_GB2312" w:cs="仿宋_GB2312"/>
          <w:color w:val="auto"/>
          <w:spacing w:val="-4"/>
          <w:sz w:val="24"/>
          <w:highlight w:val="none"/>
        </w:rPr>
        <w:t>延期履行本合同，或者采取</w:t>
      </w:r>
      <w:r>
        <w:rPr>
          <w:rFonts w:hint="eastAsia" w:ascii="仿宋_GB2312" w:hAnsi="仿宋_GB2312" w:eastAsia="仿宋_GB2312" w:cs="仿宋_GB2312"/>
          <w:color w:val="auto"/>
          <w:spacing w:val="-3"/>
          <w:sz w:val="24"/>
          <w:highlight w:val="none"/>
        </w:rPr>
        <w:t>双方均能接受的其他解决办法或补救措施。当不可抗</w:t>
      </w:r>
      <w:r>
        <w:rPr>
          <w:rFonts w:hint="eastAsia" w:ascii="仿宋_GB2312" w:hAnsi="仿宋_GB2312" w:eastAsia="仿宋_GB2312" w:cs="仿宋_GB2312"/>
          <w:color w:val="auto"/>
          <w:spacing w:val="-4"/>
          <w:sz w:val="24"/>
          <w:highlight w:val="none"/>
        </w:rPr>
        <w:t>力事件对本合同的影响消除</w:t>
      </w:r>
      <w:r>
        <w:rPr>
          <w:rFonts w:hint="eastAsia" w:ascii="仿宋_GB2312" w:hAnsi="仿宋_GB2312" w:eastAsia="仿宋_GB2312" w:cs="仿宋_GB2312"/>
          <w:color w:val="auto"/>
          <w:spacing w:val="-1"/>
          <w:sz w:val="24"/>
          <w:highlight w:val="none"/>
        </w:rPr>
        <w:t>后，遭受事件影响的一方应在不可抗力对本合同的影响消除后的</w:t>
      </w:r>
      <w:r>
        <w:rPr>
          <w:rFonts w:hint="eastAsia" w:ascii="仿宋_GB2312" w:hAnsi="仿宋_GB2312" w:eastAsia="仿宋_GB2312" w:cs="仿宋_GB2312"/>
          <w:color w:val="auto"/>
          <w:spacing w:val="-41"/>
          <w:sz w:val="24"/>
          <w:highlight w:val="none"/>
        </w:rPr>
        <w:t xml:space="preserve"> </w:t>
      </w:r>
      <w:r>
        <w:rPr>
          <w:rFonts w:hint="eastAsia" w:ascii="仿宋_GB2312" w:hAnsi="仿宋_GB2312" w:eastAsia="仿宋_GB2312" w:cs="仿宋_GB2312"/>
          <w:color w:val="auto"/>
          <w:spacing w:val="-1"/>
          <w:sz w:val="24"/>
          <w:highlight w:val="none"/>
        </w:rPr>
        <w:t>48</w:t>
      </w:r>
      <w:r>
        <w:rPr>
          <w:rFonts w:hint="eastAsia" w:ascii="仿宋_GB2312" w:hAnsi="仿宋_GB2312" w:eastAsia="仿宋_GB2312" w:cs="仿宋_GB2312"/>
          <w:color w:val="auto"/>
          <w:spacing w:val="-35"/>
          <w:sz w:val="24"/>
          <w:highlight w:val="none"/>
        </w:rPr>
        <w:t xml:space="preserve"> </w:t>
      </w:r>
      <w:r>
        <w:rPr>
          <w:rFonts w:hint="eastAsia" w:ascii="仿宋_GB2312" w:hAnsi="仿宋_GB2312" w:eastAsia="仿宋_GB2312" w:cs="仿宋_GB2312"/>
          <w:color w:val="auto"/>
          <w:spacing w:val="-2"/>
          <w:sz w:val="24"/>
          <w:highlight w:val="none"/>
        </w:rPr>
        <w:t>小时内采取积极措施，有继续履行可能的应当继续履行本合同。</w:t>
      </w:r>
    </w:p>
    <w:p w14:paraId="51205997">
      <w:pPr>
        <w:pStyle w:val="8"/>
        <w:spacing w:after="0" w:line="560" w:lineRule="exact"/>
        <w:ind w:left="30" w:right="70" w:firstLine="49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9.3</w:t>
      </w:r>
      <w:r>
        <w:rPr>
          <w:rFonts w:hint="eastAsia" w:ascii="仿宋_GB2312" w:hAnsi="仿宋_GB2312" w:eastAsia="仿宋_GB2312" w:cs="仿宋_GB2312"/>
          <w:color w:val="auto"/>
          <w:spacing w:val="41"/>
          <w:sz w:val="24"/>
          <w:highlight w:val="none"/>
        </w:rPr>
        <w:t xml:space="preserve"> </w:t>
      </w:r>
      <w:r>
        <w:rPr>
          <w:rFonts w:hint="eastAsia" w:ascii="仿宋_GB2312" w:hAnsi="仿宋_GB2312" w:eastAsia="仿宋_GB2312" w:cs="仿宋_GB2312"/>
          <w:color w:val="auto"/>
          <w:spacing w:val="-2"/>
          <w:sz w:val="24"/>
          <w:highlight w:val="none"/>
        </w:rPr>
        <w:t>因不可抗力事件影响导致无法实现</w:t>
      </w:r>
      <w:r>
        <w:rPr>
          <w:rFonts w:hint="eastAsia" w:ascii="仿宋_GB2312" w:hAnsi="仿宋_GB2312" w:eastAsia="仿宋_GB2312" w:cs="仿宋_GB2312"/>
          <w:color w:val="auto"/>
          <w:spacing w:val="-3"/>
          <w:sz w:val="24"/>
          <w:highlight w:val="none"/>
        </w:rPr>
        <w:t>合同目的的一方有权解除本合同。双方同意若因不可抗力导致合同解除的，甲方按乙方</w:t>
      </w:r>
      <w:r>
        <w:rPr>
          <w:rFonts w:hint="eastAsia" w:ascii="仿宋_GB2312" w:hAnsi="仿宋_GB2312" w:eastAsia="仿宋_GB2312" w:cs="仿宋_GB2312"/>
          <w:color w:val="auto"/>
          <w:spacing w:val="-4"/>
          <w:sz w:val="24"/>
          <w:highlight w:val="none"/>
        </w:rPr>
        <w:t>已经完成并验收合格的工作</w:t>
      </w:r>
      <w:r>
        <w:rPr>
          <w:rFonts w:hint="eastAsia" w:ascii="仿宋_GB2312" w:hAnsi="仿宋_GB2312" w:eastAsia="仿宋_GB2312" w:cs="仿宋_GB2312"/>
          <w:color w:val="auto"/>
          <w:spacing w:val="-3"/>
          <w:sz w:val="24"/>
          <w:highlight w:val="none"/>
        </w:rPr>
        <w:t>量向乙方支付费用，费用结算按第</w:t>
      </w:r>
      <w:r>
        <w:rPr>
          <w:rFonts w:hint="eastAsia" w:ascii="仿宋_GB2312" w:hAnsi="仿宋_GB2312" w:eastAsia="仿宋_GB2312" w:cs="仿宋_GB2312"/>
          <w:color w:val="auto"/>
          <w:spacing w:val="-32"/>
          <w:sz w:val="24"/>
          <w:highlight w:val="none"/>
        </w:rPr>
        <w:t xml:space="preserve"> </w:t>
      </w:r>
      <w:r>
        <w:rPr>
          <w:rFonts w:hint="eastAsia" w:ascii="仿宋_GB2312" w:hAnsi="仿宋_GB2312" w:eastAsia="仿宋_GB2312" w:cs="仿宋_GB2312"/>
          <w:color w:val="auto"/>
          <w:spacing w:val="-32"/>
          <w:sz w:val="24"/>
          <w:highlight w:val="none"/>
          <w:lang w:val="en-US" w:eastAsia="zh-CN"/>
        </w:rPr>
        <w:t>8</w:t>
      </w:r>
      <w:r>
        <w:rPr>
          <w:rFonts w:hint="eastAsia" w:ascii="仿宋_GB2312" w:hAnsi="仿宋_GB2312" w:eastAsia="仿宋_GB2312" w:cs="仿宋_GB2312"/>
          <w:color w:val="auto"/>
          <w:spacing w:val="-3"/>
          <w:sz w:val="24"/>
          <w:highlight w:val="none"/>
        </w:rPr>
        <w:t>.2</w:t>
      </w:r>
      <w:r>
        <w:rPr>
          <w:rFonts w:hint="eastAsia" w:ascii="仿宋_GB2312" w:hAnsi="仿宋_GB2312" w:eastAsia="仿宋_GB2312" w:cs="仿宋_GB2312"/>
          <w:color w:val="auto"/>
          <w:spacing w:val="-41"/>
          <w:sz w:val="24"/>
          <w:highlight w:val="none"/>
        </w:rPr>
        <w:t xml:space="preserve"> </w:t>
      </w:r>
      <w:r>
        <w:rPr>
          <w:rFonts w:hint="eastAsia" w:ascii="仿宋_GB2312" w:hAnsi="仿宋_GB2312" w:eastAsia="仿宋_GB2312" w:cs="仿宋_GB2312"/>
          <w:color w:val="auto"/>
          <w:spacing w:val="-3"/>
          <w:sz w:val="24"/>
          <w:highlight w:val="none"/>
        </w:rPr>
        <w:t>条约定的结算规则执行。</w:t>
      </w:r>
    </w:p>
    <w:p w14:paraId="37E57A6E">
      <w:pPr>
        <w:pStyle w:val="8"/>
        <w:spacing w:after="0" w:line="560" w:lineRule="exact"/>
        <w:ind w:left="32" w:right="70" w:firstLine="48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9.4</w:t>
      </w:r>
      <w:r>
        <w:rPr>
          <w:rFonts w:hint="eastAsia" w:ascii="仿宋_GB2312" w:hAnsi="仿宋_GB2312" w:eastAsia="仿宋_GB2312" w:cs="仿宋_GB2312"/>
          <w:color w:val="auto"/>
          <w:spacing w:val="40"/>
          <w:sz w:val="24"/>
          <w:highlight w:val="none"/>
        </w:rPr>
        <w:t xml:space="preserve"> </w:t>
      </w:r>
      <w:r>
        <w:rPr>
          <w:rFonts w:hint="eastAsia" w:ascii="仿宋_GB2312" w:hAnsi="仿宋_GB2312" w:eastAsia="仿宋_GB2312" w:cs="仿宋_GB2312"/>
          <w:color w:val="auto"/>
          <w:spacing w:val="-1"/>
          <w:sz w:val="24"/>
          <w:highlight w:val="none"/>
        </w:rPr>
        <w:t>因不可抗力事件而不能履行本合同项</w:t>
      </w:r>
      <w:r>
        <w:rPr>
          <w:rFonts w:hint="eastAsia" w:ascii="仿宋_GB2312" w:hAnsi="仿宋_GB2312" w:eastAsia="仿宋_GB2312" w:cs="仿宋_GB2312"/>
          <w:color w:val="auto"/>
          <w:spacing w:val="-2"/>
          <w:sz w:val="24"/>
          <w:highlight w:val="none"/>
        </w:rPr>
        <w:t>下义务的任何一方可部分或者全部免除责任，但该方迟延履行后发生不可抗力的，不能免除责任。</w:t>
      </w:r>
    </w:p>
    <w:p w14:paraId="063DC986">
      <w:pPr>
        <w:pStyle w:val="8"/>
        <w:spacing w:after="0" w:line="560" w:lineRule="exact"/>
        <w:ind w:left="32" w:right="67" w:firstLine="489"/>
        <w:rPr>
          <w:rFonts w:hint="eastAsia" w:ascii="仿宋_GB2312" w:hAnsi="仿宋_GB2312" w:eastAsia="仿宋_GB2312" w:cs="仿宋_GB2312"/>
          <w:b/>
          <w:bCs/>
          <w:color w:val="auto"/>
          <w:spacing w:val="-14"/>
          <w:sz w:val="24"/>
          <w:highlight w:val="none"/>
        </w:rPr>
      </w:pPr>
      <w:r>
        <w:rPr>
          <w:rFonts w:hint="eastAsia" w:ascii="仿宋_GB2312" w:hAnsi="仿宋_GB2312" w:eastAsia="仿宋_GB2312" w:cs="仿宋_GB2312"/>
          <w:b/>
          <w:bCs/>
          <w:color w:val="auto"/>
          <w:spacing w:val="-14"/>
          <w:sz w:val="24"/>
          <w:highlight w:val="none"/>
        </w:rPr>
        <w:t>第十条 法律适用及争议解决</w:t>
      </w:r>
    </w:p>
    <w:p w14:paraId="129319BF">
      <w:pPr>
        <w:pStyle w:val="8"/>
        <w:spacing w:after="0" w:line="560" w:lineRule="exact"/>
        <w:ind w:left="73" w:right="72" w:firstLine="44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10.1 本合同的订立、履行、解释及争议解决等均受</w:t>
      </w:r>
      <w:r>
        <w:rPr>
          <w:rFonts w:hint="eastAsia" w:ascii="仿宋_GB2312" w:hAnsi="仿宋_GB2312" w:eastAsia="仿宋_GB2312" w:cs="仿宋_GB2312"/>
          <w:color w:val="auto"/>
          <w:spacing w:val="-1"/>
          <w:sz w:val="24"/>
          <w:highlight w:val="none"/>
        </w:rPr>
        <w:t>中国法律（为本合同之</w:t>
      </w:r>
      <w:r>
        <w:rPr>
          <w:rFonts w:hint="eastAsia" w:ascii="仿宋_GB2312" w:hAnsi="仿宋_GB2312" w:eastAsia="仿宋_GB2312" w:cs="仿宋_GB2312"/>
          <w:color w:val="auto"/>
          <w:spacing w:val="-5"/>
          <w:sz w:val="24"/>
          <w:highlight w:val="none"/>
        </w:rPr>
        <w:t>目的，不包括港、澳、台地区法律）管辖。</w:t>
      </w:r>
    </w:p>
    <w:p w14:paraId="3C88A4F3">
      <w:pPr>
        <w:pStyle w:val="8"/>
        <w:spacing w:after="0" w:line="560" w:lineRule="exact"/>
        <w:ind w:left="34" w:firstLine="48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10.2 双方如在本合同履行过程中发生争议，应友好协商解决；协商不成的，</w:t>
      </w:r>
      <w:r>
        <w:rPr>
          <w:rFonts w:hint="eastAsia" w:ascii="仿宋_GB2312" w:hAnsi="仿宋_GB2312" w:eastAsia="仿宋_GB2312" w:cs="仿宋_GB2312"/>
          <w:color w:val="auto"/>
          <w:spacing w:val="-2"/>
          <w:sz w:val="24"/>
          <w:highlight w:val="none"/>
        </w:rPr>
        <w:t>则任何一方均有权向甲方所在地</w:t>
      </w:r>
      <w:r>
        <w:rPr>
          <w:rFonts w:hint="eastAsia" w:ascii="仿宋_GB2312" w:hAnsi="仿宋_GB2312" w:eastAsia="仿宋_GB2312" w:cs="仿宋_GB2312"/>
          <w:color w:val="auto"/>
          <w:spacing w:val="-2"/>
          <w:sz w:val="24"/>
          <w:highlight w:val="none"/>
          <w:lang w:val="en-US" w:eastAsia="zh-CN"/>
        </w:rPr>
        <w:t>有管辖权的</w:t>
      </w:r>
      <w:r>
        <w:rPr>
          <w:rFonts w:hint="eastAsia" w:ascii="仿宋_GB2312" w:hAnsi="仿宋_GB2312" w:eastAsia="仿宋_GB2312" w:cs="仿宋_GB2312"/>
          <w:color w:val="auto"/>
          <w:spacing w:val="-2"/>
          <w:sz w:val="24"/>
          <w:highlight w:val="none"/>
        </w:rPr>
        <w:t>人民法院提</w:t>
      </w:r>
      <w:r>
        <w:rPr>
          <w:rFonts w:hint="eastAsia" w:ascii="仿宋_GB2312" w:hAnsi="仿宋_GB2312" w:eastAsia="仿宋_GB2312" w:cs="仿宋_GB2312"/>
          <w:color w:val="auto"/>
          <w:spacing w:val="-3"/>
          <w:sz w:val="24"/>
          <w:highlight w:val="none"/>
        </w:rPr>
        <w:t>起诉讼。</w:t>
      </w:r>
    </w:p>
    <w:p w14:paraId="2AE9653E">
      <w:pPr>
        <w:pStyle w:val="8"/>
        <w:spacing w:after="0" w:line="560" w:lineRule="exact"/>
        <w:ind w:left="521"/>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pacing w:val="-13"/>
          <w:sz w:val="24"/>
          <w:highlight w:val="none"/>
        </w:rPr>
        <w:t>第十一条</w:t>
      </w:r>
      <w:r>
        <w:rPr>
          <w:rFonts w:hint="eastAsia" w:ascii="仿宋_GB2312" w:hAnsi="仿宋_GB2312" w:eastAsia="仿宋_GB2312" w:cs="仿宋_GB2312"/>
          <w:color w:val="auto"/>
          <w:spacing w:val="11"/>
          <w:sz w:val="24"/>
          <w:highlight w:val="none"/>
        </w:rPr>
        <w:t xml:space="preserve"> </w:t>
      </w:r>
      <w:r>
        <w:rPr>
          <w:rFonts w:hint="eastAsia" w:ascii="仿宋_GB2312" w:hAnsi="仿宋_GB2312" w:eastAsia="仿宋_GB2312" w:cs="仿宋_GB2312"/>
          <w:b/>
          <w:bCs/>
          <w:color w:val="auto"/>
          <w:spacing w:val="-13"/>
          <w:sz w:val="24"/>
          <w:highlight w:val="none"/>
        </w:rPr>
        <w:t>通知与送达</w:t>
      </w:r>
    </w:p>
    <w:p w14:paraId="7F9266AC">
      <w:pPr>
        <w:pStyle w:val="8"/>
        <w:spacing w:after="0" w:line="560" w:lineRule="exact"/>
        <w:ind w:left="34" w:right="67" w:firstLine="48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 本合同履行过程中，甲、乙双方的有效联系方</w:t>
      </w:r>
      <w:r>
        <w:rPr>
          <w:rFonts w:hint="eastAsia" w:ascii="仿宋_GB2312" w:hAnsi="仿宋_GB2312" w:eastAsia="仿宋_GB2312" w:cs="仿宋_GB2312"/>
          <w:color w:val="auto"/>
          <w:spacing w:val="-1"/>
          <w:sz w:val="24"/>
          <w:highlight w:val="none"/>
        </w:rPr>
        <w:t>式及联系人如签署页所</w:t>
      </w:r>
      <w:r>
        <w:rPr>
          <w:rFonts w:hint="eastAsia" w:ascii="仿宋_GB2312" w:hAnsi="仿宋_GB2312" w:eastAsia="仿宋_GB2312" w:cs="仿宋_GB2312"/>
          <w:color w:val="auto"/>
          <w:spacing w:val="-7"/>
          <w:sz w:val="24"/>
          <w:highlight w:val="none"/>
        </w:rPr>
        <w:t>列。根据本合同发出的任何通知，应当采用书面形式，可以通过电子邮件、专人</w:t>
      </w:r>
      <w:r>
        <w:rPr>
          <w:rFonts w:hint="eastAsia" w:ascii="仿宋_GB2312" w:hAnsi="仿宋_GB2312" w:eastAsia="仿宋_GB2312" w:cs="仿宋_GB2312"/>
          <w:color w:val="auto"/>
          <w:spacing w:val="-3"/>
          <w:sz w:val="24"/>
          <w:highlight w:val="none"/>
        </w:rPr>
        <w:t>递送或者特快专递发送到合同签署页所列地址。</w:t>
      </w:r>
    </w:p>
    <w:p w14:paraId="5DE70AC2">
      <w:pPr>
        <w:pStyle w:val="8"/>
        <w:spacing w:after="0" w:line="560" w:lineRule="exact"/>
        <w:ind w:left="30" w:right="81" w:firstLine="46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11.2 如通过专人递送，该等通知在接收时视为已经送达；如通过特快专递，该等通知在发出后第</w:t>
      </w:r>
      <w:r>
        <w:rPr>
          <w:rFonts w:hint="eastAsia" w:ascii="仿宋_GB2312" w:hAnsi="仿宋_GB2312" w:eastAsia="仿宋_GB2312" w:cs="仿宋_GB2312"/>
          <w:color w:val="auto"/>
          <w:spacing w:val="-46"/>
          <w:sz w:val="24"/>
          <w:highlight w:val="none"/>
        </w:rPr>
        <w:t xml:space="preserve"> </w:t>
      </w:r>
      <w:r>
        <w:rPr>
          <w:rFonts w:hint="eastAsia" w:ascii="仿宋_GB2312" w:hAnsi="仿宋_GB2312" w:eastAsia="仿宋_GB2312" w:cs="仿宋_GB2312"/>
          <w:color w:val="auto"/>
          <w:spacing w:val="-5"/>
          <w:sz w:val="24"/>
          <w:highlight w:val="none"/>
        </w:rPr>
        <w:t>3日视为已经送达；如通过电子邮件</w:t>
      </w:r>
      <w:r>
        <w:rPr>
          <w:rFonts w:hint="eastAsia" w:ascii="仿宋_GB2312" w:hAnsi="仿宋_GB2312" w:eastAsia="仿宋_GB2312" w:cs="仿宋_GB2312"/>
          <w:color w:val="auto"/>
          <w:spacing w:val="-6"/>
          <w:sz w:val="24"/>
          <w:highlight w:val="none"/>
        </w:rPr>
        <w:t>，该等通知在发出之日</w:t>
      </w:r>
      <w:r>
        <w:rPr>
          <w:rFonts w:hint="eastAsia" w:ascii="仿宋_GB2312" w:hAnsi="仿宋_GB2312" w:eastAsia="仿宋_GB2312" w:cs="仿宋_GB2312"/>
          <w:color w:val="auto"/>
          <w:spacing w:val="-3"/>
          <w:sz w:val="24"/>
          <w:highlight w:val="none"/>
        </w:rPr>
        <w:t>视为已经送达。如果一方故意拒收、找他人代收、邮件</w:t>
      </w:r>
      <w:r>
        <w:rPr>
          <w:rFonts w:hint="eastAsia" w:ascii="仿宋_GB2312" w:hAnsi="仿宋_GB2312" w:eastAsia="仿宋_GB2312" w:cs="仿宋_GB2312"/>
          <w:color w:val="auto"/>
          <w:spacing w:val="-4"/>
          <w:sz w:val="24"/>
          <w:highlight w:val="none"/>
        </w:rPr>
        <w:t>被退回或者以其他理由逃</w:t>
      </w:r>
      <w:r>
        <w:rPr>
          <w:rFonts w:hint="eastAsia" w:ascii="仿宋_GB2312" w:hAnsi="仿宋_GB2312" w:eastAsia="仿宋_GB2312" w:cs="仿宋_GB2312"/>
          <w:color w:val="auto"/>
          <w:spacing w:val="-2"/>
          <w:sz w:val="24"/>
          <w:highlight w:val="none"/>
        </w:rPr>
        <w:t>避接收文件的，所有书面文书自发出之日视为送达。</w:t>
      </w:r>
    </w:p>
    <w:p w14:paraId="6C65908E">
      <w:pPr>
        <w:pStyle w:val="8"/>
        <w:spacing w:after="0" w:line="560" w:lineRule="exact"/>
        <w:ind w:left="28" w:right="81" w:firstLine="49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 双方一致认可，在本合同签订后，双方之间的</w:t>
      </w:r>
      <w:r>
        <w:rPr>
          <w:rFonts w:hint="eastAsia" w:ascii="仿宋_GB2312" w:hAnsi="仿宋_GB2312" w:eastAsia="仿宋_GB2312" w:cs="仿宋_GB2312"/>
          <w:color w:val="auto"/>
          <w:spacing w:val="-1"/>
          <w:sz w:val="24"/>
          <w:highlight w:val="none"/>
        </w:rPr>
        <w:t>书面通知等文件通过电</w:t>
      </w:r>
      <w:r>
        <w:rPr>
          <w:rFonts w:hint="eastAsia" w:ascii="仿宋_GB2312" w:hAnsi="仿宋_GB2312" w:eastAsia="仿宋_GB2312" w:cs="仿宋_GB2312"/>
          <w:color w:val="auto"/>
          <w:spacing w:val="-7"/>
          <w:sz w:val="24"/>
          <w:highlight w:val="none"/>
        </w:rPr>
        <w:t>子邮件、递送、特快专递等方式发送至双方签署页中的联系地址视为送达，且该</w:t>
      </w:r>
      <w:r>
        <w:rPr>
          <w:rFonts w:hint="eastAsia" w:ascii="仿宋_GB2312" w:hAnsi="仿宋_GB2312" w:eastAsia="仿宋_GB2312" w:cs="仿宋_GB2312"/>
          <w:color w:val="auto"/>
          <w:spacing w:val="-1"/>
          <w:sz w:val="24"/>
          <w:highlight w:val="none"/>
        </w:rPr>
        <w:t>联系地址适用于一审、二审、再审和执行各个诉</w:t>
      </w:r>
      <w:r>
        <w:rPr>
          <w:rFonts w:hint="eastAsia" w:ascii="仿宋_GB2312" w:hAnsi="仿宋_GB2312" w:eastAsia="仿宋_GB2312" w:cs="仿宋_GB2312"/>
          <w:color w:val="auto"/>
          <w:spacing w:val="-2"/>
          <w:sz w:val="24"/>
          <w:highlight w:val="none"/>
        </w:rPr>
        <w:t>讼阶段或者各个仲裁阶段。</w:t>
      </w:r>
    </w:p>
    <w:p w14:paraId="2F19F2CA">
      <w:pPr>
        <w:pStyle w:val="8"/>
        <w:spacing w:after="0" w:line="560" w:lineRule="exact"/>
        <w:ind w:left="31" w:right="80" w:firstLine="49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2"/>
          <w:sz w:val="24"/>
          <w:highlight w:val="none"/>
        </w:rPr>
        <w:t>11.4 任何一方如改变其联系方式或者联系人的，应在变更之日起</w:t>
      </w:r>
      <w:r>
        <w:rPr>
          <w:rFonts w:hint="eastAsia" w:ascii="仿宋_GB2312" w:hAnsi="仿宋_GB2312" w:eastAsia="仿宋_GB2312" w:cs="仿宋_GB2312"/>
          <w:color w:val="auto"/>
          <w:spacing w:val="-23"/>
          <w:sz w:val="24"/>
          <w:highlight w:val="none"/>
        </w:rPr>
        <w:t xml:space="preserve"> </w:t>
      </w:r>
      <w:r>
        <w:rPr>
          <w:rFonts w:hint="eastAsia" w:ascii="仿宋_GB2312" w:hAnsi="仿宋_GB2312" w:eastAsia="仿宋_GB2312" w:cs="仿宋_GB2312"/>
          <w:color w:val="auto"/>
          <w:spacing w:val="-2"/>
          <w:sz w:val="24"/>
          <w:highlight w:val="none"/>
        </w:rPr>
        <w:t>3</w:t>
      </w:r>
      <w:r>
        <w:rPr>
          <w:rFonts w:hint="eastAsia" w:ascii="仿宋_GB2312" w:hAnsi="仿宋_GB2312" w:eastAsia="仿宋_GB2312" w:cs="仿宋_GB2312"/>
          <w:color w:val="auto"/>
          <w:spacing w:val="-34"/>
          <w:sz w:val="24"/>
          <w:highlight w:val="none"/>
        </w:rPr>
        <w:t xml:space="preserve"> </w:t>
      </w:r>
      <w:r>
        <w:rPr>
          <w:rFonts w:hint="eastAsia" w:ascii="仿宋_GB2312" w:hAnsi="仿宋_GB2312" w:eastAsia="仿宋_GB2312" w:cs="仿宋_GB2312"/>
          <w:color w:val="auto"/>
          <w:spacing w:val="-2"/>
          <w:sz w:val="24"/>
          <w:highlight w:val="none"/>
        </w:rPr>
        <w:t>个工作</w:t>
      </w:r>
      <w:r>
        <w:rPr>
          <w:rFonts w:hint="eastAsia" w:ascii="仿宋_GB2312" w:hAnsi="仿宋_GB2312" w:eastAsia="仿宋_GB2312" w:cs="仿宋_GB2312"/>
          <w:color w:val="auto"/>
          <w:spacing w:val="-5"/>
          <w:sz w:val="24"/>
          <w:highlight w:val="none"/>
        </w:rPr>
        <w:t>日内书面通知对方。在被通知方收到有关通知之前，被通</w:t>
      </w:r>
      <w:r>
        <w:rPr>
          <w:rFonts w:hint="eastAsia" w:ascii="仿宋_GB2312" w:hAnsi="仿宋_GB2312" w:eastAsia="仿宋_GB2312" w:cs="仿宋_GB2312"/>
          <w:color w:val="auto"/>
          <w:spacing w:val="-6"/>
          <w:sz w:val="24"/>
          <w:highlight w:val="none"/>
        </w:rPr>
        <w:t>知方根据变更前的联系</w:t>
      </w:r>
      <w:r>
        <w:rPr>
          <w:rFonts w:hint="eastAsia" w:ascii="仿宋_GB2312" w:hAnsi="仿宋_GB2312" w:eastAsia="仿宋_GB2312" w:cs="仿宋_GB2312"/>
          <w:color w:val="auto"/>
          <w:spacing w:val="-3"/>
          <w:sz w:val="24"/>
          <w:highlight w:val="none"/>
        </w:rPr>
        <w:t>信息所做出的联络和通讯应视为有效，未及时通知</w:t>
      </w:r>
      <w:r>
        <w:rPr>
          <w:rFonts w:hint="eastAsia" w:ascii="仿宋_GB2312" w:hAnsi="仿宋_GB2312" w:eastAsia="仿宋_GB2312" w:cs="仿宋_GB2312"/>
          <w:color w:val="auto"/>
          <w:spacing w:val="-4"/>
          <w:sz w:val="24"/>
          <w:highlight w:val="none"/>
        </w:rPr>
        <w:t>变更情况的一方自行承担由此</w:t>
      </w:r>
      <w:r>
        <w:rPr>
          <w:rFonts w:hint="eastAsia" w:ascii="仿宋_GB2312" w:hAnsi="仿宋_GB2312" w:eastAsia="仿宋_GB2312" w:cs="仿宋_GB2312"/>
          <w:color w:val="auto"/>
          <w:spacing w:val="-6"/>
          <w:sz w:val="24"/>
          <w:highlight w:val="none"/>
        </w:rPr>
        <w:t>产生的法律后果。</w:t>
      </w:r>
    </w:p>
    <w:p w14:paraId="661C3AB7">
      <w:pPr>
        <w:pStyle w:val="8"/>
        <w:spacing w:after="0" w:line="560" w:lineRule="exact"/>
        <w:ind w:left="521"/>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pacing w:val="-14"/>
          <w:sz w:val="24"/>
          <w:highlight w:val="none"/>
        </w:rPr>
        <w:t>第十二条</w:t>
      </w:r>
      <w:r>
        <w:rPr>
          <w:rFonts w:hint="eastAsia" w:ascii="仿宋_GB2312" w:hAnsi="仿宋_GB2312" w:eastAsia="仿宋_GB2312" w:cs="仿宋_GB2312"/>
          <w:color w:val="auto"/>
          <w:spacing w:val="17"/>
          <w:sz w:val="24"/>
          <w:highlight w:val="none"/>
        </w:rPr>
        <w:t xml:space="preserve"> </w:t>
      </w:r>
      <w:r>
        <w:rPr>
          <w:rFonts w:hint="eastAsia" w:ascii="仿宋_GB2312" w:hAnsi="仿宋_GB2312" w:eastAsia="仿宋_GB2312" w:cs="仿宋_GB2312"/>
          <w:b/>
          <w:bCs/>
          <w:color w:val="auto"/>
          <w:spacing w:val="-14"/>
          <w:sz w:val="24"/>
          <w:highlight w:val="none"/>
        </w:rPr>
        <w:t>其他条款</w:t>
      </w:r>
    </w:p>
    <w:p w14:paraId="4F17047A">
      <w:pPr>
        <w:pStyle w:val="8"/>
        <w:spacing w:after="0" w:line="560" w:lineRule="exact"/>
        <w:ind w:left="31" w:right="80" w:firstLine="490"/>
        <w:rPr>
          <w:rFonts w:hint="eastAsia" w:ascii="仿宋_GB2312" w:hAnsi="仿宋_GB2312" w:eastAsia="仿宋_GB2312" w:cs="仿宋_GB2312"/>
          <w:color w:val="auto"/>
          <w:spacing w:val="-2"/>
          <w:sz w:val="24"/>
          <w:highlight w:val="none"/>
        </w:rPr>
      </w:pPr>
      <w:r>
        <w:rPr>
          <w:rFonts w:hint="eastAsia" w:ascii="仿宋_GB2312" w:hAnsi="仿宋_GB2312" w:eastAsia="仿宋_GB2312" w:cs="仿宋_GB2312"/>
          <w:color w:val="auto"/>
          <w:spacing w:val="-2"/>
          <w:sz w:val="24"/>
          <w:highlight w:val="none"/>
        </w:rPr>
        <w:t>12.1 本合同经双方充分协商并达成一致意见后签署。双方均保证具有洽谈、签订、履行本合同的主体资格及相关所需资质，且任何一方洽谈、签订、履行本合同的行为将不会违反任何在先义务，并不会引致另一方被以任何形式追究责任。</w:t>
      </w:r>
    </w:p>
    <w:p w14:paraId="5B385D0E">
      <w:pPr>
        <w:pStyle w:val="8"/>
        <w:spacing w:after="0" w:line="560" w:lineRule="exact"/>
        <w:ind w:left="34" w:right="80" w:firstLine="48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 本合同任何条款依据相关法律法规规定被认定为无效</w:t>
      </w:r>
      <w:r>
        <w:rPr>
          <w:rFonts w:hint="eastAsia" w:ascii="仿宋_GB2312" w:hAnsi="仿宋_GB2312" w:eastAsia="仿宋_GB2312" w:cs="仿宋_GB2312"/>
          <w:color w:val="auto"/>
          <w:spacing w:val="-1"/>
          <w:sz w:val="24"/>
          <w:highlight w:val="none"/>
        </w:rPr>
        <w:t>的，不影响其他</w:t>
      </w:r>
      <w:r>
        <w:rPr>
          <w:rFonts w:hint="eastAsia" w:ascii="仿宋_GB2312" w:hAnsi="仿宋_GB2312" w:eastAsia="仿宋_GB2312" w:cs="仿宋_GB2312"/>
          <w:color w:val="auto"/>
          <w:spacing w:val="-9"/>
          <w:sz w:val="24"/>
          <w:highlight w:val="none"/>
        </w:rPr>
        <w:t>条款效力。</w:t>
      </w:r>
    </w:p>
    <w:p w14:paraId="6ED8F174">
      <w:pPr>
        <w:pStyle w:val="8"/>
        <w:spacing w:after="0" w:line="560" w:lineRule="exact"/>
        <w:ind w:left="32" w:right="79" w:firstLine="48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12.3 本合同自各方法定代表人或者授权代表签字（</w:t>
      </w:r>
      <w:r>
        <w:rPr>
          <w:rFonts w:hint="eastAsia" w:ascii="仿宋_GB2312" w:hAnsi="仿宋_GB2312" w:eastAsia="仿宋_GB2312" w:cs="仿宋_GB2312"/>
          <w:color w:val="auto"/>
          <w:spacing w:val="-1"/>
          <w:sz w:val="24"/>
          <w:highlight w:val="none"/>
        </w:rPr>
        <w:t>签章）并加盖公章或者</w:t>
      </w:r>
      <w:r>
        <w:rPr>
          <w:rFonts w:hint="eastAsia" w:ascii="仿宋_GB2312" w:hAnsi="仿宋_GB2312" w:eastAsia="仿宋_GB2312" w:cs="仿宋_GB2312"/>
          <w:color w:val="auto"/>
          <w:spacing w:val="-7"/>
          <w:sz w:val="24"/>
          <w:highlight w:val="none"/>
        </w:rPr>
        <w:t>合同专用章之日起生效。合同未尽事宜，须双方共同协商，签订补充协议，补充</w:t>
      </w:r>
      <w:r>
        <w:rPr>
          <w:rFonts w:hint="eastAsia" w:ascii="仿宋_GB2312" w:hAnsi="仿宋_GB2312" w:eastAsia="仿宋_GB2312" w:cs="仿宋_GB2312"/>
          <w:color w:val="auto"/>
          <w:spacing w:val="-4"/>
          <w:sz w:val="24"/>
          <w:highlight w:val="none"/>
        </w:rPr>
        <w:t>协议与本合同具同等法律效力。</w:t>
      </w:r>
    </w:p>
    <w:p w14:paraId="2E5A5884">
      <w:pPr>
        <w:pStyle w:val="8"/>
        <w:spacing w:after="0" w:line="560" w:lineRule="exact"/>
        <w:ind w:left="33" w:right="81" w:firstLine="48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12.4 在下列文件有效适用的前提下，下列文件均是</w:t>
      </w:r>
      <w:r>
        <w:rPr>
          <w:rFonts w:hint="eastAsia" w:ascii="仿宋_GB2312" w:hAnsi="仿宋_GB2312" w:eastAsia="仿宋_GB2312" w:cs="仿宋_GB2312"/>
          <w:color w:val="auto"/>
          <w:spacing w:val="-1"/>
          <w:sz w:val="24"/>
          <w:highlight w:val="none"/>
        </w:rPr>
        <w:t>本合同的组成部分，在</w:t>
      </w:r>
      <w:r>
        <w:rPr>
          <w:rFonts w:hint="eastAsia" w:ascii="仿宋_GB2312" w:hAnsi="仿宋_GB2312" w:eastAsia="仿宋_GB2312" w:cs="仿宋_GB2312"/>
          <w:color w:val="auto"/>
          <w:spacing w:val="-3"/>
          <w:sz w:val="24"/>
          <w:highlight w:val="none"/>
        </w:rPr>
        <w:t>彼此内容不一致或者发生歧义时，按如下顺序</w:t>
      </w:r>
      <w:r>
        <w:rPr>
          <w:rFonts w:hint="eastAsia" w:ascii="仿宋_GB2312" w:hAnsi="仿宋_GB2312" w:eastAsia="仿宋_GB2312" w:cs="仿宋_GB2312"/>
          <w:color w:val="auto"/>
          <w:spacing w:val="-4"/>
          <w:sz w:val="24"/>
          <w:highlight w:val="none"/>
        </w:rPr>
        <w:t>进行解释；但涉及到乙方服务标准</w:t>
      </w:r>
      <w:r>
        <w:rPr>
          <w:rFonts w:hint="eastAsia" w:ascii="仿宋_GB2312" w:hAnsi="仿宋_GB2312" w:eastAsia="仿宋_GB2312" w:cs="仿宋_GB2312"/>
          <w:color w:val="auto"/>
          <w:spacing w:val="-5"/>
          <w:sz w:val="24"/>
          <w:highlight w:val="none"/>
        </w:rPr>
        <w:t>的部分，应以最严格标准为准：</w:t>
      </w:r>
    </w:p>
    <w:p w14:paraId="64D0C8D3">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（1）补充条款及补充协议；</w:t>
      </w:r>
    </w:p>
    <w:p w14:paraId="76880637">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（2）合同附件、经甲方确认的服务方案；</w:t>
      </w:r>
    </w:p>
    <w:p w14:paraId="1DAAE477">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7"/>
          <w:sz w:val="24"/>
          <w:highlight w:val="none"/>
        </w:rPr>
        <w:t>（3）本合同正文；</w:t>
      </w:r>
    </w:p>
    <w:p w14:paraId="235EE101">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7"/>
          <w:sz w:val="24"/>
          <w:highlight w:val="none"/>
        </w:rPr>
        <w:t>（4）中标通知书；</w:t>
      </w:r>
    </w:p>
    <w:p w14:paraId="19B373CC">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（5）乙方的投标/响应文件、澄清等；</w:t>
      </w:r>
    </w:p>
    <w:p w14:paraId="65C2ED14">
      <w:pPr>
        <w:pStyle w:val="8"/>
        <w:spacing w:after="0" w:line="560" w:lineRule="exact"/>
        <w:ind w:left="51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5"/>
          <w:sz w:val="24"/>
          <w:highlight w:val="none"/>
        </w:rPr>
        <w:t>（6）甲方的招标/采购文件；</w:t>
      </w:r>
    </w:p>
    <w:p w14:paraId="6DD07427">
      <w:pPr>
        <w:pStyle w:val="8"/>
        <w:spacing w:after="0" w:line="560" w:lineRule="exact"/>
        <w:ind w:left="3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（7）合同履行期间经合同双方指定代表人签字确认的函件，如通知、会议 </w:t>
      </w:r>
      <w:r>
        <w:rPr>
          <w:rFonts w:hint="eastAsia" w:ascii="仿宋_GB2312" w:hAnsi="仿宋_GB2312" w:eastAsia="仿宋_GB2312" w:cs="仿宋_GB2312"/>
          <w:color w:val="auto"/>
          <w:spacing w:val="-4"/>
          <w:sz w:val="24"/>
          <w:highlight w:val="none"/>
        </w:rPr>
        <w:t>纪要、备忘录、补充协议书、指令、传真、电子邮件、变更和洽商等书面形式的</w:t>
      </w:r>
      <w:r>
        <w:rPr>
          <w:rFonts w:hint="eastAsia" w:ascii="仿宋_GB2312" w:hAnsi="仿宋_GB2312" w:eastAsia="仿宋_GB2312" w:cs="仿宋_GB2312"/>
          <w:color w:val="auto"/>
          <w:spacing w:val="-11"/>
          <w:sz w:val="24"/>
          <w:highlight w:val="none"/>
        </w:rPr>
        <w:t>文件。</w:t>
      </w:r>
    </w:p>
    <w:p w14:paraId="705E0716">
      <w:pPr>
        <w:pStyle w:val="8"/>
        <w:spacing w:after="0" w:line="560" w:lineRule="exact"/>
        <w:ind w:left="36" w:right="16" w:firstLine="48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12.5 本合同涉及填空内容的，须以机打内容为准，</w:t>
      </w:r>
      <w:r>
        <w:rPr>
          <w:rFonts w:hint="eastAsia" w:ascii="仿宋_GB2312" w:hAnsi="仿宋_GB2312" w:eastAsia="仿宋_GB2312" w:cs="仿宋_GB2312"/>
          <w:color w:val="auto"/>
          <w:spacing w:val="-1"/>
          <w:sz w:val="24"/>
          <w:highlight w:val="none"/>
        </w:rPr>
        <w:t>涉及手写内容处须加盖</w:t>
      </w:r>
      <w:r>
        <w:rPr>
          <w:rFonts w:hint="eastAsia" w:ascii="仿宋_GB2312" w:hAnsi="仿宋_GB2312" w:eastAsia="仿宋_GB2312" w:cs="仿宋_GB2312"/>
          <w:color w:val="auto"/>
          <w:spacing w:val="-7"/>
          <w:sz w:val="24"/>
          <w:highlight w:val="none"/>
        </w:rPr>
        <w:t>单位印章确认。</w:t>
      </w:r>
    </w:p>
    <w:p w14:paraId="76E13CCF">
      <w:pPr>
        <w:pStyle w:val="8"/>
        <w:spacing w:after="0" w:line="560" w:lineRule="exact"/>
        <w:ind w:left="37" w:right="14" w:firstLine="48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12.6 双方依据本合同相关约定解除合同时，该合同</w:t>
      </w:r>
      <w:r>
        <w:rPr>
          <w:rFonts w:hint="eastAsia" w:ascii="仿宋_GB2312" w:hAnsi="仿宋_GB2312" w:eastAsia="仿宋_GB2312" w:cs="仿宋_GB2312"/>
          <w:color w:val="auto"/>
          <w:spacing w:val="-1"/>
          <w:sz w:val="24"/>
          <w:highlight w:val="none"/>
        </w:rPr>
        <w:t>自守约方书面通知违约</w:t>
      </w:r>
      <w:r>
        <w:rPr>
          <w:rFonts w:hint="eastAsia" w:ascii="仿宋_GB2312" w:hAnsi="仿宋_GB2312" w:eastAsia="仿宋_GB2312" w:cs="仿宋_GB2312"/>
          <w:color w:val="auto"/>
          <w:spacing w:val="-4"/>
          <w:sz w:val="24"/>
          <w:highlight w:val="none"/>
        </w:rPr>
        <w:t>方之日解除，但守约方书面通知书中另行载明合同解除日期的，则以该载明日期</w:t>
      </w:r>
      <w:r>
        <w:rPr>
          <w:rFonts w:hint="eastAsia" w:ascii="仿宋_GB2312" w:hAnsi="仿宋_GB2312" w:eastAsia="仿宋_GB2312" w:cs="仿宋_GB2312"/>
          <w:color w:val="auto"/>
          <w:spacing w:val="-7"/>
          <w:sz w:val="24"/>
          <w:highlight w:val="none"/>
        </w:rPr>
        <w:t>为合同解除日。</w:t>
      </w:r>
    </w:p>
    <w:p w14:paraId="1F755E73">
      <w:pPr>
        <w:pStyle w:val="8"/>
        <w:spacing w:after="0" w:line="560" w:lineRule="exact"/>
        <w:ind w:left="40" w:right="16" w:firstLine="48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12.7 本合同一式【玖】份，甲方执【肆】份，乙方</w:t>
      </w:r>
      <w:r>
        <w:rPr>
          <w:rFonts w:hint="eastAsia" w:ascii="仿宋_GB2312" w:hAnsi="仿宋_GB2312" w:eastAsia="仿宋_GB2312" w:cs="仿宋_GB2312"/>
          <w:color w:val="auto"/>
          <w:spacing w:val="-1"/>
          <w:sz w:val="24"/>
          <w:highlight w:val="none"/>
        </w:rPr>
        <w:t>执【伍】份，均具有同</w:t>
      </w:r>
      <w:r>
        <w:rPr>
          <w:rFonts w:hint="eastAsia" w:ascii="仿宋_GB2312" w:hAnsi="仿宋_GB2312" w:eastAsia="仿宋_GB2312" w:cs="仿宋_GB2312"/>
          <w:color w:val="auto"/>
          <w:spacing w:val="-8"/>
          <w:sz w:val="24"/>
          <w:highlight w:val="none"/>
        </w:rPr>
        <w:t>等法律效力。</w:t>
      </w:r>
    </w:p>
    <w:p w14:paraId="7169A73D">
      <w:pPr>
        <w:pStyle w:val="8"/>
        <w:spacing w:after="0" w:line="560" w:lineRule="exact"/>
        <w:ind w:left="52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7"/>
          <w:sz w:val="24"/>
          <w:highlight w:val="none"/>
        </w:rPr>
        <w:t>12.8 其他约定：【无】。</w:t>
      </w:r>
    </w:p>
    <w:p w14:paraId="4BD15CDD">
      <w:pPr>
        <w:pStyle w:val="8"/>
        <w:spacing w:after="0" w:line="560" w:lineRule="exact"/>
        <w:ind w:left="31"/>
        <w:rPr>
          <w:rFonts w:hint="eastAsia" w:ascii="仿宋_GB2312" w:hAnsi="仿宋_GB2312" w:eastAsia="仿宋_GB2312" w:cs="仿宋_GB2312"/>
          <w:color w:val="auto"/>
          <w:sz w:val="24"/>
          <w:highlight w:val="none"/>
        </w:rPr>
        <w:sectPr>
          <w:pgSz w:w="11900" w:h="16841"/>
          <w:pgMar w:top="1431" w:right="1784" w:bottom="1153" w:left="1784" w:header="0" w:footer="993" w:gutter="0"/>
          <w:cols w:space="720" w:num="1"/>
        </w:sectPr>
      </w:pPr>
      <w:r>
        <w:rPr>
          <w:rFonts w:hint="eastAsia" w:ascii="仿宋_GB2312" w:hAnsi="仿宋_GB2312" w:eastAsia="仿宋_GB2312" w:cs="仿宋_GB2312"/>
          <w:color w:val="auto"/>
          <w:spacing w:val="-4"/>
          <w:sz w:val="24"/>
          <w:highlight w:val="none"/>
        </w:rPr>
        <w:t>（以下无正文）</w:t>
      </w:r>
    </w:p>
    <w:p w14:paraId="1DE436B5">
      <w:pPr>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lang w:val="en-US" w:eastAsia="zh-CN"/>
        </w:rPr>
        <w:t>甲方</w:t>
      </w:r>
      <w:r>
        <w:rPr>
          <w:rFonts w:hint="eastAsia" w:ascii="仿宋" w:hAnsi="仿宋" w:eastAsia="仿宋" w:cs="仿宋"/>
          <w:color w:val="auto"/>
          <w:spacing w:val="-20"/>
          <w:sz w:val="24"/>
          <w:highlight w:val="none"/>
        </w:rPr>
        <w:t>名称：</w:t>
      </w:r>
      <w:r>
        <w:rPr>
          <w:rFonts w:hint="eastAsia" w:ascii="仿宋" w:hAnsi="仿宋" w:eastAsia="仿宋" w:cs="仿宋"/>
          <w:color w:val="auto"/>
          <w:sz w:val="24"/>
          <w:highlight w:val="none"/>
        </w:rPr>
        <w:t>（盖章）</w:t>
      </w:r>
      <w:r>
        <w:rPr>
          <w:rFonts w:hint="eastAsia" w:ascii="仿宋" w:hAnsi="仿宋" w:eastAsia="仿宋" w:cs="仿宋"/>
          <w:color w:val="auto"/>
          <w:spacing w:val="-20"/>
          <w:sz w:val="24"/>
          <w:highlight w:val="none"/>
        </w:rPr>
        <w:t xml:space="preserve">              </w:t>
      </w:r>
      <w:r>
        <w:rPr>
          <w:rFonts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rPr>
        <w:t xml:space="preserve"> </w:t>
      </w:r>
      <w:r>
        <w:rPr>
          <w:rFonts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val="en-US" w:eastAsia="zh-CN"/>
        </w:rPr>
        <w:t xml:space="preserve">    </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pacing w:val="-20"/>
          <w:sz w:val="24"/>
          <w:highlight w:val="none"/>
          <w:lang w:val="en-US" w:eastAsia="zh-CN"/>
        </w:rPr>
        <w:t>乙方</w:t>
      </w:r>
      <w:r>
        <w:rPr>
          <w:rFonts w:hint="eastAsia" w:ascii="仿宋" w:hAnsi="仿宋" w:eastAsia="仿宋" w:cs="仿宋"/>
          <w:color w:val="auto"/>
          <w:spacing w:val="-20"/>
          <w:sz w:val="24"/>
          <w:highlight w:val="none"/>
        </w:rPr>
        <w:t>名称：</w:t>
      </w:r>
      <w:r>
        <w:rPr>
          <w:rFonts w:hint="eastAsia" w:ascii="仿宋" w:hAnsi="仿宋" w:eastAsia="仿宋" w:cs="仿宋"/>
          <w:color w:val="auto"/>
          <w:sz w:val="24"/>
          <w:highlight w:val="none"/>
        </w:rPr>
        <w:t>（盖章）</w:t>
      </w:r>
    </w:p>
    <w:p w14:paraId="7402C8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法定代表人或其</w:t>
      </w:r>
    </w:p>
    <w:p w14:paraId="13FCFC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授权代表（签章）：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授权代表（签章）：</w:t>
      </w:r>
    </w:p>
    <w:p w14:paraId="628AB9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住所：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住所：</w:t>
      </w:r>
    </w:p>
    <w:p w14:paraId="4BD205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邮政编码：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邮政编码： </w:t>
      </w:r>
    </w:p>
    <w:p w14:paraId="05C826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电话：</w:t>
      </w:r>
    </w:p>
    <w:p w14:paraId="1C71C7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传真：</w:t>
      </w:r>
    </w:p>
    <w:p w14:paraId="1EE71D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开户银行：</w:t>
      </w:r>
    </w:p>
    <w:p w14:paraId="79DF57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银行</w:t>
      </w:r>
      <w:r>
        <w:rPr>
          <w:rFonts w:hint="eastAsia" w:ascii="仿宋" w:hAnsi="仿宋" w:eastAsia="仿宋" w:cs="仿宋"/>
          <w:color w:val="auto"/>
          <w:sz w:val="24"/>
          <w:highlight w:val="none"/>
          <w:lang w:val="en-US" w:eastAsia="zh-CN"/>
        </w:rPr>
        <w:t>账</w:t>
      </w:r>
      <w:r>
        <w:rPr>
          <w:rFonts w:hint="eastAsia" w:ascii="仿宋" w:hAnsi="仿宋" w:eastAsia="仿宋" w:cs="仿宋"/>
          <w:color w:val="auto"/>
          <w:sz w:val="24"/>
          <w:highlight w:val="none"/>
        </w:rPr>
        <w:t xml:space="preserve">号：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银行</w:t>
      </w:r>
      <w:r>
        <w:rPr>
          <w:rFonts w:hint="eastAsia" w:ascii="仿宋" w:hAnsi="仿宋" w:eastAsia="仿宋" w:cs="仿宋"/>
          <w:color w:val="auto"/>
          <w:sz w:val="24"/>
          <w:highlight w:val="none"/>
          <w:lang w:val="en-US" w:eastAsia="zh-CN"/>
        </w:rPr>
        <w:t>账</w:t>
      </w:r>
      <w:r>
        <w:rPr>
          <w:rFonts w:hint="eastAsia" w:ascii="仿宋" w:hAnsi="仿宋" w:eastAsia="仿宋" w:cs="仿宋"/>
          <w:color w:val="auto"/>
          <w:sz w:val="24"/>
          <w:highlight w:val="none"/>
        </w:rPr>
        <w:t>号：</w:t>
      </w:r>
    </w:p>
    <w:p w14:paraId="4F68FF8D">
      <w:pPr>
        <w:pStyle w:val="65"/>
        <w:spacing w:line="360" w:lineRule="auto"/>
        <w:jc w:val="both"/>
        <w:rPr>
          <w:rFonts w:hint="eastAsia" w:ascii="仿宋" w:hAnsi="仿宋" w:eastAsia="仿宋" w:cs="仿宋"/>
          <w:color w:val="auto"/>
          <w:sz w:val="24"/>
          <w:highlight w:val="none"/>
        </w:rPr>
      </w:pPr>
    </w:p>
    <w:p w14:paraId="648EC82F">
      <w:pPr>
        <w:pStyle w:val="65"/>
        <w:spacing w:line="360" w:lineRule="auto"/>
        <w:jc w:val="both"/>
        <w:rPr>
          <w:color w:val="auto"/>
          <w:highlight w:val="none"/>
        </w:rPr>
        <w:sectPr>
          <w:pgSz w:w="11906" w:h="16838"/>
          <w:pgMar w:top="1440" w:right="1800" w:bottom="1440" w:left="1800" w:header="794" w:footer="992" w:gutter="0"/>
          <w:cols w:space="425" w:num="1"/>
          <w:docGrid w:type="lines" w:linePitch="312" w:charSpace="0"/>
        </w:sectPr>
      </w:pPr>
      <w:r>
        <w:rPr>
          <w:rFonts w:hint="eastAsia" w:ascii="仿宋" w:hAnsi="仿宋" w:eastAsia="仿宋" w:cs="仿宋"/>
          <w:color w:val="auto"/>
          <w:sz w:val="24"/>
          <w:highlight w:val="none"/>
        </w:rPr>
        <w:t xml:space="preserve">签订日期： 年 月  日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签订日期： 年 月 </w:t>
      </w:r>
    </w:p>
    <w:p w14:paraId="54A87C65"/>
    <w:p w14:paraId="2966B1B8">
      <w:pPr>
        <w:pStyle w:val="17"/>
        <w:rPr>
          <w:color w:val="auto"/>
          <w:highlight w:val="none"/>
        </w:rPr>
      </w:pPr>
    </w:p>
    <w:p w14:paraId="20311683">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第六章  响应文件格式及附件</w:t>
      </w:r>
    </w:p>
    <w:p w14:paraId="53772271">
      <w:pPr>
        <w:adjustRightInd w:val="0"/>
        <w:snapToGrid w:val="0"/>
        <w:spacing w:line="360" w:lineRule="auto"/>
        <w:rPr>
          <w:rFonts w:hint="eastAsia" w:asciiTheme="minorEastAsia" w:hAnsiTheme="minorEastAsia" w:eastAsiaTheme="minorEastAsia" w:cstheme="minorEastAsia"/>
          <w:b/>
          <w:color w:val="auto"/>
          <w:szCs w:val="21"/>
          <w:highlight w:val="none"/>
        </w:rPr>
      </w:pPr>
    </w:p>
    <w:p w14:paraId="20507EDB">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格式1:                           响 应 声 明 函</w:t>
      </w:r>
    </w:p>
    <w:p w14:paraId="138AA997">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p w14:paraId="1142E484">
      <w:pPr>
        <w:adjustRightInd w:val="0"/>
        <w:snapToGrid w:val="0"/>
        <w:spacing w:line="360" w:lineRule="auto"/>
        <w:ind w:firstLine="420" w:firstLineChars="200"/>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bCs/>
          <w:color w:val="auto"/>
          <w:szCs w:val="21"/>
          <w:highlight w:val="none"/>
          <w:lang w:val="en-US" w:eastAsia="zh-CN"/>
        </w:rPr>
        <w:t>海口江东新区管理局</w:t>
      </w:r>
    </w:p>
    <w:p w14:paraId="13EC2311">
      <w:pPr>
        <w:pStyle w:val="7"/>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根据贵方</w:t>
      </w:r>
      <w:r>
        <w:rPr>
          <w:rFonts w:hint="eastAsia" w:asciiTheme="minorEastAsia" w:hAnsiTheme="minorEastAsia" w:eastAsiaTheme="minorEastAsia" w:cstheme="minorEastAsia"/>
          <w:bCs/>
          <w:color w:val="auto"/>
          <w:szCs w:val="21"/>
          <w:highlight w:val="none"/>
          <w:u w:val="single"/>
        </w:rPr>
        <w:t xml:space="preserve">  （项目名称） </w:t>
      </w:r>
      <w:r>
        <w:rPr>
          <w:rFonts w:hint="eastAsia" w:asciiTheme="minorEastAsia" w:hAnsiTheme="minorEastAsia" w:eastAsiaTheme="minorEastAsia" w:cstheme="minorEastAsia"/>
          <w:bCs/>
          <w:color w:val="auto"/>
          <w:szCs w:val="21"/>
          <w:highlight w:val="none"/>
        </w:rPr>
        <w:t>项目（项目编号（分包号）：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）的采购比选公告，本签字代表</w:t>
      </w:r>
      <w:r>
        <w:rPr>
          <w:rFonts w:hint="eastAsia" w:asciiTheme="minorEastAsia" w:hAnsiTheme="minorEastAsia" w:eastAsiaTheme="minorEastAsia" w:cstheme="minorEastAsia"/>
          <w:bCs/>
          <w:color w:val="auto"/>
          <w:szCs w:val="21"/>
          <w:highlight w:val="none"/>
          <w:u w:val="single"/>
        </w:rPr>
        <w:t>（全名、职务）</w:t>
      </w:r>
      <w:r>
        <w:rPr>
          <w:rFonts w:hint="eastAsia" w:asciiTheme="minorEastAsia" w:hAnsiTheme="minorEastAsia" w:eastAsiaTheme="minorEastAsia" w:cstheme="minorEastAsia"/>
          <w:bCs/>
          <w:color w:val="auto"/>
          <w:szCs w:val="21"/>
          <w:highlight w:val="none"/>
        </w:rPr>
        <w:t>代表供应商</w:t>
      </w:r>
      <w:r>
        <w:rPr>
          <w:rFonts w:hint="eastAsia" w:asciiTheme="minorEastAsia" w:hAnsiTheme="minorEastAsia" w:eastAsiaTheme="minorEastAsia" w:cstheme="minorEastAsia"/>
          <w:bCs/>
          <w:color w:val="auto"/>
          <w:szCs w:val="21"/>
          <w:highlight w:val="none"/>
          <w:u w:val="single"/>
        </w:rPr>
        <w:t>（供应商单位名称、地址）</w:t>
      </w:r>
      <w:r>
        <w:rPr>
          <w:rFonts w:hint="eastAsia" w:asciiTheme="minorEastAsia" w:hAnsiTheme="minorEastAsia" w:eastAsiaTheme="minorEastAsia" w:cstheme="minorEastAsia"/>
          <w:bCs/>
          <w:color w:val="auto"/>
          <w:szCs w:val="21"/>
          <w:highlight w:val="none"/>
        </w:rPr>
        <w:t>提交下述文件正本</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 w:val="21"/>
          <w:szCs w:val="21"/>
          <w:u w:val="single"/>
          <w:lang w:val="en-US" w:eastAsia="zh-CN"/>
        </w:rPr>
        <w:t xml:space="preserve">壹 </w:t>
      </w:r>
      <w:r>
        <w:rPr>
          <w:rFonts w:hint="eastAsia" w:asciiTheme="minorEastAsia" w:hAnsiTheme="minorEastAsia" w:eastAsiaTheme="minorEastAsia" w:cstheme="minorEastAsia"/>
          <w:bCs/>
          <w:color w:val="auto"/>
          <w:szCs w:val="21"/>
          <w:highlight w:val="none"/>
        </w:rPr>
        <w:t>份和副本</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 w:val="21"/>
          <w:szCs w:val="21"/>
          <w:u w:val="single"/>
          <w:lang w:val="en-US" w:eastAsia="zh-CN"/>
        </w:rPr>
        <w:t>贰</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份及电子版U盘一个。</w:t>
      </w:r>
    </w:p>
    <w:p w14:paraId="06132A8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据此函，签字代表承诺如下内容（本承诺内容为响应基本要求，如不满足或有缺漏项的，视为响应无效）：</w:t>
      </w:r>
    </w:p>
    <w:p w14:paraId="0EA283F6">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1、我们愿意遵守采购比选文件中的各项规定，提供符合采购比选文件所要求的各项服务。</w:t>
      </w:r>
    </w:p>
    <w:p w14:paraId="020D009C">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2、我们同意本响应文件自响应文件接收截止日起90天内有效。</w:t>
      </w:r>
    </w:p>
    <w:p w14:paraId="0C76E7C1">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3、我们已经详细地阅读了全部采购比选文件及附件，包括澄清及参考文件（若有），我们完全理解并同意放弃对这方面有不明及误解的权利。</w:t>
      </w:r>
    </w:p>
    <w:p w14:paraId="4742D36C">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4.我们同意按贵司的要求提供有关资料，并保证真实性。     </w:t>
      </w:r>
    </w:p>
    <w:p w14:paraId="1D0EA43E">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40AF01C5">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供应商代表签字：                 </w:t>
      </w:r>
    </w:p>
    <w:p w14:paraId="0AC612D7">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供应商（全称并加盖公章）：            </w:t>
      </w:r>
    </w:p>
    <w:p w14:paraId="30F4D80E">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日  期：</w:t>
      </w:r>
    </w:p>
    <w:p w14:paraId="516479D7">
      <w:pPr>
        <w:adjustRightInd w:val="0"/>
        <w:snapToGrid w:val="0"/>
        <w:spacing w:line="360" w:lineRule="auto"/>
        <w:rPr>
          <w:rFonts w:hint="eastAsia" w:asciiTheme="minorEastAsia" w:hAnsiTheme="minorEastAsia" w:eastAsiaTheme="minorEastAsia" w:cstheme="minorEastAsia"/>
          <w:b/>
          <w:color w:val="auto"/>
          <w:szCs w:val="21"/>
          <w:highlight w:val="none"/>
        </w:rPr>
        <w:sectPr>
          <w:pgSz w:w="11906" w:h="16838"/>
          <w:pgMar w:top="1440" w:right="1800" w:bottom="1440" w:left="1800" w:header="794" w:footer="992" w:gutter="0"/>
          <w:cols w:space="425" w:num="1"/>
          <w:docGrid w:type="lines" w:linePitch="312" w:charSpace="0"/>
        </w:sectPr>
      </w:pPr>
    </w:p>
    <w:p w14:paraId="692B85D1">
      <w:pPr>
        <w:pStyle w:val="17"/>
        <w:rPr>
          <w:color w:val="auto"/>
          <w:highlight w:val="none"/>
        </w:rPr>
      </w:pPr>
    </w:p>
    <w:p w14:paraId="7A8BC660">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格式2:                         开标一览表</w:t>
      </w:r>
    </w:p>
    <w:p w14:paraId="0922C286">
      <w:pPr>
        <w:adjustRightInd w:val="0"/>
        <w:snapToGrid w:val="0"/>
        <w:spacing w:line="360" w:lineRule="auto"/>
        <w:rPr>
          <w:rFonts w:hint="eastAsia" w:asciiTheme="minorEastAsia" w:hAnsiTheme="minorEastAsia" w:eastAsiaTheme="minorEastAsia" w:cstheme="minorEastAsia"/>
          <w:bCs/>
          <w:i/>
          <w:iCs/>
          <w:color w:val="auto"/>
          <w:szCs w:val="21"/>
          <w:highlight w:val="none"/>
          <w:u w:val="single"/>
        </w:rPr>
      </w:pPr>
      <w:r>
        <w:rPr>
          <w:rFonts w:hint="eastAsia" w:asciiTheme="minorEastAsia" w:hAnsiTheme="minorEastAsia" w:eastAsiaTheme="minorEastAsia" w:cstheme="minorEastAsia"/>
          <w:bCs/>
          <w:i/>
          <w:iCs/>
          <w:color w:val="auto"/>
          <w:szCs w:val="21"/>
          <w:highlight w:val="none"/>
          <w:u w:val="single"/>
        </w:rPr>
        <w:t>1、常用报价格式：</w:t>
      </w:r>
    </w:p>
    <w:p w14:paraId="133C192D">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1675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4F0BAA18">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响应总价(小写)（元）</w:t>
            </w:r>
          </w:p>
        </w:tc>
        <w:tc>
          <w:tcPr>
            <w:tcW w:w="2823" w:type="dxa"/>
            <w:noWrap/>
            <w:vAlign w:val="center"/>
          </w:tcPr>
          <w:p w14:paraId="4119A101">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服务期限</w:t>
            </w:r>
          </w:p>
        </w:tc>
        <w:tc>
          <w:tcPr>
            <w:tcW w:w="1527" w:type="dxa"/>
            <w:noWrap/>
            <w:vAlign w:val="center"/>
          </w:tcPr>
          <w:p w14:paraId="74324404">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响应有效期</w:t>
            </w:r>
          </w:p>
        </w:tc>
      </w:tr>
      <w:tr w14:paraId="1F32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760CA418">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c>
          <w:tcPr>
            <w:tcW w:w="2823" w:type="dxa"/>
            <w:noWrap/>
          </w:tcPr>
          <w:p w14:paraId="2E1C7B44">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p>
        </w:tc>
        <w:tc>
          <w:tcPr>
            <w:tcW w:w="1527" w:type="dxa"/>
            <w:noWrap/>
          </w:tcPr>
          <w:p w14:paraId="60D4E300">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90天</w:t>
            </w:r>
          </w:p>
        </w:tc>
      </w:tr>
      <w:tr w14:paraId="5125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2A52AC8D">
            <w:pPr>
              <w:adjustRightInd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响应总价（大写）：</w:t>
            </w:r>
          </w:p>
        </w:tc>
      </w:tr>
      <w:tr w14:paraId="7B52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43780FAD">
            <w:pPr>
              <w:pStyle w:val="7"/>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是否为符合条件的</w:t>
            </w:r>
            <w:r>
              <w:rPr>
                <w:rFonts w:hint="eastAsia" w:asciiTheme="minorEastAsia" w:hAnsiTheme="minorEastAsia" w:eastAsiaTheme="minorEastAsia" w:cstheme="minorEastAsia"/>
                <w:bCs/>
                <w:color w:val="auto"/>
                <w:szCs w:val="21"/>
                <w:highlight w:val="none"/>
                <w:lang w:val="en-US" w:eastAsia="zh-CN"/>
              </w:rPr>
              <w:t>中小微/</w:t>
            </w:r>
            <w:r>
              <w:rPr>
                <w:rFonts w:hint="eastAsia" w:asciiTheme="minorEastAsia" w:hAnsiTheme="minorEastAsia" w:eastAsiaTheme="minorEastAsia" w:cstheme="minorEastAsia"/>
                <w:bCs/>
                <w:color w:val="auto"/>
                <w:szCs w:val="21"/>
                <w:highlight w:val="none"/>
              </w:rPr>
              <w:t>小微型企业:是（   ）；否（   ）</w:t>
            </w:r>
          </w:p>
        </w:tc>
      </w:tr>
      <w:tr w14:paraId="0F5F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171B741E">
            <w:pPr>
              <w:adjustRightInd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是否监狱企业参加采购活动：是（   ）；否（   ）</w:t>
            </w:r>
          </w:p>
        </w:tc>
      </w:tr>
      <w:tr w14:paraId="26CC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7DFBF8ED">
            <w:pPr>
              <w:adjustRightInd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是否为符合条件的残疾人福利性单位：是（   ）；否（   ）</w:t>
            </w:r>
          </w:p>
        </w:tc>
      </w:tr>
      <w:tr w14:paraId="5ABE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54F7FF77">
            <w:pPr>
              <w:adjustRightInd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备注：（其他需要说明的情形）</w:t>
            </w:r>
          </w:p>
        </w:tc>
      </w:tr>
    </w:tbl>
    <w:p w14:paraId="2316E952">
      <w:pPr>
        <w:adjustRightInd w:val="0"/>
        <w:snapToGrid w:val="0"/>
        <w:spacing w:line="360" w:lineRule="auto"/>
        <w:ind w:firstLine="560"/>
        <w:rPr>
          <w:rFonts w:hint="eastAsia" w:asciiTheme="minorEastAsia" w:hAnsiTheme="minorEastAsia" w:eastAsiaTheme="minorEastAsia" w:cstheme="minorEastAsia"/>
          <w:bCs/>
          <w:color w:val="auto"/>
          <w:szCs w:val="21"/>
          <w:highlight w:val="none"/>
        </w:rPr>
      </w:pPr>
    </w:p>
    <w:p w14:paraId="3EAB313E">
      <w:pPr>
        <w:pStyle w:val="7"/>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供应商名称：                 （公章）</w:t>
      </w:r>
    </w:p>
    <w:p w14:paraId="250BA171">
      <w:pPr>
        <w:pStyle w:val="7"/>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p>
    <w:p w14:paraId="226374EE">
      <w:pPr>
        <w:pStyle w:val="7"/>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 xml:space="preserve">供应商代表签名：                日期：  </w:t>
      </w:r>
    </w:p>
    <w:p w14:paraId="0858AB89">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格式3:</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响应报价明细表</w:t>
      </w:r>
    </w:p>
    <w:p w14:paraId="15FD8BE9">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项目名称：                         项目编号（分包号）∶ </w:t>
      </w:r>
    </w:p>
    <w:tbl>
      <w:tblPr>
        <w:tblStyle w:val="18"/>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14:paraId="32EE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79A7E6C5">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3BA705BC">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宋体" w:hAnsi="宋体" w:cs="宋体"/>
                <w:bCs/>
                <w:color w:val="auto"/>
                <w:szCs w:val="21"/>
                <w:highlight w:val="none"/>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10A8E340">
            <w:pPr>
              <w:adjustRightInd w:val="0"/>
              <w:snapToGrid w:val="0"/>
              <w:spacing w:line="2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79B5FD54">
            <w:pPr>
              <w:adjustRightInd w:val="0"/>
              <w:snapToGrid w:val="0"/>
              <w:spacing w:line="2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0AD84342">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14:paraId="21488DC3">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备注</w:t>
            </w:r>
          </w:p>
        </w:tc>
      </w:tr>
      <w:tr w14:paraId="46DE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25C9898C">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6B60DB64">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4A4C65BF">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FF5B887">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54F83596">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619BDA6F">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r>
      <w:tr w14:paraId="4655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E62C59D">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6D11BF82">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43F47DF">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64428E48">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2218D327">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24EF3EE9">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r>
      <w:tr w14:paraId="56D5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6B372A4">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55090AA0">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5F24F1D5">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41246D0">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6D612C23">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04E0146F">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r>
      <w:tr w14:paraId="78B0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0F3D7E4">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7209FE6C">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C80CE7B">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30C2672">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38DF5D37">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3494AF43">
            <w:pPr>
              <w:adjustRightInd w:val="0"/>
              <w:snapToGrid w:val="0"/>
              <w:spacing w:line="240" w:lineRule="exact"/>
              <w:ind w:firstLine="561"/>
              <w:jc w:val="left"/>
              <w:rPr>
                <w:rFonts w:hint="eastAsia" w:asciiTheme="minorEastAsia" w:hAnsiTheme="minorEastAsia" w:eastAsiaTheme="minorEastAsia" w:cstheme="minorEastAsia"/>
                <w:bCs/>
                <w:color w:val="auto"/>
                <w:szCs w:val="21"/>
                <w:highlight w:val="none"/>
              </w:rPr>
            </w:pPr>
          </w:p>
        </w:tc>
      </w:tr>
      <w:tr w14:paraId="1151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14:paraId="00B434E6">
            <w:pPr>
              <w:adjustRightInd w:val="0"/>
              <w:snapToGrid w:val="0"/>
              <w:spacing w:line="24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总价（大小写）：</w:t>
            </w:r>
          </w:p>
        </w:tc>
      </w:tr>
    </w:tbl>
    <w:p w14:paraId="30E4AE24">
      <w:pPr>
        <w:adjustRightInd w:val="0"/>
        <w:snapToGrid w:val="0"/>
        <w:spacing w:line="360" w:lineRule="auto"/>
        <w:ind w:firstLine="561"/>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w:t>
      </w:r>
    </w:p>
    <w:p w14:paraId="29F3AAE4">
      <w:pPr>
        <w:pStyle w:val="7"/>
        <w:adjustRightInd w:val="0"/>
        <w:snapToGrid w:val="0"/>
        <w:spacing w:line="360" w:lineRule="auto"/>
        <w:ind w:firstLine="210" w:firstLineChars="1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供应商名称：                 （公章）</w:t>
      </w:r>
    </w:p>
    <w:p w14:paraId="229A4D70">
      <w:pPr>
        <w:pStyle w:val="7"/>
        <w:adjustRightInd w:val="0"/>
        <w:snapToGrid w:val="0"/>
        <w:spacing w:line="360" w:lineRule="auto"/>
        <w:rPr>
          <w:rFonts w:hint="eastAsia" w:asciiTheme="minorEastAsia" w:hAnsiTheme="minorEastAsia" w:eastAsiaTheme="minorEastAsia" w:cstheme="minorEastAsia"/>
          <w:bCs/>
          <w:color w:val="auto"/>
          <w:szCs w:val="21"/>
          <w:highlight w:val="none"/>
        </w:rPr>
      </w:pPr>
    </w:p>
    <w:p w14:paraId="447399AF">
      <w:pPr>
        <w:pStyle w:val="7"/>
        <w:adjustRightInd w:val="0"/>
        <w:snapToGrid w:val="0"/>
        <w:spacing w:line="360" w:lineRule="auto"/>
        <w:ind w:firstLine="210" w:firstLineChars="100"/>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供应商代表签名：                日期：</w:t>
      </w:r>
    </w:p>
    <w:p w14:paraId="7A50B5DF">
      <w:pPr>
        <w:rPr>
          <w:rFonts w:hint="eastAsia"/>
        </w:rPr>
      </w:pPr>
    </w:p>
    <w:p w14:paraId="148E7D1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14:paraId="454480CD">
      <w:pPr>
        <w:pStyle w:val="2"/>
        <w:rPr>
          <w:rFonts w:hint="eastAsia" w:asciiTheme="minorEastAsia" w:hAnsiTheme="minorEastAsia" w:eastAsiaTheme="minorEastAsia" w:cstheme="minorEastAsia"/>
          <w:b/>
          <w:color w:val="auto"/>
          <w:sz w:val="21"/>
          <w:szCs w:val="21"/>
        </w:rPr>
      </w:pPr>
    </w:p>
    <w:p w14:paraId="0B386BC8">
      <w:pPr>
        <w:keepNext w:val="0"/>
        <w:keepLines w:val="0"/>
        <w:pageBreakBefore w:val="0"/>
        <w:widowControl w:val="0"/>
        <w:kinsoku/>
        <w:wordWrap/>
        <w:overflowPunct/>
        <w:topLinePunct w:val="0"/>
        <w:autoSpaceDE/>
        <w:autoSpaceDN/>
        <w:bidi w:val="0"/>
        <w:spacing w:line="560" w:lineRule="exact"/>
        <w:jc w:val="center"/>
        <w:textAlignment w:val="auto"/>
        <w:rPr>
          <w:color w:val="auto"/>
        </w:rPr>
      </w:pPr>
      <w:r>
        <w:rPr>
          <w:rFonts w:hint="eastAsia"/>
          <w:color w:val="auto"/>
        </w:rPr>
        <w:t>法定代表人授权委托书</w:t>
      </w:r>
    </w:p>
    <w:p w14:paraId="5BD5EA2D">
      <w:pPr>
        <w:keepNext w:val="0"/>
        <w:keepLines w:val="0"/>
        <w:pageBreakBefore w:val="0"/>
        <w:widowControl w:val="0"/>
        <w:kinsoku/>
        <w:wordWrap/>
        <w:overflowPunct/>
        <w:topLinePunct w:val="0"/>
        <w:autoSpaceDE/>
        <w:autoSpaceDN/>
        <w:bidi w:val="0"/>
        <w:spacing w:line="560" w:lineRule="exact"/>
        <w:textAlignment w:val="auto"/>
        <w:rPr>
          <w:color w:val="auto"/>
        </w:rPr>
      </w:pPr>
    </w:p>
    <w:p w14:paraId="6789A54A">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u w:val="single"/>
        </w:rPr>
        <w:t xml:space="preserve">     （供应商名称）     </w:t>
      </w:r>
      <w:r>
        <w:rPr>
          <w:rFonts w:hint="eastAsia"/>
          <w:color w:val="auto"/>
        </w:rPr>
        <w:t>法定代表人授权我司员工</w:t>
      </w:r>
      <w:r>
        <w:rPr>
          <w:rFonts w:hint="eastAsia"/>
          <w:color w:val="auto"/>
          <w:u w:val="single"/>
          <w:lang w:val="en-US" w:eastAsia="zh-CN"/>
        </w:rPr>
        <w:t xml:space="preserve">      </w:t>
      </w:r>
      <w:r>
        <w:rPr>
          <w:rFonts w:hint="eastAsia"/>
          <w:color w:val="auto"/>
        </w:rPr>
        <w:t>全权负责</w:t>
      </w:r>
      <w:r>
        <w:rPr>
          <w:rFonts w:hint="eastAsia"/>
          <w:color w:val="auto"/>
          <w:u w:val="single"/>
          <w:lang w:eastAsia="zh-CN"/>
        </w:rPr>
        <w:t>（</w:t>
      </w:r>
      <w:r>
        <w:rPr>
          <w:rFonts w:hint="eastAsia"/>
          <w:color w:val="auto"/>
          <w:u w:val="single"/>
        </w:rPr>
        <w:t>项目</w:t>
      </w:r>
      <w:r>
        <w:rPr>
          <w:rFonts w:hint="eastAsia"/>
          <w:color w:val="auto"/>
          <w:u w:val="single"/>
          <w:lang w:val="en-US" w:eastAsia="zh-CN"/>
        </w:rPr>
        <w:t xml:space="preserve">名称）   </w:t>
      </w:r>
      <w:r>
        <w:rPr>
          <w:rFonts w:hint="eastAsia"/>
          <w:color w:val="auto"/>
        </w:rPr>
        <w:t>的一切相关事宜。本授权书于_______年_____月_____日签字生效，特此声明。</w:t>
      </w:r>
    </w:p>
    <w:p w14:paraId="202B98A6">
      <w:pPr>
        <w:keepNext w:val="0"/>
        <w:keepLines w:val="0"/>
        <w:pageBreakBefore w:val="0"/>
        <w:widowControl w:val="0"/>
        <w:kinsoku/>
        <w:wordWrap/>
        <w:overflowPunct/>
        <w:topLinePunct w:val="0"/>
        <w:autoSpaceDE/>
        <w:autoSpaceDN/>
        <w:bidi w:val="0"/>
        <w:spacing w:line="560" w:lineRule="exact"/>
        <w:textAlignment w:val="auto"/>
        <w:rPr>
          <w:color w:val="auto"/>
        </w:rPr>
      </w:pPr>
    </w:p>
    <w:p w14:paraId="3B5787D4">
      <w:pPr>
        <w:keepNext w:val="0"/>
        <w:keepLines w:val="0"/>
        <w:pageBreakBefore w:val="0"/>
        <w:widowControl w:val="0"/>
        <w:kinsoku/>
        <w:wordWrap/>
        <w:overflowPunct/>
        <w:topLinePunct w:val="0"/>
        <w:autoSpaceDE/>
        <w:autoSpaceDN/>
        <w:bidi w:val="0"/>
        <w:spacing w:line="560" w:lineRule="exact"/>
        <w:textAlignment w:val="auto"/>
        <w:rPr>
          <w:color w:val="auto"/>
        </w:rPr>
      </w:pPr>
    </w:p>
    <w:p w14:paraId="0EF753FF">
      <w:pPr>
        <w:keepNext w:val="0"/>
        <w:keepLines w:val="0"/>
        <w:pageBreakBefore w:val="0"/>
        <w:widowControl w:val="0"/>
        <w:kinsoku/>
        <w:wordWrap/>
        <w:overflowPunct/>
        <w:topLinePunct w:val="0"/>
        <w:autoSpaceDE/>
        <w:autoSpaceDN/>
        <w:bidi w:val="0"/>
        <w:spacing w:line="560" w:lineRule="exact"/>
        <w:textAlignment w:val="auto"/>
        <w:rPr>
          <w:color w:val="auto"/>
        </w:rPr>
      </w:pPr>
    </w:p>
    <w:p w14:paraId="3B2929F4">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 xml:space="preserve">供应商（公章）：                                                         </w:t>
      </w:r>
    </w:p>
    <w:p w14:paraId="14DED131">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法定代表人签字：（或法人章）</w:t>
      </w:r>
    </w:p>
    <w:p w14:paraId="0222D368">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被授权人签字：</w:t>
      </w:r>
    </w:p>
    <w:p w14:paraId="16DE82F9">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14:paraId="108F2B89">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14:paraId="09409C28">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ascii="宋体" w:hAnsi="宋体" w:eastAsia="宋体" w:cs="宋体"/>
          <w:color w:val="auto"/>
        </w:rPr>
      </w:pPr>
      <w:r>
        <w:rPr>
          <w:rFonts w:hint="eastAsia" w:ascii="宋体" w:hAnsi="宋体" w:eastAsia="宋体" w:cs="宋体"/>
          <w:color w:val="auto"/>
        </w:rPr>
        <w:t>附：法定代表人身份证复印件</w:t>
      </w:r>
    </w:p>
    <w:p w14:paraId="7DD6774C">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授权委托人身份证复印件</w:t>
      </w:r>
    </w:p>
    <w:p w14:paraId="75CCA1D1">
      <w:pPr>
        <w:pStyle w:val="17"/>
        <w:ind w:left="0" w:leftChars="0" w:firstLine="0" w:firstLineChars="0"/>
        <w:rPr>
          <w:rFonts w:ascii="Times New Roman" w:eastAsia="宋体"/>
          <w:color w:val="auto"/>
          <w:szCs w:val="24"/>
          <w:highlight w:val="none"/>
        </w:rPr>
        <w:sectPr>
          <w:pgSz w:w="11906" w:h="16838"/>
          <w:pgMar w:top="1440" w:right="1800" w:bottom="1440" w:left="1800" w:header="794" w:footer="992" w:gutter="0"/>
          <w:cols w:space="425" w:num="1"/>
          <w:docGrid w:type="lines" w:linePitch="312" w:charSpace="0"/>
        </w:sectPr>
      </w:pPr>
    </w:p>
    <w:p w14:paraId="6424379A">
      <w:pPr>
        <w:pStyle w:val="34"/>
        <w:adjustRightInd w:val="0"/>
        <w:snapToGrid w:val="0"/>
        <w:spacing w:line="360" w:lineRule="auto"/>
        <w:ind w:firstLine="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格式5：                    法定代表人身份证明书</w:t>
      </w:r>
    </w:p>
    <w:p w14:paraId="0C6F22DE">
      <w:pPr>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法定代表人身份证明书</w:t>
      </w:r>
    </w:p>
    <w:p w14:paraId="2FE7D6E6">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5D8CF8FA">
      <w:pPr>
        <w:adjustRightInd w:val="0"/>
        <w:snapToGrid w:val="0"/>
        <w:spacing w:line="360" w:lineRule="auto"/>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 xml:space="preserve">姓    名：性别：    年龄：    职务：    </w:t>
      </w:r>
    </w:p>
    <w:p w14:paraId="3CA3C282">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系</w:t>
      </w:r>
      <w:r>
        <w:rPr>
          <w:rFonts w:hint="eastAsia" w:asciiTheme="minorEastAsia" w:hAnsiTheme="minorEastAsia" w:eastAsiaTheme="minorEastAsia" w:cstheme="minorEastAsia"/>
          <w:bCs/>
          <w:color w:val="auto"/>
          <w:szCs w:val="21"/>
          <w:highlight w:val="none"/>
          <w:u w:val="single"/>
        </w:rPr>
        <w:t xml:space="preserve">    （供应商名称）   </w:t>
      </w:r>
      <w:r>
        <w:rPr>
          <w:rFonts w:hint="eastAsia" w:asciiTheme="minorEastAsia" w:hAnsiTheme="minorEastAsia" w:eastAsiaTheme="minorEastAsia" w:cstheme="minorEastAsia"/>
          <w:bCs/>
          <w:color w:val="auto"/>
          <w:szCs w:val="21"/>
          <w:highlight w:val="none"/>
        </w:rPr>
        <w:t>的法定代表人。</w:t>
      </w:r>
    </w:p>
    <w:p w14:paraId="4B4043D1">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1E0944E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特此证明。</w:t>
      </w:r>
    </w:p>
    <w:p w14:paraId="133C3596">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2E150F6D">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1D334FE0">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08D1D9A1">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6D0A5F56">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28E7F671">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5EC9DDBF">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12EF5BC3">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4ECD4BD1">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供应商（公章）：                </w:t>
      </w:r>
    </w:p>
    <w:p w14:paraId="3DB43C7C">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2B0E623D">
      <w:pPr>
        <w:adjustRightInd w:val="0"/>
        <w:snapToGrid w:val="0"/>
        <w:spacing w:line="360" w:lineRule="auto"/>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 xml:space="preserve">日期：  </w:t>
      </w:r>
    </w:p>
    <w:p w14:paraId="2FF0EFD6">
      <w:pPr>
        <w:adjustRightInd w:val="0"/>
        <w:snapToGrid w:val="0"/>
        <w:spacing w:line="360" w:lineRule="auto"/>
        <w:rPr>
          <w:rFonts w:hint="eastAsia" w:asciiTheme="minorEastAsia" w:hAnsiTheme="minorEastAsia" w:eastAsiaTheme="minorEastAsia" w:cstheme="minorEastAsia"/>
          <w:b/>
          <w:color w:val="auto"/>
          <w:szCs w:val="21"/>
          <w:highlight w:val="none"/>
        </w:rPr>
      </w:pPr>
    </w:p>
    <w:p w14:paraId="54FEC138">
      <w:pPr>
        <w:spacing w:line="360" w:lineRule="auto"/>
        <w:rPr>
          <w:rFonts w:hint="eastAsia" w:ascii="宋体" w:hAnsi="宋体" w:cs="宋体"/>
          <w:b/>
          <w:bCs/>
          <w:color w:val="auto"/>
          <w:szCs w:val="21"/>
          <w:highlight w:val="none"/>
        </w:rPr>
      </w:pPr>
      <w:r>
        <w:rPr>
          <w:rFonts w:hint="eastAsia" w:ascii="宋体" w:hAnsi="宋体" w:cs="宋体"/>
          <w:b/>
          <w:color w:val="auto"/>
          <w:szCs w:val="21"/>
          <w:highlight w:val="none"/>
        </w:rPr>
        <w:t xml:space="preserve">格式6：                    </w:t>
      </w:r>
      <w:r>
        <w:rPr>
          <w:rFonts w:hint="eastAsia" w:ascii="宋体" w:hAnsi="宋体" w:cs="宋体"/>
          <w:b/>
          <w:bCs/>
          <w:color w:val="auto"/>
          <w:szCs w:val="21"/>
          <w:highlight w:val="none"/>
        </w:rPr>
        <w:t>资格承诺函</w:t>
      </w:r>
    </w:p>
    <w:p w14:paraId="32673D3D">
      <w:pPr>
        <w:spacing w:line="360" w:lineRule="auto"/>
        <w:jc w:val="left"/>
        <w:rPr>
          <w:rFonts w:hint="eastAsia" w:ascii="宋体" w:hAnsi="宋体" w:cs="宋体"/>
          <w:color w:val="auto"/>
          <w:szCs w:val="21"/>
          <w:highlight w:val="none"/>
        </w:rPr>
      </w:pPr>
    </w:p>
    <w:p w14:paraId="5290479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w:t>
      </w:r>
    </w:p>
    <w:p w14:paraId="28BFF42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我单位参与</w:t>
      </w:r>
      <w:r>
        <w:rPr>
          <w:rFonts w:hint="eastAsia" w:ascii="宋体" w:hAnsi="宋体" w:cs="宋体"/>
          <w:color w:val="auto"/>
          <w:szCs w:val="21"/>
          <w:highlight w:val="none"/>
          <w:u w:val="single"/>
        </w:rPr>
        <w:t>（项目名称）（项目编号（分包号）： ）</w:t>
      </w:r>
      <w:r>
        <w:rPr>
          <w:rFonts w:hint="eastAsia" w:ascii="宋体" w:hAnsi="宋体" w:cs="宋体"/>
          <w:color w:val="auto"/>
          <w:szCs w:val="21"/>
          <w:highlight w:val="none"/>
        </w:rPr>
        <w:t>项目的采购活动，现承诺如下：</w:t>
      </w:r>
    </w:p>
    <w:p w14:paraId="47F02076">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14:paraId="3111CDB7">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14:paraId="47E8D84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14:paraId="50717A78">
      <w:pPr>
        <w:spacing w:line="360" w:lineRule="auto"/>
        <w:ind w:firstLine="420" w:firstLineChars="200"/>
        <w:jc w:val="left"/>
        <w:rPr>
          <w:rFonts w:hint="eastAsia" w:ascii="宋体" w:hAnsi="宋体" w:cs="宋体"/>
          <w:color w:val="auto"/>
          <w:szCs w:val="21"/>
          <w:highlight w:val="none"/>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14:paraId="28D58BB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5.如违反上述承诺，同意将相关失信行为纳入海口市信用信息共享平台。</w:t>
      </w:r>
    </w:p>
    <w:p w14:paraId="61CC95E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6.同意此承诺书在市公共资源中心的政府采购信息发布平台公示，接受社会各界监督。</w:t>
      </w:r>
    </w:p>
    <w:p w14:paraId="49856AE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若我单位以上承诺不实，自愿承担提供虚假材料谋取成交、成交的法律责任。</w:t>
      </w:r>
    </w:p>
    <w:p w14:paraId="0884C6E9">
      <w:pPr>
        <w:spacing w:line="360" w:lineRule="auto"/>
        <w:rPr>
          <w:rFonts w:hint="eastAsia" w:ascii="宋体" w:hAnsi="宋体" w:cs="宋体"/>
          <w:color w:val="auto"/>
          <w:szCs w:val="21"/>
          <w:highlight w:val="none"/>
        </w:rPr>
      </w:pPr>
    </w:p>
    <w:p w14:paraId="37608EB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承诺供应商（全称并加盖公章）：</w:t>
      </w:r>
    </w:p>
    <w:p w14:paraId="6888559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单位负责人或授权代表（签字）：</w:t>
      </w:r>
    </w:p>
    <w:p w14:paraId="09385A7A">
      <w:pPr>
        <w:spacing w:line="360" w:lineRule="auto"/>
        <w:ind w:firstLine="420" w:firstLineChars="200"/>
        <w:jc w:val="left"/>
        <w:rPr>
          <w:rFonts w:hint="eastAsia" w:ascii="宋体" w:hAnsi="宋体" w:cs="宋体"/>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宋体" w:hAnsi="宋体" w:cs="宋体"/>
          <w:color w:val="auto"/>
          <w:szCs w:val="21"/>
          <w:highlight w:val="none"/>
        </w:rPr>
        <w:t>日期：</w:t>
      </w:r>
    </w:p>
    <w:p w14:paraId="4ED4CAFE">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附件1：                     中小企业声明函（服务类）</w:t>
      </w:r>
    </w:p>
    <w:p w14:paraId="2E5BE9C0">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w:t>
      </w:r>
    </w:p>
    <w:p w14:paraId="7659DAD1">
      <w:pPr>
        <w:adjustRightInd w:val="0"/>
        <w:snapToGrid w:val="0"/>
        <w:spacing w:line="360" w:lineRule="auto"/>
        <w:ind w:firstLine="630" w:firstLineChars="3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Cs w:val="21"/>
          <w:highlight w:val="none"/>
          <w:u w:val="single"/>
        </w:rPr>
        <w:t>（单位名称）</w:t>
      </w:r>
      <w:r>
        <w:rPr>
          <w:rFonts w:hint="eastAsia" w:asciiTheme="minorEastAsia" w:hAnsiTheme="minorEastAsia" w:eastAsiaTheme="minorEastAsia" w:cstheme="minorEastAsia"/>
          <w:bCs/>
          <w:color w:val="auto"/>
          <w:szCs w:val="21"/>
          <w:highlight w:val="none"/>
        </w:rPr>
        <w:t>的</w:t>
      </w:r>
      <w:r>
        <w:rPr>
          <w:rFonts w:hint="eastAsia" w:asciiTheme="minorEastAsia" w:hAnsiTheme="minorEastAsia" w:eastAsiaTheme="minorEastAsia" w:cstheme="minorEastAsia"/>
          <w:bCs/>
          <w:color w:val="auto"/>
          <w:szCs w:val="21"/>
          <w:highlight w:val="none"/>
          <w:u w:val="single"/>
        </w:rPr>
        <w:t>（项目名称、项目编号、包号）</w:t>
      </w:r>
      <w:r>
        <w:rPr>
          <w:rFonts w:hint="eastAsia" w:asciiTheme="minorEastAsia" w:hAnsiTheme="minorEastAsia" w:eastAsiaTheme="minorEastAsia" w:cstheme="minorEastAsia"/>
          <w:bCs/>
          <w:color w:val="auto"/>
          <w:szCs w:val="21"/>
          <w:highlight w:val="none"/>
        </w:rPr>
        <w:t>采购活动，服务全部由符合政策要求的中小企业承接。相关企业（含联合体中的中小企业、签订分包意向协议的中小企业）的具体情况如下：</w:t>
      </w:r>
    </w:p>
    <w:p w14:paraId="38BAFF4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1. </w:t>
      </w:r>
      <w:r>
        <w:rPr>
          <w:rFonts w:hint="eastAsia" w:asciiTheme="minorEastAsia" w:hAnsiTheme="minorEastAsia" w:eastAsiaTheme="minorEastAsia" w:cstheme="minorEastAsia"/>
          <w:bCs/>
          <w:color w:val="auto"/>
          <w:szCs w:val="21"/>
          <w:highlight w:val="none"/>
          <w:u w:val="single"/>
        </w:rPr>
        <w:t>（标的名称）</w:t>
      </w:r>
      <w:r>
        <w:rPr>
          <w:rFonts w:hint="eastAsia" w:asciiTheme="minorEastAsia" w:hAnsiTheme="minorEastAsia" w:eastAsiaTheme="minorEastAsia" w:cstheme="minorEastAsia"/>
          <w:bCs/>
          <w:color w:val="auto"/>
          <w:szCs w:val="21"/>
          <w:highlight w:val="none"/>
        </w:rPr>
        <w:t>，属于</w:t>
      </w:r>
      <w:r>
        <w:rPr>
          <w:rFonts w:hint="eastAsia" w:asciiTheme="minorEastAsia" w:hAnsiTheme="minorEastAsia" w:eastAsiaTheme="minorEastAsia" w:cstheme="minorEastAsia"/>
          <w:bCs/>
          <w:color w:val="auto"/>
          <w:szCs w:val="21"/>
          <w:highlight w:val="none"/>
          <w:u w:val="single"/>
        </w:rPr>
        <w:t>（采购文件中明确的所属行业）</w:t>
      </w:r>
      <w:r>
        <w:rPr>
          <w:rFonts w:hint="eastAsia" w:asciiTheme="minorEastAsia" w:hAnsiTheme="minorEastAsia" w:eastAsiaTheme="minorEastAsia" w:cstheme="minorEastAsia"/>
          <w:bCs/>
          <w:color w:val="auto"/>
          <w:szCs w:val="21"/>
          <w:highlight w:val="none"/>
        </w:rPr>
        <w:t>；承接企业为</w:t>
      </w:r>
      <w:r>
        <w:rPr>
          <w:rFonts w:hint="eastAsia" w:asciiTheme="minorEastAsia" w:hAnsiTheme="minorEastAsia" w:eastAsiaTheme="minorEastAsia" w:cstheme="minorEastAsia"/>
          <w:bCs/>
          <w:color w:val="auto"/>
          <w:szCs w:val="21"/>
          <w:highlight w:val="none"/>
          <w:u w:val="single"/>
        </w:rPr>
        <w:t>（企业名称）</w:t>
      </w:r>
      <w:r>
        <w:rPr>
          <w:rFonts w:hint="eastAsia" w:asciiTheme="minorEastAsia" w:hAnsiTheme="minorEastAsia" w:eastAsiaTheme="minorEastAsia" w:cstheme="minorEastAsia"/>
          <w:bCs/>
          <w:color w:val="auto"/>
          <w:szCs w:val="21"/>
          <w:highlight w:val="none"/>
        </w:rPr>
        <w:t>，从业人员</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人，营业收入为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万元，资产总额为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万元，属于</w:t>
      </w:r>
      <w:r>
        <w:rPr>
          <w:rFonts w:hint="eastAsia" w:asciiTheme="minorEastAsia" w:hAnsiTheme="minorEastAsia" w:eastAsiaTheme="minorEastAsia" w:cstheme="minorEastAsia"/>
          <w:bCs/>
          <w:color w:val="auto"/>
          <w:szCs w:val="21"/>
          <w:highlight w:val="none"/>
          <w:u w:val="single"/>
        </w:rPr>
        <w:t>（中型企业、小型企业、微型企业）</w:t>
      </w:r>
      <w:r>
        <w:rPr>
          <w:rFonts w:hint="eastAsia" w:asciiTheme="minorEastAsia" w:hAnsiTheme="minorEastAsia" w:eastAsiaTheme="minorEastAsia" w:cstheme="minorEastAsia"/>
          <w:bCs/>
          <w:color w:val="auto"/>
          <w:szCs w:val="21"/>
          <w:highlight w:val="none"/>
        </w:rPr>
        <w:t>；</w:t>
      </w:r>
    </w:p>
    <w:p w14:paraId="210D86A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2. </w:t>
      </w:r>
      <w:r>
        <w:rPr>
          <w:rFonts w:hint="eastAsia" w:asciiTheme="minorEastAsia" w:hAnsiTheme="minorEastAsia" w:eastAsiaTheme="minorEastAsia" w:cstheme="minorEastAsia"/>
          <w:bCs/>
          <w:color w:val="auto"/>
          <w:szCs w:val="21"/>
          <w:highlight w:val="none"/>
          <w:u w:val="single"/>
        </w:rPr>
        <w:t>（标的名称）</w:t>
      </w:r>
      <w:r>
        <w:rPr>
          <w:rFonts w:hint="eastAsia" w:asciiTheme="minorEastAsia" w:hAnsiTheme="minorEastAsia" w:eastAsiaTheme="minorEastAsia" w:cstheme="minorEastAsia"/>
          <w:bCs/>
          <w:color w:val="auto"/>
          <w:szCs w:val="21"/>
          <w:highlight w:val="none"/>
        </w:rPr>
        <w:t>，属于</w:t>
      </w:r>
      <w:r>
        <w:rPr>
          <w:rFonts w:hint="eastAsia" w:asciiTheme="minorEastAsia" w:hAnsiTheme="minorEastAsia" w:eastAsiaTheme="minorEastAsia" w:cstheme="minorEastAsia"/>
          <w:bCs/>
          <w:color w:val="auto"/>
          <w:szCs w:val="21"/>
          <w:highlight w:val="none"/>
          <w:u w:val="single"/>
        </w:rPr>
        <w:t>（采购文件中明确的所属行业）</w:t>
      </w:r>
      <w:r>
        <w:rPr>
          <w:rFonts w:hint="eastAsia" w:asciiTheme="minorEastAsia" w:hAnsiTheme="minorEastAsia" w:eastAsiaTheme="minorEastAsia" w:cstheme="minorEastAsia"/>
          <w:bCs/>
          <w:color w:val="auto"/>
          <w:szCs w:val="21"/>
          <w:highlight w:val="none"/>
        </w:rPr>
        <w:t>；承接企业为</w:t>
      </w:r>
      <w:r>
        <w:rPr>
          <w:rFonts w:hint="eastAsia" w:asciiTheme="minorEastAsia" w:hAnsiTheme="minorEastAsia" w:eastAsiaTheme="minorEastAsia" w:cstheme="minorEastAsia"/>
          <w:bCs/>
          <w:color w:val="auto"/>
          <w:szCs w:val="21"/>
          <w:highlight w:val="none"/>
          <w:u w:val="single"/>
        </w:rPr>
        <w:t>（企业名称）</w:t>
      </w:r>
      <w:r>
        <w:rPr>
          <w:rFonts w:hint="eastAsia" w:asciiTheme="minorEastAsia" w:hAnsiTheme="minorEastAsia" w:eastAsiaTheme="minorEastAsia" w:cstheme="minorEastAsia"/>
          <w:bCs/>
          <w:color w:val="auto"/>
          <w:szCs w:val="21"/>
          <w:highlight w:val="none"/>
        </w:rPr>
        <w:t>，从业人员</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人，营业收入为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万元，资产总额为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万元，属于</w:t>
      </w:r>
      <w:r>
        <w:rPr>
          <w:rFonts w:hint="eastAsia" w:asciiTheme="minorEastAsia" w:hAnsiTheme="minorEastAsia" w:eastAsiaTheme="minorEastAsia" w:cstheme="minorEastAsia"/>
          <w:bCs/>
          <w:color w:val="auto"/>
          <w:szCs w:val="21"/>
          <w:highlight w:val="none"/>
          <w:u w:val="single"/>
        </w:rPr>
        <w:t>（中型企业、小型企业、微型企业）</w:t>
      </w:r>
      <w:r>
        <w:rPr>
          <w:rFonts w:hint="eastAsia" w:asciiTheme="minorEastAsia" w:hAnsiTheme="minorEastAsia" w:eastAsiaTheme="minorEastAsia" w:cstheme="minorEastAsia"/>
          <w:bCs/>
          <w:color w:val="auto"/>
          <w:szCs w:val="21"/>
          <w:highlight w:val="none"/>
        </w:rPr>
        <w:t>；</w:t>
      </w:r>
    </w:p>
    <w:p w14:paraId="0D63DE2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p w14:paraId="56F7FD72">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以上企业，不属于大企业的分支机构，不存在控股股东为大企业的情形，也不存在与大企业的负责人为同一人的情形。</w:t>
      </w:r>
    </w:p>
    <w:p w14:paraId="2AE457C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本企业对上述声明内容的真实性负责。如有虚假，将依法承担相应责任。</w:t>
      </w:r>
    </w:p>
    <w:p w14:paraId="7F67A465">
      <w:pPr>
        <w:adjustRightInd w:val="0"/>
        <w:snapToGrid w:val="0"/>
        <w:spacing w:line="360" w:lineRule="auto"/>
        <w:ind w:firstLine="2940" w:firstLineChars="1400"/>
        <w:rPr>
          <w:rFonts w:hint="eastAsia" w:asciiTheme="minorEastAsia" w:hAnsiTheme="minorEastAsia" w:eastAsiaTheme="minorEastAsia" w:cstheme="minorEastAsia"/>
          <w:bCs/>
          <w:color w:val="auto"/>
          <w:szCs w:val="21"/>
          <w:highlight w:val="none"/>
        </w:rPr>
      </w:pPr>
    </w:p>
    <w:p w14:paraId="654A92E3">
      <w:pPr>
        <w:pStyle w:val="7"/>
        <w:adjustRightInd w:val="0"/>
        <w:snapToGrid w:val="0"/>
        <w:spacing w:line="360" w:lineRule="auto"/>
        <w:ind w:firstLine="3990" w:firstLineChars="19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供应商名称（盖章）：</w:t>
      </w:r>
    </w:p>
    <w:p w14:paraId="49156672">
      <w:pPr>
        <w:adjustRightInd w:val="0"/>
        <w:snapToGrid w:val="0"/>
        <w:spacing w:line="360" w:lineRule="auto"/>
        <w:ind w:firstLine="3990" w:firstLineChars="19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日期：</w:t>
      </w:r>
    </w:p>
    <w:p w14:paraId="0715C471">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7BC7684C">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备注：</w:t>
      </w:r>
    </w:p>
    <w:p w14:paraId="667F7482">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①从业人员、营业收入、资产总额填报上一年度数据，无上一年度数据的新成立企业可不填报。</w:t>
      </w:r>
    </w:p>
    <w:p w14:paraId="0A68433D">
      <w:pPr>
        <w:adjustRightInd w:val="0"/>
        <w:snapToGrid w:val="0"/>
        <w:spacing w:line="360" w:lineRule="auto"/>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rPr>
        <w:t>②供应商提供《中小企业声明函》内容不实的，属于“隐瞒真实情况，提供虚假资料的” 情形，依照有关规定追究相应责任。</w:t>
      </w:r>
    </w:p>
    <w:p w14:paraId="17D9F653">
      <w:pPr>
        <w:adjustRightInd w:val="0"/>
        <w:snapToGrid w:val="0"/>
        <w:spacing w:line="360" w:lineRule="auto"/>
        <w:rPr>
          <w:rFonts w:hint="eastAsia"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lang w:val="zh-CN"/>
        </w:rPr>
        <w:t>附件2：监狱企业证明文件</w:t>
      </w:r>
    </w:p>
    <w:p w14:paraId="502BABCD">
      <w:pPr>
        <w:adjustRightInd w:val="0"/>
        <w:snapToGrid w:val="0"/>
        <w:spacing w:line="360" w:lineRule="auto"/>
        <w:rPr>
          <w:color w:val="auto"/>
          <w:szCs w:val="21"/>
          <w:highlight w:val="none"/>
          <w:lang w:val="zh-CN"/>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highlight w:val="none"/>
          <w:lang w:val="zh-CN"/>
        </w:rPr>
        <w:t>享受</w:t>
      </w:r>
      <w:r>
        <w:rPr>
          <w:rFonts w:hint="eastAsia"/>
          <w:color w:val="auto"/>
          <w:szCs w:val="21"/>
          <w:highlight w:val="none"/>
          <w:lang w:val="zh-CN"/>
        </w:rPr>
        <w:t>政策优惠的监狱企业须提供由省级以上监狱管理局、戒毒管理局（含新疆生产建设兵团）出具的属于监狱企业的证明文件。</w:t>
      </w:r>
    </w:p>
    <w:p w14:paraId="436A4ADD">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附件3 ：                       残疾人福利性单位声明函</w:t>
      </w:r>
    </w:p>
    <w:p w14:paraId="17D684C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14:paraId="7562F69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14:paraId="43E9532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14:paraId="3A1875F5">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4A638F63">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166D400B">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14:paraId="653E59D0">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14:paraId="6282F9B9">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14:paraId="6E82B108">
      <w:pPr>
        <w:adjustRightInd w:val="0"/>
        <w:snapToGrid w:val="0"/>
        <w:spacing w:line="360" w:lineRule="auto"/>
        <w:ind w:firstLine="3570" w:firstLineChars="1700"/>
        <w:rPr>
          <w:rFonts w:hint="eastAsia" w:asciiTheme="minorEastAsia" w:hAnsiTheme="minorEastAsia" w:eastAsiaTheme="minorEastAsia" w:cstheme="minorEastAsia"/>
          <w:color w:val="auto"/>
          <w:szCs w:val="21"/>
          <w:highlight w:val="none"/>
        </w:rPr>
      </w:pPr>
    </w:p>
    <w:p w14:paraId="0877C317">
      <w:pPr>
        <w:adjustRightInd w:val="0"/>
        <w:snapToGrid w:val="0"/>
        <w:spacing w:line="360" w:lineRule="auto"/>
        <w:rPr>
          <w:rFonts w:hint="eastAsia" w:asciiTheme="minorEastAsia" w:hAnsiTheme="minorEastAsia" w:eastAsiaTheme="minorEastAsia" w:cstheme="minorEastAsia"/>
          <w:color w:val="auto"/>
          <w:szCs w:val="21"/>
          <w:highlight w:val="none"/>
        </w:rPr>
      </w:pPr>
    </w:p>
    <w:sectPr>
      <w:pgSz w:w="11906" w:h="16838"/>
      <w:pgMar w:top="1440" w:right="1800" w:bottom="1440" w:left="1800" w:header="794"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5-22T14:48:29Z" w:initials="">
    <w:p w14:paraId="5A9C43E8">
      <w:pPr>
        <w:pStyle w:val="7"/>
        <w:rPr>
          <w:rFonts w:hint="default" w:eastAsia="宋体"/>
          <w:lang w:val="en-US" w:eastAsia="zh-CN"/>
        </w:rPr>
      </w:pPr>
      <w:r>
        <w:rPr>
          <w:rFonts w:hint="eastAsia"/>
          <w:lang w:val="en-US" w:eastAsia="zh-CN"/>
        </w:rPr>
        <w:t>先列入具体需要考核的因素</w:t>
      </w:r>
    </w:p>
  </w:comment>
  <w:comment w:id="1" w:author="user" w:date="2025-05-22T14:50:56Z" w:initials="">
    <w:p w14:paraId="25FDCD00">
      <w:pPr>
        <w:pStyle w:val="7"/>
        <w:rPr>
          <w:rFonts w:hint="eastAsia" w:eastAsia="宋体"/>
          <w:lang w:val="en-US" w:eastAsia="zh-CN"/>
        </w:rPr>
      </w:pPr>
      <w:r>
        <w:rPr>
          <w:rFonts w:hint="eastAsia"/>
          <w:lang w:val="en-US" w:eastAsia="zh-CN"/>
        </w:rPr>
        <w:t>同上</w:t>
      </w:r>
    </w:p>
  </w:comment>
  <w:comment w:id="2" w:author="user" w:date="2025-05-22T14:54:02Z" w:initials="">
    <w:p w14:paraId="2B269567">
      <w:pPr>
        <w:pStyle w:val="7"/>
        <w:rPr>
          <w:rFonts w:hint="default" w:eastAsia="宋体"/>
          <w:lang w:val="en-US" w:eastAsia="zh-CN"/>
        </w:rPr>
      </w:pPr>
      <w:r>
        <w:rPr>
          <w:rFonts w:hint="eastAsia"/>
          <w:lang w:val="en-US" w:eastAsia="zh-CN"/>
        </w:rPr>
        <w:t>直接明确2025年第一季度</w:t>
      </w:r>
    </w:p>
  </w:comment>
  <w:comment w:id="3" w:author="user" w:date="2025-05-22T14:55:18Z" w:initials="">
    <w:p w14:paraId="0987E4EE">
      <w:pPr>
        <w:pStyle w:val="7"/>
        <w:rPr>
          <w:rFonts w:hint="default" w:eastAsia="宋体"/>
          <w:lang w:val="en-US" w:eastAsia="zh-CN"/>
        </w:rPr>
      </w:pPr>
      <w:r>
        <w:rPr>
          <w:rFonts w:hint="eastAsia"/>
          <w:lang w:val="en-US" w:eastAsia="zh-CN"/>
        </w:rPr>
        <w:t>表述不准确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9C43E8" w15:done="0"/>
  <w15:commentEx w15:paraId="25FDCD00" w15:done="0"/>
  <w15:commentEx w15:paraId="2B269567" w15:done="0"/>
  <w15:commentEx w15:paraId="0987E4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73BE">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13F89">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5F13F89">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09E1E91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E93">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56FC2">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6D56FC2">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7519FFD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98779">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74971D">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E74971D">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05229BA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CF28">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CA2FC">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F3CA2FC">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6588612B">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BD2C0">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B6313">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1CB6313">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73CE37E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2837">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242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78E4">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1EE78BBE">
    <w:pPr>
      <w:pStyle w:val="10"/>
      <w:ind w:left="3975" w:leftChars="1893" w:firstLine="2741" w:firstLineChars="1300"/>
      <w:outlineLvl w:val="0"/>
      <w:rPr>
        <w:rFonts w:hint="eastAsia" w:hAnsi="宋体"/>
        <w:b/>
        <w:bCs/>
        <w:szCs w:val="21"/>
      </w:rPr>
    </w:pPr>
    <w:r>
      <w:rPr>
        <w:rFonts w:hint="eastAsia" w:hAnsi="宋体"/>
        <w:b/>
        <w:bCs/>
        <w:szCs w:val="21"/>
      </w:rPr>
      <w:t>/HKGP-2021-0038</w:t>
    </w:r>
  </w:p>
  <w:p w14:paraId="3BDE1150">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44E8">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1F762204">
    <w:pPr>
      <w:pStyle w:val="10"/>
      <w:ind w:left="3975" w:leftChars="1893" w:firstLine="2741" w:firstLineChars="1300"/>
      <w:outlineLvl w:val="0"/>
      <w:rPr>
        <w:rFonts w:hint="eastAsia" w:hAnsi="宋体"/>
        <w:b/>
        <w:bCs/>
        <w:szCs w:val="21"/>
      </w:rPr>
    </w:pPr>
    <w:r>
      <w:rPr>
        <w:rFonts w:hint="eastAsia" w:hAnsi="宋体"/>
        <w:b/>
        <w:bCs/>
        <w:szCs w:val="21"/>
      </w:rPr>
      <w:t>/HKGP-2021-0038</w:t>
    </w:r>
  </w:p>
  <w:p w14:paraId="33089F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705F4"/>
    <w:multiLevelType w:val="singleLevel"/>
    <w:tmpl w:val="C24705F4"/>
    <w:lvl w:ilvl="0" w:tentative="0">
      <w:start w:val="5"/>
      <w:numFmt w:val="chineseCounting"/>
      <w:suff w:val="space"/>
      <w:lvlText w:val="第%1章"/>
      <w:lvlJc w:val="left"/>
      <w:rPr>
        <w:rFonts w:hint="eastAsia"/>
      </w:rPr>
    </w:lvl>
  </w:abstractNum>
  <w:abstractNum w:abstractNumId="1">
    <w:nsid w:val="D509F3A2"/>
    <w:multiLevelType w:val="singleLevel"/>
    <w:tmpl w:val="D509F3A2"/>
    <w:lvl w:ilvl="0" w:tentative="0">
      <w:start w:val="1"/>
      <w:numFmt w:val="decimal"/>
      <w:suff w:val="nothing"/>
      <w:lvlText w:val="%1、"/>
      <w:lvlJc w:val="left"/>
    </w:lvl>
  </w:abstractNum>
  <w:abstractNum w:abstractNumId="2">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3">
    <w:nsid w:val="288A0D66"/>
    <w:multiLevelType w:val="singleLevel"/>
    <w:tmpl w:val="288A0D66"/>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xNWU1ZGYwYTM0ZGFlOTkxMzJjZjZjZGJjOTgwNzAifQ=="/>
  </w:docVars>
  <w:rsids>
    <w:rsidRoot w:val="53E73F9D"/>
    <w:rsid w:val="00011153"/>
    <w:rsid w:val="00031A66"/>
    <w:rsid w:val="0004302F"/>
    <w:rsid w:val="00046FE0"/>
    <w:rsid w:val="00094A14"/>
    <w:rsid w:val="000B4EE4"/>
    <w:rsid w:val="000D58CA"/>
    <w:rsid w:val="001250E9"/>
    <w:rsid w:val="001322C6"/>
    <w:rsid w:val="00172171"/>
    <w:rsid w:val="001840C2"/>
    <w:rsid w:val="001D37FC"/>
    <w:rsid w:val="00200ADB"/>
    <w:rsid w:val="002167EB"/>
    <w:rsid w:val="002260A5"/>
    <w:rsid w:val="002630BB"/>
    <w:rsid w:val="00285578"/>
    <w:rsid w:val="002A4D92"/>
    <w:rsid w:val="002C2327"/>
    <w:rsid w:val="002C6251"/>
    <w:rsid w:val="002C7E72"/>
    <w:rsid w:val="002F39E4"/>
    <w:rsid w:val="00311611"/>
    <w:rsid w:val="003216DB"/>
    <w:rsid w:val="00333C6F"/>
    <w:rsid w:val="0034027E"/>
    <w:rsid w:val="00341631"/>
    <w:rsid w:val="00384706"/>
    <w:rsid w:val="003B27AE"/>
    <w:rsid w:val="003B2EA9"/>
    <w:rsid w:val="003B724D"/>
    <w:rsid w:val="003C3FEE"/>
    <w:rsid w:val="003C617B"/>
    <w:rsid w:val="003F636F"/>
    <w:rsid w:val="003F6A7A"/>
    <w:rsid w:val="00407E90"/>
    <w:rsid w:val="00420FE4"/>
    <w:rsid w:val="0042390D"/>
    <w:rsid w:val="004239B3"/>
    <w:rsid w:val="0044303F"/>
    <w:rsid w:val="00454FEB"/>
    <w:rsid w:val="00486C43"/>
    <w:rsid w:val="004A031C"/>
    <w:rsid w:val="004E75DE"/>
    <w:rsid w:val="004F51BC"/>
    <w:rsid w:val="004F5381"/>
    <w:rsid w:val="004F743D"/>
    <w:rsid w:val="00540EAE"/>
    <w:rsid w:val="0055448A"/>
    <w:rsid w:val="005649F5"/>
    <w:rsid w:val="005A343D"/>
    <w:rsid w:val="005B65FF"/>
    <w:rsid w:val="005D103E"/>
    <w:rsid w:val="005E05A9"/>
    <w:rsid w:val="005E7CFA"/>
    <w:rsid w:val="005F1361"/>
    <w:rsid w:val="005F4489"/>
    <w:rsid w:val="005F6D74"/>
    <w:rsid w:val="00602A27"/>
    <w:rsid w:val="006049C5"/>
    <w:rsid w:val="00611144"/>
    <w:rsid w:val="0062689E"/>
    <w:rsid w:val="0063022E"/>
    <w:rsid w:val="0066039C"/>
    <w:rsid w:val="00670D58"/>
    <w:rsid w:val="00676605"/>
    <w:rsid w:val="006766F9"/>
    <w:rsid w:val="0068200A"/>
    <w:rsid w:val="006A7043"/>
    <w:rsid w:val="006B7465"/>
    <w:rsid w:val="006D7B98"/>
    <w:rsid w:val="006E5B23"/>
    <w:rsid w:val="00705848"/>
    <w:rsid w:val="00744B3C"/>
    <w:rsid w:val="00770AFB"/>
    <w:rsid w:val="00773520"/>
    <w:rsid w:val="0078337F"/>
    <w:rsid w:val="007A0B19"/>
    <w:rsid w:val="007B215B"/>
    <w:rsid w:val="007B5A0C"/>
    <w:rsid w:val="007D34D6"/>
    <w:rsid w:val="00801901"/>
    <w:rsid w:val="00803595"/>
    <w:rsid w:val="008040E6"/>
    <w:rsid w:val="008065B7"/>
    <w:rsid w:val="008106B8"/>
    <w:rsid w:val="00811FE8"/>
    <w:rsid w:val="0081226C"/>
    <w:rsid w:val="00825154"/>
    <w:rsid w:val="00846083"/>
    <w:rsid w:val="00847139"/>
    <w:rsid w:val="008473F6"/>
    <w:rsid w:val="00883C17"/>
    <w:rsid w:val="008A448A"/>
    <w:rsid w:val="008B4F40"/>
    <w:rsid w:val="008B7F5C"/>
    <w:rsid w:val="008C5003"/>
    <w:rsid w:val="008D2530"/>
    <w:rsid w:val="008E7F76"/>
    <w:rsid w:val="008F20CB"/>
    <w:rsid w:val="00900AD8"/>
    <w:rsid w:val="00903A0C"/>
    <w:rsid w:val="009213EA"/>
    <w:rsid w:val="00922F5C"/>
    <w:rsid w:val="0092679B"/>
    <w:rsid w:val="00935168"/>
    <w:rsid w:val="00996A2E"/>
    <w:rsid w:val="009A1606"/>
    <w:rsid w:val="009B4088"/>
    <w:rsid w:val="009D799C"/>
    <w:rsid w:val="009F0DD6"/>
    <w:rsid w:val="00A32AC0"/>
    <w:rsid w:val="00A521C4"/>
    <w:rsid w:val="00A63F7E"/>
    <w:rsid w:val="00A84C17"/>
    <w:rsid w:val="00AA0754"/>
    <w:rsid w:val="00AB2B02"/>
    <w:rsid w:val="00AE1F60"/>
    <w:rsid w:val="00B16756"/>
    <w:rsid w:val="00B2148D"/>
    <w:rsid w:val="00B27509"/>
    <w:rsid w:val="00B2776D"/>
    <w:rsid w:val="00B47565"/>
    <w:rsid w:val="00B72CD5"/>
    <w:rsid w:val="00BB29E1"/>
    <w:rsid w:val="00BC2BDC"/>
    <w:rsid w:val="00BC55EC"/>
    <w:rsid w:val="00BF1B97"/>
    <w:rsid w:val="00C07A9F"/>
    <w:rsid w:val="00C2692B"/>
    <w:rsid w:val="00C5222F"/>
    <w:rsid w:val="00C5249C"/>
    <w:rsid w:val="00C71770"/>
    <w:rsid w:val="00CB1D7A"/>
    <w:rsid w:val="00CB4299"/>
    <w:rsid w:val="00CE3F36"/>
    <w:rsid w:val="00CE7B39"/>
    <w:rsid w:val="00CF3B3E"/>
    <w:rsid w:val="00CF7AFC"/>
    <w:rsid w:val="00D042E0"/>
    <w:rsid w:val="00D05E92"/>
    <w:rsid w:val="00D32FDA"/>
    <w:rsid w:val="00D55A15"/>
    <w:rsid w:val="00D80FE5"/>
    <w:rsid w:val="00D85C2A"/>
    <w:rsid w:val="00E11919"/>
    <w:rsid w:val="00E33B68"/>
    <w:rsid w:val="00E63A9F"/>
    <w:rsid w:val="00EA1904"/>
    <w:rsid w:val="00EC40B2"/>
    <w:rsid w:val="00ED47C9"/>
    <w:rsid w:val="00ED53DE"/>
    <w:rsid w:val="00EE5F7C"/>
    <w:rsid w:val="00F06B38"/>
    <w:rsid w:val="00F311EC"/>
    <w:rsid w:val="00F33254"/>
    <w:rsid w:val="00F7017E"/>
    <w:rsid w:val="00F92FEC"/>
    <w:rsid w:val="00FB530B"/>
    <w:rsid w:val="00FB7A71"/>
    <w:rsid w:val="00FD5E65"/>
    <w:rsid w:val="00FE6C77"/>
    <w:rsid w:val="012F0CEC"/>
    <w:rsid w:val="0159347F"/>
    <w:rsid w:val="01816A09"/>
    <w:rsid w:val="018B39AB"/>
    <w:rsid w:val="020E2058"/>
    <w:rsid w:val="02213014"/>
    <w:rsid w:val="02223D56"/>
    <w:rsid w:val="022D30DA"/>
    <w:rsid w:val="02455925"/>
    <w:rsid w:val="029C44EB"/>
    <w:rsid w:val="02A76009"/>
    <w:rsid w:val="02D219C4"/>
    <w:rsid w:val="03231259"/>
    <w:rsid w:val="033B0CFE"/>
    <w:rsid w:val="034F7EF4"/>
    <w:rsid w:val="03626672"/>
    <w:rsid w:val="03854560"/>
    <w:rsid w:val="03BF4CCA"/>
    <w:rsid w:val="03C14561"/>
    <w:rsid w:val="040D3C69"/>
    <w:rsid w:val="04261197"/>
    <w:rsid w:val="04630F4A"/>
    <w:rsid w:val="049B5476"/>
    <w:rsid w:val="04AF04A4"/>
    <w:rsid w:val="04D773EB"/>
    <w:rsid w:val="04E03371"/>
    <w:rsid w:val="04FE0047"/>
    <w:rsid w:val="050206B6"/>
    <w:rsid w:val="050D65F7"/>
    <w:rsid w:val="052D4ADE"/>
    <w:rsid w:val="05334D30"/>
    <w:rsid w:val="05551D4C"/>
    <w:rsid w:val="055E210C"/>
    <w:rsid w:val="055F4893"/>
    <w:rsid w:val="056A57F8"/>
    <w:rsid w:val="057C7677"/>
    <w:rsid w:val="05F21DE6"/>
    <w:rsid w:val="062015E7"/>
    <w:rsid w:val="064E6865"/>
    <w:rsid w:val="06984B35"/>
    <w:rsid w:val="06EC4087"/>
    <w:rsid w:val="07050876"/>
    <w:rsid w:val="071D0355"/>
    <w:rsid w:val="073851BD"/>
    <w:rsid w:val="074C5FBB"/>
    <w:rsid w:val="07B81042"/>
    <w:rsid w:val="07D1641A"/>
    <w:rsid w:val="07F61D9B"/>
    <w:rsid w:val="07F661BB"/>
    <w:rsid w:val="08007B78"/>
    <w:rsid w:val="08105A97"/>
    <w:rsid w:val="08145A20"/>
    <w:rsid w:val="082C4653"/>
    <w:rsid w:val="085A2AEA"/>
    <w:rsid w:val="085A4AFD"/>
    <w:rsid w:val="08893A61"/>
    <w:rsid w:val="08A774AC"/>
    <w:rsid w:val="08B22F51"/>
    <w:rsid w:val="08BD20E2"/>
    <w:rsid w:val="08DB2D17"/>
    <w:rsid w:val="08DC5BCE"/>
    <w:rsid w:val="08FD2989"/>
    <w:rsid w:val="090F409F"/>
    <w:rsid w:val="095B57F7"/>
    <w:rsid w:val="09601EFA"/>
    <w:rsid w:val="09840E52"/>
    <w:rsid w:val="09A068B5"/>
    <w:rsid w:val="09B37E23"/>
    <w:rsid w:val="09DC2A3C"/>
    <w:rsid w:val="09FC5A6D"/>
    <w:rsid w:val="0A434869"/>
    <w:rsid w:val="0A586351"/>
    <w:rsid w:val="0A7B7C6C"/>
    <w:rsid w:val="0A857D9D"/>
    <w:rsid w:val="0A89454C"/>
    <w:rsid w:val="0A9B5DA1"/>
    <w:rsid w:val="0AA52631"/>
    <w:rsid w:val="0AD87214"/>
    <w:rsid w:val="0AE778EA"/>
    <w:rsid w:val="0AF21923"/>
    <w:rsid w:val="0AFD710E"/>
    <w:rsid w:val="0BB61093"/>
    <w:rsid w:val="0BB7140A"/>
    <w:rsid w:val="0BBC0022"/>
    <w:rsid w:val="0BD90EE9"/>
    <w:rsid w:val="0BF26973"/>
    <w:rsid w:val="0BF54D09"/>
    <w:rsid w:val="0C282C80"/>
    <w:rsid w:val="0C4517CC"/>
    <w:rsid w:val="0C747BE1"/>
    <w:rsid w:val="0C796895"/>
    <w:rsid w:val="0C8D7232"/>
    <w:rsid w:val="0C956CDB"/>
    <w:rsid w:val="0C9E593E"/>
    <w:rsid w:val="0CA578F4"/>
    <w:rsid w:val="0CA773A9"/>
    <w:rsid w:val="0CC95340"/>
    <w:rsid w:val="0CE06855"/>
    <w:rsid w:val="0CF271BF"/>
    <w:rsid w:val="0D1B1ACD"/>
    <w:rsid w:val="0D3A63F7"/>
    <w:rsid w:val="0D5F1E64"/>
    <w:rsid w:val="0D8B3BEF"/>
    <w:rsid w:val="0DB27913"/>
    <w:rsid w:val="0DFD1228"/>
    <w:rsid w:val="0E2A1FC8"/>
    <w:rsid w:val="0E2B535C"/>
    <w:rsid w:val="0E603E62"/>
    <w:rsid w:val="0E6354DA"/>
    <w:rsid w:val="0E9872D6"/>
    <w:rsid w:val="0ECC7523"/>
    <w:rsid w:val="0EF56A7A"/>
    <w:rsid w:val="0F3B3D47"/>
    <w:rsid w:val="0F4814BC"/>
    <w:rsid w:val="0F515C6A"/>
    <w:rsid w:val="0FA7589A"/>
    <w:rsid w:val="0FE70E32"/>
    <w:rsid w:val="100B407B"/>
    <w:rsid w:val="100E1193"/>
    <w:rsid w:val="1012674C"/>
    <w:rsid w:val="10437371"/>
    <w:rsid w:val="104E667B"/>
    <w:rsid w:val="10575E20"/>
    <w:rsid w:val="105A2DDD"/>
    <w:rsid w:val="106611CB"/>
    <w:rsid w:val="107F40CA"/>
    <w:rsid w:val="10961B97"/>
    <w:rsid w:val="110C1B4E"/>
    <w:rsid w:val="113722BE"/>
    <w:rsid w:val="113F685C"/>
    <w:rsid w:val="11601AD6"/>
    <w:rsid w:val="11651569"/>
    <w:rsid w:val="119D0A95"/>
    <w:rsid w:val="11A31E4A"/>
    <w:rsid w:val="11B83D8F"/>
    <w:rsid w:val="11D040FE"/>
    <w:rsid w:val="11E46932"/>
    <w:rsid w:val="11E76422"/>
    <w:rsid w:val="11F748B7"/>
    <w:rsid w:val="122907E8"/>
    <w:rsid w:val="122B630F"/>
    <w:rsid w:val="12380801"/>
    <w:rsid w:val="123D786F"/>
    <w:rsid w:val="12507C79"/>
    <w:rsid w:val="1254371D"/>
    <w:rsid w:val="125C66D8"/>
    <w:rsid w:val="1262199D"/>
    <w:rsid w:val="12865437"/>
    <w:rsid w:val="128F4AEF"/>
    <w:rsid w:val="12AF6F40"/>
    <w:rsid w:val="12BD6BF4"/>
    <w:rsid w:val="12E162D1"/>
    <w:rsid w:val="132D6E78"/>
    <w:rsid w:val="137C0484"/>
    <w:rsid w:val="13904FC3"/>
    <w:rsid w:val="13962132"/>
    <w:rsid w:val="1399374C"/>
    <w:rsid w:val="139A1517"/>
    <w:rsid w:val="139C4065"/>
    <w:rsid w:val="13C7650B"/>
    <w:rsid w:val="13E40E6B"/>
    <w:rsid w:val="13ED2882"/>
    <w:rsid w:val="141C0605"/>
    <w:rsid w:val="1437327D"/>
    <w:rsid w:val="145A17F2"/>
    <w:rsid w:val="145A366F"/>
    <w:rsid w:val="14B33330"/>
    <w:rsid w:val="14E24257"/>
    <w:rsid w:val="14EF5D19"/>
    <w:rsid w:val="14F364DD"/>
    <w:rsid w:val="14FE60C5"/>
    <w:rsid w:val="150D5D06"/>
    <w:rsid w:val="15415E49"/>
    <w:rsid w:val="157F1A78"/>
    <w:rsid w:val="15D078F9"/>
    <w:rsid w:val="15DA2C5A"/>
    <w:rsid w:val="15E2096C"/>
    <w:rsid w:val="15E909BB"/>
    <w:rsid w:val="1605187F"/>
    <w:rsid w:val="160A26DF"/>
    <w:rsid w:val="160F44C3"/>
    <w:rsid w:val="16154877"/>
    <w:rsid w:val="164E6A70"/>
    <w:rsid w:val="165754AD"/>
    <w:rsid w:val="168D3A3C"/>
    <w:rsid w:val="16C0190D"/>
    <w:rsid w:val="170F0CDD"/>
    <w:rsid w:val="17137D16"/>
    <w:rsid w:val="172872C1"/>
    <w:rsid w:val="173B3498"/>
    <w:rsid w:val="17506105"/>
    <w:rsid w:val="176512FA"/>
    <w:rsid w:val="179F07E8"/>
    <w:rsid w:val="17B66701"/>
    <w:rsid w:val="17B77DC6"/>
    <w:rsid w:val="18456D7A"/>
    <w:rsid w:val="186A144F"/>
    <w:rsid w:val="18812024"/>
    <w:rsid w:val="18DA1062"/>
    <w:rsid w:val="18DF750D"/>
    <w:rsid w:val="19057B47"/>
    <w:rsid w:val="192E465C"/>
    <w:rsid w:val="19574C25"/>
    <w:rsid w:val="195A634B"/>
    <w:rsid w:val="199C16E9"/>
    <w:rsid w:val="199D5F29"/>
    <w:rsid w:val="1A5202FA"/>
    <w:rsid w:val="1A5D2B80"/>
    <w:rsid w:val="1A6920CA"/>
    <w:rsid w:val="1AAC33FA"/>
    <w:rsid w:val="1ACE6D69"/>
    <w:rsid w:val="1AED0A61"/>
    <w:rsid w:val="1B056327"/>
    <w:rsid w:val="1B4B4FB2"/>
    <w:rsid w:val="1B4E010B"/>
    <w:rsid w:val="1B7A723A"/>
    <w:rsid w:val="1B8643D9"/>
    <w:rsid w:val="1B977578"/>
    <w:rsid w:val="1B9E715D"/>
    <w:rsid w:val="1BCA0EFB"/>
    <w:rsid w:val="1BD6322C"/>
    <w:rsid w:val="1BDF0C37"/>
    <w:rsid w:val="1C071B9A"/>
    <w:rsid w:val="1C177904"/>
    <w:rsid w:val="1C180837"/>
    <w:rsid w:val="1C2244F6"/>
    <w:rsid w:val="1C6670D2"/>
    <w:rsid w:val="1C771F9A"/>
    <w:rsid w:val="1C7F7983"/>
    <w:rsid w:val="1C9070D0"/>
    <w:rsid w:val="1CA52F76"/>
    <w:rsid w:val="1CAD6FA9"/>
    <w:rsid w:val="1CD36013"/>
    <w:rsid w:val="1CEB50A1"/>
    <w:rsid w:val="1D234DCF"/>
    <w:rsid w:val="1D2D3ACF"/>
    <w:rsid w:val="1D577F5A"/>
    <w:rsid w:val="1D686A57"/>
    <w:rsid w:val="1D6D62C4"/>
    <w:rsid w:val="1D813BCE"/>
    <w:rsid w:val="1DC72496"/>
    <w:rsid w:val="1DE2494A"/>
    <w:rsid w:val="1E1A6270"/>
    <w:rsid w:val="1E66393B"/>
    <w:rsid w:val="1EB83740"/>
    <w:rsid w:val="1EC56452"/>
    <w:rsid w:val="1EE2244B"/>
    <w:rsid w:val="1EED5392"/>
    <w:rsid w:val="1F9D2223"/>
    <w:rsid w:val="1FC96AD8"/>
    <w:rsid w:val="1FE15F3B"/>
    <w:rsid w:val="202B6D50"/>
    <w:rsid w:val="203E5DA7"/>
    <w:rsid w:val="20685172"/>
    <w:rsid w:val="20C938D5"/>
    <w:rsid w:val="21132956"/>
    <w:rsid w:val="211428BF"/>
    <w:rsid w:val="21202FCA"/>
    <w:rsid w:val="215C64E4"/>
    <w:rsid w:val="217C5962"/>
    <w:rsid w:val="21B3342C"/>
    <w:rsid w:val="21E12E8E"/>
    <w:rsid w:val="21F726B1"/>
    <w:rsid w:val="21FA164C"/>
    <w:rsid w:val="224A1874"/>
    <w:rsid w:val="227710FC"/>
    <w:rsid w:val="229B216B"/>
    <w:rsid w:val="22B13B13"/>
    <w:rsid w:val="22B66EF0"/>
    <w:rsid w:val="234271CB"/>
    <w:rsid w:val="234718C4"/>
    <w:rsid w:val="237D267B"/>
    <w:rsid w:val="23873516"/>
    <w:rsid w:val="238B212F"/>
    <w:rsid w:val="23AE7514"/>
    <w:rsid w:val="23BC2A5A"/>
    <w:rsid w:val="23CD07BD"/>
    <w:rsid w:val="24103417"/>
    <w:rsid w:val="242B4894"/>
    <w:rsid w:val="24346E9F"/>
    <w:rsid w:val="245925FC"/>
    <w:rsid w:val="245E5334"/>
    <w:rsid w:val="24774524"/>
    <w:rsid w:val="248C1B00"/>
    <w:rsid w:val="24AF0A7D"/>
    <w:rsid w:val="24CC56EA"/>
    <w:rsid w:val="25030902"/>
    <w:rsid w:val="25164BFC"/>
    <w:rsid w:val="254257E5"/>
    <w:rsid w:val="256D095A"/>
    <w:rsid w:val="25A95A70"/>
    <w:rsid w:val="25AE26C4"/>
    <w:rsid w:val="25CA3382"/>
    <w:rsid w:val="25D51472"/>
    <w:rsid w:val="25E0531F"/>
    <w:rsid w:val="26306279"/>
    <w:rsid w:val="263B05DB"/>
    <w:rsid w:val="263B7010"/>
    <w:rsid w:val="264F15E3"/>
    <w:rsid w:val="26774ED4"/>
    <w:rsid w:val="26993FF3"/>
    <w:rsid w:val="26F02B5B"/>
    <w:rsid w:val="272953EA"/>
    <w:rsid w:val="273F0DA8"/>
    <w:rsid w:val="27460791"/>
    <w:rsid w:val="274F678B"/>
    <w:rsid w:val="275318CF"/>
    <w:rsid w:val="27C837A7"/>
    <w:rsid w:val="27D44B1C"/>
    <w:rsid w:val="282A6111"/>
    <w:rsid w:val="28777AD4"/>
    <w:rsid w:val="287D015D"/>
    <w:rsid w:val="288B7471"/>
    <w:rsid w:val="288D44C2"/>
    <w:rsid w:val="28A92BCF"/>
    <w:rsid w:val="28B078C0"/>
    <w:rsid w:val="28BC374C"/>
    <w:rsid w:val="28C04A7F"/>
    <w:rsid w:val="28DC42EF"/>
    <w:rsid w:val="29335621"/>
    <w:rsid w:val="293755EF"/>
    <w:rsid w:val="294A57BC"/>
    <w:rsid w:val="297213A4"/>
    <w:rsid w:val="298A5CE1"/>
    <w:rsid w:val="29935745"/>
    <w:rsid w:val="299E0C30"/>
    <w:rsid w:val="29AF73CD"/>
    <w:rsid w:val="29CF2C9E"/>
    <w:rsid w:val="29E079E4"/>
    <w:rsid w:val="2A1525B3"/>
    <w:rsid w:val="2A1F3C77"/>
    <w:rsid w:val="2A2D615E"/>
    <w:rsid w:val="2A420242"/>
    <w:rsid w:val="2A72211F"/>
    <w:rsid w:val="2A770325"/>
    <w:rsid w:val="2A9E191C"/>
    <w:rsid w:val="2AA1140C"/>
    <w:rsid w:val="2B011EAB"/>
    <w:rsid w:val="2B577739"/>
    <w:rsid w:val="2B82420A"/>
    <w:rsid w:val="2BC32FA6"/>
    <w:rsid w:val="2BDE0F2A"/>
    <w:rsid w:val="2C0A118E"/>
    <w:rsid w:val="2C1300E8"/>
    <w:rsid w:val="2C1427CB"/>
    <w:rsid w:val="2C1F0ECB"/>
    <w:rsid w:val="2C2F0132"/>
    <w:rsid w:val="2C366723"/>
    <w:rsid w:val="2C5B48B1"/>
    <w:rsid w:val="2C635A6B"/>
    <w:rsid w:val="2C950AFD"/>
    <w:rsid w:val="2C9C63F2"/>
    <w:rsid w:val="2CB74787"/>
    <w:rsid w:val="2CE95AE3"/>
    <w:rsid w:val="2D056A81"/>
    <w:rsid w:val="2D0D1210"/>
    <w:rsid w:val="2D205DF5"/>
    <w:rsid w:val="2D6F2A08"/>
    <w:rsid w:val="2D7A708A"/>
    <w:rsid w:val="2D986A7C"/>
    <w:rsid w:val="2DAF4B82"/>
    <w:rsid w:val="2DD31C58"/>
    <w:rsid w:val="2E350140"/>
    <w:rsid w:val="2E386100"/>
    <w:rsid w:val="2E3A4E93"/>
    <w:rsid w:val="2E921BC1"/>
    <w:rsid w:val="2E9D3756"/>
    <w:rsid w:val="2EA73E62"/>
    <w:rsid w:val="2EAC037F"/>
    <w:rsid w:val="2EAC5640"/>
    <w:rsid w:val="2ED71151"/>
    <w:rsid w:val="2EDB7FFD"/>
    <w:rsid w:val="2EFB0B3C"/>
    <w:rsid w:val="2F3B21A6"/>
    <w:rsid w:val="2F5B4CE0"/>
    <w:rsid w:val="2F5C1340"/>
    <w:rsid w:val="2F6457B2"/>
    <w:rsid w:val="2F8D101C"/>
    <w:rsid w:val="2F9039F3"/>
    <w:rsid w:val="2FD37B29"/>
    <w:rsid w:val="2FDF00FD"/>
    <w:rsid w:val="2FE73A14"/>
    <w:rsid w:val="2FF4525E"/>
    <w:rsid w:val="300D602F"/>
    <w:rsid w:val="30434F34"/>
    <w:rsid w:val="30551C7E"/>
    <w:rsid w:val="305C1DF5"/>
    <w:rsid w:val="30784F9E"/>
    <w:rsid w:val="30C330A2"/>
    <w:rsid w:val="31032820"/>
    <w:rsid w:val="31716E56"/>
    <w:rsid w:val="31753D11"/>
    <w:rsid w:val="31847465"/>
    <w:rsid w:val="31B163D9"/>
    <w:rsid w:val="31BB7257"/>
    <w:rsid w:val="31DE379A"/>
    <w:rsid w:val="323F1C36"/>
    <w:rsid w:val="327D0402"/>
    <w:rsid w:val="32A61FCC"/>
    <w:rsid w:val="32C0465B"/>
    <w:rsid w:val="32CE6B16"/>
    <w:rsid w:val="32E75E2A"/>
    <w:rsid w:val="33000244"/>
    <w:rsid w:val="33044C2E"/>
    <w:rsid w:val="33157AE9"/>
    <w:rsid w:val="33185FE3"/>
    <w:rsid w:val="3319111C"/>
    <w:rsid w:val="33366578"/>
    <w:rsid w:val="33596D28"/>
    <w:rsid w:val="336B1EF0"/>
    <w:rsid w:val="33897E1B"/>
    <w:rsid w:val="33955F11"/>
    <w:rsid w:val="33A63D3F"/>
    <w:rsid w:val="33AA7583"/>
    <w:rsid w:val="33B65058"/>
    <w:rsid w:val="33BA6DF7"/>
    <w:rsid w:val="33D41912"/>
    <w:rsid w:val="33F61B9F"/>
    <w:rsid w:val="341D5FA7"/>
    <w:rsid w:val="343D03F7"/>
    <w:rsid w:val="34864572"/>
    <w:rsid w:val="34B155AA"/>
    <w:rsid w:val="34BE18EB"/>
    <w:rsid w:val="34BF7A35"/>
    <w:rsid w:val="34C80E50"/>
    <w:rsid w:val="34DB1C6D"/>
    <w:rsid w:val="34EC7728"/>
    <w:rsid w:val="350031D3"/>
    <w:rsid w:val="35095BB0"/>
    <w:rsid w:val="350D3521"/>
    <w:rsid w:val="35262805"/>
    <w:rsid w:val="353115DE"/>
    <w:rsid w:val="353A6D2D"/>
    <w:rsid w:val="35407683"/>
    <w:rsid w:val="357342CB"/>
    <w:rsid w:val="35956011"/>
    <w:rsid w:val="35A207D8"/>
    <w:rsid w:val="35A51DD0"/>
    <w:rsid w:val="35CC03C4"/>
    <w:rsid w:val="361B6516"/>
    <w:rsid w:val="36202DD1"/>
    <w:rsid w:val="36345F74"/>
    <w:rsid w:val="364041CF"/>
    <w:rsid w:val="36500499"/>
    <w:rsid w:val="366C2AF8"/>
    <w:rsid w:val="36720821"/>
    <w:rsid w:val="367F61DE"/>
    <w:rsid w:val="368816D2"/>
    <w:rsid w:val="3693465A"/>
    <w:rsid w:val="36E43B49"/>
    <w:rsid w:val="36FF3742"/>
    <w:rsid w:val="3708704A"/>
    <w:rsid w:val="37105321"/>
    <w:rsid w:val="37205BDA"/>
    <w:rsid w:val="3744384B"/>
    <w:rsid w:val="375D7E76"/>
    <w:rsid w:val="37807888"/>
    <w:rsid w:val="37C96B2D"/>
    <w:rsid w:val="37F0121B"/>
    <w:rsid w:val="3869436C"/>
    <w:rsid w:val="38754CFF"/>
    <w:rsid w:val="388B18D0"/>
    <w:rsid w:val="38CA6BA3"/>
    <w:rsid w:val="38EF3348"/>
    <w:rsid w:val="38F36F52"/>
    <w:rsid w:val="38FB75A2"/>
    <w:rsid w:val="394B49F2"/>
    <w:rsid w:val="395D73C0"/>
    <w:rsid w:val="395E6B76"/>
    <w:rsid w:val="3964489B"/>
    <w:rsid w:val="396D4363"/>
    <w:rsid w:val="397D5C71"/>
    <w:rsid w:val="398C450B"/>
    <w:rsid w:val="39A27D95"/>
    <w:rsid w:val="39A30FAD"/>
    <w:rsid w:val="39C6184E"/>
    <w:rsid w:val="39DF76B4"/>
    <w:rsid w:val="3A3B4A7C"/>
    <w:rsid w:val="3A490ECA"/>
    <w:rsid w:val="3A9C5889"/>
    <w:rsid w:val="3AA52853"/>
    <w:rsid w:val="3AA76D47"/>
    <w:rsid w:val="3ABD5DEE"/>
    <w:rsid w:val="3B0300BA"/>
    <w:rsid w:val="3B103205"/>
    <w:rsid w:val="3B2C125E"/>
    <w:rsid w:val="3B40382E"/>
    <w:rsid w:val="3B4909A7"/>
    <w:rsid w:val="3B706D2B"/>
    <w:rsid w:val="3B900E71"/>
    <w:rsid w:val="3B926383"/>
    <w:rsid w:val="3B967BC8"/>
    <w:rsid w:val="3BA03C49"/>
    <w:rsid w:val="3BC7074D"/>
    <w:rsid w:val="3BDA3232"/>
    <w:rsid w:val="3C0567E7"/>
    <w:rsid w:val="3C1934F8"/>
    <w:rsid w:val="3C26080E"/>
    <w:rsid w:val="3C285E74"/>
    <w:rsid w:val="3C362D65"/>
    <w:rsid w:val="3C547DBA"/>
    <w:rsid w:val="3C5511BD"/>
    <w:rsid w:val="3C5A7719"/>
    <w:rsid w:val="3C71787E"/>
    <w:rsid w:val="3C766FF7"/>
    <w:rsid w:val="3C905F09"/>
    <w:rsid w:val="3CEC3782"/>
    <w:rsid w:val="3CF655E7"/>
    <w:rsid w:val="3D005751"/>
    <w:rsid w:val="3D0A2E41"/>
    <w:rsid w:val="3D2E7CF5"/>
    <w:rsid w:val="3D4A1496"/>
    <w:rsid w:val="3D6A7A3F"/>
    <w:rsid w:val="3D8475ED"/>
    <w:rsid w:val="3D9133ED"/>
    <w:rsid w:val="3D9A7407"/>
    <w:rsid w:val="3D9F17A1"/>
    <w:rsid w:val="3DBA03C3"/>
    <w:rsid w:val="3DC47494"/>
    <w:rsid w:val="3E0C29CB"/>
    <w:rsid w:val="3E1438A5"/>
    <w:rsid w:val="3E467EA9"/>
    <w:rsid w:val="3E6977ED"/>
    <w:rsid w:val="3EB53979"/>
    <w:rsid w:val="3ED06C72"/>
    <w:rsid w:val="3ED43706"/>
    <w:rsid w:val="3EE85802"/>
    <w:rsid w:val="3F9179BC"/>
    <w:rsid w:val="3FA26167"/>
    <w:rsid w:val="3FAF7652"/>
    <w:rsid w:val="3FB91F06"/>
    <w:rsid w:val="3FC90D91"/>
    <w:rsid w:val="3FCE19AE"/>
    <w:rsid w:val="3FD55595"/>
    <w:rsid w:val="40143827"/>
    <w:rsid w:val="40172C0E"/>
    <w:rsid w:val="405A10B2"/>
    <w:rsid w:val="40930E3F"/>
    <w:rsid w:val="40C13F0A"/>
    <w:rsid w:val="40DB416D"/>
    <w:rsid w:val="40DE32EB"/>
    <w:rsid w:val="41172BCF"/>
    <w:rsid w:val="412D71DE"/>
    <w:rsid w:val="415723CD"/>
    <w:rsid w:val="416C485A"/>
    <w:rsid w:val="41721093"/>
    <w:rsid w:val="417E6A1E"/>
    <w:rsid w:val="41A25A1E"/>
    <w:rsid w:val="41D5051C"/>
    <w:rsid w:val="41D93646"/>
    <w:rsid w:val="420A155A"/>
    <w:rsid w:val="422B280E"/>
    <w:rsid w:val="42420B28"/>
    <w:rsid w:val="424C4B06"/>
    <w:rsid w:val="43215097"/>
    <w:rsid w:val="43335793"/>
    <w:rsid w:val="43504A5C"/>
    <w:rsid w:val="437629AE"/>
    <w:rsid w:val="43BE61A8"/>
    <w:rsid w:val="43D0692B"/>
    <w:rsid w:val="43DA56DD"/>
    <w:rsid w:val="43EE0B63"/>
    <w:rsid w:val="43F959BD"/>
    <w:rsid w:val="440A0005"/>
    <w:rsid w:val="44234977"/>
    <w:rsid w:val="442944F4"/>
    <w:rsid w:val="442D019F"/>
    <w:rsid w:val="44370871"/>
    <w:rsid w:val="443A04B0"/>
    <w:rsid w:val="44AA1CB0"/>
    <w:rsid w:val="44CE24E4"/>
    <w:rsid w:val="44D16A09"/>
    <w:rsid w:val="44D90521"/>
    <w:rsid w:val="44DD1FA5"/>
    <w:rsid w:val="44E52F1F"/>
    <w:rsid w:val="450E440F"/>
    <w:rsid w:val="453170D2"/>
    <w:rsid w:val="45502007"/>
    <w:rsid w:val="4580392B"/>
    <w:rsid w:val="45883F8A"/>
    <w:rsid w:val="458D2861"/>
    <w:rsid w:val="45B761D7"/>
    <w:rsid w:val="45F04858"/>
    <w:rsid w:val="4606799E"/>
    <w:rsid w:val="4629386F"/>
    <w:rsid w:val="466174A4"/>
    <w:rsid w:val="468B197E"/>
    <w:rsid w:val="46D52AA1"/>
    <w:rsid w:val="47044BB8"/>
    <w:rsid w:val="47094429"/>
    <w:rsid w:val="470E5183"/>
    <w:rsid w:val="471F4F7F"/>
    <w:rsid w:val="473E2065"/>
    <w:rsid w:val="47413903"/>
    <w:rsid w:val="47486A40"/>
    <w:rsid w:val="47501D1D"/>
    <w:rsid w:val="4759014D"/>
    <w:rsid w:val="479B2B65"/>
    <w:rsid w:val="47BE4061"/>
    <w:rsid w:val="47E241F2"/>
    <w:rsid w:val="47E67EE1"/>
    <w:rsid w:val="47F05DF8"/>
    <w:rsid w:val="47F81B18"/>
    <w:rsid w:val="48040B11"/>
    <w:rsid w:val="480F1E50"/>
    <w:rsid w:val="48483BDD"/>
    <w:rsid w:val="484C22AF"/>
    <w:rsid w:val="488B7FA6"/>
    <w:rsid w:val="48AC59F4"/>
    <w:rsid w:val="49057F3E"/>
    <w:rsid w:val="493D11A5"/>
    <w:rsid w:val="49497376"/>
    <w:rsid w:val="49913258"/>
    <w:rsid w:val="49A53D6E"/>
    <w:rsid w:val="49AD56D2"/>
    <w:rsid w:val="49CE41CD"/>
    <w:rsid w:val="49DF2FA3"/>
    <w:rsid w:val="49EA64D4"/>
    <w:rsid w:val="49ED1963"/>
    <w:rsid w:val="49F41BF1"/>
    <w:rsid w:val="49FE18E4"/>
    <w:rsid w:val="4A2B6493"/>
    <w:rsid w:val="4A570B81"/>
    <w:rsid w:val="4A596A5D"/>
    <w:rsid w:val="4A7A7858"/>
    <w:rsid w:val="4A7D708F"/>
    <w:rsid w:val="4ACC2191"/>
    <w:rsid w:val="4AF316D3"/>
    <w:rsid w:val="4B7C7600"/>
    <w:rsid w:val="4B967555"/>
    <w:rsid w:val="4B984072"/>
    <w:rsid w:val="4BA41081"/>
    <w:rsid w:val="4BAE7BD6"/>
    <w:rsid w:val="4C261585"/>
    <w:rsid w:val="4C3C5617"/>
    <w:rsid w:val="4C3E6663"/>
    <w:rsid w:val="4C624E51"/>
    <w:rsid w:val="4C6F2CC0"/>
    <w:rsid w:val="4C6F5D75"/>
    <w:rsid w:val="4C8614A0"/>
    <w:rsid w:val="4CB90B4A"/>
    <w:rsid w:val="4D011E35"/>
    <w:rsid w:val="4D1A70AD"/>
    <w:rsid w:val="4D265A75"/>
    <w:rsid w:val="4D4D66ED"/>
    <w:rsid w:val="4D53629A"/>
    <w:rsid w:val="4D896AAF"/>
    <w:rsid w:val="4D927727"/>
    <w:rsid w:val="4D9F454A"/>
    <w:rsid w:val="4DBA3D68"/>
    <w:rsid w:val="4DCE6EF4"/>
    <w:rsid w:val="4DCE7CC5"/>
    <w:rsid w:val="4DDF58BD"/>
    <w:rsid w:val="4DF96CE5"/>
    <w:rsid w:val="4E295649"/>
    <w:rsid w:val="4E434405"/>
    <w:rsid w:val="4E5263F6"/>
    <w:rsid w:val="4E6D51A2"/>
    <w:rsid w:val="4F330037"/>
    <w:rsid w:val="4F6B7B7D"/>
    <w:rsid w:val="4F745347"/>
    <w:rsid w:val="4F840FDE"/>
    <w:rsid w:val="4F8A0ABB"/>
    <w:rsid w:val="4F950C90"/>
    <w:rsid w:val="4FA02B74"/>
    <w:rsid w:val="4FDA1222"/>
    <w:rsid w:val="4FDC241B"/>
    <w:rsid w:val="4FE015B4"/>
    <w:rsid w:val="502B260A"/>
    <w:rsid w:val="503277C4"/>
    <w:rsid w:val="503C1161"/>
    <w:rsid w:val="507B2035"/>
    <w:rsid w:val="507F1E04"/>
    <w:rsid w:val="50D729C1"/>
    <w:rsid w:val="51014033"/>
    <w:rsid w:val="513A747A"/>
    <w:rsid w:val="5187033E"/>
    <w:rsid w:val="51AA02F7"/>
    <w:rsid w:val="51B615DA"/>
    <w:rsid w:val="51CF5615"/>
    <w:rsid w:val="51D41141"/>
    <w:rsid w:val="52111515"/>
    <w:rsid w:val="52115DFD"/>
    <w:rsid w:val="523830D8"/>
    <w:rsid w:val="528D5C4E"/>
    <w:rsid w:val="52D8768A"/>
    <w:rsid w:val="52D87EF9"/>
    <w:rsid w:val="52F14A35"/>
    <w:rsid w:val="53453EF9"/>
    <w:rsid w:val="53665F38"/>
    <w:rsid w:val="537E7219"/>
    <w:rsid w:val="53E73F9D"/>
    <w:rsid w:val="53FF2B7C"/>
    <w:rsid w:val="541F1173"/>
    <w:rsid w:val="5427219D"/>
    <w:rsid w:val="542B47E5"/>
    <w:rsid w:val="543D6C6B"/>
    <w:rsid w:val="5463665A"/>
    <w:rsid w:val="54696FA5"/>
    <w:rsid w:val="54737C15"/>
    <w:rsid w:val="5489364B"/>
    <w:rsid w:val="549E2395"/>
    <w:rsid w:val="54A75409"/>
    <w:rsid w:val="54D86D8D"/>
    <w:rsid w:val="55482300"/>
    <w:rsid w:val="554B067D"/>
    <w:rsid w:val="55583A1F"/>
    <w:rsid w:val="556F1F83"/>
    <w:rsid w:val="55705033"/>
    <w:rsid w:val="557D70BE"/>
    <w:rsid w:val="55CE4587"/>
    <w:rsid w:val="5624337B"/>
    <w:rsid w:val="56332F20"/>
    <w:rsid w:val="56756F25"/>
    <w:rsid w:val="5677755F"/>
    <w:rsid w:val="56AB7615"/>
    <w:rsid w:val="56B0015D"/>
    <w:rsid w:val="56D55E16"/>
    <w:rsid w:val="56DA4ED6"/>
    <w:rsid w:val="56E827E2"/>
    <w:rsid w:val="56E96FC6"/>
    <w:rsid w:val="57103B34"/>
    <w:rsid w:val="5714694D"/>
    <w:rsid w:val="57340E32"/>
    <w:rsid w:val="57392849"/>
    <w:rsid w:val="57660B55"/>
    <w:rsid w:val="578A6C00"/>
    <w:rsid w:val="580249CD"/>
    <w:rsid w:val="5809010E"/>
    <w:rsid w:val="582A0AC8"/>
    <w:rsid w:val="583525C6"/>
    <w:rsid w:val="583F79A7"/>
    <w:rsid w:val="585711D8"/>
    <w:rsid w:val="588E0FF2"/>
    <w:rsid w:val="589932BB"/>
    <w:rsid w:val="58A43CF2"/>
    <w:rsid w:val="58F5055B"/>
    <w:rsid w:val="58FC3E36"/>
    <w:rsid w:val="5914195F"/>
    <w:rsid w:val="59264674"/>
    <w:rsid w:val="5952374E"/>
    <w:rsid w:val="596801AA"/>
    <w:rsid w:val="596F1852"/>
    <w:rsid w:val="5992473D"/>
    <w:rsid w:val="59B91A1F"/>
    <w:rsid w:val="59D251A4"/>
    <w:rsid w:val="5A16575C"/>
    <w:rsid w:val="5A175510"/>
    <w:rsid w:val="5A5A4FB0"/>
    <w:rsid w:val="5A5F15A1"/>
    <w:rsid w:val="5A643739"/>
    <w:rsid w:val="5A954EAF"/>
    <w:rsid w:val="5AA004E9"/>
    <w:rsid w:val="5ABB4A59"/>
    <w:rsid w:val="5AC230A5"/>
    <w:rsid w:val="5B070F30"/>
    <w:rsid w:val="5B1D06EE"/>
    <w:rsid w:val="5B3E7A46"/>
    <w:rsid w:val="5B907B59"/>
    <w:rsid w:val="5B9554C2"/>
    <w:rsid w:val="5B9955B0"/>
    <w:rsid w:val="5BA57EAC"/>
    <w:rsid w:val="5BAB5771"/>
    <w:rsid w:val="5BD12B75"/>
    <w:rsid w:val="5BFB5EB2"/>
    <w:rsid w:val="5C495DD3"/>
    <w:rsid w:val="5C4E06E7"/>
    <w:rsid w:val="5C593A80"/>
    <w:rsid w:val="5D041CF2"/>
    <w:rsid w:val="5D272928"/>
    <w:rsid w:val="5D2B2C34"/>
    <w:rsid w:val="5D4F03EF"/>
    <w:rsid w:val="5D577585"/>
    <w:rsid w:val="5D905C05"/>
    <w:rsid w:val="5DCD0AC1"/>
    <w:rsid w:val="5E02038B"/>
    <w:rsid w:val="5E341674"/>
    <w:rsid w:val="5E3E0FB2"/>
    <w:rsid w:val="5E4820BF"/>
    <w:rsid w:val="5E9B7945"/>
    <w:rsid w:val="5EBA68FF"/>
    <w:rsid w:val="5EE67330"/>
    <w:rsid w:val="5F212FF8"/>
    <w:rsid w:val="5F6441DB"/>
    <w:rsid w:val="5F8B27B8"/>
    <w:rsid w:val="5FB72636"/>
    <w:rsid w:val="5FBC7B73"/>
    <w:rsid w:val="5FD279C5"/>
    <w:rsid w:val="600B3636"/>
    <w:rsid w:val="602C2F4B"/>
    <w:rsid w:val="6060486B"/>
    <w:rsid w:val="60D14B50"/>
    <w:rsid w:val="60DE7CF2"/>
    <w:rsid w:val="610619ED"/>
    <w:rsid w:val="611E2E9B"/>
    <w:rsid w:val="611F2AAF"/>
    <w:rsid w:val="612B0E8B"/>
    <w:rsid w:val="614B7400"/>
    <w:rsid w:val="61667E7F"/>
    <w:rsid w:val="619D6AD3"/>
    <w:rsid w:val="619D7131"/>
    <w:rsid w:val="61A221D4"/>
    <w:rsid w:val="61B56BA8"/>
    <w:rsid w:val="61B56F70"/>
    <w:rsid w:val="61DE071F"/>
    <w:rsid w:val="6218157F"/>
    <w:rsid w:val="62204E98"/>
    <w:rsid w:val="62397C68"/>
    <w:rsid w:val="62540537"/>
    <w:rsid w:val="62553AB2"/>
    <w:rsid w:val="62956105"/>
    <w:rsid w:val="62997C74"/>
    <w:rsid w:val="62B82BD8"/>
    <w:rsid w:val="62E278F0"/>
    <w:rsid w:val="62E55633"/>
    <w:rsid w:val="63057A83"/>
    <w:rsid w:val="634041A9"/>
    <w:rsid w:val="634F26ED"/>
    <w:rsid w:val="6365698D"/>
    <w:rsid w:val="63805167"/>
    <w:rsid w:val="63832876"/>
    <w:rsid w:val="63B81477"/>
    <w:rsid w:val="63C85032"/>
    <w:rsid w:val="63C93F77"/>
    <w:rsid w:val="63D23637"/>
    <w:rsid w:val="63DB40DD"/>
    <w:rsid w:val="640929F0"/>
    <w:rsid w:val="64181FD3"/>
    <w:rsid w:val="64216B3E"/>
    <w:rsid w:val="64B905C0"/>
    <w:rsid w:val="64CF7BEB"/>
    <w:rsid w:val="64EC443D"/>
    <w:rsid w:val="65127D57"/>
    <w:rsid w:val="65187528"/>
    <w:rsid w:val="652C7549"/>
    <w:rsid w:val="65556AA0"/>
    <w:rsid w:val="656C147B"/>
    <w:rsid w:val="65832223"/>
    <w:rsid w:val="659D3808"/>
    <w:rsid w:val="66026919"/>
    <w:rsid w:val="66177279"/>
    <w:rsid w:val="663E7534"/>
    <w:rsid w:val="664A7A0D"/>
    <w:rsid w:val="671A190B"/>
    <w:rsid w:val="6731767E"/>
    <w:rsid w:val="67335956"/>
    <w:rsid w:val="67A27F96"/>
    <w:rsid w:val="68016B77"/>
    <w:rsid w:val="680447AD"/>
    <w:rsid w:val="682160A3"/>
    <w:rsid w:val="68307014"/>
    <w:rsid w:val="687047EC"/>
    <w:rsid w:val="688916A1"/>
    <w:rsid w:val="690C2F01"/>
    <w:rsid w:val="692A3B68"/>
    <w:rsid w:val="693A4663"/>
    <w:rsid w:val="69777278"/>
    <w:rsid w:val="699B0FA7"/>
    <w:rsid w:val="699F0403"/>
    <w:rsid w:val="69B04419"/>
    <w:rsid w:val="69C15C84"/>
    <w:rsid w:val="6A0F3D2E"/>
    <w:rsid w:val="6A257C7E"/>
    <w:rsid w:val="6A426CC9"/>
    <w:rsid w:val="6A464C09"/>
    <w:rsid w:val="6A55401D"/>
    <w:rsid w:val="6A597B8A"/>
    <w:rsid w:val="6ADF1441"/>
    <w:rsid w:val="6AED0C62"/>
    <w:rsid w:val="6AEF6916"/>
    <w:rsid w:val="6AF66468"/>
    <w:rsid w:val="6AF86E22"/>
    <w:rsid w:val="6B276638"/>
    <w:rsid w:val="6B2A5925"/>
    <w:rsid w:val="6B5F2CBB"/>
    <w:rsid w:val="6B850358"/>
    <w:rsid w:val="6BA23990"/>
    <w:rsid w:val="6BA92A8C"/>
    <w:rsid w:val="6BBF6B35"/>
    <w:rsid w:val="6BD40CFD"/>
    <w:rsid w:val="6BFB1C7D"/>
    <w:rsid w:val="6C0F54CE"/>
    <w:rsid w:val="6C2271E5"/>
    <w:rsid w:val="6C6139A2"/>
    <w:rsid w:val="6C6B059F"/>
    <w:rsid w:val="6C7259E8"/>
    <w:rsid w:val="6C8C5F63"/>
    <w:rsid w:val="6CC82910"/>
    <w:rsid w:val="6CFA34DB"/>
    <w:rsid w:val="6CFD6829"/>
    <w:rsid w:val="6D330230"/>
    <w:rsid w:val="6D332F6E"/>
    <w:rsid w:val="6D396B87"/>
    <w:rsid w:val="6D3E42BD"/>
    <w:rsid w:val="6DA87988"/>
    <w:rsid w:val="6DB265D8"/>
    <w:rsid w:val="6DB301A4"/>
    <w:rsid w:val="6DB62A0B"/>
    <w:rsid w:val="6DCC1623"/>
    <w:rsid w:val="6DD84920"/>
    <w:rsid w:val="6DDB5D1F"/>
    <w:rsid w:val="6DE82115"/>
    <w:rsid w:val="6DF14E2F"/>
    <w:rsid w:val="6E1F4FB0"/>
    <w:rsid w:val="6E407802"/>
    <w:rsid w:val="6E443B55"/>
    <w:rsid w:val="6E465867"/>
    <w:rsid w:val="6E5246F3"/>
    <w:rsid w:val="6E556105"/>
    <w:rsid w:val="6E7847AD"/>
    <w:rsid w:val="6EB362EF"/>
    <w:rsid w:val="6F1F1ECC"/>
    <w:rsid w:val="6F3326BD"/>
    <w:rsid w:val="6F5B19D4"/>
    <w:rsid w:val="6F5C3002"/>
    <w:rsid w:val="6FBD5643"/>
    <w:rsid w:val="6FC34F4E"/>
    <w:rsid w:val="6FC50CC6"/>
    <w:rsid w:val="6FC7059A"/>
    <w:rsid w:val="6FDF215C"/>
    <w:rsid w:val="6FF979C2"/>
    <w:rsid w:val="707123F1"/>
    <w:rsid w:val="70983CE4"/>
    <w:rsid w:val="70A46B2D"/>
    <w:rsid w:val="70A709CF"/>
    <w:rsid w:val="70AA1BAA"/>
    <w:rsid w:val="70B00667"/>
    <w:rsid w:val="70B86135"/>
    <w:rsid w:val="70C21E33"/>
    <w:rsid w:val="70E13E9D"/>
    <w:rsid w:val="70E25931"/>
    <w:rsid w:val="710F044A"/>
    <w:rsid w:val="712612F0"/>
    <w:rsid w:val="71353C29"/>
    <w:rsid w:val="713E2ADE"/>
    <w:rsid w:val="71420EA7"/>
    <w:rsid w:val="7150639A"/>
    <w:rsid w:val="715504AF"/>
    <w:rsid w:val="71724535"/>
    <w:rsid w:val="718972B9"/>
    <w:rsid w:val="71B863AA"/>
    <w:rsid w:val="71B9524D"/>
    <w:rsid w:val="72044045"/>
    <w:rsid w:val="72440D8F"/>
    <w:rsid w:val="724701AA"/>
    <w:rsid w:val="72613BB4"/>
    <w:rsid w:val="72686DCB"/>
    <w:rsid w:val="72734125"/>
    <w:rsid w:val="72890BE1"/>
    <w:rsid w:val="7297342D"/>
    <w:rsid w:val="730750C4"/>
    <w:rsid w:val="7327134F"/>
    <w:rsid w:val="733D0171"/>
    <w:rsid w:val="733E411A"/>
    <w:rsid w:val="7368312F"/>
    <w:rsid w:val="73913267"/>
    <w:rsid w:val="73B459E2"/>
    <w:rsid w:val="73B74455"/>
    <w:rsid w:val="73BF1DDC"/>
    <w:rsid w:val="74153FE8"/>
    <w:rsid w:val="741C39F8"/>
    <w:rsid w:val="742835D1"/>
    <w:rsid w:val="74544D62"/>
    <w:rsid w:val="74687E72"/>
    <w:rsid w:val="748D4891"/>
    <w:rsid w:val="74B143F2"/>
    <w:rsid w:val="74B34C91"/>
    <w:rsid w:val="74B62A14"/>
    <w:rsid w:val="74B6734E"/>
    <w:rsid w:val="74C6482B"/>
    <w:rsid w:val="74CC6652"/>
    <w:rsid w:val="751853F4"/>
    <w:rsid w:val="751F6102"/>
    <w:rsid w:val="752320C7"/>
    <w:rsid w:val="756E4256"/>
    <w:rsid w:val="75D723B2"/>
    <w:rsid w:val="75F06371"/>
    <w:rsid w:val="76393941"/>
    <w:rsid w:val="76584AFD"/>
    <w:rsid w:val="765F2D31"/>
    <w:rsid w:val="76636B42"/>
    <w:rsid w:val="76754002"/>
    <w:rsid w:val="76B850E0"/>
    <w:rsid w:val="76BB2B7A"/>
    <w:rsid w:val="76DE4C32"/>
    <w:rsid w:val="770739C7"/>
    <w:rsid w:val="77106CCA"/>
    <w:rsid w:val="772E53A2"/>
    <w:rsid w:val="77336515"/>
    <w:rsid w:val="77470212"/>
    <w:rsid w:val="77642B72"/>
    <w:rsid w:val="781C51FB"/>
    <w:rsid w:val="78375191"/>
    <w:rsid w:val="783A5034"/>
    <w:rsid w:val="78752699"/>
    <w:rsid w:val="788A190E"/>
    <w:rsid w:val="78B1737B"/>
    <w:rsid w:val="78B67C13"/>
    <w:rsid w:val="78CA4C57"/>
    <w:rsid w:val="78CC4E73"/>
    <w:rsid w:val="78D027F0"/>
    <w:rsid w:val="78D1586C"/>
    <w:rsid w:val="79107D4E"/>
    <w:rsid w:val="79353900"/>
    <w:rsid w:val="793F6CA3"/>
    <w:rsid w:val="794A04D7"/>
    <w:rsid w:val="79746535"/>
    <w:rsid w:val="797647ED"/>
    <w:rsid w:val="797937F9"/>
    <w:rsid w:val="79814165"/>
    <w:rsid w:val="799C6F8D"/>
    <w:rsid w:val="79ED50A1"/>
    <w:rsid w:val="7A13676F"/>
    <w:rsid w:val="7A243D59"/>
    <w:rsid w:val="7A387BE8"/>
    <w:rsid w:val="7A426D11"/>
    <w:rsid w:val="7A4D74CC"/>
    <w:rsid w:val="7A60559B"/>
    <w:rsid w:val="7AB123BB"/>
    <w:rsid w:val="7AC843DE"/>
    <w:rsid w:val="7ADB139D"/>
    <w:rsid w:val="7AE9123F"/>
    <w:rsid w:val="7AED3D24"/>
    <w:rsid w:val="7AFB559C"/>
    <w:rsid w:val="7AFC3A32"/>
    <w:rsid w:val="7B046B46"/>
    <w:rsid w:val="7B237139"/>
    <w:rsid w:val="7B29035B"/>
    <w:rsid w:val="7B323F28"/>
    <w:rsid w:val="7B4D150D"/>
    <w:rsid w:val="7B504D7D"/>
    <w:rsid w:val="7B6E0463"/>
    <w:rsid w:val="7B8E76C7"/>
    <w:rsid w:val="7BB05565"/>
    <w:rsid w:val="7BBB5446"/>
    <w:rsid w:val="7BEA3458"/>
    <w:rsid w:val="7C0163B0"/>
    <w:rsid w:val="7C025169"/>
    <w:rsid w:val="7C682867"/>
    <w:rsid w:val="7C6C7F23"/>
    <w:rsid w:val="7C7E0232"/>
    <w:rsid w:val="7C9B2D68"/>
    <w:rsid w:val="7CA51C7D"/>
    <w:rsid w:val="7CAC023E"/>
    <w:rsid w:val="7CD05611"/>
    <w:rsid w:val="7D22739B"/>
    <w:rsid w:val="7D2C4132"/>
    <w:rsid w:val="7D524A37"/>
    <w:rsid w:val="7DA418C3"/>
    <w:rsid w:val="7DC76960"/>
    <w:rsid w:val="7DE76B4F"/>
    <w:rsid w:val="7DEA78A4"/>
    <w:rsid w:val="7E454CA6"/>
    <w:rsid w:val="7E4937E2"/>
    <w:rsid w:val="7E775881"/>
    <w:rsid w:val="7E8B0CEF"/>
    <w:rsid w:val="7EA93097"/>
    <w:rsid w:val="7EC363D0"/>
    <w:rsid w:val="7ED22AB7"/>
    <w:rsid w:val="7EE46CE0"/>
    <w:rsid w:val="7F143F12"/>
    <w:rsid w:val="7F1E73A2"/>
    <w:rsid w:val="7F29005F"/>
    <w:rsid w:val="7F380545"/>
    <w:rsid w:val="7F6A4A9D"/>
    <w:rsid w:val="7F922AC7"/>
    <w:rsid w:val="7F945FBF"/>
    <w:rsid w:val="7F972C7E"/>
    <w:rsid w:val="7F9B2913"/>
    <w:rsid w:val="7FA224A6"/>
    <w:rsid w:val="7FB1606D"/>
    <w:rsid w:val="7FC739CB"/>
    <w:rsid w:val="7FD55BD3"/>
    <w:rsid w:val="7FE9455C"/>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sz w:val="18"/>
    </w:rPr>
  </w:style>
  <w:style w:type="paragraph" w:styleId="6">
    <w:name w:val="Normal Indent"/>
    <w:basedOn w:val="1"/>
    <w:next w:val="1"/>
    <w:qFormat/>
    <w:uiPriority w:val="0"/>
    <w:pPr>
      <w:ind w:firstLine="420"/>
    </w:pPr>
    <w:rPr>
      <w:szCs w:val="20"/>
    </w:rPr>
  </w:style>
  <w:style w:type="paragraph" w:styleId="7">
    <w:name w:val="annotation text"/>
    <w:basedOn w:val="1"/>
    <w:link w:val="70"/>
    <w:qFormat/>
    <w:uiPriority w:val="0"/>
    <w:pPr>
      <w:jc w:val="left"/>
    </w:pPr>
  </w:style>
  <w:style w:type="paragraph" w:styleId="8">
    <w:name w:val="Body Text"/>
    <w:basedOn w:val="1"/>
    <w:qFormat/>
    <w:uiPriority w:val="99"/>
    <w:pPr>
      <w:spacing w:after="120"/>
    </w:pPr>
  </w:style>
  <w:style w:type="paragraph" w:styleId="9">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annotation subject"/>
    <w:basedOn w:val="7"/>
    <w:next w:val="7"/>
    <w:link w:val="71"/>
    <w:semiHidden/>
    <w:unhideWhenUsed/>
    <w:qFormat/>
    <w:uiPriority w:val="0"/>
    <w:rPr>
      <w:b/>
      <w:bCs/>
    </w:rPr>
  </w:style>
  <w:style w:type="paragraph" w:styleId="17">
    <w:name w:val="Body Text First Indent 2"/>
    <w:basedOn w:val="9"/>
    <w:unhideWhenUsed/>
    <w:qFormat/>
    <w:uiPriority w:val="0"/>
    <w:pPr>
      <w:spacing w:after="120" w:line="240" w:lineRule="auto"/>
      <w:ind w:left="420" w:leftChars="200" w:firstLine="420" w:firstLineChars="200"/>
    </w:pPr>
    <w:rPr>
      <w:sz w:val="21"/>
      <w:szCs w:val="21"/>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Emphasis"/>
    <w:basedOn w:val="20"/>
    <w:qFormat/>
    <w:uiPriority w:val="0"/>
    <w:rPr>
      <w:i/>
    </w:rPr>
  </w:style>
  <w:style w:type="character" w:styleId="25">
    <w:name w:val="HTML Definition"/>
    <w:basedOn w:val="20"/>
    <w:semiHidden/>
    <w:unhideWhenUsed/>
    <w:qFormat/>
    <w:uiPriority w:val="0"/>
    <w:rPr>
      <w:i/>
      <w:iCs/>
    </w:rPr>
  </w:style>
  <w:style w:type="character" w:styleId="26">
    <w:name w:val="Hyperlink"/>
    <w:basedOn w:val="20"/>
    <w:qFormat/>
    <w:uiPriority w:val="0"/>
    <w:rPr>
      <w:color w:val="013F7C"/>
      <w:u w:val="none"/>
    </w:rPr>
  </w:style>
  <w:style w:type="character" w:styleId="27">
    <w:name w:val="HTML Code"/>
    <w:basedOn w:val="20"/>
    <w:semiHidden/>
    <w:unhideWhenUsed/>
    <w:qFormat/>
    <w:uiPriority w:val="0"/>
    <w:rPr>
      <w:rFonts w:hint="default" w:ascii="Consolas" w:hAnsi="Consolas" w:eastAsia="Consolas" w:cs="Consolas"/>
      <w:color w:val="C7254E"/>
      <w:sz w:val="21"/>
      <w:szCs w:val="21"/>
      <w:shd w:val="clear" w:color="auto" w:fill="F9F2F4"/>
    </w:rPr>
  </w:style>
  <w:style w:type="character" w:styleId="28">
    <w:name w:val="annotation reference"/>
    <w:basedOn w:val="20"/>
    <w:semiHidden/>
    <w:unhideWhenUsed/>
    <w:qFormat/>
    <w:uiPriority w:val="0"/>
    <w:rPr>
      <w:sz w:val="21"/>
      <w:szCs w:val="21"/>
    </w:rPr>
  </w:style>
  <w:style w:type="character" w:styleId="29">
    <w:name w:val="HTML Cite"/>
    <w:basedOn w:val="20"/>
    <w:semiHidden/>
    <w:unhideWhenUsed/>
    <w:qFormat/>
    <w:uiPriority w:val="0"/>
  </w:style>
  <w:style w:type="character" w:styleId="30">
    <w:name w:val="HTML Keyboard"/>
    <w:basedOn w:val="20"/>
    <w:semiHidden/>
    <w:unhideWhenUsed/>
    <w:qFormat/>
    <w:uiPriority w:val="0"/>
    <w:rPr>
      <w:rFonts w:hint="default" w:ascii="Consolas" w:hAnsi="Consolas" w:eastAsia="Consolas" w:cs="Consolas"/>
      <w:color w:val="FFFFFF"/>
      <w:sz w:val="21"/>
      <w:szCs w:val="21"/>
      <w:shd w:val="clear" w:color="auto" w:fill="333333"/>
    </w:rPr>
  </w:style>
  <w:style w:type="character" w:styleId="31">
    <w:name w:val="HTML Sample"/>
    <w:basedOn w:val="20"/>
    <w:semiHidden/>
    <w:unhideWhenUsed/>
    <w:qFormat/>
    <w:uiPriority w:val="0"/>
    <w:rPr>
      <w:rFonts w:ascii="Consolas" w:hAnsi="Consolas" w:eastAsia="Consolas" w:cs="Consolas"/>
      <w:sz w:val="21"/>
      <w:szCs w:val="21"/>
    </w:rPr>
  </w:style>
  <w:style w:type="paragraph" w:customStyle="1" w:styleId="32">
    <w:name w:val="引用1"/>
    <w:basedOn w:val="1"/>
    <w:next w:val="1"/>
    <w:qFormat/>
    <w:uiPriority w:val="99"/>
    <w:rPr>
      <w:rFonts w:ascii="Calibri" w:hAnsi="Calibri" w:cs="Calibri"/>
      <w:i/>
      <w:iCs/>
      <w:color w:val="000000"/>
      <w:sz w:val="22"/>
      <w:szCs w:val="22"/>
    </w:rPr>
  </w:style>
  <w:style w:type="paragraph" w:customStyle="1" w:styleId="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样式3"/>
    <w:basedOn w:val="10"/>
    <w:qFormat/>
    <w:uiPriority w:val="0"/>
    <w:pPr>
      <w:spacing w:line="0" w:lineRule="atLeast"/>
      <w:outlineLvl w:val="0"/>
    </w:pPr>
    <w:rPr>
      <w:sz w:val="28"/>
      <w:szCs w:val="24"/>
    </w:rPr>
  </w:style>
  <w:style w:type="paragraph" w:customStyle="1" w:styleId="35">
    <w:name w:val="正文1"/>
    <w:qFormat/>
    <w:uiPriority w:val="0"/>
    <w:pPr>
      <w:jc w:val="both"/>
    </w:pPr>
    <w:rPr>
      <w:rFonts w:ascii="Calibri" w:hAnsi="Calibri" w:eastAsia="宋体" w:cs="宋体"/>
      <w:kern w:val="2"/>
      <w:sz w:val="21"/>
      <w:szCs w:val="21"/>
      <w:lang w:val="en-US" w:eastAsia="zh-CN" w:bidi="ar-SA"/>
    </w:rPr>
  </w:style>
  <w:style w:type="paragraph" w:customStyle="1" w:styleId="36">
    <w:name w:val="Normal_18"/>
    <w:qFormat/>
    <w:uiPriority w:val="0"/>
    <w:rPr>
      <w:rFonts w:ascii="Times New Roman" w:hAnsi="Times New Roman" w:eastAsia="宋体" w:cs="Times New Roman"/>
      <w:sz w:val="21"/>
      <w:lang w:val="en-US" w:eastAsia="zh-CN" w:bidi="ar-SA"/>
    </w:rPr>
  </w:style>
  <w:style w:type="character" w:customStyle="1" w:styleId="37">
    <w:name w:val="ndata"/>
    <w:basedOn w:val="20"/>
    <w:qFormat/>
    <w:uiPriority w:val="0"/>
    <w:rPr>
      <w:color w:val="AAAAAA"/>
    </w:rPr>
  </w:style>
  <w:style w:type="character" w:customStyle="1" w:styleId="38">
    <w:name w:val="NormalCharacter"/>
    <w:qFormat/>
    <w:uiPriority w:val="0"/>
    <w:rPr>
      <w:sz w:val="21"/>
      <w:lang w:val="en-US" w:eastAsia="zh-CN" w:bidi="ar-SA"/>
    </w:rPr>
  </w:style>
  <w:style w:type="paragraph" w:customStyle="1" w:styleId="39">
    <w:name w:val="正文2"/>
    <w:basedOn w:val="1"/>
    <w:qFormat/>
    <w:uiPriority w:val="0"/>
    <w:pPr>
      <w:spacing w:before="156" w:line="360" w:lineRule="auto"/>
      <w:ind w:firstLine="510" w:firstLineChars="200"/>
    </w:pPr>
    <w:rPr>
      <w:sz w:val="24"/>
    </w:rPr>
  </w:style>
  <w:style w:type="paragraph" w:customStyle="1" w:styleId="40">
    <w:name w:val="NormalIndent"/>
    <w:basedOn w:val="1"/>
    <w:qFormat/>
    <w:uiPriority w:val="0"/>
    <w:pPr>
      <w:widowControl/>
      <w:ind w:firstLine="200" w:firstLineChars="200"/>
      <w:textAlignment w:val="baseline"/>
    </w:pPr>
    <w:rPr>
      <w:rFonts w:ascii="Calibri" w:hAnsi="Calibri"/>
    </w:rPr>
  </w:style>
  <w:style w:type="paragraph" w:styleId="41">
    <w:name w:val="List Paragraph"/>
    <w:basedOn w:val="1"/>
    <w:qFormat/>
    <w:uiPriority w:val="34"/>
    <w:pPr>
      <w:ind w:firstLine="420" w:firstLineChars="200"/>
    </w:pPr>
  </w:style>
  <w:style w:type="paragraph" w:customStyle="1" w:styleId="42">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3">
    <w:name w:val="active5"/>
    <w:basedOn w:val="20"/>
    <w:qFormat/>
    <w:uiPriority w:val="0"/>
    <w:rPr>
      <w:color w:val="FFFFFF"/>
      <w:shd w:val="clear" w:color="auto" w:fill="428BCA"/>
    </w:rPr>
  </w:style>
  <w:style w:type="character" w:customStyle="1" w:styleId="44">
    <w:name w:val="ui-jqgrid-resize"/>
    <w:basedOn w:val="20"/>
    <w:qFormat/>
    <w:uiPriority w:val="0"/>
  </w:style>
  <w:style w:type="character" w:customStyle="1" w:styleId="45">
    <w:name w:val="ui-icon37"/>
    <w:basedOn w:val="20"/>
    <w:qFormat/>
    <w:uiPriority w:val="0"/>
  </w:style>
  <w:style w:type="character" w:customStyle="1" w:styleId="46">
    <w:name w:val="ui-icon38"/>
    <w:basedOn w:val="20"/>
    <w:qFormat/>
    <w:uiPriority w:val="0"/>
  </w:style>
  <w:style w:type="character" w:customStyle="1" w:styleId="47">
    <w:name w:val="ui-icon39"/>
    <w:basedOn w:val="20"/>
    <w:qFormat/>
    <w:uiPriority w:val="0"/>
  </w:style>
  <w:style w:type="character" w:customStyle="1" w:styleId="48">
    <w:name w:val="input-icon2"/>
    <w:basedOn w:val="20"/>
    <w:qFormat/>
    <w:uiPriority w:val="0"/>
  </w:style>
  <w:style w:type="character" w:customStyle="1" w:styleId="49">
    <w:name w:val="before"/>
    <w:basedOn w:val="20"/>
    <w:qFormat/>
    <w:uiPriority w:val="0"/>
    <w:rPr>
      <w:rFonts w:hint="default" w:ascii="FontAwesome" w:hAnsi="FontAwesome" w:eastAsia="FontAwesome" w:cs="FontAwesome"/>
      <w:color w:val="888888"/>
    </w:rPr>
  </w:style>
  <w:style w:type="character" w:customStyle="1" w:styleId="50">
    <w:name w:val="before1"/>
    <w:basedOn w:val="20"/>
    <w:qFormat/>
    <w:uiPriority w:val="0"/>
    <w:rPr>
      <w:rFonts w:hint="default" w:ascii="FontAwesome" w:hAnsi="FontAwesome" w:eastAsia="FontAwesome" w:cs="FontAwesome"/>
      <w:color w:val="888888"/>
    </w:rPr>
  </w:style>
  <w:style w:type="character" w:customStyle="1" w:styleId="51">
    <w:name w:val="hover6"/>
    <w:basedOn w:val="20"/>
    <w:qFormat/>
    <w:uiPriority w:val="0"/>
    <w:rPr>
      <w:shd w:val="clear" w:color="auto" w:fill="EEEEEE"/>
    </w:rPr>
  </w:style>
  <w:style w:type="character" w:customStyle="1" w:styleId="52">
    <w:name w:val="old"/>
    <w:basedOn w:val="20"/>
    <w:qFormat/>
    <w:uiPriority w:val="0"/>
    <w:rPr>
      <w:color w:val="999999"/>
    </w:rPr>
  </w:style>
  <w:style w:type="character" w:customStyle="1" w:styleId="53">
    <w:name w:val="ui-icon40"/>
    <w:basedOn w:val="20"/>
    <w:qFormat/>
    <w:uiPriority w:val="0"/>
  </w:style>
  <w:style w:type="paragraph" w:customStyle="1" w:styleId="54">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5">
    <w:name w:val="font31"/>
    <w:basedOn w:val="20"/>
    <w:qFormat/>
    <w:uiPriority w:val="0"/>
    <w:rPr>
      <w:rFonts w:hint="default" w:ascii="Arial" w:hAnsi="Arial" w:cs="Arial"/>
      <w:b/>
      <w:color w:val="000000"/>
      <w:sz w:val="24"/>
      <w:szCs w:val="24"/>
      <w:u w:val="none"/>
    </w:rPr>
  </w:style>
  <w:style w:type="character" w:customStyle="1" w:styleId="56">
    <w:name w:val="font81"/>
    <w:basedOn w:val="20"/>
    <w:qFormat/>
    <w:uiPriority w:val="0"/>
    <w:rPr>
      <w:rFonts w:ascii="新宋体" w:hAnsi="新宋体" w:eastAsia="新宋体" w:cs="新宋体"/>
      <w:color w:val="000000"/>
      <w:sz w:val="21"/>
      <w:szCs w:val="21"/>
      <w:u w:val="none"/>
    </w:rPr>
  </w:style>
  <w:style w:type="character" w:customStyle="1" w:styleId="57">
    <w:name w:val="font41"/>
    <w:basedOn w:val="20"/>
    <w:qFormat/>
    <w:uiPriority w:val="0"/>
    <w:rPr>
      <w:rFonts w:hint="default" w:ascii="Times New Roman" w:hAnsi="Times New Roman" w:cs="Times New Roman"/>
      <w:color w:val="000000"/>
      <w:sz w:val="18"/>
      <w:szCs w:val="18"/>
      <w:u w:val="none"/>
    </w:rPr>
  </w:style>
  <w:style w:type="character" w:customStyle="1" w:styleId="58">
    <w:name w:val="font51"/>
    <w:basedOn w:val="20"/>
    <w:qFormat/>
    <w:uiPriority w:val="0"/>
    <w:rPr>
      <w:rFonts w:hint="eastAsia" w:ascii="宋体" w:hAnsi="宋体" w:eastAsia="宋体" w:cs="宋体"/>
      <w:b/>
      <w:color w:val="000000"/>
      <w:sz w:val="32"/>
      <w:szCs w:val="32"/>
      <w:u w:val="none"/>
    </w:rPr>
  </w:style>
  <w:style w:type="character" w:customStyle="1" w:styleId="59">
    <w:name w:val="font01"/>
    <w:basedOn w:val="20"/>
    <w:qFormat/>
    <w:uiPriority w:val="0"/>
    <w:rPr>
      <w:rFonts w:hint="eastAsia" w:ascii="宋体" w:hAnsi="宋体" w:eastAsia="宋体" w:cs="宋体"/>
      <w:color w:val="000000"/>
      <w:sz w:val="24"/>
      <w:szCs w:val="24"/>
      <w:u w:val="none"/>
    </w:rPr>
  </w:style>
  <w:style w:type="character" w:customStyle="1" w:styleId="60">
    <w:name w:val="font71"/>
    <w:basedOn w:val="20"/>
    <w:qFormat/>
    <w:uiPriority w:val="0"/>
    <w:rPr>
      <w:rFonts w:hint="default" w:ascii="仿宋_GB2312" w:eastAsia="仿宋_GB2312" w:cs="仿宋_GB2312"/>
      <w:b/>
      <w:bCs/>
      <w:color w:val="000000"/>
      <w:sz w:val="32"/>
      <w:szCs w:val="32"/>
      <w:u w:val="none"/>
    </w:rPr>
  </w:style>
  <w:style w:type="character" w:customStyle="1" w:styleId="61">
    <w:name w:val="active1"/>
    <w:basedOn w:val="20"/>
    <w:qFormat/>
    <w:uiPriority w:val="0"/>
    <w:rPr>
      <w:color w:val="FFFFFF"/>
      <w:shd w:val="clear" w:color="auto" w:fill="428BCA"/>
    </w:rPr>
  </w:style>
  <w:style w:type="character" w:customStyle="1" w:styleId="62">
    <w:name w:val="hover5"/>
    <w:basedOn w:val="20"/>
    <w:qFormat/>
    <w:uiPriority w:val="0"/>
    <w:rPr>
      <w:shd w:val="clear" w:color="auto" w:fill="EEEEEE"/>
    </w:rPr>
  </w:style>
  <w:style w:type="character" w:customStyle="1" w:styleId="63">
    <w:name w:val="ui-jqgrid-resize2"/>
    <w:basedOn w:val="20"/>
    <w:qFormat/>
    <w:uiPriority w:val="0"/>
  </w:style>
  <w:style w:type="paragraph" w:customStyle="1" w:styleId="64">
    <w:name w:val="正文（首行缩进2字符）"/>
    <w:basedOn w:val="1"/>
    <w:qFormat/>
    <w:uiPriority w:val="0"/>
    <w:pPr>
      <w:ind w:firstLine="440"/>
    </w:pPr>
    <w:rPr>
      <w:rFonts w:ascii="宋体" w:hAnsi="宋体"/>
      <w:kern w:val="0"/>
      <w:sz w:val="22"/>
    </w:rPr>
  </w:style>
  <w:style w:type="paragraph" w:customStyle="1" w:styleId="65">
    <w:name w:val="表格文字"/>
    <w:basedOn w:val="1"/>
    <w:qFormat/>
    <w:uiPriority w:val="0"/>
    <w:pPr>
      <w:jc w:val="center"/>
    </w:pPr>
    <w:rPr>
      <w:rFonts w:ascii="黑体" w:eastAsia="黑体"/>
      <w:bCs/>
      <w:spacing w:val="10"/>
      <w:kern w:val="0"/>
    </w:rPr>
  </w:style>
  <w:style w:type="paragraph" w:customStyle="1" w:styleId="66">
    <w:name w:val="公文标题"/>
    <w:basedOn w:val="1"/>
    <w:qFormat/>
    <w:uiPriority w:val="0"/>
    <w:pPr>
      <w:spacing w:line="579" w:lineRule="exact"/>
      <w:jc w:val="center"/>
    </w:pPr>
    <w:rPr>
      <w:rFonts w:eastAsia="方正小标宋_GBK"/>
      <w:sz w:val="44"/>
    </w:rPr>
  </w:style>
  <w:style w:type="character" w:customStyle="1" w:styleId="67">
    <w:name w:val="font21"/>
    <w:basedOn w:val="20"/>
    <w:qFormat/>
    <w:uiPriority w:val="0"/>
    <w:rPr>
      <w:rFonts w:hint="eastAsia" w:ascii="宋体" w:hAnsi="宋体" w:eastAsia="宋体" w:cs="宋体"/>
      <w:b/>
      <w:bCs/>
      <w:color w:val="000000"/>
      <w:sz w:val="24"/>
      <w:szCs w:val="24"/>
      <w:u w:val="none"/>
    </w:rPr>
  </w:style>
  <w:style w:type="paragraph" w:customStyle="1" w:styleId="68">
    <w:name w:val="Table Text"/>
    <w:basedOn w:val="1"/>
    <w:semiHidden/>
    <w:qFormat/>
    <w:uiPriority w:val="0"/>
    <w:rPr>
      <w:rFonts w:ascii="仿宋" w:hAnsi="仿宋" w:eastAsia="仿宋" w:cs="仿宋"/>
      <w:sz w:val="24"/>
      <w:lang w:eastAsia="en-US"/>
    </w:rPr>
  </w:style>
  <w:style w:type="table" w:customStyle="1" w:styleId="69">
    <w:name w:val="Table Normal"/>
    <w:semiHidden/>
    <w:unhideWhenUsed/>
    <w:qFormat/>
    <w:uiPriority w:val="0"/>
    <w:tblPr>
      <w:tblCellMar>
        <w:top w:w="0" w:type="dxa"/>
        <w:left w:w="0" w:type="dxa"/>
        <w:bottom w:w="0" w:type="dxa"/>
        <w:right w:w="0" w:type="dxa"/>
      </w:tblCellMar>
    </w:tblPr>
  </w:style>
  <w:style w:type="character" w:customStyle="1" w:styleId="70">
    <w:name w:val="批注文字 字符"/>
    <w:basedOn w:val="20"/>
    <w:link w:val="7"/>
    <w:qFormat/>
    <w:uiPriority w:val="0"/>
    <w:rPr>
      <w:kern w:val="2"/>
      <w:sz w:val="21"/>
      <w:szCs w:val="24"/>
    </w:rPr>
  </w:style>
  <w:style w:type="character" w:customStyle="1" w:styleId="71">
    <w:name w:val="批注主题 字符"/>
    <w:basedOn w:val="70"/>
    <w:link w:val="16"/>
    <w:semiHidden/>
    <w:qFormat/>
    <w:uiPriority w:val="0"/>
    <w:rPr>
      <w:b/>
      <w:bCs/>
      <w:kern w:val="2"/>
      <w:sz w:val="21"/>
      <w:szCs w:val="24"/>
    </w:rPr>
  </w:style>
  <w:style w:type="paragraph" w:customStyle="1" w:styleId="7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4FD13-FCC4-4BF2-8083-D802180A91B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48</Pages>
  <Words>973</Words>
  <Characters>1114</Characters>
  <Lines>236</Lines>
  <Paragraphs>66</Paragraphs>
  <TotalTime>2</TotalTime>
  <ScaleCrop>false</ScaleCrop>
  <LinksUpToDate>false</LinksUpToDate>
  <CharactersWithSpaces>1156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2024-07-23T02:21:00Z</dcterms:created>
  <dc:creator>随风</dc:creator>
  <cp:lastModifiedBy>Lilium娟</cp:lastModifiedBy>
  <cp:lastPrinted>2024-10-09T09:47:00Z</cp:lastPrinted>
  <dcterms:modified xsi:type="dcterms:W3CDTF">2025-06-09T04:30:11Z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929063E6CBEB4672B9DE363998D9D368_13</vt:lpwstr>
  </property>
  <property fmtid="{D5CDD505-2E9C-101B-9397-08002B2CF9AE}" pid="4" name="KSOTemplateDocerSaveRecord">
    <vt:lpwstr>eyJoZGlkIjoiY2IxNWU1ZGYwYTM0ZGFlOTkxMzJjZjZjZGJjOTgwNzAiLCJ1c2VySWQiOiIzNTMyNjM5MzMifQ==</vt:lpwstr>
  </property>
</Properties>
</file>