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FD417">
      <w:pPr>
        <w:pStyle w:val="11"/>
        <w:rPr>
          <w:color w:val="auto"/>
          <w:highlight w:val="none"/>
        </w:rPr>
      </w:pPr>
    </w:p>
    <w:p w14:paraId="629AA0CD">
      <w:pPr>
        <w:pStyle w:val="11"/>
        <w:rPr>
          <w:color w:val="auto"/>
          <w:highlight w:val="none"/>
        </w:rPr>
      </w:pPr>
    </w:p>
    <w:p w14:paraId="640B1340">
      <w:pPr>
        <w:pStyle w:val="11"/>
        <w:rPr>
          <w:color w:val="auto"/>
          <w:highlight w:val="none"/>
        </w:rPr>
      </w:pPr>
    </w:p>
    <w:p w14:paraId="649D29E4">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highlight w:val="none"/>
          <w:lang w:val="en-US" w:eastAsia="zh-CN"/>
        </w:rPr>
      </w:pPr>
      <w:r>
        <w:rPr>
          <w:rFonts w:hint="eastAsia" w:asciiTheme="minorEastAsia" w:hAnsiTheme="minorEastAsia" w:eastAsiaTheme="minorEastAsia" w:cstheme="minorEastAsia"/>
          <w:b/>
          <w:color w:val="auto"/>
          <w:sz w:val="52"/>
          <w:szCs w:val="52"/>
          <w:highlight w:val="none"/>
        </w:rPr>
        <w:t>海口</w:t>
      </w:r>
      <w:r>
        <w:rPr>
          <w:rFonts w:hint="eastAsia" w:asciiTheme="minorEastAsia" w:hAnsiTheme="minorEastAsia" w:eastAsiaTheme="minorEastAsia" w:cstheme="minorEastAsia"/>
          <w:b/>
          <w:color w:val="auto"/>
          <w:sz w:val="52"/>
          <w:szCs w:val="52"/>
          <w:highlight w:val="none"/>
          <w:lang w:val="en-US" w:eastAsia="zh-CN"/>
        </w:rPr>
        <w:t>江东新区管理局</w:t>
      </w:r>
    </w:p>
    <w:p w14:paraId="6A0FD02E">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采购</w:t>
      </w:r>
      <w:r>
        <w:rPr>
          <w:rFonts w:hint="eastAsia" w:asciiTheme="minorEastAsia" w:hAnsiTheme="minorEastAsia" w:eastAsiaTheme="minorEastAsia" w:cstheme="minorEastAsia"/>
          <w:b/>
          <w:color w:val="auto"/>
          <w:sz w:val="52"/>
          <w:szCs w:val="52"/>
          <w:highlight w:val="none"/>
          <w:lang w:val="en-US" w:eastAsia="zh-CN"/>
        </w:rPr>
        <w:t>比选</w:t>
      </w:r>
      <w:r>
        <w:rPr>
          <w:rFonts w:hint="eastAsia" w:asciiTheme="minorEastAsia" w:hAnsiTheme="minorEastAsia" w:eastAsiaTheme="minorEastAsia" w:cstheme="minorEastAsia"/>
          <w:b/>
          <w:color w:val="auto"/>
          <w:sz w:val="52"/>
          <w:szCs w:val="52"/>
          <w:highlight w:val="none"/>
        </w:rPr>
        <w:t>文件</w:t>
      </w:r>
    </w:p>
    <w:p w14:paraId="31D7E89A">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highlight w:val="none"/>
        </w:rPr>
      </w:pPr>
    </w:p>
    <w:p w14:paraId="6126917A">
      <w:pPr>
        <w:pageBreakBefore w:val="0"/>
        <w:wordWrap/>
        <w:topLinePunct w:val="0"/>
        <w:bidi w:val="0"/>
        <w:spacing w:line="360" w:lineRule="auto"/>
        <w:textAlignment w:val="auto"/>
        <w:rPr>
          <w:color w:val="auto"/>
          <w:sz w:val="21"/>
          <w:szCs w:val="21"/>
          <w:highlight w:val="none"/>
        </w:rPr>
      </w:pPr>
    </w:p>
    <w:p w14:paraId="6A63A2FA">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highlight w:val="none"/>
        </w:rPr>
      </w:pPr>
    </w:p>
    <w:p w14:paraId="145DCF66">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highlight w:val="none"/>
        </w:rPr>
      </w:pPr>
    </w:p>
    <w:p w14:paraId="030E8176">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highlight w:val="none"/>
        </w:rPr>
      </w:pPr>
    </w:p>
    <w:p w14:paraId="22B146A1">
      <w:pPr>
        <w:pStyle w:val="11"/>
        <w:pageBreakBefore w:val="0"/>
        <w:wordWrap/>
        <w:topLinePunct w:val="0"/>
        <w:bidi w:val="0"/>
        <w:spacing w:line="360" w:lineRule="auto"/>
        <w:ind w:firstLine="1968" w:firstLineChars="700"/>
        <w:jc w:val="left"/>
        <w:textAlignment w:val="auto"/>
        <w:outlineLvl w:val="0"/>
        <w:rPr>
          <w:rFonts w:hint="eastAsia" w:asciiTheme="minorEastAsia" w:hAnsiTheme="minorEastAsia" w:eastAsiaTheme="minorEastAsia" w:cstheme="minorEastAsia"/>
          <w:b/>
          <w:bCs w:val="0"/>
          <w:color w:val="auto"/>
          <w:sz w:val="28"/>
          <w:szCs w:val="28"/>
          <w:highlight w:val="none"/>
          <w:lang w:val="en-US" w:eastAsia="zh-CN"/>
        </w:rPr>
      </w:pPr>
      <w:bookmarkStart w:id="0" w:name="_Toc245888257"/>
      <w:bookmarkStart w:id="1" w:name="_Toc246825786"/>
      <w:bookmarkStart w:id="2" w:name="_Toc245887524"/>
      <w:bookmarkStart w:id="3" w:name="_Toc246826091"/>
      <w:r>
        <w:rPr>
          <w:rFonts w:hint="eastAsia" w:asciiTheme="minorEastAsia" w:hAnsiTheme="minorEastAsia" w:eastAsiaTheme="minorEastAsia" w:cstheme="minorEastAsia"/>
          <w:b/>
          <w:bCs w:val="0"/>
          <w:color w:val="auto"/>
          <w:sz w:val="28"/>
          <w:szCs w:val="28"/>
          <w:highlight w:val="none"/>
        </w:rPr>
        <w:t>项目编号：</w:t>
      </w:r>
      <w:bookmarkEnd w:id="0"/>
      <w:bookmarkEnd w:id="1"/>
      <w:bookmarkEnd w:id="2"/>
      <w:bookmarkEnd w:id="3"/>
      <w:bookmarkStart w:id="4" w:name="_Toc246825787"/>
      <w:bookmarkStart w:id="5" w:name="_Toc245888258"/>
      <w:bookmarkStart w:id="6" w:name="_Toc245887525"/>
      <w:bookmarkStart w:id="7" w:name="_Toc246826092"/>
      <w:r>
        <w:rPr>
          <w:rFonts w:hint="eastAsia" w:asciiTheme="minorEastAsia" w:hAnsiTheme="minorEastAsia" w:eastAsiaTheme="minorEastAsia" w:cstheme="minorEastAsia"/>
          <w:b/>
          <w:bCs w:val="0"/>
          <w:color w:val="auto"/>
          <w:sz w:val="28"/>
          <w:szCs w:val="28"/>
          <w:highlight w:val="none"/>
          <w:lang w:val="en-US" w:eastAsia="zh-CN"/>
        </w:rPr>
        <w:t>JDCG-JSB-2025-001</w:t>
      </w:r>
    </w:p>
    <w:p w14:paraId="2CF712ED">
      <w:pPr>
        <w:pStyle w:val="11"/>
        <w:pageBreakBefore w:val="0"/>
        <w:wordWrap/>
        <w:topLinePunct w:val="0"/>
        <w:bidi w:val="0"/>
        <w:spacing w:line="360" w:lineRule="auto"/>
        <w:ind w:left="3360" w:leftChars="931" w:hanging="1405" w:hangingChars="500"/>
        <w:jc w:val="left"/>
        <w:textAlignment w:val="auto"/>
        <w:outlineLvl w:val="0"/>
        <w:rPr>
          <w:rFonts w:hint="eastAsia" w:asciiTheme="minorEastAsia" w:hAnsiTheme="minorEastAsia" w:eastAsiaTheme="minorEastAsia" w:cstheme="minorEastAsia"/>
          <w:b/>
          <w:bCs w:val="0"/>
          <w:color w:val="auto"/>
          <w:sz w:val="28"/>
          <w:szCs w:val="28"/>
          <w:highlight w:val="none"/>
          <w:lang w:eastAsia="zh-CN"/>
        </w:rPr>
      </w:pPr>
      <w:r>
        <w:rPr>
          <w:rFonts w:hint="eastAsia" w:asciiTheme="minorEastAsia" w:hAnsiTheme="minorEastAsia" w:eastAsiaTheme="minorEastAsia" w:cstheme="minorEastAsia"/>
          <w:b/>
          <w:bCs w:val="0"/>
          <w:color w:val="auto"/>
          <w:sz w:val="28"/>
          <w:szCs w:val="28"/>
          <w:highlight w:val="none"/>
        </w:rPr>
        <w:t>项目名称：</w:t>
      </w:r>
      <w:bookmarkEnd w:id="4"/>
      <w:bookmarkEnd w:id="5"/>
      <w:bookmarkEnd w:id="6"/>
      <w:bookmarkEnd w:id="7"/>
      <w:bookmarkStart w:id="8" w:name="_Toc245888260"/>
      <w:bookmarkStart w:id="9" w:name="_Toc246826094"/>
      <w:bookmarkStart w:id="10" w:name="_Toc246825789"/>
      <w:bookmarkStart w:id="11" w:name="_Toc245887527"/>
      <w:r>
        <w:rPr>
          <w:rFonts w:hint="eastAsia" w:asciiTheme="minorEastAsia" w:hAnsiTheme="minorEastAsia" w:eastAsiaTheme="minorEastAsia" w:cstheme="minorEastAsia"/>
          <w:b/>
          <w:color w:val="auto"/>
          <w:sz w:val="28"/>
          <w:szCs w:val="28"/>
          <w:highlight w:val="none"/>
          <w:lang w:eastAsia="zh-CN"/>
        </w:rPr>
        <w:t>江东新区滨海路至海防林路段环境整治提升工程</w:t>
      </w:r>
    </w:p>
    <w:bookmarkEnd w:id="8"/>
    <w:bookmarkEnd w:id="9"/>
    <w:bookmarkEnd w:id="10"/>
    <w:bookmarkEnd w:id="11"/>
    <w:p w14:paraId="2B8FA5D7">
      <w:pPr>
        <w:pStyle w:val="11"/>
        <w:rPr>
          <w:color w:val="auto"/>
          <w:highlight w:val="none"/>
        </w:rPr>
      </w:pPr>
    </w:p>
    <w:p w14:paraId="46ED1846">
      <w:pPr>
        <w:pStyle w:val="11"/>
        <w:rPr>
          <w:color w:val="auto"/>
          <w:highlight w:val="none"/>
        </w:rPr>
      </w:pPr>
    </w:p>
    <w:p w14:paraId="2C49E9AD">
      <w:pPr>
        <w:pStyle w:val="11"/>
        <w:rPr>
          <w:color w:val="auto"/>
          <w:highlight w:val="none"/>
        </w:rPr>
      </w:pPr>
    </w:p>
    <w:p w14:paraId="56E4956B">
      <w:pPr>
        <w:pStyle w:val="7"/>
        <w:rPr>
          <w:color w:val="auto"/>
          <w:highlight w:val="none"/>
        </w:rPr>
      </w:pPr>
    </w:p>
    <w:p w14:paraId="2A46A856">
      <w:pPr>
        <w:pStyle w:val="35"/>
        <w:ind w:firstLine="440"/>
        <w:rPr>
          <w:color w:val="auto"/>
          <w:highlight w:val="none"/>
        </w:rPr>
      </w:pPr>
    </w:p>
    <w:p w14:paraId="0AA1E684">
      <w:pPr>
        <w:pStyle w:val="10"/>
        <w:rPr>
          <w:color w:val="auto"/>
          <w:highlight w:val="none"/>
        </w:rPr>
      </w:pPr>
    </w:p>
    <w:p w14:paraId="48329729">
      <w:pPr>
        <w:pStyle w:val="10"/>
        <w:rPr>
          <w:color w:val="auto"/>
          <w:highlight w:val="none"/>
        </w:rPr>
      </w:pPr>
    </w:p>
    <w:p w14:paraId="2CAC5D4F">
      <w:pPr>
        <w:pStyle w:val="10"/>
        <w:rPr>
          <w:color w:val="auto"/>
          <w:highlight w:val="none"/>
        </w:rPr>
      </w:pPr>
    </w:p>
    <w:p w14:paraId="4CA1A532">
      <w:pPr>
        <w:adjustRightInd w:val="0"/>
        <w:snapToGrid w:val="0"/>
        <w:spacing w:line="360" w:lineRule="auto"/>
        <w:ind w:firstLine="582"/>
        <w:jc w:val="center"/>
        <w:rPr>
          <w:color w:val="auto"/>
          <w:highlight w:val="none"/>
        </w:rPr>
      </w:pPr>
    </w:p>
    <w:p w14:paraId="6A367EBA">
      <w:pPr>
        <w:adjustRightInd w:val="0"/>
        <w:snapToGrid w:val="0"/>
        <w:spacing w:line="360" w:lineRule="auto"/>
        <w:ind w:firstLine="582"/>
        <w:jc w:val="center"/>
        <w:rPr>
          <w:color w:val="auto"/>
          <w:highlight w:val="none"/>
        </w:rPr>
      </w:pPr>
    </w:p>
    <w:p w14:paraId="50F73B42">
      <w:pPr>
        <w:pStyle w:val="11"/>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pacing w:val="40"/>
          <w:sz w:val="28"/>
          <w:szCs w:val="28"/>
          <w:highlight w:val="none"/>
          <w:lang w:val="en-US" w:eastAsia="zh-CN"/>
        </w:rPr>
        <w:t>2025</w:t>
      </w:r>
      <w:r>
        <w:rPr>
          <w:rFonts w:hint="eastAsia" w:asciiTheme="minorEastAsia" w:hAnsiTheme="minorEastAsia" w:eastAsiaTheme="minorEastAsia" w:cstheme="minorEastAsia"/>
          <w:b/>
          <w:color w:val="auto"/>
          <w:spacing w:val="40"/>
          <w:sz w:val="28"/>
          <w:szCs w:val="28"/>
          <w:highlight w:val="none"/>
        </w:rPr>
        <w:t>年</w:t>
      </w:r>
      <w:r>
        <w:rPr>
          <w:rFonts w:hint="eastAsia" w:asciiTheme="minorEastAsia" w:hAnsiTheme="minorEastAsia" w:eastAsiaTheme="minorEastAsia" w:cstheme="minorEastAsia"/>
          <w:b/>
          <w:color w:val="auto"/>
          <w:spacing w:val="40"/>
          <w:sz w:val="28"/>
          <w:szCs w:val="28"/>
          <w:highlight w:val="none"/>
          <w:lang w:val="en-US" w:eastAsia="zh-CN"/>
        </w:rPr>
        <w:t>7</w:t>
      </w:r>
      <w:r>
        <w:rPr>
          <w:rFonts w:hint="eastAsia" w:asciiTheme="minorEastAsia" w:hAnsiTheme="minorEastAsia" w:eastAsiaTheme="minorEastAsia" w:cstheme="minorEastAsia"/>
          <w:b/>
          <w:color w:val="auto"/>
          <w:spacing w:val="40"/>
          <w:sz w:val="28"/>
          <w:szCs w:val="28"/>
          <w:highlight w:val="none"/>
        </w:rPr>
        <w:t>月</w:t>
      </w:r>
    </w:p>
    <w:p w14:paraId="07102F93">
      <w:pPr>
        <w:pStyle w:val="11"/>
        <w:ind w:firstLine="422"/>
        <w:rPr>
          <w:rStyle w:val="27"/>
          <w:rFonts w:hAnsi="宋体" w:cs="宋体"/>
          <w:b/>
          <w:color w:val="auto"/>
          <w:szCs w:val="21"/>
          <w:highlight w:val="none"/>
        </w:rPr>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44D42FFC">
      <w:pPr>
        <w:pStyle w:val="11"/>
        <w:ind w:firstLine="422"/>
        <w:rPr>
          <w:rStyle w:val="27"/>
          <w:rFonts w:hAnsi="宋体" w:cs="宋体"/>
          <w:b/>
          <w:color w:val="auto"/>
          <w:szCs w:val="21"/>
          <w:highlight w:val="none"/>
        </w:rPr>
      </w:pPr>
    </w:p>
    <w:p w14:paraId="3A985CE7">
      <w:pPr>
        <w:pStyle w:val="11"/>
        <w:ind w:firstLine="482"/>
        <w:jc w:val="center"/>
        <w:rPr>
          <w:rStyle w:val="27"/>
          <w:rFonts w:hAnsi="宋体" w:cs="宋体"/>
          <w:b/>
          <w:color w:val="auto"/>
          <w:sz w:val="24"/>
          <w:szCs w:val="24"/>
          <w:highlight w:val="none"/>
        </w:rPr>
      </w:pPr>
      <w:r>
        <w:rPr>
          <w:rStyle w:val="27"/>
          <w:rFonts w:hint="eastAsia" w:hAnsi="宋体" w:cs="宋体"/>
          <w:b/>
          <w:color w:val="auto"/>
          <w:sz w:val="24"/>
          <w:szCs w:val="24"/>
          <w:highlight w:val="none"/>
        </w:rPr>
        <w:t>目录</w:t>
      </w:r>
    </w:p>
    <w:p w14:paraId="00E8F1EE">
      <w:pPr>
        <w:spacing w:line="360" w:lineRule="auto"/>
        <w:ind w:firstLine="482"/>
        <w:rPr>
          <w:color w:val="auto"/>
          <w:highlight w:val="none"/>
        </w:rPr>
      </w:pPr>
    </w:p>
    <w:p w14:paraId="43AC3A9F">
      <w:pPr>
        <w:spacing w:line="360" w:lineRule="auto"/>
        <w:ind w:firstLine="482"/>
        <w:rPr>
          <w:color w:val="auto"/>
          <w:highlight w:val="none"/>
        </w:rPr>
      </w:pPr>
    </w:p>
    <w:p w14:paraId="66B6514A">
      <w:pPr>
        <w:spacing w:line="360" w:lineRule="auto"/>
        <w:ind w:firstLine="482"/>
        <w:rPr>
          <w:b/>
          <w:bCs/>
          <w:color w:val="auto"/>
          <w:highlight w:val="none"/>
        </w:rPr>
      </w:pPr>
      <w:r>
        <w:rPr>
          <w:rFonts w:hint="eastAsia"/>
          <w:b/>
          <w:bCs/>
          <w:color w:val="auto"/>
          <w:highlight w:val="none"/>
        </w:rPr>
        <w:fldChar w:fldCharType="begin"/>
      </w:r>
      <w:r>
        <w:rPr>
          <w:rFonts w:hint="eastAsia"/>
          <w:b/>
          <w:bCs/>
          <w:color w:val="auto"/>
          <w:highlight w:val="none"/>
        </w:rPr>
        <w:instrText xml:space="preserve"> TOC \o "1-3" \h \z \u </w:instrText>
      </w:r>
      <w:r>
        <w:rPr>
          <w:rFonts w:hint="eastAsia"/>
          <w:b/>
          <w:bCs/>
          <w:color w:val="auto"/>
          <w:highlight w:val="none"/>
        </w:rPr>
        <w:fldChar w:fldCharType="separate"/>
      </w:r>
    </w:p>
    <w:p w14:paraId="78B81617">
      <w:pPr>
        <w:spacing w:line="360" w:lineRule="auto"/>
        <w:ind w:firstLine="482"/>
        <w:rPr>
          <w:b/>
          <w:bCs/>
          <w:color w:val="auto"/>
          <w:highlight w:val="none"/>
        </w:rPr>
      </w:pPr>
    </w:p>
    <w:p w14:paraId="2CEF5BBA">
      <w:pPr>
        <w:spacing w:line="360" w:lineRule="auto"/>
        <w:ind w:firstLine="482"/>
        <w:rPr>
          <w:b/>
          <w:bCs/>
          <w:color w:val="auto"/>
          <w:highlight w:val="none"/>
        </w:rPr>
      </w:pPr>
    </w:p>
    <w:p w14:paraId="13934161">
      <w:pPr>
        <w:spacing w:line="360" w:lineRule="auto"/>
        <w:ind w:firstLine="482"/>
        <w:rPr>
          <w:b/>
          <w:bCs/>
          <w:color w:val="auto"/>
          <w:highlight w:val="none"/>
        </w:rPr>
      </w:pPr>
      <w:r>
        <w:rPr>
          <w:rFonts w:hint="eastAsia"/>
          <w:b/>
          <w:bCs/>
          <w:color w:val="auto"/>
          <w:highlight w:val="none"/>
        </w:rPr>
        <w:fldChar w:fldCharType="begin"/>
      </w:r>
      <w:r>
        <w:rPr>
          <w:rFonts w:hint="eastAsia"/>
          <w:b/>
          <w:bCs/>
          <w:color w:val="auto"/>
          <w:highlight w:val="none"/>
        </w:rPr>
        <w:instrText xml:space="preserve"> HYPERLINK "file:///D:\\外网\\20090911\\界面资料091011\\界面资料\\部门资料\\采购文件范本1104\\招标文件范本\\印刷版本\\政府采购招标文件印刷.doc" \l "_Toc246826096#_Toc246826096" </w:instrText>
      </w:r>
      <w:r>
        <w:rPr>
          <w:rFonts w:hint="eastAsia"/>
          <w:b/>
          <w:bCs/>
          <w:color w:val="auto"/>
          <w:highlight w:val="none"/>
        </w:rPr>
        <w:fldChar w:fldCharType="separate"/>
      </w:r>
      <w:r>
        <w:rPr>
          <w:rFonts w:hint="eastAsia"/>
          <w:b/>
          <w:bCs/>
          <w:color w:val="auto"/>
          <w:highlight w:val="none"/>
        </w:rPr>
        <w:t>第一章比选公告……………………………………………………</w:t>
      </w:r>
      <w:r>
        <w:rPr>
          <w:rFonts w:hint="eastAsia"/>
          <w:b/>
          <w:bCs/>
          <w:color w:val="auto"/>
          <w:highlight w:val="none"/>
        </w:rPr>
        <w:fldChar w:fldCharType="end"/>
      </w:r>
      <w:r>
        <w:rPr>
          <w:rFonts w:hint="eastAsia"/>
          <w:b/>
          <w:bCs/>
          <w:color w:val="auto"/>
          <w:highlight w:val="none"/>
        </w:rPr>
        <w:t>……</w:t>
      </w:r>
      <w:r>
        <w:rPr>
          <w:rFonts w:hint="default"/>
          <w:b/>
          <w:bCs/>
          <w:color w:val="auto"/>
          <w:highlight w:val="none"/>
          <w:lang w:val="en-US"/>
        </w:rPr>
        <w:t>1</w:t>
      </w:r>
      <w:r>
        <w:rPr>
          <w:rFonts w:hint="eastAsia"/>
          <w:b/>
          <w:bCs/>
          <w:color w:val="auto"/>
          <w:highlight w:val="none"/>
        </w:rPr>
        <w:t>-</w:t>
      </w:r>
      <w:r>
        <w:rPr>
          <w:rFonts w:hint="default"/>
          <w:b/>
          <w:bCs/>
          <w:color w:val="auto"/>
          <w:highlight w:val="none"/>
          <w:lang w:val="en-US"/>
        </w:rPr>
        <w:t>4</w:t>
      </w:r>
    </w:p>
    <w:p w14:paraId="7EAE30A9">
      <w:pPr>
        <w:spacing w:line="360" w:lineRule="auto"/>
        <w:ind w:firstLine="482"/>
        <w:rPr>
          <w:b/>
          <w:bCs/>
          <w:color w:val="auto"/>
          <w:highlight w:val="none"/>
        </w:rPr>
      </w:pPr>
      <w:r>
        <w:rPr>
          <w:rFonts w:hint="eastAsia"/>
          <w:b/>
          <w:bCs/>
          <w:color w:val="auto"/>
          <w:highlight w:val="none"/>
        </w:rPr>
        <w:fldChar w:fldCharType="begin"/>
      </w:r>
      <w:r>
        <w:rPr>
          <w:rFonts w:hint="eastAsia"/>
          <w:b/>
          <w:bCs/>
          <w:color w:val="auto"/>
          <w:highlight w:val="none"/>
        </w:rPr>
        <w:instrText xml:space="preserve"> HYPERLINK "file:///D:\\外网\\20090911\\界面资料091011\\界面资料\\部门资料\\采购文件范本1104\\招标文件范本\\印刷版本\\政府采购招标文件印刷.doc" \l "_Toc246826105#_Toc246826105" </w:instrText>
      </w:r>
      <w:r>
        <w:rPr>
          <w:rFonts w:hint="eastAsia"/>
          <w:b/>
          <w:bCs/>
          <w:color w:val="auto"/>
          <w:highlight w:val="none"/>
        </w:rPr>
        <w:fldChar w:fldCharType="separate"/>
      </w:r>
      <w:r>
        <w:rPr>
          <w:rFonts w:hint="eastAsia"/>
          <w:b/>
          <w:bCs/>
          <w:color w:val="auto"/>
          <w:highlight w:val="none"/>
        </w:rPr>
        <w:t>第二章采购需求……………………………………………………</w:t>
      </w:r>
      <w:r>
        <w:rPr>
          <w:rFonts w:hint="eastAsia"/>
          <w:b/>
          <w:bCs/>
          <w:color w:val="auto"/>
          <w:highlight w:val="none"/>
        </w:rPr>
        <w:fldChar w:fldCharType="end"/>
      </w:r>
      <w:r>
        <w:rPr>
          <w:rFonts w:hint="eastAsia"/>
          <w:b/>
          <w:bCs/>
          <w:color w:val="auto"/>
          <w:highlight w:val="none"/>
        </w:rPr>
        <w:t>……</w:t>
      </w:r>
      <w:r>
        <w:rPr>
          <w:rFonts w:hint="default"/>
          <w:b/>
          <w:bCs/>
          <w:color w:val="auto"/>
          <w:highlight w:val="none"/>
          <w:lang w:val="en-US"/>
        </w:rPr>
        <w:t>5</w:t>
      </w:r>
    </w:p>
    <w:p w14:paraId="01D8DD29">
      <w:pPr>
        <w:spacing w:line="360" w:lineRule="auto"/>
        <w:ind w:firstLine="482"/>
        <w:rPr>
          <w:rFonts w:hint="eastAsia" w:eastAsia="宋体"/>
          <w:b/>
          <w:bCs/>
          <w:color w:val="auto"/>
          <w:highlight w:val="none"/>
          <w:lang w:val="en-US" w:eastAsia="zh-CN"/>
        </w:rPr>
      </w:pPr>
      <w:r>
        <w:rPr>
          <w:rFonts w:hint="eastAsia"/>
          <w:b/>
          <w:bCs/>
          <w:color w:val="auto"/>
          <w:highlight w:val="none"/>
        </w:rPr>
        <w:fldChar w:fldCharType="begin"/>
      </w:r>
      <w:r>
        <w:rPr>
          <w:rFonts w:hint="eastAsia"/>
          <w:b/>
          <w:bCs/>
          <w:color w:val="auto"/>
          <w:highlight w:val="none"/>
        </w:rPr>
        <w:instrText xml:space="preserve"> HYPERLINK "file:///D:\\外网\\20090911\\界面资料091011\\界面资料\\部门资料\\采购文件范本1104\\招标文件范本\\印刷版本\\政府采购招标文件印刷.doc" \l "_Toc246826118#_Toc246826118" </w:instrText>
      </w:r>
      <w:r>
        <w:rPr>
          <w:rFonts w:hint="eastAsia"/>
          <w:b/>
          <w:bCs/>
          <w:color w:val="auto"/>
          <w:highlight w:val="none"/>
        </w:rPr>
        <w:fldChar w:fldCharType="separate"/>
      </w:r>
      <w:r>
        <w:rPr>
          <w:rFonts w:hint="eastAsia"/>
          <w:b/>
          <w:bCs/>
          <w:color w:val="auto"/>
          <w:highlight w:val="none"/>
        </w:rPr>
        <w:t>第三章供应商须知………………………………………</w:t>
      </w:r>
      <w:r>
        <w:rPr>
          <w:rFonts w:hint="eastAsia"/>
          <w:b/>
          <w:bCs/>
          <w:color w:val="auto"/>
          <w:highlight w:val="none"/>
        </w:rPr>
        <w:fldChar w:fldCharType="end"/>
      </w:r>
      <w:r>
        <w:rPr>
          <w:rFonts w:hint="eastAsia"/>
          <w:b/>
          <w:bCs/>
          <w:color w:val="auto"/>
          <w:highlight w:val="none"/>
        </w:rPr>
        <w:t>………………</w:t>
      </w:r>
      <w:r>
        <w:rPr>
          <w:rFonts w:hint="eastAsia"/>
          <w:b/>
          <w:bCs/>
          <w:color w:val="auto"/>
          <w:highlight w:val="none"/>
        </w:rPr>
        <w:fldChar w:fldCharType="end"/>
      </w:r>
      <w:r>
        <w:rPr>
          <w:rFonts w:hint="default"/>
          <w:b/>
          <w:bCs/>
          <w:color w:val="auto"/>
          <w:highlight w:val="none"/>
          <w:lang w:val="en-US"/>
        </w:rPr>
        <w:t>6</w:t>
      </w:r>
      <w:r>
        <w:rPr>
          <w:rFonts w:hint="eastAsia"/>
          <w:b/>
          <w:bCs/>
          <w:color w:val="auto"/>
          <w:highlight w:val="none"/>
        </w:rPr>
        <w:t>-2</w:t>
      </w:r>
      <w:r>
        <w:rPr>
          <w:rFonts w:hint="eastAsia"/>
          <w:b/>
          <w:bCs/>
          <w:color w:val="auto"/>
          <w:highlight w:val="none"/>
          <w:lang w:val="en-US" w:eastAsia="zh-CN"/>
        </w:rPr>
        <w:t>0</w:t>
      </w:r>
    </w:p>
    <w:p w14:paraId="6A10876E">
      <w:pPr>
        <w:spacing w:line="360" w:lineRule="auto"/>
        <w:ind w:firstLine="482"/>
        <w:rPr>
          <w:rFonts w:hint="eastAsia" w:eastAsia="宋体"/>
          <w:b/>
          <w:bCs/>
          <w:color w:val="auto"/>
          <w:highlight w:val="none"/>
          <w:lang w:eastAsia="zh-CN"/>
        </w:rPr>
      </w:pPr>
      <w:r>
        <w:rPr>
          <w:rFonts w:hint="eastAsia"/>
          <w:b/>
          <w:bCs/>
          <w:color w:val="auto"/>
          <w:highlight w:val="none"/>
        </w:rPr>
        <w:fldChar w:fldCharType="begin"/>
      </w:r>
      <w:r>
        <w:rPr>
          <w:rFonts w:hint="eastAsia"/>
          <w:b/>
          <w:bCs/>
          <w:color w:val="auto"/>
          <w:highlight w:val="none"/>
        </w:rPr>
        <w:instrText xml:space="preserve"> HYPERLINK "file:///D:\\外网\\20090911\\界面资料091011\\界面资料\\部门资料\\采购文件范本1104\\招标文件范本\\印刷版本\\政府采购招标文件印刷.doc" \l "_Toc246826115#_Toc246826115" </w:instrText>
      </w:r>
      <w:r>
        <w:rPr>
          <w:rFonts w:hint="eastAsia"/>
          <w:b/>
          <w:bCs/>
          <w:color w:val="auto"/>
          <w:highlight w:val="none"/>
        </w:rPr>
        <w:fldChar w:fldCharType="separate"/>
      </w:r>
      <w:r>
        <w:rPr>
          <w:rFonts w:hint="eastAsia"/>
          <w:b/>
          <w:bCs/>
          <w:color w:val="auto"/>
          <w:highlight w:val="none"/>
        </w:rPr>
        <w:t>第四章评审标准……………………………………</w:t>
      </w:r>
      <w:r>
        <w:rPr>
          <w:rFonts w:hint="eastAsia"/>
          <w:b/>
          <w:bCs/>
          <w:color w:val="auto"/>
          <w:highlight w:val="none"/>
        </w:rPr>
        <w:fldChar w:fldCharType="end"/>
      </w:r>
      <w:r>
        <w:rPr>
          <w:rFonts w:hint="eastAsia"/>
          <w:b/>
          <w:bCs/>
          <w:color w:val="auto"/>
          <w:highlight w:val="none"/>
        </w:rPr>
        <w:t>……………………2</w:t>
      </w:r>
      <w:r>
        <w:rPr>
          <w:rFonts w:hint="eastAsia"/>
          <w:b/>
          <w:bCs/>
          <w:color w:val="auto"/>
          <w:highlight w:val="none"/>
          <w:lang w:val="en-US" w:eastAsia="zh-CN"/>
        </w:rPr>
        <w:t>1</w:t>
      </w:r>
      <w:r>
        <w:rPr>
          <w:rFonts w:hint="eastAsia"/>
          <w:b/>
          <w:bCs/>
          <w:color w:val="auto"/>
          <w:highlight w:val="none"/>
        </w:rPr>
        <w:t>-2</w:t>
      </w:r>
      <w:r>
        <w:rPr>
          <w:rFonts w:hint="eastAsia"/>
          <w:b/>
          <w:bCs/>
          <w:color w:val="auto"/>
          <w:highlight w:val="none"/>
          <w:lang w:val="en-US" w:eastAsia="zh-CN"/>
        </w:rPr>
        <w:t>5</w:t>
      </w:r>
    </w:p>
    <w:p w14:paraId="05915EEF">
      <w:pPr>
        <w:spacing w:line="360" w:lineRule="auto"/>
        <w:ind w:firstLine="482"/>
        <w:rPr>
          <w:rFonts w:hint="eastAsia" w:eastAsia="宋体"/>
          <w:b/>
          <w:bCs/>
          <w:color w:val="auto"/>
          <w:highlight w:val="none"/>
          <w:lang w:val="en-US" w:eastAsia="zh-CN"/>
        </w:rPr>
      </w:pPr>
      <w:r>
        <w:rPr>
          <w:rFonts w:hint="eastAsia"/>
          <w:b/>
          <w:bCs/>
          <w:color w:val="auto"/>
          <w:highlight w:val="none"/>
        </w:rPr>
        <w:fldChar w:fldCharType="begin"/>
      </w:r>
      <w:r>
        <w:rPr>
          <w:rFonts w:hint="eastAsia"/>
          <w:b/>
          <w:bCs/>
          <w:color w:val="auto"/>
          <w:highlight w:val="none"/>
        </w:rPr>
        <w:instrText xml:space="preserve"> HYPERLINK "file:///D:\\外网\\20090911\\界面资料091011\\界面资料\\部门资料\\采购文件范本1104\\招标文件范本\\印刷版本\\政府采购招标文件印刷.doc" \l "_Toc246826104#_Toc246826104" </w:instrText>
      </w:r>
      <w:r>
        <w:rPr>
          <w:rFonts w:hint="eastAsia"/>
          <w:b/>
          <w:bCs/>
          <w:color w:val="auto"/>
          <w:highlight w:val="none"/>
        </w:rPr>
        <w:fldChar w:fldCharType="separate"/>
      </w:r>
      <w:r>
        <w:rPr>
          <w:rFonts w:hint="eastAsia"/>
          <w:b/>
          <w:bCs/>
          <w:color w:val="auto"/>
          <w:highlight w:val="none"/>
        </w:rPr>
        <w:t>第五章采购合同格式……………………………………………………</w:t>
      </w:r>
      <w:r>
        <w:rPr>
          <w:rFonts w:hint="eastAsia"/>
          <w:b/>
          <w:bCs/>
          <w:color w:val="auto"/>
          <w:highlight w:val="none"/>
        </w:rPr>
        <w:fldChar w:fldCharType="end"/>
      </w:r>
      <w:r>
        <w:rPr>
          <w:rFonts w:hint="eastAsia"/>
          <w:b/>
          <w:bCs/>
          <w:color w:val="auto"/>
          <w:highlight w:val="none"/>
        </w:rPr>
        <w:t>2</w:t>
      </w:r>
      <w:r>
        <w:rPr>
          <w:rFonts w:hint="eastAsia"/>
          <w:b/>
          <w:bCs/>
          <w:color w:val="auto"/>
          <w:highlight w:val="none"/>
          <w:lang w:val="en-US" w:eastAsia="zh-CN"/>
        </w:rPr>
        <w:t>6</w:t>
      </w:r>
      <w:r>
        <w:rPr>
          <w:rFonts w:hint="eastAsia"/>
          <w:b/>
          <w:bCs/>
          <w:color w:val="auto"/>
          <w:highlight w:val="none"/>
        </w:rPr>
        <w:t>-3</w:t>
      </w:r>
      <w:r>
        <w:rPr>
          <w:rFonts w:hint="eastAsia"/>
          <w:b/>
          <w:bCs/>
          <w:color w:val="auto"/>
          <w:highlight w:val="none"/>
          <w:lang w:val="en-US" w:eastAsia="zh-CN"/>
        </w:rPr>
        <w:t>0</w:t>
      </w:r>
    </w:p>
    <w:p w14:paraId="44178134">
      <w:pPr>
        <w:spacing w:line="360" w:lineRule="auto"/>
        <w:ind w:firstLine="482"/>
        <w:rPr>
          <w:rFonts w:hint="eastAsia" w:eastAsia="宋体"/>
          <w:b/>
          <w:bCs/>
          <w:color w:val="auto"/>
          <w:highlight w:val="none"/>
          <w:lang w:eastAsia="zh-CN"/>
        </w:rPr>
      </w:pPr>
      <w:r>
        <w:rPr>
          <w:rFonts w:hint="eastAsia"/>
          <w:b/>
          <w:bCs/>
          <w:color w:val="auto"/>
          <w:highlight w:val="none"/>
        </w:rPr>
        <w:fldChar w:fldCharType="begin"/>
      </w:r>
      <w:r>
        <w:rPr>
          <w:rFonts w:hint="eastAsia"/>
          <w:b/>
          <w:bCs/>
          <w:color w:val="auto"/>
          <w:highlight w:val="none"/>
        </w:rPr>
        <w:instrText xml:space="preserve"> HYPERLINK "file:///D:\\外网\\20090911\\界面资料091011\\界面资料\\部门资料\\采购文件范本1104\\招标文件范本\\印刷版本\\政府采购招标文件印刷.doc" \l "_Toc246826118#_Toc246826118" </w:instrText>
      </w:r>
      <w:r>
        <w:rPr>
          <w:rFonts w:hint="eastAsia"/>
          <w:b/>
          <w:bCs/>
          <w:color w:val="auto"/>
          <w:highlight w:val="none"/>
        </w:rPr>
        <w:fldChar w:fldCharType="separate"/>
      </w:r>
      <w:r>
        <w:rPr>
          <w:rFonts w:hint="eastAsia"/>
          <w:b/>
          <w:bCs/>
          <w:color w:val="auto"/>
          <w:highlight w:val="none"/>
        </w:rPr>
        <w:t>第六章响应文件格式及附件……………………………………………</w:t>
      </w:r>
      <w:r>
        <w:rPr>
          <w:rFonts w:hint="eastAsia"/>
          <w:b/>
          <w:bCs/>
          <w:color w:val="auto"/>
          <w:highlight w:val="none"/>
        </w:rPr>
        <w:fldChar w:fldCharType="end"/>
      </w:r>
      <w:r>
        <w:rPr>
          <w:rFonts w:hint="eastAsia"/>
          <w:b/>
          <w:bCs/>
          <w:color w:val="auto"/>
          <w:highlight w:val="none"/>
        </w:rPr>
        <w:t>3</w:t>
      </w:r>
      <w:r>
        <w:rPr>
          <w:rFonts w:hint="eastAsia"/>
          <w:b/>
          <w:bCs/>
          <w:color w:val="auto"/>
          <w:highlight w:val="none"/>
          <w:lang w:val="en-US" w:eastAsia="zh-CN"/>
        </w:rPr>
        <w:t>1</w:t>
      </w:r>
      <w:r>
        <w:rPr>
          <w:rFonts w:hint="eastAsia"/>
          <w:b/>
          <w:bCs/>
          <w:color w:val="auto"/>
          <w:highlight w:val="none"/>
        </w:rPr>
        <w:t>-4</w:t>
      </w:r>
      <w:r>
        <w:rPr>
          <w:rFonts w:hint="eastAsia"/>
          <w:b/>
          <w:bCs/>
          <w:color w:val="auto"/>
          <w:highlight w:val="none"/>
          <w:lang w:val="en-US" w:eastAsia="zh-CN"/>
        </w:rPr>
        <w:t>0</w:t>
      </w:r>
    </w:p>
    <w:p w14:paraId="72C4F21F">
      <w:pPr>
        <w:spacing w:line="360" w:lineRule="auto"/>
        <w:ind w:firstLine="482"/>
        <w:rPr>
          <w:color w:val="auto"/>
          <w:highlight w:val="none"/>
        </w:rPr>
      </w:pPr>
    </w:p>
    <w:p w14:paraId="523C9702">
      <w:pPr>
        <w:pStyle w:val="11"/>
        <w:rPr>
          <w:color w:val="auto"/>
          <w:highlight w:val="none"/>
        </w:rPr>
      </w:pPr>
    </w:p>
    <w:p w14:paraId="0D206AF0">
      <w:pPr>
        <w:pStyle w:val="11"/>
        <w:rPr>
          <w:color w:val="auto"/>
          <w:highlight w:val="none"/>
        </w:rPr>
      </w:pPr>
    </w:p>
    <w:p w14:paraId="2765B9CD">
      <w:pPr>
        <w:pStyle w:val="11"/>
        <w:rPr>
          <w:color w:val="auto"/>
          <w:highlight w:val="none"/>
        </w:rPr>
      </w:pPr>
    </w:p>
    <w:p w14:paraId="54EFE937">
      <w:pPr>
        <w:pStyle w:val="11"/>
        <w:rPr>
          <w:color w:val="auto"/>
          <w:highlight w:val="none"/>
        </w:rPr>
      </w:pPr>
    </w:p>
    <w:p w14:paraId="2B507A1A">
      <w:pPr>
        <w:pStyle w:val="11"/>
        <w:rPr>
          <w:color w:val="auto"/>
          <w:highlight w:val="none"/>
        </w:rPr>
      </w:pPr>
    </w:p>
    <w:p w14:paraId="38E25818">
      <w:pPr>
        <w:pStyle w:val="11"/>
        <w:rPr>
          <w:color w:val="auto"/>
          <w:highlight w:val="none"/>
        </w:rPr>
      </w:pPr>
    </w:p>
    <w:p w14:paraId="3AC361FA">
      <w:pPr>
        <w:pStyle w:val="11"/>
        <w:rPr>
          <w:color w:val="auto"/>
          <w:highlight w:val="none"/>
        </w:rPr>
      </w:pPr>
    </w:p>
    <w:p w14:paraId="0E92E40C">
      <w:pPr>
        <w:pStyle w:val="11"/>
        <w:rPr>
          <w:color w:val="auto"/>
          <w:highlight w:val="none"/>
        </w:rPr>
      </w:pPr>
    </w:p>
    <w:p w14:paraId="5E19EFDE">
      <w:pPr>
        <w:pStyle w:val="11"/>
        <w:rPr>
          <w:color w:val="auto"/>
          <w:highlight w:val="none"/>
        </w:rPr>
      </w:pPr>
    </w:p>
    <w:p w14:paraId="5F00D652">
      <w:pPr>
        <w:pStyle w:val="11"/>
        <w:rPr>
          <w:color w:val="auto"/>
          <w:highlight w:val="none"/>
        </w:rPr>
      </w:pPr>
    </w:p>
    <w:p w14:paraId="70CE5FAB">
      <w:pPr>
        <w:pStyle w:val="11"/>
        <w:rPr>
          <w:color w:val="auto"/>
          <w:highlight w:val="none"/>
        </w:rPr>
      </w:pPr>
    </w:p>
    <w:p w14:paraId="0075EA23">
      <w:pPr>
        <w:pStyle w:val="1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b/>
          <w:bCs w:val="0"/>
          <w:color w:val="auto"/>
          <w:sz w:val="21"/>
          <w:szCs w:val="21"/>
          <w:highlight w:val="none"/>
        </w:rPr>
      </w:pPr>
    </w:p>
    <w:p w14:paraId="38A73C34">
      <w:pPr>
        <w:pStyle w:val="11"/>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第一章比选公告</w:t>
      </w:r>
    </w:p>
    <w:p w14:paraId="62036D91">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一、项目基本情况</w:t>
      </w:r>
    </w:p>
    <w:p w14:paraId="61AAB368">
      <w:pPr>
        <w:pStyle w:val="11"/>
        <w:rPr>
          <w:rFonts w:hint="eastAsia" w:eastAsia="宋体"/>
          <w:bCs/>
          <w:color w:val="auto"/>
          <w:highlight w:val="none"/>
          <w:lang w:val="en-US" w:eastAsia="zh-CN"/>
        </w:rPr>
      </w:pPr>
      <w:r>
        <w:rPr>
          <w:rFonts w:hint="eastAsia"/>
          <w:bCs/>
          <w:color w:val="auto"/>
          <w:highlight w:val="none"/>
          <w:lang w:val="en-US" w:eastAsia="zh-CN"/>
        </w:rPr>
        <w:t>1、项目背景：</w:t>
      </w:r>
      <w:r>
        <w:rPr>
          <w:rFonts w:hint="eastAsia"/>
          <w:bCs/>
          <w:color w:val="auto"/>
          <w:highlight w:val="none"/>
        </w:rPr>
        <w:t>2024 年 9 月，台风“摩羯”过境，对江东新区滨海路至海防林路段环境造成了严重破坏。具体表现为：建筑垃圾堆积，部分区域的植被被连根拔起，台风受损的枯树未能及时迁移，严重影响了区域的生态环境，给周边居民的生产生活带来了极大不便，急需尽快恢复该区域的生态环境，保障居民的正常生活。本</w:t>
      </w:r>
      <w:r>
        <w:rPr>
          <w:rFonts w:hint="eastAsia"/>
          <w:bCs/>
          <w:color w:val="auto"/>
          <w:highlight w:val="none"/>
          <w:lang w:val="en-US" w:eastAsia="zh-CN"/>
        </w:rPr>
        <w:t>项目</w:t>
      </w:r>
      <w:r>
        <w:rPr>
          <w:rFonts w:hint="eastAsia"/>
          <w:bCs/>
          <w:color w:val="auto"/>
          <w:highlight w:val="none"/>
        </w:rPr>
        <w:t>将针对海防林路</w:t>
      </w:r>
      <w:r>
        <w:rPr>
          <w:rFonts w:hint="eastAsia"/>
          <w:bCs/>
          <w:color w:val="auto"/>
          <w:highlight w:val="none"/>
          <w:lang w:val="en-US" w:eastAsia="zh-CN"/>
        </w:rPr>
        <w:t>周边</w:t>
      </w:r>
      <w:r>
        <w:rPr>
          <w:rFonts w:hint="eastAsia"/>
          <w:bCs/>
          <w:color w:val="auto"/>
          <w:highlight w:val="none"/>
        </w:rPr>
        <w:t>区域</w:t>
      </w:r>
      <w:r>
        <w:rPr>
          <w:rFonts w:hint="eastAsia"/>
          <w:bCs/>
          <w:color w:val="auto"/>
          <w:highlight w:val="none"/>
          <w:lang w:val="en-US" w:eastAsia="zh-CN"/>
        </w:rPr>
        <w:t>开展</w:t>
      </w:r>
      <w:r>
        <w:rPr>
          <w:rFonts w:hint="eastAsia"/>
          <w:bCs/>
          <w:color w:val="auto"/>
          <w:highlight w:val="none"/>
        </w:rPr>
        <w:t>垃圾及枯枝清理</w:t>
      </w:r>
      <w:r>
        <w:rPr>
          <w:rFonts w:hint="eastAsia"/>
          <w:bCs/>
          <w:color w:val="auto"/>
          <w:highlight w:val="none"/>
          <w:lang w:val="en-US" w:eastAsia="zh-CN"/>
        </w:rPr>
        <w:t>等环境整治，恢复</w:t>
      </w:r>
      <w:r>
        <w:rPr>
          <w:rFonts w:hint="eastAsia"/>
          <w:bCs/>
          <w:color w:val="auto"/>
          <w:highlight w:val="none"/>
        </w:rPr>
        <w:t>良好</w:t>
      </w:r>
      <w:r>
        <w:rPr>
          <w:rFonts w:hint="eastAsia"/>
          <w:bCs/>
          <w:color w:val="auto"/>
          <w:highlight w:val="none"/>
          <w:lang w:val="en-US" w:eastAsia="zh-CN"/>
        </w:rPr>
        <w:t>的</w:t>
      </w:r>
      <w:r>
        <w:rPr>
          <w:rFonts w:hint="eastAsia"/>
          <w:bCs/>
          <w:color w:val="auto"/>
          <w:highlight w:val="none"/>
        </w:rPr>
        <w:t>城市生态环境</w:t>
      </w:r>
      <w:r>
        <w:rPr>
          <w:rFonts w:hint="eastAsia"/>
          <w:bCs/>
          <w:color w:val="auto"/>
          <w:highlight w:val="none"/>
          <w:lang w:eastAsia="zh-CN"/>
        </w:rPr>
        <w:t>。</w:t>
      </w:r>
    </w:p>
    <w:p w14:paraId="6838313B">
      <w:pPr>
        <w:pStyle w:val="11"/>
        <w:rPr>
          <w:bCs/>
          <w:color w:val="auto"/>
          <w:highlight w:val="none"/>
        </w:rPr>
      </w:pPr>
      <w:r>
        <w:rPr>
          <w:rFonts w:hint="eastAsia"/>
          <w:bCs/>
          <w:color w:val="auto"/>
          <w:highlight w:val="none"/>
          <w:lang w:val="en-US" w:eastAsia="zh-CN"/>
        </w:rPr>
        <w:t>2</w:t>
      </w:r>
      <w:r>
        <w:rPr>
          <w:rFonts w:hint="eastAsia"/>
          <w:bCs/>
          <w:color w:val="auto"/>
          <w:highlight w:val="none"/>
        </w:rPr>
        <w:t>、项目编号：</w:t>
      </w:r>
      <w:r>
        <w:rPr>
          <w:rFonts w:hint="eastAsia"/>
          <w:color w:val="auto"/>
          <w:highlight w:val="none"/>
        </w:rPr>
        <w:t>JDCG-JSB-2025-001</w:t>
      </w:r>
    </w:p>
    <w:p w14:paraId="583D6611">
      <w:pPr>
        <w:pStyle w:val="11"/>
        <w:rPr>
          <w:color w:val="auto"/>
          <w:highlight w:val="none"/>
        </w:rPr>
      </w:pPr>
      <w:r>
        <w:rPr>
          <w:rFonts w:hint="eastAsia"/>
          <w:color w:val="auto"/>
          <w:highlight w:val="none"/>
          <w:lang w:val="en-US" w:eastAsia="zh-CN"/>
        </w:rPr>
        <w:t>3</w:t>
      </w:r>
      <w:r>
        <w:rPr>
          <w:rFonts w:hint="eastAsia"/>
          <w:color w:val="auto"/>
          <w:highlight w:val="none"/>
        </w:rPr>
        <w:t>、项目名称：江东新区滨海路至海防林路段环境整治提升工程</w:t>
      </w:r>
    </w:p>
    <w:p w14:paraId="7AE2B37E">
      <w:pPr>
        <w:pStyle w:val="11"/>
        <w:rPr>
          <w:rFonts w:hAnsi="宋体" w:cs="宋体"/>
          <w:color w:val="auto"/>
          <w:highlight w:val="none"/>
        </w:rPr>
      </w:pPr>
      <w:r>
        <w:rPr>
          <w:rFonts w:hint="eastAsia"/>
          <w:color w:val="auto"/>
          <w:highlight w:val="none"/>
          <w:lang w:val="en-US" w:eastAsia="zh-CN"/>
        </w:rPr>
        <w:t>4</w:t>
      </w:r>
      <w:r>
        <w:rPr>
          <w:rFonts w:hint="eastAsia"/>
          <w:color w:val="auto"/>
          <w:highlight w:val="none"/>
        </w:rPr>
        <w:t>、预算金额：人民币</w:t>
      </w:r>
      <w:r>
        <w:rPr>
          <w:rFonts w:hint="eastAsia"/>
          <w:b/>
          <w:color w:val="auto"/>
          <w:highlight w:val="none"/>
          <w:lang w:val="en-US" w:eastAsia="zh-CN"/>
        </w:rPr>
        <w:t>20.16</w:t>
      </w:r>
      <w:r>
        <w:rPr>
          <w:rFonts w:hint="eastAsia"/>
          <w:color w:val="auto"/>
          <w:highlight w:val="none"/>
        </w:rPr>
        <w:t>万元（不含</w:t>
      </w:r>
      <w:r>
        <w:rPr>
          <w:rFonts w:hint="eastAsia"/>
          <w:color w:val="auto"/>
          <w:highlight w:val="none"/>
          <w:lang w:val="en-US" w:eastAsia="zh-CN"/>
        </w:rPr>
        <w:t>20.16</w:t>
      </w:r>
      <w:r>
        <w:rPr>
          <w:rFonts w:hint="eastAsia"/>
          <w:color w:val="auto"/>
          <w:highlight w:val="none"/>
        </w:rPr>
        <w:t>0万元，投标报价</w:t>
      </w:r>
      <w:r>
        <w:rPr>
          <w:rFonts w:hint="eastAsia"/>
          <w:color w:val="auto"/>
          <w:highlight w:val="none"/>
          <w:lang w:val="en-US" w:eastAsia="zh-CN"/>
        </w:rPr>
        <w:t>等于或</w:t>
      </w:r>
      <w:r>
        <w:rPr>
          <w:rFonts w:hint="eastAsia"/>
          <w:color w:val="auto"/>
          <w:highlight w:val="none"/>
        </w:rPr>
        <w:t>超过预算金额均按无效投标处理）</w:t>
      </w:r>
    </w:p>
    <w:p w14:paraId="05A3722C">
      <w:pPr>
        <w:pStyle w:val="11"/>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4、采购需求：</w:t>
      </w:r>
      <w:r>
        <w:rPr>
          <w:rFonts w:hint="eastAsia"/>
          <w:color w:val="auto"/>
          <w:highlight w:val="none"/>
        </w:rPr>
        <w:t>详细需求详见第二章《采购需求》</w:t>
      </w:r>
    </w:p>
    <w:p w14:paraId="539481E0">
      <w:pPr>
        <w:spacing w:line="400" w:lineRule="exact"/>
        <w:ind w:right="-197" w:rightChars="-94" w:firstLine="420" w:firstLineChars="200"/>
        <w:rPr>
          <w:rFonts w:ascii="宋体" w:hAnsi="宋体"/>
          <w:color w:val="auto"/>
          <w:highlight w:val="none"/>
        </w:rPr>
      </w:pPr>
      <w:r>
        <w:rPr>
          <w:rFonts w:hint="eastAsia"/>
          <w:color w:val="auto"/>
          <w:highlight w:val="none"/>
        </w:rPr>
        <w:t>5、服务期限</w:t>
      </w:r>
      <w:bookmarkStart w:id="12" w:name="_Toc35393791"/>
      <w:bookmarkStart w:id="13" w:name="_Toc28359080"/>
      <w:bookmarkStart w:id="14" w:name="_Toc28359003"/>
      <w:bookmarkStart w:id="15" w:name="_Toc35393622"/>
      <w:r>
        <w:rPr>
          <w:rFonts w:hint="eastAsia"/>
          <w:color w:val="auto"/>
          <w:highlight w:val="none"/>
        </w:rPr>
        <w:t>：自合同签订起</w:t>
      </w:r>
      <w:r>
        <w:rPr>
          <w:rFonts w:hint="eastAsia"/>
          <w:color w:val="auto"/>
          <w:highlight w:val="none"/>
          <w:lang w:val="en-US" w:eastAsia="zh-CN"/>
        </w:rPr>
        <w:t>15日历天</w:t>
      </w:r>
    </w:p>
    <w:p w14:paraId="53C6B2C3">
      <w:pPr>
        <w:pStyle w:val="11"/>
        <w:rPr>
          <w:color w:val="auto"/>
          <w:highlight w:val="none"/>
        </w:rPr>
      </w:pPr>
      <w:r>
        <w:rPr>
          <w:rFonts w:hint="eastAsia"/>
          <w:color w:val="auto"/>
          <w:highlight w:val="none"/>
        </w:rPr>
        <w:t>6、服务地点：海口江东新区</w:t>
      </w:r>
    </w:p>
    <w:p w14:paraId="7A60DDD3">
      <w:pPr>
        <w:keepNext w:val="0"/>
        <w:keepLines w:val="0"/>
        <w:pageBreakBefore w:val="0"/>
        <w:widowControl w:val="0"/>
        <w:kinsoku/>
        <w:wordWrap/>
        <w:overflowPunct/>
        <w:topLinePunct w:val="0"/>
        <w:autoSpaceDE/>
        <w:autoSpaceDN/>
        <w:bidi w:val="0"/>
        <w:adjustRightInd w:val="0"/>
        <w:snapToGrid w:val="0"/>
        <w:spacing w:line="400" w:lineRule="exact"/>
        <w:ind w:firstLine="422"/>
        <w:jc w:val="both"/>
        <w:textAlignment w:val="auto"/>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二、供应商的资格要求：</w:t>
      </w:r>
      <w:bookmarkEnd w:id="12"/>
      <w:bookmarkEnd w:id="13"/>
      <w:bookmarkEnd w:id="14"/>
      <w:bookmarkEnd w:id="15"/>
    </w:p>
    <w:p w14:paraId="4BE915F9">
      <w:pPr>
        <w:keepNext w:val="0"/>
        <w:keepLines w:val="0"/>
        <w:pageBreakBefore w:val="0"/>
        <w:wordWrap/>
        <w:overflowPunct/>
        <w:bidi w:val="0"/>
        <w:spacing w:line="560" w:lineRule="exact"/>
        <w:ind w:firstLine="420" w:firstLineChars="200"/>
        <w:jc w:val="both"/>
        <w:outlineLvl w:val="2"/>
        <w:rPr>
          <w:rFonts w:hint="eastAsia" w:ascii="Times New Roman" w:hAnsi="Times New Roman" w:eastAsia="宋体" w:cs="宋体"/>
          <w:color w:val="auto"/>
          <w:sz w:val="21"/>
          <w:szCs w:val="21"/>
          <w:highlight w:val="none"/>
          <w:lang w:eastAsia="zh-CN"/>
        </w:rPr>
      </w:pPr>
      <w:bookmarkStart w:id="16" w:name="_Toc35393792"/>
      <w:bookmarkStart w:id="17" w:name="_Toc28359004"/>
      <w:bookmarkStart w:id="18" w:name="_Toc35393623"/>
      <w:bookmarkStart w:id="19" w:name="_Toc28359081"/>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满足《中华人民共和国政府采购法》第二十二条规定，即：</w:t>
      </w:r>
    </w:p>
    <w:p w14:paraId="5150EFFD">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（1）具有独立承担民事责任的能力；</w:t>
      </w:r>
    </w:p>
    <w:p w14:paraId="152AAD7A">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（2）具有良好的商业信誉和健全的财务会计制度；</w:t>
      </w:r>
    </w:p>
    <w:p w14:paraId="29F49121">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（3）具有履行合同所必需的设备和专业技术能力；</w:t>
      </w:r>
    </w:p>
    <w:p w14:paraId="1E1A6A7C">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（4）有依法缴纳税收和社会保障资金的良好记录；</w:t>
      </w:r>
    </w:p>
    <w:p w14:paraId="1DB61DDB">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（5）近三年内，在经营活动中没有重大违法记录（重大违法记录是指供应商因违法经营受到刑事处罚或者责令停产停业、吊销许可证或者执照、较大数额罚款等行政处罚）；</w:t>
      </w:r>
    </w:p>
    <w:p w14:paraId="4495BBB4">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（6）法律、行政法规规定的其他条件。</w:t>
      </w:r>
    </w:p>
    <w:p w14:paraId="1C15AF06">
      <w:pPr>
        <w:keepNext w:val="0"/>
        <w:keepLines w:val="0"/>
        <w:pageBreakBefore w:val="0"/>
        <w:wordWrap/>
        <w:overflowPunct/>
        <w:bidi w:val="0"/>
        <w:spacing w:line="560" w:lineRule="exact"/>
        <w:ind w:firstLine="420" w:firstLineChars="200"/>
        <w:jc w:val="both"/>
        <w:outlineLvl w:val="2"/>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落实政府采购政策需满足的资格要求：</w:t>
      </w:r>
    </w:p>
    <w:p w14:paraId="53730705">
      <w:pPr>
        <w:keepNext w:val="0"/>
        <w:keepLines w:val="0"/>
        <w:pageBreakBefore w:val="0"/>
        <w:wordWrap/>
        <w:overflowPunct/>
        <w:bidi w:val="0"/>
        <w:spacing w:line="560" w:lineRule="exact"/>
        <w:ind w:firstLine="420" w:firstLineChars="200"/>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）本项目属于专门面向中小企业采购的项目，供应商应为中小微企业、监狱企业、残疾人福利性单位；</w:t>
      </w:r>
    </w:p>
    <w:p w14:paraId="76D07204">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）参加政府采购活动前三年内，无环保类行政处罚记录。</w:t>
      </w:r>
    </w:p>
    <w:p w14:paraId="6B6C05E9">
      <w:pPr>
        <w:keepNext w:val="0"/>
        <w:keepLines w:val="0"/>
        <w:pageBreakBefore w:val="0"/>
        <w:wordWrap/>
        <w:overflowPunct/>
        <w:bidi w:val="0"/>
        <w:spacing w:line="560" w:lineRule="exact"/>
        <w:ind w:firstLine="420" w:firstLineChars="200"/>
        <w:jc w:val="both"/>
        <w:outlineLvl w:val="2"/>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本项目的特定资格要求：</w:t>
      </w:r>
    </w:p>
    <w:p w14:paraId="6DD54E1E">
      <w:pPr>
        <w:keepNext w:val="0"/>
        <w:keepLines w:val="0"/>
        <w:pageBreakBefore w:val="0"/>
        <w:wordWrap/>
        <w:overflowPunct/>
        <w:bidi w:val="0"/>
        <w:spacing w:line="560" w:lineRule="exact"/>
        <w:ind w:firstLine="420" w:firstLineChars="200"/>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eastAsia="zh-CN"/>
        </w:rPr>
        <w:t>）供应商应具备有效的安全生产许可证；</w:t>
      </w:r>
    </w:p>
    <w:p w14:paraId="755BDD3D">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rPr>
        <w:t>被“信用中国”网站（www.creditchina.gov.cn）中列入失信被执行人和重大税收违法主体名单的供应商、被中国政府采购网（www.ccgp.gov.cn）列入政府采购严重违法失信行为记录名单中，无资格参加本项目的采购活动。</w:t>
      </w:r>
    </w:p>
    <w:p w14:paraId="312117F1">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）单位负责人为同一人或者存在控股、管理关系的不同单位，不得同时参加本项目的磋商。</w:t>
      </w:r>
    </w:p>
    <w:p w14:paraId="78961AB3">
      <w:pPr>
        <w:rPr>
          <w:color w:val="auto"/>
          <w:highlight w:val="none"/>
        </w:rPr>
      </w:pPr>
      <w:r>
        <w:rPr>
          <w:rFonts w:hint="eastAsia" w:ascii="Times New Roman" w:hAnsi="Times New Roman" w:eastAsia="宋体" w:cs="宋体"/>
          <w:color w:val="auto"/>
          <w:sz w:val="21"/>
          <w:szCs w:val="21"/>
          <w:highlight w:val="none"/>
          <w:lang w:eastAsia="zh-CN"/>
        </w:rPr>
        <w:t>（</w:t>
      </w:r>
      <w:r>
        <w:rPr>
          <w:rFonts w:hint="eastAsia" w:ascii="Times New Roman" w:hAnsi="Times New Roman" w:eastAsia="宋体" w:cs="宋体"/>
          <w:color w:val="auto"/>
          <w:sz w:val="21"/>
          <w:szCs w:val="21"/>
          <w:highlight w:val="none"/>
          <w:lang w:val="en-US" w:eastAsia="zh-CN"/>
        </w:rPr>
        <w:t>4</w:t>
      </w:r>
      <w:r>
        <w:rPr>
          <w:rFonts w:hint="eastAsia" w:ascii="Times New Roman" w:hAnsi="Times New Roman" w:eastAsia="宋体" w:cs="宋体"/>
          <w:color w:val="auto"/>
          <w:sz w:val="21"/>
          <w:szCs w:val="21"/>
          <w:highlight w:val="none"/>
          <w:lang w:eastAsia="zh-CN"/>
        </w:rPr>
        <w:t>）本项目不接受联合体响应</w:t>
      </w:r>
      <w:r>
        <w:rPr>
          <w:rFonts w:hint="eastAsia"/>
          <w:color w:val="auto"/>
          <w:highlight w:val="none"/>
        </w:rPr>
        <w:t>。</w:t>
      </w:r>
    </w:p>
    <w:p w14:paraId="6CBBC4A8">
      <w:pPr>
        <w:keepNext w:val="0"/>
        <w:keepLines w:val="0"/>
        <w:pageBreakBefore w:val="0"/>
        <w:widowControl w:val="0"/>
        <w:kinsoku/>
        <w:wordWrap/>
        <w:overflowPunct/>
        <w:topLinePunct w:val="0"/>
        <w:autoSpaceDE/>
        <w:autoSpaceDN/>
        <w:bidi w:val="0"/>
        <w:adjustRightInd w:val="0"/>
        <w:snapToGrid w:val="0"/>
        <w:spacing w:line="400" w:lineRule="exact"/>
        <w:ind w:firstLine="422"/>
        <w:jc w:val="both"/>
        <w:textAlignment w:val="auto"/>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三、</w:t>
      </w:r>
      <w:bookmarkEnd w:id="16"/>
      <w:bookmarkEnd w:id="17"/>
      <w:bookmarkEnd w:id="18"/>
      <w:bookmarkEnd w:id="19"/>
      <w:r>
        <w:rPr>
          <w:rFonts w:hint="eastAsia" w:asciiTheme="minorEastAsia" w:hAnsiTheme="minorEastAsia" w:eastAsiaTheme="minorEastAsia" w:cstheme="minorEastAsia"/>
          <w:b/>
          <w:bCs w:val="0"/>
          <w:color w:val="auto"/>
          <w:kern w:val="2"/>
          <w:sz w:val="21"/>
          <w:szCs w:val="21"/>
          <w:highlight w:val="none"/>
          <w:lang w:val="en-US" w:eastAsia="zh-CN" w:bidi="ar-SA"/>
        </w:rPr>
        <w:t>采购文件获取办法</w:t>
      </w:r>
    </w:p>
    <w:p w14:paraId="73A5656B">
      <w:pPr>
        <w:pStyle w:val="11"/>
        <w:rPr>
          <w:color w:val="auto"/>
          <w:highlight w:val="none"/>
        </w:rPr>
      </w:pPr>
      <w:r>
        <w:rPr>
          <w:rFonts w:hint="eastAsia"/>
          <w:color w:val="auto"/>
          <w:highlight w:val="none"/>
        </w:rPr>
        <w:t>1、采购比选文件获取时间</w:t>
      </w:r>
      <w:r>
        <w:rPr>
          <w:rFonts w:hint="eastAsia" w:ascii="Times New Roman" w:hAnsi="Times New Roman" w:eastAsia="宋体" w:cs="宋体"/>
          <w:color w:val="auto"/>
          <w:highlight w:val="none"/>
          <w:lang w:eastAsia="zh-CN"/>
        </w:rPr>
        <w:t>2025年</w:t>
      </w:r>
      <w:r>
        <w:rPr>
          <w:rFonts w:hint="eastAsia" w:ascii="Times New Roman" w:hAnsi="Times New Roman" w:cs="宋体"/>
          <w:color w:val="auto"/>
          <w:highlight w:val="none"/>
          <w:lang w:val="en-US" w:eastAsia="zh-CN"/>
        </w:rPr>
        <w:t>8</w:t>
      </w:r>
      <w:r>
        <w:rPr>
          <w:rFonts w:hint="eastAsia" w:ascii="Times New Roman" w:hAnsi="Times New Roman" w:eastAsia="宋体" w:cs="宋体"/>
          <w:color w:val="auto"/>
          <w:highlight w:val="none"/>
          <w:lang w:eastAsia="zh-CN"/>
        </w:rPr>
        <w:t>月</w:t>
      </w:r>
      <w:r>
        <w:rPr>
          <w:rFonts w:hint="eastAsia" w:ascii="Times New Roman" w:hAnsi="Times New Roman" w:cs="宋体"/>
          <w:color w:val="auto"/>
          <w:highlight w:val="none"/>
          <w:lang w:val="en-US" w:eastAsia="zh-CN"/>
        </w:rPr>
        <w:t>6</w:t>
      </w:r>
      <w:r>
        <w:rPr>
          <w:rFonts w:hint="eastAsia" w:ascii="Times New Roman" w:hAnsi="Times New Roman" w:eastAsia="宋体" w:cs="宋体"/>
          <w:color w:val="auto"/>
          <w:highlight w:val="none"/>
          <w:lang w:eastAsia="zh-CN"/>
        </w:rPr>
        <w:t>日00时00分至202</w:t>
      </w:r>
      <w:r>
        <w:rPr>
          <w:rFonts w:hint="eastAsia" w:ascii="Times New Roman" w:hAnsi="Times New Roman" w:eastAsia="宋体" w:cs="宋体"/>
          <w:color w:val="auto"/>
          <w:highlight w:val="none"/>
          <w:lang w:val="en-US" w:eastAsia="zh-CN"/>
        </w:rPr>
        <w:t>5</w:t>
      </w:r>
      <w:r>
        <w:rPr>
          <w:rFonts w:hint="eastAsia" w:ascii="Times New Roman" w:hAnsi="Times New Roman" w:eastAsia="宋体" w:cs="宋体"/>
          <w:color w:val="auto"/>
          <w:highlight w:val="none"/>
          <w:lang w:eastAsia="zh-CN"/>
        </w:rPr>
        <w:t>年</w:t>
      </w:r>
      <w:r>
        <w:rPr>
          <w:rFonts w:hint="eastAsia" w:ascii="Times New Roman" w:hAnsi="Times New Roman" w:eastAsia="宋体" w:cs="宋体"/>
          <w:color w:val="auto"/>
          <w:highlight w:val="none"/>
          <w:lang w:val="en-US" w:eastAsia="zh-CN"/>
        </w:rPr>
        <w:t>8</w:t>
      </w:r>
      <w:r>
        <w:rPr>
          <w:rFonts w:hint="eastAsia" w:ascii="Times New Roman" w:hAnsi="Times New Roman" w:eastAsia="宋体" w:cs="宋体"/>
          <w:color w:val="auto"/>
          <w:highlight w:val="none"/>
          <w:lang w:eastAsia="zh-CN"/>
        </w:rPr>
        <w:t>月</w:t>
      </w:r>
      <w:r>
        <w:rPr>
          <w:rFonts w:hint="eastAsia" w:ascii="Times New Roman" w:hAnsi="Times New Roman" w:cs="宋体"/>
          <w:color w:val="auto"/>
          <w:highlight w:val="none"/>
          <w:lang w:val="en-US" w:eastAsia="zh-CN"/>
        </w:rPr>
        <w:t>11</w:t>
      </w:r>
      <w:r>
        <w:rPr>
          <w:rFonts w:hint="eastAsia" w:ascii="Times New Roman" w:hAnsi="Times New Roman" w:eastAsia="宋体" w:cs="宋体"/>
          <w:color w:val="auto"/>
          <w:highlight w:val="none"/>
          <w:lang w:eastAsia="zh-CN"/>
        </w:rPr>
        <w:t>日2</w:t>
      </w:r>
      <w:r>
        <w:rPr>
          <w:rFonts w:hint="eastAsia" w:ascii="Times New Roman" w:hAnsi="Times New Roman" w:cs="宋体"/>
          <w:color w:val="auto"/>
          <w:highlight w:val="none"/>
          <w:lang w:val="en-US" w:eastAsia="zh-CN"/>
        </w:rPr>
        <w:t>4</w:t>
      </w:r>
      <w:r>
        <w:rPr>
          <w:rFonts w:hint="eastAsia" w:ascii="Times New Roman" w:hAnsi="Times New Roman" w:eastAsia="宋体" w:cs="宋体"/>
          <w:color w:val="auto"/>
          <w:highlight w:val="none"/>
          <w:lang w:eastAsia="zh-CN"/>
        </w:rPr>
        <w:t>（北京时间）</w:t>
      </w:r>
      <w:r>
        <w:rPr>
          <w:rFonts w:hint="eastAsia"/>
          <w:color w:val="auto"/>
          <w:highlight w:val="none"/>
        </w:rPr>
        <w:t>；</w:t>
      </w:r>
    </w:p>
    <w:p w14:paraId="2CA8DB89">
      <w:pPr>
        <w:pStyle w:val="11"/>
        <w:rPr>
          <w:color w:val="auto"/>
          <w:highlight w:val="none"/>
        </w:rPr>
      </w:pPr>
      <w:r>
        <w:rPr>
          <w:rFonts w:hint="eastAsia"/>
          <w:color w:val="auto"/>
          <w:highlight w:val="none"/>
        </w:rPr>
        <w:t>2、采购比选文件获取方式：请有意向参与本项目采购活动的单位在比选公告界面自行下载比选文件。</w:t>
      </w:r>
    </w:p>
    <w:p w14:paraId="63F55769">
      <w:pPr>
        <w:keepNext w:val="0"/>
        <w:keepLines w:val="0"/>
        <w:pageBreakBefore w:val="0"/>
        <w:widowControl w:val="0"/>
        <w:kinsoku/>
        <w:wordWrap/>
        <w:overflowPunct/>
        <w:topLinePunct w:val="0"/>
        <w:autoSpaceDE/>
        <w:autoSpaceDN/>
        <w:bidi w:val="0"/>
        <w:adjustRightInd w:val="0"/>
        <w:snapToGrid w:val="0"/>
        <w:spacing w:line="400" w:lineRule="exact"/>
        <w:ind w:firstLine="422"/>
        <w:jc w:val="both"/>
        <w:textAlignment w:val="auto"/>
        <w:rPr>
          <w:rFonts w:hint="eastAsia" w:asciiTheme="minorEastAsia" w:hAnsiTheme="minorEastAsia" w:eastAsiaTheme="minorEastAsia" w:cstheme="minorEastAsia"/>
          <w:b/>
          <w:bCs w:val="0"/>
          <w:color w:val="auto"/>
          <w:kern w:val="2"/>
          <w:sz w:val="21"/>
          <w:szCs w:val="21"/>
          <w:highlight w:val="none"/>
          <w:lang w:val="en-US" w:eastAsia="zh-CN" w:bidi="ar-SA"/>
        </w:rPr>
      </w:pPr>
      <w:bookmarkStart w:id="20" w:name="_Toc35393627"/>
      <w:bookmarkStart w:id="21" w:name="_Toc28359085"/>
      <w:bookmarkStart w:id="22" w:name="_Toc28359008"/>
      <w:bookmarkStart w:id="23" w:name="_Toc35393796"/>
      <w:r>
        <w:rPr>
          <w:rFonts w:hint="eastAsia" w:asciiTheme="minorEastAsia" w:hAnsiTheme="minorEastAsia" w:eastAsiaTheme="minorEastAsia" w:cstheme="minorEastAsia"/>
          <w:b/>
          <w:bCs w:val="0"/>
          <w:color w:val="auto"/>
          <w:kern w:val="2"/>
          <w:sz w:val="21"/>
          <w:szCs w:val="21"/>
          <w:highlight w:val="none"/>
          <w:lang w:val="en-US" w:eastAsia="zh-CN" w:bidi="ar-SA"/>
        </w:rPr>
        <w:t>四、响应文件递交截止时间、开标时间及地点</w:t>
      </w:r>
    </w:p>
    <w:p w14:paraId="6974B0C0">
      <w:pPr>
        <w:adjustRightInd w:val="0"/>
        <w:snapToGrid w:val="0"/>
        <w:spacing w:line="400" w:lineRule="exact"/>
        <w:ind w:firstLine="420" w:firstLineChars="200"/>
        <w:rPr>
          <w:color w:val="auto"/>
          <w:highlight w:val="none"/>
        </w:rPr>
      </w:pPr>
      <w:bookmarkStart w:id="24" w:name="_Toc35393625"/>
      <w:bookmarkStart w:id="25" w:name="_Toc28359084"/>
      <w:bookmarkStart w:id="26" w:name="_Toc35393794"/>
      <w:bookmarkStart w:id="27" w:name="_Toc28359007"/>
      <w:r>
        <w:rPr>
          <w:rFonts w:hint="eastAsia"/>
          <w:color w:val="auto"/>
          <w:highlight w:val="none"/>
        </w:rPr>
        <w:t>1、响应文件递交截止时间</w:t>
      </w:r>
      <w:r>
        <w:rPr>
          <w:rFonts w:hint="eastAsia"/>
          <w:color w:val="auto"/>
          <w:highlight w:val="none"/>
          <w:lang w:eastAsia="zh-CN"/>
        </w:rPr>
        <w:t>：</w:t>
      </w:r>
      <w:r>
        <w:rPr>
          <w:rFonts w:hint="eastAsia" w:ascii="Times New Roman" w:hAnsi="Times New Roman" w:eastAsia="宋体" w:cs="宋体"/>
          <w:color w:val="auto"/>
          <w:highlight w:val="none"/>
          <w:lang w:eastAsia="zh-CN"/>
        </w:rPr>
        <w:t>2025年8月</w:t>
      </w:r>
      <w:r>
        <w:rPr>
          <w:rFonts w:hint="eastAsia" w:cs="宋体"/>
          <w:color w:val="auto"/>
          <w:highlight w:val="none"/>
          <w:lang w:val="en-US" w:eastAsia="zh-CN"/>
        </w:rPr>
        <w:t>12</w:t>
      </w:r>
      <w:r>
        <w:rPr>
          <w:rFonts w:hint="eastAsia" w:ascii="Times New Roman" w:hAnsi="Times New Roman" w:eastAsia="宋体" w:cs="宋体"/>
          <w:color w:val="auto"/>
          <w:highlight w:val="none"/>
          <w:lang w:eastAsia="zh-CN"/>
        </w:rPr>
        <w:t>日</w:t>
      </w:r>
      <w:r>
        <w:rPr>
          <w:rFonts w:hint="eastAsia" w:cs="宋体"/>
          <w:color w:val="auto"/>
          <w:highlight w:val="none"/>
          <w:lang w:eastAsia="zh-CN"/>
        </w:rPr>
        <w:t>15:00</w:t>
      </w:r>
      <w:r>
        <w:rPr>
          <w:rFonts w:hint="eastAsia" w:ascii="Times New Roman" w:hAnsi="Times New Roman" w:eastAsia="宋体" w:cs="宋体"/>
          <w:color w:val="auto"/>
          <w:highlight w:val="none"/>
          <w:lang w:eastAsia="zh-CN"/>
        </w:rPr>
        <w:t>（北京时间）</w:t>
      </w:r>
      <w:r>
        <w:rPr>
          <w:rFonts w:hint="eastAsia"/>
          <w:color w:val="auto"/>
          <w:highlight w:val="none"/>
        </w:rPr>
        <w:t>；</w:t>
      </w:r>
    </w:p>
    <w:p w14:paraId="005441FF">
      <w:pPr>
        <w:adjustRightInd w:val="0"/>
        <w:snapToGrid w:val="0"/>
        <w:spacing w:line="400" w:lineRule="exact"/>
        <w:ind w:firstLine="420" w:firstLineChars="200"/>
        <w:rPr>
          <w:color w:val="auto"/>
          <w:highlight w:val="none"/>
        </w:rPr>
      </w:pPr>
      <w:r>
        <w:rPr>
          <w:rFonts w:hint="eastAsia"/>
          <w:color w:val="auto"/>
          <w:highlight w:val="none"/>
        </w:rPr>
        <w:t>2、开标时间</w:t>
      </w:r>
      <w:r>
        <w:rPr>
          <w:rFonts w:hint="eastAsia"/>
          <w:color w:val="auto"/>
          <w:highlight w:val="none"/>
          <w:lang w:eastAsia="zh-CN"/>
        </w:rPr>
        <w:t>：</w:t>
      </w:r>
      <w:r>
        <w:rPr>
          <w:rFonts w:hint="eastAsia"/>
          <w:color w:val="auto"/>
          <w:highlight w:val="none"/>
        </w:rPr>
        <w:t>与响应文件递交截止时间为同一时间；</w:t>
      </w:r>
    </w:p>
    <w:p w14:paraId="60310890">
      <w:pPr>
        <w:adjustRightInd w:val="0"/>
        <w:snapToGrid w:val="0"/>
        <w:spacing w:line="400" w:lineRule="exact"/>
        <w:ind w:firstLine="420" w:firstLineChars="200"/>
        <w:rPr>
          <w:color w:val="auto"/>
          <w:highlight w:val="none"/>
        </w:rPr>
      </w:pPr>
      <w:r>
        <w:rPr>
          <w:rFonts w:hint="eastAsia"/>
          <w:color w:val="auto"/>
          <w:highlight w:val="none"/>
        </w:rPr>
        <w:t>3、响应文件递交及开标地点</w:t>
      </w:r>
      <w:r>
        <w:rPr>
          <w:rFonts w:hint="eastAsia"/>
          <w:color w:val="auto"/>
          <w:highlight w:val="none"/>
          <w:lang w:eastAsia="zh-CN"/>
        </w:rPr>
        <w:t>：</w:t>
      </w:r>
      <w:r>
        <w:rPr>
          <w:rFonts w:hint="eastAsia"/>
          <w:color w:val="auto"/>
          <w:highlight w:val="none"/>
        </w:rPr>
        <w:t>海口江东新区管理局；</w:t>
      </w:r>
    </w:p>
    <w:p w14:paraId="624017A1">
      <w:pPr>
        <w:pStyle w:val="11"/>
        <w:rPr>
          <w:b/>
          <w:color w:val="auto"/>
          <w:highlight w:val="none"/>
        </w:rPr>
      </w:pPr>
      <w:r>
        <w:rPr>
          <w:rFonts w:hint="eastAsia"/>
          <w:color w:val="auto"/>
          <w:highlight w:val="none"/>
        </w:rPr>
        <w:t>4、逾期提交/送达或者未送达指定地点的响应文件，视为无效响应文件不予接收。</w:t>
      </w:r>
      <w:r>
        <w:rPr>
          <w:rFonts w:hint="eastAsia"/>
          <w:b/>
          <w:color w:val="auto"/>
          <w:highlight w:val="none"/>
        </w:rPr>
        <w:tab/>
      </w:r>
      <w:r>
        <w:rPr>
          <w:rFonts w:hint="eastAsia"/>
          <w:b/>
          <w:color w:val="auto"/>
          <w:highlight w:val="none"/>
        </w:rPr>
        <w:t>五、采购信息发布媒体</w:t>
      </w:r>
    </w:p>
    <w:p w14:paraId="1472128A">
      <w:pPr>
        <w:adjustRightInd w:val="0"/>
        <w:snapToGrid w:val="0"/>
        <w:spacing w:line="400" w:lineRule="exact"/>
        <w:ind w:firstLine="420" w:firstLineChars="200"/>
        <w:jc w:val="left"/>
        <w:rPr>
          <w:color w:val="auto"/>
          <w:highlight w:val="none"/>
        </w:rPr>
      </w:pPr>
      <w:r>
        <w:rPr>
          <w:rFonts w:hint="eastAsia"/>
          <w:color w:val="auto"/>
          <w:highlight w:val="none"/>
        </w:rPr>
        <w:t>1、本项目采购信息指定发布媒体为海口江东新区管理局官网；</w:t>
      </w:r>
    </w:p>
    <w:p w14:paraId="7CAF84A1">
      <w:pPr>
        <w:adjustRightInd w:val="0"/>
        <w:snapToGrid w:val="0"/>
        <w:spacing w:line="400" w:lineRule="exact"/>
        <w:ind w:firstLine="420" w:firstLineChars="200"/>
        <w:jc w:val="left"/>
        <w:rPr>
          <w:color w:val="auto"/>
          <w:highlight w:val="none"/>
        </w:rPr>
      </w:pPr>
      <w:r>
        <w:rPr>
          <w:rFonts w:hint="eastAsia"/>
          <w:color w:val="auto"/>
          <w:highlight w:val="none"/>
        </w:rPr>
        <w:t>2、有关本项目采购比选文件的补遗、澄清及变更信息以上述网站公告与下载为准，采购比选文件与更正公告的内容相互矛盾时，以最后发出的更正公告内容为准。</w:t>
      </w:r>
    </w:p>
    <w:p w14:paraId="4B145033">
      <w:pPr>
        <w:keepNext w:val="0"/>
        <w:keepLines w:val="0"/>
        <w:pageBreakBefore w:val="0"/>
        <w:widowControl w:val="0"/>
        <w:kinsoku/>
        <w:wordWrap/>
        <w:overflowPunct/>
        <w:topLinePunct w:val="0"/>
        <w:autoSpaceDE/>
        <w:autoSpaceDN/>
        <w:bidi w:val="0"/>
        <w:adjustRightInd w:val="0"/>
        <w:snapToGrid w:val="0"/>
        <w:spacing w:line="400" w:lineRule="exact"/>
        <w:ind w:firstLine="422"/>
        <w:jc w:val="both"/>
        <w:textAlignment w:val="auto"/>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六、公告期限</w:t>
      </w:r>
    </w:p>
    <w:bookmarkEnd w:id="24"/>
    <w:bookmarkEnd w:id="25"/>
    <w:bookmarkEnd w:id="26"/>
    <w:bookmarkEnd w:id="27"/>
    <w:p w14:paraId="4B051020">
      <w:pPr>
        <w:spacing w:line="560" w:lineRule="exact"/>
        <w:ind w:firstLine="420" w:firstLineChars="200"/>
        <w:jc w:val="both"/>
        <w:outlineLvl w:val="1"/>
        <w:rPr>
          <w:rFonts w:hint="eastAsia" w:ascii="Times New Roman" w:hAnsi="Times New Roman" w:eastAsia="宋体" w:cs="宋体"/>
          <w:b w:val="0"/>
          <w:color w:val="auto"/>
          <w:highlight w:val="none"/>
          <w:lang w:eastAsia="zh-CN"/>
        </w:rPr>
      </w:pPr>
      <w:bookmarkStart w:id="28" w:name="_Toc35393795"/>
      <w:bookmarkStart w:id="29" w:name="_Toc35393626"/>
      <w:r>
        <w:rPr>
          <w:rFonts w:hint="eastAsia" w:ascii="Times New Roman" w:hAnsi="Times New Roman" w:eastAsia="宋体" w:cs="宋体"/>
          <w:color w:val="auto"/>
          <w:highlight w:val="none"/>
          <w:lang w:eastAsia="zh-CN"/>
        </w:rPr>
        <w:t>本项目比选公告、采购比选文件公告自本公告发布之日起不少于3个工作日，自202</w:t>
      </w:r>
      <w:r>
        <w:rPr>
          <w:rFonts w:hint="eastAsia" w:cs="宋体"/>
          <w:color w:val="auto"/>
          <w:highlight w:val="none"/>
          <w:lang w:val="en-US" w:eastAsia="zh-CN"/>
        </w:rPr>
        <w:t>5</w:t>
      </w:r>
      <w:r>
        <w:rPr>
          <w:rFonts w:hint="eastAsia" w:ascii="Times New Roman" w:hAnsi="Times New Roman" w:eastAsia="宋体" w:cs="宋体"/>
          <w:color w:val="auto"/>
          <w:highlight w:val="none"/>
          <w:lang w:eastAsia="zh-CN"/>
        </w:rPr>
        <w:t>年</w:t>
      </w:r>
      <w:r>
        <w:rPr>
          <w:rFonts w:hint="eastAsia" w:cs="宋体"/>
          <w:color w:val="auto"/>
          <w:highlight w:val="none"/>
          <w:lang w:val="en-US" w:eastAsia="zh-CN"/>
        </w:rPr>
        <w:t>8</w:t>
      </w:r>
      <w:r>
        <w:rPr>
          <w:rFonts w:hint="eastAsia" w:ascii="Times New Roman" w:hAnsi="Times New Roman" w:eastAsia="宋体" w:cs="宋体"/>
          <w:color w:val="auto"/>
          <w:highlight w:val="none"/>
          <w:lang w:eastAsia="zh-CN"/>
        </w:rPr>
        <w:t>月</w:t>
      </w:r>
      <w:r>
        <w:rPr>
          <w:rFonts w:hint="eastAsia" w:cs="宋体"/>
          <w:color w:val="auto"/>
          <w:highlight w:val="none"/>
          <w:lang w:val="en-US" w:eastAsia="zh-CN"/>
        </w:rPr>
        <w:t>6</w:t>
      </w:r>
      <w:r>
        <w:rPr>
          <w:rFonts w:hint="eastAsia" w:ascii="Times New Roman" w:hAnsi="Times New Roman" w:eastAsia="宋体" w:cs="宋体"/>
          <w:color w:val="auto"/>
          <w:highlight w:val="none"/>
          <w:lang w:eastAsia="zh-CN"/>
        </w:rPr>
        <w:t>零时起至2025年8月</w:t>
      </w:r>
      <w:r>
        <w:rPr>
          <w:rFonts w:hint="eastAsia" w:cs="宋体"/>
          <w:color w:val="auto"/>
          <w:highlight w:val="none"/>
          <w:lang w:val="en-US" w:eastAsia="zh-CN"/>
        </w:rPr>
        <w:t>11</w:t>
      </w:r>
      <w:r>
        <w:rPr>
          <w:rFonts w:hint="eastAsia" w:ascii="Times New Roman" w:hAnsi="Times New Roman" w:eastAsia="宋体" w:cs="宋体"/>
          <w:color w:val="auto"/>
          <w:highlight w:val="none"/>
          <w:lang w:eastAsia="zh-CN"/>
        </w:rPr>
        <w:t>日24时止。</w:t>
      </w:r>
    </w:p>
    <w:bookmarkEnd w:id="28"/>
    <w:bookmarkEnd w:id="29"/>
    <w:p w14:paraId="531DF523">
      <w:pPr>
        <w:pStyle w:val="11"/>
        <w:rPr>
          <w:b/>
          <w:bCs/>
          <w:color w:val="auto"/>
          <w:highlight w:val="none"/>
        </w:rPr>
      </w:pPr>
      <w:r>
        <w:rPr>
          <w:rFonts w:hint="eastAsia"/>
          <w:b/>
          <w:bCs/>
          <w:color w:val="auto"/>
          <w:highlight w:val="none"/>
        </w:rPr>
        <w:t>七、对本次招标提出询问，请按以下方式联系</w:t>
      </w:r>
      <w:bookmarkEnd w:id="20"/>
      <w:bookmarkEnd w:id="21"/>
      <w:bookmarkEnd w:id="22"/>
      <w:bookmarkEnd w:id="23"/>
    </w:p>
    <w:p w14:paraId="307DD04A">
      <w:pPr>
        <w:snapToGrid w:val="0"/>
        <w:spacing w:line="400" w:lineRule="exact"/>
        <w:ind w:firstLine="420" w:firstLineChars="200"/>
        <w:rPr>
          <w:color w:val="auto"/>
          <w:highlight w:val="none"/>
        </w:rPr>
      </w:pPr>
      <w:r>
        <w:rPr>
          <w:rFonts w:hint="eastAsia"/>
          <w:color w:val="auto"/>
          <w:highlight w:val="none"/>
        </w:rPr>
        <w:t>名称：海口江东新区管理局</w:t>
      </w:r>
    </w:p>
    <w:p w14:paraId="3907A6AD">
      <w:pPr>
        <w:snapToGrid w:val="0"/>
        <w:spacing w:line="400" w:lineRule="exact"/>
        <w:ind w:firstLine="420" w:firstLineChars="200"/>
        <w:rPr>
          <w:color w:val="auto"/>
          <w:highlight w:val="none"/>
        </w:rPr>
      </w:pPr>
      <w:r>
        <w:rPr>
          <w:rFonts w:hint="eastAsia"/>
          <w:color w:val="auto"/>
          <w:highlight w:val="none"/>
        </w:rPr>
        <w:t>地址：海口市美兰区江东大道202号江东发展大厦</w:t>
      </w:r>
    </w:p>
    <w:p w14:paraId="2F69930C">
      <w:pPr>
        <w:snapToGrid w:val="0"/>
        <w:spacing w:line="400" w:lineRule="exact"/>
        <w:ind w:firstLine="420" w:firstLineChars="200"/>
        <w:rPr>
          <w:rFonts w:hint="default"/>
          <w:color w:val="auto"/>
          <w:highlight w:val="none"/>
        </w:rPr>
      </w:pPr>
      <w:r>
        <w:rPr>
          <w:rFonts w:hint="eastAsia"/>
          <w:color w:val="auto"/>
          <w:highlight w:val="none"/>
        </w:rPr>
        <w:t>联系人：符工</w:t>
      </w:r>
      <w:r>
        <w:rPr>
          <w:rFonts w:hint="eastAsia"/>
          <w:color w:val="auto"/>
          <w:highlight w:val="none"/>
          <w:lang w:val="en-US" w:eastAsia="zh-CN"/>
        </w:rPr>
        <w:tab/>
      </w:r>
      <w:bookmarkStart w:id="108" w:name="_GoBack"/>
      <w:bookmarkEnd w:id="108"/>
    </w:p>
    <w:p w14:paraId="1BC84A12">
      <w:pPr>
        <w:snapToGrid w:val="0"/>
        <w:spacing w:line="400" w:lineRule="exact"/>
        <w:ind w:firstLine="420" w:firstLineChars="200"/>
        <w:rPr>
          <w:rFonts w:hint="default" w:eastAsia="宋体"/>
          <w:color w:val="auto"/>
          <w:highlight w:val="none"/>
          <w:lang w:val="en-US" w:eastAsia="zh-CN"/>
        </w:rPr>
      </w:pPr>
      <w:r>
        <w:rPr>
          <w:rFonts w:hint="eastAsia"/>
          <w:color w:val="auto"/>
          <w:highlight w:val="none"/>
        </w:rPr>
        <w:t>联系方式：0898-</w:t>
      </w:r>
      <w:bookmarkStart w:id="30" w:name="_Toc28359009"/>
      <w:bookmarkStart w:id="31" w:name="_Toc28359086"/>
      <w:r>
        <w:rPr>
          <w:rFonts w:hint="eastAsia"/>
          <w:color w:val="auto"/>
          <w:highlight w:val="none"/>
          <w:lang w:val="en-US" w:eastAsia="zh-CN"/>
        </w:rPr>
        <w:t>65686632</w:t>
      </w:r>
    </w:p>
    <w:bookmarkEnd w:id="30"/>
    <w:bookmarkEnd w:id="31"/>
    <w:p w14:paraId="5FC141FC">
      <w:pPr>
        <w:snapToGrid w:val="0"/>
        <w:spacing w:line="400" w:lineRule="exact"/>
        <w:ind w:firstLine="420" w:firstLineChars="200"/>
        <w:jc w:val="left"/>
        <w:rPr>
          <w:color w:val="auto"/>
          <w:highlight w:val="none"/>
        </w:rPr>
        <w:sectPr>
          <w:headerReference r:id="rId10" w:type="first"/>
          <w:footerReference r:id="rId12" w:type="first"/>
          <w:footerReference r:id="rId11" w:type="default"/>
          <w:pgSz w:w="11906" w:h="16838"/>
          <w:pgMar w:top="1440" w:right="1800" w:bottom="1440" w:left="1800" w:header="851" w:footer="992" w:gutter="0"/>
          <w:pgNumType w:fmt="decimal" w:start="1"/>
          <w:cols w:space="425" w:num="1"/>
          <w:docGrid w:type="lines" w:linePitch="312" w:charSpace="0"/>
        </w:sectPr>
      </w:pPr>
    </w:p>
    <w:p w14:paraId="40E51952">
      <w:pPr>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第二章采购需求</w:t>
      </w:r>
    </w:p>
    <w:p w14:paraId="0D52BD64">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bCs/>
          <w:color w:val="auto"/>
          <w:highlight w:val="none"/>
        </w:rPr>
        <w:t>2024 年 9 月，台风“摩羯”过境，对江东新区滨海路至海防林路段环境造成了严重破坏。具体表现为：建筑垃圾堆积，部分区域的植被被连根拔起，台风受损的枯树未能及时迁移，严重影响了区域的生态环境，给周边居民的生产生活带来了极大不便，急需尽快恢复该区域的生态环境，保障居民的正常生活。本</w:t>
      </w:r>
      <w:r>
        <w:rPr>
          <w:rFonts w:hint="eastAsia"/>
          <w:bCs/>
          <w:color w:val="auto"/>
          <w:highlight w:val="none"/>
          <w:lang w:val="en-US" w:eastAsia="zh-CN"/>
        </w:rPr>
        <w:t>项目</w:t>
      </w:r>
      <w:r>
        <w:rPr>
          <w:rFonts w:hint="eastAsia"/>
          <w:bCs/>
          <w:color w:val="auto"/>
          <w:highlight w:val="none"/>
        </w:rPr>
        <w:t>将针对海防林路</w:t>
      </w:r>
      <w:r>
        <w:rPr>
          <w:rFonts w:hint="eastAsia"/>
          <w:bCs/>
          <w:color w:val="auto"/>
          <w:highlight w:val="none"/>
          <w:lang w:val="en-US" w:eastAsia="zh-CN"/>
        </w:rPr>
        <w:t>周边</w:t>
      </w:r>
      <w:r>
        <w:rPr>
          <w:rFonts w:hint="eastAsia"/>
          <w:bCs/>
          <w:color w:val="auto"/>
          <w:highlight w:val="none"/>
        </w:rPr>
        <w:t>区域</w:t>
      </w:r>
      <w:r>
        <w:rPr>
          <w:rFonts w:hint="eastAsia"/>
          <w:bCs/>
          <w:color w:val="auto"/>
          <w:highlight w:val="none"/>
          <w:lang w:val="en-US" w:eastAsia="zh-CN"/>
        </w:rPr>
        <w:t>开展</w:t>
      </w:r>
      <w:r>
        <w:rPr>
          <w:rFonts w:hint="eastAsia"/>
          <w:bCs/>
          <w:color w:val="auto"/>
          <w:highlight w:val="none"/>
        </w:rPr>
        <w:t>垃圾及枯枝清理</w:t>
      </w:r>
      <w:r>
        <w:rPr>
          <w:rFonts w:hint="eastAsia"/>
          <w:bCs/>
          <w:color w:val="auto"/>
          <w:highlight w:val="none"/>
          <w:lang w:val="en-US" w:eastAsia="zh-CN"/>
        </w:rPr>
        <w:t>等环境整治，恢复</w:t>
      </w:r>
      <w:r>
        <w:rPr>
          <w:rFonts w:hint="eastAsia"/>
          <w:bCs/>
          <w:color w:val="auto"/>
          <w:highlight w:val="none"/>
        </w:rPr>
        <w:t>良好</w:t>
      </w:r>
      <w:r>
        <w:rPr>
          <w:rFonts w:hint="eastAsia"/>
          <w:bCs/>
          <w:color w:val="auto"/>
          <w:highlight w:val="none"/>
          <w:lang w:val="en-US" w:eastAsia="zh-CN"/>
        </w:rPr>
        <w:t>的</w:t>
      </w:r>
      <w:r>
        <w:rPr>
          <w:rFonts w:hint="eastAsia"/>
          <w:bCs/>
          <w:color w:val="auto"/>
          <w:highlight w:val="none"/>
        </w:rPr>
        <w:t>城市生态环境</w:t>
      </w:r>
    </w:p>
    <w:p w14:paraId="1B224D27">
      <w:pPr>
        <w:keepNext w:val="0"/>
        <w:keepLines w:val="0"/>
        <w:pageBreakBefore w:val="0"/>
        <w:wordWrap/>
        <w:overflowPunct/>
        <w:bidi w:val="0"/>
        <w:spacing w:line="560" w:lineRule="exact"/>
        <w:ind w:firstLine="420" w:firstLineChars="200"/>
        <w:jc w:val="both"/>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eastAsia="zh-CN"/>
        </w:rPr>
        <w:t>整治内容：对位于</w:t>
      </w:r>
      <w:r>
        <w:rPr>
          <w:rFonts w:hint="eastAsia" w:cs="宋体"/>
          <w:color w:val="auto"/>
          <w:sz w:val="21"/>
          <w:szCs w:val="21"/>
          <w:highlight w:val="none"/>
          <w:lang w:eastAsia="zh-CN"/>
        </w:rPr>
        <w:t>海南海口市</w:t>
      </w:r>
      <w:r>
        <w:rPr>
          <w:rFonts w:hint="eastAsia" w:ascii="Times New Roman" w:hAnsi="Times New Roman" w:eastAsia="宋体" w:cs="宋体"/>
          <w:color w:val="auto"/>
          <w:sz w:val="21"/>
          <w:szCs w:val="21"/>
          <w:highlight w:val="none"/>
          <w:lang w:eastAsia="zh-CN"/>
        </w:rPr>
        <w:t>江东新区海防林路</w:t>
      </w:r>
      <w:r>
        <w:rPr>
          <w:rFonts w:hint="eastAsia" w:cs="宋体"/>
          <w:color w:val="auto"/>
          <w:sz w:val="21"/>
          <w:szCs w:val="21"/>
          <w:highlight w:val="none"/>
          <w:lang w:val="en-US" w:eastAsia="zh-CN"/>
        </w:rPr>
        <w:t>周边</w:t>
      </w:r>
      <w:r>
        <w:rPr>
          <w:rFonts w:hint="eastAsia" w:ascii="Times New Roman" w:hAnsi="Times New Roman" w:eastAsia="宋体" w:cs="宋体"/>
          <w:color w:val="auto"/>
          <w:sz w:val="21"/>
          <w:szCs w:val="21"/>
          <w:highlight w:val="none"/>
          <w:lang w:eastAsia="zh-CN"/>
        </w:rPr>
        <w:t>区域</w:t>
      </w:r>
      <w:r>
        <w:rPr>
          <w:rFonts w:hint="eastAsia" w:cs="宋体"/>
          <w:color w:val="auto"/>
          <w:sz w:val="21"/>
          <w:szCs w:val="21"/>
          <w:highlight w:val="none"/>
          <w:lang w:val="en-US" w:eastAsia="zh-CN"/>
        </w:rPr>
        <w:t>开展垃圾枯枝清理等环境整治，</w:t>
      </w:r>
      <w:r>
        <w:rPr>
          <w:rFonts w:hint="eastAsia" w:cs="宋体"/>
          <w:color w:val="auto"/>
          <w:szCs w:val="21"/>
          <w:highlight w:val="none"/>
        </w:rPr>
        <w:t>本次工程垃圾清理及平整</w:t>
      </w:r>
      <w:r>
        <w:rPr>
          <w:rFonts w:hint="eastAsia" w:cs="宋体"/>
          <w:color w:val="auto"/>
          <w:szCs w:val="21"/>
          <w:highlight w:val="none"/>
          <w:lang w:val="en-US" w:eastAsia="zh-CN"/>
        </w:rPr>
        <w:t>范围约</w:t>
      </w:r>
      <w:r>
        <w:rPr>
          <w:rFonts w:hint="eastAsia" w:cs="宋体"/>
          <w:color w:val="auto"/>
          <w:szCs w:val="21"/>
          <w:highlight w:val="none"/>
        </w:rPr>
        <w:t xml:space="preserve"> 15000 平方米，清理</w:t>
      </w:r>
      <w:r>
        <w:rPr>
          <w:rFonts w:hint="eastAsia" w:cs="宋体"/>
          <w:color w:val="auto"/>
          <w:szCs w:val="21"/>
          <w:highlight w:val="none"/>
          <w:lang w:val="en-US" w:eastAsia="zh-CN"/>
        </w:rPr>
        <w:t>约</w:t>
      </w:r>
      <w:r>
        <w:rPr>
          <w:rFonts w:hint="eastAsia" w:cs="宋体"/>
          <w:color w:val="auto"/>
          <w:szCs w:val="21"/>
          <w:highlight w:val="none"/>
        </w:rPr>
        <w:t>1500 株</w:t>
      </w:r>
      <w:r>
        <w:rPr>
          <w:rFonts w:hint="eastAsia" w:cs="宋体"/>
          <w:color w:val="auto"/>
          <w:szCs w:val="21"/>
          <w:highlight w:val="none"/>
          <w:lang w:val="en-US" w:eastAsia="zh-CN"/>
        </w:rPr>
        <w:t>倒伏树木等。</w:t>
      </w:r>
    </w:p>
    <w:p w14:paraId="3A9D3267">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工期：自合同签订完成之日起</w:t>
      </w:r>
      <w:r>
        <w:rPr>
          <w:rFonts w:hint="eastAsia" w:cs="宋体"/>
          <w:color w:val="auto"/>
          <w:sz w:val="21"/>
          <w:szCs w:val="21"/>
          <w:highlight w:val="none"/>
          <w:lang w:val="en-US" w:eastAsia="zh-CN"/>
        </w:rPr>
        <w:t>15</w:t>
      </w:r>
      <w:r>
        <w:rPr>
          <w:rFonts w:hint="eastAsia" w:ascii="Times New Roman" w:hAnsi="Times New Roman" w:eastAsia="宋体" w:cs="宋体"/>
          <w:color w:val="auto"/>
          <w:sz w:val="21"/>
          <w:szCs w:val="21"/>
          <w:highlight w:val="none"/>
          <w:lang w:eastAsia="zh-CN"/>
        </w:rPr>
        <w:t>日历天。</w:t>
      </w:r>
    </w:p>
    <w:p w14:paraId="742CE02C">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质量：合格。</w:t>
      </w:r>
    </w:p>
    <w:p w14:paraId="34F5BA87">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付款方式：支付预付款后，整治内容实施完成且经甲方验收合格后，支付合同总价剩余尾款。</w:t>
      </w:r>
    </w:p>
    <w:p w14:paraId="2CF201BF">
      <w:pPr>
        <w:spacing w:line="560" w:lineRule="exact"/>
        <w:ind w:firstLine="420" w:firstLineChars="200"/>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预付款：合同总价款的30%。</w:t>
      </w:r>
    </w:p>
    <w:p w14:paraId="06782822">
      <w:pPr>
        <w:spacing w:line="560" w:lineRule="exact"/>
        <w:ind w:firstLine="0" w:firstLineChars="0"/>
        <w:rPr>
          <w:rFonts w:hint="eastAsia" w:ascii="Times New Roman" w:hAnsi="Times New Roman" w:eastAsia="宋体" w:cs="宋体"/>
          <w:color w:val="auto"/>
          <w:sz w:val="21"/>
          <w:szCs w:val="21"/>
          <w:highlight w:val="none"/>
          <w:lang w:eastAsia="zh-CN"/>
        </w:rPr>
      </w:pPr>
    </w:p>
    <w:p w14:paraId="7FE41234">
      <w:pPr>
        <w:spacing w:line="560" w:lineRule="exact"/>
        <w:ind w:firstLine="0" w:firstLineChars="0"/>
        <w:rPr>
          <w:rFonts w:hint="eastAsia" w:ascii="Times New Roman" w:hAnsi="Times New Roman" w:eastAsia="宋体" w:cs="宋体"/>
          <w:color w:val="auto"/>
          <w:sz w:val="21"/>
          <w:szCs w:val="21"/>
          <w:highlight w:val="none"/>
          <w:lang w:eastAsia="zh-CN"/>
        </w:rPr>
      </w:pPr>
    </w:p>
    <w:p w14:paraId="59B376BE">
      <w:pPr>
        <w:spacing w:line="560" w:lineRule="exact"/>
        <w:ind w:firstLine="0" w:firstLineChars="0"/>
        <w:rPr>
          <w:rFonts w:hint="eastAsia" w:ascii="Times New Roman" w:hAnsi="Times New Roman" w:eastAsia="宋体" w:cs="宋体"/>
          <w:color w:val="auto"/>
          <w:sz w:val="21"/>
          <w:szCs w:val="21"/>
          <w:highlight w:val="none"/>
          <w:lang w:eastAsia="zh-CN"/>
        </w:rPr>
      </w:pPr>
    </w:p>
    <w:p w14:paraId="199E820F">
      <w:pPr>
        <w:spacing w:line="560" w:lineRule="exact"/>
        <w:ind w:firstLine="0" w:firstLineChars="0"/>
        <w:rPr>
          <w:rFonts w:hint="eastAsia" w:ascii="Times New Roman" w:hAnsi="Times New Roman" w:eastAsia="宋体" w:cs="宋体"/>
          <w:color w:val="auto"/>
          <w:sz w:val="21"/>
          <w:szCs w:val="21"/>
          <w:highlight w:val="none"/>
          <w:lang w:eastAsia="zh-CN"/>
        </w:rPr>
      </w:pPr>
    </w:p>
    <w:p w14:paraId="3C894AA8">
      <w:pPr>
        <w:spacing w:line="560" w:lineRule="exact"/>
        <w:ind w:firstLine="0" w:firstLineChars="0"/>
        <w:rPr>
          <w:rFonts w:hint="eastAsia" w:ascii="Times New Roman" w:hAnsi="Times New Roman" w:eastAsia="宋体" w:cs="宋体"/>
          <w:color w:val="auto"/>
          <w:sz w:val="21"/>
          <w:szCs w:val="21"/>
          <w:highlight w:val="none"/>
          <w:lang w:eastAsia="zh-CN"/>
        </w:rPr>
      </w:pPr>
    </w:p>
    <w:p w14:paraId="3C8CC050">
      <w:pPr>
        <w:spacing w:line="560" w:lineRule="exact"/>
        <w:ind w:firstLine="0" w:firstLineChars="0"/>
        <w:rPr>
          <w:rFonts w:hint="eastAsia" w:ascii="Times New Roman" w:hAnsi="Times New Roman" w:eastAsia="宋体" w:cs="宋体"/>
          <w:color w:val="auto"/>
          <w:sz w:val="21"/>
          <w:szCs w:val="21"/>
          <w:highlight w:val="none"/>
          <w:lang w:eastAsia="zh-CN"/>
        </w:rPr>
      </w:pPr>
    </w:p>
    <w:p w14:paraId="476F8A96">
      <w:pPr>
        <w:spacing w:line="560" w:lineRule="exact"/>
        <w:ind w:firstLine="0" w:firstLineChars="0"/>
        <w:rPr>
          <w:rFonts w:hint="eastAsia" w:ascii="Times New Roman" w:hAnsi="Times New Roman" w:eastAsia="宋体" w:cs="宋体"/>
          <w:color w:val="auto"/>
          <w:sz w:val="21"/>
          <w:szCs w:val="21"/>
          <w:highlight w:val="none"/>
          <w:lang w:eastAsia="zh-CN"/>
        </w:rPr>
      </w:pPr>
    </w:p>
    <w:p w14:paraId="5FA35266">
      <w:pPr>
        <w:spacing w:line="560" w:lineRule="exact"/>
        <w:ind w:firstLine="0" w:firstLineChars="0"/>
        <w:rPr>
          <w:rFonts w:hint="eastAsia" w:ascii="Times New Roman" w:hAnsi="Times New Roman" w:eastAsia="宋体" w:cs="宋体"/>
          <w:color w:val="auto"/>
          <w:sz w:val="21"/>
          <w:szCs w:val="21"/>
          <w:highlight w:val="none"/>
          <w:lang w:eastAsia="zh-CN"/>
        </w:rPr>
      </w:pPr>
    </w:p>
    <w:p w14:paraId="38899048">
      <w:pPr>
        <w:spacing w:line="560" w:lineRule="exact"/>
        <w:ind w:firstLine="0" w:firstLineChars="0"/>
        <w:rPr>
          <w:rFonts w:hint="eastAsia" w:ascii="Times New Roman" w:hAnsi="Times New Roman" w:eastAsia="宋体" w:cs="宋体"/>
          <w:color w:val="auto"/>
          <w:sz w:val="21"/>
          <w:szCs w:val="21"/>
          <w:highlight w:val="none"/>
          <w:lang w:eastAsia="zh-CN"/>
        </w:rPr>
      </w:pPr>
    </w:p>
    <w:p w14:paraId="2DFE27FF">
      <w:pPr>
        <w:pStyle w:val="15"/>
        <w:rPr>
          <w:rFonts w:hint="eastAsia"/>
          <w:color w:val="auto"/>
          <w:highlight w:val="none"/>
          <w:lang w:eastAsia="zh-CN"/>
        </w:rPr>
      </w:pPr>
    </w:p>
    <w:p w14:paraId="15A22608">
      <w:pPr>
        <w:spacing w:line="560" w:lineRule="exact"/>
        <w:ind w:firstLine="0" w:firstLineChars="0"/>
        <w:rPr>
          <w:rFonts w:hint="eastAsia" w:ascii="Times New Roman" w:hAnsi="Times New Roman" w:eastAsia="宋体" w:cs="宋体"/>
          <w:color w:val="auto"/>
          <w:sz w:val="21"/>
          <w:szCs w:val="21"/>
          <w:highlight w:val="none"/>
          <w:lang w:eastAsia="zh-CN"/>
        </w:rPr>
      </w:pPr>
    </w:p>
    <w:p w14:paraId="23DA3B87">
      <w:pPr>
        <w:adjustRightInd w:val="0"/>
        <w:snapToGrid w:val="0"/>
        <w:spacing w:line="360" w:lineRule="auto"/>
        <w:ind w:firstLine="422"/>
        <w:jc w:val="center"/>
        <w:rPr>
          <w:b/>
          <w:bCs/>
          <w:color w:val="auto"/>
          <w:highlight w:val="none"/>
        </w:rPr>
      </w:pPr>
      <w:r>
        <w:rPr>
          <w:rFonts w:hint="eastAsia"/>
          <w:b/>
          <w:bCs/>
          <w:color w:val="auto"/>
          <w:highlight w:val="none"/>
        </w:rPr>
        <w:t>第三章供应商须知</w:t>
      </w:r>
    </w:p>
    <w:p w14:paraId="39FED4B3">
      <w:pPr>
        <w:adjustRightInd w:val="0"/>
        <w:snapToGrid w:val="0"/>
        <w:spacing w:before="120" w:after="240" w:line="360" w:lineRule="auto"/>
        <w:ind w:firstLine="422"/>
        <w:jc w:val="center"/>
        <w:rPr>
          <w:color w:val="auto"/>
          <w:highlight w:val="none"/>
        </w:rPr>
      </w:pPr>
      <w:r>
        <w:rPr>
          <w:rFonts w:hint="eastAsia"/>
          <w:color w:val="auto"/>
          <w:highlight w:val="none"/>
        </w:rPr>
        <w:t>供应商须知前附表</w:t>
      </w:r>
    </w:p>
    <w:tbl>
      <w:tblPr>
        <w:tblStyle w:val="20"/>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4ADFD6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1BAD7086">
            <w:pPr>
              <w:pStyle w:val="36"/>
              <w:autoSpaceDE/>
              <w:autoSpaceDN/>
              <w:snapToGrid w:val="0"/>
              <w:spacing w:line="400" w:lineRule="exact"/>
              <w:ind w:left="9"/>
              <w:jc w:val="center"/>
              <w:rPr>
                <w:rFonts w:asciiTheme="minorEastAsia" w:hAnsiTheme="minorEastAsia" w:eastAsiaTheme="minorEastAsia" w:cstheme="minorEastAsia"/>
                <w:b/>
                <w:color w:val="auto"/>
                <w:sz w:val="21"/>
                <w:szCs w:val="21"/>
                <w:highlight w:val="none"/>
                <w:lang w:val="zh-CN"/>
              </w:rPr>
            </w:pPr>
            <w:bookmarkStart w:id="32" w:name="_Toc246826106"/>
            <w:r>
              <w:rPr>
                <w:rFonts w:hint="eastAsia" w:asciiTheme="minorEastAsia" w:hAnsiTheme="minorEastAsia" w:eastAsiaTheme="minorEastAsia" w:cstheme="minorEastAsia"/>
                <w:b/>
                <w:color w:val="auto"/>
                <w:sz w:val="21"/>
                <w:szCs w:val="21"/>
                <w:highlight w:val="none"/>
                <w:lang w:val="zh-CN"/>
              </w:rPr>
              <w:t>序号</w:t>
            </w:r>
          </w:p>
        </w:tc>
        <w:tc>
          <w:tcPr>
            <w:tcW w:w="2435" w:type="dxa"/>
            <w:tcBorders>
              <w:top w:val="single" w:color="auto" w:sz="18" w:space="0"/>
              <w:left w:val="single" w:color="auto" w:sz="4" w:space="0"/>
              <w:bottom w:val="single" w:color="auto" w:sz="8" w:space="0"/>
              <w:right w:val="single" w:color="auto" w:sz="8" w:space="0"/>
            </w:tcBorders>
            <w:vAlign w:val="center"/>
          </w:tcPr>
          <w:p w14:paraId="0740F457">
            <w:pPr>
              <w:pStyle w:val="36"/>
              <w:autoSpaceDE/>
              <w:autoSpaceDN/>
              <w:snapToGrid w:val="0"/>
              <w:spacing w:line="400" w:lineRule="exact"/>
              <w:jc w:val="center"/>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条款名称</w:t>
            </w:r>
          </w:p>
        </w:tc>
        <w:tc>
          <w:tcPr>
            <w:tcW w:w="5220" w:type="dxa"/>
            <w:tcBorders>
              <w:top w:val="single" w:color="auto" w:sz="18" w:space="0"/>
              <w:left w:val="single" w:color="auto" w:sz="8" w:space="0"/>
              <w:bottom w:val="single" w:color="auto" w:sz="8" w:space="0"/>
              <w:right w:val="single" w:color="auto" w:sz="18" w:space="0"/>
            </w:tcBorders>
            <w:vAlign w:val="center"/>
          </w:tcPr>
          <w:p w14:paraId="0E32493D">
            <w:pPr>
              <w:pStyle w:val="36"/>
              <w:autoSpaceDE/>
              <w:autoSpaceDN/>
              <w:snapToGrid w:val="0"/>
              <w:spacing w:line="400" w:lineRule="exact"/>
              <w:jc w:val="center"/>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说明和要求</w:t>
            </w:r>
          </w:p>
        </w:tc>
      </w:tr>
      <w:tr w14:paraId="36A1BB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1C492590">
            <w:pPr>
              <w:pStyle w:val="36"/>
              <w:autoSpaceDE/>
              <w:autoSpaceDN/>
              <w:snapToGrid w:val="0"/>
              <w:spacing w:line="400" w:lineRule="exact"/>
              <w:jc w:val="center"/>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660F246D">
            <w:pPr>
              <w:adjustRightInd w:val="0"/>
              <w:snapToGrid w:val="0"/>
              <w:spacing w:line="400" w:lineRule="exact"/>
              <w:ind w:left="105" w:leftChars="50"/>
              <w:rPr>
                <w:color w:val="auto"/>
                <w:highlight w:val="none"/>
                <w:lang w:val="zh-CN"/>
              </w:rPr>
            </w:pPr>
            <w:r>
              <w:rPr>
                <w:rFonts w:hint="eastAsia"/>
                <w:color w:val="auto"/>
                <w:highlight w:val="none"/>
                <w:lang w:val="zh-CN"/>
              </w:rPr>
              <w:t>有无带</w:t>
            </w:r>
            <w:r>
              <w:rPr>
                <w:rFonts w:hint="eastAsia"/>
                <w:color w:val="auto"/>
                <w:highlight w:val="none"/>
              </w:rPr>
              <w:t>★</w:t>
            </w:r>
            <w:r>
              <w:rPr>
                <w:rFonts w:hint="eastAsia"/>
                <w:color w:val="auto"/>
                <w:highlight w:val="none"/>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7336F0CB">
            <w:pPr>
              <w:adjustRightInd w:val="0"/>
              <w:snapToGrid w:val="0"/>
              <w:spacing w:line="400" w:lineRule="exact"/>
              <w:ind w:left="105" w:leftChars="50"/>
              <w:rPr>
                <w:color w:val="auto"/>
                <w:highlight w:val="none"/>
              </w:rPr>
            </w:pPr>
            <w:r>
              <w:rPr>
                <w:rFonts w:hint="eastAsia"/>
                <w:color w:val="auto"/>
                <w:highlight w:val="none"/>
                <w:lang w:val="zh-CN"/>
              </w:rPr>
              <w:t>（</w:t>
            </w:r>
            <w:r>
              <w:rPr>
                <w:rFonts w:hint="eastAsia"/>
                <w:color w:val="auto"/>
                <w:highlight w:val="none"/>
              </w:rPr>
              <w:t>无</w:t>
            </w:r>
            <w:r>
              <w:rPr>
                <w:rFonts w:hint="eastAsia"/>
                <w:color w:val="auto"/>
                <w:highlight w:val="none"/>
                <w:lang w:eastAsia="zh-CN"/>
              </w:rPr>
              <w:t>）</w:t>
            </w:r>
          </w:p>
          <w:p w14:paraId="5C58C52E">
            <w:pPr>
              <w:adjustRightInd w:val="0"/>
              <w:snapToGrid w:val="0"/>
              <w:spacing w:line="400" w:lineRule="exact"/>
              <w:ind w:left="105" w:leftChars="50"/>
              <w:rPr>
                <w:color w:val="auto"/>
                <w:highlight w:val="none"/>
              </w:rPr>
            </w:pPr>
            <w:r>
              <w:rPr>
                <w:rFonts w:hint="eastAsia"/>
                <w:color w:val="auto"/>
                <w:highlight w:val="none"/>
                <w:lang w:val="zh-CN"/>
              </w:rPr>
              <w:t>有，</w:t>
            </w:r>
            <w:r>
              <w:rPr>
                <w:rFonts w:hint="eastAsia"/>
                <w:color w:val="auto"/>
                <w:highlight w:val="none"/>
              </w:rPr>
              <w:t>带</w:t>
            </w:r>
            <w:r>
              <w:rPr>
                <w:rFonts w:hint="eastAsia"/>
                <w:color w:val="auto"/>
                <w:highlight w:val="none"/>
                <w:lang w:val="zh-CN"/>
              </w:rPr>
              <w:t>★</w:t>
            </w:r>
            <w:r>
              <w:rPr>
                <w:rFonts w:hint="eastAsia"/>
                <w:color w:val="auto"/>
                <w:highlight w:val="none"/>
              </w:rPr>
              <w:t>的是实质性要求，供应商</w:t>
            </w:r>
            <w:r>
              <w:rPr>
                <w:rFonts w:hint="eastAsia"/>
                <w:color w:val="auto"/>
                <w:highlight w:val="none"/>
                <w:lang w:val="zh-CN"/>
              </w:rPr>
              <w:t>必须做出实质性响应满足或优于采购文件的要求，否则视为无效</w:t>
            </w:r>
            <w:r>
              <w:rPr>
                <w:rFonts w:hint="eastAsia"/>
                <w:color w:val="auto"/>
                <w:highlight w:val="none"/>
              </w:rPr>
              <w:t>响应</w:t>
            </w:r>
            <w:r>
              <w:rPr>
                <w:rFonts w:hint="eastAsia"/>
                <w:color w:val="auto"/>
                <w:highlight w:val="none"/>
                <w:lang w:val="zh-CN"/>
              </w:rPr>
              <w:t>。</w:t>
            </w:r>
          </w:p>
        </w:tc>
      </w:tr>
      <w:tr w14:paraId="168FCF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79F0D2C9">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74E5B25D">
            <w:pPr>
              <w:adjustRightInd w:val="0"/>
              <w:snapToGrid w:val="0"/>
              <w:spacing w:line="400" w:lineRule="exact"/>
              <w:ind w:left="105" w:leftChars="50"/>
              <w:jc w:val="left"/>
              <w:rPr>
                <w:color w:val="auto"/>
                <w:highlight w:val="none"/>
              </w:rPr>
            </w:pPr>
            <w:r>
              <w:rPr>
                <w:rFonts w:hint="eastAsia"/>
                <w:color w:val="auto"/>
                <w:highlight w:val="none"/>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0CA7FCAD">
            <w:pPr>
              <w:adjustRightInd w:val="0"/>
              <w:snapToGrid w:val="0"/>
              <w:spacing w:line="400" w:lineRule="exact"/>
              <w:ind w:left="105" w:leftChars="50"/>
              <w:rPr>
                <w:color w:val="auto"/>
                <w:highlight w:val="none"/>
                <w:lang w:val="zh-CN"/>
              </w:rPr>
            </w:pPr>
            <w:r>
              <w:rPr>
                <w:rFonts w:hint="eastAsia"/>
                <w:color w:val="auto"/>
                <w:highlight w:val="none"/>
                <w:lang w:val="zh-CN"/>
              </w:rPr>
              <w:t>不组织</w:t>
            </w:r>
          </w:p>
        </w:tc>
      </w:tr>
      <w:tr w14:paraId="081FD2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420D5A8A">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794F01FD">
            <w:pPr>
              <w:pStyle w:val="36"/>
              <w:autoSpaceDE/>
              <w:autoSpaceDN/>
              <w:snapToGrid w:val="0"/>
              <w:spacing w:line="400" w:lineRule="exact"/>
              <w:ind w:left="105" w:leftChars="5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0B17D9E6">
            <w:pPr>
              <w:adjustRightInd w:val="0"/>
              <w:snapToGrid w:val="0"/>
              <w:spacing w:line="400" w:lineRule="exact"/>
              <w:ind w:left="105" w:leftChars="50"/>
              <w:rPr>
                <w:color w:val="auto"/>
                <w:kern w:val="0"/>
                <w:highlight w:val="none"/>
                <w:lang w:val="zh-CN"/>
              </w:rPr>
            </w:pPr>
            <w:r>
              <w:rPr>
                <w:rFonts w:hint="eastAsia"/>
                <w:color w:val="auto"/>
                <w:highlight w:val="none"/>
              </w:rPr>
              <w:t>无</w:t>
            </w:r>
          </w:p>
        </w:tc>
      </w:tr>
      <w:tr w14:paraId="3752F9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1C347E0E">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5</w:t>
            </w:r>
          </w:p>
        </w:tc>
        <w:tc>
          <w:tcPr>
            <w:tcW w:w="2435" w:type="dxa"/>
            <w:tcBorders>
              <w:top w:val="single" w:color="auto" w:sz="8" w:space="0"/>
              <w:left w:val="single" w:color="auto" w:sz="4" w:space="0"/>
              <w:bottom w:val="single" w:color="auto" w:sz="8" w:space="0"/>
              <w:right w:val="single" w:color="auto" w:sz="8" w:space="0"/>
            </w:tcBorders>
            <w:vAlign w:val="center"/>
          </w:tcPr>
          <w:p w14:paraId="2D8EDB9B">
            <w:pPr>
              <w:pStyle w:val="36"/>
              <w:autoSpaceDE/>
              <w:autoSpaceDN/>
              <w:snapToGrid w:val="0"/>
              <w:spacing w:line="400" w:lineRule="exact"/>
              <w:ind w:left="105" w:leftChars="50"/>
              <w:jc w:val="both"/>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14:paraId="21FB76B9">
            <w:pPr>
              <w:widowControl/>
              <w:tabs>
                <w:tab w:val="left" w:pos="425"/>
              </w:tabs>
              <w:spacing w:line="400" w:lineRule="exact"/>
              <w:ind w:left="210" w:leftChars="100"/>
              <w:jc w:val="left"/>
              <w:rPr>
                <w:rFonts w:asciiTheme="minorEastAsia" w:hAnsiTheme="minorEastAsia" w:eastAsiaTheme="minorEastAsia" w:cstheme="minorEastAsia"/>
                <w:color w:val="auto"/>
                <w:highlight w:val="none"/>
              </w:rPr>
            </w:pPr>
            <w:r>
              <w:rPr>
                <w:rFonts w:hint="eastAsia"/>
                <w:color w:val="auto"/>
                <w:highlight w:val="none"/>
                <w:lang w:val="zh-CN"/>
              </w:rPr>
              <w:t>不接受</w:t>
            </w:r>
          </w:p>
        </w:tc>
      </w:tr>
      <w:tr w14:paraId="5B410D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6420E6EA">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6</w:t>
            </w:r>
          </w:p>
        </w:tc>
        <w:tc>
          <w:tcPr>
            <w:tcW w:w="2435" w:type="dxa"/>
            <w:tcBorders>
              <w:top w:val="single" w:color="auto" w:sz="8" w:space="0"/>
              <w:left w:val="single" w:color="auto" w:sz="4" w:space="0"/>
              <w:bottom w:val="single" w:color="auto" w:sz="8" w:space="0"/>
              <w:right w:val="single" w:color="auto" w:sz="8" w:space="0"/>
            </w:tcBorders>
            <w:vAlign w:val="center"/>
          </w:tcPr>
          <w:p w14:paraId="680EA6EA">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3AB1371F">
            <w:pPr>
              <w:widowControl/>
              <w:tabs>
                <w:tab w:val="left" w:pos="425"/>
              </w:tabs>
              <w:spacing w:line="400" w:lineRule="exact"/>
              <w:ind w:left="210" w:leftChars="100"/>
              <w:jc w:val="left"/>
              <w:rPr>
                <w:color w:val="auto"/>
                <w:highlight w:val="none"/>
                <w:lang w:val="zh-CN"/>
              </w:rPr>
            </w:pPr>
            <w:r>
              <w:rPr>
                <w:rFonts w:hint="eastAsia"/>
                <w:color w:val="auto"/>
                <w:highlight w:val="none"/>
              </w:rPr>
              <w:t>1</w:t>
            </w:r>
            <w:r>
              <w:rPr>
                <w:rFonts w:hint="eastAsia"/>
                <w:color w:val="auto"/>
                <w:highlight w:val="none"/>
                <w:lang w:val="zh-CN"/>
              </w:rPr>
              <w:t>、</w:t>
            </w:r>
            <w:r>
              <w:rPr>
                <w:rFonts w:hint="eastAsia"/>
                <w:color w:val="auto"/>
                <w:highlight w:val="none"/>
              </w:rPr>
              <w:t>响应</w:t>
            </w:r>
            <w:r>
              <w:rPr>
                <w:rFonts w:hint="eastAsia"/>
                <w:color w:val="auto"/>
                <w:highlight w:val="none"/>
                <w:lang w:val="zh-CN"/>
              </w:rPr>
              <w:t>声明函；</w:t>
            </w:r>
          </w:p>
          <w:p w14:paraId="4AE40895">
            <w:pPr>
              <w:widowControl/>
              <w:tabs>
                <w:tab w:val="left" w:pos="425"/>
              </w:tabs>
              <w:spacing w:line="400" w:lineRule="exact"/>
              <w:ind w:left="210" w:leftChars="100"/>
              <w:jc w:val="left"/>
              <w:rPr>
                <w:color w:val="auto"/>
                <w:highlight w:val="none"/>
                <w:lang w:val="zh-CN"/>
              </w:rPr>
            </w:pPr>
            <w:r>
              <w:rPr>
                <w:rFonts w:hint="eastAsia"/>
                <w:color w:val="auto"/>
                <w:highlight w:val="none"/>
                <w:lang w:val="zh-CN"/>
              </w:rPr>
              <w:t>2、法定代表人授权委托书（提供委托代理人的身份证复印件，非中国国籍的则提供护照复印件）（非法定代表人签署响应文件适用）；</w:t>
            </w:r>
          </w:p>
          <w:p w14:paraId="10FB6499">
            <w:pPr>
              <w:widowControl/>
              <w:tabs>
                <w:tab w:val="left" w:pos="425"/>
              </w:tabs>
              <w:spacing w:line="400" w:lineRule="exact"/>
              <w:ind w:left="210" w:leftChars="100"/>
              <w:jc w:val="left"/>
              <w:rPr>
                <w:color w:val="auto"/>
                <w:highlight w:val="none"/>
                <w:lang w:val="zh-CN"/>
              </w:rPr>
            </w:pPr>
            <w:r>
              <w:rPr>
                <w:rFonts w:hint="eastAsia"/>
                <w:color w:val="auto"/>
                <w:highlight w:val="none"/>
                <w:lang w:val="zh-CN"/>
              </w:rPr>
              <w:t>3、法定代表人身份证明书（提供法定代表人身份证复印件，非中国国籍的则提供护照复印件）；</w:t>
            </w:r>
          </w:p>
          <w:p w14:paraId="566B017D">
            <w:pPr>
              <w:widowControl/>
              <w:tabs>
                <w:tab w:val="left" w:pos="425"/>
              </w:tabs>
              <w:snapToGrid w:val="0"/>
              <w:spacing w:line="400" w:lineRule="exact"/>
              <w:ind w:left="210" w:leftChars="100"/>
              <w:rPr>
                <w:color w:val="auto"/>
                <w:highlight w:val="none"/>
                <w:lang w:val="zh-CN"/>
              </w:rPr>
            </w:pPr>
            <w:r>
              <w:rPr>
                <w:rFonts w:hint="eastAsia"/>
                <w:color w:val="auto"/>
                <w:highlight w:val="none"/>
                <w:lang w:val="zh-CN"/>
              </w:rPr>
              <w:t>4、提供营业执照副本或事业单位法人证书（事业单位）或执业许可证（非企业专业服务机构）的复印件；如果供应商为自然人的则提供身份证复印件；</w:t>
            </w:r>
          </w:p>
          <w:p w14:paraId="7DB19925">
            <w:pPr>
              <w:widowControl/>
              <w:tabs>
                <w:tab w:val="left" w:pos="425"/>
              </w:tabs>
              <w:snapToGrid w:val="0"/>
              <w:spacing w:line="400" w:lineRule="exact"/>
              <w:ind w:left="210" w:leftChars="100"/>
              <w:rPr>
                <w:rFonts w:ascii="宋体" w:hAnsi="宋体" w:cs="宋体"/>
                <w:color w:val="auto"/>
                <w:highlight w:val="none"/>
                <w:lang w:val="zh-CN"/>
              </w:rPr>
            </w:pPr>
            <w:r>
              <w:rPr>
                <w:rFonts w:hint="eastAsia" w:ascii="宋体" w:hAnsi="宋体" w:cs="宋体"/>
                <w:color w:val="auto"/>
                <w:highlight w:val="none"/>
                <w:lang w:val="zh-CN"/>
              </w:rPr>
              <w:t>5、</w:t>
            </w:r>
            <w:r>
              <w:rPr>
                <w:rFonts w:hint="eastAsia"/>
                <w:color w:val="auto"/>
                <w:highlight w:val="none"/>
              </w:rPr>
              <w:t>具有良好的商业信誉和健全的财务会计制度、具有履行合同所必需的设备和专业技术能力</w:t>
            </w:r>
            <w:r>
              <w:rPr>
                <w:rFonts w:hint="eastAsia"/>
                <w:color w:val="auto"/>
                <w:highlight w:val="none"/>
                <w:lang w:eastAsia="zh-CN"/>
              </w:rPr>
              <w:t>、具</w:t>
            </w:r>
            <w:r>
              <w:rPr>
                <w:rFonts w:hint="eastAsia"/>
                <w:color w:val="auto"/>
                <w:highlight w:val="none"/>
              </w:rPr>
              <w:t>有依法缴纳税收和社会保障资金的良好记录及参加政府采购活动前三年内，在经营活动中没有重大违法记录的资格承诺函（详见格式6）；</w:t>
            </w:r>
          </w:p>
          <w:p w14:paraId="14476B2E">
            <w:pPr>
              <w:widowControl/>
              <w:tabs>
                <w:tab w:val="left" w:pos="425"/>
              </w:tabs>
              <w:snapToGrid w:val="0"/>
              <w:spacing w:line="400" w:lineRule="exact"/>
              <w:ind w:left="210" w:leftChars="100"/>
              <w:rPr>
                <w:color w:val="auto"/>
                <w:highlight w:val="none"/>
                <w:lang w:val="zh-CN"/>
              </w:rPr>
            </w:pPr>
            <w:r>
              <w:rPr>
                <w:rFonts w:hint="eastAsia"/>
                <w:color w:val="auto"/>
                <w:highlight w:val="none"/>
              </w:rPr>
              <w:t>6</w:t>
            </w:r>
            <w:r>
              <w:rPr>
                <w:rFonts w:hint="eastAsia"/>
                <w:color w:val="auto"/>
                <w:highlight w:val="none"/>
                <w:lang w:val="zh-CN"/>
              </w:rPr>
              <w:t>、资格审查及符合性审查要求提供的其他资料（详见资格审查表及符合性审查表要求）；</w:t>
            </w:r>
          </w:p>
          <w:p w14:paraId="7D0B0FBE">
            <w:pPr>
              <w:widowControl/>
              <w:tabs>
                <w:tab w:val="left" w:pos="425"/>
              </w:tabs>
              <w:snapToGrid w:val="0"/>
              <w:spacing w:line="400" w:lineRule="exact"/>
              <w:ind w:left="210" w:leftChars="100"/>
              <w:rPr>
                <w:color w:val="auto"/>
                <w:highlight w:val="none"/>
                <w:lang w:val="zh-CN"/>
              </w:rPr>
            </w:pPr>
            <w:r>
              <w:rPr>
                <w:rFonts w:hint="eastAsia"/>
                <w:color w:val="auto"/>
                <w:highlight w:val="none"/>
              </w:rPr>
              <w:t>7</w:t>
            </w:r>
            <w:r>
              <w:rPr>
                <w:rFonts w:hint="eastAsia"/>
                <w:color w:val="auto"/>
                <w:highlight w:val="none"/>
                <w:lang w:val="zh-CN"/>
              </w:rPr>
              <w:t>、评审标准要求提供的其他资料（详见评审细则要求）；</w:t>
            </w:r>
          </w:p>
          <w:p w14:paraId="5DC44CA8">
            <w:pPr>
              <w:adjustRightInd w:val="0"/>
              <w:snapToGrid w:val="0"/>
              <w:spacing w:line="400" w:lineRule="exact"/>
              <w:ind w:left="210" w:leftChars="100"/>
              <w:jc w:val="left"/>
              <w:rPr>
                <w:rFonts w:asciiTheme="minorEastAsia" w:hAnsiTheme="minorEastAsia" w:eastAsiaTheme="minorEastAsia" w:cstheme="minorEastAsia"/>
                <w:color w:val="auto"/>
                <w:highlight w:val="none"/>
                <w:lang w:val="zh-CN"/>
              </w:rPr>
            </w:pPr>
            <w:r>
              <w:rPr>
                <w:rFonts w:hint="eastAsia"/>
                <w:color w:val="auto"/>
                <w:highlight w:val="none"/>
              </w:rPr>
              <w:t>8</w:t>
            </w:r>
            <w:r>
              <w:rPr>
                <w:rFonts w:hint="eastAsia"/>
                <w:color w:val="auto"/>
                <w:highlight w:val="none"/>
                <w:lang w:val="zh-CN"/>
              </w:rPr>
              <w:t>、供应商认为需要提供的其他资格证明文件和商务资料。</w:t>
            </w:r>
          </w:p>
        </w:tc>
      </w:tr>
      <w:tr w14:paraId="5454DF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5E6D833A">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7</w:t>
            </w:r>
          </w:p>
        </w:tc>
        <w:tc>
          <w:tcPr>
            <w:tcW w:w="2435" w:type="dxa"/>
            <w:tcBorders>
              <w:top w:val="single" w:color="auto" w:sz="8" w:space="0"/>
              <w:left w:val="single" w:color="auto" w:sz="4" w:space="0"/>
              <w:bottom w:val="single" w:color="auto" w:sz="8" w:space="0"/>
              <w:right w:val="single" w:color="auto" w:sz="8" w:space="0"/>
            </w:tcBorders>
            <w:vAlign w:val="center"/>
          </w:tcPr>
          <w:p w14:paraId="53C34231">
            <w:pPr>
              <w:adjustRightInd w:val="0"/>
              <w:snapToGrid w:val="0"/>
              <w:spacing w:line="400" w:lineRule="exact"/>
              <w:ind w:left="105" w:leftChars="50"/>
              <w:jc w:val="left"/>
              <w:rPr>
                <w:color w:val="auto"/>
                <w:highlight w:val="none"/>
              </w:rPr>
            </w:pPr>
            <w:r>
              <w:rPr>
                <w:rFonts w:hint="eastAsia"/>
                <w:color w:val="auto"/>
                <w:highlight w:val="none"/>
                <w:lang w:val="zh-CN"/>
              </w:rPr>
              <w:t>本项目要求供应商</w:t>
            </w:r>
            <w:r>
              <w:rPr>
                <w:rFonts w:hint="eastAsia"/>
                <w:color w:val="auto"/>
                <w:kern w:val="0"/>
                <w:highlight w:val="none"/>
                <w:lang w:val="zh-CN"/>
              </w:rPr>
              <w:t>提供的</w:t>
            </w:r>
            <w:r>
              <w:rPr>
                <w:rFonts w:hint="eastAsia"/>
                <w:color w:val="auto"/>
                <w:kern w:val="0"/>
                <w:highlight w:val="none"/>
              </w:rPr>
              <w:t>响应</w:t>
            </w:r>
            <w:r>
              <w:rPr>
                <w:rFonts w:hint="eastAsia"/>
                <w:color w:val="auto"/>
                <w:highlight w:val="none"/>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56E6EB80">
            <w:pPr>
              <w:adjustRightInd w:val="0"/>
              <w:snapToGrid w:val="0"/>
              <w:spacing w:line="400" w:lineRule="exact"/>
              <w:ind w:left="105" w:leftChars="50"/>
              <w:rPr>
                <w:color w:val="auto"/>
                <w:highlight w:val="none"/>
                <w:lang w:val="zh-CN"/>
              </w:rPr>
            </w:pPr>
            <w:r>
              <w:rPr>
                <w:rFonts w:hint="eastAsia"/>
                <w:color w:val="auto"/>
                <w:highlight w:val="none"/>
              </w:rPr>
              <w:t>1、</w:t>
            </w:r>
            <w:r>
              <w:rPr>
                <w:rFonts w:hint="eastAsia"/>
                <w:color w:val="auto"/>
                <w:highlight w:val="none"/>
                <w:lang w:val="zh-CN"/>
              </w:rPr>
              <w:t>开标一览表</w:t>
            </w:r>
          </w:p>
          <w:p w14:paraId="2FAD5D46">
            <w:pPr>
              <w:adjustRightInd w:val="0"/>
              <w:snapToGrid w:val="0"/>
              <w:spacing w:line="400" w:lineRule="exact"/>
              <w:ind w:left="105" w:leftChars="50"/>
              <w:rPr>
                <w:color w:val="auto"/>
                <w:highlight w:val="none"/>
                <w:lang w:val="zh-CN"/>
              </w:rPr>
            </w:pPr>
            <w:r>
              <w:rPr>
                <w:rFonts w:hint="eastAsia"/>
                <w:color w:val="auto"/>
                <w:highlight w:val="none"/>
              </w:rPr>
              <w:t>2、响应</w:t>
            </w:r>
            <w:r>
              <w:rPr>
                <w:rFonts w:hint="eastAsia"/>
                <w:color w:val="auto"/>
                <w:highlight w:val="none"/>
                <w:lang w:val="zh-CN"/>
              </w:rPr>
              <w:t>报价明细表</w:t>
            </w:r>
          </w:p>
        </w:tc>
      </w:tr>
      <w:tr w14:paraId="2414EC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37D518DC">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8</w:t>
            </w:r>
          </w:p>
        </w:tc>
        <w:tc>
          <w:tcPr>
            <w:tcW w:w="2435" w:type="dxa"/>
            <w:tcBorders>
              <w:top w:val="single" w:color="auto" w:sz="8" w:space="0"/>
              <w:left w:val="single" w:color="auto" w:sz="4" w:space="0"/>
              <w:bottom w:val="single" w:color="auto" w:sz="8" w:space="0"/>
              <w:right w:val="single" w:color="auto" w:sz="8" w:space="0"/>
            </w:tcBorders>
            <w:vAlign w:val="center"/>
          </w:tcPr>
          <w:p w14:paraId="70554F13">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响应</w:t>
            </w:r>
            <w:r>
              <w:rPr>
                <w:rFonts w:hint="eastAsia" w:asciiTheme="minorEastAsia" w:hAnsiTheme="minorEastAsia" w:eastAsiaTheme="minorEastAsia" w:cstheme="minorEastAsia"/>
                <w:bCs/>
                <w:color w:val="auto"/>
                <w:sz w:val="21"/>
                <w:szCs w:val="21"/>
                <w:highlight w:val="none"/>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4CBB08E">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自响应文件递交截止之日起90天。</w:t>
            </w:r>
          </w:p>
        </w:tc>
      </w:tr>
      <w:tr w14:paraId="3D7FF3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6D449865">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9</w:t>
            </w:r>
          </w:p>
        </w:tc>
        <w:tc>
          <w:tcPr>
            <w:tcW w:w="2435" w:type="dxa"/>
            <w:tcBorders>
              <w:top w:val="single" w:color="auto" w:sz="8" w:space="0"/>
              <w:left w:val="single" w:color="auto" w:sz="4" w:space="0"/>
              <w:bottom w:val="single" w:color="auto" w:sz="8" w:space="0"/>
              <w:right w:val="single" w:color="auto" w:sz="8" w:space="0"/>
            </w:tcBorders>
            <w:vAlign w:val="center"/>
          </w:tcPr>
          <w:p w14:paraId="0B929286">
            <w:pPr>
              <w:pStyle w:val="36"/>
              <w:autoSpaceDE/>
              <w:autoSpaceDN/>
              <w:snapToGrid w:val="0"/>
              <w:spacing w:line="400" w:lineRule="exact"/>
              <w:ind w:left="105" w:leftChars="50"/>
              <w:rPr>
                <w:bCs/>
                <w:color w:val="auto"/>
                <w:kern w:val="2"/>
                <w:sz w:val="21"/>
                <w:szCs w:val="21"/>
                <w:highlight w:val="none"/>
              </w:rPr>
            </w:pPr>
            <w:r>
              <w:rPr>
                <w:rFonts w:hint="eastAsia"/>
                <w:bCs/>
                <w:color w:val="auto"/>
                <w:kern w:val="2"/>
                <w:sz w:val="21"/>
                <w:szCs w:val="21"/>
                <w:highlight w:val="none"/>
                <w:lang w:val="zh-CN"/>
              </w:rPr>
              <w:t>响应保证金</w:t>
            </w:r>
            <w:r>
              <w:rPr>
                <w:rFonts w:hint="eastAsia"/>
                <w:bCs/>
                <w:color w:val="auto"/>
                <w:kern w:val="2"/>
                <w:sz w:val="21"/>
                <w:szCs w:val="21"/>
                <w:highlight w:val="none"/>
              </w:rPr>
              <w:t>要求</w:t>
            </w:r>
          </w:p>
          <w:p w14:paraId="7295456B">
            <w:pPr>
              <w:pStyle w:val="36"/>
              <w:autoSpaceDE/>
              <w:autoSpaceDN/>
              <w:snapToGrid w:val="0"/>
              <w:spacing w:line="400" w:lineRule="exact"/>
              <w:ind w:left="105" w:leftChars="50"/>
              <w:rPr>
                <w:bCs/>
                <w:color w:val="auto"/>
                <w:kern w:val="2"/>
                <w:sz w:val="21"/>
                <w:szCs w:val="21"/>
                <w:highlight w:val="none"/>
              </w:rPr>
            </w:pPr>
          </w:p>
        </w:tc>
        <w:tc>
          <w:tcPr>
            <w:tcW w:w="5220" w:type="dxa"/>
            <w:tcBorders>
              <w:top w:val="single" w:color="auto" w:sz="8" w:space="0"/>
              <w:left w:val="single" w:color="auto" w:sz="8" w:space="0"/>
              <w:bottom w:val="single" w:color="auto" w:sz="8" w:space="0"/>
              <w:right w:val="single" w:color="auto" w:sz="18" w:space="0"/>
            </w:tcBorders>
            <w:vAlign w:val="center"/>
          </w:tcPr>
          <w:p w14:paraId="7C149B6A">
            <w:pPr>
              <w:pStyle w:val="6"/>
              <w:adjustRightInd w:val="0"/>
              <w:snapToGrid w:val="0"/>
              <w:spacing w:line="400" w:lineRule="exact"/>
              <w:rPr>
                <w:rFonts w:asciiTheme="minorEastAsia" w:hAnsiTheme="minorEastAsia" w:cstheme="minorEastAsia"/>
                <w:color w:val="auto"/>
                <w:highlight w:val="none"/>
              </w:rPr>
            </w:pPr>
            <w:r>
              <w:rPr>
                <w:rFonts w:hint="eastAsia"/>
                <w:color w:val="auto"/>
                <w:highlight w:val="none"/>
              </w:rPr>
              <w:t>本项目不收取保证金</w:t>
            </w:r>
          </w:p>
        </w:tc>
      </w:tr>
      <w:tr w14:paraId="0A9AF9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64A4A7FD">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10</w:t>
            </w:r>
          </w:p>
        </w:tc>
        <w:tc>
          <w:tcPr>
            <w:tcW w:w="2435" w:type="dxa"/>
            <w:tcBorders>
              <w:top w:val="single" w:color="auto" w:sz="8" w:space="0"/>
              <w:left w:val="single" w:color="auto" w:sz="4" w:space="0"/>
              <w:bottom w:val="single" w:color="auto" w:sz="8" w:space="0"/>
              <w:right w:val="single" w:color="auto" w:sz="8" w:space="0"/>
            </w:tcBorders>
            <w:vAlign w:val="center"/>
          </w:tcPr>
          <w:p w14:paraId="387E2B66">
            <w:pPr>
              <w:pStyle w:val="36"/>
              <w:autoSpaceDE/>
              <w:autoSpaceDN/>
              <w:snapToGrid w:val="0"/>
              <w:spacing w:line="400" w:lineRule="exact"/>
              <w:ind w:left="105" w:leftChars="50"/>
              <w:jc w:val="both"/>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rPr>
              <w:t>响应</w:t>
            </w:r>
            <w:r>
              <w:rPr>
                <w:rFonts w:hint="eastAsia" w:asciiTheme="minorEastAsia" w:hAnsiTheme="minorEastAsia" w:eastAsiaTheme="minorEastAsia" w:cstheme="minorEastAsia"/>
                <w:bCs/>
                <w:color w:val="auto"/>
                <w:sz w:val="21"/>
                <w:szCs w:val="21"/>
                <w:highlight w:val="none"/>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39C78233">
            <w:pPr>
              <w:pStyle w:val="6"/>
              <w:adjustRightInd w:val="0"/>
              <w:snapToGrid w:val="0"/>
              <w:spacing w:line="400" w:lineRule="exact"/>
              <w:ind w:left="105" w:leftChars="50"/>
              <w:rPr>
                <w:color w:val="auto"/>
                <w:highlight w:val="none"/>
                <w:lang w:val="zh-CN"/>
              </w:rPr>
            </w:pPr>
            <w:r>
              <w:rPr>
                <w:rFonts w:hint="eastAsia"/>
                <w:color w:val="auto"/>
                <w:highlight w:val="none"/>
                <w:lang w:val="zh-CN"/>
              </w:rPr>
              <w:fldChar w:fldCharType="begin"/>
            </w:r>
            <w:r>
              <w:rPr>
                <w:rFonts w:hint="eastAsia"/>
                <w:color w:val="auto"/>
                <w:highlight w:val="none"/>
                <w:lang w:val="zh-CN"/>
              </w:rPr>
              <w:instrText xml:space="preserve"> = 1 \* GB3 \* MERGEFORMAT </w:instrText>
            </w:r>
            <w:r>
              <w:rPr>
                <w:rFonts w:hint="eastAsia"/>
                <w:color w:val="auto"/>
                <w:highlight w:val="none"/>
                <w:lang w:val="zh-CN"/>
              </w:rPr>
              <w:fldChar w:fldCharType="separate"/>
            </w:r>
            <w:r>
              <w:rPr>
                <w:rFonts w:hint="eastAsia"/>
                <w:color w:val="auto"/>
                <w:highlight w:val="none"/>
              </w:rPr>
              <w:t>①</w:t>
            </w:r>
            <w:r>
              <w:rPr>
                <w:rFonts w:hint="eastAsia"/>
                <w:color w:val="auto"/>
                <w:highlight w:val="none"/>
                <w:lang w:val="zh-CN"/>
              </w:rPr>
              <w:fldChar w:fldCharType="end"/>
            </w:r>
            <w:r>
              <w:rPr>
                <w:rFonts w:hint="eastAsia"/>
                <w:color w:val="auto"/>
                <w:highlight w:val="none"/>
                <w:lang w:val="zh-CN"/>
              </w:rPr>
              <w:t>正本</w:t>
            </w:r>
            <w:r>
              <w:rPr>
                <w:rFonts w:hint="eastAsia"/>
                <w:color w:val="auto"/>
                <w:highlight w:val="none"/>
                <w:u w:val="single"/>
                <w:lang w:val="zh-CN"/>
              </w:rPr>
              <w:t>一</w:t>
            </w:r>
            <w:r>
              <w:rPr>
                <w:rFonts w:hint="eastAsia"/>
                <w:color w:val="auto"/>
                <w:highlight w:val="none"/>
                <w:lang w:val="zh-CN"/>
              </w:rPr>
              <w:t>份</w:t>
            </w:r>
            <w:r>
              <w:rPr>
                <w:rFonts w:hint="eastAsia"/>
                <w:color w:val="auto"/>
                <w:highlight w:val="none"/>
                <w:lang w:val="zh-CN"/>
              </w:rPr>
              <w:fldChar w:fldCharType="begin"/>
            </w:r>
            <w:r>
              <w:rPr>
                <w:rFonts w:hint="eastAsia"/>
                <w:color w:val="auto"/>
                <w:highlight w:val="none"/>
                <w:lang w:val="zh-CN"/>
              </w:rPr>
              <w:instrText xml:space="preserve"> = 2 \* GB3 \* MERGEFORMAT </w:instrText>
            </w:r>
            <w:r>
              <w:rPr>
                <w:rFonts w:hint="eastAsia"/>
                <w:color w:val="auto"/>
                <w:highlight w:val="none"/>
                <w:lang w:val="zh-CN"/>
              </w:rPr>
              <w:fldChar w:fldCharType="separate"/>
            </w:r>
            <w:r>
              <w:rPr>
                <w:rFonts w:hint="eastAsia"/>
                <w:color w:val="auto"/>
                <w:highlight w:val="none"/>
              </w:rPr>
              <w:t>②</w:t>
            </w:r>
            <w:r>
              <w:rPr>
                <w:rFonts w:hint="eastAsia"/>
                <w:color w:val="auto"/>
                <w:highlight w:val="none"/>
                <w:lang w:val="zh-CN"/>
              </w:rPr>
              <w:fldChar w:fldCharType="end"/>
            </w:r>
            <w:r>
              <w:rPr>
                <w:rFonts w:hint="eastAsia"/>
                <w:color w:val="auto"/>
                <w:highlight w:val="none"/>
                <w:lang w:val="zh-CN"/>
              </w:rPr>
              <w:t>副本</w:t>
            </w:r>
            <w:r>
              <w:rPr>
                <w:rFonts w:hint="eastAsia"/>
                <w:color w:val="auto"/>
                <w:highlight w:val="none"/>
                <w:u w:val="single"/>
              </w:rPr>
              <w:t>贰</w:t>
            </w:r>
            <w:r>
              <w:rPr>
                <w:rFonts w:hint="eastAsia"/>
                <w:color w:val="auto"/>
                <w:highlight w:val="none"/>
                <w:lang w:val="zh-CN"/>
              </w:rPr>
              <w:t>份</w:t>
            </w:r>
            <w:r>
              <w:rPr>
                <w:rFonts w:hint="eastAsia"/>
                <w:color w:val="auto"/>
                <w:highlight w:val="none"/>
                <w:lang w:val="zh-CN"/>
              </w:rPr>
              <w:fldChar w:fldCharType="begin"/>
            </w:r>
            <w:r>
              <w:rPr>
                <w:rFonts w:hint="eastAsia"/>
                <w:color w:val="auto"/>
                <w:highlight w:val="none"/>
                <w:lang w:val="zh-CN"/>
              </w:rPr>
              <w:instrText xml:space="preserve"> = 3 \* GB3 \* MERGEFORMAT </w:instrText>
            </w:r>
            <w:r>
              <w:rPr>
                <w:rFonts w:hint="eastAsia"/>
                <w:color w:val="auto"/>
                <w:highlight w:val="none"/>
                <w:lang w:val="zh-CN"/>
              </w:rPr>
              <w:fldChar w:fldCharType="separate"/>
            </w:r>
            <w:r>
              <w:rPr>
                <w:rFonts w:hint="eastAsia"/>
                <w:color w:val="auto"/>
                <w:highlight w:val="none"/>
              </w:rPr>
              <w:t>③</w:t>
            </w:r>
            <w:r>
              <w:rPr>
                <w:rFonts w:hint="eastAsia"/>
                <w:color w:val="auto"/>
                <w:highlight w:val="none"/>
                <w:lang w:val="zh-CN"/>
              </w:rPr>
              <w:fldChar w:fldCharType="end"/>
            </w:r>
            <w:r>
              <w:rPr>
                <w:rFonts w:hint="eastAsia"/>
                <w:color w:val="auto"/>
                <w:highlight w:val="none"/>
                <w:lang w:val="zh-CN"/>
              </w:rPr>
              <w:t>电子版响应文件</w:t>
            </w:r>
            <w:r>
              <w:rPr>
                <w:rFonts w:hint="eastAsia"/>
                <w:color w:val="auto"/>
                <w:highlight w:val="none"/>
              </w:rPr>
              <w:t>U盘一个。</w:t>
            </w:r>
          </w:p>
          <w:p w14:paraId="66424B19">
            <w:pPr>
              <w:tabs>
                <w:tab w:val="left" w:pos="420"/>
              </w:tabs>
              <w:adjustRightInd w:val="0"/>
              <w:snapToGrid w:val="0"/>
              <w:spacing w:line="400" w:lineRule="exact"/>
              <w:ind w:left="105" w:leftChars="50"/>
              <w:rPr>
                <w:color w:val="auto"/>
                <w:highlight w:val="none"/>
              </w:rPr>
            </w:pPr>
            <w:r>
              <w:rPr>
                <w:rFonts w:hint="eastAsia"/>
                <w:color w:val="auto"/>
                <w:highlight w:val="none"/>
              </w:rPr>
              <w:t>要求：</w:t>
            </w:r>
          </w:p>
          <w:p w14:paraId="16A862C4">
            <w:pPr>
              <w:tabs>
                <w:tab w:val="left" w:pos="420"/>
              </w:tabs>
              <w:adjustRightInd w:val="0"/>
              <w:snapToGrid w:val="0"/>
              <w:spacing w:line="400" w:lineRule="exact"/>
              <w:ind w:left="105" w:leftChars="50"/>
              <w:rPr>
                <w:color w:val="auto"/>
                <w:highlight w:val="none"/>
              </w:rPr>
            </w:pPr>
            <w:r>
              <w:rPr>
                <w:rFonts w:hint="eastAsia"/>
                <w:color w:val="auto"/>
                <w:highlight w:val="none"/>
              </w:rPr>
              <w:t>1、少于数量要求的响应文件视为无效响应文件。</w:t>
            </w:r>
          </w:p>
          <w:p w14:paraId="59DCB6FB">
            <w:pPr>
              <w:pStyle w:val="6"/>
              <w:adjustRightInd w:val="0"/>
              <w:snapToGrid w:val="0"/>
              <w:spacing w:line="400" w:lineRule="exact"/>
              <w:ind w:left="105" w:leftChars="50"/>
              <w:rPr>
                <w:color w:val="auto"/>
                <w:highlight w:val="none"/>
                <w:lang w:val="zh-CN"/>
              </w:rPr>
            </w:pPr>
            <w:r>
              <w:rPr>
                <w:rFonts w:hint="eastAsia"/>
                <w:color w:val="auto"/>
                <w:highlight w:val="none"/>
              </w:rPr>
              <w:t>2、电子版响应文件（电子版</w:t>
            </w:r>
            <w:r>
              <w:rPr>
                <w:rFonts w:hint="eastAsia"/>
                <w:color w:val="auto"/>
                <w:highlight w:val="none"/>
                <w:lang w:val="zh-CN"/>
              </w:rPr>
              <w:t>响应文件</w:t>
            </w:r>
            <w:r>
              <w:rPr>
                <w:rFonts w:hint="eastAsia"/>
                <w:color w:val="auto"/>
                <w:highlight w:val="none"/>
              </w:rPr>
              <w:t>须是PDF格式）为正本完整版的扫描件</w:t>
            </w:r>
            <w:r>
              <w:rPr>
                <w:rFonts w:hint="eastAsia"/>
                <w:color w:val="auto"/>
                <w:highlight w:val="none"/>
                <w:lang w:val="zh-CN"/>
              </w:rPr>
              <w:t>。</w:t>
            </w:r>
          </w:p>
        </w:tc>
      </w:tr>
      <w:tr w14:paraId="120E9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2CA649FD">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11</w:t>
            </w:r>
          </w:p>
        </w:tc>
        <w:tc>
          <w:tcPr>
            <w:tcW w:w="2435" w:type="dxa"/>
            <w:tcBorders>
              <w:top w:val="single" w:color="auto" w:sz="8" w:space="0"/>
              <w:left w:val="single" w:color="auto" w:sz="4" w:space="0"/>
              <w:bottom w:val="single" w:color="auto" w:sz="8" w:space="0"/>
              <w:right w:val="single" w:color="auto" w:sz="8" w:space="0"/>
            </w:tcBorders>
            <w:vAlign w:val="center"/>
          </w:tcPr>
          <w:p w14:paraId="09C1C29D">
            <w:pPr>
              <w:pStyle w:val="36"/>
              <w:autoSpaceDE/>
              <w:autoSpaceDN/>
              <w:snapToGrid w:val="0"/>
              <w:spacing w:line="400" w:lineRule="exact"/>
              <w:ind w:left="105" w:leftChars="50"/>
              <w:jc w:val="both"/>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233CEEED">
            <w:pPr>
              <w:pStyle w:val="36"/>
              <w:autoSpaceDE/>
              <w:autoSpaceDN/>
              <w:snapToGrid w:val="0"/>
              <w:spacing w:line="400" w:lineRule="exact"/>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1、响应文件正本和副本须密封，并在密封处加盖单位公章或供应商授权代表签名；</w:t>
            </w:r>
          </w:p>
          <w:p w14:paraId="45FF6C32">
            <w:pPr>
              <w:pStyle w:val="36"/>
              <w:autoSpaceDE/>
              <w:autoSpaceDN/>
              <w:snapToGrid w:val="0"/>
              <w:spacing w:line="400" w:lineRule="exact"/>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rPr>
              <w:t>2、电子版响应文件（PDF格式）与开标一览表一并密封，并在密封处加盖单位公章或供应商授权代表签名。</w:t>
            </w:r>
          </w:p>
          <w:p w14:paraId="5C339168">
            <w:pPr>
              <w:pStyle w:val="36"/>
              <w:autoSpaceDE/>
              <w:autoSpaceDN/>
              <w:snapToGrid w:val="0"/>
              <w:spacing w:line="400" w:lineRule="exact"/>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rPr>
              <w:t>3、电子版响应文件和纸质版响应文件一起提交。</w:t>
            </w:r>
          </w:p>
          <w:p w14:paraId="2AD6E2CC">
            <w:pPr>
              <w:pStyle w:val="36"/>
              <w:autoSpaceDE/>
              <w:autoSpaceDN/>
              <w:snapToGrid w:val="0"/>
              <w:spacing w:line="400" w:lineRule="exact"/>
              <w:ind w:left="105" w:leftChars="50"/>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要求：不符合上述密封签章要求的响应文件存在视为无效响应文件风险。</w:t>
            </w:r>
          </w:p>
        </w:tc>
      </w:tr>
      <w:tr w14:paraId="68E305A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53AFBA84">
            <w:pPr>
              <w:pStyle w:val="5"/>
              <w:ind w:left="0" w:leftChars="0" w:firstLine="0" w:firstLineChars="0"/>
              <w:rPr>
                <w:color w:val="auto"/>
                <w:highlight w:val="none"/>
                <w:lang w:val="zh-CN"/>
              </w:rPr>
            </w:pPr>
            <w:r>
              <w:rPr>
                <w:rFonts w:hint="eastAsia"/>
                <w:color w:val="auto"/>
                <w:highlight w:val="none"/>
                <w:lang w:val="zh-CN"/>
              </w:rPr>
              <w:t>1</w:t>
            </w:r>
            <w:r>
              <w:rPr>
                <w:rFonts w:hint="eastAsia"/>
                <w:color w:val="auto"/>
                <w:highlight w:val="none"/>
              </w:rPr>
              <w:t>2</w:t>
            </w:r>
          </w:p>
        </w:tc>
        <w:tc>
          <w:tcPr>
            <w:tcW w:w="2435" w:type="dxa"/>
            <w:tcBorders>
              <w:top w:val="single" w:color="auto" w:sz="8" w:space="0"/>
              <w:left w:val="single" w:color="auto" w:sz="4" w:space="0"/>
              <w:bottom w:val="single" w:color="auto" w:sz="8" w:space="0"/>
              <w:right w:val="single" w:color="auto" w:sz="8" w:space="0"/>
            </w:tcBorders>
            <w:vAlign w:val="center"/>
          </w:tcPr>
          <w:p w14:paraId="72BB7FF1">
            <w:pPr>
              <w:adjustRightInd w:val="0"/>
              <w:snapToGrid w:val="0"/>
              <w:spacing w:line="400" w:lineRule="exact"/>
              <w:ind w:left="105" w:leftChars="50"/>
              <w:rPr>
                <w:color w:val="auto"/>
                <w:highlight w:val="none"/>
              </w:rPr>
            </w:pPr>
            <w:r>
              <w:rPr>
                <w:rFonts w:hint="eastAsia"/>
                <w:color w:val="auto"/>
                <w:highlight w:val="none"/>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01063638">
            <w:pPr>
              <w:adjustRightInd w:val="0"/>
              <w:snapToGrid w:val="0"/>
              <w:spacing w:line="400" w:lineRule="exact"/>
              <w:ind w:left="105" w:leftChars="50"/>
              <w:rPr>
                <w:color w:val="auto"/>
                <w:highlight w:val="none"/>
              </w:rPr>
            </w:pPr>
            <w:r>
              <w:rPr>
                <w:rFonts w:hint="eastAsia"/>
                <w:color w:val="auto"/>
                <w:highlight w:val="none"/>
              </w:rPr>
              <w:t>响应文件正本（副本）</w:t>
            </w:r>
          </w:p>
          <w:p w14:paraId="7CF9AA59">
            <w:pPr>
              <w:adjustRightInd w:val="0"/>
              <w:snapToGrid w:val="0"/>
              <w:spacing w:line="400" w:lineRule="exact"/>
              <w:ind w:left="105" w:leftChars="50"/>
              <w:rPr>
                <w:color w:val="auto"/>
                <w:highlight w:val="none"/>
                <w:u w:val="single"/>
              </w:rPr>
            </w:pPr>
            <w:r>
              <w:rPr>
                <w:rFonts w:hint="eastAsia"/>
                <w:color w:val="auto"/>
                <w:highlight w:val="none"/>
              </w:rPr>
              <w:t>项目名称</w:t>
            </w:r>
            <w:r>
              <w:rPr>
                <w:rFonts w:hint="eastAsia"/>
                <w:color w:val="auto"/>
                <w:highlight w:val="none"/>
                <w:lang w:eastAsia="zh-CN"/>
              </w:rPr>
              <w:t>：</w:t>
            </w:r>
          </w:p>
          <w:p w14:paraId="51A4619D">
            <w:pPr>
              <w:adjustRightInd w:val="0"/>
              <w:snapToGrid w:val="0"/>
              <w:spacing w:line="400" w:lineRule="exact"/>
              <w:ind w:left="105" w:leftChars="50"/>
              <w:rPr>
                <w:color w:val="auto"/>
                <w:highlight w:val="none"/>
              </w:rPr>
            </w:pPr>
            <w:r>
              <w:rPr>
                <w:rFonts w:hint="eastAsia"/>
                <w:color w:val="auto"/>
                <w:highlight w:val="none"/>
              </w:rPr>
              <w:t>项目编号（如果有）：</w:t>
            </w:r>
          </w:p>
          <w:p w14:paraId="2386C86F">
            <w:pPr>
              <w:adjustRightInd w:val="0"/>
              <w:snapToGrid w:val="0"/>
              <w:spacing w:line="400" w:lineRule="exact"/>
              <w:ind w:left="105" w:leftChars="50"/>
              <w:rPr>
                <w:color w:val="auto"/>
                <w:highlight w:val="none"/>
              </w:rPr>
            </w:pPr>
            <w:r>
              <w:rPr>
                <w:rFonts w:hint="eastAsia"/>
                <w:color w:val="auto"/>
                <w:highlight w:val="none"/>
              </w:rPr>
              <w:t>供应商的名称（加盖公章）：</w:t>
            </w:r>
          </w:p>
          <w:p w14:paraId="62668B5E">
            <w:pPr>
              <w:adjustRightInd w:val="0"/>
              <w:snapToGrid w:val="0"/>
              <w:spacing w:line="400" w:lineRule="exact"/>
              <w:ind w:left="105" w:leftChars="50"/>
              <w:rPr>
                <w:color w:val="auto"/>
                <w:highlight w:val="none"/>
              </w:rPr>
            </w:pPr>
            <w:r>
              <w:rPr>
                <w:rFonts w:hint="eastAsia"/>
                <w:color w:val="auto"/>
                <w:highlight w:val="none"/>
              </w:rPr>
              <w:t>供应商联系人姓名、联系电话：</w:t>
            </w:r>
          </w:p>
          <w:p w14:paraId="3408A2D5">
            <w:pPr>
              <w:adjustRightInd w:val="0"/>
              <w:snapToGrid w:val="0"/>
              <w:spacing w:line="400" w:lineRule="exact"/>
              <w:ind w:left="105" w:leftChars="50"/>
              <w:rPr>
                <w:color w:val="auto"/>
                <w:highlight w:val="none"/>
              </w:rPr>
            </w:pPr>
            <w:r>
              <w:rPr>
                <w:rFonts w:hint="eastAsia"/>
                <w:color w:val="auto"/>
                <w:highlight w:val="none"/>
              </w:rPr>
              <w:t>于在202</w:t>
            </w:r>
            <w:r>
              <w:rPr>
                <w:rFonts w:hint="eastAsia"/>
                <w:color w:val="auto"/>
                <w:highlight w:val="none"/>
                <w:lang w:val="en-US" w:eastAsia="zh-CN"/>
              </w:rPr>
              <w:t>5</w:t>
            </w:r>
            <w:r>
              <w:rPr>
                <w:rFonts w:hint="eastAsia"/>
                <w:color w:val="auto"/>
                <w:highlight w:val="none"/>
                <w:lang w:val="zh-CN"/>
              </w:rPr>
              <w:t>年</w:t>
            </w:r>
            <w:r>
              <w:rPr>
                <w:rFonts w:hint="eastAsia"/>
                <w:color w:val="auto"/>
                <w:highlight w:val="none"/>
                <w:lang w:val="en-US" w:eastAsia="zh-CN"/>
              </w:rPr>
              <w:t>8</w:t>
            </w:r>
            <w:r>
              <w:rPr>
                <w:rFonts w:hint="eastAsia"/>
                <w:color w:val="auto"/>
                <w:highlight w:val="none"/>
                <w:lang w:val="zh-CN"/>
              </w:rPr>
              <w:t>月</w:t>
            </w:r>
            <w:r>
              <w:rPr>
                <w:rFonts w:hint="eastAsia"/>
                <w:color w:val="auto"/>
                <w:highlight w:val="none"/>
                <w:lang w:val="en-US" w:eastAsia="zh-CN"/>
              </w:rPr>
              <w:t>12</w:t>
            </w:r>
            <w:r>
              <w:rPr>
                <w:rFonts w:hint="eastAsia"/>
                <w:color w:val="auto"/>
                <w:highlight w:val="none"/>
                <w:lang w:val="zh-CN"/>
              </w:rPr>
              <w:t>日</w:t>
            </w:r>
            <w:r>
              <w:rPr>
                <w:rFonts w:hint="eastAsia"/>
                <w:color w:val="auto"/>
                <w:highlight w:val="none"/>
                <w:lang w:val="en-US" w:eastAsia="zh-CN"/>
              </w:rPr>
              <w:t>15</w:t>
            </w:r>
            <w:r>
              <w:rPr>
                <w:rFonts w:hint="eastAsia"/>
                <w:color w:val="auto"/>
                <w:highlight w:val="none"/>
                <w:lang w:val="zh-CN"/>
              </w:rPr>
              <w:t>时</w:t>
            </w:r>
            <w:r>
              <w:rPr>
                <w:rFonts w:hint="eastAsia"/>
                <w:color w:val="auto"/>
                <w:highlight w:val="none"/>
              </w:rPr>
              <w:t>00</w:t>
            </w:r>
            <w:r>
              <w:rPr>
                <w:rFonts w:hint="eastAsia"/>
                <w:color w:val="auto"/>
                <w:highlight w:val="none"/>
                <w:lang w:val="zh-CN"/>
              </w:rPr>
              <w:t>分前</w:t>
            </w:r>
            <w:r>
              <w:rPr>
                <w:rFonts w:hint="eastAsia"/>
                <w:color w:val="auto"/>
                <w:highlight w:val="none"/>
              </w:rPr>
              <w:t>（开标时间）不得开启</w:t>
            </w:r>
          </w:p>
        </w:tc>
      </w:tr>
      <w:tr w14:paraId="3926EDB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35AE120B">
            <w:pPr>
              <w:pStyle w:val="5"/>
              <w:ind w:left="0" w:leftChars="0" w:firstLine="0" w:firstLineChars="0"/>
              <w:rPr>
                <w:color w:val="auto"/>
                <w:highlight w:val="none"/>
              </w:rPr>
            </w:pPr>
            <w:r>
              <w:rPr>
                <w:rFonts w:hint="eastAsia"/>
                <w:color w:val="auto"/>
                <w:highlight w:val="none"/>
              </w:rPr>
              <w:t>13</w:t>
            </w:r>
          </w:p>
        </w:tc>
        <w:tc>
          <w:tcPr>
            <w:tcW w:w="2435" w:type="dxa"/>
            <w:vAlign w:val="center"/>
          </w:tcPr>
          <w:p w14:paraId="52270B6A">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参加开标供应商代表身份证明文件</w:t>
            </w:r>
          </w:p>
        </w:tc>
        <w:tc>
          <w:tcPr>
            <w:tcW w:w="5220" w:type="dxa"/>
            <w:vAlign w:val="center"/>
          </w:tcPr>
          <w:p w14:paraId="3157F78F">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个人身份证（或其他有效证件）复印件</w:t>
            </w:r>
          </w:p>
        </w:tc>
      </w:tr>
      <w:tr w14:paraId="66A5C7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2EEDC1B2">
            <w:pPr>
              <w:pStyle w:val="5"/>
              <w:ind w:left="0" w:leftChars="0" w:firstLine="0" w:firstLineChars="0"/>
              <w:rPr>
                <w:color w:val="auto"/>
                <w:highlight w:val="none"/>
              </w:rPr>
            </w:pPr>
            <w:r>
              <w:rPr>
                <w:rFonts w:hint="eastAsia"/>
                <w:color w:val="auto"/>
                <w:highlight w:val="none"/>
              </w:rPr>
              <w:t>14</w:t>
            </w:r>
          </w:p>
        </w:tc>
        <w:tc>
          <w:tcPr>
            <w:tcW w:w="2435" w:type="dxa"/>
            <w:vAlign w:val="center"/>
          </w:tcPr>
          <w:p w14:paraId="664CA459">
            <w:pPr>
              <w:adjustRightInd w:val="0"/>
              <w:snapToGrid w:val="0"/>
              <w:spacing w:line="400" w:lineRule="exact"/>
              <w:ind w:left="105" w:leftChars="50"/>
              <w:rPr>
                <w:color w:val="auto"/>
                <w:highlight w:val="none"/>
              </w:rPr>
            </w:pPr>
            <w:r>
              <w:rPr>
                <w:rFonts w:hint="eastAsia"/>
                <w:color w:val="auto"/>
                <w:highlight w:val="none"/>
              </w:rPr>
              <w:t>开标程序</w:t>
            </w:r>
          </w:p>
        </w:tc>
        <w:tc>
          <w:tcPr>
            <w:tcW w:w="5220" w:type="dxa"/>
            <w:vAlign w:val="center"/>
          </w:tcPr>
          <w:p w14:paraId="5472A271">
            <w:pPr>
              <w:adjustRightInd w:val="0"/>
              <w:snapToGrid w:val="0"/>
              <w:spacing w:line="400" w:lineRule="exact"/>
              <w:ind w:left="105" w:leftChars="50"/>
              <w:outlineLvl w:val="1"/>
              <w:rPr>
                <w:color w:val="auto"/>
                <w:highlight w:val="none"/>
              </w:rPr>
            </w:pPr>
            <w:r>
              <w:rPr>
                <w:rFonts w:hint="eastAsia"/>
                <w:color w:val="auto"/>
                <w:highlight w:val="none"/>
              </w:rPr>
              <w:t>1、主持人宣布开标会议开始；</w:t>
            </w:r>
          </w:p>
          <w:p w14:paraId="4372F26A">
            <w:pPr>
              <w:adjustRightInd w:val="0"/>
              <w:snapToGrid w:val="0"/>
              <w:spacing w:line="400" w:lineRule="exact"/>
              <w:ind w:left="105" w:leftChars="50"/>
              <w:outlineLvl w:val="1"/>
              <w:rPr>
                <w:color w:val="auto"/>
                <w:highlight w:val="none"/>
              </w:rPr>
            </w:pPr>
            <w:r>
              <w:rPr>
                <w:rFonts w:hint="eastAsia"/>
                <w:color w:val="auto"/>
                <w:highlight w:val="none"/>
              </w:rPr>
              <w:t>2、介绍参加开标会议的人员；</w:t>
            </w:r>
          </w:p>
          <w:p w14:paraId="2E712218">
            <w:pPr>
              <w:adjustRightInd w:val="0"/>
              <w:snapToGrid w:val="0"/>
              <w:spacing w:line="400" w:lineRule="exact"/>
              <w:ind w:left="105" w:leftChars="50"/>
              <w:outlineLvl w:val="1"/>
              <w:rPr>
                <w:color w:val="auto"/>
                <w:highlight w:val="none"/>
              </w:rPr>
            </w:pPr>
            <w:r>
              <w:rPr>
                <w:rFonts w:hint="eastAsia"/>
                <w:color w:val="auto"/>
                <w:highlight w:val="none"/>
              </w:rPr>
              <w:t>3、宣读开标纪律；</w:t>
            </w:r>
          </w:p>
          <w:p w14:paraId="3E6BD754">
            <w:pPr>
              <w:adjustRightInd w:val="0"/>
              <w:snapToGrid w:val="0"/>
              <w:spacing w:line="400" w:lineRule="exact"/>
              <w:ind w:left="105" w:leftChars="50"/>
              <w:outlineLvl w:val="1"/>
              <w:rPr>
                <w:color w:val="auto"/>
              </w:rPr>
            </w:pPr>
            <w:r>
              <w:rPr>
                <w:rFonts w:hint="eastAsia"/>
                <w:color w:val="auto"/>
              </w:rPr>
              <w:t>4、查验各响应文件的密封性并予以确认；</w:t>
            </w:r>
          </w:p>
          <w:p w14:paraId="23F1867F">
            <w:pPr>
              <w:adjustRightInd w:val="0"/>
              <w:snapToGrid w:val="0"/>
              <w:spacing w:line="400" w:lineRule="exact"/>
              <w:ind w:left="105" w:leftChars="50"/>
              <w:outlineLvl w:val="1"/>
              <w:rPr>
                <w:color w:val="auto"/>
              </w:rPr>
            </w:pPr>
            <w:r>
              <w:rPr>
                <w:rFonts w:hint="eastAsia"/>
                <w:color w:val="auto"/>
              </w:rPr>
              <w:t>5、拆封响应文件；</w:t>
            </w:r>
          </w:p>
          <w:p w14:paraId="6C753CE6">
            <w:pPr>
              <w:adjustRightInd w:val="0"/>
              <w:snapToGrid w:val="0"/>
              <w:spacing w:line="400" w:lineRule="exact"/>
              <w:ind w:left="105" w:leftChars="50"/>
              <w:outlineLvl w:val="1"/>
              <w:rPr>
                <w:color w:val="auto"/>
              </w:rPr>
            </w:pPr>
            <w:r>
              <w:rPr>
                <w:rFonts w:hint="eastAsia"/>
                <w:color w:val="auto"/>
              </w:rPr>
              <w:t>6、唱标，唱标内容为“开标一览表”所载明的内容；</w:t>
            </w:r>
          </w:p>
          <w:p w14:paraId="248DB66C">
            <w:pPr>
              <w:adjustRightInd w:val="0"/>
              <w:snapToGrid w:val="0"/>
              <w:spacing w:line="400" w:lineRule="exact"/>
              <w:ind w:left="105" w:leftChars="50"/>
              <w:outlineLvl w:val="1"/>
              <w:rPr>
                <w:color w:val="auto"/>
              </w:rPr>
            </w:pPr>
            <w:r>
              <w:rPr>
                <w:rFonts w:hint="eastAsia"/>
                <w:color w:val="auto"/>
              </w:rPr>
              <w:t>7、记录唱标结果及开标过程；</w:t>
            </w:r>
          </w:p>
          <w:p w14:paraId="03009A59">
            <w:pPr>
              <w:adjustRightInd w:val="0"/>
              <w:snapToGrid w:val="0"/>
              <w:spacing w:line="400" w:lineRule="exact"/>
              <w:ind w:left="105" w:leftChars="50"/>
              <w:rPr>
                <w:color w:val="auto"/>
              </w:rPr>
            </w:pPr>
            <w:r>
              <w:rPr>
                <w:rFonts w:hint="eastAsia"/>
                <w:color w:val="auto"/>
              </w:rPr>
              <w:t>8、主持人宣布开标会议结束。</w:t>
            </w:r>
          </w:p>
          <w:p w14:paraId="44B2FEFA">
            <w:pPr>
              <w:pStyle w:val="10"/>
              <w:ind w:left="0" w:leftChars="0" w:firstLine="0" w:firstLineChars="0"/>
              <w:rPr>
                <w:color w:val="auto"/>
                <w:highlight w:val="none"/>
              </w:rPr>
            </w:pPr>
            <w:r>
              <w:rPr>
                <w:rFonts w:hint="eastAsia" w:ascii="Times New Roman" w:eastAsia="宋体"/>
                <w:color w:val="auto"/>
                <w:szCs w:val="24"/>
              </w:rPr>
              <w:t>备注：本项目不要求供应商授权代表参与开标会议。</w:t>
            </w:r>
          </w:p>
        </w:tc>
      </w:tr>
      <w:tr w14:paraId="4DA7DD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755B7ACC">
            <w:pPr>
              <w:pStyle w:val="5"/>
              <w:ind w:left="0" w:leftChars="0" w:firstLine="0" w:firstLineChars="0"/>
              <w:rPr>
                <w:color w:val="auto"/>
                <w:highlight w:val="none"/>
              </w:rPr>
            </w:pPr>
            <w:r>
              <w:rPr>
                <w:rFonts w:hint="eastAsia"/>
                <w:color w:val="auto"/>
                <w:highlight w:val="none"/>
              </w:rPr>
              <w:t>15</w:t>
            </w:r>
          </w:p>
        </w:tc>
        <w:tc>
          <w:tcPr>
            <w:tcW w:w="2435" w:type="dxa"/>
            <w:vAlign w:val="center"/>
          </w:tcPr>
          <w:p w14:paraId="7F59FAA9">
            <w:pPr>
              <w:adjustRightInd w:val="0"/>
              <w:snapToGrid w:val="0"/>
              <w:spacing w:line="400" w:lineRule="exact"/>
              <w:ind w:left="105" w:leftChars="50"/>
              <w:rPr>
                <w:color w:val="auto"/>
                <w:highlight w:val="none"/>
              </w:rPr>
            </w:pPr>
            <w:r>
              <w:rPr>
                <w:rFonts w:hint="eastAsia"/>
                <w:color w:val="auto"/>
                <w:highlight w:val="none"/>
              </w:rPr>
              <w:t>唱标内容</w:t>
            </w:r>
          </w:p>
        </w:tc>
        <w:tc>
          <w:tcPr>
            <w:tcW w:w="5220" w:type="dxa"/>
            <w:vAlign w:val="center"/>
          </w:tcPr>
          <w:p w14:paraId="2FEA98D1">
            <w:pPr>
              <w:adjustRightInd w:val="0"/>
              <w:snapToGrid w:val="0"/>
              <w:spacing w:line="400" w:lineRule="exact"/>
              <w:ind w:left="105" w:leftChars="50"/>
              <w:rPr>
                <w:color w:val="auto"/>
                <w:highlight w:val="none"/>
              </w:rPr>
            </w:pPr>
            <w:r>
              <w:rPr>
                <w:rFonts w:hint="eastAsia"/>
                <w:color w:val="auto"/>
                <w:highlight w:val="none"/>
              </w:rPr>
              <w:t>1、“开标一览表”所载明的内容</w:t>
            </w:r>
          </w:p>
          <w:p w14:paraId="449F76D1">
            <w:pPr>
              <w:adjustRightInd w:val="0"/>
              <w:snapToGrid w:val="0"/>
              <w:spacing w:line="400" w:lineRule="exact"/>
              <w:ind w:left="105" w:leftChars="50"/>
              <w:rPr>
                <w:color w:val="auto"/>
                <w:highlight w:val="none"/>
              </w:rPr>
            </w:pPr>
            <w:r>
              <w:rPr>
                <w:rFonts w:hint="eastAsia"/>
                <w:color w:val="auto"/>
                <w:highlight w:val="none"/>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14:paraId="35BA84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73BC9468">
            <w:pPr>
              <w:pStyle w:val="5"/>
              <w:ind w:left="0" w:leftChars="0" w:firstLine="0" w:firstLineChars="0"/>
              <w:rPr>
                <w:rFonts w:hint="default" w:eastAsia="宋体"/>
                <w:color w:val="auto"/>
                <w:highlight w:val="none"/>
                <w:lang w:val="en-US" w:eastAsia="zh-CN"/>
              </w:rPr>
            </w:pPr>
            <w:r>
              <w:rPr>
                <w:rFonts w:hint="eastAsia"/>
                <w:color w:val="auto"/>
                <w:highlight w:val="none"/>
                <w:lang w:val="en-US" w:eastAsia="zh-CN"/>
              </w:rPr>
              <w:t>16</w:t>
            </w:r>
          </w:p>
        </w:tc>
        <w:tc>
          <w:tcPr>
            <w:tcW w:w="2435" w:type="dxa"/>
            <w:vAlign w:val="center"/>
          </w:tcPr>
          <w:p w14:paraId="4C332853">
            <w:pPr>
              <w:adjustRightInd w:val="0"/>
              <w:snapToGrid w:val="0"/>
              <w:spacing w:line="400" w:lineRule="exact"/>
              <w:ind w:left="105" w:leftChars="50"/>
              <w:rPr>
                <w:rFonts w:hint="eastAsia"/>
                <w:color w:val="auto"/>
                <w:highlight w:val="none"/>
              </w:rPr>
            </w:pPr>
            <w:r>
              <w:rPr>
                <w:rFonts w:hint="eastAsia" w:asciiTheme="minorEastAsia" w:hAnsiTheme="minorEastAsia" w:eastAsiaTheme="minorEastAsia" w:cstheme="minorEastAsia"/>
                <w:bCs/>
                <w:color w:val="auto"/>
                <w:sz w:val="21"/>
                <w:szCs w:val="21"/>
              </w:rPr>
              <w:t>资格审查</w:t>
            </w:r>
          </w:p>
        </w:tc>
        <w:tc>
          <w:tcPr>
            <w:tcW w:w="5220" w:type="dxa"/>
            <w:vAlign w:val="center"/>
          </w:tcPr>
          <w:p w14:paraId="6FFD9800">
            <w:pPr>
              <w:adjustRightInd w:val="0"/>
              <w:snapToGrid w:val="0"/>
              <w:spacing w:line="400" w:lineRule="exact"/>
              <w:rPr>
                <w:rFonts w:hint="eastAsia"/>
                <w:color w:val="auto"/>
                <w:highlight w:val="none"/>
              </w:rPr>
            </w:pPr>
            <w:r>
              <w:rPr>
                <w:rFonts w:hint="eastAsia" w:asciiTheme="minorEastAsia" w:hAnsiTheme="minorEastAsia" w:eastAsiaTheme="minorEastAsia" w:cstheme="minorEastAsia"/>
                <w:bCs/>
                <w:color w:val="auto"/>
                <w:sz w:val="21"/>
                <w:szCs w:val="21"/>
              </w:rPr>
              <w:t>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tc>
      </w:tr>
      <w:tr w14:paraId="006308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441851BA">
            <w:pPr>
              <w:pStyle w:val="5"/>
              <w:ind w:left="0" w:leftChars="0" w:firstLine="0" w:firstLineChars="0"/>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7</w:t>
            </w:r>
          </w:p>
        </w:tc>
        <w:tc>
          <w:tcPr>
            <w:tcW w:w="2435" w:type="dxa"/>
            <w:vAlign w:val="center"/>
          </w:tcPr>
          <w:p w14:paraId="28537365">
            <w:pPr>
              <w:adjustRightInd w:val="0"/>
              <w:snapToGrid w:val="0"/>
              <w:spacing w:line="400" w:lineRule="exact"/>
              <w:ind w:left="105" w:leftChars="50"/>
              <w:rPr>
                <w:color w:val="auto"/>
                <w:highlight w:val="none"/>
              </w:rPr>
            </w:pPr>
            <w:r>
              <w:rPr>
                <w:rFonts w:hint="eastAsia"/>
                <w:color w:val="auto"/>
                <w:highlight w:val="none"/>
              </w:rPr>
              <w:t>修正内容</w:t>
            </w:r>
          </w:p>
        </w:tc>
        <w:tc>
          <w:tcPr>
            <w:tcW w:w="5220" w:type="dxa"/>
            <w:vAlign w:val="center"/>
          </w:tcPr>
          <w:p w14:paraId="6D53A009">
            <w:pPr>
              <w:adjustRightInd w:val="0"/>
              <w:snapToGrid w:val="0"/>
              <w:spacing w:line="400" w:lineRule="exact"/>
              <w:ind w:left="105" w:leftChars="50"/>
              <w:outlineLvl w:val="1"/>
              <w:rPr>
                <w:color w:val="auto"/>
                <w:highlight w:val="none"/>
              </w:rPr>
            </w:pPr>
            <w:r>
              <w:rPr>
                <w:rFonts w:hint="eastAsia"/>
                <w:color w:val="auto"/>
                <w:highlight w:val="none"/>
              </w:rPr>
              <w:t>响应文件中开标一览表（报价表）内容与响应文件中相应内容不一致的，以开标一览表（报价表）为准</w:t>
            </w:r>
            <w:r>
              <w:rPr>
                <w:rFonts w:hint="eastAsia"/>
                <w:color w:val="auto"/>
                <w:highlight w:val="none"/>
                <w:lang w:eastAsia="zh-CN"/>
              </w:rPr>
              <w:t>，</w:t>
            </w:r>
            <w:r>
              <w:rPr>
                <w:rFonts w:hint="eastAsia"/>
                <w:color w:val="auto"/>
                <w:highlight w:val="none"/>
              </w:rPr>
              <w:t>但价格评审时则以最不利于评审结果的标准取值。</w:t>
            </w:r>
          </w:p>
        </w:tc>
      </w:tr>
      <w:tr w14:paraId="1EC503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6EAAF894">
            <w:pPr>
              <w:pStyle w:val="5"/>
              <w:ind w:left="0" w:leftChars="0" w:firstLine="0" w:firstLineChars="0"/>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8</w:t>
            </w:r>
          </w:p>
        </w:tc>
        <w:tc>
          <w:tcPr>
            <w:tcW w:w="2435" w:type="dxa"/>
            <w:vAlign w:val="center"/>
          </w:tcPr>
          <w:p w14:paraId="796D8DE4">
            <w:pPr>
              <w:pStyle w:val="36"/>
              <w:autoSpaceDE/>
              <w:autoSpaceDN/>
              <w:snapToGrid w:val="0"/>
              <w:spacing w:line="400" w:lineRule="exact"/>
              <w:ind w:left="105" w:leftChars="50"/>
              <w:jc w:val="both"/>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评审方法</w:t>
            </w:r>
          </w:p>
        </w:tc>
        <w:tc>
          <w:tcPr>
            <w:tcW w:w="5220" w:type="dxa"/>
            <w:vAlign w:val="center"/>
          </w:tcPr>
          <w:p w14:paraId="77140632">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综合评分法</w:t>
            </w:r>
          </w:p>
        </w:tc>
      </w:tr>
      <w:tr w14:paraId="4439DF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390DC4BA">
            <w:pPr>
              <w:pStyle w:val="5"/>
              <w:ind w:left="0" w:leftChars="0" w:firstLine="0" w:firstLineChars="0"/>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9</w:t>
            </w:r>
          </w:p>
        </w:tc>
        <w:tc>
          <w:tcPr>
            <w:tcW w:w="7655" w:type="dxa"/>
            <w:gridSpan w:val="2"/>
            <w:vAlign w:val="center"/>
          </w:tcPr>
          <w:p w14:paraId="29150C38">
            <w:pPr>
              <w:pStyle w:val="6"/>
              <w:rPr>
                <w:rFonts w:hint="default" w:eastAsia="宋体"/>
                <w:lang w:val="en-US" w:eastAsia="zh-CN"/>
              </w:rPr>
            </w:pPr>
            <w:r>
              <w:rPr>
                <w:rFonts w:hint="eastAsia" w:asciiTheme="minorEastAsia" w:hAnsiTheme="minorEastAsia" w:eastAsiaTheme="minorEastAsia" w:cstheme="minorEastAsia"/>
                <w:bCs/>
                <w:color w:val="auto"/>
                <w:sz w:val="21"/>
                <w:szCs w:val="21"/>
                <w:highlight w:val="none"/>
              </w:rPr>
              <w:t>本项目</w:t>
            </w:r>
            <w:r>
              <w:rPr>
                <w:rFonts w:hint="eastAsia"/>
                <w:color w:val="auto"/>
                <w:sz w:val="21"/>
                <w:szCs w:val="21"/>
                <w:highlight w:val="none"/>
              </w:rPr>
              <w:t>对应的中小企业划分标准所属行业：</w:t>
            </w:r>
            <w:r>
              <w:rPr>
                <w:rFonts w:hint="eastAsia"/>
                <w:lang w:val="en-US" w:eastAsia="zh-CN"/>
              </w:rPr>
              <w:t>建筑业</w:t>
            </w:r>
          </w:p>
          <w:p w14:paraId="00F6D9E2">
            <w:pPr>
              <w:pStyle w:val="36"/>
              <w:autoSpaceDE/>
              <w:autoSpaceDN/>
              <w:snapToGrid w:val="0"/>
              <w:spacing w:line="400" w:lineRule="exact"/>
              <w:ind w:left="105" w:leftChars="50"/>
              <w:rPr>
                <w:rFonts w:asciiTheme="minorEastAsia" w:hAnsiTheme="minorEastAsia" w:cstheme="minorEastAsia"/>
                <w:bCs/>
                <w:color w:val="auto"/>
                <w:sz w:val="21"/>
                <w:szCs w:val="21"/>
                <w:highlight w:val="none"/>
              </w:rPr>
            </w:pPr>
          </w:p>
        </w:tc>
      </w:tr>
    </w:tbl>
    <w:p w14:paraId="01E502A3">
      <w:pPr>
        <w:adjustRightInd w:val="0"/>
        <w:snapToGrid w:val="0"/>
        <w:spacing w:line="360" w:lineRule="auto"/>
        <w:ind w:firstLine="420" w:firstLineChars="200"/>
        <w:outlineLvl w:val="1"/>
        <w:rPr>
          <w:color w:val="auto"/>
          <w:highlight w:val="none"/>
        </w:rPr>
      </w:pPr>
    </w:p>
    <w:p w14:paraId="6D4AC471">
      <w:pPr>
        <w:adjustRightInd w:val="0"/>
        <w:snapToGrid w:val="0"/>
        <w:spacing w:line="360" w:lineRule="auto"/>
        <w:ind w:firstLine="420" w:firstLineChars="200"/>
        <w:outlineLvl w:val="1"/>
        <w:rPr>
          <w:color w:val="auto"/>
          <w:highlight w:val="none"/>
        </w:rPr>
      </w:pPr>
      <w:r>
        <w:rPr>
          <w:rFonts w:hint="eastAsia"/>
          <w:color w:val="auto"/>
          <w:highlight w:val="none"/>
        </w:rPr>
        <w:t>一、总则</w:t>
      </w:r>
      <w:bookmarkEnd w:id="32"/>
    </w:p>
    <w:p w14:paraId="3D148DCD">
      <w:pPr>
        <w:adjustRightInd w:val="0"/>
        <w:snapToGrid w:val="0"/>
        <w:spacing w:line="360" w:lineRule="auto"/>
        <w:ind w:firstLine="420" w:firstLineChars="200"/>
        <w:rPr>
          <w:color w:val="auto"/>
          <w:highlight w:val="none"/>
        </w:rPr>
      </w:pPr>
      <w:bookmarkStart w:id="33" w:name="_Toc246826115"/>
      <w:r>
        <w:rPr>
          <w:rFonts w:hint="eastAsia"/>
          <w:color w:val="auto"/>
          <w:highlight w:val="none"/>
        </w:rPr>
        <w:t>1、适用范围</w:t>
      </w:r>
    </w:p>
    <w:p w14:paraId="4DFCD46B">
      <w:pPr>
        <w:adjustRightInd w:val="0"/>
        <w:snapToGrid w:val="0"/>
        <w:spacing w:line="360" w:lineRule="auto"/>
        <w:ind w:firstLine="420" w:firstLineChars="200"/>
        <w:rPr>
          <w:color w:val="auto"/>
          <w:highlight w:val="none"/>
        </w:rPr>
      </w:pPr>
      <w:r>
        <w:rPr>
          <w:rFonts w:hint="eastAsia"/>
          <w:color w:val="auto"/>
          <w:highlight w:val="none"/>
        </w:rPr>
        <w:t>本采购文件仅适用于本次比选公告中所述项目的采购。</w:t>
      </w:r>
    </w:p>
    <w:p w14:paraId="796C43F9">
      <w:pPr>
        <w:adjustRightInd w:val="0"/>
        <w:snapToGrid w:val="0"/>
        <w:spacing w:line="360" w:lineRule="auto"/>
        <w:ind w:firstLine="420" w:firstLineChars="200"/>
        <w:rPr>
          <w:color w:val="auto"/>
          <w:highlight w:val="none"/>
        </w:rPr>
      </w:pPr>
      <w:r>
        <w:rPr>
          <w:rFonts w:hint="eastAsia"/>
          <w:color w:val="auto"/>
          <w:highlight w:val="none"/>
        </w:rPr>
        <w:t>2、定义</w:t>
      </w:r>
    </w:p>
    <w:p w14:paraId="1D317129">
      <w:pPr>
        <w:adjustRightInd w:val="0"/>
        <w:snapToGrid w:val="0"/>
        <w:spacing w:line="360" w:lineRule="auto"/>
        <w:ind w:firstLine="420" w:firstLineChars="200"/>
        <w:rPr>
          <w:color w:val="auto"/>
          <w:highlight w:val="none"/>
        </w:rPr>
      </w:pPr>
      <w:r>
        <w:rPr>
          <w:rFonts w:hint="eastAsia"/>
          <w:color w:val="auto"/>
          <w:highlight w:val="none"/>
        </w:rPr>
        <w:t>本采购文件中的下列术语应解释为：</w:t>
      </w:r>
    </w:p>
    <w:p w14:paraId="3FD8BB5D">
      <w:pPr>
        <w:adjustRightInd w:val="0"/>
        <w:snapToGrid w:val="0"/>
        <w:spacing w:line="360" w:lineRule="auto"/>
        <w:ind w:firstLine="420" w:firstLineChars="200"/>
        <w:rPr>
          <w:color w:val="auto"/>
          <w:highlight w:val="none"/>
        </w:rPr>
      </w:pPr>
      <w:r>
        <w:rPr>
          <w:rFonts w:hint="eastAsia"/>
          <w:color w:val="auto"/>
          <w:highlight w:val="none"/>
        </w:rPr>
        <w:t>2.1“采购人”系指本项目的采购人，是依法开展政府采购活动的国家机关、事业单位和团体组织。在履行合同阶段称为甲方或买方。</w:t>
      </w:r>
    </w:p>
    <w:p w14:paraId="6C97FEB9">
      <w:pPr>
        <w:adjustRightInd w:val="0"/>
        <w:snapToGrid w:val="0"/>
        <w:spacing w:line="360" w:lineRule="auto"/>
        <w:ind w:firstLine="420" w:firstLineChars="200"/>
        <w:rPr>
          <w:color w:val="auto"/>
          <w:highlight w:val="none"/>
        </w:rPr>
      </w:pPr>
      <w:r>
        <w:rPr>
          <w:rFonts w:hint="eastAsia"/>
          <w:color w:val="auto"/>
          <w:highlight w:val="none"/>
        </w:rPr>
        <w:t>2.2“供应商”系指向采购人提供货物、工程或者服务的法人、其他组织或者自然人。法人的分支机构不得参加政府采购活动，但银行、保险、石油石化、电力、电信等特殊行业除外</w:t>
      </w:r>
      <w:r>
        <w:rPr>
          <w:rFonts w:hint="eastAsia"/>
          <w:color w:val="auto"/>
          <w:highlight w:val="none"/>
          <w:lang w:val="zh-CN"/>
        </w:rPr>
        <w:t>。</w:t>
      </w:r>
      <w:bookmarkStart w:id="34" w:name="_Toc267320062"/>
    </w:p>
    <w:p w14:paraId="679B38A6">
      <w:pPr>
        <w:adjustRightInd w:val="0"/>
        <w:snapToGrid w:val="0"/>
        <w:spacing w:line="360" w:lineRule="auto"/>
        <w:ind w:firstLine="420" w:firstLineChars="200"/>
        <w:rPr>
          <w:color w:val="auto"/>
          <w:highlight w:val="none"/>
        </w:rPr>
      </w:pPr>
      <w:r>
        <w:rPr>
          <w:rFonts w:hint="eastAsia"/>
          <w:color w:val="auto"/>
          <w:highlight w:val="none"/>
        </w:rPr>
        <w:t>3、</w:t>
      </w:r>
      <w:bookmarkEnd w:id="34"/>
      <w:r>
        <w:rPr>
          <w:rFonts w:hint="eastAsia"/>
          <w:color w:val="auto"/>
          <w:highlight w:val="none"/>
        </w:rPr>
        <w:t>供应商</w:t>
      </w:r>
    </w:p>
    <w:p w14:paraId="2533720A">
      <w:pPr>
        <w:adjustRightInd w:val="0"/>
        <w:snapToGrid w:val="0"/>
        <w:spacing w:line="360" w:lineRule="auto"/>
        <w:ind w:firstLine="420" w:firstLineChars="200"/>
        <w:rPr>
          <w:color w:val="auto"/>
          <w:highlight w:val="none"/>
        </w:rPr>
      </w:pPr>
      <w:r>
        <w:rPr>
          <w:rFonts w:hint="eastAsia"/>
          <w:color w:val="auto"/>
          <w:highlight w:val="none"/>
        </w:rPr>
        <w:t>3.1合格供应商条件</w:t>
      </w:r>
    </w:p>
    <w:p w14:paraId="3BCCB362">
      <w:pPr>
        <w:adjustRightInd w:val="0"/>
        <w:snapToGrid w:val="0"/>
        <w:spacing w:line="360" w:lineRule="auto"/>
        <w:ind w:firstLine="420" w:firstLineChars="200"/>
        <w:rPr>
          <w:color w:val="auto"/>
          <w:highlight w:val="none"/>
        </w:rPr>
      </w:pPr>
      <w:r>
        <w:rPr>
          <w:rFonts w:hint="eastAsia"/>
          <w:color w:val="auto"/>
          <w:highlight w:val="none"/>
        </w:rPr>
        <w:t>3.1.1在中华人民共和国境内注册，能够独立承担民事责任，有生产或供应能力的本国供应商，包括法人、其他组织</w:t>
      </w:r>
      <w:r>
        <w:rPr>
          <w:rFonts w:hint="eastAsia"/>
          <w:color w:val="auto"/>
          <w:highlight w:val="none"/>
          <w:lang w:val="zh-CN"/>
        </w:rPr>
        <w:t>或者</w:t>
      </w:r>
      <w:r>
        <w:rPr>
          <w:rFonts w:hint="eastAsia"/>
          <w:color w:val="auto"/>
          <w:highlight w:val="none"/>
        </w:rPr>
        <w:t>自然人；</w:t>
      </w:r>
    </w:p>
    <w:p w14:paraId="5E79925E">
      <w:pPr>
        <w:adjustRightInd w:val="0"/>
        <w:snapToGrid w:val="0"/>
        <w:spacing w:line="360" w:lineRule="auto"/>
        <w:ind w:firstLine="420" w:firstLineChars="200"/>
        <w:rPr>
          <w:color w:val="auto"/>
          <w:highlight w:val="none"/>
        </w:rPr>
      </w:pPr>
      <w:r>
        <w:rPr>
          <w:rFonts w:hint="eastAsia"/>
          <w:color w:val="auto"/>
          <w:highlight w:val="none"/>
        </w:rPr>
        <w:t>3.1.2符合</w:t>
      </w:r>
      <w:r>
        <w:rPr>
          <w:color w:val="auto"/>
          <w:highlight w:val="none"/>
        </w:rPr>
        <w:t>《中华人民共和国政府采购法》</w:t>
      </w:r>
      <w:r>
        <w:rPr>
          <w:rFonts w:hint="eastAsia"/>
          <w:color w:val="auto"/>
          <w:highlight w:val="none"/>
        </w:rPr>
        <w:t>第二十二条规定的条件：</w:t>
      </w:r>
    </w:p>
    <w:p w14:paraId="2FED74F8">
      <w:pPr>
        <w:adjustRightInd w:val="0"/>
        <w:snapToGrid w:val="0"/>
        <w:spacing w:line="360" w:lineRule="auto"/>
        <w:ind w:firstLine="420" w:firstLineChars="200"/>
        <w:rPr>
          <w:rFonts w:hint="eastAsia" w:eastAsia="宋体"/>
          <w:color w:val="auto"/>
          <w:highlight w:val="none"/>
          <w:lang w:eastAsia="zh-CN"/>
        </w:rPr>
      </w:pPr>
      <w:r>
        <w:rPr>
          <w:rFonts w:hint="eastAsia"/>
          <w:color w:val="auto"/>
          <w:highlight w:val="none"/>
        </w:rPr>
        <w:t>3.1.2.1具有独立承担民事责任的能力；</w:t>
      </w:r>
    </w:p>
    <w:p w14:paraId="743D98BB">
      <w:pPr>
        <w:adjustRightInd w:val="0"/>
        <w:snapToGrid w:val="0"/>
        <w:spacing w:line="360" w:lineRule="auto"/>
        <w:ind w:firstLine="420" w:firstLineChars="200"/>
        <w:rPr>
          <w:rFonts w:hint="eastAsia" w:eastAsia="宋体"/>
          <w:color w:val="auto"/>
          <w:highlight w:val="none"/>
          <w:lang w:eastAsia="zh-CN"/>
        </w:rPr>
      </w:pPr>
      <w:r>
        <w:rPr>
          <w:rFonts w:hint="eastAsia"/>
          <w:color w:val="auto"/>
          <w:highlight w:val="none"/>
        </w:rPr>
        <w:t>  3.1.2.1具有良好的商业信誉和健全的财务会计制度；</w:t>
      </w:r>
    </w:p>
    <w:p w14:paraId="4256B233">
      <w:pPr>
        <w:adjustRightInd w:val="0"/>
        <w:snapToGrid w:val="0"/>
        <w:spacing w:line="360" w:lineRule="auto"/>
        <w:ind w:firstLine="420" w:firstLineChars="200"/>
        <w:rPr>
          <w:rFonts w:hint="eastAsia" w:eastAsia="宋体"/>
          <w:color w:val="auto"/>
          <w:highlight w:val="none"/>
          <w:lang w:eastAsia="zh-CN"/>
        </w:rPr>
      </w:pPr>
      <w:r>
        <w:rPr>
          <w:rFonts w:hint="eastAsia"/>
          <w:color w:val="auto"/>
          <w:highlight w:val="none"/>
        </w:rPr>
        <w:t>  3.1.2.1具有履行合同所必需的设备和专业技术能力；</w:t>
      </w:r>
    </w:p>
    <w:p w14:paraId="0CEE3E21">
      <w:pPr>
        <w:adjustRightInd w:val="0"/>
        <w:snapToGrid w:val="0"/>
        <w:spacing w:line="360" w:lineRule="auto"/>
        <w:ind w:firstLine="420" w:firstLineChars="200"/>
        <w:rPr>
          <w:rFonts w:hint="eastAsia" w:eastAsia="宋体"/>
          <w:color w:val="auto"/>
          <w:highlight w:val="none"/>
          <w:lang w:eastAsia="zh-CN"/>
        </w:rPr>
      </w:pPr>
      <w:r>
        <w:rPr>
          <w:rFonts w:hint="eastAsia"/>
          <w:color w:val="auto"/>
          <w:highlight w:val="none"/>
        </w:rPr>
        <w:t>  3.1.2.1有依法缴纳税收和社会保障资金的良好记录；</w:t>
      </w:r>
    </w:p>
    <w:p w14:paraId="33A43A3E">
      <w:pPr>
        <w:adjustRightInd w:val="0"/>
        <w:snapToGrid w:val="0"/>
        <w:spacing w:line="360" w:lineRule="auto"/>
        <w:ind w:firstLine="420" w:firstLineChars="200"/>
        <w:rPr>
          <w:rFonts w:hint="eastAsia" w:eastAsia="宋体"/>
          <w:color w:val="auto"/>
          <w:highlight w:val="none"/>
          <w:lang w:eastAsia="zh-CN"/>
        </w:rPr>
      </w:pPr>
      <w:r>
        <w:rPr>
          <w:rFonts w:hint="eastAsia"/>
          <w:color w:val="auto"/>
          <w:highlight w:val="none"/>
        </w:rPr>
        <w:t>  3.1.2.1参加政府采购活动前三年内，在经营活动中没有重大违法记录；</w:t>
      </w:r>
    </w:p>
    <w:p w14:paraId="3A49EAEE">
      <w:pPr>
        <w:adjustRightInd w:val="0"/>
        <w:snapToGrid w:val="0"/>
        <w:spacing w:line="360" w:lineRule="auto"/>
        <w:ind w:firstLine="420" w:firstLineChars="200"/>
        <w:rPr>
          <w:color w:val="auto"/>
          <w:highlight w:val="none"/>
        </w:rPr>
      </w:pPr>
      <w:r>
        <w:rPr>
          <w:rFonts w:hint="eastAsia"/>
          <w:color w:val="auto"/>
          <w:highlight w:val="none"/>
        </w:rPr>
        <w:t>  3.1.2.1法律、行政法规规定的其他条件。</w:t>
      </w:r>
    </w:p>
    <w:p w14:paraId="1A40E8CA">
      <w:pPr>
        <w:adjustRightInd w:val="0"/>
        <w:snapToGrid w:val="0"/>
        <w:spacing w:line="360" w:lineRule="auto"/>
        <w:ind w:firstLine="420" w:firstLineChars="200"/>
        <w:rPr>
          <w:color w:val="auto"/>
          <w:highlight w:val="none"/>
        </w:rPr>
      </w:pPr>
      <w:r>
        <w:rPr>
          <w:rFonts w:hint="eastAsia"/>
          <w:color w:val="auto"/>
          <w:highlight w:val="none"/>
        </w:rPr>
        <w:t>3.1.3满足采购文件报价、商务和技术等实质性要求的；</w:t>
      </w:r>
    </w:p>
    <w:p w14:paraId="00D4681A">
      <w:pPr>
        <w:adjustRightInd w:val="0"/>
        <w:snapToGrid w:val="0"/>
        <w:spacing w:line="360" w:lineRule="auto"/>
        <w:ind w:firstLine="420" w:firstLineChars="200"/>
        <w:rPr>
          <w:color w:val="auto"/>
          <w:highlight w:val="none"/>
        </w:rPr>
      </w:pPr>
      <w:r>
        <w:rPr>
          <w:rFonts w:hint="eastAsia"/>
          <w:color w:val="auto"/>
          <w:highlight w:val="none"/>
        </w:rPr>
        <w:t>3.2供应商的风险</w:t>
      </w:r>
    </w:p>
    <w:p w14:paraId="003F1B2F">
      <w:pPr>
        <w:adjustRightInd w:val="0"/>
        <w:snapToGrid w:val="0"/>
        <w:spacing w:line="360" w:lineRule="auto"/>
        <w:ind w:firstLine="420" w:firstLineChars="200"/>
        <w:rPr>
          <w:color w:val="auto"/>
          <w:highlight w:val="none"/>
        </w:rPr>
      </w:pPr>
      <w:r>
        <w:rPr>
          <w:rFonts w:hint="eastAsia"/>
          <w:color w:val="auto"/>
          <w:highlight w:val="none"/>
        </w:rPr>
        <w:t>3.2.1供应商没有按照采购文件的要求编制、签署、密封、标记、递交及修正响应文件的，或者响应文件没有对采购文件在各方面都做出实质性响应的，将导致响应无效。</w:t>
      </w:r>
    </w:p>
    <w:p w14:paraId="44C4A13D">
      <w:pPr>
        <w:adjustRightInd w:val="0"/>
        <w:snapToGrid w:val="0"/>
        <w:spacing w:line="360" w:lineRule="auto"/>
        <w:ind w:firstLine="420" w:firstLineChars="200"/>
        <w:rPr>
          <w:color w:val="auto"/>
          <w:highlight w:val="none"/>
        </w:rPr>
      </w:pPr>
      <w:r>
        <w:rPr>
          <w:rFonts w:hint="eastAsia"/>
          <w:color w:val="auto"/>
          <w:highlight w:val="none"/>
        </w:rPr>
        <w:t>3.2.2供应商提交的响应文件内容有下列情形之一的，一经发现，视为无效响应，并依法上报政府采购监督管理部门处理</w:t>
      </w:r>
      <w:r>
        <w:rPr>
          <w:rFonts w:hint="eastAsia"/>
          <w:color w:val="auto"/>
          <w:kern w:val="0"/>
          <w:highlight w:val="none"/>
        </w:rPr>
        <w:t>：</w:t>
      </w:r>
    </w:p>
    <w:p w14:paraId="75D8105D">
      <w:pPr>
        <w:adjustRightInd w:val="0"/>
        <w:snapToGrid w:val="0"/>
        <w:spacing w:line="360" w:lineRule="auto"/>
        <w:ind w:firstLine="420" w:firstLineChars="200"/>
        <w:rPr>
          <w:color w:val="auto"/>
          <w:highlight w:val="none"/>
        </w:rPr>
      </w:pPr>
      <w:r>
        <w:rPr>
          <w:rFonts w:hint="eastAsia"/>
          <w:color w:val="auto"/>
          <w:highlight w:val="none"/>
        </w:rPr>
        <w:t>（1）提供虚假的资料；</w:t>
      </w:r>
    </w:p>
    <w:p w14:paraId="4AAAE39A">
      <w:pPr>
        <w:adjustRightInd w:val="0"/>
        <w:snapToGrid w:val="0"/>
        <w:spacing w:line="360" w:lineRule="auto"/>
        <w:ind w:firstLine="420" w:firstLineChars="200"/>
        <w:rPr>
          <w:color w:val="auto"/>
          <w:highlight w:val="none"/>
        </w:rPr>
      </w:pPr>
      <w:r>
        <w:rPr>
          <w:rFonts w:hint="eastAsia"/>
          <w:color w:val="auto"/>
          <w:highlight w:val="none"/>
        </w:rPr>
        <w:t>（2）在实质性方面失实；</w:t>
      </w:r>
    </w:p>
    <w:p w14:paraId="3EC50912">
      <w:pPr>
        <w:adjustRightInd w:val="0"/>
        <w:snapToGrid w:val="0"/>
        <w:spacing w:line="360" w:lineRule="auto"/>
        <w:ind w:firstLine="420" w:firstLineChars="200"/>
        <w:rPr>
          <w:color w:val="auto"/>
          <w:highlight w:val="none"/>
        </w:rPr>
      </w:pPr>
      <w:r>
        <w:rPr>
          <w:rFonts w:hint="eastAsia"/>
          <w:color w:val="auto"/>
          <w:kern w:val="0"/>
          <w:highlight w:val="none"/>
        </w:rPr>
        <w:t>3.2.3</w:t>
      </w:r>
      <w:r>
        <w:rPr>
          <w:rFonts w:hint="eastAsia"/>
          <w:color w:val="auto"/>
          <w:highlight w:val="none"/>
        </w:rPr>
        <w:t>供应商享受政策优惠条件但提供的证明（说明）文件或承诺文件失实的，视同响应文件提供虚假资料论处。</w:t>
      </w:r>
    </w:p>
    <w:p w14:paraId="247ADEB9">
      <w:pPr>
        <w:adjustRightInd w:val="0"/>
        <w:snapToGrid w:val="0"/>
        <w:spacing w:line="360" w:lineRule="auto"/>
        <w:ind w:firstLine="420" w:firstLineChars="200"/>
        <w:rPr>
          <w:color w:val="auto"/>
          <w:highlight w:val="none"/>
        </w:rPr>
      </w:pPr>
      <w:r>
        <w:rPr>
          <w:rFonts w:hint="eastAsia"/>
          <w:color w:val="auto"/>
          <w:highlight w:val="none"/>
        </w:rPr>
        <w:t>4、参与采购活动费用</w:t>
      </w:r>
    </w:p>
    <w:p w14:paraId="7C32D129">
      <w:pPr>
        <w:adjustRightInd w:val="0"/>
        <w:snapToGrid w:val="0"/>
        <w:spacing w:line="360" w:lineRule="auto"/>
        <w:ind w:firstLine="420" w:firstLineChars="200"/>
        <w:rPr>
          <w:color w:val="auto"/>
          <w:highlight w:val="none"/>
        </w:rPr>
      </w:pPr>
      <w:r>
        <w:rPr>
          <w:rFonts w:hint="eastAsia"/>
          <w:color w:val="auto"/>
          <w:highlight w:val="none"/>
        </w:rPr>
        <w:t>4.1无论响应过程中的做法和结果如何，供应商自行承担所有与参加采购活动有关的全部费用；</w:t>
      </w:r>
    </w:p>
    <w:p w14:paraId="0E4A753D">
      <w:pPr>
        <w:adjustRightInd w:val="0"/>
        <w:snapToGrid w:val="0"/>
        <w:spacing w:line="360" w:lineRule="auto"/>
        <w:ind w:firstLine="420" w:firstLineChars="200"/>
        <w:rPr>
          <w:color w:val="auto"/>
          <w:highlight w:val="none"/>
        </w:rPr>
      </w:pPr>
      <w:r>
        <w:rPr>
          <w:rFonts w:hint="eastAsia"/>
          <w:color w:val="auto"/>
          <w:highlight w:val="none"/>
        </w:rPr>
        <w:t>5、政策优惠条件及要求</w:t>
      </w:r>
      <w:r>
        <w:rPr>
          <w:rFonts w:hint="eastAsia"/>
          <w:color w:val="auto"/>
          <w:highlight w:val="none"/>
          <w:lang w:eastAsia="zh-CN"/>
        </w:rPr>
        <w:t>：</w:t>
      </w:r>
      <w:r>
        <w:rPr>
          <w:rFonts w:hint="eastAsia"/>
          <w:color w:val="auto"/>
          <w:highlight w:val="none"/>
        </w:rPr>
        <w:t>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3D554180">
      <w:pPr>
        <w:pStyle w:val="6"/>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0000FF"/>
          <w:sz w:val="21"/>
          <w:szCs w:val="21"/>
          <w:lang w:val="en-US" w:eastAsia="zh-CN"/>
        </w:rPr>
      </w:pPr>
      <w:r>
        <w:rPr>
          <w:rFonts w:hint="eastAsia"/>
          <w:color w:val="auto"/>
          <w:highlight w:val="none"/>
        </w:rPr>
        <w:t>5.1关于符合上述规定的小微企业（供应商）参与响应</w:t>
      </w:r>
      <w:r>
        <w:rPr>
          <w:rFonts w:hint="eastAsia" w:asciiTheme="minorEastAsia" w:hAnsiTheme="minorEastAsia" w:eastAsiaTheme="minorEastAsia" w:cstheme="minorEastAsia"/>
          <w:bCs/>
          <w:color w:val="0000FF"/>
          <w:sz w:val="21"/>
          <w:szCs w:val="21"/>
          <w:lang w:eastAsia="zh-CN"/>
        </w:rPr>
        <w:t>（</w:t>
      </w:r>
      <w:r>
        <w:rPr>
          <w:rFonts w:hint="eastAsia" w:asciiTheme="minorEastAsia" w:hAnsiTheme="minorEastAsia" w:eastAsiaTheme="minorEastAsia" w:cstheme="minorEastAsia"/>
          <w:bCs/>
          <w:color w:val="0000FF"/>
          <w:sz w:val="21"/>
          <w:szCs w:val="21"/>
          <w:lang w:val="en-US" w:eastAsia="zh-CN"/>
        </w:rPr>
        <w:t>本项目专门面对中小企业，不再执行小微企业价格评审优惠。</w:t>
      </w:r>
      <w:r>
        <w:rPr>
          <w:rFonts w:hint="eastAsia" w:asciiTheme="minorEastAsia" w:hAnsiTheme="minorEastAsia" w:eastAsiaTheme="minorEastAsia" w:cstheme="minorEastAsia"/>
          <w:bCs/>
          <w:color w:val="0000FF"/>
          <w:sz w:val="21"/>
          <w:szCs w:val="21"/>
          <w:lang w:eastAsia="zh-CN"/>
        </w:rPr>
        <w:t>）</w:t>
      </w:r>
    </w:p>
    <w:p w14:paraId="76792653">
      <w:pPr>
        <w:pStyle w:val="6"/>
        <w:adjustRightInd w:val="0"/>
        <w:snapToGrid w:val="0"/>
        <w:spacing w:line="360" w:lineRule="auto"/>
        <w:ind w:firstLine="420" w:firstLineChars="200"/>
        <w:rPr>
          <w:color w:val="auto"/>
          <w:highlight w:val="none"/>
        </w:rPr>
      </w:pPr>
    </w:p>
    <w:p w14:paraId="38A26F2B">
      <w:pPr>
        <w:adjustRightInd w:val="0"/>
        <w:snapToGrid w:val="0"/>
        <w:spacing w:line="360" w:lineRule="auto"/>
        <w:ind w:firstLine="420" w:firstLineChars="200"/>
        <w:rPr>
          <w:color w:val="auto"/>
          <w:highlight w:val="none"/>
        </w:rPr>
      </w:pPr>
      <w:r>
        <w:rPr>
          <w:rFonts w:hint="eastAsia"/>
          <w:color w:val="auto"/>
          <w:highlight w:val="none"/>
        </w:rPr>
        <w:t>5.1.1监狱企业、残疾人福利性单位视同小型、微型企业。</w:t>
      </w:r>
    </w:p>
    <w:p w14:paraId="0DC7E801">
      <w:pPr>
        <w:adjustRightInd w:val="0"/>
        <w:snapToGrid w:val="0"/>
        <w:spacing w:line="360" w:lineRule="auto"/>
        <w:ind w:firstLine="420" w:firstLineChars="200"/>
        <w:rPr>
          <w:color w:val="auto"/>
          <w:highlight w:val="none"/>
        </w:rPr>
      </w:pPr>
      <w:r>
        <w:rPr>
          <w:rFonts w:hint="eastAsia"/>
          <w:color w:val="auto"/>
          <w:highlight w:val="none"/>
        </w:rPr>
        <w:t>5.1.2供应商为符合规定的小型或微型企业时，报价给予20%的价格扣除，用扣除后的价格参与评审；</w:t>
      </w:r>
    </w:p>
    <w:p w14:paraId="77484363">
      <w:pPr>
        <w:adjustRightInd w:val="0"/>
        <w:snapToGrid w:val="0"/>
        <w:spacing w:line="360" w:lineRule="auto"/>
        <w:ind w:firstLine="420" w:firstLineChars="200"/>
        <w:rPr>
          <w:color w:val="auto"/>
          <w:highlight w:val="none"/>
        </w:rPr>
      </w:pPr>
      <w:r>
        <w:rPr>
          <w:rFonts w:hint="eastAsia"/>
          <w:color w:val="auto"/>
          <w:highlight w:val="none"/>
        </w:rPr>
        <w:t>5.1.</w:t>
      </w:r>
      <w:r>
        <w:rPr>
          <w:rFonts w:hint="eastAsia"/>
          <w:color w:val="auto"/>
          <w:highlight w:val="none"/>
          <w:lang w:val="en-US" w:eastAsia="zh-CN"/>
        </w:rPr>
        <w:t>3</w:t>
      </w:r>
      <w:r>
        <w:rPr>
          <w:rFonts w:hint="eastAsia"/>
          <w:color w:val="auto"/>
          <w:highlight w:val="none"/>
        </w:rPr>
        <w:t>本条款中两种价格扣除优惠原则不同时</w:t>
      </w:r>
      <w:r>
        <w:rPr>
          <w:rFonts w:hint="eastAsia"/>
          <w:color w:val="auto"/>
          <w:highlight w:val="none"/>
          <w:lang w:eastAsia="zh-CN"/>
        </w:rPr>
        <w:t>适用</w:t>
      </w:r>
      <w:r>
        <w:rPr>
          <w:rFonts w:hint="eastAsia"/>
          <w:color w:val="auto"/>
          <w:highlight w:val="none"/>
        </w:rPr>
        <w:t>。</w:t>
      </w:r>
    </w:p>
    <w:p w14:paraId="5E7B22D0">
      <w:pPr>
        <w:adjustRightInd w:val="0"/>
        <w:snapToGrid w:val="0"/>
        <w:spacing w:line="360" w:lineRule="auto"/>
        <w:ind w:firstLine="420" w:firstLineChars="200"/>
        <w:rPr>
          <w:color w:val="auto"/>
          <w:highlight w:val="none"/>
        </w:rPr>
      </w:pPr>
      <w:r>
        <w:rPr>
          <w:rFonts w:hint="eastAsia"/>
          <w:color w:val="auto"/>
          <w:highlight w:val="none"/>
        </w:rPr>
        <w:t>5.1.</w:t>
      </w:r>
      <w:r>
        <w:rPr>
          <w:rFonts w:hint="eastAsia"/>
          <w:color w:val="auto"/>
          <w:highlight w:val="none"/>
          <w:lang w:val="en-US" w:eastAsia="zh-CN"/>
        </w:rPr>
        <w:t>4</w:t>
      </w:r>
      <w:r>
        <w:rPr>
          <w:rFonts w:hint="eastAsia"/>
          <w:color w:val="auto"/>
          <w:highlight w:val="none"/>
        </w:rPr>
        <w:t>组成联合体或者接受分包的小微企业与联合体内其他企业、分包企业之间存在直接控股、管理关系的，不享受价格扣除优惠政策；</w:t>
      </w:r>
    </w:p>
    <w:p w14:paraId="5544FE1F">
      <w:pPr>
        <w:adjustRightInd w:val="0"/>
        <w:snapToGrid w:val="0"/>
        <w:spacing w:line="360" w:lineRule="auto"/>
        <w:ind w:firstLine="420" w:firstLineChars="200"/>
        <w:rPr>
          <w:color w:val="auto"/>
          <w:highlight w:val="none"/>
        </w:rPr>
      </w:pPr>
      <w:r>
        <w:rPr>
          <w:rFonts w:hint="eastAsia"/>
          <w:color w:val="auto"/>
          <w:highlight w:val="none"/>
        </w:rPr>
        <w:t>5.1.</w:t>
      </w:r>
      <w:r>
        <w:rPr>
          <w:rFonts w:hint="eastAsia"/>
          <w:color w:val="auto"/>
          <w:highlight w:val="none"/>
          <w:lang w:val="en-US" w:eastAsia="zh-CN"/>
        </w:rPr>
        <w:t>5</w:t>
      </w:r>
      <w:r>
        <w:rPr>
          <w:rFonts w:hint="eastAsia"/>
          <w:color w:val="auto"/>
          <w:highlight w:val="none"/>
        </w:rPr>
        <w:t>供应商认为其为小型或微型企业的应提供合法有效的“中小企业声明函”（附件2），并明确企业类型；供应商认为其为监狱企业须提供由省级以上监狱管理局、戒毒管理局（含新疆生产建设兵团）出具的属于监狱企业的证明文件</w:t>
      </w:r>
      <w:r>
        <w:rPr>
          <w:rFonts w:hint="eastAsia"/>
          <w:color w:val="auto"/>
          <w:highlight w:val="none"/>
          <w:lang w:eastAsia="zh-CN"/>
        </w:rPr>
        <w:t>（</w:t>
      </w:r>
      <w:r>
        <w:rPr>
          <w:rFonts w:hint="eastAsia"/>
          <w:color w:val="auto"/>
          <w:highlight w:val="none"/>
        </w:rPr>
        <w:t>附件3</w:t>
      </w:r>
      <w:r>
        <w:rPr>
          <w:rFonts w:hint="eastAsia"/>
          <w:color w:val="auto"/>
          <w:highlight w:val="none"/>
          <w:lang w:eastAsia="zh-CN"/>
        </w:rPr>
        <w:t>）</w:t>
      </w:r>
      <w:r>
        <w:rPr>
          <w:rFonts w:hint="eastAsia"/>
          <w:color w:val="auto"/>
          <w:highlight w:val="none"/>
        </w:rPr>
        <w:t>；供应商认为其为符合条件的残疾人福利性单位在参加政府采购活动时，应当提供《残疾人福利性单位声明函》（附件4），并对声明的真实性负责，否则评审时不能享受相应的价格扣除。</w:t>
      </w:r>
    </w:p>
    <w:p w14:paraId="0DC0F7F1">
      <w:pPr>
        <w:adjustRightInd w:val="0"/>
        <w:snapToGrid w:val="0"/>
        <w:spacing w:line="360" w:lineRule="auto"/>
        <w:ind w:firstLine="420" w:firstLineChars="200"/>
        <w:rPr>
          <w:color w:val="auto"/>
          <w:highlight w:val="none"/>
        </w:rPr>
      </w:pPr>
      <w:r>
        <w:rPr>
          <w:rFonts w:hint="eastAsia"/>
          <w:color w:val="auto"/>
          <w:highlight w:val="none"/>
        </w:rPr>
        <w:t>5.1.</w:t>
      </w:r>
      <w:r>
        <w:rPr>
          <w:rFonts w:hint="eastAsia"/>
          <w:color w:val="auto"/>
          <w:highlight w:val="none"/>
          <w:lang w:val="en-US" w:eastAsia="zh-CN"/>
        </w:rPr>
        <w:t>6</w:t>
      </w:r>
      <w:r>
        <w:rPr>
          <w:rFonts w:hint="eastAsia"/>
          <w:color w:val="auto"/>
          <w:highlight w:val="none"/>
        </w:rPr>
        <w:t>在货物采购项目中，供应商提供的货物既有小微企业制造货物，也有大中型企业制造货物的，不享受本办法规定的小微企业扶持政策。</w:t>
      </w:r>
    </w:p>
    <w:p w14:paraId="7AC17B3A">
      <w:pPr>
        <w:adjustRightInd w:val="0"/>
        <w:snapToGrid w:val="0"/>
        <w:spacing w:line="360" w:lineRule="auto"/>
        <w:ind w:firstLine="420" w:firstLineChars="200"/>
        <w:rPr>
          <w:color w:val="auto"/>
          <w:highlight w:val="none"/>
        </w:rPr>
      </w:pPr>
      <w:r>
        <w:rPr>
          <w:rFonts w:hint="eastAsia"/>
          <w:color w:val="auto"/>
          <w:highlight w:val="none"/>
        </w:rPr>
        <w:t>5.1.</w:t>
      </w:r>
      <w:r>
        <w:rPr>
          <w:rFonts w:hint="eastAsia"/>
          <w:color w:val="auto"/>
          <w:highlight w:val="none"/>
          <w:lang w:val="en-US" w:eastAsia="zh-CN"/>
        </w:rPr>
        <w:t>7</w:t>
      </w:r>
      <w:r>
        <w:rPr>
          <w:rFonts w:hint="eastAsia"/>
          <w:color w:val="auto"/>
          <w:highlight w:val="none"/>
        </w:rPr>
        <w:t>享受扶持政策获得政府采购合同的，小微企业不得将合同分包给大中型企业，中型企业不得将合同分包给大型企业。</w:t>
      </w:r>
    </w:p>
    <w:p w14:paraId="4E95CA04">
      <w:pPr>
        <w:adjustRightInd w:val="0"/>
        <w:snapToGrid w:val="0"/>
        <w:spacing w:line="360" w:lineRule="auto"/>
        <w:ind w:firstLine="420" w:firstLineChars="200"/>
        <w:rPr>
          <w:color w:val="auto"/>
          <w:highlight w:val="none"/>
        </w:rPr>
      </w:pPr>
      <w:r>
        <w:rPr>
          <w:rFonts w:hint="eastAsia"/>
          <w:color w:val="auto"/>
          <w:highlight w:val="none"/>
        </w:rPr>
        <w:t>5.2关于强制采购节能产品、信息安全产品和优先采购环境标志产品的要求。</w:t>
      </w:r>
    </w:p>
    <w:p w14:paraId="276FAD1E">
      <w:pPr>
        <w:adjustRightInd w:val="0"/>
        <w:snapToGrid w:val="0"/>
        <w:spacing w:line="360" w:lineRule="auto"/>
        <w:ind w:firstLine="420" w:firstLineChars="200"/>
        <w:rPr>
          <w:color w:val="auto"/>
          <w:highlight w:val="none"/>
        </w:rPr>
      </w:pPr>
      <w:r>
        <w:rPr>
          <w:rFonts w:hint="eastAsia"/>
          <w:color w:val="auto"/>
          <w:highlight w:val="none"/>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1A1D8905">
      <w:pPr>
        <w:adjustRightInd w:val="0"/>
        <w:snapToGrid w:val="0"/>
        <w:spacing w:line="360" w:lineRule="auto"/>
        <w:ind w:firstLine="420" w:firstLineChars="200"/>
        <w:rPr>
          <w:color w:val="auto"/>
          <w:highlight w:val="none"/>
        </w:rPr>
      </w:pPr>
      <w:r>
        <w:rPr>
          <w:rFonts w:hint="eastAsia"/>
          <w:color w:val="auto"/>
          <w:highlight w:val="none"/>
        </w:rPr>
        <w:t>5.2.2提供的产品属于信息安全产品的，供应商应当选择经国家认证的信息安全产品响应，并提供有效的中国国家信息安全产品认证证书复印件。</w:t>
      </w:r>
    </w:p>
    <w:p w14:paraId="21A4D2D3">
      <w:pPr>
        <w:adjustRightInd w:val="0"/>
        <w:snapToGrid w:val="0"/>
        <w:spacing w:line="360" w:lineRule="auto"/>
        <w:ind w:firstLine="420" w:firstLineChars="200"/>
        <w:rPr>
          <w:color w:val="auto"/>
          <w:highlight w:val="none"/>
        </w:rPr>
      </w:pPr>
      <w:r>
        <w:rPr>
          <w:rFonts w:hint="eastAsia"/>
          <w:color w:val="auto"/>
          <w:highlight w:val="none"/>
        </w:rPr>
        <w:t>5.2.3提供的产品属于政府强制采购节能产品的，供应商应当选择《节能产品政府采购清单》中的产品响应，并提供有效的节能产品认证证书复印件。</w:t>
      </w:r>
    </w:p>
    <w:p w14:paraId="3F85681C">
      <w:pPr>
        <w:adjustRightInd w:val="0"/>
        <w:snapToGrid w:val="0"/>
        <w:spacing w:line="360" w:lineRule="auto"/>
        <w:ind w:firstLine="420" w:firstLineChars="200"/>
        <w:rPr>
          <w:color w:val="auto"/>
          <w:highlight w:val="none"/>
        </w:rPr>
      </w:pPr>
      <w:r>
        <w:rPr>
          <w:rFonts w:hint="eastAsia"/>
          <w:color w:val="auto"/>
          <w:highlight w:val="none"/>
        </w:rPr>
        <w:t>5.2.4提供的产品属于优先采购环境标志产品的，供应商应当选择《环境标志产品政府采购清单》中的产品响应，并提供有效的环境标志产品认证证书复印件。</w:t>
      </w:r>
    </w:p>
    <w:p w14:paraId="76D8D2A4">
      <w:pPr>
        <w:adjustRightInd w:val="0"/>
        <w:snapToGrid w:val="0"/>
        <w:spacing w:line="360" w:lineRule="auto"/>
        <w:ind w:firstLine="420" w:firstLineChars="200"/>
        <w:rPr>
          <w:color w:val="auto"/>
          <w:highlight w:val="none"/>
        </w:rPr>
      </w:pPr>
      <w:r>
        <w:rPr>
          <w:rFonts w:hint="eastAsia"/>
          <w:color w:val="auto"/>
          <w:highlight w:val="none"/>
        </w:rPr>
        <w:t>6、注意事项</w:t>
      </w:r>
    </w:p>
    <w:p w14:paraId="4C9C7AB5">
      <w:pPr>
        <w:adjustRightInd w:val="0"/>
        <w:snapToGrid w:val="0"/>
        <w:spacing w:line="360" w:lineRule="auto"/>
        <w:ind w:firstLine="420" w:firstLineChars="200"/>
        <w:rPr>
          <w:color w:val="auto"/>
          <w:highlight w:val="none"/>
        </w:rPr>
      </w:pPr>
      <w:r>
        <w:rPr>
          <w:rFonts w:hint="eastAsia"/>
          <w:color w:val="auto"/>
          <w:highlight w:val="none"/>
        </w:rPr>
        <w:t>6.1如果没有特别声明或要求，供应商被视为充分熟悉本招标项目所在地与履行合同有关的各种情况，包括自然环境、气候条件、劳动力及公用设施等，本采购文件不再对上述情况进行描述。</w:t>
      </w:r>
    </w:p>
    <w:p w14:paraId="5C36E371">
      <w:pPr>
        <w:adjustRightInd w:val="0"/>
        <w:snapToGrid w:val="0"/>
        <w:spacing w:line="360" w:lineRule="auto"/>
        <w:ind w:firstLine="420" w:firstLineChars="200"/>
        <w:rPr>
          <w:color w:val="auto"/>
          <w:highlight w:val="none"/>
        </w:rPr>
      </w:pPr>
      <w:r>
        <w:rPr>
          <w:rFonts w:hint="eastAsia"/>
          <w:color w:val="auto"/>
          <w:highlight w:val="none"/>
        </w:rPr>
        <w:t>6.2分包采购详见“供应商须知前附表”要求。</w:t>
      </w:r>
    </w:p>
    <w:p w14:paraId="5186E099">
      <w:pPr>
        <w:adjustRightInd w:val="0"/>
        <w:snapToGrid w:val="0"/>
        <w:spacing w:line="360" w:lineRule="auto"/>
        <w:ind w:firstLine="420" w:firstLineChars="200"/>
        <w:rPr>
          <w:color w:val="auto"/>
          <w:highlight w:val="none"/>
        </w:rPr>
      </w:pPr>
      <w:bookmarkStart w:id="35" w:name="_Toc246826107"/>
      <w:r>
        <w:rPr>
          <w:rFonts w:hint="eastAsia"/>
          <w:color w:val="auto"/>
          <w:highlight w:val="none"/>
        </w:rPr>
        <w:t>二、采购文件</w:t>
      </w:r>
      <w:bookmarkEnd w:id="35"/>
    </w:p>
    <w:p w14:paraId="6661C140">
      <w:pPr>
        <w:adjustRightInd w:val="0"/>
        <w:snapToGrid w:val="0"/>
        <w:spacing w:line="360" w:lineRule="auto"/>
        <w:ind w:firstLine="420" w:firstLineChars="200"/>
        <w:outlineLvl w:val="1"/>
        <w:rPr>
          <w:color w:val="auto"/>
          <w:highlight w:val="none"/>
        </w:rPr>
      </w:pPr>
      <w:r>
        <w:rPr>
          <w:rFonts w:hint="eastAsia"/>
          <w:color w:val="auto"/>
          <w:highlight w:val="none"/>
        </w:rPr>
        <w:t>7、采购文件的组成</w:t>
      </w:r>
    </w:p>
    <w:p w14:paraId="1216841F">
      <w:pPr>
        <w:pStyle w:val="5"/>
        <w:rPr>
          <w:color w:val="auto"/>
          <w:highlight w:val="none"/>
        </w:rPr>
      </w:pPr>
      <w:r>
        <w:rPr>
          <w:rFonts w:hint="eastAsia"/>
          <w:color w:val="auto"/>
          <w:highlight w:val="none"/>
        </w:rPr>
        <w:t>采购文件用以阐明供应商准备响应文件所必须的信息，以及响应、开标、评审和签订合同等有关规定。采购文件以电子版形式下载，采购文件由下述章节组成：</w:t>
      </w:r>
    </w:p>
    <w:p w14:paraId="3C72B374">
      <w:pPr>
        <w:pStyle w:val="5"/>
        <w:rPr>
          <w:color w:val="auto"/>
          <w:highlight w:val="none"/>
        </w:rPr>
      </w:pPr>
      <w:r>
        <w:rPr>
          <w:rFonts w:hint="eastAsia"/>
          <w:color w:val="auto"/>
          <w:highlight w:val="none"/>
        </w:rPr>
        <w:t>（1）比选公告</w:t>
      </w:r>
    </w:p>
    <w:p w14:paraId="11D62883">
      <w:pPr>
        <w:pStyle w:val="5"/>
        <w:rPr>
          <w:color w:val="auto"/>
          <w:highlight w:val="none"/>
        </w:rPr>
      </w:pPr>
      <w:r>
        <w:rPr>
          <w:rFonts w:hint="eastAsia"/>
          <w:color w:val="auto"/>
          <w:highlight w:val="none"/>
        </w:rPr>
        <w:t>（2）采购需求</w:t>
      </w:r>
    </w:p>
    <w:p w14:paraId="35D323A4">
      <w:pPr>
        <w:pStyle w:val="5"/>
        <w:rPr>
          <w:color w:val="auto"/>
          <w:highlight w:val="none"/>
        </w:rPr>
      </w:pPr>
      <w:r>
        <w:rPr>
          <w:rFonts w:hint="eastAsia"/>
          <w:color w:val="auto"/>
          <w:highlight w:val="none"/>
        </w:rPr>
        <w:t>（3）供应商须知</w:t>
      </w:r>
    </w:p>
    <w:p w14:paraId="7E26854C">
      <w:pPr>
        <w:pStyle w:val="5"/>
        <w:rPr>
          <w:color w:val="auto"/>
          <w:highlight w:val="none"/>
        </w:rPr>
      </w:pPr>
      <w:r>
        <w:rPr>
          <w:rFonts w:hint="eastAsia"/>
          <w:color w:val="auto"/>
          <w:highlight w:val="none"/>
        </w:rPr>
        <w:t>（4）审查标准和评审标准</w:t>
      </w:r>
    </w:p>
    <w:p w14:paraId="6DA09588">
      <w:pPr>
        <w:pStyle w:val="5"/>
        <w:rPr>
          <w:color w:val="auto"/>
          <w:highlight w:val="none"/>
        </w:rPr>
      </w:pPr>
      <w:r>
        <w:rPr>
          <w:rFonts w:hint="eastAsia"/>
          <w:color w:val="auto"/>
          <w:highlight w:val="none"/>
        </w:rPr>
        <w:t>（5）政府采购合同格式</w:t>
      </w:r>
    </w:p>
    <w:p w14:paraId="28589DA1">
      <w:pPr>
        <w:pStyle w:val="5"/>
        <w:rPr>
          <w:color w:val="auto"/>
          <w:highlight w:val="none"/>
        </w:rPr>
      </w:pPr>
      <w:r>
        <w:rPr>
          <w:rFonts w:hint="eastAsia"/>
          <w:color w:val="auto"/>
          <w:highlight w:val="none"/>
        </w:rPr>
        <w:t>（6）响应文件格式及附件</w:t>
      </w:r>
    </w:p>
    <w:p w14:paraId="3181D6B7">
      <w:pPr>
        <w:tabs>
          <w:tab w:val="left" w:pos="720"/>
        </w:tabs>
        <w:adjustRightInd w:val="0"/>
        <w:snapToGrid w:val="0"/>
        <w:spacing w:line="360" w:lineRule="auto"/>
        <w:ind w:firstLine="420" w:firstLineChars="200"/>
        <w:rPr>
          <w:color w:val="auto"/>
          <w:highlight w:val="none"/>
        </w:rPr>
      </w:pPr>
      <w:bookmarkStart w:id="36" w:name="_Toc183682348"/>
      <w:bookmarkStart w:id="37" w:name="_Toc183582211"/>
      <w:bookmarkStart w:id="38" w:name="_Toc217446040"/>
      <w:r>
        <w:rPr>
          <w:rFonts w:hint="eastAsia"/>
          <w:color w:val="auto"/>
          <w:highlight w:val="none"/>
        </w:rPr>
        <w:t>8、采购文件的澄清</w:t>
      </w:r>
      <w:bookmarkEnd w:id="36"/>
      <w:bookmarkEnd w:id="37"/>
      <w:r>
        <w:rPr>
          <w:rFonts w:hint="eastAsia"/>
          <w:color w:val="auto"/>
          <w:highlight w:val="none"/>
        </w:rPr>
        <w:t>和修改</w:t>
      </w:r>
      <w:bookmarkEnd w:id="38"/>
    </w:p>
    <w:p w14:paraId="11DB212F">
      <w:pPr>
        <w:tabs>
          <w:tab w:val="left" w:pos="720"/>
        </w:tabs>
        <w:adjustRightInd w:val="0"/>
        <w:snapToGrid w:val="0"/>
        <w:spacing w:line="360" w:lineRule="auto"/>
        <w:ind w:firstLine="420" w:firstLineChars="200"/>
        <w:rPr>
          <w:color w:val="auto"/>
          <w:highlight w:val="none"/>
        </w:rPr>
      </w:pPr>
      <w:r>
        <w:rPr>
          <w:rFonts w:hint="eastAsia"/>
          <w:color w:val="auto"/>
          <w:highlight w:val="none"/>
        </w:rPr>
        <w:t>8.1在响应文件递交截止时间前，采购人无论出于何种原因，可以对采购文件进行澄清或者修改。</w:t>
      </w:r>
    </w:p>
    <w:p w14:paraId="20BDB4EA">
      <w:pPr>
        <w:adjustRightInd w:val="0"/>
        <w:snapToGrid w:val="0"/>
        <w:spacing w:line="360" w:lineRule="auto"/>
        <w:ind w:firstLine="420" w:firstLineChars="200"/>
        <w:rPr>
          <w:color w:val="auto"/>
          <w:highlight w:val="none"/>
        </w:rPr>
      </w:pPr>
      <w:r>
        <w:rPr>
          <w:rFonts w:hint="eastAsia"/>
          <w:color w:val="auto"/>
          <w:highlight w:val="none"/>
        </w:rPr>
        <w:t>8.2</w:t>
      </w:r>
      <w:bookmarkStart w:id="39" w:name="_Toc430490613"/>
      <w:bookmarkStart w:id="40" w:name="_Toc430489120"/>
      <w:bookmarkStart w:id="41" w:name="_Toc430422414"/>
      <w:bookmarkStart w:id="42" w:name="_Toc430492127"/>
      <w:bookmarkStart w:id="43" w:name="_Toc430488852"/>
      <w:bookmarkStart w:id="44" w:name="_Toc415567498"/>
      <w:bookmarkStart w:id="45" w:name="_Toc430488645"/>
      <w:r>
        <w:rPr>
          <w:rFonts w:hint="eastAsia"/>
          <w:color w:val="auto"/>
          <w:highlight w:val="none"/>
        </w:rPr>
        <w:t>采购文件的修改</w:t>
      </w:r>
      <w:bookmarkEnd w:id="39"/>
      <w:bookmarkEnd w:id="40"/>
      <w:bookmarkEnd w:id="41"/>
      <w:bookmarkEnd w:id="42"/>
      <w:bookmarkEnd w:id="43"/>
      <w:bookmarkEnd w:id="44"/>
      <w:bookmarkEnd w:id="45"/>
    </w:p>
    <w:p w14:paraId="40F72644">
      <w:pPr>
        <w:pStyle w:val="11"/>
        <w:rPr>
          <w:color w:val="auto"/>
          <w:highlight w:val="none"/>
        </w:rPr>
      </w:pPr>
      <w:bookmarkStart w:id="46" w:name="_Toc246826109"/>
      <w:bookmarkStart w:id="47" w:name="_Toc245888275"/>
      <w:bookmarkStart w:id="48" w:name="_Toc246825804"/>
      <w:bookmarkStart w:id="49" w:name="_Toc245887536"/>
      <w:r>
        <w:rPr>
          <w:rFonts w:hint="eastAsia"/>
          <w:color w:val="auto"/>
          <w:highlight w:val="none"/>
        </w:rPr>
        <w:t>（1）在响应文件递交截止时间以前，采购人可主动或依供应商要求澄清或质疑的问题对采购文件进行必要的补遗、澄清或修改；</w:t>
      </w:r>
      <w:bookmarkEnd w:id="46"/>
      <w:bookmarkEnd w:id="47"/>
      <w:bookmarkEnd w:id="48"/>
      <w:bookmarkEnd w:id="49"/>
      <w:bookmarkStart w:id="50" w:name="_Toc217446041"/>
      <w:bookmarkStart w:id="51" w:name="_Toc208848971"/>
    </w:p>
    <w:p w14:paraId="3D8020D5">
      <w:pPr>
        <w:pStyle w:val="11"/>
        <w:rPr>
          <w:color w:val="auto"/>
          <w:highlight w:val="none"/>
        </w:rPr>
      </w:pPr>
      <w:r>
        <w:rPr>
          <w:rFonts w:hint="eastAsia"/>
          <w:color w:val="auto"/>
          <w:highlight w:val="none"/>
        </w:rPr>
        <w:t>（2）补遗、澄清或修改内容可能影响响应文件编制的，采购人须在响应文件递交截止时间2日前发布公告；不足2日的，采购人应当顺延提交响应文件的截止时间和开标时间，在此情况下，采购当事人受响应文件递交截止期制约的所有权利和义务均应延长至新的截止日期；</w:t>
      </w:r>
    </w:p>
    <w:p w14:paraId="23FC5BF3">
      <w:pPr>
        <w:pStyle w:val="11"/>
        <w:rPr>
          <w:color w:val="auto"/>
          <w:highlight w:val="none"/>
        </w:rPr>
      </w:pPr>
      <w:r>
        <w:rPr>
          <w:rFonts w:hint="eastAsia"/>
          <w:color w:val="auto"/>
          <w:highlight w:val="none"/>
        </w:rPr>
        <w:t>（3）补遗、澄清或修改后的内容是采购文件的组成部分，并对潜在供应商具有约束力。有关</w:t>
      </w:r>
      <w:r>
        <w:rPr>
          <w:rFonts w:hint="eastAsia"/>
          <w:color w:val="auto"/>
          <w:spacing w:val="-8"/>
          <w:highlight w:val="none"/>
        </w:rPr>
        <w:t>本项目采购文件的补遗、澄清及变更信息以第一章指定网站公告及下载内容为准，</w:t>
      </w:r>
      <w:r>
        <w:rPr>
          <w:rFonts w:hint="eastAsia"/>
          <w:color w:val="auto"/>
          <w:highlight w:val="none"/>
        </w:rPr>
        <w:t>采购人不再另行通知，潜在供应商须及时关注关于本项目采购信息的更新事项，否则自行承担由此产生的风险。采购文件与更正公告的内容相互矛盾时，以最后发出的更正公告为准。</w:t>
      </w:r>
    </w:p>
    <w:p w14:paraId="0F4DCA4F">
      <w:pPr>
        <w:adjustRightInd w:val="0"/>
        <w:snapToGrid w:val="0"/>
        <w:spacing w:line="360" w:lineRule="auto"/>
        <w:ind w:firstLine="420" w:firstLineChars="200"/>
        <w:rPr>
          <w:color w:val="auto"/>
          <w:highlight w:val="none"/>
        </w:rPr>
      </w:pPr>
      <w:r>
        <w:rPr>
          <w:rFonts w:hint="eastAsia"/>
          <w:color w:val="auto"/>
          <w:highlight w:val="none"/>
        </w:rPr>
        <w:t>9、其他</w:t>
      </w:r>
    </w:p>
    <w:p w14:paraId="29639B75">
      <w:pPr>
        <w:adjustRightInd w:val="0"/>
        <w:snapToGrid w:val="0"/>
        <w:spacing w:line="360" w:lineRule="auto"/>
        <w:ind w:firstLine="420" w:firstLineChars="200"/>
        <w:rPr>
          <w:color w:val="auto"/>
          <w:highlight w:val="none"/>
        </w:rPr>
      </w:pPr>
      <w:r>
        <w:rPr>
          <w:rFonts w:hint="eastAsia"/>
          <w:color w:val="auto"/>
          <w:highlight w:val="none"/>
        </w:rPr>
        <w:t>9.1标前答疑会和</w:t>
      </w:r>
      <w:bookmarkEnd w:id="50"/>
      <w:bookmarkEnd w:id="51"/>
      <w:r>
        <w:rPr>
          <w:rFonts w:hint="eastAsia"/>
          <w:color w:val="auto"/>
          <w:highlight w:val="none"/>
        </w:rPr>
        <w:t>现场考察</w:t>
      </w:r>
    </w:p>
    <w:p w14:paraId="57DA2FE2">
      <w:pPr>
        <w:adjustRightInd w:val="0"/>
        <w:snapToGrid w:val="0"/>
        <w:spacing w:line="360" w:lineRule="auto"/>
        <w:ind w:firstLine="420" w:firstLineChars="200"/>
        <w:rPr>
          <w:color w:val="auto"/>
          <w:highlight w:val="none"/>
        </w:rPr>
      </w:pPr>
      <w:r>
        <w:rPr>
          <w:rFonts w:hint="eastAsia"/>
          <w:color w:val="auto"/>
          <w:highlight w:val="none"/>
        </w:rPr>
        <w:t>9.1.1供应商须知前附表规定组织答疑会或/和现场考察的，采购人按供应商须知前附表规定的时间、地点组织答疑会或考察项目现场，供应商如不参加的，其风险由供应商自行承担，采购人不承担任何责任。采购人不组织现场考察的，供应商可以自行决定是否考察现场。</w:t>
      </w:r>
    </w:p>
    <w:p w14:paraId="22140464">
      <w:pPr>
        <w:adjustRightInd w:val="0"/>
        <w:snapToGrid w:val="0"/>
        <w:spacing w:line="360" w:lineRule="auto"/>
        <w:ind w:firstLine="420" w:firstLineChars="200"/>
        <w:rPr>
          <w:color w:val="auto"/>
          <w:highlight w:val="none"/>
        </w:rPr>
      </w:pPr>
      <w:r>
        <w:rPr>
          <w:rFonts w:hint="eastAsia"/>
          <w:color w:val="auto"/>
          <w:highlight w:val="none"/>
        </w:rPr>
        <w:t>9.1.2答疑会上，采购人将解答供应商的疑问。会上所有的解答与说明仅供供应商编制响应文件时参考，采购人不对供应商据此作出的判断和决策负责。</w:t>
      </w:r>
    </w:p>
    <w:p w14:paraId="53897874">
      <w:pPr>
        <w:adjustRightInd w:val="0"/>
        <w:snapToGrid w:val="0"/>
        <w:spacing w:line="360" w:lineRule="auto"/>
        <w:ind w:firstLine="420" w:firstLineChars="200"/>
        <w:rPr>
          <w:color w:val="auto"/>
          <w:highlight w:val="none"/>
        </w:rPr>
      </w:pPr>
      <w:r>
        <w:rPr>
          <w:rFonts w:hint="eastAsia"/>
          <w:color w:val="auto"/>
          <w:highlight w:val="none"/>
        </w:rPr>
        <w:t>9.1.3采购人在考察现场中口头介绍的情况（如有），供供应商在编制响应文件时参考，采购人不对供应商据此作出的判断和决策负责。</w:t>
      </w:r>
    </w:p>
    <w:p w14:paraId="53EA06E3">
      <w:pPr>
        <w:adjustRightInd w:val="0"/>
        <w:snapToGrid w:val="0"/>
        <w:spacing w:line="360" w:lineRule="auto"/>
        <w:ind w:firstLine="420" w:firstLineChars="200"/>
        <w:rPr>
          <w:color w:val="auto"/>
          <w:highlight w:val="none"/>
        </w:rPr>
      </w:pPr>
      <w:r>
        <w:rPr>
          <w:rFonts w:hint="eastAsia"/>
          <w:color w:val="auto"/>
          <w:highlight w:val="none"/>
        </w:rPr>
        <w:t>9.1.4采购人不单独或者分别组织只有1个供应商参加的现场考察及标前答疑会。</w:t>
      </w:r>
    </w:p>
    <w:p w14:paraId="41056F3C">
      <w:pPr>
        <w:adjustRightInd w:val="0"/>
        <w:snapToGrid w:val="0"/>
        <w:spacing w:line="360" w:lineRule="auto"/>
        <w:ind w:firstLine="420" w:firstLineChars="200"/>
        <w:rPr>
          <w:color w:val="auto"/>
          <w:highlight w:val="none"/>
        </w:rPr>
      </w:pPr>
      <w:r>
        <w:rPr>
          <w:rFonts w:hint="eastAsia"/>
          <w:color w:val="auto"/>
          <w:highlight w:val="none"/>
        </w:rPr>
        <w:t>9.1.5供应商自行承担参加答疑或现场考察所发生的一切费用。</w:t>
      </w:r>
    </w:p>
    <w:p w14:paraId="2EE86BE4">
      <w:pPr>
        <w:adjustRightInd w:val="0"/>
        <w:snapToGrid w:val="0"/>
        <w:spacing w:line="360" w:lineRule="auto"/>
        <w:ind w:firstLine="420" w:firstLineChars="200"/>
        <w:rPr>
          <w:color w:val="auto"/>
          <w:highlight w:val="none"/>
        </w:rPr>
      </w:pPr>
      <w:r>
        <w:rPr>
          <w:rFonts w:hint="eastAsia"/>
          <w:color w:val="auto"/>
          <w:highlight w:val="none"/>
        </w:rPr>
        <w:t>9.2述标和/或演示</w:t>
      </w:r>
    </w:p>
    <w:p w14:paraId="0DAE105E">
      <w:pPr>
        <w:pStyle w:val="5"/>
        <w:rPr>
          <w:color w:val="auto"/>
          <w:highlight w:val="none"/>
        </w:rPr>
      </w:pPr>
      <w:r>
        <w:rPr>
          <w:rFonts w:hint="eastAsia"/>
          <w:color w:val="auto"/>
          <w:highlight w:val="none"/>
        </w:rPr>
        <w:t>具体要求详见第二章“采购需求”和/或“供应商须知前附表”有关规定。</w:t>
      </w:r>
    </w:p>
    <w:p w14:paraId="66186F8E">
      <w:pPr>
        <w:adjustRightInd w:val="0"/>
        <w:snapToGrid w:val="0"/>
        <w:spacing w:line="360" w:lineRule="auto"/>
        <w:ind w:firstLine="420" w:firstLineChars="200"/>
        <w:outlineLvl w:val="1"/>
        <w:rPr>
          <w:color w:val="auto"/>
          <w:highlight w:val="none"/>
        </w:rPr>
      </w:pPr>
      <w:bookmarkStart w:id="52" w:name="_Toc246826110"/>
      <w:r>
        <w:rPr>
          <w:rFonts w:hint="eastAsia"/>
          <w:color w:val="auto"/>
          <w:highlight w:val="none"/>
        </w:rPr>
        <w:t>三、响应文件的编写</w:t>
      </w:r>
      <w:bookmarkEnd w:id="52"/>
    </w:p>
    <w:p w14:paraId="31F881AF">
      <w:pPr>
        <w:adjustRightInd w:val="0"/>
        <w:snapToGrid w:val="0"/>
        <w:spacing w:line="360" w:lineRule="auto"/>
        <w:ind w:firstLine="420" w:firstLineChars="200"/>
        <w:outlineLvl w:val="1"/>
        <w:rPr>
          <w:color w:val="auto"/>
          <w:highlight w:val="none"/>
        </w:rPr>
      </w:pPr>
      <w:r>
        <w:rPr>
          <w:rFonts w:hint="eastAsia"/>
          <w:color w:val="auto"/>
          <w:highlight w:val="none"/>
        </w:rPr>
        <w:t>10.响应文件的编制要求：供应商应当根据采购文件的要求编制响应文件（包括签名和盖章），否则自行承担由此产生的风险。</w:t>
      </w:r>
    </w:p>
    <w:p w14:paraId="4E872F21">
      <w:pPr>
        <w:adjustRightInd w:val="0"/>
        <w:snapToGrid w:val="0"/>
        <w:spacing w:line="360" w:lineRule="auto"/>
        <w:ind w:firstLine="420" w:firstLineChars="200"/>
        <w:rPr>
          <w:color w:val="auto"/>
          <w:highlight w:val="none"/>
        </w:rPr>
      </w:pPr>
      <w:r>
        <w:rPr>
          <w:rFonts w:hint="eastAsia"/>
          <w:color w:val="auto"/>
          <w:highlight w:val="none"/>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14:paraId="789A5E85">
      <w:pPr>
        <w:adjustRightInd w:val="0"/>
        <w:snapToGrid w:val="0"/>
        <w:spacing w:line="360" w:lineRule="auto"/>
        <w:ind w:firstLine="420" w:firstLineChars="200"/>
        <w:rPr>
          <w:color w:val="auto"/>
          <w:highlight w:val="none"/>
        </w:rPr>
      </w:pPr>
      <w:r>
        <w:rPr>
          <w:rFonts w:hint="eastAsia"/>
          <w:color w:val="auto"/>
          <w:highlight w:val="none"/>
        </w:rPr>
        <w:t>10.2供应商提供的文件必须真实、充分、全面，并对响应文件所提</w:t>
      </w:r>
      <w:r>
        <w:rPr>
          <w:rFonts w:hint="eastAsia"/>
          <w:color w:val="auto"/>
          <w:highlight w:val="none"/>
          <w:lang w:eastAsia="zh-CN"/>
        </w:rPr>
        <w:t>供的</w:t>
      </w:r>
      <w:r>
        <w:rPr>
          <w:rFonts w:hint="eastAsia"/>
          <w:color w:val="auto"/>
          <w:highlight w:val="none"/>
        </w:rPr>
        <w:t>全部资料的真实性和合法性承担法律责任。</w:t>
      </w:r>
    </w:p>
    <w:p w14:paraId="1752005C">
      <w:pPr>
        <w:adjustRightInd w:val="0"/>
        <w:snapToGrid w:val="0"/>
        <w:spacing w:line="360" w:lineRule="auto"/>
        <w:ind w:firstLine="420" w:firstLineChars="200"/>
        <w:outlineLvl w:val="1"/>
        <w:rPr>
          <w:color w:val="auto"/>
          <w:highlight w:val="none"/>
        </w:rPr>
      </w:pPr>
      <w:r>
        <w:rPr>
          <w:rFonts w:hint="eastAsia"/>
          <w:color w:val="auto"/>
          <w:highlight w:val="none"/>
        </w:rPr>
        <w:t>10.3每一单项服务项目只允许有一个报价，否则将被视为无效响应。</w:t>
      </w:r>
    </w:p>
    <w:p w14:paraId="714F5D26">
      <w:pPr>
        <w:adjustRightInd w:val="0"/>
        <w:snapToGrid w:val="0"/>
        <w:spacing w:line="360" w:lineRule="auto"/>
        <w:ind w:firstLine="420" w:firstLineChars="200"/>
        <w:outlineLvl w:val="1"/>
        <w:rPr>
          <w:color w:val="auto"/>
          <w:highlight w:val="none"/>
        </w:rPr>
      </w:pPr>
      <w:r>
        <w:rPr>
          <w:rFonts w:hint="eastAsia"/>
          <w:color w:val="auto"/>
          <w:highlight w:val="none"/>
        </w:rPr>
        <w:t>10.4只允许供应商有一个响应方案，否则将被视为无效响应。（采购文件允许有备选方案的除外）</w:t>
      </w:r>
    </w:p>
    <w:p w14:paraId="73D23DCB">
      <w:pPr>
        <w:adjustRightInd w:val="0"/>
        <w:snapToGrid w:val="0"/>
        <w:spacing w:line="360" w:lineRule="auto"/>
        <w:ind w:firstLine="420" w:firstLineChars="200"/>
        <w:outlineLvl w:val="1"/>
        <w:rPr>
          <w:color w:val="auto"/>
          <w:highlight w:val="none"/>
        </w:rPr>
      </w:pPr>
      <w:r>
        <w:rPr>
          <w:rFonts w:hint="eastAsia"/>
          <w:color w:val="auto"/>
          <w:highlight w:val="none"/>
        </w:rPr>
        <w:t>10.5供应商根据采购文件载明的采购项目实际情况，拟在成交后将成交项目的非主体、非关键性工作交由他人完成的，应当在响应文件中载明。</w:t>
      </w:r>
    </w:p>
    <w:p w14:paraId="05BE1C13">
      <w:pPr>
        <w:pStyle w:val="6"/>
        <w:adjustRightInd w:val="0"/>
        <w:snapToGrid w:val="0"/>
        <w:spacing w:line="360" w:lineRule="auto"/>
        <w:ind w:firstLine="420" w:firstLineChars="200"/>
        <w:rPr>
          <w:color w:val="auto"/>
          <w:highlight w:val="none"/>
        </w:rPr>
      </w:pPr>
      <w:r>
        <w:rPr>
          <w:rFonts w:hint="eastAsia"/>
          <w:color w:val="auto"/>
          <w:highlight w:val="none"/>
        </w:rPr>
        <w:t>10.6响应文件的正本、副本和电子版响应文件的数量应当符合采购文件的要求。</w:t>
      </w:r>
    </w:p>
    <w:p w14:paraId="2EF507DB">
      <w:pPr>
        <w:adjustRightInd w:val="0"/>
        <w:snapToGrid w:val="0"/>
        <w:spacing w:line="360" w:lineRule="auto"/>
        <w:ind w:firstLine="420" w:firstLineChars="200"/>
        <w:outlineLvl w:val="1"/>
        <w:rPr>
          <w:color w:val="auto"/>
          <w:highlight w:val="none"/>
        </w:rPr>
      </w:pPr>
      <w:r>
        <w:rPr>
          <w:rFonts w:hint="eastAsia"/>
          <w:color w:val="auto"/>
          <w:highlight w:val="none"/>
        </w:rPr>
        <w:t>10.7响应文件必须编页码，页码必须连续。</w:t>
      </w:r>
    </w:p>
    <w:p w14:paraId="05BD677A">
      <w:pPr>
        <w:adjustRightInd w:val="0"/>
        <w:snapToGrid w:val="0"/>
        <w:spacing w:line="360" w:lineRule="auto"/>
        <w:ind w:firstLine="420" w:firstLineChars="200"/>
        <w:outlineLvl w:val="1"/>
        <w:rPr>
          <w:color w:val="auto"/>
          <w:highlight w:val="none"/>
        </w:rPr>
      </w:pPr>
      <w:r>
        <w:rPr>
          <w:rFonts w:hint="eastAsia"/>
          <w:color w:val="auto"/>
          <w:highlight w:val="none"/>
        </w:rPr>
        <w:t>10.8响应文件应装订牢固不可拆卸（如：胶订），如因装订不牢固导致的任何损失及风险由供应商承担。</w:t>
      </w:r>
    </w:p>
    <w:p w14:paraId="5B56F25C">
      <w:pPr>
        <w:pStyle w:val="11"/>
        <w:rPr>
          <w:color w:val="auto"/>
          <w:highlight w:val="none"/>
        </w:rPr>
      </w:pPr>
      <w:r>
        <w:rPr>
          <w:rFonts w:hint="eastAsia"/>
          <w:color w:val="auto"/>
          <w:highlight w:val="none"/>
        </w:rPr>
        <w:t>11.响应文件语言、货物及计量单位</w:t>
      </w:r>
    </w:p>
    <w:p w14:paraId="7803C9EB">
      <w:pPr>
        <w:pStyle w:val="11"/>
        <w:rPr>
          <w:color w:val="auto"/>
          <w:highlight w:val="none"/>
        </w:rPr>
      </w:pPr>
      <w:r>
        <w:rPr>
          <w:rFonts w:hint="eastAsia"/>
          <w:color w:val="auto"/>
          <w:highlight w:val="none"/>
        </w:rPr>
        <w:t>11.1除采购文件中另有规定外，供应商提交的响应文件及其与采购人和采购人所有来往文件均应使用中文，若有不同文本，以中文文本为准。非中文的响应文件内容应翻译成中文。</w:t>
      </w:r>
    </w:p>
    <w:p w14:paraId="69B60D09">
      <w:pPr>
        <w:pStyle w:val="11"/>
        <w:rPr>
          <w:color w:val="auto"/>
          <w:highlight w:val="none"/>
        </w:rPr>
      </w:pPr>
      <w:r>
        <w:rPr>
          <w:rFonts w:hint="eastAsia"/>
          <w:color w:val="auto"/>
          <w:highlight w:val="none"/>
        </w:rPr>
        <w:t>11.2货币单位：本次采购项目的响应均以人民币报价。</w:t>
      </w:r>
    </w:p>
    <w:p w14:paraId="7EFE53C5">
      <w:pPr>
        <w:pStyle w:val="11"/>
        <w:rPr>
          <w:color w:val="auto"/>
          <w:highlight w:val="none"/>
        </w:rPr>
      </w:pPr>
      <w:r>
        <w:rPr>
          <w:rFonts w:hint="eastAsia"/>
          <w:color w:val="auto"/>
          <w:highlight w:val="none"/>
        </w:rPr>
        <w:t>11.3计量单位：除采购文件中另有规定外，供应商在响应文件中及其与采购人所有往来文件中所使用的计量单位均应采用中华人民共和国法定计量单位。</w:t>
      </w:r>
      <w:bookmarkStart w:id="53" w:name="_Toc217446046"/>
    </w:p>
    <w:bookmarkEnd w:id="53"/>
    <w:p w14:paraId="413B37A1">
      <w:pPr>
        <w:pStyle w:val="11"/>
        <w:rPr>
          <w:color w:val="auto"/>
          <w:highlight w:val="none"/>
        </w:rPr>
      </w:pPr>
      <w:r>
        <w:rPr>
          <w:rFonts w:hint="eastAsia"/>
          <w:color w:val="auto"/>
          <w:highlight w:val="none"/>
        </w:rPr>
        <w:t>12、响应文件的组成：由商务部分、技术部分、价格部分以及其他部分组成。所有证明材料、说明文件、响应要求详见“供应商须知前附表”的具体要求，供应商不提供或不按要求提供的则自行承担由此产生的风险。</w:t>
      </w:r>
    </w:p>
    <w:p w14:paraId="4B9CD641">
      <w:pPr>
        <w:pStyle w:val="9"/>
        <w:rPr>
          <w:rFonts w:hint="eastAsia" w:ascii="宋体" w:hAnsi="Courier New" w:eastAsia="宋体" w:cs="Times New Roman"/>
          <w:bCs w:val="0"/>
          <w:color w:val="auto"/>
          <w:kern w:val="2"/>
          <w:sz w:val="21"/>
          <w:szCs w:val="20"/>
          <w:highlight w:val="none"/>
          <w:lang w:val="en-US" w:eastAsia="zh-CN" w:bidi="ar-SA"/>
        </w:rPr>
      </w:pPr>
      <w:r>
        <w:rPr>
          <w:rFonts w:hint="eastAsia" w:ascii="宋体" w:hAnsi="Courier New" w:eastAsia="宋体" w:cs="Times New Roman"/>
          <w:bCs w:val="0"/>
          <w:color w:val="auto"/>
          <w:kern w:val="2"/>
          <w:sz w:val="21"/>
          <w:szCs w:val="20"/>
          <w:highlight w:val="none"/>
          <w:lang w:val="en-US" w:eastAsia="zh-CN" w:bidi="ar-SA"/>
        </w:rPr>
        <w:t>12.1响应文件的商务部分</w:t>
      </w:r>
    </w:p>
    <w:p w14:paraId="23AC7D25">
      <w:pPr>
        <w:pStyle w:val="9"/>
        <w:rPr>
          <w:rFonts w:hint="eastAsia" w:ascii="宋体" w:hAnsi="Courier New" w:eastAsia="宋体" w:cs="Times New Roman"/>
          <w:bCs w:val="0"/>
          <w:color w:val="auto"/>
          <w:kern w:val="2"/>
          <w:sz w:val="21"/>
          <w:szCs w:val="20"/>
          <w:highlight w:val="none"/>
          <w:lang w:val="en-US" w:eastAsia="zh-CN" w:bidi="ar-SA"/>
        </w:rPr>
      </w:pPr>
      <w:r>
        <w:rPr>
          <w:rFonts w:hint="eastAsia" w:ascii="宋体" w:hAnsi="Courier New" w:eastAsia="宋体" w:cs="Times New Roman"/>
          <w:bCs w:val="0"/>
          <w:color w:val="auto"/>
          <w:kern w:val="2"/>
          <w:sz w:val="21"/>
          <w:szCs w:val="20"/>
          <w:highlight w:val="none"/>
          <w:lang w:val="en-US" w:eastAsia="zh-CN" w:bidi="ar-SA"/>
        </w:rPr>
        <w:t>12.1.1商务部分是证明供应商是合格的，并且在成交后有能力履行合同的证明文件，这些文件可以是但不限于文字资料、证书复印件和数据报表等。</w:t>
      </w:r>
    </w:p>
    <w:p w14:paraId="0A3E8011">
      <w:pPr>
        <w:autoSpaceDE w:val="0"/>
        <w:autoSpaceDN w:val="0"/>
        <w:adjustRightInd w:val="0"/>
        <w:snapToGrid w:val="0"/>
        <w:spacing w:line="360" w:lineRule="auto"/>
        <w:ind w:firstLine="420" w:firstLineChars="200"/>
        <w:rPr>
          <w:color w:val="auto"/>
          <w:highlight w:val="none"/>
        </w:rPr>
      </w:pPr>
      <w:r>
        <w:rPr>
          <w:rFonts w:hint="eastAsia"/>
          <w:color w:val="auto"/>
          <w:highlight w:val="none"/>
        </w:rPr>
        <w:t>12.1.2不满足商务部分实质性要求的将视为无效响应。</w:t>
      </w:r>
    </w:p>
    <w:p w14:paraId="0EBB84E4">
      <w:pPr>
        <w:pStyle w:val="9"/>
        <w:widowControl w:val="0"/>
        <w:jc w:val="both"/>
        <w:rPr>
          <w:rFonts w:hint="eastAsia" w:ascii="宋体" w:hAnsi="Courier New" w:eastAsia="宋体"/>
          <w:bCs w:val="0"/>
          <w:color w:val="auto"/>
          <w:kern w:val="2"/>
          <w:sz w:val="21"/>
          <w:szCs w:val="20"/>
          <w:highlight w:val="none"/>
          <w:lang w:val="en-US" w:eastAsia="zh-CN" w:bidi="ar-SA"/>
        </w:rPr>
      </w:pPr>
      <w:r>
        <w:rPr>
          <w:rFonts w:hint="eastAsia" w:ascii="宋体" w:hAnsi="Courier New" w:eastAsia="宋体"/>
          <w:bCs w:val="0"/>
          <w:color w:val="auto"/>
          <w:kern w:val="2"/>
          <w:sz w:val="21"/>
          <w:szCs w:val="20"/>
          <w:highlight w:val="none"/>
          <w:lang w:val="en-US" w:eastAsia="zh-CN" w:bidi="ar-SA"/>
        </w:rPr>
        <w:t>12.2响应文件的技术部分</w:t>
      </w:r>
    </w:p>
    <w:p w14:paraId="1B557F27">
      <w:pPr>
        <w:pStyle w:val="9"/>
        <w:widowControl w:val="0"/>
        <w:jc w:val="both"/>
        <w:rPr>
          <w:rFonts w:hint="eastAsia" w:ascii="宋体" w:hAnsi="Courier New" w:eastAsia="宋体" w:cs="Times New Roman"/>
          <w:bCs w:val="0"/>
          <w:color w:val="auto"/>
          <w:kern w:val="2"/>
          <w:sz w:val="21"/>
          <w:szCs w:val="20"/>
          <w:highlight w:val="none"/>
          <w:lang w:val="en-US" w:eastAsia="zh-CN" w:bidi="ar-SA"/>
        </w:rPr>
      </w:pPr>
      <w:r>
        <w:rPr>
          <w:rFonts w:hint="eastAsia" w:ascii="宋体" w:hAnsi="Courier New" w:eastAsia="宋体" w:cs="Times New Roman"/>
          <w:bCs w:val="0"/>
          <w:color w:val="auto"/>
          <w:kern w:val="2"/>
          <w:sz w:val="21"/>
          <w:szCs w:val="20"/>
          <w:highlight w:val="none"/>
          <w:lang w:val="en-US" w:eastAsia="zh-CN" w:bidi="ar-SA"/>
        </w:rPr>
        <w:t>技术部分是证明响应的技术（服务）标准以及配套/辅助服务标准是符合国家或/和行业的强制标准（包括但不限于经营许可或质量标准等），并符合采购文件要求的证明文件，这些文件可以是但不限于文字资料、图片和数据等。</w:t>
      </w:r>
    </w:p>
    <w:p w14:paraId="713E61AE">
      <w:pPr>
        <w:autoSpaceDE w:val="0"/>
        <w:autoSpaceDN w:val="0"/>
        <w:adjustRightInd w:val="0"/>
        <w:snapToGrid w:val="0"/>
        <w:spacing w:line="360" w:lineRule="auto"/>
        <w:ind w:firstLine="420" w:firstLineChars="200"/>
        <w:jc w:val="left"/>
        <w:rPr>
          <w:color w:val="auto"/>
          <w:highlight w:val="none"/>
        </w:rPr>
      </w:pPr>
      <w:r>
        <w:rPr>
          <w:rFonts w:hint="eastAsia"/>
          <w:color w:val="auto"/>
          <w:highlight w:val="none"/>
        </w:rPr>
        <w:t>12.3响应文件的价格部分</w:t>
      </w:r>
    </w:p>
    <w:p w14:paraId="36329510">
      <w:pPr>
        <w:adjustRightInd w:val="0"/>
        <w:snapToGrid w:val="0"/>
        <w:spacing w:line="360" w:lineRule="auto"/>
        <w:ind w:firstLine="420" w:firstLineChars="200"/>
        <w:rPr>
          <w:color w:val="auto"/>
          <w:highlight w:val="none"/>
        </w:rPr>
      </w:pPr>
      <w:r>
        <w:rPr>
          <w:rFonts w:hint="eastAsia"/>
          <w:color w:val="auto"/>
          <w:highlight w:val="none"/>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w:t>
      </w:r>
      <w:r>
        <w:rPr>
          <w:rFonts w:hint="eastAsia"/>
          <w:color w:val="auto"/>
          <w:highlight w:val="none"/>
          <w:lang w:eastAsia="zh-CN"/>
        </w:rPr>
        <w:t>考虑</w:t>
      </w:r>
      <w:r>
        <w:rPr>
          <w:rFonts w:hint="eastAsia"/>
          <w:color w:val="auto"/>
          <w:highlight w:val="none"/>
        </w:rPr>
        <w:t>并包括在响应报价之内；该响应总价不得高于预算金额或最高限价，且须是本项目服务期限内所有服务费用的总和，否则视为</w:t>
      </w:r>
      <w:r>
        <w:rPr>
          <w:rFonts w:hint="eastAsia"/>
          <w:color w:val="auto"/>
          <w:highlight w:val="none"/>
          <w:lang w:eastAsia="zh-CN"/>
        </w:rPr>
        <w:t>无效</w:t>
      </w:r>
      <w:r>
        <w:rPr>
          <w:rFonts w:hint="eastAsia"/>
          <w:color w:val="auto"/>
          <w:highlight w:val="none"/>
        </w:rPr>
        <w:t>响应。</w:t>
      </w:r>
    </w:p>
    <w:p w14:paraId="1A051572">
      <w:pPr>
        <w:autoSpaceDE w:val="0"/>
        <w:autoSpaceDN w:val="0"/>
        <w:adjustRightInd w:val="0"/>
        <w:snapToGrid w:val="0"/>
        <w:spacing w:line="360" w:lineRule="auto"/>
        <w:ind w:firstLine="420" w:firstLineChars="200"/>
        <w:rPr>
          <w:color w:val="auto"/>
          <w:highlight w:val="none"/>
        </w:rPr>
      </w:pPr>
      <w:r>
        <w:rPr>
          <w:rFonts w:hint="eastAsia"/>
          <w:color w:val="auto"/>
          <w:highlight w:val="none"/>
        </w:rPr>
        <w:t>12.4响应文件的其他部分</w:t>
      </w:r>
    </w:p>
    <w:p w14:paraId="0E11E346">
      <w:pPr>
        <w:autoSpaceDE w:val="0"/>
        <w:autoSpaceDN w:val="0"/>
        <w:adjustRightInd w:val="0"/>
        <w:snapToGrid w:val="0"/>
        <w:spacing w:line="360" w:lineRule="auto"/>
        <w:ind w:firstLine="420" w:firstLineChars="200"/>
        <w:rPr>
          <w:color w:val="auto"/>
          <w:highlight w:val="none"/>
        </w:rPr>
      </w:pPr>
      <w:r>
        <w:rPr>
          <w:rFonts w:hint="eastAsia"/>
          <w:color w:val="auto"/>
          <w:highlight w:val="none"/>
        </w:rPr>
        <w:t>其他部分由供应商根据编制响应文件需要提供的其他相关文件组成。</w:t>
      </w:r>
    </w:p>
    <w:p w14:paraId="5432C81F">
      <w:pPr>
        <w:adjustRightInd w:val="0"/>
        <w:snapToGrid w:val="0"/>
        <w:spacing w:line="360" w:lineRule="auto"/>
        <w:ind w:firstLine="420" w:firstLineChars="200"/>
        <w:rPr>
          <w:color w:val="auto"/>
          <w:highlight w:val="none"/>
        </w:rPr>
      </w:pPr>
      <w:r>
        <w:rPr>
          <w:rFonts w:hint="eastAsia"/>
          <w:color w:val="auto"/>
          <w:highlight w:val="none"/>
        </w:rPr>
        <w:t>13、响应有效期</w:t>
      </w:r>
    </w:p>
    <w:p w14:paraId="1F34ABAC">
      <w:pPr>
        <w:autoSpaceDE w:val="0"/>
        <w:autoSpaceDN w:val="0"/>
        <w:adjustRightInd w:val="0"/>
        <w:snapToGrid w:val="0"/>
        <w:spacing w:line="360" w:lineRule="auto"/>
        <w:ind w:firstLine="420" w:firstLineChars="200"/>
        <w:rPr>
          <w:color w:val="auto"/>
          <w:highlight w:val="none"/>
        </w:rPr>
      </w:pPr>
      <w:r>
        <w:rPr>
          <w:rFonts w:hint="eastAsia"/>
          <w:color w:val="auto"/>
          <w:highlight w:val="none"/>
        </w:rPr>
        <w:t>13.1响应文件从“供应商须知前附表”所规定的响应文件递交截止期之后开始生效，在“供应商须知前附表”所规定的响应有效期期限内保持有效。有效期不足将导致其响应无效。</w:t>
      </w:r>
    </w:p>
    <w:p w14:paraId="1E3BB76C">
      <w:pPr>
        <w:adjustRightInd w:val="0"/>
        <w:snapToGrid w:val="0"/>
        <w:spacing w:line="360" w:lineRule="auto"/>
        <w:ind w:firstLine="420" w:firstLineChars="200"/>
        <w:rPr>
          <w:color w:val="auto"/>
          <w:highlight w:val="none"/>
        </w:rPr>
      </w:pPr>
      <w:r>
        <w:rPr>
          <w:rFonts w:hint="eastAsia"/>
          <w:color w:val="auto"/>
          <w:highlight w:val="none"/>
        </w:rPr>
        <w:t>13.2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不同意延长响应有效期的，响应有效期满自动失效。</w:t>
      </w:r>
    </w:p>
    <w:p w14:paraId="6C22A4E6">
      <w:pPr>
        <w:adjustRightInd w:val="0"/>
        <w:snapToGrid w:val="0"/>
        <w:spacing w:line="360" w:lineRule="auto"/>
        <w:ind w:firstLine="420" w:firstLineChars="200"/>
        <w:rPr>
          <w:color w:val="auto"/>
          <w:highlight w:val="none"/>
        </w:rPr>
      </w:pPr>
      <w:r>
        <w:rPr>
          <w:rFonts w:hint="eastAsia"/>
          <w:color w:val="auto"/>
          <w:highlight w:val="none"/>
        </w:rPr>
        <w:t>14、响应保证金</w:t>
      </w:r>
    </w:p>
    <w:p w14:paraId="0CB9E87A">
      <w:pPr>
        <w:pStyle w:val="11"/>
        <w:rPr>
          <w:color w:val="auto"/>
          <w:highlight w:val="none"/>
        </w:rPr>
      </w:pPr>
      <w:r>
        <w:rPr>
          <w:rFonts w:hint="eastAsia"/>
          <w:color w:val="auto"/>
          <w:highlight w:val="none"/>
        </w:rPr>
        <w:t>14.1如项目需交纳响应保证金，则响应保证金为响应文件的组成部分之一。</w:t>
      </w:r>
    </w:p>
    <w:p w14:paraId="28BF2B1C">
      <w:pPr>
        <w:adjustRightInd w:val="0"/>
        <w:snapToGrid w:val="0"/>
        <w:spacing w:line="360" w:lineRule="auto"/>
        <w:ind w:firstLine="420" w:firstLineChars="200"/>
        <w:rPr>
          <w:color w:val="auto"/>
          <w:highlight w:val="none"/>
        </w:rPr>
      </w:pPr>
      <w:r>
        <w:rPr>
          <w:rFonts w:hint="eastAsia"/>
          <w:color w:val="auto"/>
          <w:highlight w:val="none"/>
        </w:rPr>
        <w:t>14.2供应商应在提交响应文件之前向采购人交纳“供应商须知前附表”所规定的响应保证金。</w:t>
      </w:r>
    </w:p>
    <w:p w14:paraId="35D9EF4B">
      <w:pPr>
        <w:adjustRightInd w:val="0"/>
        <w:snapToGrid w:val="0"/>
        <w:spacing w:line="360" w:lineRule="auto"/>
        <w:ind w:firstLine="420" w:firstLineChars="200"/>
        <w:rPr>
          <w:color w:val="auto"/>
          <w:highlight w:val="none"/>
        </w:rPr>
      </w:pPr>
      <w:r>
        <w:rPr>
          <w:rFonts w:hint="eastAsia"/>
          <w:color w:val="auto"/>
          <w:highlight w:val="none"/>
        </w:rPr>
        <w:t>14.3响应保证金用于保护本次采购活动免受供应商的行为而引起的风险。</w:t>
      </w:r>
    </w:p>
    <w:p w14:paraId="1A374F44">
      <w:pPr>
        <w:adjustRightInd w:val="0"/>
        <w:snapToGrid w:val="0"/>
        <w:spacing w:line="360" w:lineRule="auto"/>
        <w:ind w:firstLine="420" w:firstLineChars="200"/>
        <w:rPr>
          <w:color w:val="auto"/>
          <w:highlight w:val="none"/>
        </w:rPr>
      </w:pPr>
      <w:r>
        <w:rPr>
          <w:rFonts w:hint="eastAsia"/>
          <w:color w:val="auto"/>
          <w:highlight w:val="none"/>
        </w:rPr>
        <w:t>14.4供应商未按采购文件要求提交响应保证金的，视为无效响应；项目免收响应保证金的除外。</w:t>
      </w:r>
    </w:p>
    <w:p w14:paraId="760B869E">
      <w:pPr>
        <w:adjustRightInd w:val="0"/>
        <w:snapToGrid w:val="0"/>
        <w:spacing w:line="360" w:lineRule="auto"/>
        <w:ind w:firstLine="420" w:firstLineChars="200"/>
        <w:rPr>
          <w:color w:val="auto"/>
          <w:highlight w:val="none"/>
        </w:rPr>
      </w:pPr>
      <w:r>
        <w:rPr>
          <w:rFonts w:hint="eastAsia"/>
          <w:color w:val="auto"/>
          <w:highlight w:val="none"/>
        </w:rPr>
        <w:t>14.5未成交供应商的响应保证金将在成交通知书发出后5个工作日内退还，成交供应商的响应保证金将在合同送达采购人存档及公告后5个工作日内退还。</w:t>
      </w:r>
    </w:p>
    <w:p w14:paraId="54E8F7D5">
      <w:pPr>
        <w:adjustRightInd w:val="0"/>
        <w:snapToGrid w:val="0"/>
        <w:spacing w:line="360" w:lineRule="auto"/>
        <w:ind w:firstLine="420" w:firstLineChars="200"/>
        <w:rPr>
          <w:color w:val="auto"/>
          <w:highlight w:val="none"/>
        </w:rPr>
      </w:pPr>
      <w:r>
        <w:rPr>
          <w:rFonts w:hint="eastAsia"/>
          <w:color w:val="auto"/>
          <w:highlight w:val="none"/>
        </w:rPr>
        <w:t>14.6响应保证金的有效期与响应有效期一致。</w:t>
      </w:r>
    </w:p>
    <w:p w14:paraId="5F2D5FC3">
      <w:pPr>
        <w:adjustRightInd w:val="0"/>
        <w:snapToGrid w:val="0"/>
        <w:spacing w:line="360" w:lineRule="auto"/>
        <w:ind w:firstLine="420" w:firstLineChars="200"/>
        <w:rPr>
          <w:color w:val="auto"/>
          <w:highlight w:val="none"/>
        </w:rPr>
      </w:pPr>
      <w:r>
        <w:rPr>
          <w:rFonts w:hint="eastAsia"/>
          <w:color w:val="auto"/>
          <w:highlight w:val="none"/>
        </w:rPr>
        <w:t>14.7供应商</w:t>
      </w:r>
      <w:r>
        <w:rPr>
          <w:rFonts w:hint="eastAsia"/>
          <w:color w:val="auto"/>
          <w:highlight w:val="none"/>
          <w:lang w:eastAsia="zh-CN"/>
        </w:rPr>
        <w:t>缴纳</w:t>
      </w:r>
      <w:r>
        <w:rPr>
          <w:rFonts w:hint="eastAsia"/>
          <w:color w:val="auto"/>
          <w:highlight w:val="none"/>
        </w:rPr>
        <w:t>响应保证金的单位名称须与响应的单位名称一致，否则自行承担响应无效的风险。</w:t>
      </w:r>
    </w:p>
    <w:p w14:paraId="7D1D55B1">
      <w:pPr>
        <w:adjustRightInd w:val="0"/>
        <w:snapToGrid w:val="0"/>
        <w:spacing w:line="360" w:lineRule="auto"/>
        <w:ind w:firstLine="420" w:firstLineChars="200"/>
        <w:rPr>
          <w:color w:val="auto"/>
          <w:highlight w:val="none"/>
        </w:rPr>
      </w:pPr>
      <w:r>
        <w:rPr>
          <w:rFonts w:hint="eastAsia"/>
          <w:color w:val="auto"/>
          <w:highlight w:val="none"/>
        </w:rPr>
        <w:t>14.8发生以下情况之一的，响应保证金将不予退还：</w:t>
      </w:r>
    </w:p>
    <w:p w14:paraId="38D4CAAB">
      <w:pPr>
        <w:adjustRightInd w:val="0"/>
        <w:snapToGrid w:val="0"/>
        <w:spacing w:line="360" w:lineRule="auto"/>
        <w:ind w:firstLine="420" w:firstLineChars="200"/>
        <w:rPr>
          <w:color w:val="auto"/>
          <w:highlight w:val="none"/>
        </w:rPr>
      </w:pPr>
      <w:r>
        <w:rPr>
          <w:rFonts w:hint="eastAsia"/>
          <w:color w:val="auto"/>
          <w:highlight w:val="none"/>
        </w:rPr>
        <w:t>（1）供应商在响应有效期内撤回已提交的响应文件的；</w:t>
      </w:r>
    </w:p>
    <w:p w14:paraId="5D3BEA70">
      <w:pPr>
        <w:adjustRightInd w:val="0"/>
        <w:snapToGrid w:val="0"/>
        <w:spacing w:line="360" w:lineRule="auto"/>
        <w:ind w:firstLine="420" w:firstLineChars="200"/>
        <w:rPr>
          <w:color w:val="auto"/>
          <w:highlight w:val="none"/>
        </w:rPr>
      </w:pPr>
      <w:r>
        <w:rPr>
          <w:rFonts w:hint="eastAsia"/>
          <w:color w:val="auto"/>
          <w:highlight w:val="none"/>
        </w:rPr>
        <w:t>（2）供应商在响应文件中提供虚假材料的；</w:t>
      </w:r>
    </w:p>
    <w:p w14:paraId="33004CC5">
      <w:pPr>
        <w:adjustRightInd w:val="0"/>
        <w:snapToGrid w:val="0"/>
        <w:spacing w:line="360" w:lineRule="auto"/>
        <w:ind w:firstLine="420" w:firstLineChars="200"/>
        <w:rPr>
          <w:color w:val="auto"/>
          <w:highlight w:val="none"/>
        </w:rPr>
      </w:pPr>
      <w:r>
        <w:rPr>
          <w:rFonts w:hint="eastAsia"/>
          <w:color w:val="auto"/>
          <w:highlight w:val="none"/>
        </w:rPr>
        <w:t>（3）除因不可抗力或采购文件认可的情形以外，成交供应商放弃成交资格的；</w:t>
      </w:r>
    </w:p>
    <w:p w14:paraId="63E2F475">
      <w:pPr>
        <w:adjustRightInd w:val="0"/>
        <w:snapToGrid w:val="0"/>
        <w:spacing w:line="360" w:lineRule="auto"/>
        <w:ind w:firstLine="420" w:firstLineChars="200"/>
        <w:rPr>
          <w:color w:val="auto"/>
          <w:highlight w:val="none"/>
        </w:rPr>
      </w:pPr>
      <w:r>
        <w:rPr>
          <w:rFonts w:hint="eastAsia"/>
          <w:color w:val="auto"/>
          <w:highlight w:val="none"/>
        </w:rPr>
        <w:t>（4）供应商与采购人、其他供应商或者采购人恶意串通的；</w:t>
      </w:r>
    </w:p>
    <w:p w14:paraId="2BDF0AE3">
      <w:pPr>
        <w:adjustRightInd w:val="0"/>
        <w:snapToGrid w:val="0"/>
        <w:spacing w:line="360" w:lineRule="auto"/>
        <w:ind w:firstLine="420" w:firstLineChars="200"/>
        <w:rPr>
          <w:color w:val="auto"/>
          <w:highlight w:val="none"/>
        </w:rPr>
      </w:pPr>
      <w:r>
        <w:rPr>
          <w:rFonts w:hint="eastAsia"/>
          <w:color w:val="auto"/>
          <w:highlight w:val="none"/>
        </w:rPr>
        <w:t>（5）成交供应商无正当理由不与采购人签订合同的；</w:t>
      </w:r>
    </w:p>
    <w:p w14:paraId="5EDA4967">
      <w:pPr>
        <w:adjustRightInd w:val="0"/>
        <w:snapToGrid w:val="0"/>
        <w:spacing w:line="360" w:lineRule="auto"/>
        <w:ind w:firstLine="420" w:firstLineChars="200"/>
        <w:rPr>
          <w:color w:val="auto"/>
          <w:highlight w:val="none"/>
        </w:rPr>
      </w:pPr>
      <w:r>
        <w:rPr>
          <w:rFonts w:hint="eastAsia"/>
          <w:color w:val="auto"/>
          <w:highlight w:val="none"/>
        </w:rPr>
        <w:t>（6）供应商有违反政府采购法律、法规和扰乱会场秩序行为的；</w:t>
      </w:r>
    </w:p>
    <w:p w14:paraId="3A522857">
      <w:pPr>
        <w:adjustRightInd w:val="0"/>
        <w:snapToGrid w:val="0"/>
        <w:spacing w:line="360" w:lineRule="auto"/>
        <w:ind w:firstLine="420" w:firstLineChars="200"/>
        <w:rPr>
          <w:color w:val="auto"/>
          <w:highlight w:val="none"/>
        </w:rPr>
      </w:pPr>
      <w:r>
        <w:rPr>
          <w:rFonts w:hint="eastAsia"/>
          <w:color w:val="auto"/>
          <w:highlight w:val="none"/>
        </w:rPr>
        <w:t>（7）拒绝履行合同义务的；</w:t>
      </w:r>
    </w:p>
    <w:p w14:paraId="2E6FCB39">
      <w:pPr>
        <w:pStyle w:val="10"/>
        <w:rPr>
          <w:color w:val="auto"/>
          <w:highlight w:val="none"/>
        </w:rPr>
      </w:pPr>
      <w:r>
        <w:rPr>
          <w:rFonts w:hint="eastAsia"/>
          <w:color w:val="auto"/>
          <w:highlight w:val="none"/>
        </w:rPr>
        <w:t>（8）法律法规及采购文件规定的其他情形。</w:t>
      </w:r>
    </w:p>
    <w:p w14:paraId="3FB5244D">
      <w:pPr>
        <w:adjustRightInd w:val="0"/>
        <w:snapToGrid w:val="0"/>
        <w:spacing w:line="360" w:lineRule="auto"/>
        <w:ind w:firstLine="420" w:firstLineChars="200"/>
        <w:rPr>
          <w:color w:val="auto"/>
          <w:highlight w:val="none"/>
        </w:rPr>
      </w:pPr>
      <w:r>
        <w:rPr>
          <w:rFonts w:hint="eastAsia"/>
          <w:color w:val="auto"/>
          <w:highlight w:val="none"/>
        </w:rPr>
        <w:t>上述不予退还响应保证金的情况给采购人或采购人造成损失的，还要承担赔偿责任。</w:t>
      </w:r>
    </w:p>
    <w:p w14:paraId="034AEFCE">
      <w:pPr>
        <w:adjustRightInd w:val="0"/>
        <w:snapToGrid w:val="0"/>
        <w:spacing w:line="360" w:lineRule="auto"/>
        <w:ind w:firstLine="420" w:firstLineChars="200"/>
        <w:rPr>
          <w:color w:val="auto"/>
          <w:highlight w:val="none"/>
        </w:rPr>
      </w:pPr>
      <w:r>
        <w:rPr>
          <w:rFonts w:hint="eastAsia"/>
          <w:color w:val="auto"/>
          <w:highlight w:val="none"/>
        </w:rPr>
        <w:t>15.响应文件的格式及签署</w:t>
      </w:r>
    </w:p>
    <w:p w14:paraId="766B44E5">
      <w:pPr>
        <w:adjustRightInd w:val="0"/>
        <w:snapToGrid w:val="0"/>
        <w:spacing w:line="360" w:lineRule="auto"/>
        <w:ind w:firstLine="420" w:firstLineChars="200"/>
        <w:rPr>
          <w:color w:val="auto"/>
          <w:highlight w:val="none"/>
        </w:rPr>
      </w:pPr>
      <w:r>
        <w:rPr>
          <w:rFonts w:hint="eastAsia"/>
          <w:color w:val="auto"/>
          <w:highlight w:val="none"/>
        </w:rPr>
        <w:t>15.1响应文件正本一份，副本若干份，电子版响应文件（PDF格式）U盘一个。正本、副本必须打印装订，副本可以用正本的完整复印件，并在封面标明“正本</w:t>
      </w:r>
      <w:r>
        <w:rPr>
          <w:rFonts w:hint="eastAsia"/>
          <w:color w:val="auto"/>
          <w:highlight w:val="none"/>
          <w:lang w:eastAsia="zh-CN"/>
        </w:rPr>
        <w:t>”“</w:t>
      </w:r>
      <w:r>
        <w:rPr>
          <w:rFonts w:hint="eastAsia"/>
          <w:color w:val="auto"/>
          <w:highlight w:val="none"/>
        </w:rPr>
        <w:t>副本”字样。电子版响应文件（PDF格式）为正本完整版的扫描件。正本与副本如有不一致，则以正本为准。</w:t>
      </w:r>
    </w:p>
    <w:p w14:paraId="06599498">
      <w:pPr>
        <w:adjustRightInd w:val="0"/>
        <w:snapToGrid w:val="0"/>
        <w:spacing w:line="360" w:lineRule="auto"/>
        <w:ind w:firstLine="420" w:firstLineChars="200"/>
        <w:rPr>
          <w:color w:val="auto"/>
          <w:highlight w:val="none"/>
        </w:rPr>
      </w:pPr>
      <w:r>
        <w:rPr>
          <w:rFonts w:hint="eastAsia"/>
          <w:color w:val="auto"/>
          <w:highlight w:val="none"/>
        </w:rPr>
        <w:t>15.2响应文件应当由供应商的法定代表人或经其正式授权的代表签字，授权代表须出具书面的法定代表人授权委托书并附载响应文件中，否则视为无效响应文件；</w:t>
      </w:r>
    </w:p>
    <w:p w14:paraId="34776C71">
      <w:pPr>
        <w:adjustRightInd w:val="0"/>
        <w:snapToGrid w:val="0"/>
        <w:spacing w:line="360" w:lineRule="auto"/>
        <w:ind w:firstLine="420" w:firstLineChars="200"/>
        <w:rPr>
          <w:color w:val="auto"/>
          <w:highlight w:val="none"/>
        </w:rPr>
      </w:pPr>
      <w:r>
        <w:rPr>
          <w:rFonts w:hint="eastAsia"/>
          <w:color w:val="auto"/>
          <w:highlight w:val="none"/>
        </w:rPr>
        <w:t>15.3响应文件所使用的印章必须为单位公章，且与供应商单位名称完全一致，不能以其他业务章或附属机构印章代替，否则视为无效响应文件；</w:t>
      </w:r>
    </w:p>
    <w:p w14:paraId="0466FE86">
      <w:pPr>
        <w:adjustRightInd w:val="0"/>
        <w:snapToGrid w:val="0"/>
        <w:spacing w:line="360" w:lineRule="auto"/>
        <w:ind w:firstLine="420" w:firstLineChars="200"/>
        <w:rPr>
          <w:color w:val="auto"/>
          <w:highlight w:val="none"/>
        </w:rPr>
      </w:pPr>
      <w:r>
        <w:rPr>
          <w:rFonts w:hint="eastAsia"/>
          <w:color w:val="auto"/>
          <w:highlight w:val="none"/>
        </w:rPr>
        <w:t>15.4响应文件中的任何行间插字，涂改和增删，须由法定代表人或经其正式授权的代表在旁边签字方可有效；</w:t>
      </w:r>
    </w:p>
    <w:p w14:paraId="43299B44">
      <w:pPr>
        <w:adjustRightInd w:val="0"/>
        <w:snapToGrid w:val="0"/>
        <w:spacing w:line="360" w:lineRule="auto"/>
        <w:ind w:firstLine="420" w:firstLineChars="200"/>
        <w:rPr>
          <w:color w:val="auto"/>
          <w:highlight w:val="none"/>
        </w:rPr>
      </w:pPr>
      <w:r>
        <w:rPr>
          <w:rFonts w:hint="eastAsia"/>
          <w:color w:val="auto"/>
          <w:highlight w:val="none"/>
        </w:rPr>
        <w:t>15.5供应商应按照采购文件第六章中提供的“响应文件格式”编制响应文件，如自有格式并按其格式编制的响应文件，其内容必须包含“响应文件格式”中所有的实质性内容并受其约束。</w:t>
      </w:r>
    </w:p>
    <w:p w14:paraId="4F4CF591">
      <w:pPr>
        <w:adjustRightInd w:val="0"/>
        <w:snapToGrid w:val="0"/>
        <w:spacing w:line="360" w:lineRule="auto"/>
        <w:ind w:firstLine="420" w:firstLineChars="200"/>
        <w:rPr>
          <w:color w:val="auto"/>
          <w:highlight w:val="none"/>
        </w:rPr>
      </w:pPr>
      <w:r>
        <w:rPr>
          <w:rFonts w:hint="eastAsia"/>
          <w:color w:val="auto"/>
          <w:highlight w:val="none"/>
        </w:rPr>
        <w:t>15.6供应商须将响应文件的商务部分、技术部分和价格部分整合为一份响应文件，并制作详细目录、页码索引。</w:t>
      </w:r>
    </w:p>
    <w:p w14:paraId="1130308B">
      <w:pPr>
        <w:adjustRightInd w:val="0"/>
        <w:snapToGrid w:val="0"/>
        <w:spacing w:line="360" w:lineRule="auto"/>
        <w:ind w:firstLine="420" w:firstLineChars="200"/>
        <w:rPr>
          <w:color w:val="auto"/>
          <w:highlight w:val="none"/>
        </w:rPr>
      </w:pPr>
      <w:r>
        <w:rPr>
          <w:rFonts w:hint="eastAsia"/>
          <w:color w:val="auto"/>
          <w:highlight w:val="none"/>
        </w:rPr>
        <w:t>15.7响应文件因字迹潦草或表达不清所引起的后果由供应商负责。</w:t>
      </w:r>
    </w:p>
    <w:p w14:paraId="2FFF19C5">
      <w:pPr>
        <w:adjustRightInd w:val="0"/>
        <w:snapToGrid w:val="0"/>
        <w:spacing w:line="360" w:lineRule="auto"/>
        <w:ind w:firstLine="420" w:firstLineChars="200"/>
        <w:outlineLvl w:val="1"/>
        <w:rPr>
          <w:color w:val="auto"/>
          <w:highlight w:val="none"/>
        </w:rPr>
      </w:pPr>
      <w:bookmarkStart w:id="54" w:name="_Toc246826111"/>
      <w:r>
        <w:rPr>
          <w:rFonts w:hint="eastAsia"/>
          <w:color w:val="auto"/>
          <w:highlight w:val="none"/>
        </w:rPr>
        <w:t>四、响应文件的提交</w:t>
      </w:r>
      <w:bookmarkEnd w:id="54"/>
    </w:p>
    <w:p w14:paraId="32CC78F5">
      <w:pPr>
        <w:adjustRightInd w:val="0"/>
        <w:snapToGrid w:val="0"/>
        <w:spacing w:line="360" w:lineRule="auto"/>
        <w:ind w:firstLine="420" w:firstLineChars="200"/>
        <w:outlineLvl w:val="1"/>
        <w:rPr>
          <w:color w:val="auto"/>
          <w:highlight w:val="none"/>
        </w:rPr>
      </w:pPr>
      <w:r>
        <w:rPr>
          <w:rFonts w:hint="eastAsia"/>
          <w:color w:val="auto"/>
          <w:highlight w:val="none"/>
        </w:rPr>
        <w:t>16.响应文件的密封和递交</w:t>
      </w:r>
    </w:p>
    <w:p w14:paraId="42FFF77E">
      <w:pPr>
        <w:pStyle w:val="6"/>
        <w:adjustRightInd w:val="0"/>
        <w:snapToGrid w:val="0"/>
        <w:spacing w:line="360" w:lineRule="auto"/>
        <w:ind w:firstLine="420" w:firstLineChars="200"/>
        <w:rPr>
          <w:color w:val="auto"/>
          <w:highlight w:val="none"/>
        </w:rPr>
      </w:pPr>
      <w:r>
        <w:rPr>
          <w:rFonts w:hint="eastAsia"/>
          <w:color w:val="auto"/>
          <w:highlight w:val="none"/>
        </w:rPr>
        <w:t>16.1供应商应将纸质版响应文件和电子版响应文件（PDF格式）密封提交，响应文件密封袋上标示“供应商须知前附表”所规定的内容。</w:t>
      </w:r>
    </w:p>
    <w:p w14:paraId="10971F5C">
      <w:pPr>
        <w:adjustRightInd w:val="0"/>
        <w:snapToGrid w:val="0"/>
        <w:spacing w:line="360" w:lineRule="auto"/>
        <w:ind w:firstLine="420" w:firstLineChars="200"/>
        <w:outlineLvl w:val="1"/>
        <w:rPr>
          <w:color w:val="auto"/>
          <w:highlight w:val="none"/>
        </w:rPr>
      </w:pPr>
      <w:r>
        <w:rPr>
          <w:rFonts w:hint="eastAsia"/>
          <w:color w:val="auto"/>
          <w:highlight w:val="none"/>
        </w:rPr>
        <w:t>16.2电子版响应文件U盘应密封提交。</w:t>
      </w:r>
    </w:p>
    <w:p w14:paraId="5785FA73">
      <w:pPr>
        <w:adjustRightInd w:val="0"/>
        <w:snapToGrid w:val="0"/>
        <w:spacing w:line="360" w:lineRule="auto"/>
        <w:ind w:firstLine="420" w:firstLineChars="200"/>
        <w:outlineLvl w:val="1"/>
        <w:rPr>
          <w:color w:val="auto"/>
          <w:highlight w:val="none"/>
        </w:rPr>
      </w:pPr>
      <w:r>
        <w:rPr>
          <w:rFonts w:hint="eastAsia"/>
          <w:color w:val="auto"/>
          <w:highlight w:val="none"/>
        </w:rPr>
        <w:t>16.3供应商应将响应文件按照本须知正文第16.1条及16.2的规定进行密封和标记后，按第一章/比选公告注明的递交响应文件地址送至采购人指定地点。</w:t>
      </w:r>
    </w:p>
    <w:p w14:paraId="7A14A0CC">
      <w:pPr>
        <w:adjustRightInd w:val="0"/>
        <w:snapToGrid w:val="0"/>
        <w:spacing w:line="360" w:lineRule="auto"/>
        <w:ind w:firstLine="420" w:firstLineChars="200"/>
        <w:outlineLvl w:val="1"/>
        <w:rPr>
          <w:color w:val="auto"/>
          <w:highlight w:val="none"/>
        </w:rPr>
      </w:pPr>
      <w:r>
        <w:rPr>
          <w:rFonts w:hint="eastAsia"/>
          <w:color w:val="auto"/>
          <w:highlight w:val="none"/>
        </w:rPr>
        <w:t>16.4如果未按上述规定进行密封和标记，采购人将不承担由此造成的对响应文件的误投或提前拆封的责任。</w:t>
      </w:r>
    </w:p>
    <w:p w14:paraId="7BE52C6E">
      <w:pPr>
        <w:adjustRightInd w:val="0"/>
        <w:snapToGrid w:val="0"/>
        <w:spacing w:line="360" w:lineRule="auto"/>
        <w:ind w:firstLine="420" w:firstLineChars="200"/>
        <w:outlineLvl w:val="1"/>
        <w:rPr>
          <w:color w:val="auto"/>
          <w:highlight w:val="none"/>
        </w:rPr>
      </w:pPr>
      <w:r>
        <w:rPr>
          <w:rFonts w:hint="eastAsia"/>
          <w:color w:val="auto"/>
          <w:highlight w:val="none"/>
        </w:rPr>
        <w:t>16.5响应文件应在第一章/比选公告中所规定的响应文件递交截止时间前送达，迟到的响应文件为无效响应文件</w:t>
      </w:r>
      <w:r>
        <w:rPr>
          <w:rFonts w:hint="eastAsia"/>
          <w:color w:val="auto"/>
          <w:highlight w:val="none"/>
          <w:lang w:eastAsia="zh-CN"/>
        </w:rPr>
        <w:t>，</w:t>
      </w:r>
      <w:r>
        <w:rPr>
          <w:rFonts w:hint="eastAsia"/>
          <w:color w:val="auto"/>
          <w:highlight w:val="none"/>
        </w:rPr>
        <w:t>将被拒收；未按照采购文件要求密封的响应文件将被拒收。</w:t>
      </w:r>
    </w:p>
    <w:p w14:paraId="7B40CE9B">
      <w:pPr>
        <w:adjustRightInd w:val="0"/>
        <w:snapToGrid w:val="0"/>
        <w:spacing w:line="360" w:lineRule="auto"/>
        <w:ind w:firstLine="420" w:firstLineChars="200"/>
        <w:outlineLvl w:val="1"/>
        <w:rPr>
          <w:color w:val="auto"/>
          <w:highlight w:val="none"/>
        </w:rPr>
      </w:pPr>
      <w:r>
        <w:rPr>
          <w:rFonts w:hint="eastAsia"/>
          <w:color w:val="auto"/>
          <w:highlight w:val="none"/>
        </w:rPr>
        <w:t>16.6接受邮寄的响应文件，但必须密封完整。</w:t>
      </w:r>
      <w:bookmarkStart w:id="55" w:name="_Toc183682365"/>
      <w:bookmarkStart w:id="56" w:name="_Toc183582228"/>
      <w:bookmarkStart w:id="57" w:name="_Toc217446055"/>
    </w:p>
    <w:p w14:paraId="28CF8EB0">
      <w:pPr>
        <w:adjustRightInd w:val="0"/>
        <w:snapToGrid w:val="0"/>
        <w:spacing w:line="360" w:lineRule="auto"/>
        <w:ind w:firstLine="420" w:firstLineChars="200"/>
        <w:outlineLvl w:val="1"/>
        <w:rPr>
          <w:color w:val="auto"/>
          <w:highlight w:val="none"/>
        </w:rPr>
      </w:pPr>
      <w:r>
        <w:rPr>
          <w:rFonts w:hint="eastAsia"/>
          <w:color w:val="auto"/>
          <w:highlight w:val="none"/>
        </w:rPr>
        <w:t>17.响应文件的修改和撤</w:t>
      </w:r>
      <w:bookmarkEnd w:id="55"/>
      <w:bookmarkEnd w:id="56"/>
      <w:r>
        <w:rPr>
          <w:rFonts w:hint="eastAsia"/>
          <w:color w:val="auto"/>
          <w:highlight w:val="none"/>
        </w:rPr>
        <w:t>回</w:t>
      </w:r>
      <w:bookmarkEnd w:id="57"/>
    </w:p>
    <w:p w14:paraId="51393C63">
      <w:pPr>
        <w:adjustRightInd w:val="0"/>
        <w:snapToGrid w:val="0"/>
        <w:spacing w:line="360" w:lineRule="auto"/>
        <w:ind w:firstLine="420" w:firstLineChars="200"/>
        <w:rPr>
          <w:color w:val="auto"/>
          <w:highlight w:val="none"/>
        </w:rPr>
      </w:pPr>
      <w:bookmarkStart w:id="58" w:name="_Toc246826112"/>
      <w:r>
        <w:rPr>
          <w:rFonts w:hint="eastAsia"/>
          <w:color w:val="auto"/>
          <w:highlight w:val="none"/>
        </w:rPr>
        <w:t>17.l供应商在提交响应文件后可对其进行修改或撤回，但必须使采购人在响应文件递交截止时间前收到该修改的书面内容或撤回的书面通知。</w:t>
      </w:r>
    </w:p>
    <w:p w14:paraId="6CD5457E">
      <w:pPr>
        <w:adjustRightInd w:val="0"/>
        <w:snapToGrid w:val="0"/>
        <w:spacing w:line="360" w:lineRule="auto"/>
        <w:ind w:firstLine="420" w:firstLineChars="200"/>
        <w:rPr>
          <w:color w:val="auto"/>
          <w:highlight w:val="none"/>
        </w:rPr>
      </w:pPr>
      <w:r>
        <w:rPr>
          <w:rFonts w:hint="eastAsia"/>
          <w:color w:val="auto"/>
          <w:highlight w:val="none"/>
        </w:rPr>
        <w:t>17.2响应文件的修改文件应按第15条规定签署，并按第16.1条规定盖章及标记，还须注明“修改响应文件”和“开标前不得启封”字样。修改文件须在响应文件递交截止时间前送达规定的响应文件递交地点。上述补充或修改若涉及响应报价，必须注明“最终唯一报价”字样，否则将视为有选择的报价。</w:t>
      </w:r>
    </w:p>
    <w:p w14:paraId="7CE7B988">
      <w:pPr>
        <w:adjustRightInd w:val="0"/>
        <w:snapToGrid w:val="0"/>
        <w:spacing w:line="360" w:lineRule="auto"/>
        <w:ind w:firstLine="420" w:firstLineChars="200"/>
        <w:rPr>
          <w:color w:val="auto"/>
          <w:highlight w:val="none"/>
        </w:rPr>
      </w:pPr>
      <w:r>
        <w:rPr>
          <w:rFonts w:hint="eastAsia"/>
          <w:color w:val="auto"/>
          <w:highlight w:val="none"/>
        </w:rPr>
        <w:t>17.3供应商不得在响应文件递交截止时间以后修改或/和撤回响应文件。</w:t>
      </w:r>
    </w:p>
    <w:p w14:paraId="0627615A">
      <w:pPr>
        <w:adjustRightInd w:val="0"/>
        <w:snapToGrid w:val="0"/>
        <w:spacing w:line="360" w:lineRule="auto"/>
        <w:ind w:firstLine="420" w:firstLineChars="200"/>
        <w:rPr>
          <w:color w:val="auto"/>
          <w:highlight w:val="none"/>
        </w:rPr>
      </w:pPr>
      <w:r>
        <w:rPr>
          <w:rFonts w:hint="eastAsia"/>
          <w:color w:val="auto"/>
          <w:highlight w:val="none"/>
        </w:rPr>
        <w:t>五、开标与</w:t>
      </w:r>
      <w:bookmarkEnd w:id="58"/>
      <w:r>
        <w:rPr>
          <w:rFonts w:hint="eastAsia"/>
          <w:color w:val="auto"/>
          <w:highlight w:val="none"/>
        </w:rPr>
        <w:t>评审</w:t>
      </w:r>
    </w:p>
    <w:p w14:paraId="503207CD">
      <w:pPr>
        <w:adjustRightInd w:val="0"/>
        <w:snapToGrid w:val="0"/>
        <w:spacing w:line="360" w:lineRule="auto"/>
        <w:ind w:firstLine="420" w:firstLineChars="200"/>
        <w:outlineLvl w:val="1"/>
        <w:rPr>
          <w:color w:val="auto"/>
          <w:highlight w:val="none"/>
        </w:rPr>
      </w:pPr>
      <w:r>
        <w:rPr>
          <w:rFonts w:hint="eastAsia"/>
          <w:color w:val="auto"/>
          <w:highlight w:val="none"/>
        </w:rPr>
        <w:t>18．开标</w:t>
      </w:r>
    </w:p>
    <w:p w14:paraId="3B5E528B">
      <w:pPr>
        <w:adjustRightInd w:val="0"/>
        <w:snapToGrid w:val="0"/>
        <w:spacing w:line="360" w:lineRule="auto"/>
        <w:ind w:firstLine="420" w:firstLineChars="200"/>
        <w:outlineLvl w:val="1"/>
        <w:rPr>
          <w:color w:val="auto"/>
          <w:highlight w:val="none"/>
        </w:rPr>
      </w:pPr>
      <w:r>
        <w:rPr>
          <w:rFonts w:hint="eastAsia"/>
          <w:color w:val="auto"/>
          <w:highlight w:val="none"/>
        </w:rPr>
        <w:t>18.1在第一章/比选公告所规定的开标时间和地点开标。</w:t>
      </w:r>
    </w:p>
    <w:p w14:paraId="19A84A3E">
      <w:pPr>
        <w:adjustRightInd w:val="0"/>
        <w:snapToGrid w:val="0"/>
        <w:spacing w:line="360" w:lineRule="auto"/>
        <w:ind w:firstLine="420" w:firstLineChars="200"/>
        <w:outlineLvl w:val="1"/>
        <w:rPr>
          <w:color w:val="auto"/>
          <w:highlight w:val="none"/>
        </w:rPr>
      </w:pPr>
      <w:r>
        <w:rPr>
          <w:rFonts w:hint="eastAsia"/>
          <w:color w:val="auto"/>
          <w:highlight w:val="none"/>
        </w:rPr>
        <w:t>18.2开标时，供应商法定代表人或法人授权的供应商授权代表须携带个人身份证（或其他有效证件）复印件和授权委托书原件亲自出席开标会并确认开标情况。如果不参加开标会议的，则视为认可开标情况。</w:t>
      </w:r>
    </w:p>
    <w:p w14:paraId="376B9547">
      <w:pPr>
        <w:adjustRightInd w:val="0"/>
        <w:snapToGrid w:val="0"/>
        <w:spacing w:line="360" w:lineRule="auto"/>
        <w:ind w:firstLine="420" w:firstLineChars="200"/>
        <w:outlineLvl w:val="1"/>
        <w:rPr>
          <w:color w:val="auto"/>
          <w:highlight w:val="none"/>
        </w:rPr>
      </w:pPr>
      <w:r>
        <w:rPr>
          <w:rFonts w:hint="eastAsia"/>
          <w:color w:val="auto"/>
          <w:highlight w:val="none"/>
        </w:rPr>
        <w:t>18.3开标时，由供应商代表或采购人内部监督部门，检查响应文件的密封情况</w:t>
      </w:r>
      <w:r>
        <w:rPr>
          <w:rFonts w:hint="eastAsia"/>
          <w:color w:val="auto"/>
          <w:highlight w:val="none"/>
          <w:lang w:eastAsia="zh-CN"/>
        </w:rPr>
        <w:t>，</w:t>
      </w:r>
      <w:r>
        <w:rPr>
          <w:rFonts w:hint="eastAsia"/>
          <w:color w:val="auto"/>
          <w:highlight w:val="none"/>
        </w:rPr>
        <w:t>供应商认为响应文件存在密封有瑕疵情形的，现场应如实记录，由评审委员会对响应文件实质性有效与否作出判断，由此产生的风险由供应商自行承担。</w:t>
      </w:r>
    </w:p>
    <w:p w14:paraId="08055A4D">
      <w:pPr>
        <w:adjustRightInd w:val="0"/>
        <w:snapToGrid w:val="0"/>
        <w:spacing w:line="360" w:lineRule="auto"/>
        <w:ind w:firstLine="420" w:firstLineChars="200"/>
        <w:outlineLvl w:val="1"/>
        <w:rPr>
          <w:color w:val="auto"/>
          <w:highlight w:val="none"/>
        </w:rPr>
      </w:pPr>
      <w:r>
        <w:rPr>
          <w:rFonts w:hint="eastAsia"/>
          <w:color w:val="auto"/>
          <w:highlight w:val="none"/>
        </w:rPr>
        <w:t>18.4开标程序详见“供应商须知前附表”。</w:t>
      </w:r>
    </w:p>
    <w:p w14:paraId="16C5F531">
      <w:pPr>
        <w:adjustRightInd w:val="0"/>
        <w:snapToGrid w:val="0"/>
        <w:spacing w:line="360" w:lineRule="auto"/>
        <w:ind w:firstLine="420" w:firstLineChars="200"/>
        <w:outlineLvl w:val="1"/>
        <w:rPr>
          <w:rFonts w:hint="eastAsia"/>
          <w:color w:val="auto"/>
          <w:highlight w:val="none"/>
        </w:rPr>
      </w:pPr>
      <w:r>
        <w:rPr>
          <w:rFonts w:hint="eastAsia"/>
          <w:color w:val="auto"/>
          <w:highlight w:val="none"/>
        </w:rPr>
        <w:t>18.5唱标要求详见“供应商须知前附表”。</w:t>
      </w:r>
    </w:p>
    <w:p w14:paraId="2F9C153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18.6资格审查：开标结束后，先对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的资格进行审查，以确定其是否具备合格的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资格，合格</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不足3家的，不得</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。依据法律法规和采购文件的规定，资格审查内容是指采购文件对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的资格要求等内容，详见《资格审查表》。</w:t>
      </w:r>
    </w:p>
    <w:p w14:paraId="1569C5A4">
      <w:pPr>
        <w:adjustRightInd w:val="0"/>
        <w:snapToGrid w:val="0"/>
        <w:spacing w:line="360" w:lineRule="auto"/>
        <w:ind w:firstLine="420" w:firstLineChars="200"/>
        <w:outlineLvl w:val="1"/>
        <w:rPr>
          <w:rFonts w:hint="eastAsia"/>
          <w:color w:val="auto"/>
          <w:highlight w:val="none"/>
        </w:rPr>
      </w:pPr>
    </w:p>
    <w:p w14:paraId="53C0E7AD">
      <w:pPr>
        <w:adjustRightInd w:val="0"/>
        <w:snapToGrid w:val="0"/>
        <w:spacing w:line="360" w:lineRule="auto"/>
        <w:ind w:firstLine="420" w:firstLineChars="200"/>
        <w:outlineLvl w:val="1"/>
        <w:rPr>
          <w:color w:val="auto"/>
          <w:highlight w:val="none"/>
        </w:rPr>
      </w:pPr>
      <w:r>
        <w:rPr>
          <w:rFonts w:hint="eastAsia"/>
          <w:color w:val="auto"/>
          <w:highlight w:val="none"/>
        </w:rPr>
        <w:t>19、评审</w:t>
      </w:r>
    </w:p>
    <w:p w14:paraId="5EC357E7">
      <w:pPr>
        <w:adjustRightInd w:val="0"/>
        <w:snapToGrid w:val="0"/>
        <w:spacing w:line="360" w:lineRule="auto"/>
        <w:ind w:firstLine="420" w:firstLineChars="200"/>
        <w:outlineLvl w:val="1"/>
        <w:rPr>
          <w:color w:val="auto"/>
          <w:highlight w:val="none"/>
        </w:rPr>
      </w:pPr>
      <w:r>
        <w:rPr>
          <w:rFonts w:hint="eastAsia"/>
          <w:color w:val="auto"/>
          <w:highlight w:val="none"/>
        </w:rPr>
        <w:t>19.1评审委员会</w:t>
      </w:r>
    </w:p>
    <w:p w14:paraId="23AEDE23">
      <w:pPr>
        <w:pStyle w:val="6"/>
        <w:adjustRightInd w:val="0"/>
        <w:snapToGrid w:val="0"/>
        <w:spacing w:line="360" w:lineRule="auto"/>
        <w:ind w:firstLine="420" w:firstLineChars="200"/>
        <w:rPr>
          <w:color w:val="auto"/>
          <w:highlight w:val="none"/>
        </w:rPr>
      </w:pPr>
      <w:r>
        <w:rPr>
          <w:rFonts w:hint="eastAsia"/>
          <w:color w:val="auto"/>
          <w:highlight w:val="none"/>
        </w:rPr>
        <w:t>19.1.1评审委员会由采购人自行组建，成员人数应当为3人以上单数。</w:t>
      </w:r>
    </w:p>
    <w:p w14:paraId="172D392F">
      <w:pPr>
        <w:snapToGrid w:val="0"/>
        <w:spacing w:line="360" w:lineRule="auto"/>
        <w:ind w:firstLine="420" w:firstLineChars="200"/>
        <w:outlineLvl w:val="1"/>
        <w:rPr>
          <w:color w:val="auto"/>
          <w:highlight w:val="none"/>
        </w:rPr>
      </w:pPr>
      <w:r>
        <w:rPr>
          <w:rFonts w:hint="eastAsia"/>
          <w:color w:val="auto"/>
          <w:highlight w:val="none"/>
        </w:rPr>
        <w:t>19.1.2评审委员会成员与供应商有下列利害关系之一的，应当回避：</w:t>
      </w:r>
    </w:p>
    <w:p w14:paraId="6ED5FB00">
      <w:pPr>
        <w:snapToGrid w:val="0"/>
        <w:spacing w:line="360" w:lineRule="auto"/>
        <w:ind w:firstLine="420" w:firstLineChars="200"/>
        <w:outlineLvl w:val="1"/>
        <w:rPr>
          <w:color w:val="auto"/>
          <w:highlight w:val="none"/>
        </w:rPr>
      </w:pPr>
      <w:r>
        <w:rPr>
          <w:rFonts w:hint="eastAsia"/>
          <w:color w:val="auto"/>
          <w:highlight w:val="none"/>
        </w:rPr>
        <w:t>（1）参加采购活动前3年内与供应商存在劳动关系；</w:t>
      </w:r>
    </w:p>
    <w:p w14:paraId="61E83825">
      <w:pPr>
        <w:snapToGrid w:val="0"/>
        <w:spacing w:line="360" w:lineRule="auto"/>
        <w:ind w:firstLine="420" w:firstLineChars="200"/>
        <w:outlineLvl w:val="1"/>
        <w:rPr>
          <w:color w:val="auto"/>
          <w:highlight w:val="none"/>
        </w:rPr>
      </w:pPr>
      <w:r>
        <w:rPr>
          <w:rFonts w:hint="eastAsia"/>
          <w:color w:val="auto"/>
          <w:highlight w:val="none"/>
        </w:rPr>
        <w:t>（2）参加采购活动前3年内担任供应商的董事、监事；</w:t>
      </w:r>
    </w:p>
    <w:p w14:paraId="34DF7253">
      <w:pPr>
        <w:snapToGrid w:val="0"/>
        <w:spacing w:line="360" w:lineRule="auto"/>
        <w:ind w:firstLine="420" w:firstLineChars="200"/>
        <w:outlineLvl w:val="1"/>
        <w:rPr>
          <w:color w:val="auto"/>
          <w:highlight w:val="none"/>
        </w:rPr>
      </w:pPr>
      <w:r>
        <w:rPr>
          <w:rFonts w:hint="eastAsia"/>
          <w:color w:val="auto"/>
          <w:highlight w:val="none"/>
        </w:rPr>
        <w:t>（3）参加采购活动前3年内是供应商的控股股东或者实际控制人；</w:t>
      </w:r>
    </w:p>
    <w:p w14:paraId="19A1C5A4">
      <w:pPr>
        <w:snapToGrid w:val="0"/>
        <w:spacing w:line="360" w:lineRule="auto"/>
        <w:ind w:firstLine="420" w:firstLineChars="200"/>
        <w:outlineLvl w:val="1"/>
        <w:rPr>
          <w:color w:val="auto"/>
          <w:highlight w:val="none"/>
        </w:rPr>
      </w:pPr>
      <w:r>
        <w:rPr>
          <w:rFonts w:hint="eastAsia"/>
          <w:color w:val="auto"/>
          <w:highlight w:val="none"/>
        </w:rPr>
        <w:t>（4）与供应商的法定代表人或者负责人有夫妻、直系血亲、三代以内旁系血亲或者近姻亲关系；</w:t>
      </w:r>
    </w:p>
    <w:p w14:paraId="09457095">
      <w:pPr>
        <w:snapToGrid w:val="0"/>
        <w:spacing w:line="360" w:lineRule="auto"/>
        <w:ind w:firstLine="420" w:firstLineChars="200"/>
        <w:outlineLvl w:val="1"/>
        <w:rPr>
          <w:color w:val="auto"/>
          <w:highlight w:val="none"/>
        </w:rPr>
      </w:pPr>
      <w:r>
        <w:rPr>
          <w:rFonts w:hint="eastAsia"/>
          <w:color w:val="auto"/>
          <w:highlight w:val="none"/>
        </w:rPr>
        <w:t>（5）与供应商有其他可能影响政府采购活动公平、公正进行的关系。</w:t>
      </w:r>
    </w:p>
    <w:p w14:paraId="35F9C76F">
      <w:pPr>
        <w:snapToGrid w:val="0"/>
        <w:spacing w:line="360" w:lineRule="auto"/>
        <w:ind w:firstLine="420" w:firstLineChars="200"/>
        <w:outlineLvl w:val="1"/>
        <w:rPr>
          <w:rFonts w:asciiTheme="minorEastAsia" w:hAnsiTheme="minorEastAsia" w:eastAsiaTheme="minorEastAsia" w:cstheme="minorEastAsia"/>
          <w:color w:val="auto"/>
          <w:highlight w:val="none"/>
        </w:rPr>
      </w:pPr>
      <w:r>
        <w:rPr>
          <w:rFonts w:hint="eastAsia"/>
          <w:color w:val="auto"/>
          <w:highlight w:val="none"/>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14:paraId="65309298">
      <w:pPr>
        <w:pStyle w:val="6"/>
        <w:adjustRightInd w:val="0"/>
        <w:snapToGrid w:val="0"/>
        <w:spacing w:line="360" w:lineRule="auto"/>
        <w:ind w:firstLine="420" w:firstLineChars="200"/>
        <w:rPr>
          <w:color w:val="auto"/>
          <w:highlight w:val="none"/>
        </w:rPr>
      </w:pPr>
      <w:r>
        <w:rPr>
          <w:rFonts w:hint="eastAsia" w:asciiTheme="minorEastAsia" w:hAnsiTheme="minorEastAsia" w:eastAsiaTheme="minorEastAsia" w:cstheme="minorEastAsia"/>
          <w:color w:val="auto"/>
          <w:highlight w:val="none"/>
        </w:rPr>
        <w:t>19.1.3</w:t>
      </w:r>
      <w:r>
        <w:rPr>
          <w:rFonts w:hint="eastAsia"/>
          <w:color w:val="auto"/>
          <w:highlight w:val="none"/>
        </w:rPr>
        <w:t>评审委员会将严格遵守评审工作纪律，按照客观、公正、审慎的原则，根据采购文件规定的评审程序、评审方法和评审标准进行独立评审。</w:t>
      </w:r>
    </w:p>
    <w:p w14:paraId="0B16D631">
      <w:pPr>
        <w:adjustRightInd w:val="0"/>
        <w:snapToGrid w:val="0"/>
        <w:spacing w:line="360" w:lineRule="auto"/>
        <w:ind w:firstLine="420" w:firstLineChars="200"/>
        <w:outlineLvl w:val="1"/>
        <w:rPr>
          <w:color w:val="auto"/>
          <w:highlight w:val="none"/>
        </w:rPr>
      </w:pPr>
      <w:r>
        <w:rPr>
          <w:rFonts w:hint="eastAsia"/>
          <w:color w:val="auto"/>
          <w:highlight w:val="none"/>
        </w:rPr>
        <w:t>19.2响应文件的评审</w:t>
      </w:r>
    </w:p>
    <w:p w14:paraId="7A8AFF91">
      <w:pPr>
        <w:adjustRightInd w:val="0"/>
        <w:snapToGrid w:val="0"/>
        <w:spacing w:line="360" w:lineRule="auto"/>
        <w:ind w:firstLine="420" w:firstLineChars="200"/>
        <w:outlineLvl w:val="1"/>
        <w:rPr>
          <w:color w:val="auto"/>
          <w:highlight w:val="none"/>
        </w:rPr>
      </w:pPr>
      <w:r>
        <w:rPr>
          <w:rFonts w:hint="eastAsia"/>
          <w:color w:val="auto"/>
          <w:highlight w:val="none"/>
        </w:rPr>
        <w:t>19.2.1要求</w:t>
      </w:r>
    </w:p>
    <w:p w14:paraId="4A538F8B">
      <w:pPr>
        <w:adjustRightInd w:val="0"/>
        <w:snapToGrid w:val="0"/>
        <w:spacing w:line="360" w:lineRule="auto"/>
        <w:ind w:firstLine="420" w:firstLineChars="200"/>
        <w:outlineLvl w:val="1"/>
        <w:rPr>
          <w:color w:val="auto"/>
          <w:highlight w:val="none"/>
        </w:rPr>
      </w:pPr>
      <w:r>
        <w:rPr>
          <w:rFonts w:hint="eastAsia"/>
          <w:color w:val="auto"/>
          <w:highlight w:val="none"/>
        </w:rPr>
        <w:t>评审委员会对所有供应商的评审，都采用相同的程序和标准并严格按照采购文件的要求和条件进行。评审委员会决定响应文件是否实质性响应只根据响应文件本身的内容，以及述标和/或演示内容（如果有），而不寻求其他的外部证据。</w:t>
      </w:r>
    </w:p>
    <w:p w14:paraId="29DF1EB6">
      <w:pPr>
        <w:adjustRightInd w:val="0"/>
        <w:snapToGrid w:val="0"/>
        <w:spacing w:line="360" w:lineRule="auto"/>
        <w:ind w:firstLine="420" w:firstLineChars="200"/>
        <w:outlineLvl w:val="1"/>
        <w:rPr>
          <w:color w:val="auto"/>
          <w:highlight w:val="none"/>
        </w:rPr>
      </w:pPr>
      <w:r>
        <w:rPr>
          <w:rFonts w:hint="eastAsia"/>
          <w:color w:val="auto"/>
          <w:highlight w:val="none"/>
        </w:rPr>
        <w:t>19.2.2符合性审查：依据采购文件的规定，评审委员会将从响应文件的有效性、完整性和对采购文件的响应程度进行审查，以确定是否符合对采购文件的实质性要求作出响应。</w:t>
      </w:r>
    </w:p>
    <w:p w14:paraId="6421DB76">
      <w:pPr>
        <w:adjustRightInd w:val="0"/>
        <w:snapToGrid w:val="0"/>
        <w:spacing w:line="360" w:lineRule="auto"/>
        <w:ind w:firstLine="420" w:firstLineChars="200"/>
        <w:outlineLvl w:val="1"/>
        <w:rPr>
          <w:color w:val="auto"/>
          <w:highlight w:val="none"/>
        </w:rPr>
      </w:pPr>
      <w:r>
        <w:rPr>
          <w:rFonts w:hint="eastAsia"/>
          <w:color w:val="auto"/>
          <w:highlight w:val="none"/>
        </w:rPr>
        <w:t>19.2.3响应文件的澄清</w:t>
      </w:r>
    </w:p>
    <w:p w14:paraId="210A0A50">
      <w:pPr>
        <w:adjustRightInd w:val="0"/>
        <w:snapToGrid w:val="0"/>
        <w:spacing w:line="360" w:lineRule="auto"/>
        <w:ind w:firstLine="420" w:firstLineChars="200"/>
        <w:outlineLvl w:val="1"/>
        <w:rPr>
          <w:color w:val="auto"/>
          <w:highlight w:val="none"/>
        </w:rPr>
      </w:pPr>
      <w:r>
        <w:rPr>
          <w:rFonts w:hint="eastAsia"/>
          <w:color w:val="auto"/>
          <w:highlight w:val="none"/>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14:paraId="1040E635">
      <w:pPr>
        <w:adjustRightInd w:val="0"/>
        <w:snapToGrid w:val="0"/>
        <w:spacing w:line="360" w:lineRule="auto"/>
        <w:ind w:firstLine="420" w:firstLineChars="200"/>
        <w:outlineLvl w:val="1"/>
        <w:rPr>
          <w:color w:val="auto"/>
          <w:highlight w:val="none"/>
        </w:rPr>
      </w:pPr>
      <w:r>
        <w:rPr>
          <w:rFonts w:hint="eastAsia"/>
          <w:color w:val="auto"/>
          <w:highlight w:val="none"/>
        </w:rPr>
        <w:t>19.2.3.2算术错误将按以下方法更正：</w:t>
      </w:r>
    </w:p>
    <w:p w14:paraId="245AA7E3">
      <w:pPr>
        <w:adjustRightInd w:val="0"/>
        <w:snapToGrid w:val="0"/>
        <w:spacing w:line="360" w:lineRule="auto"/>
        <w:ind w:firstLine="420" w:firstLineChars="200"/>
        <w:outlineLvl w:val="1"/>
        <w:rPr>
          <w:color w:val="auto"/>
          <w:highlight w:val="none"/>
        </w:rPr>
      </w:pPr>
      <w:r>
        <w:rPr>
          <w:rFonts w:hint="eastAsia"/>
          <w:color w:val="auto"/>
          <w:highlight w:val="none"/>
        </w:rPr>
        <w:t>（1）响应文件中开标一览表（报价表）内容与响应文件中相应内容不一致的，以开标一览表（报价表）为准；</w:t>
      </w:r>
    </w:p>
    <w:p w14:paraId="0D807C2D">
      <w:pPr>
        <w:adjustRightInd w:val="0"/>
        <w:snapToGrid w:val="0"/>
        <w:spacing w:line="360" w:lineRule="auto"/>
        <w:ind w:firstLine="420" w:firstLineChars="200"/>
        <w:outlineLvl w:val="1"/>
        <w:rPr>
          <w:color w:val="auto"/>
          <w:highlight w:val="none"/>
        </w:rPr>
      </w:pPr>
      <w:r>
        <w:rPr>
          <w:rFonts w:hint="eastAsia"/>
          <w:color w:val="auto"/>
          <w:highlight w:val="none"/>
        </w:rPr>
        <w:t>（2）大写金额和小写金额不一致的，以大写金额为准；</w:t>
      </w:r>
    </w:p>
    <w:p w14:paraId="5F67BB45">
      <w:pPr>
        <w:adjustRightInd w:val="0"/>
        <w:snapToGrid w:val="0"/>
        <w:spacing w:line="360" w:lineRule="auto"/>
        <w:ind w:firstLine="420" w:firstLineChars="200"/>
        <w:outlineLvl w:val="1"/>
        <w:rPr>
          <w:color w:val="auto"/>
          <w:highlight w:val="none"/>
        </w:rPr>
      </w:pPr>
      <w:r>
        <w:rPr>
          <w:rFonts w:hint="eastAsia"/>
          <w:color w:val="auto"/>
          <w:highlight w:val="none"/>
        </w:rPr>
        <w:t>（3）单价金额小数点或者百分比有明显错位的，以开标一览表的总价为准，并修改单价；</w:t>
      </w:r>
    </w:p>
    <w:p w14:paraId="2EF11D33">
      <w:pPr>
        <w:adjustRightInd w:val="0"/>
        <w:snapToGrid w:val="0"/>
        <w:spacing w:line="360" w:lineRule="auto"/>
        <w:ind w:firstLine="420" w:firstLineChars="200"/>
        <w:outlineLvl w:val="1"/>
        <w:rPr>
          <w:color w:val="auto"/>
          <w:highlight w:val="none"/>
        </w:rPr>
      </w:pPr>
      <w:r>
        <w:rPr>
          <w:rFonts w:hint="eastAsia"/>
          <w:color w:val="auto"/>
          <w:highlight w:val="none"/>
        </w:rPr>
        <w:t>（4）总价金额与按单价汇总金额不一致的，以单价金额计算结果为准；同时出现两种以上不一致的，按照前款规定的顺序修正。修正后的报价经供应商确认后产生约束力，供应商不确认的，其响应无效。</w:t>
      </w:r>
    </w:p>
    <w:p w14:paraId="436116C3">
      <w:pPr>
        <w:adjustRightInd w:val="0"/>
        <w:snapToGrid w:val="0"/>
        <w:spacing w:line="360" w:lineRule="auto"/>
        <w:ind w:firstLine="420" w:firstLineChars="200"/>
        <w:outlineLvl w:val="1"/>
        <w:rPr>
          <w:color w:val="auto"/>
          <w:highlight w:val="none"/>
        </w:rPr>
      </w:pPr>
      <w:r>
        <w:rPr>
          <w:rFonts w:hint="eastAsia"/>
          <w:color w:val="auto"/>
          <w:highlight w:val="none"/>
        </w:rPr>
        <w:t>19.2.4比较与评价</w:t>
      </w:r>
    </w:p>
    <w:p w14:paraId="0FFF22EA">
      <w:pPr>
        <w:adjustRightInd w:val="0"/>
        <w:snapToGrid w:val="0"/>
        <w:spacing w:line="360" w:lineRule="auto"/>
        <w:ind w:firstLine="420" w:firstLineChars="200"/>
        <w:outlineLvl w:val="1"/>
        <w:rPr>
          <w:color w:val="auto"/>
          <w:highlight w:val="none"/>
        </w:rPr>
      </w:pPr>
      <w:r>
        <w:rPr>
          <w:rFonts w:hint="eastAsia"/>
          <w:color w:val="auto"/>
          <w:highlight w:val="none"/>
        </w:rPr>
        <w:t>19.2.4.1评审委员会将按第四章所规定的评审方法与标准，对资格性审查和符合性检查合格的响应文件进行评审。</w:t>
      </w:r>
    </w:p>
    <w:p w14:paraId="6624790E">
      <w:pPr>
        <w:adjustRightInd w:val="0"/>
        <w:snapToGrid w:val="0"/>
        <w:spacing w:line="360" w:lineRule="auto"/>
        <w:ind w:firstLine="420" w:firstLineChars="200"/>
        <w:outlineLvl w:val="1"/>
        <w:rPr>
          <w:color w:val="auto"/>
          <w:highlight w:val="none"/>
        </w:rPr>
      </w:pPr>
      <w:r>
        <w:rPr>
          <w:rFonts w:hint="eastAsia"/>
          <w:color w:val="auto"/>
          <w:highlight w:val="none"/>
        </w:rPr>
        <w:t>19.2.4.2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14:paraId="08169243">
      <w:pPr>
        <w:adjustRightInd w:val="0"/>
        <w:snapToGrid w:val="0"/>
        <w:spacing w:line="360" w:lineRule="auto"/>
        <w:ind w:firstLine="420" w:firstLineChars="200"/>
        <w:outlineLvl w:val="1"/>
        <w:rPr>
          <w:color w:val="auto"/>
          <w:highlight w:val="none"/>
        </w:rPr>
      </w:pPr>
      <w:r>
        <w:rPr>
          <w:rFonts w:hint="eastAsia"/>
          <w:color w:val="auto"/>
          <w:highlight w:val="none"/>
        </w:rPr>
        <w:t>19.2.5有下列情形之一的，视为供应商串通响应，其响应无效：</w:t>
      </w:r>
    </w:p>
    <w:p w14:paraId="5050D3C3">
      <w:pPr>
        <w:adjustRightInd w:val="0"/>
        <w:snapToGrid w:val="0"/>
        <w:spacing w:line="360" w:lineRule="auto"/>
        <w:ind w:firstLine="420" w:firstLineChars="200"/>
        <w:outlineLvl w:val="1"/>
        <w:rPr>
          <w:color w:val="auto"/>
          <w:highlight w:val="none"/>
        </w:rPr>
      </w:pPr>
      <w:r>
        <w:rPr>
          <w:rFonts w:hint="eastAsia"/>
          <w:color w:val="auto"/>
          <w:highlight w:val="none"/>
        </w:rPr>
        <w:t>（一）不同供应商的响应文件由同一单位或者个人编制；</w:t>
      </w:r>
    </w:p>
    <w:p w14:paraId="0AAA51A3">
      <w:pPr>
        <w:adjustRightInd w:val="0"/>
        <w:snapToGrid w:val="0"/>
        <w:spacing w:line="360" w:lineRule="auto"/>
        <w:ind w:firstLine="420" w:firstLineChars="200"/>
        <w:outlineLvl w:val="1"/>
        <w:rPr>
          <w:color w:val="auto"/>
          <w:highlight w:val="none"/>
        </w:rPr>
      </w:pPr>
      <w:r>
        <w:rPr>
          <w:rFonts w:hint="eastAsia"/>
          <w:color w:val="auto"/>
          <w:highlight w:val="none"/>
        </w:rPr>
        <w:t>（二）不同供应商委托同一单位或者个人办理项目响应相关事宜；</w:t>
      </w:r>
    </w:p>
    <w:p w14:paraId="72C83505">
      <w:pPr>
        <w:adjustRightInd w:val="0"/>
        <w:snapToGrid w:val="0"/>
        <w:spacing w:line="360" w:lineRule="auto"/>
        <w:ind w:firstLine="420" w:firstLineChars="200"/>
        <w:outlineLvl w:val="1"/>
        <w:rPr>
          <w:color w:val="auto"/>
          <w:highlight w:val="none"/>
        </w:rPr>
      </w:pPr>
      <w:r>
        <w:rPr>
          <w:rFonts w:hint="eastAsia"/>
          <w:color w:val="auto"/>
          <w:highlight w:val="none"/>
        </w:rPr>
        <w:t>（三）不同供应商的响应文件载明的项目管理成员或者联系人员为同一人；</w:t>
      </w:r>
    </w:p>
    <w:p w14:paraId="22A40768">
      <w:pPr>
        <w:adjustRightInd w:val="0"/>
        <w:snapToGrid w:val="0"/>
        <w:spacing w:line="360" w:lineRule="auto"/>
        <w:ind w:firstLine="420" w:firstLineChars="200"/>
        <w:outlineLvl w:val="1"/>
        <w:rPr>
          <w:color w:val="auto"/>
          <w:highlight w:val="none"/>
        </w:rPr>
      </w:pPr>
      <w:r>
        <w:rPr>
          <w:rFonts w:hint="eastAsia"/>
          <w:color w:val="auto"/>
          <w:highlight w:val="none"/>
        </w:rPr>
        <w:t>（四）不同供应商的响应文件异常一致或者响应报价呈规律性差异；</w:t>
      </w:r>
    </w:p>
    <w:p w14:paraId="2043FFA3">
      <w:pPr>
        <w:adjustRightInd w:val="0"/>
        <w:snapToGrid w:val="0"/>
        <w:spacing w:line="360" w:lineRule="auto"/>
        <w:ind w:firstLine="420" w:firstLineChars="200"/>
        <w:outlineLvl w:val="1"/>
        <w:rPr>
          <w:color w:val="auto"/>
          <w:highlight w:val="none"/>
        </w:rPr>
      </w:pPr>
      <w:r>
        <w:rPr>
          <w:rFonts w:hint="eastAsia"/>
          <w:color w:val="auto"/>
          <w:highlight w:val="none"/>
        </w:rPr>
        <w:t>（五）不同供应商的响应文件相互混装；</w:t>
      </w:r>
    </w:p>
    <w:p w14:paraId="42973C24">
      <w:pPr>
        <w:adjustRightInd w:val="0"/>
        <w:snapToGrid w:val="0"/>
        <w:spacing w:line="360" w:lineRule="auto"/>
        <w:ind w:firstLine="420" w:firstLineChars="200"/>
        <w:outlineLvl w:val="1"/>
        <w:rPr>
          <w:color w:val="auto"/>
          <w:highlight w:val="none"/>
        </w:rPr>
      </w:pPr>
      <w:r>
        <w:rPr>
          <w:rFonts w:hint="eastAsia"/>
          <w:color w:val="auto"/>
          <w:highlight w:val="none"/>
        </w:rPr>
        <w:t>（六）不同供应商的响应保证金从同一单位或者个人的账户转出。</w:t>
      </w:r>
    </w:p>
    <w:p w14:paraId="6CAF1A99">
      <w:pPr>
        <w:adjustRightInd w:val="0"/>
        <w:snapToGrid w:val="0"/>
        <w:spacing w:line="360" w:lineRule="auto"/>
        <w:ind w:firstLine="420" w:firstLineChars="200"/>
        <w:outlineLvl w:val="1"/>
        <w:rPr>
          <w:color w:val="auto"/>
          <w:highlight w:val="none"/>
        </w:rPr>
      </w:pPr>
      <w:r>
        <w:rPr>
          <w:rFonts w:hint="eastAsia"/>
          <w:color w:val="auto"/>
          <w:highlight w:val="none"/>
        </w:rPr>
        <w:t>20、废标</w:t>
      </w:r>
      <w:bookmarkStart w:id="59" w:name="_Toc217446072"/>
      <w:r>
        <w:rPr>
          <w:rFonts w:hint="eastAsia"/>
          <w:color w:val="auto"/>
          <w:highlight w:val="none"/>
        </w:rPr>
        <w:t>的情形</w:t>
      </w:r>
      <w:bookmarkEnd w:id="59"/>
    </w:p>
    <w:p w14:paraId="6FA18B2C">
      <w:pPr>
        <w:pStyle w:val="5"/>
        <w:rPr>
          <w:color w:val="auto"/>
          <w:highlight w:val="none"/>
        </w:rPr>
      </w:pPr>
      <w:r>
        <w:rPr>
          <w:rFonts w:hint="eastAsia"/>
          <w:color w:val="auto"/>
          <w:highlight w:val="none"/>
        </w:rPr>
        <w:t>招标采购中，出现下列情形之一的，予以废标：</w:t>
      </w:r>
    </w:p>
    <w:p w14:paraId="46E1C725">
      <w:pPr>
        <w:pStyle w:val="5"/>
        <w:rPr>
          <w:color w:val="auto"/>
          <w:highlight w:val="none"/>
        </w:rPr>
      </w:pPr>
      <w:r>
        <w:rPr>
          <w:rFonts w:hint="eastAsia"/>
          <w:color w:val="auto"/>
          <w:highlight w:val="none"/>
        </w:rPr>
        <w:t>（1）出现影响采购公正的违法、违规行为的；</w:t>
      </w:r>
    </w:p>
    <w:p w14:paraId="253AA483">
      <w:pPr>
        <w:pStyle w:val="5"/>
        <w:rPr>
          <w:color w:val="auto"/>
          <w:highlight w:val="none"/>
        </w:rPr>
      </w:pPr>
      <w:r>
        <w:rPr>
          <w:rFonts w:hint="eastAsia"/>
          <w:color w:val="auto"/>
          <w:highlight w:val="none"/>
        </w:rPr>
        <w:t>（2）供应商的报价均超过了预算，采购人不能支付的；</w:t>
      </w:r>
    </w:p>
    <w:p w14:paraId="18FF4863">
      <w:pPr>
        <w:pStyle w:val="5"/>
        <w:rPr>
          <w:color w:val="auto"/>
          <w:highlight w:val="none"/>
        </w:rPr>
      </w:pPr>
      <w:r>
        <w:rPr>
          <w:rFonts w:hint="eastAsia"/>
          <w:color w:val="auto"/>
          <w:highlight w:val="none"/>
        </w:rPr>
        <w:t>（3）因重大变故，采购任务取消的。</w:t>
      </w:r>
    </w:p>
    <w:p w14:paraId="3DBB4F29">
      <w:pPr>
        <w:adjustRightInd w:val="0"/>
        <w:snapToGrid w:val="0"/>
        <w:spacing w:line="360" w:lineRule="auto"/>
        <w:ind w:firstLine="420" w:firstLineChars="200"/>
        <w:rPr>
          <w:color w:val="auto"/>
          <w:highlight w:val="none"/>
        </w:rPr>
      </w:pPr>
      <w:r>
        <w:rPr>
          <w:rFonts w:hint="eastAsia"/>
          <w:color w:val="auto"/>
          <w:highlight w:val="none"/>
        </w:rPr>
        <w:t>21、纪律和监督</w:t>
      </w:r>
    </w:p>
    <w:p w14:paraId="0050C9E1">
      <w:pPr>
        <w:adjustRightInd w:val="0"/>
        <w:snapToGrid w:val="0"/>
        <w:spacing w:line="360" w:lineRule="auto"/>
        <w:ind w:firstLine="420" w:firstLineChars="200"/>
        <w:rPr>
          <w:color w:val="auto"/>
          <w:highlight w:val="none"/>
        </w:rPr>
      </w:pPr>
      <w:bookmarkStart w:id="60" w:name="_Toc296602462"/>
      <w:bookmarkStart w:id="61" w:name="_Toc144974543"/>
      <w:bookmarkStart w:id="62" w:name="_Toc152045575"/>
      <w:bookmarkStart w:id="63" w:name="_Toc152042351"/>
      <w:bookmarkStart w:id="64" w:name="_Toc179632593"/>
      <w:bookmarkStart w:id="65" w:name="_Toc296590983"/>
      <w:bookmarkStart w:id="66" w:name="_Toc246996962"/>
      <w:bookmarkStart w:id="67" w:name="_Toc247085733"/>
      <w:bookmarkStart w:id="68" w:name="_Toc246996219"/>
      <w:r>
        <w:rPr>
          <w:rFonts w:hint="eastAsia"/>
          <w:color w:val="auto"/>
          <w:highlight w:val="none"/>
        </w:rPr>
        <w:t>21.1对采购人的纪律要求</w:t>
      </w:r>
      <w:bookmarkEnd w:id="60"/>
      <w:bookmarkEnd w:id="61"/>
      <w:bookmarkEnd w:id="62"/>
      <w:bookmarkEnd w:id="63"/>
      <w:bookmarkEnd w:id="64"/>
      <w:bookmarkEnd w:id="65"/>
      <w:bookmarkEnd w:id="66"/>
      <w:bookmarkEnd w:id="67"/>
      <w:bookmarkEnd w:id="68"/>
    </w:p>
    <w:p w14:paraId="65BACC10">
      <w:pPr>
        <w:adjustRightInd w:val="0"/>
        <w:snapToGrid w:val="0"/>
        <w:spacing w:line="360" w:lineRule="auto"/>
        <w:ind w:firstLine="420" w:firstLineChars="200"/>
        <w:rPr>
          <w:color w:val="auto"/>
          <w:highlight w:val="none"/>
        </w:rPr>
      </w:pPr>
      <w:r>
        <w:rPr>
          <w:rFonts w:hint="eastAsia"/>
          <w:color w:val="auto"/>
          <w:highlight w:val="none"/>
        </w:rPr>
        <w:t>采购人不得泄漏招标采购活动中应当保密的情况和资料，不得与供应商串通损害国家利益、社会公共利益或者他人合法权益。</w:t>
      </w:r>
    </w:p>
    <w:p w14:paraId="03BBE10A">
      <w:pPr>
        <w:adjustRightInd w:val="0"/>
        <w:snapToGrid w:val="0"/>
        <w:spacing w:line="360" w:lineRule="auto"/>
        <w:ind w:firstLine="420" w:firstLineChars="200"/>
        <w:rPr>
          <w:color w:val="auto"/>
          <w:highlight w:val="none"/>
        </w:rPr>
      </w:pPr>
      <w:bookmarkStart w:id="69" w:name="_Toc296602463"/>
      <w:bookmarkStart w:id="70" w:name="_Toc247085734"/>
      <w:bookmarkStart w:id="71" w:name="_Toc152042352"/>
      <w:bookmarkStart w:id="72" w:name="_Toc246996220"/>
      <w:bookmarkStart w:id="73" w:name="_Toc144974544"/>
      <w:bookmarkStart w:id="74" w:name="_Toc152045576"/>
      <w:bookmarkStart w:id="75" w:name="_Toc179632594"/>
      <w:bookmarkStart w:id="76" w:name="_Toc246996963"/>
      <w:r>
        <w:rPr>
          <w:rFonts w:hint="eastAsia"/>
          <w:color w:val="auto"/>
          <w:highlight w:val="none"/>
        </w:rPr>
        <w:t>21.2对供应商的纪律要求</w:t>
      </w:r>
      <w:bookmarkEnd w:id="69"/>
      <w:bookmarkEnd w:id="70"/>
      <w:bookmarkEnd w:id="71"/>
      <w:bookmarkEnd w:id="72"/>
      <w:bookmarkEnd w:id="73"/>
      <w:bookmarkEnd w:id="74"/>
      <w:bookmarkEnd w:id="75"/>
      <w:bookmarkEnd w:id="76"/>
    </w:p>
    <w:p w14:paraId="2D18FF07">
      <w:pPr>
        <w:adjustRightInd w:val="0"/>
        <w:snapToGrid w:val="0"/>
        <w:spacing w:line="360" w:lineRule="auto"/>
        <w:ind w:firstLine="420" w:firstLineChars="200"/>
        <w:rPr>
          <w:color w:val="auto"/>
          <w:highlight w:val="none"/>
        </w:rPr>
      </w:pPr>
      <w:r>
        <w:rPr>
          <w:rFonts w:hint="eastAsia"/>
          <w:color w:val="auto"/>
          <w:highlight w:val="none"/>
        </w:rPr>
        <w:t>供应商不得相互串通响应或者与采购人串通响应，不得向采购人或者评审委员会成员行贿谋取成交，不得以他人名义响应或者以其他方式弄虚作假骗取成交；供应商不得以任何方式干扰、影响评审工作。</w:t>
      </w:r>
    </w:p>
    <w:p w14:paraId="26E871BE">
      <w:pPr>
        <w:adjustRightInd w:val="0"/>
        <w:snapToGrid w:val="0"/>
        <w:spacing w:line="360" w:lineRule="auto"/>
        <w:ind w:firstLine="420" w:firstLineChars="200"/>
        <w:rPr>
          <w:color w:val="auto"/>
          <w:highlight w:val="none"/>
        </w:rPr>
      </w:pPr>
      <w:bookmarkStart w:id="77" w:name="_Toc179632595"/>
      <w:bookmarkStart w:id="78" w:name="_Toc247085735"/>
      <w:bookmarkStart w:id="79" w:name="_Toc246996221"/>
      <w:bookmarkStart w:id="80" w:name="_Toc246996964"/>
      <w:bookmarkStart w:id="81" w:name="_Toc144974545"/>
      <w:bookmarkStart w:id="82" w:name="_Toc152045577"/>
      <w:bookmarkStart w:id="83" w:name="_Toc152042353"/>
      <w:bookmarkStart w:id="84" w:name="_Toc296602464"/>
      <w:r>
        <w:rPr>
          <w:rFonts w:hint="eastAsia"/>
          <w:color w:val="auto"/>
          <w:highlight w:val="none"/>
        </w:rPr>
        <w:t>21.3对评审委员会成员的纪律要求</w:t>
      </w:r>
      <w:bookmarkEnd w:id="77"/>
      <w:bookmarkEnd w:id="78"/>
      <w:bookmarkEnd w:id="79"/>
      <w:bookmarkEnd w:id="80"/>
      <w:bookmarkEnd w:id="81"/>
      <w:bookmarkEnd w:id="82"/>
      <w:bookmarkEnd w:id="83"/>
      <w:bookmarkEnd w:id="84"/>
    </w:p>
    <w:p w14:paraId="13917D41">
      <w:pPr>
        <w:adjustRightInd w:val="0"/>
        <w:snapToGrid w:val="0"/>
        <w:spacing w:line="360" w:lineRule="auto"/>
        <w:ind w:firstLine="420" w:firstLineChars="200"/>
        <w:rPr>
          <w:color w:val="auto"/>
          <w:highlight w:val="none"/>
        </w:rPr>
      </w:pPr>
      <w:r>
        <w:rPr>
          <w:rFonts w:hint="eastAsia"/>
          <w:color w:val="auto"/>
          <w:highlight w:val="none"/>
        </w:rPr>
        <w:t>评审委员会成员不得收受他人的财物或者其他好处，不得向他人</w:t>
      </w:r>
      <w:r>
        <w:rPr>
          <w:rFonts w:hint="eastAsia"/>
          <w:color w:val="auto"/>
          <w:highlight w:val="none"/>
          <w:lang w:eastAsia="zh-CN"/>
        </w:rPr>
        <w:t>透露</w:t>
      </w:r>
      <w:r>
        <w:rPr>
          <w:rFonts w:hint="eastAsia"/>
          <w:color w:val="auto"/>
          <w:highlight w:val="none"/>
        </w:rPr>
        <w:t>对响应文件的评审和比较、成交候选人的推荐情况以及评审有关的其他情况。在评审活动中，评审委员会成员应当客观、公正地履行职责，独立评审，遵守职业道德，不得擅离职守，影响评审程序正常进行，不得使用采购文件没有规定的评审因素和标准进行评审。</w:t>
      </w:r>
    </w:p>
    <w:p w14:paraId="2A81AB5D">
      <w:pPr>
        <w:adjustRightInd w:val="0"/>
        <w:snapToGrid w:val="0"/>
        <w:spacing w:line="360" w:lineRule="auto"/>
        <w:ind w:firstLine="420" w:firstLineChars="200"/>
        <w:rPr>
          <w:color w:val="auto"/>
          <w:highlight w:val="none"/>
        </w:rPr>
      </w:pPr>
      <w:bookmarkStart w:id="85" w:name="_Toc152042354"/>
      <w:bookmarkStart w:id="86" w:name="_Toc246996965"/>
      <w:bookmarkStart w:id="87" w:name="_Toc247085736"/>
      <w:bookmarkStart w:id="88" w:name="_Toc246996222"/>
      <w:bookmarkStart w:id="89" w:name="_Toc296602465"/>
      <w:bookmarkStart w:id="90" w:name="_Toc179632596"/>
      <w:bookmarkStart w:id="91" w:name="_Toc152045578"/>
      <w:r>
        <w:rPr>
          <w:rFonts w:hint="eastAsia"/>
          <w:color w:val="auto"/>
          <w:highlight w:val="none"/>
        </w:rPr>
        <w:t>21.4对与评审活动有关的工作人员的纪律要求</w:t>
      </w:r>
      <w:bookmarkEnd w:id="85"/>
      <w:bookmarkEnd w:id="86"/>
      <w:bookmarkEnd w:id="87"/>
      <w:bookmarkEnd w:id="88"/>
      <w:bookmarkEnd w:id="89"/>
      <w:bookmarkEnd w:id="90"/>
      <w:bookmarkEnd w:id="91"/>
    </w:p>
    <w:p w14:paraId="32822D40">
      <w:pPr>
        <w:adjustRightInd w:val="0"/>
        <w:snapToGrid w:val="0"/>
        <w:spacing w:line="360" w:lineRule="auto"/>
        <w:ind w:firstLine="420" w:firstLineChars="200"/>
        <w:rPr>
          <w:color w:val="auto"/>
          <w:highlight w:val="none"/>
        </w:rPr>
      </w:pPr>
      <w:bookmarkStart w:id="92" w:name="_Toc152042355"/>
      <w:r>
        <w:rPr>
          <w:rFonts w:hint="eastAsia"/>
          <w:color w:val="auto"/>
          <w:highlight w:val="none"/>
        </w:rPr>
        <w:t>与评审活动有关的工作人员不得收受他人的财物或者其他好处，不得向他人</w:t>
      </w:r>
      <w:r>
        <w:rPr>
          <w:rFonts w:hint="eastAsia"/>
          <w:color w:val="auto"/>
          <w:highlight w:val="none"/>
          <w:lang w:eastAsia="zh-CN"/>
        </w:rPr>
        <w:t>透露</w:t>
      </w:r>
      <w:r>
        <w:rPr>
          <w:rFonts w:hint="eastAsia"/>
          <w:color w:val="auto"/>
          <w:highlight w:val="none"/>
        </w:rPr>
        <w:t>对响应文件的评审和比较、成交候选人的推荐情况以及评审有关的其他情况。在评审活动中，与评审活动有关的工作人员不得擅离职守，影响评审程序正常进行。</w:t>
      </w:r>
      <w:bookmarkEnd w:id="92"/>
    </w:p>
    <w:p w14:paraId="44A8D16A">
      <w:pPr>
        <w:adjustRightInd w:val="0"/>
        <w:snapToGrid w:val="0"/>
        <w:spacing w:line="360" w:lineRule="auto"/>
        <w:ind w:firstLine="420" w:firstLineChars="200"/>
        <w:outlineLvl w:val="1"/>
        <w:rPr>
          <w:color w:val="auto"/>
          <w:highlight w:val="none"/>
        </w:rPr>
      </w:pPr>
      <w:bookmarkStart w:id="93" w:name="_Toc246826113"/>
      <w:r>
        <w:rPr>
          <w:rFonts w:hint="eastAsia"/>
          <w:color w:val="auto"/>
          <w:highlight w:val="none"/>
        </w:rPr>
        <w:t>六、定标、合同</w:t>
      </w:r>
      <w:bookmarkEnd w:id="93"/>
      <w:r>
        <w:rPr>
          <w:rFonts w:hint="eastAsia"/>
          <w:color w:val="auto"/>
          <w:highlight w:val="none"/>
        </w:rPr>
        <w:t>与验收</w:t>
      </w:r>
    </w:p>
    <w:p w14:paraId="783A742A">
      <w:pPr>
        <w:adjustRightInd w:val="0"/>
        <w:snapToGrid w:val="0"/>
        <w:spacing w:line="360" w:lineRule="auto"/>
        <w:ind w:firstLine="420" w:firstLineChars="200"/>
        <w:outlineLvl w:val="1"/>
        <w:rPr>
          <w:color w:val="auto"/>
          <w:highlight w:val="none"/>
        </w:rPr>
      </w:pPr>
      <w:r>
        <w:rPr>
          <w:rFonts w:hint="eastAsia"/>
          <w:color w:val="auto"/>
          <w:highlight w:val="none"/>
        </w:rPr>
        <w:t>22、定标准则</w:t>
      </w:r>
    </w:p>
    <w:p w14:paraId="59D0F000">
      <w:pPr>
        <w:adjustRightInd w:val="0"/>
        <w:snapToGrid w:val="0"/>
        <w:spacing w:line="360" w:lineRule="auto"/>
        <w:ind w:firstLine="420" w:firstLineChars="200"/>
        <w:rPr>
          <w:color w:val="auto"/>
          <w:highlight w:val="none"/>
        </w:rPr>
      </w:pPr>
      <w:r>
        <w:rPr>
          <w:rFonts w:hint="eastAsia"/>
          <w:color w:val="auto"/>
          <w:highlight w:val="none"/>
        </w:rPr>
        <w:t>22.1任何单项因素的最优不能作为成交的保证。</w:t>
      </w:r>
    </w:p>
    <w:p w14:paraId="091EB4B6">
      <w:pPr>
        <w:adjustRightInd w:val="0"/>
        <w:snapToGrid w:val="0"/>
        <w:spacing w:line="360" w:lineRule="auto"/>
        <w:ind w:firstLine="420" w:firstLineChars="200"/>
        <w:outlineLvl w:val="1"/>
        <w:rPr>
          <w:color w:val="auto"/>
          <w:highlight w:val="none"/>
        </w:rPr>
      </w:pPr>
      <w:r>
        <w:rPr>
          <w:rFonts w:hint="eastAsia"/>
          <w:color w:val="auto"/>
          <w:highlight w:val="none"/>
        </w:rPr>
        <w:t>22.2评审委员会推荐排名第一且经采购人确认的供应商即为成交供应商。</w:t>
      </w:r>
    </w:p>
    <w:p w14:paraId="55A4C98F">
      <w:pPr>
        <w:adjustRightInd w:val="0"/>
        <w:snapToGrid w:val="0"/>
        <w:spacing w:line="360" w:lineRule="auto"/>
        <w:ind w:left="420" w:leftChars="200"/>
        <w:outlineLvl w:val="1"/>
        <w:rPr>
          <w:color w:val="auto"/>
          <w:highlight w:val="none"/>
        </w:rPr>
      </w:pPr>
      <w:r>
        <w:rPr>
          <w:rFonts w:hint="eastAsia"/>
          <w:color w:val="auto"/>
          <w:highlight w:val="none"/>
        </w:rPr>
        <w:t>23、成交通知</w:t>
      </w:r>
    </w:p>
    <w:p w14:paraId="5A428438">
      <w:pPr>
        <w:adjustRightInd w:val="0"/>
        <w:snapToGrid w:val="0"/>
        <w:spacing w:line="360" w:lineRule="auto"/>
        <w:ind w:firstLine="420" w:firstLineChars="200"/>
        <w:outlineLvl w:val="1"/>
        <w:rPr>
          <w:color w:val="auto"/>
          <w:highlight w:val="none"/>
        </w:rPr>
      </w:pPr>
      <w:r>
        <w:rPr>
          <w:rFonts w:hint="eastAsia"/>
          <w:color w:val="auto"/>
          <w:highlight w:val="none"/>
        </w:rPr>
        <w:t>23.1由采购人在比选公告发布媒体上公布成交结果，并向成交供应商发送《成交通知书》。</w:t>
      </w:r>
    </w:p>
    <w:p w14:paraId="5501BBD4">
      <w:pPr>
        <w:adjustRightInd w:val="0"/>
        <w:snapToGrid w:val="0"/>
        <w:spacing w:line="360" w:lineRule="auto"/>
        <w:ind w:firstLine="420" w:firstLineChars="200"/>
        <w:outlineLvl w:val="1"/>
        <w:rPr>
          <w:color w:val="auto"/>
          <w:highlight w:val="none"/>
        </w:rPr>
      </w:pPr>
      <w:r>
        <w:rPr>
          <w:rFonts w:hint="eastAsia"/>
          <w:color w:val="auto"/>
          <w:highlight w:val="none"/>
        </w:rPr>
        <w:t>23.2成交通知书为签订政府采购合同的依据，是合同的有效组成部分。</w:t>
      </w:r>
    </w:p>
    <w:p w14:paraId="299F9BDD">
      <w:pPr>
        <w:adjustRightInd w:val="0"/>
        <w:snapToGrid w:val="0"/>
        <w:spacing w:line="360" w:lineRule="auto"/>
        <w:ind w:firstLine="420" w:firstLineChars="200"/>
        <w:outlineLvl w:val="1"/>
        <w:rPr>
          <w:color w:val="auto"/>
          <w:highlight w:val="none"/>
        </w:rPr>
      </w:pPr>
      <w:r>
        <w:rPr>
          <w:rFonts w:hint="eastAsia"/>
          <w:color w:val="auto"/>
          <w:highlight w:val="none"/>
        </w:rPr>
        <w:t>23.3成交通知书对采购人和成交人均具有法律效力。成交通知书发出后，采购人改变成交结果，或者成交人无正当理由放弃成交的，应当承担相应的法律责任。</w:t>
      </w:r>
    </w:p>
    <w:p w14:paraId="4B458A21">
      <w:pPr>
        <w:adjustRightInd w:val="0"/>
        <w:snapToGrid w:val="0"/>
        <w:spacing w:line="360" w:lineRule="auto"/>
        <w:ind w:firstLine="420" w:firstLineChars="200"/>
        <w:outlineLvl w:val="1"/>
        <w:rPr>
          <w:color w:val="auto"/>
          <w:highlight w:val="none"/>
        </w:rPr>
      </w:pPr>
      <w:r>
        <w:rPr>
          <w:rFonts w:hint="eastAsia"/>
          <w:color w:val="auto"/>
          <w:highlight w:val="none"/>
        </w:rPr>
        <w:t>24、合同签订</w:t>
      </w:r>
    </w:p>
    <w:p w14:paraId="4C463448">
      <w:pPr>
        <w:adjustRightInd w:val="0"/>
        <w:snapToGrid w:val="0"/>
        <w:spacing w:line="360" w:lineRule="auto"/>
        <w:ind w:firstLine="420" w:firstLineChars="200"/>
        <w:outlineLvl w:val="1"/>
        <w:rPr>
          <w:color w:val="auto"/>
          <w:highlight w:val="none"/>
        </w:rPr>
      </w:pPr>
      <w:r>
        <w:rPr>
          <w:rFonts w:hint="eastAsia"/>
          <w:color w:val="auto"/>
          <w:highlight w:val="none"/>
        </w:rPr>
        <w:t>24.1成交人在收到《成交通知书》后，应在规定的时间内与采购人签订采购合同。由于成交人的原因逾期未与采购人签订采购合同的，将视为放弃成交，取消其成交资格并将按相关规定进行处理。</w:t>
      </w:r>
    </w:p>
    <w:p w14:paraId="71B20452">
      <w:pPr>
        <w:adjustRightInd w:val="0"/>
        <w:snapToGrid w:val="0"/>
        <w:spacing w:line="360" w:lineRule="auto"/>
        <w:ind w:firstLine="420" w:firstLineChars="200"/>
        <w:outlineLvl w:val="1"/>
        <w:rPr>
          <w:color w:val="auto"/>
          <w:highlight w:val="none"/>
        </w:rPr>
      </w:pPr>
      <w:r>
        <w:rPr>
          <w:rFonts w:hint="eastAsia"/>
          <w:color w:val="auto"/>
          <w:highlight w:val="none"/>
        </w:rPr>
        <w:t>24.2采购人不得向成交人提出任何不合理的要求作为签订合同的条件，不得与成交人私下订立背离合同实质性内容的任何协议，所签订的合同不得对采购文件和成交人响应文件作实质性修改。</w:t>
      </w:r>
    </w:p>
    <w:p w14:paraId="60F7E856">
      <w:pPr>
        <w:adjustRightInd w:val="0"/>
        <w:snapToGrid w:val="0"/>
        <w:spacing w:line="360" w:lineRule="auto"/>
        <w:ind w:firstLine="420" w:firstLineChars="200"/>
        <w:outlineLvl w:val="1"/>
        <w:rPr>
          <w:color w:val="auto"/>
          <w:highlight w:val="none"/>
        </w:rPr>
      </w:pPr>
      <w:bookmarkStart w:id="94" w:name="_Toc217446069"/>
      <w:r>
        <w:rPr>
          <w:rFonts w:hint="eastAsia"/>
          <w:color w:val="auto"/>
          <w:highlight w:val="none"/>
        </w:rPr>
        <w:t>25、合同</w:t>
      </w:r>
      <w:bookmarkEnd w:id="94"/>
      <w:r>
        <w:rPr>
          <w:rFonts w:hint="eastAsia"/>
          <w:color w:val="auto"/>
          <w:highlight w:val="none"/>
        </w:rPr>
        <w:t>履行</w:t>
      </w:r>
    </w:p>
    <w:p w14:paraId="2AF9A150">
      <w:pPr>
        <w:adjustRightInd w:val="0"/>
        <w:snapToGrid w:val="0"/>
        <w:spacing w:line="360" w:lineRule="auto"/>
        <w:ind w:firstLine="420" w:firstLineChars="200"/>
        <w:outlineLvl w:val="1"/>
        <w:rPr>
          <w:color w:val="auto"/>
          <w:highlight w:val="none"/>
        </w:rPr>
      </w:pPr>
      <w:r>
        <w:rPr>
          <w:rFonts w:hint="eastAsia"/>
          <w:color w:val="auto"/>
          <w:highlight w:val="none"/>
        </w:rPr>
        <w:t>25.1成交人与采购人签订合同后，合同双方应严格执行合同条款，履行合同规定的义务，保证合同的顺利完成。</w:t>
      </w:r>
    </w:p>
    <w:p w14:paraId="17060008">
      <w:pPr>
        <w:adjustRightInd w:val="0"/>
        <w:snapToGrid w:val="0"/>
        <w:spacing w:line="360" w:lineRule="auto"/>
        <w:ind w:firstLine="420" w:firstLineChars="200"/>
        <w:outlineLvl w:val="1"/>
        <w:rPr>
          <w:color w:val="auto"/>
          <w:highlight w:val="none"/>
        </w:rPr>
      </w:pPr>
      <w:r>
        <w:rPr>
          <w:rFonts w:hint="eastAsia"/>
          <w:color w:val="auto"/>
          <w:highlight w:val="none"/>
        </w:rPr>
        <w:t>25.2采购人应严格按照合同约定事项，制定科学合理的验收方案开展验收；</w:t>
      </w:r>
    </w:p>
    <w:p w14:paraId="13482CAA">
      <w:pPr>
        <w:adjustRightInd w:val="0"/>
        <w:snapToGrid w:val="0"/>
        <w:spacing w:line="360" w:lineRule="auto"/>
        <w:ind w:firstLine="420" w:firstLineChars="200"/>
        <w:outlineLvl w:val="1"/>
        <w:rPr>
          <w:color w:val="auto"/>
          <w:highlight w:val="none"/>
        </w:rPr>
      </w:pPr>
      <w:r>
        <w:rPr>
          <w:rFonts w:hint="eastAsia"/>
          <w:color w:val="auto"/>
          <w:highlight w:val="none"/>
        </w:rPr>
        <w:t>25.3在合同履行过程中，如发生合同纠纷，合同双方应按照《民法典》的有关规定进行处理。</w:t>
      </w:r>
    </w:p>
    <w:p w14:paraId="25AD8AA6">
      <w:pPr>
        <w:adjustRightInd w:val="0"/>
        <w:snapToGrid w:val="0"/>
        <w:spacing w:line="360" w:lineRule="auto"/>
        <w:ind w:firstLine="420" w:firstLineChars="200"/>
        <w:outlineLvl w:val="1"/>
        <w:rPr>
          <w:color w:val="auto"/>
          <w:highlight w:val="none"/>
        </w:rPr>
      </w:pPr>
      <w:r>
        <w:rPr>
          <w:rFonts w:hint="eastAsia"/>
          <w:color w:val="auto"/>
          <w:highlight w:val="none"/>
        </w:rPr>
        <w:t>七、评审方法</w:t>
      </w:r>
    </w:p>
    <w:p w14:paraId="07C0D252">
      <w:pPr>
        <w:adjustRightInd w:val="0"/>
        <w:snapToGrid w:val="0"/>
        <w:spacing w:line="360" w:lineRule="auto"/>
        <w:ind w:firstLine="420" w:firstLineChars="200"/>
        <w:outlineLvl w:val="1"/>
        <w:rPr>
          <w:color w:val="auto"/>
          <w:highlight w:val="none"/>
        </w:rPr>
      </w:pPr>
      <w:r>
        <w:rPr>
          <w:rFonts w:hint="eastAsia"/>
          <w:color w:val="auto"/>
          <w:highlight w:val="none"/>
        </w:rPr>
        <w:t>26、采购比选评审方法分为</w:t>
      </w:r>
      <w:r>
        <w:rPr>
          <w:rFonts w:hint="eastAsia"/>
          <w:color w:val="auto"/>
          <w:highlight w:val="none"/>
          <w:lang w:eastAsia="zh-CN"/>
        </w:rPr>
        <w:t>：</w:t>
      </w:r>
      <w:r>
        <w:rPr>
          <w:rFonts w:hint="eastAsia"/>
          <w:color w:val="auto"/>
          <w:highlight w:val="none"/>
        </w:rPr>
        <w:t>综合评分法。</w:t>
      </w:r>
    </w:p>
    <w:p w14:paraId="2D3AAE67">
      <w:pPr>
        <w:adjustRightInd w:val="0"/>
        <w:snapToGrid w:val="0"/>
        <w:spacing w:line="360" w:lineRule="auto"/>
        <w:ind w:firstLine="420" w:firstLineChars="200"/>
        <w:outlineLvl w:val="1"/>
        <w:rPr>
          <w:color w:val="auto"/>
          <w:highlight w:val="none"/>
        </w:rPr>
      </w:pPr>
      <w:r>
        <w:rPr>
          <w:rFonts w:hint="eastAsia"/>
          <w:color w:val="auto"/>
          <w:highlight w:val="none"/>
        </w:rPr>
        <w:t>综合评分法，是指响应文件满足采购文件全部实质性要求且按照评审因素的量化指标评审得分最高的供应商为成交候选人的评审方法。</w:t>
      </w:r>
    </w:p>
    <w:p w14:paraId="0B6E4BC5">
      <w:pPr>
        <w:adjustRightInd w:val="0"/>
        <w:snapToGrid w:val="0"/>
        <w:spacing w:line="360" w:lineRule="auto"/>
        <w:ind w:firstLine="420" w:firstLineChars="200"/>
        <w:outlineLvl w:val="1"/>
        <w:rPr>
          <w:color w:val="auto"/>
          <w:highlight w:val="none"/>
        </w:rPr>
      </w:pPr>
      <w:r>
        <w:rPr>
          <w:rFonts w:hint="eastAsia"/>
          <w:color w:val="auto"/>
          <w:highlight w:val="none"/>
        </w:rPr>
        <w:t>评审总得分＝F1×A1＋F2×A2＋……＋Fn×An</w:t>
      </w:r>
    </w:p>
    <w:p w14:paraId="5585B2D3">
      <w:pPr>
        <w:adjustRightInd w:val="0"/>
        <w:snapToGrid w:val="0"/>
        <w:spacing w:line="360" w:lineRule="auto"/>
        <w:ind w:firstLine="420" w:firstLineChars="200"/>
        <w:outlineLvl w:val="1"/>
        <w:rPr>
          <w:color w:val="auto"/>
          <w:highlight w:val="none"/>
        </w:rPr>
      </w:pPr>
      <w:r>
        <w:rPr>
          <w:rFonts w:hint="eastAsia"/>
          <w:color w:val="auto"/>
          <w:highlight w:val="none"/>
        </w:rPr>
        <w:t>F1、F2……Fn分别为价格、商务和技术部分评分因素的汇总得分；A1、A2、……An分别为价格、商务和技术部分评分因素所占的权重</w:t>
      </w:r>
      <w:r>
        <w:rPr>
          <w:rFonts w:hint="eastAsia"/>
          <w:color w:val="auto"/>
          <w:highlight w:val="none"/>
          <w:lang w:eastAsia="zh-CN"/>
        </w:rPr>
        <w:t>（</w:t>
      </w:r>
      <w:r>
        <w:rPr>
          <w:rFonts w:hint="eastAsia"/>
          <w:color w:val="auto"/>
          <w:highlight w:val="none"/>
        </w:rPr>
        <w:t>A1＋A2＋</w:t>
      </w:r>
      <w:r>
        <w:rPr>
          <w:rFonts w:hint="eastAsia"/>
          <w:color w:val="auto"/>
          <w:highlight w:val="none"/>
          <w:lang w:eastAsia="zh-CN"/>
        </w:rPr>
        <w:t>……</w:t>
      </w:r>
      <w:r>
        <w:rPr>
          <w:rFonts w:hint="eastAsia"/>
          <w:color w:val="auto"/>
          <w:highlight w:val="none"/>
        </w:rPr>
        <w:t>＋An＝1</w:t>
      </w:r>
      <w:r>
        <w:rPr>
          <w:rFonts w:hint="eastAsia"/>
          <w:color w:val="auto"/>
          <w:highlight w:val="none"/>
          <w:lang w:eastAsia="zh-CN"/>
        </w:rPr>
        <w:t>）</w:t>
      </w:r>
      <w:r>
        <w:rPr>
          <w:rFonts w:hint="eastAsia"/>
          <w:color w:val="auto"/>
          <w:highlight w:val="none"/>
        </w:rPr>
        <w:t>。</w:t>
      </w:r>
    </w:p>
    <w:p w14:paraId="336D966C">
      <w:pPr>
        <w:adjustRightInd w:val="0"/>
        <w:snapToGrid w:val="0"/>
        <w:spacing w:line="360" w:lineRule="auto"/>
        <w:ind w:firstLine="420" w:firstLineChars="200"/>
        <w:outlineLvl w:val="1"/>
        <w:rPr>
          <w:color w:val="auto"/>
          <w:highlight w:val="none"/>
        </w:rPr>
      </w:pPr>
      <w:r>
        <w:rPr>
          <w:rFonts w:hint="eastAsia"/>
          <w:color w:val="auto"/>
          <w:highlight w:val="none"/>
        </w:rPr>
        <w:t>其中价格分统一采用低价优先法计算，即满足采购文件要求且响应价格最低的响应报价为评审基准价，其价格分为满分。其他供应商的价格分统一按照下列公式计算：</w:t>
      </w:r>
    </w:p>
    <w:p w14:paraId="3C60F75A">
      <w:pPr>
        <w:adjustRightInd w:val="0"/>
        <w:snapToGrid w:val="0"/>
        <w:spacing w:line="360" w:lineRule="auto"/>
        <w:ind w:firstLine="420" w:firstLineChars="200"/>
        <w:outlineLvl w:val="1"/>
        <w:rPr>
          <w:color w:val="auto"/>
          <w:highlight w:val="none"/>
        </w:rPr>
      </w:pPr>
      <w:r>
        <w:rPr>
          <w:rFonts w:hint="eastAsia"/>
          <w:color w:val="auto"/>
          <w:highlight w:val="none"/>
        </w:rPr>
        <w:t>响应报价得分＝（评审基准价／响应报价）×价格权值×100　　</w:t>
      </w:r>
    </w:p>
    <w:p w14:paraId="1FC19E3E">
      <w:pPr>
        <w:adjustRightInd w:val="0"/>
        <w:snapToGrid w:val="0"/>
        <w:spacing w:line="360" w:lineRule="auto"/>
        <w:ind w:firstLine="420" w:firstLineChars="200"/>
        <w:outlineLvl w:val="1"/>
        <w:rPr>
          <w:color w:val="auto"/>
          <w:highlight w:val="none"/>
        </w:rPr>
      </w:pPr>
      <w:r>
        <w:rPr>
          <w:rFonts w:hint="eastAsia"/>
          <w:color w:val="auto"/>
          <w:highlight w:val="none"/>
        </w:rPr>
        <w:t>八、质疑</w:t>
      </w:r>
    </w:p>
    <w:p w14:paraId="2606F892">
      <w:pPr>
        <w:snapToGrid w:val="0"/>
        <w:spacing w:line="360" w:lineRule="auto"/>
        <w:ind w:firstLine="420" w:firstLineChars="200"/>
        <w:rPr>
          <w:color w:val="auto"/>
          <w:highlight w:val="none"/>
        </w:rPr>
      </w:pPr>
      <w:r>
        <w:rPr>
          <w:rFonts w:hint="eastAsia"/>
          <w:color w:val="auto"/>
          <w:highlight w:val="none"/>
        </w:rPr>
        <w:t>27、供应商认为采购文件、采购过程和成交或者成交结果使自己的合法权益受到损害的，应当在知道或者应知其权益受到损害之日起七个工作日（质疑有效期）内，向采购人提出询问或以书面形式向其质疑。</w:t>
      </w:r>
    </w:p>
    <w:p w14:paraId="76E07DCA">
      <w:pPr>
        <w:adjustRightInd w:val="0"/>
        <w:snapToGrid w:val="0"/>
        <w:spacing w:line="360" w:lineRule="auto"/>
        <w:ind w:firstLine="420" w:firstLineChars="200"/>
        <w:outlineLvl w:val="1"/>
        <w:rPr>
          <w:color w:val="auto"/>
          <w:highlight w:val="none"/>
        </w:rPr>
      </w:pPr>
      <w:r>
        <w:rPr>
          <w:rFonts w:hint="eastAsia"/>
          <w:color w:val="auto"/>
          <w:highlight w:val="none"/>
        </w:rPr>
        <w:t>28、采购人关于质疑受理事项依照</w:t>
      </w:r>
      <w:r>
        <w:rPr>
          <w:color w:val="auto"/>
          <w:highlight w:val="none"/>
        </w:rPr>
        <w:t>《中华人民共和国政府采购法》</w:t>
      </w:r>
      <w:r>
        <w:rPr>
          <w:rFonts w:hint="eastAsia"/>
          <w:color w:val="auto"/>
          <w:highlight w:val="none"/>
        </w:rPr>
        <w:t>《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319820B9">
      <w:pPr>
        <w:adjustRightInd w:val="0"/>
        <w:snapToGrid w:val="0"/>
        <w:spacing w:line="360" w:lineRule="auto"/>
        <w:ind w:firstLine="420" w:firstLineChars="200"/>
        <w:outlineLvl w:val="1"/>
        <w:rPr>
          <w:color w:val="auto"/>
          <w:highlight w:val="none"/>
        </w:rPr>
      </w:pPr>
      <w:r>
        <w:rPr>
          <w:rFonts w:hint="eastAsia"/>
          <w:color w:val="auto"/>
          <w:highlight w:val="none"/>
        </w:rPr>
        <w:t>29、质疑有效期的计算</w:t>
      </w:r>
    </w:p>
    <w:p w14:paraId="4991CD3F">
      <w:pPr>
        <w:adjustRightInd w:val="0"/>
        <w:snapToGrid w:val="0"/>
        <w:spacing w:line="360" w:lineRule="auto"/>
        <w:ind w:firstLine="420" w:firstLineChars="200"/>
        <w:outlineLvl w:val="1"/>
        <w:rPr>
          <w:color w:val="auto"/>
          <w:highlight w:val="none"/>
        </w:rPr>
      </w:pPr>
      <w:r>
        <w:rPr>
          <w:rFonts w:hint="eastAsia"/>
          <w:color w:val="auto"/>
          <w:highlight w:val="none"/>
        </w:rPr>
        <w:t>采购文件的质疑有效期为采购文件公告期限届满之日起3个工作日内；采购过程的质疑有效期为各采购程序环节结束之日起3个工作日内；采购结果的质疑有效期为采购结果公告期限届满之日起3个工作日内。</w:t>
      </w:r>
    </w:p>
    <w:p w14:paraId="02C797A1">
      <w:pPr>
        <w:adjustRightInd w:val="0"/>
        <w:snapToGrid w:val="0"/>
        <w:spacing w:line="360" w:lineRule="auto"/>
        <w:ind w:firstLine="420" w:firstLineChars="200"/>
        <w:outlineLvl w:val="1"/>
        <w:rPr>
          <w:color w:val="auto"/>
          <w:highlight w:val="none"/>
        </w:rPr>
      </w:pPr>
      <w:r>
        <w:rPr>
          <w:rFonts w:hint="eastAsia"/>
          <w:color w:val="auto"/>
          <w:highlight w:val="none"/>
        </w:rPr>
        <w:t>九、无效响应的其他有关规定：</w:t>
      </w:r>
    </w:p>
    <w:p w14:paraId="00C8175A">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30、除符合采购文件中载明的无效响应规定外，如果发现下列情况之一者，同样作无效响应处理，其中30.1至30.3款情形的所有相关供应商均作无效响应处理。因此产生其他法律责任的由供应商自行承担：</w:t>
      </w:r>
    </w:p>
    <w:p w14:paraId="110717F3">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30.1不同供应商的法定代表人、委托代理人等由同一个单位缴纳社会保险的；</w:t>
      </w:r>
    </w:p>
    <w:p w14:paraId="28D563A3">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30.2由同一人携带两个及以上供应商的企业资料参与开标会议的；</w:t>
      </w:r>
    </w:p>
    <w:p w14:paraId="6644DFD7">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30.3单位负责人为同一人或者存在直接控股、管理关系的不同供应商，同时参加同一合同项下的政府采购活动的；</w:t>
      </w:r>
    </w:p>
    <w:p w14:paraId="6DFB0B28">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30.4为采购项目提供整体设计、规范编制或者项目管理、监理、检测等服务的供应商，再参加该采购项目的其他采购活动的；</w:t>
      </w:r>
    </w:p>
    <w:p w14:paraId="06BF69ED">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30.5属于采购人任何不具有独立法人资格的附属机构（单位）；</w:t>
      </w:r>
    </w:p>
    <w:p w14:paraId="7CC2137C">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30.6没有按要求提供补充文件，或调整补充内容超出规定范围。</w:t>
      </w:r>
    </w:p>
    <w:p w14:paraId="46B5BCDF">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30.7</w:t>
      </w:r>
      <w:r>
        <w:rPr>
          <w:color w:val="auto"/>
          <w:highlight w:val="none"/>
        </w:rPr>
        <w:t>未按照</w:t>
      </w:r>
      <w:r>
        <w:rPr>
          <w:rFonts w:hint="eastAsia"/>
          <w:color w:val="auto"/>
          <w:highlight w:val="none"/>
        </w:rPr>
        <w:t>采购</w:t>
      </w:r>
      <w:r>
        <w:rPr>
          <w:color w:val="auto"/>
          <w:highlight w:val="none"/>
        </w:rPr>
        <w:t>文件的规定提交</w:t>
      </w:r>
      <w:r>
        <w:rPr>
          <w:rFonts w:hint="eastAsia"/>
          <w:color w:val="auto"/>
          <w:highlight w:val="none"/>
        </w:rPr>
        <w:t>响应</w:t>
      </w:r>
      <w:r>
        <w:rPr>
          <w:color w:val="auto"/>
          <w:highlight w:val="none"/>
        </w:rPr>
        <w:t>保证金的；</w:t>
      </w:r>
    </w:p>
    <w:p w14:paraId="611406B3">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30.8响应文件</w:t>
      </w:r>
      <w:r>
        <w:rPr>
          <w:color w:val="auto"/>
          <w:highlight w:val="none"/>
        </w:rPr>
        <w:t>未按</w:t>
      </w:r>
      <w:r>
        <w:rPr>
          <w:rFonts w:hint="eastAsia"/>
          <w:color w:val="auto"/>
          <w:highlight w:val="none"/>
        </w:rPr>
        <w:t>采购</w:t>
      </w:r>
      <w:r>
        <w:rPr>
          <w:color w:val="auto"/>
          <w:highlight w:val="none"/>
        </w:rPr>
        <w:t>文件要求签署、盖章的；</w:t>
      </w:r>
    </w:p>
    <w:p w14:paraId="706D689C">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30.9</w:t>
      </w:r>
      <w:r>
        <w:rPr>
          <w:color w:val="auto"/>
          <w:highlight w:val="none"/>
        </w:rPr>
        <w:t>不具备</w:t>
      </w:r>
      <w:r>
        <w:rPr>
          <w:rFonts w:hint="eastAsia"/>
          <w:color w:val="auto"/>
          <w:highlight w:val="none"/>
        </w:rPr>
        <w:t>采购</w:t>
      </w:r>
      <w:r>
        <w:rPr>
          <w:color w:val="auto"/>
          <w:highlight w:val="none"/>
        </w:rPr>
        <w:t>文件中规定的资格要求的；</w:t>
      </w:r>
    </w:p>
    <w:p w14:paraId="433D03E7">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30.10</w:t>
      </w:r>
      <w:r>
        <w:rPr>
          <w:color w:val="auto"/>
          <w:highlight w:val="none"/>
        </w:rPr>
        <w:t>报价超过</w:t>
      </w:r>
      <w:r>
        <w:rPr>
          <w:rFonts w:hint="eastAsia"/>
          <w:color w:val="auto"/>
          <w:highlight w:val="none"/>
        </w:rPr>
        <w:t>采购</w:t>
      </w:r>
      <w:r>
        <w:rPr>
          <w:color w:val="auto"/>
          <w:highlight w:val="none"/>
        </w:rPr>
        <w:t>文件中规定的预算金额或者最高限价的；</w:t>
      </w:r>
    </w:p>
    <w:p w14:paraId="56AF2FE8">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30.11响应文件</w:t>
      </w:r>
      <w:r>
        <w:rPr>
          <w:color w:val="auto"/>
          <w:highlight w:val="none"/>
        </w:rPr>
        <w:t>含有采购人不能接受的附加条件的；</w:t>
      </w:r>
    </w:p>
    <w:p w14:paraId="09427C85">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30.12</w:t>
      </w:r>
      <w:r>
        <w:rPr>
          <w:color w:val="auto"/>
          <w:highlight w:val="none"/>
        </w:rPr>
        <w:t>法律、法规和</w:t>
      </w:r>
      <w:r>
        <w:rPr>
          <w:rFonts w:hint="eastAsia"/>
          <w:color w:val="auto"/>
          <w:highlight w:val="none"/>
        </w:rPr>
        <w:t>采购</w:t>
      </w:r>
      <w:r>
        <w:rPr>
          <w:color w:val="auto"/>
          <w:highlight w:val="none"/>
        </w:rPr>
        <w:t>文件规定的其他无效情形。</w:t>
      </w:r>
    </w:p>
    <w:p w14:paraId="4C98E9F0">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31、其他法律法规及规章制度认定参加政府采购无效的情形等。</w:t>
      </w:r>
    </w:p>
    <w:p w14:paraId="15DD158E">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31.1存在恶意串通响应行为的；</w:t>
      </w:r>
    </w:p>
    <w:p w14:paraId="081EDD41">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31.2参与政府采购活动有不良行为记录且正处于处罚期内并适用于海口行政区域的；</w:t>
      </w:r>
    </w:p>
    <w:p w14:paraId="434DFC5A">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31.3企业在经营活动中存在不诚信记录且正处于处罚期内并适用于海口行政区域政府采购领域的；</w:t>
      </w:r>
    </w:p>
    <w:p w14:paraId="6AB0A839">
      <w:pPr>
        <w:tabs>
          <w:tab w:val="left" w:pos="540"/>
        </w:tabs>
        <w:adjustRightInd w:val="0"/>
        <w:snapToGrid w:val="0"/>
        <w:spacing w:line="360" w:lineRule="auto"/>
        <w:ind w:firstLine="420" w:firstLineChars="200"/>
        <w:outlineLvl w:val="1"/>
        <w:rPr>
          <w:color w:val="auto"/>
          <w:highlight w:val="none"/>
        </w:rPr>
      </w:pPr>
      <w:r>
        <w:rPr>
          <w:rFonts w:hint="eastAsia"/>
          <w:color w:val="auto"/>
          <w:highlight w:val="none"/>
        </w:rPr>
        <w:t>31.4其他法律法规及规章制度认定参加政府采购活动无效并适用海口行政区域的情形等。</w:t>
      </w:r>
    </w:p>
    <w:p w14:paraId="2F34A28D">
      <w:pPr>
        <w:adjustRightInd w:val="0"/>
        <w:snapToGrid w:val="0"/>
        <w:spacing w:line="360" w:lineRule="auto"/>
        <w:ind w:firstLine="420" w:firstLineChars="200"/>
        <w:outlineLvl w:val="1"/>
        <w:rPr>
          <w:color w:val="auto"/>
          <w:highlight w:val="none"/>
        </w:rPr>
      </w:pPr>
      <w:r>
        <w:rPr>
          <w:rFonts w:hint="eastAsia"/>
          <w:color w:val="auto"/>
          <w:highlight w:val="none"/>
        </w:rPr>
        <w:t>十、适用法律</w:t>
      </w:r>
    </w:p>
    <w:p w14:paraId="3C22121A">
      <w:pPr>
        <w:adjustRightInd w:val="0"/>
        <w:snapToGrid w:val="0"/>
        <w:spacing w:line="360" w:lineRule="auto"/>
        <w:ind w:firstLine="420" w:firstLineChars="200"/>
        <w:outlineLvl w:val="1"/>
        <w:rPr>
          <w:color w:val="auto"/>
          <w:highlight w:val="none"/>
        </w:rPr>
        <w:sectPr>
          <w:pgSz w:w="11906" w:h="16838"/>
          <w:pgMar w:top="1440" w:right="1800" w:bottom="1440" w:left="1800" w:header="794" w:footer="992" w:gutter="0"/>
          <w:pgNumType w:fmt="decimal"/>
          <w:cols w:space="425" w:num="1"/>
          <w:docGrid w:type="lines" w:linePitch="312" w:charSpace="0"/>
        </w:sectPr>
      </w:pPr>
      <w:r>
        <w:rPr>
          <w:rFonts w:hint="eastAsia"/>
          <w:color w:val="auto"/>
          <w:highlight w:val="none"/>
        </w:rPr>
        <w:t>32、采购人、采购人及供应商的一切采购活动均适用</w:t>
      </w:r>
      <w:r>
        <w:rPr>
          <w:color w:val="auto"/>
          <w:highlight w:val="none"/>
        </w:rPr>
        <w:t>《中华人民共和国政府采购法</w:t>
      </w:r>
      <w:r>
        <w:rPr>
          <w:rFonts w:hint="eastAsia"/>
          <w:color w:val="auto"/>
          <w:highlight w:val="none"/>
          <w:lang w:eastAsia="zh-CN"/>
        </w:rPr>
        <w:t>》《</w:t>
      </w:r>
      <w:r>
        <w:rPr>
          <w:rFonts w:hint="eastAsia"/>
          <w:color w:val="auto"/>
          <w:highlight w:val="none"/>
        </w:rPr>
        <w:t>政府采购法实施条例》及其配套的法规、规章、政策。</w:t>
      </w:r>
    </w:p>
    <w:p w14:paraId="610DD35D">
      <w:pPr>
        <w:pStyle w:val="5"/>
        <w:pageBreakBefore w:val="0"/>
        <w:wordWrap/>
        <w:topLinePunct w:val="0"/>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第四章</w:t>
      </w:r>
      <w:bookmarkEnd w:id="33"/>
      <w:r>
        <w:rPr>
          <w:rFonts w:hint="eastAsia" w:asciiTheme="minorEastAsia" w:hAnsiTheme="minorEastAsia" w:eastAsiaTheme="minorEastAsia" w:cstheme="minorEastAsia"/>
          <w:b/>
          <w:color w:val="auto"/>
          <w:sz w:val="21"/>
          <w:szCs w:val="21"/>
          <w:highlight w:val="none"/>
        </w:rPr>
        <w:t>审查标准和</w:t>
      </w:r>
      <w:bookmarkStart w:id="95" w:name="_Toc246826116"/>
      <w:r>
        <w:rPr>
          <w:rFonts w:hint="eastAsia" w:asciiTheme="minorEastAsia" w:hAnsiTheme="minorEastAsia" w:eastAsiaTheme="minorEastAsia" w:cstheme="minorEastAsia"/>
          <w:b/>
          <w:color w:val="auto"/>
          <w:sz w:val="21"/>
          <w:szCs w:val="21"/>
          <w:highlight w:val="none"/>
        </w:rPr>
        <w:t>评审标准</w:t>
      </w:r>
    </w:p>
    <w:bookmarkEnd w:id="95"/>
    <w:p w14:paraId="0498F8AB">
      <w:pPr>
        <w:spacing w:line="360" w:lineRule="auto"/>
        <w:ind w:firstLine="420" w:firstLineChars="200"/>
        <w:outlineLvl w:val="0"/>
        <w:rPr>
          <w:color w:val="auto"/>
          <w:highlight w:val="none"/>
        </w:rPr>
      </w:pPr>
      <w:bookmarkStart w:id="96" w:name="_Toc246826117"/>
      <w:r>
        <w:rPr>
          <w:rFonts w:hint="eastAsia"/>
          <w:color w:val="auto"/>
          <w:highlight w:val="none"/>
        </w:rPr>
        <w:t>一、基本要求：</w:t>
      </w:r>
    </w:p>
    <w:p w14:paraId="10D44E69">
      <w:pPr>
        <w:pStyle w:val="5"/>
        <w:rPr>
          <w:color w:val="auto"/>
          <w:highlight w:val="none"/>
        </w:rPr>
      </w:pPr>
      <w:r>
        <w:rPr>
          <w:rFonts w:hint="eastAsia"/>
          <w:color w:val="auto"/>
          <w:highlight w:val="none"/>
        </w:rPr>
        <w:t>（一）资格审查、符合性审查或评审标准中凡</w:t>
      </w:r>
      <w:r>
        <w:rPr>
          <w:rFonts w:hint="eastAsia"/>
          <w:color w:val="auto"/>
          <w:highlight w:val="none"/>
          <w:lang w:eastAsia="zh-CN"/>
        </w:rPr>
        <w:t>涉及</w:t>
      </w:r>
      <w:r>
        <w:rPr>
          <w:rFonts w:hint="eastAsia"/>
          <w:color w:val="auto"/>
          <w:highlight w:val="none"/>
        </w:rPr>
        <w:t>提供针对本项目授权书、承诺书的，均须以原件为准，否则不予认可。</w:t>
      </w:r>
    </w:p>
    <w:p w14:paraId="09EB801F">
      <w:pPr>
        <w:pStyle w:val="5"/>
        <w:rPr>
          <w:color w:val="auto"/>
          <w:highlight w:val="none"/>
        </w:rPr>
      </w:pPr>
      <w:r>
        <w:rPr>
          <w:rFonts w:hint="eastAsia"/>
          <w:color w:val="auto"/>
          <w:highlight w:val="none"/>
        </w:rPr>
        <w:t>（二）资格审查、符合性审查或评审标准中凡</w:t>
      </w:r>
      <w:r>
        <w:rPr>
          <w:rFonts w:hint="eastAsia"/>
          <w:color w:val="auto"/>
          <w:highlight w:val="none"/>
          <w:lang w:eastAsia="zh-CN"/>
        </w:rPr>
        <w:t>涉及</w:t>
      </w:r>
      <w:r>
        <w:rPr>
          <w:rFonts w:hint="eastAsia"/>
          <w:color w:val="auto"/>
          <w:highlight w:val="none"/>
        </w:rPr>
        <w:t>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14:paraId="1DE25C55">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0000FF"/>
          <w:sz w:val="21"/>
          <w:szCs w:val="21"/>
          <w:lang w:eastAsia="zh-CN"/>
        </w:rPr>
      </w:pPr>
      <w:r>
        <w:rPr>
          <w:rFonts w:hint="eastAsia"/>
          <w:color w:val="auto"/>
          <w:highlight w:val="none"/>
        </w:rPr>
        <w:t>（三）凡小微型企业或视同小微企业参与采购活动的，依照第三章5.1款规定执行。</w:t>
      </w:r>
      <w:r>
        <w:rPr>
          <w:rFonts w:hint="eastAsia" w:ascii="宋体" w:hAnsi="宋体" w:cs="宋体"/>
          <w:bCs/>
          <w:color w:val="0000FF"/>
          <w:sz w:val="21"/>
          <w:szCs w:val="21"/>
          <w:lang w:eastAsia="zh-CN"/>
        </w:rPr>
        <w:t>（</w:t>
      </w:r>
      <w:r>
        <w:rPr>
          <w:rFonts w:hint="eastAsia" w:ascii="宋体" w:hAnsi="宋体" w:cs="宋体"/>
          <w:bCs/>
          <w:color w:val="0000FF"/>
          <w:sz w:val="21"/>
          <w:szCs w:val="21"/>
          <w:lang w:val="en-US" w:eastAsia="zh-CN"/>
        </w:rPr>
        <w:t>本项目专门面对中小企业，不再执行小微企业价格评审优惠政策</w:t>
      </w:r>
      <w:r>
        <w:rPr>
          <w:rFonts w:hint="eastAsia" w:ascii="宋体" w:hAnsi="宋体" w:cs="宋体"/>
          <w:bCs/>
          <w:color w:val="0000FF"/>
          <w:sz w:val="21"/>
          <w:szCs w:val="21"/>
          <w:lang w:eastAsia="zh-CN"/>
        </w:rPr>
        <w:t>）</w:t>
      </w:r>
    </w:p>
    <w:p w14:paraId="6419CC1D">
      <w:pPr>
        <w:pStyle w:val="5"/>
        <w:rPr>
          <w:color w:val="auto"/>
          <w:highlight w:val="none"/>
        </w:rPr>
      </w:pPr>
      <w:r>
        <w:rPr>
          <w:rFonts w:hint="eastAsia"/>
          <w:color w:val="auto"/>
          <w:highlight w:val="none"/>
        </w:rPr>
        <w:t>二、审查标准</w:t>
      </w:r>
    </w:p>
    <w:p w14:paraId="7D4CD804">
      <w:pPr>
        <w:snapToGrid w:val="0"/>
        <w:spacing w:line="360" w:lineRule="auto"/>
        <w:ind w:firstLine="420" w:firstLineChars="200"/>
        <w:outlineLvl w:val="0"/>
        <w:rPr>
          <w:color w:val="auto"/>
          <w:highlight w:val="none"/>
        </w:rPr>
      </w:pPr>
      <w:r>
        <w:rPr>
          <w:rFonts w:hint="eastAsia"/>
          <w:color w:val="auto"/>
          <w:highlight w:val="none"/>
        </w:rPr>
        <w:t>1、资格审查表和符合性审查表中所列内容全部审查意见为“合格”，方视为“合格”，其中有一项不合格，将视为不合格供应商。</w:t>
      </w:r>
    </w:p>
    <w:p w14:paraId="3E06A894">
      <w:pPr>
        <w:snapToGrid w:val="0"/>
        <w:spacing w:line="360" w:lineRule="auto"/>
        <w:ind w:firstLine="420" w:firstLineChars="200"/>
        <w:outlineLvl w:val="0"/>
        <w:rPr>
          <w:color w:val="auto"/>
          <w:highlight w:val="none"/>
        </w:rPr>
      </w:pPr>
      <w:r>
        <w:rPr>
          <w:rFonts w:hint="eastAsia"/>
          <w:color w:val="auto"/>
          <w:highlight w:val="none"/>
        </w:rPr>
        <w:t>2、在审查意见汇总的过程中，如存在不同审查意见，则按照少数服从多数的原则</w:t>
      </w:r>
      <w:r>
        <w:rPr>
          <w:rFonts w:hint="eastAsia"/>
          <w:color w:val="auto"/>
          <w:highlight w:val="none"/>
          <w:lang w:eastAsia="zh-CN"/>
        </w:rPr>
        <w:t>作出</w:t>
      </w:r>
      <w:r>
        <w:rPr>
          <w:rFonts w:hint="eastAsia"/>
          <w:color w:val="auto"/>
          <w:highlight w:val="none"/>
        </w:rPr>
        <w:t>结论。</w:t>
      </w:r>
    </w:p>
    <w:p w14:paraId="2CD0A521">
      <w:pPr>
        <w:snapToGrid w:val="0"/>
        <w:spacing w:line="360" w:lineRule="auto"/>
        <w:ind w:firstLine="420" w:firstLineChars="200"/>
        <w:outlineLvl w:val="0"/>
        <w:rPr>
          <w:color w:val="auto"/>
          <w:highlight w:val="none"/>
        </w:rPr>
      </w:pPr>
      <w:r>
        <w:rPr>
          <w:rFonts w:hint="eastAsia"/>
          <w:color w:val="auto"/>
          <w:highlight w:val="none"/>
        </w:rPr>
        <w:t>3、本表格“审查意见”栏默认“√”视为合格标示，“×”视为不合格标示。</w:t>
      </w:r>
    </w:p>
    <w:p w14:paraId="0AC60350">
      <w:pPr>
        <w:snapToGrid w:val="0"/>
        <w:spacing w:line="360" w:lineRule="auto"/>
        <w:ind w:firstLine="211" w:firstLineChars="100"/>
        <w:jc w:val="left"/>
        <w:rPr>
          <w:b/>
          <w:bCs/>
          <w:color w:val="auto"/>
          <w:highlight w:val="none"/>
        </w:rPr>
      </w:pPr>
      <w:r>
        <w:rPr>
          <w:rFonts w:hint="eastAsia"/>
          <w:b/>
          <w:bCs/>
          <w:color w:val="auto"/>
          <w:highlight w:val="none"/>
        </w:rPr>
        <w:t>（一）资格审查表</w:t>
      </w:r>
    </w:p>
    <w:tbl>
      <w:tblPr>
        <w:tblStyle w:val="2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980"/>
        <w:gridCol w:w="4231"/>
        <w:gridCol w:w="2130"/>
        <w:gridCol w:w="975"/>
      </w:tblGrid>
      <w:tr w14:paraId="0C7B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980" w:type="dxa"/>
            <w:tcBorders>
              <w:top w:val="single" w:color="auto" w:sz="4" w:space="0"/>
              <w:left w:val="single" w:color="auto" w:sz="4" w:space="0"/>
              <w:bottom w:val="single" w:color="auto" w:sz="4" w:space="0"/>
              <w:right w:val="single" w:color="auto" w:sz="4" w:space="0"/>
            </w:tcBorders>
            <w:noWrap/>
            <w:vAlign w:val="center"/>
          </w:tcPr>
          <w:p w14:paraId="608A1F2F">
            <w:pPr>
              <w:snapToGrid w:val="0"/>
              <w:spacing w:line="360" w:lineRule="auto"/>
              <w:ind w:firstLine="422"/>
              <w:jc w:val="center"/>
              <w:rPr>
                <w:b/>
                <w:bCs/>
                <w:color w:val="auto"/>
                <w:highlight w:val="none"/>
              </w:rPr>
            </w:pPr>
            <w:r>
              <w:rPr>
                <w:rFonts w:hint="eastAsia"/>
                <w:b/>
                <w:bCs/>
                <w:color w:val="auto"/>
                <w:highlight w:val="none"/>
              </w:rPr>
              <w:t>序号</w:t>
            </w:r>
          </w:p>
        </w:tc>
        <w:tc>
          <w:tcPr>
            <w:tcW w:w="4231" w:type="dxa"/>
            <w:tcBorders>
              <w:top w:val="single" w:color="auto" w:sz="4" w:space="0"/>
              <w:left w:val="single" w:color="auto" w:sz="4" w:space="0"/>
              <w:bottom w:val="single" w:color="auto" w:sz="4" w:space="0"/>
              <w:right w:val="single" w:color="auto" w:sz="4" w:space="0"/>
            </w:tcBorders>
            <w:noWrap/>
            <w:vAlign w:val="center"/>
          </w:tcPr>
          <w:p w14:paraId="4DE11AA9">
            <w:pPr>
              <w:snapToGrid w:val="0"/>
              <w:spacing w:line="360" w:lineRule="auto"/>
              <w:ind w:firstLine="422"/>
              <w:jc w:val="center"/>
              <w:rPr>
                <w:b/>
                <w:bCs/>
                <w:color w:val="auto"/>
                <w:highlight w:val="none"/>
              </w:rPr>
            </w:pPr>
            <w:r>
              <w:rPr>
                <w:rFonts w:hint="eastAsia"/>
                <w:b/>
                <w:bCs/>
                <w:color w:val="auto"/>
                <w:highlight w:val="none"/>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7C5A1070">
            <w:pPr>
              <w:snapToGrid w:val="0"/>
              <w:spacing w:line="360" w:lineRule="auto"/>
              <w:ind w:firstLine="422"/>
              <w:jc w:val="center"/>
              <w:rPr>
                <w:b/>
                <w:bCs/>
                <w:color w:val="auto"/>
                <w:highlight w:val="none"/>
              </w:rPr>
            </w:pPr>
            <w:r>
              <w:rPr>
                <w:rFonts w:hint="eastAsia"/>
                <w:b/>
                <w:bCs/>
                <w:color w:val="auto"/>
                <w:highlight w:val="none"/>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5E570757">
            <w:pPr>
              <w:snapToGrid w:val="0"/>
              <w:spacing w:line="360" w:lineRule="auto"/>
              <w:ind w:left="0" w:leftChars="0" w:firstLine="0" w:firstLineChars="0"/>
              <w:jc w:val="center"/>
              <w:rPr>
                <w:b/>
                <w:bCs/>
                <w:color w:val="auto"/>
                <w:highlight w:val="none"/>
              </w:rPr>
            </w:pPr>
            <w:r>
              <w:rPr>
                <w:rFonts w:hint="eastAsia"/>
                <w:b/>
                <w:bCs/>
                <w:color w:val="auto"/>
                <w:highlight w:val="none"/>
              </w:rPr>
              <w:t>审查意见</w:t>
            </w:r>
          </w:p>
        </w:tc>
      </w:tr>
      <w:tr w14:paraId="3020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980" w:type="dxa"/>
            <w:tcBorders>
              <w:top w:val="single" w:color="auto" w:sz="4" w:space="0"/>
              <w:left w:val="single" w:color="auto" w:sz="4" w:space="0"/>
              <w:bottom w:val="single" w:color="auto" w:sz="4" w:space="0"/>
              <w:right w:val="single" w:color="auto" w:sz="4" w:space="0"/>
            </w:tcBorders>
            <w:noWrap/>
            <w:vAlign w:val="center"/>
          </w:tcPr>
          <w:p w14:paraId="68949344">
            <w:pPr>
              <w:snapToGrid w:val="0"/>
              <w:spacing w:line="360" w:lineRule="auto"/>
              <w:jc w:val="center"/>
              <w:rPr>
                <w:color w:val="auto"/>
                <w:highlight w:val="none"/>
              </w:rPr>
            </w:pPr>
            <w:r>
              <w:rPr>
                <w:rFonts w:hint="eastAsia"/>
                <w:color w:val="auto"/>
                <w:highlight w:val="none"/>
              </w:rPr>
              <w:t>1</w:t>
            </w:r>
          </w:p>
        </w:tc>
        <w:tc>
          <w:tcPr>
            <w:tcW w:w="4231" w:type="dxa"/>
            <w:tcBorders>
              <w:top w:val="single" w:color="auto" w:sz="4" w:space="0"/>
              <w:left w:val="single" w:color="auto" w:sz="4" w:space="0"/>
              <w:bottom w:val="single" w:color="auto" w:sz="4" w:space="0"/>
              <w:right w:val="single" w:color="auto" w:sz="4" w:space="0"/>
            </w:tcBorders>
            <w:noWrap/>
            <w:vAlign w:val="center"/>
          </w:tcPr>
          <w:p w14:paraId="3F0FDDFC">
            <w:pPr>
              <w:snapToGrid w:val="0"/>
              <w:spacing w:line="360" w:lineRule="auto"/>
              <w:jc w:val="left"/>
              <w:rPr>
                <w:color w:val="auto"/>
                <w:highlight w:val="none"/>
              </w:rPr>
            </w:pPr>
            <w:r>
              <w:rPr>
                <w:rFonts w:hint="eastAsia"/>
                <w:color w:val="auto"/>
                <w:highlight w:val="none"/>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3A18E7E5">
            <w:pPr>
              <w:widowControl/>
              <w:snapToGrid w:val="0"/>
              <w:spacing w:line="360" w:lineRule="auto"/>
              <w:jc w:val="left"/>
              <w:rPr>
                <w:color w:val="auto"/>
                <w:highlight w:val="none"/>
              </w:rPr>
            </w:pPr>
            <w:r>
              <w:rPr>
                <w:rFonts w:hint="eastAsia"/>
                <w:color w:val="auto"/>
                <w:highlight w:val="none"/>
              </w:rPr>
              <w:t>提供法人或者其他组织的营业执照或</w:t>
            </w:r>
            <w:r>
              <w:rPr>
                <w:rFonts w:hint="eastAsia"/>
                <w:color w:val="auto"/>
                <w:highlight w:val="none"/>
                <w:lang w:eastAsia="zh-CN"/>
              </w:rPr>
              <w:t>其他</w:t>
            </w:r>
            <w:r>
              <w:rPr>
                <w:rFonts w:hint="eastAsia"/>
                <w:color w:val="auto"/>
                <w:highlight w:val="none"/>
              </w:rPr>
              <w:t>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23731E13">
            <w:pPr>
              <w:snapToGrid w:val="0"/>
              <w:spacing w:line="360" w:lineRule="auto"/>
              <w:ind w:firstLine="420" w:firstLineChars="200"/>
              <w:jc w:val="center"/>
              <w:rPr>
                <w:color w:val="auto"/>
                <w:highlight w:val="none"/>
              </w:rPr>
            </w:pPr>
          </w:p>
        </w:tc>
      </w:tr>
      <w:tr w14:paraId="5801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980" w:type="dxa"/>
            <w:tcBorders>
              <w:top w:val="single" w:color="auto" w:sz="4" w:space="0"/>
              <w:left w:val="single" w:color="auto" w:sz="4" w:space="0"/>
              <w:right w:val="single" w:color="auto" w:sz="4" w:space="0"/>
            </w:tcBorders>
            <w:noWrap/>
            <w:vAlign w:val="center"/>
          </w:tcPr>
          <w:p w14:paraId="5E412E88">
            <w:pPr>
              <w:snapToGrid w:val="0"/>
              <w:spacing w:line="360" w:lineRule="auto"/>
              <w:jc w:val="center"/>
              <w:rPr>
                <w:color w:val="auto"/>
                <w:highlight w:val="none"/>
              </w:rPr>
            </w:pPr>
            <w:r>
              <w:rPr>
                <w:rFonts w:hint="eastAsia"/>
                <w:color w:val="auto"/>
                <w:highlight w:val="none"/>
              </w:rPr>
              <w:t>2</w:t>
            </w:r>
          </w:p>
        </w:tc>
        <w:tc>
          <w:tcPr>
            <w:tcW w:w="4231" w:type="dxa"/>
            <w:tcBorders>
              <w:top w:val="single" w:color="auto" w:sz="4" w:space="0"/>
              <w:left w:val="single" w:color="auto" w:sz="4" w:space="0"/>
              <w:right w:val="single" w:color="auto" w:sz="4" w:space="0"/>
            </w:tcBorders>
            <w:noWrap/>
            <w:vAlign w:val="center"/>
          </w:tcPr>
          <w:p w14:paraId="4B4DD4EA">
            <w:pPr>
              <w:snapToGrid w:val="0"/>
              <w:spacing w:line="360" w:lineRule="auto"/>
              <w:jc w:val="left"/>
              <w:rPr>
                <w:color w:val="auto"/>
                <w:highlight w:val="none"/>
                <w:lang w:val="zh-CN"/>
              </w:rPr>
            </w:pPr>
            <w:r>
              <w:rPr>
                <w:rFonts w:hint="eastAsia"/>
                <w:color w:val="auto"/>
                <w:highlight w:val="none"/>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78337424">
            <w:pPr>
              <w:snapToGrid w:val="0"/>
              <w:spacing w:line="360" w:lineRule="auto"/>
              <w:jc w:val="left"/>
              <w:rPr>
                <w:color w:val="auto"/>
                <w:highlight w:val="none"/>
                <w:lang w:val="zh-CN"/>
              </w:rPr>
            </w:pPr>
            <w:r>
              <w:rPr>
                <w:rFonts w:hint="eastAsia"/>
                <w:color w:val="auto"/>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5A3D2C0A">
            <w:pPr>
              <w:snapToGrid w:val="0"/>
              <w:spacing w:line="360" w:lineRule="auto"/>
              <w:ind w:firstLine="420" w:firstLineChars="200"/>
              <w:jc w:val="center"/>
              <w:rPr>
                <w:color w:val="auto"/>
                <w:highlight w:val="none"/>
              </w:rPr>
            </w:pPr>
          </w:p>
        </w:tc>
      </w:tr>
      <w:tr w14:paraId="48CD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980" w:type="dxa"/>
            <w:tcBorders>
              <w:top w:val="single" w:color="auto" w:sz="4" w:space="0"/>
              <w:left w:val="single" w:color="auto" w:sz="4" w:space="0"/>
              <w:bottom w:val="single" w:color="auto" w:sz="4" w:space="0"/>
              <w:right w:val="single" w:color="auto" w:sz="4" w:space="0"/>
            </w:tcBorders>
            <w:noWrap/>
            <w:vAlign w:val="center"/>
          </w:tcPr>
          <w:p w14:paraId="1D645A8F">
            <w:pPr>
              <w:snapToGrid w:val="0"/>
              <w:spacing w:line="360" w:lineRule="auto"/>
              <w:jc w:val="center"/>
              <w:rPr>
                <w:color w:val="auto"/>
                <w:highlight w:val="none"/>
              </w:rPr>
            </w:pPr>
            <w:r>
              <w:rPr>
                <w:rFonts w:hint="eastAsia"/>
                <w:color w:val="auto"/>
                <w:highlight w:val="none"/>
              </w:rPr>
              <w:t>3</w:t>
            </w:r>
          </w:p>
        </w:tc>
        <w:tc>
          <w:tcPr>
            <w:tcW w:w="4231" w:type="dxa"/>
            <w:tcBorders>
              <w:top w:val="single" w:color="auto" w:sz="4" w:space="0"/>
              <w:left w:val="single" w:color="auto" w:sz="4" w:space="0"/>
              <w:bottom w:val="single" w:color="auto" w:sz="4" w:space="0"/>
              <w:right w:val="single" w:color="auto" w:sz="4" w:space="0"/>
            </w:tcBorders>
            <w:noWrap/>
            <w:vAlign w:val="center"/>
          </w:tcPr>
          <w:p w14:paraId="5FF2BA68">
            <w:pPr>
              <w:pStyle w:val="6"/>
              <w:spacing w:line="360" w:lineRule="auto"/>
              <w:rPr>
                <w:color w:val="auto"/>
                <w:highlight w:val="none"/>
                <w:lang w:val="zh-CN"/>
              </w:rPr>
            </w:pPr>
            <w:r>
              <w:rPr>
                <w:rFonts w:hint="eastAsia"/>
                <w:color w:val="auto"/>
                <w:highlight w:val="none"/>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42C381FA">
            <w:pPr>
              <w:pStyle w:val="6"/>
              <w:spacing w:line="360" w:lineRule="auto"/>
              <w:rPr>
                <w:color w:val="auto"/>
                <w:highlight w:val="none"/>
                <w:lang w:val="zh-CN"/>
              </w:rPr>
            </w:pPr>
            <w:r>
              <w:rPr>
                <w:rFonts w:hint="eastAsia"/>
                <w:color w:val="auto"/>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29E5AAC0">
            <w:pPr>
              <w:snapToGrid w:val="0"/>
              <w:spacing w:line="360" w:lineRule="auto"/>
              <w:ind w:firstLine="420" w:firstLineChars="200"/>
              <w:jc w:val="center"/>
              <w:rPr>
                <w:color w:val="auto"/>
                <w:highlight w:val="none"/>
              </w:rPr>
            </w:pPr>
          </w:p>
        </w:tc>
      </w:tr>
      <w:tr w14:paraId="0A88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980" w:type="dxa"/>
            <w:tcBorders>
              <w:top w:val="single" w:color="auto" w:sz="4" w:space="0"/>
              <w:left w:val="single" w:color="auto" w:sz="4" w:space="0"/>
              <w:bottom w:val="single" w:color="auto" w:sz="4" w:space="0"/>
              <w:right w:val="single" w:color="auto" w:sz="4" w:space="0"/>
            </w:tcBorders>
            <w:noWrap/>
            <w:vAlign w:val="center"/>
          </w:tcPr>
          <w:p w14:paraId="4C72759C">
            <w:pPr>
              <w:snapToGrid w:val="0"/>
              <w:spacing w:line="360" w:lineRule="auto"/>
              <w:jc w:val="center"/>
              <w:rPr>
                <w:color w:val="auto"/>
                <w:highlight w:val="none"/>
              </w:rPr>
            </w:pPr>
            <w:r>
              <w:rPr>
                <w:rFonts w:hint="eastAsia"/>
                <w:color w:val="auto"/>
                <w:highlight w:val="none"/>
              </w:rPr>
              <w:t>4</w:t>
            </w:r>
          </w:p>
        </w:tc>
        <w:tc>
          <w:tcPr>
            <w:tcW w:w="4231" w:type="dxa"/>
            <w:tcBorders>
              <w:top w:val="single" w:color="auto" w:sz="4" w:space="0"/>
              <w:left w:val="single" w:color="auto" w:sz="4" w:space="0"/>
              <w:bottom w:val="single" w:color="auto" w:sz="4" w:space="0"/>
              <w:right w:val="single" w:color="auto" w:sz="4" w:space="0"/>
            </w:tcBorders>
            <w:noWrap/>
            <w:vAlign w:val="center"/>
          </w:tcPr>
          <w:p w14:paraId="7CAB8172">
            <w:pPr>
              <w:pStyle w:val="6"/>
              <w:snapToGrid w:val="0"/>
              <w:spacing w:line="360" w:lineRule="auto"/>
              <w:jc w:val="both"/>
              <w:rPr>
                <w:color w:val="auto"/>
                <w:highlight w:val="none"/>
              </w:rPr>
            </w:pPr>
            <w:r>
              <w:rPr>
                <w:rFonts w:hint="eastAsia"/>
                <w:color w:val="auto"/>
                <w:highlight w:val="none"/>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4E8F1B8B">
            <w:pPr>
              <w:pStyle w:val="6"/>
              <w:snapToGrid w:val="0"/>
              <w:spacing w:line="360" w:lineRule="auto"/>
              <w:rPr>
                <w:color w:val="auto"/>
                <w:highlight w:val="none"/>
              </w:rPr>
            </w:pPr>
            <w:r>
              <w:rPr>
                <w:rFonts w:hint="eastAsia"/>
                <w:color w:val="auto"/>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60475E85">
            <w:pPr>
              <w:snapToGrid w:val="0"/>
              <w:spacing w:line="360" w:lineRule="auto"/>
              <w:ind w:firstLine="420" w:firstLineChars="200"/>
              <w:jc w:val="center"/>
              <w:rPr>
                <w:color w:val="auto"/>
                <w:highlight w:val="none"/>
              </w:rPr>
            </w:pPr>
          </w:p>
        </w:tc>
      </w:tr>
      <w:tr w14:paraId="419E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980" w:type="dxa"/>
            <w:tcBorders>
              <w:top w:val="single" w:color="auto" w:sz="4" w:space="0"/>
              <w:left w:val="single" w:color="auto" w:sz="4" w:space="0"/>
              <w:bottom w:val="single" w:color="auto" w:sz="4" w:space="0"/>
              <w:right w:val="single" w:color="auto" w:sz="4" w:space="0"/>
            </w:tcBorders>
            <w:noWrap/>
            <w:vAlign w:val="center"/>
          </w:tcPr>
          <w:p w14:paraId="7827C3CD">
            <w:pPr>
              <w:snapToGrid w:val="0"/>
              <w:spacing w:line="360" w:lineRule="auto"/>
              <w:jc w:val="center"/>
              <w:rPr>
                <w:color w:val="auto"/>
                <w:highlight w:val="none"/>
              </w:rPr>
            </w:pPr>
            <w:r>
              <w:rPr>
                <w:rFonts w:hint="eastAsia"/>
                <w:color w:val="auto"/>
                <w:highlight w:val="none"/>
              </w:rPr>
              <w:t>5</w:t>
            </w:r>
          </w:p>
        </w:tc>
        <w:tc>
          <w:tcPr>
            <w:tcW w:w="4231" w:type="dxa"/>
            <w:tcBorders>
              <w:top w:val="single" w:color="auto" w:sz="4" w:space="0"/>
              <w:left w:val="single" w:color="auto" w:sz="4" w:space="0"/>
              <w:bottom w:val="single" w:color="auto" w:sz="4" w:space="0"/>
              <w:right w:val="single" w:color="auto" w:sz="4" w:space="0"/>
            </w:tcBorders>
            <w:noWrap/>
            <w:vAlign w:val="center"/>
          </w:tcPr>
          <w:p w14:paraId="388F4188">
            <w:pPr>
              <w:pStyle w:val="6"/>
              <w:snapToGrid w:val="0"/>
              <w:spacing w:line="360" w:lineRule="auto"/>
              <w:jc w:val="both"/>
              <w:rPr>
                <w:color w:val="auto"/>
                <w:highlight w:val="none"/>
              </w:rPr>
            </w:pPr>
            <w:r>
              <w:rPr>
                <w:rFonts w:hint="eastAsia"/>
                <w:color w:val="auto"/>
                <w:highlight w:val="none"/>
              </w:rPr>
              <w:t>未被“信用中国”列入失信被执行人和重大税收违法失信主体名单、未被中国政府采购网列入政府采购严重违法失信行为记录名单</w:t>
            </w:r>
          </w:p>
        </w:tc>
        <w:tc>
          <w:tcPr>
            <w:tcW w:w="2130" w:type="dxa"/>
            <w:tcBorders>
              <w:top w:val="single" w:color="auto" w:sz="4" w:space="0"/>
              <w:left w:val="single" w:color="auto" w:sz="4" w:space="0"/>
              <w:bottom w:val="single" w:color="auto" w:sz="4" w:space="0"/>
              <w:right w:val="single" w:color="auto" w:sz="4" w:space="0"/>
            </w:tcBorders>
            <w:noWrap/>
            <w:vAlign w:val="center"/>
          </w:tcPr>
          <w:p w14:paraId="24EDE9CA">
            <w:pPr>
              <w:pStyle w:val="6"/>
              <w:snapToGrid w:val="0"/>
              <w:spacing w:line="360" w:lineRule="auto"/>
              <w:rPr>
                <w:color w:val="auto"/>
                <w:highlight w:val="none"/>
              </w:rPr>
            </w:pPr>
            <w:r>
              <w:rPr>
                <w:rFonts w:hint="eastAsia"/>
                <w:color w:val="auto"/>
                <w:highlight w:val="none"/>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37CF9024">
            <w:pPr>
              <w:snapToGrid w:val="0"/>
              <w:spacing w:line="360" w:lineRule="auto"/>
              <w:ind w:firstLine="420" w:firstLineChars="200"/>
              <w:jc w:val="center"/>
              <w:rPr>
                <w:color w:val="auto"/>
                <w:highlight w:val="none"/>
              </w:rPr>
            </w:pPr>
          </w:p>
        </w:tc>
      </w:tr>
      <w:tr w14:paraId="77BB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980" w:type="dxa"/>
            <w:tcBorders>
              <w:top w:val="single" w:color="auto" w:sz="4" w:space="0"/>
              <w:left w:val="single" w:color="auto" w:sz="4" w:space="0"/>
              <w:bottom w:val="single" w:color="auto" w:sz="4" w:space="0"/>
              <w:right w:val="single" w:color="auto" w:sz="4" w:space="0"/>
            </w:tcBorders>
            <w:noWrap/>
            <w:vAlign w:val="center"/>
          </w:tcPr>
          <w:p w14:paraId="5C527413">
            <w:pPr>
              <w:snapToGrid w:val="0"/>
              <w:spacing w:line="360" w:lineRule="auto"/>
              <w:ind w:firstLine="420" w:firstLineChars="200"/>
              <w:jc w:val="center"/>
              <w:rPr>
                <w:rFonts w:hint="eastAsia"/>
                <w:color w:val="auto"/>
                <w:highlight w:val="none"/>
              </w:rPr>
            </w:pPr>
            <w:r>
              <w:rPr>
                <w:rFonts w:hint="eastAsia"/>
                <w:color w:val="auto"/>
                <w:highlight w:val="none"/>
                <w:lang w:val="en-US" w:eastAsia="zh-CN"/>
              </w:rPr>
              <w:t>6</w:t>
            </w:r>
          </w:p>
        </w:tc>
        <w:tc>
          <w:tcPr>
            <w:tcW w:w="4231" w:type="dxa"/>
            <w:tcBorders>
              <w:top w:val="single" w:color="auto" w:sz="4" w:space="0"/>
              <w:left w:val="single" w:color="auto" w:sz="4" w:space="0"/>
              <w:bottom w:val="single" w:color="auto" w:sz="4" w:space="0"/>
              <w:right w:val="single" w:color="auto" w:sz="4" w:space="0"/>
            </w:tcBorders>
            <w:noWrap/>
            <w:vAlign w:val="center"/>
          </w:tcPr>
          <w:p w14:paraId="2CA4E85F">
            <w:pPr>
              <w:pStyle w:val="6"/>
              <w:snapToGrid w:val="0"/>
              <w:spacing w:line="360" w:lineRule="auto"/>
              <w:ind w:firstLine="420" w:firstLineChars="200"/>
              <w:jc w:val="both"/>
              <w:rPr>
                <w:rFonts w:hint="eastAsia"/>
                <w:color w:val="auto"/>
                <w:highlight w:val="none"/>
              </w:rPr>
            </w:pPr>
            <w:r>
              <w:rPr>
                <w:rFonts w:hint="eastAsia"/>
                <w:color w:val="auto"/>
                <w:highlight w:val="none"/>
                <w:lang w:val="en-US" w:eastAsia="zh-CN"/>
              </w:rPr>
              <w:t>中小企业</w:t>
            </w:r>
          </w:p>
        </w:tc>
        <w:tc>
          <w:tcPr>
            <w:tcW w:w="2130" w:type="dxa"/>
            <w:tcBorders>
              <w:top w:val="single" w:color="auto" w:sz="4" w:space="0"/>
              <w:left w:val="single" w:color="auto" w:sz="4" w:space="0"/>
              <w:bottom w:val="single" w:color="auto" w:sz="4" w:space="0"/>
              <w:right w:val="single" w:color="auto" w:sz="4" w:space="0"/>
            </w:tcBorders>
            <w:noWrap/>
            <w:vAlign w:val="center"/>
          </w:tcPr>
          <w:p w14:paraId="4061A61F">
            <w:pPr>
              <w:pStyle w:val="6"/>
              <w:snapToGrid w:val="0"/>
              <w:spacing w:line="360" w:lineRule="auto"/>
              <w:ind w:firstLine="0" w:firstLineChars="0"/>
              <w:rPr>
                <w:rFonts w:hint="eastAsia"/>
                <w:color w:val="auto"/>
                <w:highlight w:val="none"/>
                <w:lang w:val="zh-CN"/>
              </w:rPr>
            </w:pPr>
            <w:r>
              <w:rPr>
                <w:rFonts w:hint="eastAsia"/>
                <w:color w:val="auto"/>
                <w:highlight w:val="none"/>
                <w:lang w:val="en-US" w:eastAsia="zh-CN"/>
              </w:rPr>
              <w:t>提供中小企业声明函</w:t>
            </w:r>
          </w:p>
        </w:tc>
        <w:tc>
          <w:tcPr>
            <w:tcW w:w="975" w:type="dxa"/>
            <w:tcBorders>
              <w:top w:val="single" w:color="auto" w:sz="4" w:space="0"/>
              <w:left w:val="single" w:color="auto" w:sz="4" w:space="0"/>
              <w:bottom w:val="single" w:color="auto" w:sz="4" w:space="0"/>
              <w:right w:val="single" w:color="auto" w:sz="4" w:space="0"/>
            </w:tcBorders>
            <w:noWrap/>
            <w:vAlign w:val="center"/>
          </w:tcPr>
          <w:p w14:paraId="288C6F4C">
            <w:pPr>
              <w:snapToGrid w:val="0"/>
              <w:spacing w:line="360" w:lineRule="auto"/>
              <w:ind w:firstLine="420" w:firstLineChars="200"/>
              <w:jc w:val="center"/>
              <w:rPr>
                <w:color w:val="auto"/>
                <w:highlight w:val="none"/>
              </w:rPr>
            </w:pPr>
          </w:p>
        </w:tc>
      </w:tr>
      <w:tr w14:paraId="4335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980" w:type="dxa"/>
            <w:tcBorders>
              <w:top w:val="single" w:color="auto" w:sz="4" w:space="0"/>
              <w:left w:val="single" w:color="auto" w:sz="4" w:space="0"/>
              <w:bottom w:val="single" w:color="auto" w:sz="4" w:space="0"/>
              <w:right w:val="single" w:color="auto" w:sz="4" w:space="0"/>
            </w:tcBorders>
            <w:noWrap/>
            <w:vAlign w:val="center"/>
          </w:tcPr>
          <w:p w14:paraId="3849DE5D">
            <w:pPr>
              <w:snapToGrid w:val="0"/>
              <w:spacing w:line="360" w:lineRule="auto"/>
              <w:ind w:firstLine="420" w:firstLineChars="200"/>
              <w:jc w:val="center"/>
              <w:rPr>
                <w:rFonts w:hint="eastAsia"/>
                <w:color w:val="auto"/>
                <w:highlight w:val="none"/>
              </w:rPr>
            </w:pPr>
            <w:r>
              <w:rPr>
                <w:rFonts w:hint="eastAsia"/>
                <w:color w:val="auto"/>
                <w:highlight w:val="none"/>
                <w:lang w:val="en-US" w:eastAsia="zh-CN"/>
              </w:rPr>
              <w:t>7</w:t>
            </w:r>
          </w:p>
        </w:tc>
        <w:tc>
          <w:tcPr>
            <w:tcW w:w="4231" w:type="dxa"/>
            <w:tcBorders>
              <w:top w:val="single" w:color="auto" w:sz="4" w:space="0"/>
              <w:left w:val="single" w:color="auto" w:sz="4" w:space="0"/>
              <w:bottom w:val="single" w:color="auto" w:sz="4" w:space="0"/>
              <w:right w:val="single" w:color="auto" w:sz="4" w:space="0"/>
            </w:tcBorders>
            <w:noWrap/>
            <w:vAlign w:val="center"/>
          </w:tcPr>
          <w:p w14:paraId="78EE2A2D">
            <w:pPr>
              <w:pStyle w:val="6"/>
              <w:snapToGrid w:val="0"/>
              <w:spacing w:line="360" w:lineRule="auto"/>
              <w:ind w:firstLine="420" w:firstLineChars="200"/>
              <w:jc w:val="both"/>
              <w:rPr>
                <w:rFonts w:hint="eastAsia"/>
                <w:color w:val="auto"/>
                <w:highlight w:val="none"/>
              </w:rPr>
            </w:pPr>
            <w:r>
              <w:rPr>
                <w:rFonts w:hint="eastAsia" w:ascii="Times New Roman" w:hAnsi="Times New Roman" w:eastAsia="宋体" w:cs="宋体"/>
                <w:color w:val="auto"/>
                <w:sz w:val="21"/>
                <w:szCs w:val="21"/>
                <w:highlight w:val="none"/>
                <w:lang w:eastAsia="zh-CN"/>
              </w:rPr>
              <w:t>参加政府采购活动前三年内，无环保类行政处罚记录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657361EB">
            <w:pPr>
              <w:pStyle w:val="6"/>
              <w:snapToGrid w:val="0"/>
              <w:spacing w:line="360" w:lineRule="auto"/>
              <w:ind w:firstLine="0" w:firstLineChars="0"/>
              <w:jc w:val="both"/>
              <w:rPr>
                <w:rFonts w:hint="eastAsia"/>
                <w:color w:val="auto"/>
                <w:highlight w:val="none"/>
                <w:lang w:val="zh-CN"/>
              </w:rPr>
            </w:pPr>
            <w:r>
              <w:rPr>
                <w:rFonts w:hint="eastAsia"/>
                <w:color w:val="auto"/>
                <w:highlight w:val="none"/>
                <w:lang w:val="en-US" w:eastAsia="zh-CN"/>
              </w:rPr>
              <w:t>提供承诺函（格式自拟）</w:t>
            </w:r>
          </w:p>
        </w:tc>
        <w:tc>
          <w:tcPr>
            <w:tcW w:w="975" w:type="dxa"/>
            <w:tcBorders>
              <w:top w:val="single" w:color="auto" w:sz="4" w:space="0"/>
              <w:left w:val="single" w:color="auto" w:sz="4" w:space="0"/>
              <w:bottom w:val="single" w:color="auto" w:sz="4" w:space="0"/>
              <w:right w:val="single" w:color="auto" w:sz="4" w:space="0"/>
            </w:tcBorders>
            <w:noWrap/>
            <w:vAlign w:val="center"/>
          </w:tcPr>
          <w:p w14:paraId="11E6997B">
            <w:pPr>
              <w:snapToGrid w:val="0"/>
              <w:spacing w:line="360" w:lineRule="auto"/>
              <w:ind w:firstLine="420" w:firstLineChars="200"/>
              <w:jc w:val="center"/>
              <w:rPr>
                <w:color w:val="auto"/>
                <w:highlight w:val="none"/>
              </w:rPr>
            </w:pPr>
          </w:p>
        </w:tc>
      </w:tr>
      <w:tr w14:paraId="3EC3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980" w:type="dxa"/>
            <w:tcBorders>
              <w:top w:val="single" w:color="auto" w:sz="4" w:space="0"/>
              <w:left w:val="single" w:color="auto" w:sz="4" w:space="0"/>
              <w:bottom w:val="single" w:color="auto" w:sz="4" w:space="0"/>
              <w:right w:val="single" w:color="auto" w:sz="4" w:space="0"/>
            </w:tcBorders>
            <w:noWrap/>
            <w:vAlign w:val="center"/>
          </w:tcPr>
          <w:p w14:paraId="09C6B866">
            <w:pPr>
              <w:snapToGrid w:val="0"/>
              <w:spacing w:line="360" w:lineRule="auto"/>
              <w:ind w:firstLine="420" w:firstLineChars="200"/>
              <w:jc w:val="center"/>
              <w:rPr>
                <w:rFonts w:hint="default"/>
                <w:color w:val="auto"/>
                <w:highlight w:val="none"/>
                <w:lang w:val="en-US" w:eastAsia="zh-CN"/>
              </w:rPr>
            </w:pPr>
            <w:r>
              <w:rPr>
                <w:rFonts w:hint="eastAsia"/>
                <w:color w:val="auto"/>
                <w:highlight w:val="none"/>
                <w:lang w:val="en-US" w:eastAsia="zh-CN"/>
              </w:rPr>
              <w:t>8</w:t>
            </w:r>
          </w:p>
        </w:tc>
        <w:tc>
          <w:tcPr>
            <w:tcW w:w="4231" w:type="dxa"/>
            <w:tcBorders>
              <w:top w:val="single" w:color="auto" w:sz="4" w:space="0"/>
              <w:left w:val="single" w:color="auto" w:sz="4" w:space="0"/>
              <w:bottom w:val="single" w:color="auto" w:sz="4" w:space="0"/>
              <w:right w:val="single" w:color="auto" w:sz="4" w:space="0"/>
            </w:tcBorders>
            <w:noWrap/>
            <w:vAlign w:val="center"/>
          </w:tcPr>
          <w:p w14:paraId="3034911D">
            <w:pPr>
              <w:pStyle w:val="6"/>
              <w:snapToGrid w:val="0"/>
              <w:spacing w:line="360" w:lineRule="auto"/>
              <w:ind w:firstLine="420" w:firstLineChars="200"/>
              <w:jc w:val="both"/>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具有有效的安全生产许可证</w:t>
            </w:r>
          </w:p>
        </w:tc>
        <w:tc>
          <w:tcPr>
            <w:tcW w:w="2130" w:type="dxa"/>
            <w:tcBorders>
              <w:top w:val="single" w:color="auto" w:sz="4" w:space="0"/>
              <w:left w:val="single" w:color="auto" w:sz="4" w:space="0"/>
              <w:bottom w:val="single" w:color="auto" w:sz="4" w:space="0"/>
              <w:right w:val="single" w:color="auto" w:sz="4" w:space="0"/>
            </w:tcBorders>
            <w:noWrap/>
            <w:vAlign w:val="center"/>
          </w:tcPr>
          <w:p w14:paraId="7EC4DA99">
            <w:pPr>
              <w:pStyle w:val="6"/>
              <w:snapToGrid w:val="0"/>
              <w:spacing w:line="360" w:lineRule="auto"/>
              <w:ind w:firstLine="0" w:firstLineChars="0"/>
              <w:jc w:val="both"/>
              <w:rPr>
                <w:rFonts w:hint="default"/>
                <w:color w:val="auto"/>
                <w:highlight w:val="none"/>
                <w:lang w:val="en-US" w:eastAsia="zh-CN"/>
              </w:rPr>
            </w:pPr>
            <w:r>
              <w:rPr>
                <w:rFonts w:hint="eastAsia"/>
                <w:color w:val="auto"/>
                <w:highlight w:val="none"/>
                <w:lang w:val="en-US" w:eastAsia="zh-CN"/>
              </w:rPr>
              <w:t>提供证书复印件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55B4F25B">
            <w:pPr>
              <w:snapToGrid w:val="0"/>
              <w:spacing w:line="360" w:lineRule="auto"/>
              <w:ind w:firstLine="420" w:firstLineChars="200"/>
              <w:jc w:val="center"/>
              <w:rPr>
                <w:color w:val="auto"/>
                <w:highlight w:val="none"/>
              </w:rPr>
            </w:pPr>
          </w:p>
        </w:tc>
      </w:tr>
    </w:tbl>
    <w:p w14:paraId="2C4966A9">
      <w:pPr>
        <w:pStyle w:val="34"/>
        <w:rPr>
          <w:color w:val="auto"/>
          <w:highlight w:val="none"/>
        </w:rPr>
      </w:pPr>
    </w:p>
    <w:p w14:paraId="2DA6FC12">
      <w:pPr>
        <w:adjustRightInd w:val="0"/>
        <w:snapToGrid w:val="0"/>
        <w:spacing w:line="360" w:lineRule="auto"/>
        <w:ind w:firstLine="422"/>
        <w:rPr>
          <w:color w:val="auto"/>
          <w:highlight w:val="none"/>
        </w:rPr>
      </w:pPr>
      <w:r>
        <w:rPr>
          <w:rFonts w:hint="eastAsia"/>
          <w:color w:val="auto"/>
          <w:highlight w:val="none"/>
        </w:rPr>
        <w:t>（二）符合性审查表</w:t>
      </w:r>
    </w:p>
    <w:tbl>
      <w:tblPr>
        <w:tblStyle w:val="20"/>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930"/>
        <w:gridCol w:w="3906"/>
        <w:gridCol w:w="1975"/>
        <w:gridCol w:w="1544"/>
      </w:tblGrid>
      <w:tr w14:paraId="2691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930" w:type="dxa"/>
            <w:tcBorders>
              <w:top w:val="single" w:color="auto" w:sz="4" w:space="0"/>
              <w:left w:val="single" w:color="auto" w:sz="4" w:space="0"/>
              <w:bottom w:val="single" w:color="auto" w:sz="4" w:space="0"/>
              <w:right w:val="single" w:color="auto" w:sz="4" w:space="0"/>
            </w:tcBorders>
            <w:noWrap/>
            <w:vAlign w:val="center"/>
          </w:tcPr>
          <w:p w14:paraId="741202CD">
            <w:pPr>
              <w:adjustRightInd w:val="0"/>
              <w:snapToGrid w:val="0"/>
              <w:spacing w:line="360" w:lineRule="auto"/>
              <w:ind w:firstLine="422"/>
              <w:jc w:val="both"/>
              <w:rPr>
                <w:b/>
                <w:bCs/>
                <w:color w:val="auto"/>
                <w:highlight w:val="none"/>
              </w:rPr>
            </w:pPr>
            <w:r>
              <w:rPr>
                <w:rFonts w:hint="eastAsia"/>
                <w:b/>
                <w:bCs/>
                <w:color w:val="auto"/>
                <w:highlight w:val="none"/>
              </w:rPr>
              <w:t>序号</w:t>
            </w:r>
          </w:p>
        </w:tc>
        <w:tc>
          <w:tcPr>
            <w:tcW w:w="3906" w:type="dxa"/>
            <w:tcBorders>
              <w:top w:val="single" w:color="auto" w:sz="4" w:space="0"/>
              <w:left w:val="single" w:color="auto" w:sz="4" w:space="0"/>
              <w:bottom w:val="single" w:color="auto" w:sz="4" w:space="0"/>
              <w:right w:val="single" w:color="auto" w:sz="4" w:space="0"/>
            </w:tcBorders>
            <w:noWrap/>
            <w:vAlign w:val="center"/>
          </w:tcPr>
          <w:p w14:paraId="0503BCB0">
            <w:pPr>
              <w:adjustRightInd w:val="0"/>
              <w:snapToGrid w:val="0"/>
              <w:spacing w:line="360" w:lineRule="auto"/>
              <w:ind w:firstLine="422"/>
              <w:jc w:val="both"/>
              <w:rPr>
                <w:b/>
                <w:bCs/>
                <w:color w:val="auto"/>
                <w:highlight w:val="none"/>
              </w:rPr>
            </w:pPr>
            <w:r>
              <w:rPr>
                <w:rFonts w:hint="eastAsia"/>
                <w:b/>
                <w:bCs/>
                <w:color w:val="auto"/>
                <w:highlight w:val="none"/>
              </w:rPr>
              <w:t>符合性审查内容</w:t>
            </w:r>
          </w:p>
        </w:tc>
        <w:tc>
          <w:tcPr>
            <w:tcW w:w="1975" w:type="dxa"/>
            <w:tcBorders>
              <w:top w:val="single" w:color="auto" w:sz="4" w:space="0"/>
              <w:left w:val="single" w:color="auto" w:sz="4" w:space="0"/>
              <w:bottom w:val="single" w:color="auto" w:sz="4" w:space="0"/>
              <w:right w:val="single" w:color="auto" w:sz="4" w:space="0"/>
            </w:tcBorders>
            <w:noWrap/>
            <w:vAlign w:val="center"/>
          </w:tcPr>
          <w:p w14:paraId="1BFF6A1E">
            <w:pPr>
              <w:adjustRightInd w:val="0"/>
              <w:snapToGrid w:val="0"/>
              <w:spacing w:line="360" w:lineRule="auto"/>
              <w:ind w:firstLine="422"/>
              <w:jc w:val="both"/>
              <w:rPr>
                <w:b/>
                <w:bCs/>
                <w:color w:val="auto"/>
                <w:highlight w:val="none"/>
              </w:rPr>
            </w:pPr>
            <w:r>
              <w:rPr>
                <w:rFonts w:hint="eastAsia"/>
                <w:b/>
                <w:bCs/>
                <w:color w:val="auto"/>
                <w:highlight w:val="none"/>
              </w:rPr>
              <w:t>审查标准</w:t>
            </w:r>
          </w:p>
        </w:tc>
        <w:tc>
          <w:tcPr>
            <w:tcW w:w="1544" w:type="dxa"/>
            <w:tcBorders>
              <w:top w:val="single" w:color="auto" w:sz="4" w:space="0"/>
              <w:left w:val="single" w:color="auto" w:sz="4" w:space="0"/>
              <w:bottom w:val="single" w:color="auto" w:sz="4" w:space="0"/>
              <w:right w:val="single" w:color="auto" w:sz="4" w:space="0"/>
            </w:tcBorders>
            <w:noWrap/>
            <w:vAlign w:val="center"/>
          </w:tcPr>
          <w:p w14:paraId="686704CE">
            <w:pPr>
              <w:adjustRightInd w:val="0"/>
              <w:snapToGrid w:val="0"/>
              <w:spacing w:line="360" w:lineRule="auto"/>
              <w:ind w:firstLine="422"/>
              <w:jc w:val="both"/>
              <w:rPr>
                <w:b/>
                <w:bCs/>
                <w:color w:val="auto"/>
                <w:highlight w:val="none"/>
              </w:rPr>
            </w:pPr>
            <w:r>
              <w:rPr>
                <w:rFonts w:hint="eastAsia"/>
                <w:b/>
                <w:bCs/>
                <w:color w:val="auto"/>
                <w:highlight w:val="none"/>
              </w:rPr>
              <w:t>审查意见</w:t>
            </w:r>
          </w:p>
        </w:tc>
      </w:tr>
      <w:tr w14:paraId="45A4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930" w:type="dxa"/>
            <w:tcBorders>
              <w:top w:val="single" w:color="auto" w:sz="4" w:space="0"/>
              <w:left w:val="single" w:color="auto" w:sz="4" w:space="0"/>
              <w:bottom w:val="single" w:color="auto" w:sz="4" w:space="0"/>
              <w:right w:val="single" w:color="auto" w:sz="4" w:space="0"/>
            </w:tcBorders>
            <w:noWrap/>
            <w:vAlign w:val="center"/>
          </w:tcPr>
          <w:p w14:paraId="18AEDEE5">
            <w:pPr>
              <w:adjustRightInd w:val="0"/>
              <w:snapToGrid w:val="0"/>
              <w:spacing w:line="360" w:lineRule="auto"/>
              <w:jc w:val="center"/>
              <w:rPr>
                <w:color w:val="auto"/>
                <w:highlight w:val="none"/>
              </w:rPr>
            </w:pPr>
            <w:r>
              <w:rPr>
                <w:rFonts w:hint="eastAsia"/>
                <w:color w:val="auto"/>
                <w:highlight w:val="none"/>
              </w:rPr>
              <w:t>1</w:t>
            </w:r>
          </w:p>
        </w:tc>
        <w:tc>
          <w:tcPr>
            <w:tcW w:w="3906" w:type="dxa"/>
            <w:tcBorders>
              <w:top w:val="single" w:color="auto" w:sz="4" w:space="0"/>
              <w:left w:val="single" w:color="auto" w:sz="4" w:space="0"/>
              <w:bottom w:val="single" w:color="auto" w:sz="4" w:space="0"/>
              <w:right w:val="single" w:color="auto" w:sz="4" w:space="0"/>
            </w:tcBorders>
            <w:noWrap/>
            <w:vAlign w:val="center"/>
          </w:tcPr>
          <w:p w14:paraId="3987ACCE">
            <w:pPr>
              <w:adjustRightInd w:val="0"/>
              <w:snapToGrid w:val="0"/>
              <w:spacing w:line="360" w:lineRule="auto"/>
              <w:ind w:left="0" w:leftChars="0" w:firstLine="0" w:firstLineChars="0"/>
              <w:jc w:val="left"/>
              <w:rPr>
                <w:color w:val="auto"/>
                <w:highlight w:val="none"/>
              </w:rPr>
            </w:pPr>
            <w:r>
              <w:rPr>
                <w:rFonts w:hint="eastAsia"/>
                <w:color w:val="auto"/>
                <w:highlight w:val="none"/>
              </w:rPr>
              <w:t>供应商名称。</w:t>
            </w:r>
          </w:p>
        </w:tc>
        <w:tc>
          <w:tcPr>
            <w:tcW w:w="1975" w:type="dxa"/>
            <w:tcBorders>
              <w:top w:val="single" w:color="auto" w:sz="4" w:space="0"/>
              <w:left w:val="single" w:color="auto" w:sz="4" w:space="0"/>
              <w:bottom w:val="single" w:color="auto" w:sz="4" w:space="0"/>
              <w:right w:val="single" w:color="auto" w:sz="4" w:space="0"/>
            </w:tcBorders>
            <w:noWrap/>
            <w:vAlign w:val="center"/>
          </w:tcPr>
          <w:p w14:paraId="2767BEB4">
            <w:pPr>
              <w:adjustRightInd w:val="0"/>
              <w:snapToGrid w:val="0"/>
              <w:spacing w:line="360" w:lineRule="auto"/>
              <w:ind w:left="0" w:leftChars="0" w:firstLine="0" w:firstLineChars="0"/>
              <w:rPr>
                <w:color w:val="auto"/>
                <w:highlight w:val="none"/>
              </w:rPr>
            </w:pPr>
            <w:r>
              <w:rPr>
                <w:rFonts w:hint="eastAsia"/>
                <w:color w:val="auto"/>
                <w:highlight w:val="none"/>
              </w:rPr>
              <w:t>与营业执照一致。</w:t>
            </w:r>
          </w:p>
        </w:tc>
        <w:tc>
          <w:tcPr>
            <w:tcW w:w="1544" w:type="dxa"/>
            <w:tcBorders>
              <w:top w:val="single" w:color="auto" w:sz="4" w:space="0"/>
              <w:left w:val="single" w:color="auto" w:sz="4" w:space="0"/>
              <w:bottom w:val="single" w:color="auto" w:sz="4" w:space="0"/>
              <w:right w:val="single" w:color="auto" w:sz="4" w:space="0"/>
            </w:tcBorders>
            <w:noWrap/>
            <w:vAlign w:val="center"/>
          </w:tcPr>
          <w:p w14:paraId="3E0A8C62">
            <w:pPr>
              <w:adjustRightInd w:val="0"/>
              <w:snapToGrid w:val="0"/>
              <w:spacing w:line="360" w:lineRule="auto"/>
              <w:jc w:val="center"/>
              <w:rPr>
                <w:color w:val="auto"/>
                <w:highlight w:val="none"/>
              </w:rPr>
            </w:pPr>
          </w:p>
        </w:tc>
      </w:tr>
      <w:tr w14:paraId="79F2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930" w:type="dxa"/>
            <w:tcBorders>
              <w:top w:val="single" w:color="auto" w:sz="4" w:space="0"/>
              <w:left w:val="single" w:color="auto" w:sz="4" w:space="0"/>
              <w:bottom w:val="single" w:color="auto" w:sz="4" w:space="0"/>
              <w:right w:val="single" w:color="auto" w:sz="4" w:space="0"/>
            </w:tcBorders>
            <w:noWrap/>
            <w:vAlign w:val="center"/>
          </w:tcPr>
          <w:p w14:paraId="1864EA94">
            <w:pPr>
              <w:adjustRightInd w:val="0"/>
              <w:snapToGrid w:val="0"/>
              <w:spacing w:line="360" w:lineRule="auto"/>
              <w:jc w:val="center"/>
              <w:rPr>
                <w:color w:val="auto"/>
                <w:highlight w:val="none"/>
              </w:rPr>
            </w:pPr>
            <w:r>
              <w:rPr>
                <w:rFonts w:hint="eastAsia"/>
                <w:color w:val="auto"/>
                <w:highlight w:val="none"/>
              </w:rPr>
              <w:t>2</w:t>
            </w:r>
          </w:p>
        </w:tc>
        <w:tc>
          <w:tcPr>
            <w:tcW w:w="3906" w:type="dxa"/>
            <w:tcBorders>
              <w:top w:val="single" w:color="auto" w:sz="4" w:space="0"/>
              <w:left w:val="single" w:color="auto" w:sz="4" w:space="0"/>
              <w:bottom w:val="single" w:color="auto" w:sz="4" w:space="0"/>
              <w:right w:val="single" w:color="auto" w:sz="4" w:space="0"/>
            </w:tcBorders>
            <w:noWrap/>
            <w:vAlign w:val="center"/>
          </w:tcPr>
          <w:p w14:paraId="359F1675">
            <w:pPr>
              <w:adjustRightInd w:val="0"/>
              <w:snapToGrid w:val="0"/>
              <w:spacing w:line="360" w:lineRule="auto"/>
              <w:ind w:left="0" w:leftChars="0" w:firstLine="0" w:firstLineChars="0"/>
              <w:jc w:val="left"/>
              <w:rPr>
                <w:color w:val="auto"/>
                <w:highlight w:val="none"/>
              </w:rPr>
            </w:pPr>
            <w:r>
              <w:rPr>
                <w:rFonts w:hint="eastAsia"/>
                <w:color w:val="auto"/>
                <w:highlight w:val="none"/>
              </w:rPr>
              <w:t>响应文件的有效性、完整性。</w:t>
            </w:r>
          </w:p>
        </w:tc>
        <w:tc>
          <w:tcPr>
            <w:tcW w:w="1975" w:type="dxa"/>
            <w:tcBorders>
              <w:top w:val="single" w:color="auto" w:sz="4" w:space="0"/>
              <w:left w:val="single" w:color="auto" w:sz="4" w:space="0"/>
              <w:bottom w:val="single" w:color="auto" w:sz="4" w:space="0"/>
              <w:right w:val="single" w:color="auto" w:sz="4" w:space="0"/>
            </w:tcBorders>
            <w:noWrap/>
          </w:tcPr>
          <w:p w14:paraId="29E70D51">
            <w:pPr>
              <w:adjustRightInd w:val="0"/>
              <w:snapToGrid w:val="0"/>
              <w:spacing w:line="360" w:lineRule="auto"/>
              <w:ind w:left="0" w:leftChars="0" w:firstLine="0" w:firstLineChars="0"/>
              <w:rPr>
                <w:color w:val="auto"/>
                <w:highlight w:val="none"/>
              </w:rPr>
            </w:pPr>
            <w:r>
              <w:rPr>
                <w:rFonts w:hint="eastAsia"/>
                <w:color w:val="auto"/>
                <w:highlight w:val="none"/>
              </w:rPr>
              <w:t>响应文件齐全、格式符合采购文件要求</w:t>
            </w:r>
            <w:r>
              <w:rPr>
                <w:rFonts w:hint="eastAsia"/>
                <w:color w:val="auto"/>
                <w:highlight w:val="none"/>
                <w:lang w:eastAsia="zh-CN"/>
              </w:rPr>
              <w:t>，加</w:t>
            </w:r>
            <w:r>
              <w:rPr>
                <w:rFonts w:hint="eastAsia"/>
                <w:color w:val="auto"/>
                <w:highlight w:val="none"/>
              </w:rPr>
              <w:t>盖公章、签字有效。</w:t>
            </w:r>
          </w:p>
        </w:tc>
        <w:tc>
          <w:tcPr>
            <w:tcW w:w="1544" w:type="dxa"/>
            <w:tcBorders>
              <w:top w:val="single" w:color="auto" w:sz="4" w:space="0"/>
              <w:left w:val="single" w:color="auto" w:sz="4" w:space="0"/>
              <w:bottom w:val="single" w:color="auto" w:sz="4" w:space="0"/>
              <w:right w:val="single" w:color="auto" w:sz="4" w:space="0"/>
            </w:tcBorders>
            <w:noWrap/>
            <w:vAlign w:val="center"/>
          </w:tcPr>
          <w:p w14:paraId="19BE0612">
            <w:pPr>
              <w:adjustRightInd w:val="0"/>
              <w:snapToGrid w:val="0"/>
              <w:spacing w:line="360" w:lineRule="auto"/>
              <w:jc w:val="center"/>
              <w:rPr>
                <w:color w:val="auto"/>
                <w:highlight w:val="none"/>
              </w:rPr>
            </w:pPr>
          </w:p>
        </w:tc>
      </w:tr>
      <w:tr w14:paraId="1678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930" w:type="dxa"/>
            <w:tcBorders>
              <w:top w:val="single" w:color="auto" w:sz="4" w:space="0"/>
              <w:left w:val="single" w:color="auto" w:sz="4" w:space="0"/>
              <w:bottom w:val="single" w:color="auto" w:sz="4" w:space="0"/>
              <w:right w:val="single" w:color="auto" w:sz="4" w:space="0"/>
            </w:tcBorders>
            <w:noWrap/>
            <w:vAlign w:val="center"/>
          </w:tcPr>
          <w:p w14:paraId="1F91CC90">
            <w:pPr>
              <w:adjustRightInd w:val="0"/>
              <w:snapToGrid w:val="0"/>
              <w:spacing w:line="360" w:lineRule="auto"/>
              <w:jc w:val="center"/>
              <w:rPr>
                <w:color w:val="auto"/>
                <w:highlight w:val="none"/>
              </w:rPr>
            </w:pPr>
            <w:r>
              <w:rPr>
                <w:rFonts w:hint="eastAsia"/>
                <w:color w:val="auto"/>
                <w:highlight w:val="none"/>
              </w:rPr>
              <w:t>3</w:t>
            </w:r>
          </w:p>
        </w:tc>
        <w:tc>
          <w:tcPr>
            <w:tcW w:w="3906" w:type="dxa"/>
            <w:tcBorders>
              <w:top w:val="single" w:color="auto" w:sz="4" w:space="0"/>
              <w:left w:val="single" w:color="auto" w:sz="4" w:space="0"/>
              <w:bottom w:val="single" w:color="auto" w:sz="4" w:space="0"/>
              <w:right w:val="single" w:color="auto" w:sz="4" w:space="0"/>
            </w:tcBorders>
            <w:noWrap/>
            <w:vAlign w:val="center"/>
          </w:tcPr>
          <w:p w14:paraId="0C859C02">
            <w:pPr>
              <w:adjustRightInd w:val="0"/>
              <w:snapToGrid w:val="0"/>
              <w:spacing w:line="360" w:lineRule="auto"/>
              <w:ind w:left="0" w:leftChars="0" w:firstLine="0" w:firstLineChars="0"/>
              <w:jc w:val="left"/>
              <w:rPr>
                <w:color w:val="auto"/>
                <w:highlight w:val="none"/>
              </w:rPr>
            </w:pPr>
            <w:r>
              <w:rPr>
                <w:rFonts w:hint="eastAsia"/>
                <w:color w:val="auto"/>
                <w:highlight w:val="none"/>
              </w:rPr>
              <w:t>服务期限。</w:t>
            </w:r>
          </w:p>
        </w:tc>
        <w:tc>
          <w:tcPr>
            <w:tcW w:w="1975" w:type="dxa"/>
            <w:tcBorders>
              <w:top w:val="single" w:color="auto" w:sz="4" w:space="0"/>
              <w:left w:val="single" w:color="auto" w:sz="4" w:space="0"/>
              <w:bottom w:val="single" w:color="auto" w:sz="4" w:space="0"/>
              <w:right w:val="single" w:color="auto" w:sz="4" w:space="0"/>
            </w:tcBorders>
            <w:noWrap/>
            <w:vAlign w:val="center"/>
          </w:tcPr>
          <w:p w14:paraId="4486A215">
            <w:pPr>
              <w:adjustRightInd w:val="0"/>
              <w:snapToGrid w:val="0"/>
              <w:spacing w:line="360" w:lineRule="auto"/>
              <w:ind w:left="0" w:leftChars="0" w:firstLine="0" w:firstLineChars="0"/>
              <w:rPr>
                <w:color w:val="auto"/>
                <w:highlight w:val="none"/>
              </w:rPr>
            </w:pPr>
            <w:r>
              <w:rPr>
                <w:rFonts w:hint="eastAsia"/>
                <w:color w:val="auto"/>
                <w:highlight w:val="none"/>
              </w:rPr>
              <w:t>满足采购比选文件要求。</w:t>
            </w:r>
          </w:p>
        </w:tc>
        <w:tc>
          <w:tcPr>
            <w:tcW w:w="1544" w:type="dxa"/>
            <w:tcBorders>
              <w:top w:val="single" w:color="auto" w:sz="4" w:space="0"/>
              <w:left w:val="single" w:color="auto" w:sz="4" w:space="0"/>
              <w:bottom w:val="single" w:color="auto" w:sz="4" w:space="0"/>
              <w:right w:val="single" w:color="auto" w:sz="4" w:space="0"/>
            </w:tcBorders>
            <w:noWrap/>
            <w:vAlign w:val="center"/>
          </w:tcPr>
          <w:p w14:paraId="45CB8FB5">
            <w:pPr>
              <w:adjustRightInd w:val="0"/>
              <w:snapToGrid w:val="0"/>
              <w:spacing w:line="360" w:lineRule="auto"/>
              <w:jc w:val="center"/>
              <w:rPr>
                <w:color w:val="auto"/>
                <w:highlight w:val="none"/>
              </w:rPr>
            </w:pPr>
          </w:p>
        </w:tc>
      </w:tr>
      <w:tr w14:paraId="52EC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930" w:type="dxa"/>
            <w:tcBorders>
              <w:top w:val="single" w:color="auto" w:sz="4" w:space="0"/>
              <w:left w:val="single" w:color="auto" w:sz="4" w:space="0"/>
              <w:bottom w:val="single" w:color="auto" w:sz="4" w:space="0"/>
              <w:right w:val="single" w:color="auto" w:sz="4" w:space="0"/>
            </w:tcBorders>
            <w:noWrap/>
            <w:vAlign w:val="center"/>
          </w:tcPr>
          <w:p w14:paraId="34F143EA">
            <w:pPr>
              <w:adjustRightInd w:val="0"/>
              <w:snapToGrid w:val="0"/>
              <w:spacing w:line="360" w:lineRule="auto"/>
              <w:jc w:val="center"/>
              <w:rPr>
                <w:color w:val="auto"/>
                <w:highlight w:val="none"/>
              </w:rPr>
            </w:pPr>
            <w:r>
              <w:rPr>
                <w:rFonts w:hint="eastAsia"/>
                <w:color w:val="auto"/>
                <w:highlight w:val="none"/>
              </w:rPr>
              <w:t>4</w:t>
            </w:r>
          </w:p>
        </w:tc>
        <w:tc>
          <w:tcPr>
            <w:tcW w:w="3906" w:type="dxa"/>
            <w:tcBorders>
              <w:top w:val="single" w:color="auto" w:sz="4" w:space="0"/>
              <w:left w:val="single" w:color="auto" w:sz="4" w:space="0"/>
              <w:bottom w:val="single" w:color="auto" w:sz="4" w:space="0"/>
              <w:right w:val="single" w:color="auto" w:sz="4" w:space="0"/>
            </w:tcBorders>
            <w:noWrap/>
            <w:vAlign w:val="center"/>
          </w:tcPr>
          <w:p w14:paraId="19531F28">
            <w:pPr>
              <w:adjustRightInd w:val="0"/>
              <w:snapToGrid w:val="0"/>
              <w:spacing w:line="360" w:lineRule="auto"/>
              <w:ind w:left="0" w:leftChars="0" w:firstLine="0" w:firstLineChars="0"/>
              <w:jc w:val="left"/>
              <w:rPr>
                <w:color w:val="auto"/>
                <w:highlight w:val="none"/>
              </w:rPr>
            </w:pPr>
            <w:r>
              <w:rPr>
                <w:rFonts w:hint="eastAsia"/>
                <w:color w:val="auto"/>
                <w:highlight w:val="none"/>
              </w:rPr>
              <w:t>质量标准。</w:t>
            </w:r>
          </w:p>
        </w:tc>
        <w:tc>
          <w:tcPr>
            <w:tcW w:w="1975" w:type="dxa"/>
            <w:tcBorders>
              <w:top w:val="single" w:color="auto" w:sz="4" w:space="0"/>
              <w:left w:val="single" w:color="auto" w:sz="4" w:space="0"/>
              <w:bottom w:val="single" w:color="auto" w:sz="4" w:space="0"/>
              <w:right w:val="single" w:color="auto" w:sz="4" w:space="0"/>
            </w:tcBorders>
            <w:noWrap/>
          </w:tcPr>
          <w:p w14:paraId="10D47B9D">
            <w:pPr>
              <w:adjustRightInd w:val="0"/>
              <w:snapToGrid w:val="0"/>
              <w:spacing w:line="360" w:lineRule="auto"/>
              <w:ind w:left="0" w:leftChars="0" w:firstLine="0" w:firstLineChars="0"/>
              <w:rPr>
                <w:color w:val="auto"/>
                <w:highlight w:val="none"/>
              </w:rPr>
            </w:pPr>
            <w:r>
              <w:rPr>
                <w:rFonts w:hint="eastAsia"/>
                <w:color w:val="auto"/>
                <w:highlight w:val="none"/>
              </w:rPr>
              <w:t>满足采购比选文件要求。</w:t>
            </w:r>
          </w:p>
        </w:tc>
        <w:tc>
          <w:tcPr>
            <w:tcW w:w="1544" w:type="dxa"/>
            <w:tcBorders>
              <w:top w:val="single" w:color="auto" w:sz="4" w:space="0"/>
              <w:left w:val="single" w:color="auto" w:sz="4" w:space="0"/>
              <w:bottom w:val="single" w:color="auto" w:sz="4" w:space="0"/>
              <w:right w:val="single" w:color="auto" w:sz="4" w:space="0"/>
            </w:tcBorders>
            <w:noWrap/>
            <w:vAlign w:val="center"/>
          </w:tcPr>
          <w:p w14:paraId="5D41F98A">
            <w:pPr>
              <w:adjustRightInd w:val="0"/>
              <w:snapToGrid w:val="0"/>
              <w:spacing w:line="360" w:lineRule="auto"/>
              <w:jc w:val="center"/>
              <w:rPr>
                <w:color w:val="auto"/>
                <w:highlight w:val="none"/>
              </w:rPr>
            </w:pPr>
          </w:p>
        </w:tc>
      </w:tr>
      <w:tr w14:paraId="0443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930" w:type="dxa"/>
            <w:tcBorders>
              <w:top w:val="single" w:color="auto" w:sz="4" w:space="0"/>
              <w:left w:val="single" w:color="auto" w:sz="4" w:space="0"/>
              <w:bottom w:val="single" w:color="auto" w:sz="4" w:space="0"/>
              <w:right w:val="single" w:color="auto" w:sz="4" w:space="0"/>
            </w:tcBorders>
            <w:noWrap/>
            <w:vAlign w:val="center"/>
          </w:tcPr>
          <w:p w14:paraId="7E6BBB42">
            <w:pPr>
              <w:adjustRightInd w:val="0"/>
              <w:snapToGrid w:val="0"/>
              <w:spacing w:line="360" w:lineRule="auto"/>
              <w:jc w:val="center"/>
              <w:rPr>
                <w:color w:val="auto"/>
                <w:highlight w:val="none"/>
              </w:rPr>
            </w:pPr>
            <w:r>
              <w:rPr>
                <w:rFonts w:hint="eastAsia"/>
                <w:color w:val="auto"/>
                <w:highlight w:val="none"/>
              </w:rPr>
              <w:t>5</w:t>
            </w:r>
          </w:p>
        </w:tc>
        <w:tc>
          <w:tcPr>
            <w:tcW w:w="3906" w:type="dxa"/>
            <w:tcBorders>
              <w:top w:val="single" w:color="auto" w:sz="4" w:space="0"/>
              <w:left w:val="single" w:color="auto" w:sz="4" w:space="0"/>
              <w:bottom w:val="single" w:color="auto" w:sz="4" w:space="0"/>
              <w:right w:val="single" w:color="auto" w:sz="4" w:space="0"/>
            </w:tcBorders>
            <w:noWrap/>
            <w:vAlign w:val="center"/>
          </w:tcPr>
          <w:p w14:paraId="129D60C9">
            <w:pPr>
              <w:adjustRightInd w:val="0"/>
              <w:snapToGrid w:val="0"/>
              <w:spacing w:line="360" w:lineRule="auto"/>
              <w:ind w:left="0" w:leftChars="0" w:firstLine="0" w:firstLineChars="0"/>
              <w:jc w:val="left"/>
              <w:rPr>
                <w:color w:val="auto"/>
                <w:highlight w:val="none"/>
              </w:rPr>
            </w:pPr>
            <w:r>
              <w:rPr>
                <w:rFonts w:hint="eastAsia"/>
                <w:color w:val="auto"/>
                <w:highlight w:val="none"/>
              </w:rPr>
              <w:t>报价。</w:t>
            </w:r>
          </w:p>
        </w:tc>
        <w:tc>
          <w:tcPr>
            <w:tcW w:w="1975" w:type="dxa"/>
            <w:tcBorders>
              <w:top w:val="single" w:color="auto" w:sz="4" w:space="0"/>
              <w:left w:val="single" w:color="auto" w:sz="4" w:space="0"/>
              <w:bottom w:val="single" w:color="auto" w:sz="4" w:space="0"/>
              <w:right w:val="single" w:color="auto" w:sz="4" w:space="0"/>
            </w:tcBorders>
            <w:noWrap/>
          </w:tcPr>
          <w:p w14:paraId="78D6890C">
            <w:pPr>
              <w:adjustRightInd w:val="0"/>
              <w:snapToGrid w:val="0"/>
              <w:spacing w:line="360" w:lineRule="auto"/>
              <w:ind w:left="0" w:leftChars="0" w:firstLine="0" w:firstLineChars="0"/>
              <w:rPr>
                <w:color w:val="auto"/>
                <w:highlight w:val="none"/>
              </w:rPr>
            </w:pPr>
            <w:r>
              <w:rPr>
                <w:rFonts w:hint="eastAsia"/>
                <w:color w:val="auto"/>
                <w:highlight w:val="none"/>
              </w:rPr>
              <w:t>报价是固定价且未超过本项目最高限价。</w:t>
            </w:r>
          </w:p>
        </w:tc>
        <w:tc>
          <w:tcPr>
            <w:tcW w:w="1544" w:type="dxa"/>
            <w:tcBorders>
              <w:top w:val="single" w:color="auto" w:sz="4" w:space="0"/>
              <w:left w:val="single" w:color="auto" w:sz="4" w:space="0"/>
              <w:bottom w:val="single" w:color="auto" w:sz="4" w:space="0"/>
              <w:right w:val="single" w:color="auto" w:sz="4" w:space="0"/>
            </w:tcBorders>
            <w:noWrap/>
            <w:vAlign w:val="center"/>
          </w:tcPr>
          <w:p w14:paraId="47C68701">
            <w:pPr>
              <w:adjustRightInd w:val="0"/>
              <w:snapToGrid w:val="0"/>
              <w:spacing w:line="360" w:lineRule="auto"/>
              <w:ind w:firstLine="420" w:firstLineChars="200"/>
              <w:rPr>
                <w:color w:val="auto"/>
                <w:highlight w:val="none"/>
              </w:rPr>
            </w:pPr>
          </w:p>
        </w:tc>
      </w:tr>
      <w:tr w14:paraId="45F8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930" w:type="dxa"/>
            <w:tcBorders>
              <w:top w:val="single" w:color="auto" w:sz="4" w:space="0"/>
              <w:left w:val="single" w:color="auto" w:sz="4" w:space="0"/>
              <w:bottom w:val="single" w:color="auto" w:sz="4" w:space="0"/>
              <w:right w:val="single" w:color="auto" w:sz="4" w:space="0"/>
            </w:tcBorders>
            <w:noWrap/>
            <w:vAlign w:val="center"/>
          </w:tcPr>
          <w:p w14:paraId="5A48F33B">
            <w:pPr>
              <w:adjustRightInd w:val="0"/>
              <w:snapToGrid w:val="0"/>
              <w:spacing w:line="360" w:lineRule="auto"/>
              <w:jc w:val="center"/>
              <w:rPr>
                <w:color w:val="auto"/>
                <w:highlight w:val="none"/>
              </w:rPr>
            </w:pPr>
            <w:r>
              <w:rPr>
                <w:rFonts w:hint="eastAsia"/>
                <w:color w:val="auto"/>
                <w:highlight w:val="none"/>
              </w:rPr>
              <w:t>6</w:t>
            </w:r>
          </w:p>
        </w:tc>
        <w:tc>
          <w:tcPr>
            <w:tcW w:w="3906" w:type="dxa"/>
            <w:tcBorders>
              <w:top w:val="single" w:color="auto" w:sz="4" w:space="0"/>
              <w:left w:val="single" w:color="auto" w:sz="4" w:space="0"/>
              <w:bottom w:val="single" w:color="auto" w:sz="4" w:space="0"/>
              <w:right w:val="single" w:color="auto" w:sz="4" w:space="0"/>
            </w:tcBorders>
            <w:noWrap/>
            <w:vAlign w:val="center"/>
          </w:tcPr>
          <w:p w14:paraId="59B225CD">
            <w:pPr>
              <w:adjustRightInd w:val="0"/>
              <w:snapToGrid w:val="0"/>
              <w:spacing w:line="360" w:lineRule="auto"/>
              <w:ind w:left="0" w:leftChars="0" w:firstLine="0" w:firstLineChars="0"/>
              <w:jc w:val="left"/>
              <w:rPr>
                <w:color w:val="auto"/>
                <w:highlight w:val="none"/>
              </w:rPr>
            </w:pPr>
            <w:r>
              <w:rPr>
                <w:rFonts w:hint="eastAsia"/>
                <w:color w:val="auto"/>
                <w:highlight w:val="none"/>
              </w:rPr>
              <w:t>响应有效期</w:t>
            </w:r>
          </w:p>
        </w:tc>
        <w:tc>
          <w:tcPr>
            <w:tcW w:w="1975" w:type="dxa"/>
            <w:tcBorders>
              <w:top w:val="single" w:color="auto" w:sz="4" w:space="0"/>
              <w:left w:val="single" w:color="auto" w:sz="4" w:space="0"/>
              <w:bottom w:val="single" w:color="auto" w:sz="4" w:space="0"/>
              <w:right w:val="single" w:color="auto" w:sz="4" w:space="0"/>
            </w:tcBorders>
            <w:noWrap/>
            <w:vAlign w:val="center"/>
          </w:tcPr>
          <w:p w14:paraId="31AE9010">
            <w:pPr>
              <w:adjustRightInd w:val="0"/>
              <w:snapToGrid w:val="0"/>
              <w:spacing w:line="360" w:lineRule="auto"/>
              <w:ind w:left="0" w:leftChars="0" w:firstLine="0" w:firstLineChars="0"/>
              <w:rPr>
                <w:color w:val="auto"/>
                <w:highlight w:val="none"/>
              </w:rPr>
            </w:pPr>
            <w:r>
              <w:rPr>
                <w:rFonts w:hint="eastAsia"/>
                <w:color w:val="auto"/>
                <w:highlight w:val="none"/>
              </w:rPr>
              <w:t>满足采购比选文件要求。</w:t>
            </w:r>
          </w:p>
        </w:tc>
        <w:tc>
          <w:tcPr>
            <w:tcW w:w="1544" w:type="dxa"/>
            <w:tcBorders>
              <w:top w:val="single" w:color="auto" w:sz="4" w:space="0"/>
              <w:left w:val="single" w:color="auto" w:sz="4" w:space="0"/>
              <w:bottom w:val="single" w:color="auto" w:sz="4" w:space="0"/>
              <w:right w:val="single" w:color="auto" w:sz="4" w:space="0"/>
            </w:tcBorders>
            <w:noWrap/>
            <w:vAlign w:val="center"/>
          </w:tcPr>
          <w:p w14:paraId="48A809B9">
            <w:pPr>
              <w:adjustRightInd w:val="0"/>
              <w:snapToGrid w:val="0"/>
              <w:spacing w:line="360" w:lineRule="auto"/>
              <w:ind w:firstLine="420" w:firstLineChars="200"/>
              <w:rPr>
                <w:color w:val="auto"/>
                <w:highlight w:val="none"/>
              </w:rPr>
            </w:pPr>
          </w:p>
        </w:tc>
      </w:tr>
      <w:tr w14:paraId="7DD6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930" w:type="dxa"/>
            <w:tcBorders>
              <w:top w:val="single" w:color="auto" w:sz="4" w:space="0"/>
              <w:left w:val="single" w:color="auto" w:sz="4" w:space="0"/>
              <w:bottom w:val="single" w:color="auto" w:sz="4" w:space="0"/>
              <w:right w:val="single" w:color="auto" w:sz="4" w:space="0"/>
            </w:tcBorders>
            <w:noWrap/>
            <w:vAlign w:val="center"/>
          </w:tcPr>
          <w:p w14:paraId="2EE613A6">
            <w:pPr>
              <w:adjustRightInd w:val="0"/>
              <w:snapToGrid w:val="0"/>
              <w:spacing w:line="360" w:lineRule="auto"/>
              <w:jc w:val="center"/>
              <w:rPr>
                <w:color w:val="auto"/>
                <w:highlight w:val="none"/>
              </w:rPr>
            </w:pPr>
            <w:r>
              <w:rPr>
                <w:rFonts w:hint="eastAsia"/>
                <w:color w:val="auto"/>
                <w:highlight w:val="none"/>
              </w:rPr>
              <w:t>7</w:t>
            </w:r>
          </w:p>
        </w:tc>
        <w:tc>
          <w:tcPr>
            <w:tcW w:w="3906" w:type="dxa"/>
            <w:tcBorders>
              <w:top w:val="single" w:color="auto" w:sz="4" w:space="0"/>
              <w:left w:val="single" w:color="auto" w:sz="4" w:space="0"/>
              <w:bottom w:val="single" w:color="auto" w:sz="4" w:space="0"/>
              <w:right w:val="single" w:color="auto" w:sz="4" w:space="0"/>
            </w:tcBorders>
            <w:noWrap/>
            <w:vAlign w:val="center"/>
          </w:tcPr>
          <w:p w14:paraId="0EEAA5CA">
            <w:pPr>
              <w:adjustRightInd w:val="0"/>
              <w:snapToGrid w:val="0"/>
              <w:spacing w:line="360" w:lineRule="auto"/>
              <w:ind w:left="0" w:leftChars="0" w:firstLine="0" w:firstLineChars="0"/>
              <w:jc w:val="left"/>
              <w:rPr>
                <w:color w:val="auto"/>
                <w:highlight w:val="none"/>
              </w:rPr>
            </w:pPr>
            <w:r>
              <w:rPr>
                <w:rFonts w:hint="eastAsia"/>
                <w:color w:val="auto"/>
                <w:highlight w:val="none"/>
              </w:rPr>
              <w:t>采购比选文件规定的</w:t>
            </w:r>
            <w:r>
              <w:rPr>
                <w:rFonts w:hint="eastAsia"/>
                <w:color w:val="auto"/>
                <w:highlight w:val="none"/>
                <w:lang w:eastAsia="zh-CN"/>
              </w:rPr>
              <w:t>其他</w:t>
            </w:r>
            <w:r>
              <w:rPr>
                <w:rFonts w:hint="eastAsia"/>
                <w:color w:val="auto"/>
                <w:highlight w:val="none"/>
              </w:rPr>
              <w:t>条件</w:t>
            </w:r>
          </w:p>
        </w:tc>
        <w:tc>
          <w:tcPr>
            <w:tcW w:w="1975" w:type="dxa"/>
            <w:tcBorders>
              <w:top w:val="single" w:color="auto" w:sz="4" w:space="0"/>
              <w:left w:val="single" w:color="auto" w:sz="4" w:space="0"/>
              <w:bottom w:val="single" w:color="auto" w:sz="4" w:space="0"/>
              <w:right w:val="single" w:color="auto" w:sz="4" w:space="0"/>
            </w:tcBorders>
            <w:noWrap/>
          </w:tcPr>
          <w:p w14:paraId="49E7AEFF">
            <w:pPr>
              <w:adjustRightInd w:val="0"/>
              <w:snapToGrid w:val="0"/>
              <w:spacing w:line="360" w:lineRule="auto"/>
              <w:ind w:left="0" w:leftChars="0" w:firstLine="0" w:firstLineChars="0"/>
              <w:rPr>
                <w:color w:val="auto"/>
                <w:highlight w:val="none"/>
              </w:rPr>
            </w:pPr>
            <w:r>
              <w:rPr>
                <w:rFonts w:hint="eastAsia"/>
                <w:color w:val="auto"/>
                <w:highlight w:val="none"/>
              </w:rPr>
              <w:t>不存在采购文件及相关法律法规规定的废标情形的</w:t>
            </w:r>
          </w:p>
        </w:tc>
        <w:tc>
          <w:tcPr>
            <w:tcW w:w="1544" w:type="dxa"/>
            <w:tcBorders>
              <w:top w:val="single" w:color="auto" w:sz="4" w:space="0"/>
              <w:left w:val="single" w:color="auto" w:sz="4" w:space="0"/>
              <w:bottom w:val="single" w:color="auto" w:sz="4" w:space="0"/>
              <w:right w:val="single" w:color="auto" w:sz="4" w:space="0"/>
            </w:tcBorders>
            <w:noWrap/>
            <w:vAlign w:val="center"/>
          </w:tcPr>
          <w:p w14:paraId="70A37584">
            <w:pPr>
              <w:adjustRightInd w:val="0"/>
              <w:snapToGrid w:val="0"/>
              <w:spacing w:line="360" w:lineRule="auto"/>
              <w:ind w:firstLine="420" w:firstLineChars="200"/>
              <w:rPr>
                <w:color w:val="auto"/>
                <w:highlight w:val="none"/>
              </w:rPr>
            </w:pPr>
          </w:p>
        </w:tc>
      </w:tr>
    </w:tbl>
    <w:p w14:paraId="530679F9">
      <w:pPr>
        <w:pStyle w:val="10"/>
        <w:rPr>
          <w:color w:val="auto"/>
          <w:highlight w:val="none"/>
        </w:rPr>
      </w:pPr>
    </w:p>
    <w:bookmarkEnd w:id="96"/>
    <w:p w14:paraId="3826F4F1">
      <w:pPr>
        <w:adjustRightInd w:val="0"/>
        <w:snapToGrid w:val="0"/>
        <w:spacing w:line="360" w:lineRule="auto"/>
        <w:ind w:firstLine="422"/>
        <w:outlineLvl w:val="1"/>
        <w:rPr>
          <w:color w:val="auto"/>
          <w:highlight w:val="none"/>
        </w:rPr>
      </w:pPr>
      <w:bookmarkStart w:id="97" w:name="_Toc246826118"/>
      <w:r>
        <w:rPr>
          <w:rFonts w:hint="eastAsia"/>
          <w:color w:val="auto"/>
          <w:highlight w:val="none"/>
        </w:rPr>
        <w:t>三、评审标准</w:t>
      </w:r>
    </w:p>
    <w:p w14:paraId="0294A147">
      <w:pPr>
        <w:adjustRightInd w:val="0"/>
        <w:snapToGrid w:val="0"/>
        <w:spacing w:line="360" w:lineRule="auto"/>
        <w:ind w:firstLine="420" w:firstLineChars="200"/>
        <w:outlineLvl w:val="1"/>
        <w:rPr>
          <w:color w:val="auto"/>
          <w:highlight w:val="none"/>
        </w:rPr>
      </w:pPr>
      <w:r>
        <w:rPr>
          <w:rFonts w:hint="eastAsia"/>
          <w:color w:val="auto"/>
          <w:highlight w:val="none"/>
        </w:rPr>
        <w:t>（一）评审方法及评审结果排列顺序规定如下：</w:t>
      </w:r>
    </w:p>
    <w:p w14:paraId="3CCAA105">
      <w:pPr>
        <w:pStyle w:val="6"/>
        <w:spacing w:line="360" w:lineRule="auto"/>
        <w:ind w:firstLine="420" w:firstLineChars="200"/>
        <w:jc w:val="both"/>
        <w:rPr>
          <w:color w:val="auto"/>
          <w:highlight w:val="none"/>
        </w:rPr>
      </w:pPr>
      <w:r>
        <w:rPr>
          <w:rFonts w:hint="eastAsia"/>
          <w:color w:val="auto"/>
          <w:highlight w:val="none"/>
        </w:rPr>
        <w:t>本项目采用综合评分法，评审结果按评审后得分由高到低顺序排列。得分相同的，按响应报价由低到高顺序排列。得分且响应报价相同的并列或者评审委员会根据响应情况推荐评审结果排列顺序或予以授标建议。</w:t>
      </w:r>
    </w:p>
    <w:p w14:paraId="0E7EB1A7">
      <w:pPr>
        <w:numPr>
          <w:ilvl w:val="0"/>
          <w:numId w:val="1"/>
        </w:numPr>
        <w:adjustRightInd w:val="0"/>
        <w:snapToGrid w:val="0"/>
        <w:spacing w:line="360" w:lineRule="auto"/>
        <w:ind w:left="-2" w:firstLine="422"/>
        <w:outlineLvl w:val="1"/>
        <w:rPr>
          <w:b/>
          <w:bCs/>
          <w:color w:val="auto"/>
          <w:highlight w:val="none"/>
        </w:rPr>
      </w:pPr>
      <w:r>
        <w:rPr>
          <w:rFonts w:hint="eastAsia"/>
          <w:b/>
          <w:bCs/>
          <w:color w:val="auto"/>
          <w:highlight w:val="none"/>
        </w:rPr>
        <w:t>评审因素及分值分配</w:t>
      </w:r>
    </w:p>
    <w:tbl>
      <w:tblPr>
        <w:tblStyle w:val="20"/>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047AA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16C9CFC8">
            <w:pPr>
              <w:spacing w:line="360" w:lineRule="auto"/>
              <w:jc w:val="center"/>
              <w:rPr>
                <w:color w:val="auto"/>
                <w:highlight w:val="none"/>
              </w:rPr>
            </w:pPr>
            <w:r>
              <w:rPr>
                <w:rFonts w:hint="eastAsia"/>
                <w:color w:val="auto"/>
                <w:highlight w:val="none"/>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14:paraId="6807CDA1">
            <w:pPr>
              <w:spacing w:line="360" w:lineRule="auto"/>
              <w:jc w:val="center"/>
              <w:rPr>
                <w:color w:val="auto"/>
                <w:highlight w:val="none"/>
              </w:rPr>
            </w:pPr>
            <w:r>
              <w:rPr>
                <w:rFonts w:hint="eastAsia"/>
                <w:color w:val="auto"/>
                <w:highlight w:val="none"/>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14:paraId="4256654C">
            <w:pPr>
              <w:spacing w:line="360" w:lineRule="auto"/>
              <w:jc w:val="center"/>
              <w:rPr>
                <w:color w:val="auto"/>
                <w:highlight w:val="none"/>
              </w:rPr>
            </w:pPr>
            <w:r>
              <w:rPr>
                <w:rFonts w:hint="eastAsia"/>
                <w:color w:val="auto"/>
                <w:highlight w:val="none"/>
              </w:rPr>
              <w:t>价格</w:t>
            </w:r>
          </w:p>
        </w:tc>
      </w:tr>
      <w:tr w14:paraId="49FC8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231CB4CE">
            <w:pPr>
              <w:spacing w:line="360" w:lineRule="auto"/>
              <w:jc w:val="center"/>
              <w:rPr>
                <w:color w:val="auto"/>
                <w:highlight w:val="none"/>
              </w:rPr>
            </w:pPr>
            <w:r>
              <w:rPr>
                <w:rFonts w:hint="eastAsia"/>
                <w:color w:val="auto"/>
                <w:highlight w:val="none"/>
              </w:rPr>
              <w:t>分值</w:t>
            </w:r>
          </w:p>
        </w:tc>
        <w:tc>
          <w:tcPr>
            <w:tcW w:w="2865" w:type="dxa"/>
            <w:tcBorders>
              <w:top w:val="single" w:color="auto" w:sz="6" w:space="0"/>
              <w:left w:val="single" w:color="auto" w:sz="6" w:space="0"/>
              <w:bottom w:val="single" w:color="auto" w:sz="6" w:space="0"/>
              <w:right w:val="single" w:color="auto" w:sz="6" w:space="0"/>
            </w:tcBorders>
            <w:vAlign w:val="center"/>
          </w:tcPr>
          <w:p w14:paraId="35707151">
            <w:pPr>
              <w:spacing w:line="360" w:lineRule="auto"/>
              <w:jc w:val="center"/>
              <w:rPr>
                <w:color w:val="auto"/>
                <w:highlight w:val="none"/>
              </w:rPr>
            </w:pPr>
            <w:r>
              <w:rPr>
                <w:rFonts w:hint="eastAsia"/>
                <w:color w:val="auto"/>
                <w:highlight w:val="none"/>
                <w:lang w:eastAsia="zh-CN"/>
              </w:rPr>
              <w:t>7</w:t>
            </w:r>
            <w:r>
              <w:rPr>
                <w:rFonts w:hint="eastAsia"/>
                <w:color w:val="auto"/>
                <w:highlight w:val="none"/>
                <w:lang w:val="en-US" w:eastAsia="zh-CN"/>
              </w:rPr>
              <w:t>0</w:t>
            </w:r>
            <w:r>
              <w:rPr>
                <w:rFonts w:hint="eastAsia"/>
                <w:color w:val="auto"/>
                <w:highlight w:val="none"/>
              </w:rPr>
              <w:t>分</w:t>
            </w:r>
          </w:p>
        </w:tc>
        <w:tc>
          <w:tcPr>
            <w:tcW w:w="2911" w:type="dxa"/>
            <w:tcBorders>
              <w:top w:val="single" w:color="auto" w:sz="6" w:space="0"/>
              <w:left w:val="single" w:color="auto" w:sz="6" w:space="0"/>
              <w:bottom w:val="single" w:color="auto" w:sz="6" w:space="0"/>
              <w:right w:val="single" w:color="auto" w:sz="6" w:space="0"/>
            </w:tcBorders>
            <w:vAlign w:val="center"/>
          </w:tcPr>
          <w:p w14:paraId="38D0353F">
            <w:pPr>
              <w:spacing w:line="360" w:lineRule="auto"/>
              <w:jc w:val="center"/>
              <w:rPr>
                <w:color w:val="auto"/>
                <w:highlight w:val="none"/>
              </w:rPr>
            </w:pPr>
            <w:r>
              <w:rPr>
                <w:rFonts w:hint="eastAsia"/>
                <w:color w:val="auto"/>
                <w:highlight w:val="none"/>
                <w:lang w:eastAsia="zh-CN"/>
              </w:rPr>
              <w:t>3</w:t>
            </w:r>
            <w:r>
              <w:rPr>
                <w:rFonts w:hint="eastAsia"/>
                <w:color w:val="auto"/>
                <w:highlight w:val="none"/>
                <w:lang w:val="en-US" w:eastAsia="zh-CN"/>
              </w:rPr>
              <w:t>0</w:t>
            </w:r>
            <w:r>
              <w:rPr>
                <w:rFonts w:hint="eastAsia"/>
                <w:color w:val="auto"/>
                <w:highlight w:val="none"/>
              </w:rPr>
              <w:t>分</w:t>
            </w:r>
          </w:p>
        </w:tc>
      </w:tr>
    </w:tbl>
    <w:p w14:paraId="3176C190">
      <w:pPr>
        <w:adjustRightInd w:val="0"/>
        <w:snapToGrid w:val="0"/>
        <w:spacing w:line="360" w:lineRule="auto"/>
        <w:ind w:firstLine="422" w:firstLineChars="200"/>
        <w:outlineLvl w:val="1"/>
        <w:rPr>
          <w:b/>
          <w:bCs/>
          <w:color w:val="auto"/>
          <w:highlight w:val="none"/>
        </w:rPr>
      </w:pPr>
      <w:r>
        <w:rPr>
          <w:rFonts w:hint="eastAsia"/>
          <w:b/>
          <w:bCs/>
          <w:color w:val="auto"/>
          <w:highlight w:val="none"/>
        </w:rPr>
        <w:t>（三）响应报价的评审要求</w:t>
      </w:r>
    </w:p>
    <w:p w14:paraId="6200B53A">
      <w:pPr>
        <w:adjustRightInd w:val="0"/>
        <w:snapToGrid w:val="0"/>
        <w:spacing w:line="360" w:lineRule="auto"/>
        <w:ind w:firstLine="420" w:firstLineChars="200"/>
        <w:outlineLvl w:val="1"/>
        <w:rPr>
          <w:color w:val="auto"/>
          <w:highlight w:val="none"/>
        </w:rPr>
      </w:pPr>
      <w:r>
        <w:rPr>
          <w:rFonts w:hint="eastAsia"/>
          <w:color w:val="auto"/>
          <w:highlight w:val="none"/>
        </w:rPr>
        <w:t>1、价格核准：评审委员会对符合性审查合格的供应商的响应报价明细进行复核，看其是否有计算错误，如有则按供应商须知有关规定修正或澄清。</w:t>
      </w:r>
    </w:p>
    <w:p w14:paraId="115320A8">
      <w:pPr>
        <w:adjustRightInd w:val="0"/>
        <w:snapToGrid w:val="0"/>
        <w:spacing w:line="360" w:lineRule="auto"/>
        <w:ind w:firstLine="420" w:firstLineChars="200"/>
        <w:outlineLvl w:val="1"/>
        <w:rPr>
          <w:color w:val="auto"/>
          <w:highlight w:val="none"/>
        </w:rPr>
      </w:pPr>
      <w:r>
        <w:rPr>
          <w:rFonts w:hint="eastAsia"/>
          <w:color w:val="auto"/>
          <w:highlight w:val="none"/>
        </w:rPr>
        <w:t>2、价格评审：</w:t>
      </w:r>
    </w:p>
    <w:p w14:paraId="3FC13CF0">
      <w:pPr>
        <w:adjustRightInd w:val="0"/>
        <w:snapToGrid w:val="0"/>
        <w:spacing w:line="360" w:lineRule="auto"/>
        <w:ind w:firstLine="420" w:firstLineChars="200"/>
        <w:outlineLvl w:val="1"/>
        <w:rPr>
          <w:color w:val="auto"/>
          <w:highlight w:val="none"/>
        </w:rPr>
      </w:pPr>
      <w:r>
        <w:rPr>
          <w:rFonts w:hint="eastAsia"/>
          <w:color w:val="auto"/>
          <w:highlight w:val="none"/>
        </w:rPr>
        <w:t>综合评分法，价格分统一采用低价优先法计算，即满足采购比选文件要求（通过资格审查和符合性审查）且评审价</w:t>
      </w:r>
      <w:r>
        <w:rPr>
          <w:rFonts w:hint="eastAsia"/>
          <w:color w:val="auto"/>
          <w:highlight w:val="none"/>
          <w:lang w:eastAsia="zh-CN"/>
        </w:rPr>
        <w:t>（</w:t>
      </w:r>
      <w:r>
        <w:rPr>
          <w:rFonts w:hint="eastAsia"/>
          <w:color w:val="auto"/>
          <w:highlight w:val="none"/>
        </w:rPr>
        <w:t>指修正及价格扣除后的价格，下同</w:t>
      </w:r>
      <w:r>
        <w:rPr>
          <w:rFonts w:hint="eastAsia"/>
          <w:color w:val="auto"/>
          <w:highlight w:val="none"/>
          <w:lang w:eastAsia="zh-CN"/>
        </w:rPr>
        <w:t>）</w:t>
      </w:r>
      <w:r>
        <w:rPr>
          <w:rFonts w:hint="eastAsia"/>
          <w:color w:val="auto"/>
          <w:highlight w:val="none"/>
        </w:rPr>
        <w:t>最低的为评审基准价，其价格分为满分。其他供应商的价格分统一按照下列公式计算：</w:t>
      </w:r>
    </w:p>
    <w:p w14:paraId="4A5A92DF">
      <w:pPr>
        <w:adjustRightInd w:val="0"/>
        <w:snapToGrid w:val="0"/>
        <w:spacing w:line="360" w:lineRule="auto"/>
        <w:ind w:firstLine="420" w:firstLineChars="200"/>
        <w:outlineLvl w:val="1"/>
        <w:rPr>
          <w:color w:val="auto"/>
          <w:highlight w:val="none"/>
        </w:rPr>
      </w:pPr>
      <w:r>
        <w:rPr>
          <w:rFonts w:hint="eastAsia"/>
          <w:color w:val="auto"/>
          <w:highlight w:val="none"/>
        </w:rPr>
        <w:t>价格评分=（评审基准价／评审价）×价格分值</w:t>
      </w:r>
    </w:p>
    <w:p w14:paraId="264A2286">
      <w:pPr>
        <w:adjustRightInd w:val="0"/>
        <w:snapToGrid w:val="0"/>
        <w:spacing w:line="360" w:lineRule="auto"/>
        <w:ind w:firstLine="422"/>
        <w:outlineLvl w:val="1"/>
        <w:rPr>
          <w:color w:val="auto"/>
          <w:highlight w:val="none"/>
        </w:rPr>
      </w:pPr>
      <w:r>
        <w:rPr>
          <w:rFonts w:hint="eastAsia"/>
          <w:color w:val="auto"/>
          <w:highlight w:val="none"/>
        </w:rPr>
        <w:t>（四）评审细则</w:t>
      </w:r>
    </w:p>
    <w:tbl>
      <w:tblPr>
        <w:tblStyle w:val="20"/>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055"/>
        <w:gridCol w:w="6712"/>
      </w:tblGrid>
      <w:tr w14:paraId="5A1F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65" w:type="dxa"/>
            <w:tcBorders>
              <w:top w:val="single" w:color="auto" w:sz="4" w:space="0"/>
              <w:left w:val="single" w:color="auto" w:sz="4" w:space="0"/>
              <w:bottom w:val="single" w:color="auto" w:sz="4" w:space="0"/>
              <w:right w:val="single" w:color="auto" w:sz="4" w:space="0"/>
            </w:tcBorders>
            <w:noWrap/>
            <w:vAlign w:val="center"/>
          </w:tcPr>
          <w:p w14:paraId="0CB6C6BE">
            <w:pPr>
              <w:ind w:firstLine="0" w:firstLineChars="0"/>
              <w:jc w:val="both"/>
              <w:rPr>
                <w:b/>
                <w:bCs/>
                <w:color w:val="auto"/>
                <w:highlight w:val="none"/>
              </w:rPr>
            </w:pPr>
            <w:r>
              <w:rPr>
                <w:rFonts w:hint="eastAsia"/>
                <w:b/>
                <w:bCs/>
                <w:color w:val="auto"/>
                <w:highlight w:val="none"/>
              </w:rPr>
              <w:t>条款号</w:t>
            </w:r>
          </w:p>
        </w:tc>
        <w:tc>
          <w:tcPr>
            <w:tcW w:w="2055" w:type="dxa"/>
            <w:tcBorders>
              <w:top w:val="single" w:color="auto" w:sz="4" w:space="0"/>
              <w:left w:val="single" w:color="auto" w:sz="4" w:space="0"/>
              <w:bottom w:val="single" w:color="auto" w:sz="4" w:space="0"/>
              <w:right w:val="single" w:color="auto" w:sz="4" w:space="0"/>
            </w:tcBorders>
            <w:noWrap/>
            <w:vAlign w:val="center"/>
          </w:tcPr>
          <w:p w14:paraId="73E1461F">
            <w:pPr>
              <w:ind w:firstLine="422"/>
              <w:jc w:val="center"/>
              <w:rPr>
                <w:b/>
                <w:bCs/>
                <w:color w:val="auto"/>
                <w:highlight w:val="none"/>
              </w:rPr>
            </w:pPr>
            <w:r>
              <w:rPr>
                <w:rFonts w:hint="eastAsia"/>
                <w:b/>
                <w:bCs/>
                <w:color w:val="auto"/>
                <w:highlight w:val="none"/>
              </w:rPr>
              <w:t>评审因素</w:t>
            </w:r>
          </w:p>
        </w:tc>
        <w:tc>
          <w:tcPr>
            <w:tcW w:w="6712" w:type="dxa"/>
            <w:tcBorders>
              <w:top w:val="single" w:color="auto" w:sz="4" w:space="0"/>
              <w:left w:val="single" w:color="auto" w:sz="4" w:space="0"/>
              <w:bottom w:val="single" w:color="auto" w:sz="4" w:space="0"/>
              <w:right w:val="single" w:color="auto" w:sz="4" w:space="0"/>
            </w:tcBorders>
            <w:noWrap/>
            <w:vAlign w:val="center"/>
          </w:tcPr>
          <w:p w14:paraId="52F8173C">
            <w:pPr>
              <w:ind w:firstLine="422"/>
              <w:jc w:val="center"/>
              <w:rPr>
                <w:b/>
                <w:bCs/>
                <w:color w:val="auto"/>
                <w:highlight w:val="none"/>
              </w:rPr>
            </w:pPr>
            <w:r>
              <w:rPr>
                <w:rFonts w:hint="eastAsia"/>
                <w:b/>
                <w:bCs/>
                <w:color w:val="auto"/>
                <w:highlight w:val="none"/>
              </w:rPr>
              <w:t>评审标准</w:t>
            </w:r>
          </w:p>
        </w:tc>
      </w:tr>
      <w:tr w14:paraId="3D8F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120" w:type="dxa"/>
            <w:gridSpan w:val="2"/>
            <w:tcBorders>
              <w:top w:val="single" w:color="auto" w:sz="4" w:space="0"/>
              <w:left w:val="single" w:color="auto" w:sz="4" w:space="0"/>
              <w:bottom w:val="single" w:color="auto" w:sz="4" w:space="0"/>
              <w:right w:val="single" w:color="auto" w:sz="4" w:space="0"/>
            </w:tcBorders>
            <w:noWrap/>
            <w:vAlign w:val="center"/>
          </w:tcPr>
          <w:p w14:paraId="424C41C8">
            <w:pPr>
              <w:jc w:val="center"/>
              <w:rPr>
                <w:color w:val="auto"/>
                <w:highlight w:val="none"/>
              </w:rPr>
            </w:pPr>
            <w:r>
              <w:rPr>
                <w:rFonts w:hint="eastAsia"/>
                <w:color w:val="auto"/>
                <w:highlight w:val="none"/>
              </w:rPr>
              <w:t>分值构成</w:t>
            </w:r>
          </w:p>
          <w:p w14:paraId="2A571A9D">
            <w:pPr>
              <w:jc w:val="center"/>
              <w:rPr>
                <w:color w:val="auto"/>
                <w:highlight w:val="none"/>
              </w:rPr>
            </w:pPr>
            <w:r>
              <w:rPr>
                <w:rFonts w:hint="eastAsia"/>
                <w:color w:val="auto"/>
                <w:highlight w:val="none"/>
                <w:lang w:eastAsia="zh-CN"/>
              </w:rPr>
              <w:t>（</w:t>
            </w:r>
            <w:r>
              <w:rPr>
                <w:rFonts w:hint="eastAsia"/>
                <w:color w:val="auto"/>
                <w:highlight w:val="none"/>
              </w:rPr>
              <w:t>总分100分</w:t>
            </w:r>
            <w:r>
              <w:rPr>
                <w:rFonts w:hint="eastAsia"/>
                <w:color w:val="auto"/>
                <w:highlight w:val="none"/>
                <w:lang w:eastAsia="zh-CN"/>
              </w:rPr>
              <w:t>）</w:t>
            </w:r>
          </w:p>
        </w:tc>
        <w:tc>
          <w:tcPr>
            <w:tcW w:w="6712" w:type="dxa"/>
            <w:tcBorders>
              <w:top w:val="single" w:color="auto" w:sz="4" w:space="0"/>
              <w:left w:val="single" w:color="auto" w:sz="4" w:space="0"/>
              <w:bottom w:val="single" w:color="auto" w:sz="4" w:space="0"/>
              <w:right w:val="single" w:color="auto" w:sz="4" w:space="0"/>
            </w:tcBorders>
            <w:noWrap/>
            <w:vAlign w:val="center"/>
          </w:tcPr>
          <w:p w14:paraId="1F53F018">
            <w:pPr>
              <w:ind w:left="0" w:leftChars="0" w:firstLine="0" w:firstLineChars="0"/>
              <w:rPr>
                <w:rFonts w:hint="eastAsia"/>
                <w:color w:val="auto"/>
                <w:highlight w:val="none"/>
              </w:rPr>
            </w:pPr>
            <w:r>
              <w:rPr>
                <w:rFonts w:hint="eastAsia"/>
                <w:color w:val="auto"/>
                <w:highlight w:val="none"/>
              </w:rPr>
              <w:t>价格评审</w:t>
            </w:r>
            <w:r>
              <w:rPr>
                <w:rFonts w:hint="eastAsia"/>
                <w:color w:val="auto"/>
                <w:highlight w:val="none"/>
                <w:u w:val="single"/>
                <w:lang w:val="en-US" w:eastAsia="zh-CN"/>
              </w:rPr>
              <w:t>30</w:t>
            </w:r>
            <w:r>
              <w:rPr>
                <w:rFonts w:hint="eastAsia"/>
                <w:color w:val="auto"/>
                <w:highlight w:val="none"/>
              </w:rPr>
              <w:t>分</w:t>
            </w:r>
          </w:p>
          <w:p w14:paraId="3A673869">
            <w:pPr>
              <w:ind w:left="0" w:leftChars="0" w:firstLine="0" w:firstLineChars="0"/>
              <w:rPr>
                <w:color w:val="auto"/>
                <w:highlight w:val="none"/>
              </w:rPr>
            </w:pPr>
            <w:r>
              <w:rPr>
                <w:rFonts w:hint="eastAsia"/>
                <w:color w:val="auto"/>
                <w:highlight w:val="none"/>
              </w:rPr>
              <w:t>技术</w:t>
            </w:r>
            <w:r>
              <w:rPr>
                <w:rFonts w:hint="eastAsia"/>
                <w:color w:val="auto"/>
                <w:highlight w:val="none"/>
                <w:lang w:val="en-US" w:eastAsia="zh-CN"/>
              </w:rPr>
              <w:t>商务</w:t>
            </w:r>
            <w:r>
              <w:rPr>
                <w:rFonts w:hint="eastAsia"/>
                <w:color w:val="auto"/>
                <w:highlight w:val="none"/>
              </w:rPr>
              <w:t>部分</w:t>
            </w:r>
            <w:r>
              <w:rPr>
                <w:rFonts w:hint="eastAsia"/>
                <w:color w:val="auto"/>
                <w:highlight w:val="none"/>
                <w:u w:val="single"/>
                <w:lang w:val="en-US" w:eastAsia="zh-CN"/>
              </w:rPr>
              <w:t>70</w:t>
            </w:r>
            <w:r>
              <w:rPr>
                <w:rFonts w:hint="eastAsia"/>
                <w:color w:val="auto"/>
                <w:highlight w:val="none"/>
              </w:rPr>
              <w:t>分</w:t>
            </w:r>
          </w:p>
        </w:tc>
      </w:tr>
      <w:tr w14:paraId="1965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0" w:type="dxa"/>
            <w:gridSpan w:val="2"/>
            <w:tcBorders>
              <w:top w:val="single" w:color="auto" w:sz="4" w:space="0"/>
              <w:left w:val="single" w:color="auto" w:sz="4" w:space="0"/>
              <w:bottom w:val="single" w:color="auto" w:sz="4" w:space="0"/>
              <w:right w:val="single" w:color="auto" w:sz="4" w:space="0"/>
            </w:tcBorders>
            <w:noWrap/>
            <w:vAlign w:val="center"/>
          </w:tcPr>
          <w:p w14:paraId="453ED76C">
            <w:pPr>
              <w:jc w:val="center"/>
              <w:rPr>
                <w:color w:val="auto"/>
                <w:highlight w:val="none"/>
              </w:rPr>
            </w:pPr>
            <w:r>
              <w:rPr>
                <w:rFonts w:hint="eastAsia"/>
                <w:color w:val="auto"/>
                <w:highlight w:val="none"/>
              </w:rPr>
              <w:t>价格评审</w:t>
            </w:r>
          </w:p>
          <w:p w14:paraId="432CE23D">
            <w:pPr>
              <w:jc w:val="center"/>
              <w:rPr>
                <w:rFonts w:asciiTheme="minorEastAsia" w:hAnsiTheme="minorEastAsia" w:eastAsiaTheme="minorEastAsia" w:cstheme="minorEastAsia"/>
                <w:color w:val="auto"/>
                <w:highlight w:val="none"/>
              </w:rPr>
            </w:pPr>
            <w:r>
              <w:rPr>
                <w:rFonts w:hint="eastAsia"/>
                <w:color w:val="auto"/>
                <w:highlight w:val="none"/>
              </w:rPr>
              <w:t>（</w:t>
            </w:r>
            <w:r>
              <w:rPr>
                <w:rFonts w:hint="eastAsia"/>
                <w:color w:val="auto"/>
                <w:highlight w:val="none"/>
                <w:lang w:val="en-US" w:eastAsia="zh-CN"/>
              </w:rPr>
              <w:t>30</w:t>
            </w:r>
            <w:r>
              <w:rPr>
                <w:rFonts w:hint="eastAsia"/>
                <w:color w:val="auto"/>
                <w:highlight w:val="none"/>
              </w:rPr>
              <w:t>分）</w:t>
            </w:r>
          </w:p>
        </w:tc>
        <w:tc>
          <w:tcPr>
            <w:tcW w:w="6712" w:type="dxa"/>
            <w:tcBorders>
              <w:top w:val="single" w:color="auto" w:sz="4" w:space="0"/>
              <w:left w:val="single" w:color="auto" w:sz="4" w:space="0"/>
              <w:bottom w:val="single" w:color="auto" w:sz="4" w:space="0"/>
              <w:right w:val="single" w:color="auto" w:sz="4" w:space="0"/>
            </w:tcBorders>
            <w:noWrap/>
            <w:vAlign w:val="center"/>
          </w:tcPr>
          <w:p w14:paraId="6F29F05B">
            <w:pPr>
              <w:ind w:left="0" w:leftChars="0" w:firstLine="0" w:firstLineChars="0"/>
              <w:rPr>
                <w:color w:val="auto"/>
                <w:highlight w:val="none"/>
              </w:rPr>
            </w:pPr>
            <w:r>
              <w:rPr>
                <w:rFonts w:hint="eastAsia"/>
                <w:color w:val="auto"/>
                <w:highlight w:val="none"/>
              </w:rPr>
              <w:t>响应报价得分以满分</w:t>
            </w:r>
            <w:r>
              <w:rPr>
                <w:rFonts w:hint="eastAsia"/>
                <w:color w:val="auto"/>
                <w:highlight w:val="none"/>
                <w:u w:val="single"/>
                <w:lang w:val="en-US" w:eastAsia="zh-CN"/>
              </w:rPr>
              <w:t>30</w:t>
            </w:r>
            <w:r>
              <w:rPr>
                <w:rFonts w:hint="eastAsia"/>
                <w:color w:val="auto"/>
                <w:highlight w:val="none"/>
                <w:u w:val="single"/>
              </w:rPr>
              <w:t>分</w:t>
            </w:r>
            <w:r>
              <w:rPr>
                <w:rFonts w:hint="eastAsia"/>
                <w:color w:val="auto"/>
                <w:highlight w:val="none"/>
              </w:rPr>
              <w:t>计算。满足比选文件要求且响应报价最低的响应报价为评审基准价，其价格分为满分。其他供应商的价格分统一按照下列公式计算：</w:t>
            </w:r>
          </w:p>
          <w:p w14:paraId="112CDD71">
            <w:pPr>
              <w:ind w:left="0" w:leftChars="0" w:firstLine="0" w:firstLineChars="0"/>
              <w:rPr>
                <w:rFonts w:hint="default" w:eastAsia="宋体"/>
                <w:color w:val="auto"/>
                <w:highlight w:val="none"/>
                <w:lang w:val="en-US" w:eastAsia="zh-CN"/>
              </w:rPr>
            </w:pPr>
            <w:r>
              <w:rPr>
                <w:rFonts w:hint="eastAsia"/>
                <w:color w:val="auto"/>
                <w:highlight w:val="none"/>
              </w:rPr>
              <w:t>响应报价得分=（评审基准价/响应报价）×</w:t>
            </w:r>
            <w:r>
              <w:rPr>
                <w:rFonts w:hint="eastAsia"/>
                <w:color w:val="auto"/>
                <w:highlight w:val="none"/>
                <w:lang w:val="en-US" w:eastAsia="zh-CN"/>
              </w:rPr>
              <w:t>30</w:t>
            </w:r>
          </w:p>
        </w:tc>
      </w:tr>
      <w:tr w14:paraId="16DA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Merge w:val="restart"/>
            <w:tcBorders>
              <w:top w:val="single" w:color="auto" w:sz="4" w:space="0"/>
              <w:left w:val="single" w:color="auto" w:sz="4" w:space="0"/>
              <w:right w:val="single" w:color="auto" w:sz="4" w:space="0"/>
            </w:tcBorders>
            <w:noWrap/>
            <w:vAlign w:val="center"/>
          </w:tcPr>
          <w:p w14:paraId="40D8A07E">
            <w:pPr>
              <w:ind w:left="0" w:leftChars="0" w:firstLine="0" w:firstLineChars="0"/>
              <w:jc w:val="both"/>
              <w:rPr>
                <w:color w:val="auto"/>
                <w:highlight w:val="none"/>
              </w:rPr>
            </w:pPr>
            <w:r>
              <w:rPr>
                <w:rFonts w:hint="eastAsia"/>
                <w:color w:val="auto"/>
                <w:highlight w:val="none"/>
              </w:rPr>
              <w:t>技术</w:t>
            </w:r>
            <w:r>
              <w:rPr>
                <w:rFonts w:hint="eastAsia"/>
                <w:color w:val="auto"/>
                <w:highlight w:val="none"/>
                <w:lang w:val="en-US" w:eastAsia="zh-CN"/>
              </w:rPr>
              <w:t>商务</w:t>
            </w:r>
            <w:r>
              <w:rPr>
                <w:rFonts w:hint="eastAsia"/>
                <w:color w:val="auto"/>
                <w:highlight w:val="none"/>
              </w:rPr>
              <w:t>部分</w:t>
            </w:r>
          </w:p>
          <w:p w14:paraId="6A0B3D3C">
            <w:pPr>
              <w:ind w:left="0" w:leftChars="0" w:firstLine="0" w:firstLineChars="0"/>
              <w:jc w:val="both"/>
              <w:rPr>
                <w:color w:val="auto"/>
                <w:highlight w:val="none"/>
              </w:rPr>
            </w:pPr>
            <w:r>
              <w:rPr>
                <w:rFonts w:hint="eastAsia"/>
                <w:color w:val="auto"/>
                <w:highlight w:val="none"/>
              </w:rPr>
              <w:t>（</w:t>
            </w:r>
            <w:r>
              <w:rPr>
                <w:rFonts w:hint="eastAsia"/>
                <w:color w:val="auto"/>
                <w:highlight w:val="none"/>
                <w:lang w:val="en-US" w:eastAsia="zh-CN"/>
              </w:rPr>
              <w:t>70</w:t>
            </w:r>
            <w:r>
              <w:rPr>
                <w:rFonts w:hint="eastAsia"/>
                <w:color w:val="auto"/>
                <w:highlight w:val="none"/>
              </w:rPr>
              <w:t>分）</w:t>
            </w:r>
          </w:p>
          <w:p w14:paraId="3F5F2343">
            <w:pPr>
              <w:jc w:val="center"/>
              <w:rPr>
                <w:color w:val="auto"/>
                <w:highlight w:val="none"/>
              </w:rPr>
            </w:pPr>
          </w:p>
        </w:tc>
        <w:tc>
          <w:tcPr>
            <w:tcW w:w="2055" w:type="dxa"/>
            <w:tcBorders>
              <w:top w:val="single" w:color="auto" w:sz="4" w:space="0"/>
              <w:left w:val="single" w:color="auto" w:sz="4" w:space="0"/>
              <w:bottom w:val="single" w:color="auto" w:sz="4" w:space="0"/>
              <w:right w:val="single" w:color="auto" w:sz="4" w:space="0"/>
            </w:tcBorders>
            <w:noWrap/>
            <w:vAlign w:val="center"/>
          </w:tcPr>
          <w:p w14:paraId="11928A3F">
            <w:pPr>
              <w:ind w:left="0" w:leftChars="0" w:firstLine="0" w:firstLineChars="0"/>
              <w:jc w:val="both"/>
              <w:rPr>
                <w:color w:val="auto"/>
                <w:highlight w:val="none"/>
              </w:rPr>
            </w:pPr>
            <w:r>
              <w:rPr>
                <w:rFonts w:hint="eastAsia" w:cs="宋体"/>
                <w:color w:val="auto"/>
                <w:sz w:val="21"/>
                <w:szCs w:val="21"/>
                <w:highlight w:val="none"/>
                <w:lang w:val="en-US" w:eastAsia="zh-CN"/>
              </w:rPr>
              <w:t>1、</w:t>
            </w:r>
            <w:r>
              <w:rPr>
                <w:rFonts w:hint="eastAsia" w:ascii="Times New Roman" w:hAnsi="Times New Roman" w:eastAsia="宋体" w:cs="宋体"/>
                <w:color w:val="auto"/>
                <w:sz w:val="21"/>
                <w:szCs w:val="21"/>
                <w:highlight w:val="none"/>
              </w:rPr>
              <w:t>拟投入团队实力</w:t>
            </w:r>
            <w:r>
              <w:rPr>
                <w:rFonts w:hint="eastAsia" w:cs="宋体"/>
                <w:color w:val="auto"/>
                <w:sz w:val="21"/>
                <w:szCs w:val="21"/>
                <w:highlight w:val="none"/>
                <w:lang w:eastAsia="zh-CN"/>
              </w:rPr>
              <w:t>（2</w:t>
            </w:r>
            <w:r>
              <w:rPr>
                <w:rFonts w:hint="eastAsia" w:cs="宋体"/>
                <w:color w:val="auto"/>
                <w:sz w:val="21"/>
                <w:szCs w:val="21"/>
                <w:highlight w:val="none"/>
                <w:lang w:val="en-US" w:eastAsia="zh-CN"/>
              </w:rPr>
              <w:t>0</w:t>
            </w:r>
            <w:r>
              <w:rPr>
                <w:rFonts w:hint="eastAsia" w:ascii="Times New Roman" w:hAnsi="Times New Roman" w:eastAsia="宋体" w:cs="宋体"/>
                <w:color w:val="auto"/>
                <w:sz w:val="21"/>
                <w:szCs w:val="21"/>
                <w:highlight w:val="none"/>
              </w:rPr>
              <w:t>分</w:t>
            </w:r>
            <w:r>
              <w:rPr>
                <w:rFonts w:hint="eastAsia" w:cs="宋体"/>
                <w:color w:val="auto"/>
                <w:sz w:val="21"/>
                <w:szCs w:val="21"/>
                <w:highlight w:val="none"/>
                <w:lang w:eastAsia="zh-CN"/>
              </w:rPr>
              <w:t>）</w:t>
            </w:r>
          </w:p>
        </w:tc>
        <w:tc>
          <w:tcPr>
            <w:tcW w:w="6712" w:type="dxa"/>
            <w:tcBorders>
              <w:top w:val="single" w:color="auto" w:sz="4" w:space="0"/>
              <w:left w:val="single" w:color="auto" w:sz="4" w:space="0"/>
              <w:bottom w:val="single" w:color="auto" w:sz="4" w:space="0"/>
              <w:right w:val="single" w:color="auto" w:sz="4" w:space="0"/>
            </w:tcBorders>
            <w:noWrap/>
            <w:vAlign w:val="center"/>
          </w:tcPr>
          <w:p w14:paraId="1F3707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0" w:firstLineChars="0"/>
              <w:jc w:val="both"/>
              <w:textAlignment w:val="baseline"/>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1</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项目负责人具备园林绿化类相关专业中级职称得2分，高级</w:t>
            </w:r>
            <w:r>
              <w:rPr>
                <w:rFonts w:hint="eastAsia" w:cs="宋体"/>
                <w:color w:val="auto"/>
                <w:sz w:val="21"/>
                <w:szCs w:val="21"/>
                <w:highlight w:val="none"/>
                <w:lang w:val="en-US" w:eastAsia="zh-CN"/>
              </w:rPr>
              <w:t>或以上</w:t>
            </w:r>
            <w:r>
              <w:rPr>
                <w:rFonts w:hint="eastAsia" w:ascii="Times New Roman" w:hAnsi="Times New Roman" w:eastAsia="宋体" w:cs="宋体"/>
                <w:color w:val="auto"/>
                <w:sz w:val="21"/>
                <w:szCs w:val="21"/>
                <w:highlight w:val="none"/>
                <w:lang w:eastAsia="zh-CN"/>
              </w:rPr>
              <w:t>职称得5分。证明材料</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提供职称证复印件及2025年任意三个月社保证明复印件加盖供应商公章</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不提供不得分</w:t>
            </w:r>
            <w:r>
              <w:rPr>
                <w:rFonts w:hint="eastAsia" w:cs="宋体"/>
                <w:color w:val="auto"/>
                <w:sz w:val="21"/>
                <w:szCs w:val="21"/>
                <w:highlight w:val="none"/>
                <w:lang w:eastAsia="zh-CN"/>
              </w:rPr>
              <w:t>。</w:t>
            </w:r>
          </w:p>
          <w:p w14:paraId="0F04B4F1">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0" w:firstLineChars="0"/>
              <w:textAlignment w:val="baseline"/>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项目管理机构其他人员：拟投入本项目在岗专职人员</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配置施工员1人、专职安全生产管理人员1人、质量员1人、劳资专管员1人、资料员</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可兼任</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1人</w:t>
            </w:r>
            <w:r>
              <w:rPr>
                <w:rFonts w:hint="eastAsia" w:cs="宋体"/>
                <w:color w:val="auto"/>
                <w:sz w:val="21"/>
                <w:szCs w:val="21"/>
                <w:highlight w:val="none"/>
                <w:lang w:eastAsia="zh-CN"/>
              </w:rPr>
              <w:t>，</w:t>
            </w:r>
            <w:r>
              <w:rPr>
                <w:rFonts w:hint="eastAsia" w:cs="宋体"/>
                <w:color w:val="auto"/>
                <w:sz w:val="21"/>
                <w:szCs w:val="21"/>
                <w:highlight w:val="none"/>
                <w:lang w:val="en-US" w:eastAsia="zh-CN"/>
              </w:rPr>
              <w:t>提供1人得3分</w:t>
            </w:r>
            <w:r>
              <w:rPr>
                <w:rFonts w:hint="eastAsia" w:ascii="Times New Roman" w:hAnsi="Times New Roman" w:eastAsia="宋体" w:cs="宋体"/>
                <w:color w:val="auto"/>
                <w:sz w:val="21"/>
                <w:szCs w:val="21"/>
                <w:highlight w:val="none"/>
                <w:lang w:eastAsia="zh-CN"/>
              </w:rPr>
              <w:t>，此项满分</w:t>
            </w:r>
            <w:r>
              <w:rPr>
                <w:rFonts w:hint="eastAsia" w:cs="宋体"/>
                <w:color w:val="auto"/>
                <w:sz w:val="21"/>
                <w:szCs w:val="21"/>
                <w:highlight w:val="none"/>
                <w:lang w:val="en-US" w:eastAsia="zh-CN"/>
              </w:rPr>
              <w:t>15</w:t>
            </w:r>
            <w:r>
              <w:rPr>
                <w:rFonts w:hint="eastAsia" w:ascii="Times New Roman" w:hAnsi="Times New Roman" w:eastAsia="宋体" w:cs="宋体"/>
                <w:color w:val="auto"/>
                <w:sz w:val="21"/>
                <w:szCs w:val="21"/>
                <w:highlight w:val="none"/>
                <w:lang w:eastAsia="zh-CN"/>
              </w:rPr>
              <w:t>分。</w:t>
            </w:r>
          </w:p>
          <w:p w14:paraId="00FB5CF2">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0" w:firstLineChars="0"/>
              <w:textAlignment w:val="baseline"/>
              <w:rPr>
                <w:color w:val="auto"/>
                <w:highlight w:val="none"/>
              </w:rPr>
            </w:pPr>
            <w:r>
              <w:rPr>
                <w:rFonts w:hint="eastAsia" w:ascii="Times New Roman" w:hAnsi="Times New Roman" w:eastAsia="宋体" w:cs="宋体"/>
                <w:color w:val="auto"/>
                <w:sz w:val="21"/>
                <w:szCs w:val="21"/>
                <w:highlight w:val="none"/>
                <w:lang w:eastAsia="zh-CN"/>
              </w:rPr>
              <w:t>证明材料</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响应文件中提供岗位证复印件（劳资专管</w:t>
            </w:r>
            <w:r>
              <w:rPr>
                <w:rFonts w:hint="eastAsia" w:cs="宋体"/>
                <w:color w:val="auto"/>
                <w:sz w:val="21"/>
                <w:szCs w:val="21"/>
                <w:highlight w:val="none"/>
                <w:lang w:val="en-US" w:eastAsia="zh-CN"/>
              </w:rPr>
              <w:t xml:space="preserve"> </w:t>
            </w:r>
            <w:r>
              <w:rPr>
                <w:rFonts w:hint="eastAsia" w:ascii="Times New Roman" w:hAnsi="Times New Roman" w:eastAsia="宋体" w:cs="宋体"/>
                <w:color w:val="auto"/>
                <w:sz w:val="21"/>
                <w:szCs w:val="21"/>
                <w:highlight w:val="none"/>
                <w:lang w:eastAsia="zh-CN"/>
              </w:rPr>
              <w:t>员无需提供上岗证书，须提供企业聘任证明）及2025年任意3个月社保证明材料复印件加盖投标单位公章，不提供不得分</w:t>
            </w:r>
            <w:r>
              <w:rPr>
                <w:rFonts w:hint="eastAsia" w:cs="宋体"/>
                <w:color w:val="auto"/>
                <w:sz w:val="21"/>
                <w:szCs w:val="21"/>
                <w:highlight w:val="none"/>
                <w:lang w:eastAsia="zh-CN"/>
              </w:rPr>
              <w:t>。</w:t>
            </w:r>
          </w:p>
        </w:tc>
      </w:tr>
      <w:tr w14:paraId="089E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065" w:type="dxa"/>
            <w:vMerge w:val="continue"/>
            <w:tcBorders>
              <w:left w:val="single" w:color="auto" w:sz="4" w:space="0"/>
              <w:right w:val="single" w:color="auto" w:sz="4" w:space="0"/>
            </w:tcBorders>
            <w:noWrap/>
            <w:vAlign w:val="center"/>
          </w:tcPr>
          <w:p w14:paraId="5E11C2FD">
            <w:pPr>
              <w:jc w:val="center"/>
              <w:rPr>
                <w:color w:val="auto"/>
                <w:highlight w:val="none"/>
              </w:rPr>
            </w:pPr>
          </w:p>
        </w:tc>
        <w:tc>
          <w:tcPr>
            <w:tcW w:w="2055" w:type="dxa"/>
            <w:tcBorders>
              <w:top w:val="single" w:color="auto" w:sz="4" w:space="0"/>
              <w:left w:val="single" w:color="auto" w:sz="4" w:space="0"/>
              <w:bottom w:val="single" w:color="auto" w:sz="4" w:space="0"/>
              <w:right w:val="single" w:color="auto" w:sz="4" w:space="0"/>
            </w:tcBorders>
            <w:noWrap/>
            <w:vAlign w:val="center"/>
          </w:tcPr>
          <w:p w14:paraId="711DF2FE">
            <w:pPr>
              <w:ind w:firstLine="0" w:firstLineChars="0"/>
              <w:rPr>
                <w:rFonts w:hint="default"/>
                <w:color w:val="auto"/>
                <w:highlight w:val="none"/>
                <w:lang w:val="en-US" w:eastAsia="zh-CN"/>
              </w:rPr>
            </w:pPr>
            <w:r>
              <w:rPr>
                <w:rFonts w:hint="eastAsia" w:cs="宋体"/>
                <w:color w:val="auto"/>
                <w:sz w:val="21"/>
                <w:szCs w:val="21"/>
                <w:highlight w:val="none"/>
                <w:lang w:val="en-US" w:eastAsia="zh-CN"/>
              </w:rPr>
              <w:t>2、类似项目业绩（20分）</w:t>
            </w:r>
          </w:p>
        </w:tc>
        <w:tc>
          <w:tcPr>
            <w:tcW w:w="6712" w:type="dxa"/>
            <w:tcBorders>
              <w:top w:val="single" w:color="auto" w:sz="4" w:space="0"/>
              <w:left w:val="single" w:color="auto" w:sz="4" w:space="0"/>
              <w:bottom w:val="single" w:color="auto" w:sz="4" w:space="0"/>
              <w:right w:val="single" w:color="auto" w:sz="4" w:space="0"/>
            </w:tcBorders>
            <w:noWrap/>
            <w:vAlign w:val="center"/>
          </w:tcPr>
          <w:p w14:paraId="5C7C30C9">
            <w:pPr>
              <w:keepNext w:val="0"/>
              <w:keepLines w:val="0"/>
              <w:pageBreakBefore w:val="0"/>
              <w:widowControl/>
              <w:numPr>
                <w:ilvl w:val="0"/>
                <w:numId w:val="0"/>
              </w:numPr>
              <w:kinsoku w:val="0"/>
              <w:wordWrap/>
              <w:overflowPunct/>
              <w:topLinePunct w:val="0"/>
              <w:autoSpaceDE w:val="0"/>
              <w:autoSpaceDN w:val="0"/>
              <w:bidi w:val="0"/>
              <w:adjustRightInd w:val="0"/>
              <w:snapToGrid w:val="0"/>
              <w:ind w:firstLine="0" w:firstLineChars="0"/>
              <w:textAlignment w:val="baseline"/>
              <w:rPr>
                <w:rFonts w:hint="eastAsia" w:cs="宋体"/>
                <w:color w:val="auto"/>
                <w:sz w:val="21"/>
                <w:szCs w:val="21"/>
                <w:highlight w:val="none"/>
                <w:lang w:val="en-US" w:eastAsia="zh-CN"/>
              </w:rPr>
            </w:pPr>
            <w:r>
              <w:rPr>
                <w:rFonts w:hint="eastAsia" w:cs="宋体"/>
                <w:color w:val="auto"/>
                <w:sz w:val="21"/>
                <w:szCs w:val="21"/>
                <w:highlight w:val="none"/>
                <w:lang w:val="en-US" w:eastAsia="zh-CN"/>
              </w:rPr>
              <w:t>供应商自2020年1月1日以来承接过同类项目业绩的，一个业绩得10分，本小项满分20分。</w:t>
            </w:r>
          </w:p>
          <w:p w14:paraId="2C380C8E">
            <w:pPr>
              <w:pStyle w:val="15"/>
              <w:ind w:firstLine="0" w:firstLineChars="0"/>
              <w:rPr>
                <w:rFonts w:hint="default"/>
                <w:color w:val="auto"/>
                <w:highlight w:val="none"/>
                <w:lang w:val="en-US" w:eastAsia="zh-CN"/>
              </w:rPr>
            </w:pPr>
            <w:r>
              <w:rPr>
                <w:rFonts w:hint="eastAsia" w:ascii="Times New Roman" w:hAnsi="Times New Roman" w:eastAsia="宋体" w:cs="宋体"/>
                <w:b w:val="0"/>
                <w:bCs w:val="0"/>
                <w:color w:val="auto"/>
                <w:sz w:val="21"/>
                <w:szCs w:val="21"/>
                <w:highlight w:val="none"/>
                <w:lang w:eastAsia="zh-CN"/>
              </w:rPr>
              <w:t>证明材料</w:t>
            </w:r>
            <w:r>
              <w:rPr>
                <w:rFonts w:hint="eastAsia" w:cs="宋体"/>
                <w:b w:val="0"/>
                <w:bCs w:val="0"/>
                <w:color w:val="auto"/>
                <w:sz w:val="21"/>
                <w:szCs w:val="21"/>
                <w:highlight w:val="none"/>
                <w:lang w:eastAsia="zh-CN"/>
              </w:rPr>
              <w:t>：</w:t>
            </w:r>
            <w:r>
              <w:rPr>
                <w:rFonts w:hint="eastAsia" w:ascii="Times New Roman" w:hAnsi="Times New Roman" w:eastAsia="宋体" w:cs="宋体"/>
                <w:b w:val="0"/>
                <w:bCs w:val="0"/>
                <w:color w:val="auto"/>
                <w:sz w:val="21"/>
                <w:szCs w:val="21"/>
                <w:highlight w:val="none"/>
                <w:lang w:eastAsia="zh-CN"/>
              </w:rPr>
              <w:t>响应文件中提供</w:t>
            </w:r>
            <w:r>
              <w:rPr>
                <w:rFonts w:hint="eastAsia" w:ascii="Times New Roman" w:hAnsi="Times New Roman" w:cs="宋体"/>
                <w:b w:val="0"/>
                <w:bCs w:val="0"/>
                <w:color w:val="auto"/>
                <w:sz w:val="21"/>
                <w:szCs w:val="21"/>
                <w:highlight w:val="none"/>
                <w:lang w:val="en-US" w:eastAsia="zh-CN"/>
              </w:rPr>
              <w:t>合同关键页</w:t>
            </w:r>
            <w:r>
              <w:rPr>
                <w:rFonts w:hint="eastAsia" w:ascii="Times New Roman" w:hAnsi="Times New Roman" w:eastAsia="宋体" w:cs="宋体"/>
                <w:b w:val="0"/>
                <w:bCs w:val="0"/>
                <w:color w:val="auto"/>
                <w:sz w:val="21"/>
                <w:szCs w:val="21"/>
                <w:highlight w:val="none"/>
                <w:lang w:eastAsia="zh-CN"/>
              </w:rPr>
              <w:t>复印件加盖单位公章，</w:t>
            </w:r>
            <w:r>
              <w:rPr>
                <w:rFonts w:hint="eastAsia" w:ascii="Times New Roman" w:hAnsi="Times New Roman" w:cs="宋体"/>
                <w:b w:val="0"/>
                <w:bCs w:val="0"/>
                <w:color w:val="auto"/>
                <w:sz w:val="21"/>
                <w:szCs w:val="21"/>
                <w:highlight w:val="none"/>
                <w:lang w:val="en-US" w:eastAsia="zh-CN"/>
              </w:rPr>
              <w:t>时间以签订合同日期为准，</w:t>
            </w:r>
            <w:r>
              <w:rPr>
                <w:rFonts w:hint="eastAsia" w:ascii="Times New Roman" w:hAnsi="Times New Roman" w:eastAsia="宋体" w:cs="宋体"/>
                <w:b w:val="0"/>
                <w:bCs w:val="0"/>
                <w:color w:val="auto"/>
                <w:sz w:val="21"/>
                <w:szCs w:val="21"/>
                <w:highlight w:val="none"/>
                <w:lang w:eastAsia="zh-CN"/>
              </w:rPr>
              <w:t>不提供不得分</w:t>
            </w:r>
            <w:r>
              <w:rPr>
                <w:rFonts w:hint="eastAsia" w:cs="宋体"/>
                <w:b w:val="0"/>
                <w:bCs w:val="0"/>
                <w:color w:val="auto"/>
                <w:sz w:val="21"/>
                <w:szCs w:val="21"/>
                <w:highlight w:val="none"/>
                <w:lang w:eastAsia="zh-CN"/>
              </w:rPr>
              <w:t>。</w:t>
            </w:r>
          </w:p>
        </w:tc>
      </w:tr>
      <w:tr w14:paraId="7E09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065" w:type="dxa"/>
            <w:vMerge w:val="continue"/>
            <w:tcBorders>
              <w:left w:val="single" w:color="auto" w:sz="4" w:space="0"/>
              <w:right w:val="single" w:color="auto" w:sz="4" w:space="0"/>
            </w:tcBorders>
            <w:noWrap/>
            <w:vAlign w:val="center"/>
          </w:tcPr>
          <w:p w14:paraId="3BB28E81">
            <w:pPr>
              <w:jc w:val="center"/>
              <w:rPr>
                <w:color w:val="auto"/>
                <w:highlight w:val="none"/>
              </w:rPr>
            </w:pPr>
          </w:p>
        </w:tc>
        <w:tc>
          <w:tcPr>
            <w:tcW w:w="2055" w:type="dxa"/>
            <w:tcBorders>
              <w:top w:val="single" w:color="auto" w:sz="4" w:space="0"/>
              <w:left w:val="single" w:color="auto" w:sz="4" w:space="0"/>
              <w:bottom w:val="single" w:color="auto" w:sz="4" w:space="0"/>
              <w:right w:val="single" w:color="auto" w:sz="4" w:space="0"/>
            </w:tcBorders>
            <w:noWrap/>
            <w:vAlign w:val="center"/>
          </w:tcPr>
          <w:p w14:paraId="287876EB">
            <w:pPr>
              <w:ind w:left="0" w:leftChars="0" w:firstLine="0" w:firstLineChars="0"/>
              <w:jc w:val="both"/>
              <w:rPr>
                <w:rFonts w:hint="default"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实施方案及措施</w:t>
            </w:r>
            <w:r>
              <w:rPr>
                <w:rFonts w:hint="eastAsia" w:cs="宋体"/>
                <w:color w:val="auto"/>
                <w:sz w:val="21"/>
                <w:szCs w:val="21"/>
                <w:highlight w:val="none"/>
                <w:lang w:val="en-US" w:eastAsia="zh-CN"/>
              </w:rPr>
              <w:t>（30分）</w:t>
            </w:r>
          </w:p>
        </w:tc>
        <w:tc>
          <w:tcPr>
            <w:tcW w:w="6712" w:type="dxa"/>
            <w:tcBorders>
              <w:top w:val="single" w:color="auto" w:sz="4" w:space="0"/>
              <w:left w:val="single" w:color="auto" w:sz="4" w:space="0"/>
              <w:bottom w:val="single" w:color="auto" w:sz="4" w:space="0"/>
              <w:right w:val="single" w:color="auto" w:sz="4" w:space="0"/>
            </w:tcBorders>
            <w:noWrap/>
            <w:vAlign w:val="center"/>
          </w:tcPr>
          <w:p w14:paraId="37C2449C">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1.根据本项目采购需求编制实施方案及措施，且应包括以下内容</w:t>
            </w:r>
          </w:p>
          <w:p w14:paraId="4D518517">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环境</w:t>
            </w:r>
            <w:r>
              <w:rPr>
                <w:rFonts w:hint="eastAsia" w:eastAsia="宋体" w:cs="宋体"/>
                <w:color w:val="auto"/>
                <w:kern w:val="2"/>
                <w:sz w:val="21"/>
                <w:szCs w:val="21"/>
                <w:highlight w:val="none"/>
                <w:lang w:val="en-US" w:eastAsia="zh-CN" w:bidi="ar-SA"/>
              </w:rPr>
              <w:t>整治总体方案及实施管理措施；</w:t>
            </w:r>
          </w:p>
          <w:p w14:paraId="5E600B16">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（2）实施过程安全文明管控方案及措施；</w:t>
            </w:r>
          </w:p>
          <w:p w14:paraId="785A2332">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（3）进度组织保证措施；</w:t>
            </w:r>
          </w:p>
          <w:p w14:paraId="4E223E53">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（4）质量保证管理目标；</w:t>
            </w:r>
          </w:p>
          <w:p w14:paraId="003E7EB3">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（5）人员、机械配置。</w:t>
            </w:r>
          </w:p>
          <w:p w14:paraId="362BCB7F">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编制并提供上述每1项内容，得</w:t>
            </w:r>
            <w:r>
              <w:rPr>
                <w:rFonts w:hint="eastAsia" w:cs="宋体"/>
                <w:color w:val="auto"/>
                <w:kern w:val="2"/>
                <w:sz w:val="21"/>
                <w:szCs w:val="21"/>
                <w:highlight w:val="none"/>
                <w:lang w:val="en-US" w:eastAsia="zh-CN" w:bidi="ar-SA"/>
              </w:rPr>
              <w:t>2</w:t>
            </w:r>
            <w:r>
              <w:rPr>
                <w:rFonts w:hint="eastAsia" w:eastAsia="宋体" w:cs="宋体"/>
                <w:color w:val="auto"/>
                <w:kern w:val="2"/>
                <w:sz w:val="21"/>
                <w:szCs w:val="21"/>
                <w:highlight w:val="none"/>
                <w:lang w:val="en-US" w:eastAsia="zh-CN" w:bidi="ar-SA"/>
              </w:rPr>
              <w:t>分，未提供者不得分。满分</w:t>
            </w:r>
            <w:r>
              <w:rPr>
                <w:rFonts w:hint="eastAsia" w:cs="宋体"/>
                <w:color w:val="auto"/>
                <w:kern w:val="2"/>
                <w:sz w:val="21"/>
                <w:szCs w:val="21"/>
                <w:highlight w:val="none"/>
                <w:lang w:val="en-US" w:eastAsia="zh-CN" w:bidi="ar-SA"/>
              </w:rPr>
              <w:t>10</w:t>
            </w:r>
            <w:r>
              <w:rPr>
                <w:rFonts w:hint="eastAsia" w:eastAsia="宋体" w:cs="宋体"/>
                <w:color w:val="auto"/>
                <w:kern w:val="2"/>
                <w:sz w:val="21"/>
                <w:szCs w:val="21"/>
                <w:highlight w:val="none"/>
                <w:lang w:val="en-US" w:eastAsia="zh-CN" w:bidi="ar-SA"/>
              </w:rPr>
              <w:t>分。</w:t>
            </w:r>
          </w:p>
          <w:p w14:paraId="697E0801">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2.从上述项目实施方案及措施中各项细化方案内容的详细程度、可行性、适用性、针对性、科学性、先进性、内容全面具体、可操作性强、满足采购需求等方面进行进一步量化详细评审：</w:t>
            </w:r>
          </w:p>
          <w:p w14:paraId="4869BD27">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（1）</w:t>
            </w:r>
            <w:r>
              <w:rPr>
                <w:rFonts w:hint="eastAsia" w:cs="宋体"/>
                <w:color w:val="auto"/>
                <w:szCs w:val="21"/>
                <w:highlight w:val="none"/>
              </w:rPr>
              <w:t>完全满足项目核心需求及所有评审因素细化点要求</w:t>
            </w:r>
            <w:r>
              <w:rPr>
                <w:rFonts w:hint="eastAsia" w:cs="宋体"/>
                <w:color w:val="auto"/>
                <w:szCs w:val="21"/>
                <w:highlight w:val="none"/>
                <w:lang w:eastAsia="zh-CN"/>
              </w:rPr>
              <w:t>，</w:t>
            </w:r>
            <w:r>
              <w:rPr>
                <w:rFonts w:hint="eastAsia" w:cs="宋体"/>
                <w:color w:val="auto"/>
                <w:szCs w:val="21"/>
                <w:highlight w:val="none"/>
              </w:rPr>
              <w:t>方案详尽、全面、具体，</w:t>
            </w:r>
            <w:r>
              <w:rPr>
                <w:rFonts w:hint="eastAsia" w:eastAsia="宋体" w:cs="宋体"/>
                <w:color w:val="auto"/>
                <w:kern w:val="2"/>
                <w:sz w:val="21"/>
                <w:szCs w:val="21"/>
                <w:highlight w:val="none"/>
                <w:lang w:val="en-US" w:eastAsia="zh-CN" w:bidi="ar-SA"/>
              </w:rPr>
              <w:t>得1</w:t>
            </w:r>
            <w:r>
              <w:rPr>
                <w:rFonts w:hint="eastAsia" w:cs="宋体"/>
                <w:color w:val="auto"/>
                <w:kern w:val="2"/>
                <w:sz w:val="21"/>
                <w:szCs w:val="21"/>
                <w:highlight w:val="none"/>
                <w:lang w:val="en-US" w:eastAsia="zh-CN" w:bidi="ar-SA"/>
              </w:rPr>
              <w:t>6</w:t>
            </w:r>
            <w:r>
              <w:rPr>
                <w:rFonts w:hint="eastAsia"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20</w:t>
            </w:r>
            <w:r>
              <w:rPr>
                <w:rFonts w:hint="eastAsia" w:eastAsia="宋体" w:cs="宋体"/>
                <w:color w:val="auto"/>
                <w:kern w:val="2"/>
                <w:sz w:val="21"/>
                <w:szCs w:val="21"/>
                <w:highlight w:val="none"/>
                <w:lang w:val="en-US" w:eastAsia="zh-CN" w:bidi="ar-SA"/>
              </w:rPr>
              <w:t>分；</w:t>
            </w:r>
          </w:p>
          <w:p w14:paraId="2A15C418">
            <w:pPr>
              <w:widowControl/>
              <w:numPr>
                <w:ilvl w:val="0"/>
                <w:numId w:val="0"/>
              </w:numPr>
              <w:kinsoku w:val="0"/>
              <w:autoSpaceDE w:val="0"/>
              <w:autoSpaceDN w:val="0"/>
              <w:adjustRightInd w:val="0"/>
              <w:snapToGrid w:val="0"/>
              <w:ind w:firstLine="0" w:firstLineChars="0"/>
              <w:jc w:val="both"/>
              <w:textAlignment w:val="baseline"/>
              <w:rPr>
                <w:rFonts w:hint="default"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w:t>
            </w:r>
            <w:r>
              <w:rPr>
                <w:rFonts w:hint="eastAsia" w:cs="宋体"/>
                <w:color w:val="auto"/>
                <w:szCs w:val="21"/>
                <w:highlight w:val="none"/>
              </w:rPr>
              <w:t>较好地满足项目核心需求及主要评审因素细化点要求</w:t>
            </w:r>
            <w:r>
              <w:rPr>
                <w:rFonts w:hint="eastAsia" w:cs="宋体"/>
                <w:color w:val="auto"/>
                <w:szCs w:val="21"/>
                <w:highlight w:val="none"/>
                <w:lang w:eastAsia="zh-CN"/>
              </w:rPr>
              <w:t>，</w:t>
            </w:r>
            <w:r>
              <w:rPr>
                <w:rFonts w:hint="eastAsia" w:cs="宋体"/>
                <w:color w:val="auto"/>
                <w:szCs w:val="21"/>
                <w:highlight w:val="none"/>
              </w:rPr>
              <w:t>方案较为详细，主要方面均已覆盖，个别非核心细节可能存在轻微不足</w:t>
            </w:r>
            <w:r>
              <w:rPr>
                <w:rFonts w:hint="eastAsia" w:cs="宋体"/>
                <w:color w:val="auto"/>
                <w:szCs w:val="21"/>
                <w:highlight w:val="none"/>
                <w:lang w:eastAsia="zh-CN"/>
              </w:rPr>
              <w:t>，</w:t>
            </w:r>
            <w:r>
              <w:rPr>
                <w:rFonts w:hint="eastAsia" w:eastAsia="宋体" w:cs="宋体"/>
                <w:color w:val="auto"/>
                <w:kern w:val="2"/>
                <w:sz w:val="21"/>
                <w:szCs w:val="21"/>
                <w:highlight w:val="none"/>
                <w:lang w:val="en-US" w:eastAsia="zh-CN" w:bidi="ar-SA"/>
              </w:rPr>
              <w:t>得</w:t>
            </w:r>
            <w:r>
              <w:rPr>
                <w:rFonts w:hint="eastAsia" w:cs="宋体"/>
                <w:color w:val="auto"/>
                <w:kern w:val="2"/>
                <w:sz w:val="21"/>
                <w:szCs w:val="21"/>
                <w:highlight w:val="none"/>
                <w:lang w:val="en-US" w:eastAsia="zh-CN" w:bidi="ar-SA"/>
              </w:rPr>
              <w:t>11</w:t>
            </w:r>
            <w:r>
              <w:rPr>
                <w:rFonts w:hint="eastAsia"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5</w:t>
            </w:r>
            <w:r>
              <w:rPr>
                <w:rFonts w:hint="eastAsia" w:eastAsia="宋体" w:cs="宋体"/>
                <w:color w:val="auto"/>
                <w:kern w:val="2"/>
                <w:sz w:val="21"/>
                <w:szCs w:val="21"/>
                <w:highlight w:val="none"/>
                <w:lang w:val="en-US" w:eastAsia="zh-CN" w:bidi="ar-SA"/>
              </w:rPr>
              <w:t>分；</w:t>
            </w:r>
          </w:p>
          <w:p w14:paraId="12EA9B98">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3</w:t>
            </w:r>
            <w:r>
              <w:rPr>
                <w:rFonts w:hint="eastAsia" w:eastAsia="宋体" w:cs="宋体"/>
                <w:color w:val="auto"/>
                <w:kern w:val="2"/>
                <w:sz w:val="21"/>
                <w:szCs w:val="21"/>
                <w:highlight w:val="none"/>
                <w:lang w:val="en-US" w:eastAsia="zh-CN" w:bidi="ar-SA"/>
              </w:rPr>
              <w:t>）</w:t>
            </w:r>
            <w:r>
              <w:rPr>
                <w:rFonts w:hint="eastAsia" w:cs="宋体"/>
                <w:color w:val="auto"/>
                <w:szCs w:val="21"/>
                <w:highlight w:val="none"/>
              </w:rPr>
              <w:t>基本满足项目核心需求，但在满足评审因素细化点方面存在较明显的不足或遗漏</w:t>
            </w:r>
            <w:r>
              <w:rPr>
                <w:rFonts w:hint="eastAsia" w:cs="宋体"/>
                <w:color w:val="auto"/>
                <w:szCs w:val="21"/>
                <w:highlight w:val="none"/>
                <w:lang w:eastAsia="zh-CN"/>
              </w:rPr>
              <w:t>，</w:t>
            </w:r>
            <w:r>
              <w:rPr>
                <w:rFonts w:hint="eastAsia" w:cs="宋体"/>
                <w:color w:val="auto"/>
                <w:szCs w:val="21"/>
                <w:highlight w:val="none"/>
              </w:rPr>
              <w:t>方案详细度一般，内容不够全面或具体，部分关键环节描述不够清晰</w:t>
            </w:r>
            <w:r>
              <w:rPr>
                <w:rFonts w:hint="eastAsia" w:eastAsia="宋体" w:cs="宋体"/>
                <w:color w:val="auto"/>
                <w:kern w:val="2"/>
                <w:sz w:val="21"/>
                <w:szCs w:val="21"/>
                <w:highlight w:val="none"/>
                <w:lang w:val="en-US" w:eastAsia="zh-CN" w:bidi="ar-SA"/>
              </w:rPr>
              <w:t>，得</w:t>
            </w:r>
            <w:r>
              <w:rPr>
                <w:rFonts w:hint="eastAsia" w:cs="宋体"/>
                <w:color w:val="auto"/>
                <w:kern w:val="2"/>
                <w:sz w:val="21"/>
                <w:szCs w:val="21"/>
                <w:highlight w:val="none"/>
                <w:lang w:val="en-US" w:eastAsia="zh-CN" w:bidi="ar-SA"/>
              </w:rPr>
              <w:t>6</w:t>
            </w:r>
            <w:r>
              <w:rPr>
                <w:rFonts w:hint="eastAsia"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0</w:t>
            </w:r>
            <w:r>
              <w:rPr>
                <w:rFonts w:hint="eastAsia" w:eastAsia="宋体" w:cs="宋体"/>
                <w:color w:val="auto"/>
                <w:kern w:val="2"/>
                <w:sz w:val="21"/>
                <w:szCs w:val="21"/>
                <w:highlight w:val="none"/>
                <w:lang w:val="en-US" w:eastAsia="zh-CN" w:bidi="ar-SA"/>
              </w:rPr>
              <w:t>分；</w:t>
            </w:r>
          </w:p>
          <w:p w14:paraId="370DFDDD">
            <w:pPr>
              <w:widowControl/>
              <w:numPr>
                <w:ilvl w:val="0"/>
                <w:numId w:val="0"/>
              </w:numPr>
              <w:kinsoku w:val="0"/>
              <w:autoSpaceDE w:val="0"/>
              <w:autoSpaceDN w:val="0"/>
              <w:adjustRightInd w:val="0"/>
              <w:snapToGrid w:val="0"/>
              <w:ind w:firstLine="0" w:firstLineChars="0"/>
              <w:jc w:val="both"/>
              <w:textAlignment w:val="baseline"/>
              <w:rPr>
                <w:rFonts w:hint="eastAsia" w:eastAsia="宋体" w:cs="宋体"/>
                <w:color w:val="auto"/>
                <w:kern w:val="2"/>
                <w:sz w:val="21"/>
                <w:szCs w:val="21"/>
                <w:highlight w:val="none"/>
                <w:lang w:val="en-US" w:eastAsia="zh-CN" w:bidi="ar-SA"/>
              </w:rPr>
            </w:pPr>
            <w:r>
              <w:rPr>
                <w:rFonts w:hint="eastAsia" w:eastAsia="宋体" w:cs="宋体"/>
                <w:color w:val="auto"/>
                <w:kern w:val="2"/>
                <w:sz w:val="21"/>
                <w:szCs w:val="21"/>
                <w:highlight w:val="none"/>
                <w:lang w:val="en-US" w:eastAsia="zh-CN" w:bidi="ar-SA"/>
              </w:rPr>
              <w:t>（</w:t>
            </w:r>
            <w:r>
              <w:rPr>
                <w:rFonts w:hint="eastAsia" w:cs="宋体"/>
                <w:color w:val="auto"/>
                <w:kern w:val="2"/>
                <w:sz w:val="21"/>
                <w:szCs w:val="21"/>
                <w:highlight w:val="none"/>
                <w:lang w:val="en-US" w:eastAsia="zh-CN" w:bidi="ar-SA"/>
              </w:rPr>
              <w:t>4</w:t>
            </w:r>
            <w:r>
              <w:rPr>
                <w:rFonts w:hint="eastAsia" w:eastAsia="宋体" w:cs="宋体"/>
                <w:color w:val="auto"/>
                <w:kern w:val="2"/>
                <w:sz w:val="21"/>
                <w:szCs w:val="21"/>
                <w:highlight w:val="none"/>
                <w:lang w:val="en-US" w:eastAsia="zh-CN" w:bidi="ar-SA"/>
              </w:rPr>
              <w:t>）不能满足项目需求，存在不合理部分，实施进度计划及措施方案的评审因素细化点及内容不全，得0～</w:t>
            </w:r>
            <w:r>
              <w:rPr>
                <w:rFonts w:hint="eastAsia" w:cs="宋体"/>
                <w:color w:val="auto"/>
                <w:kern w:val="2"/>
                <w:sz w:val="21"/>
                <w:szCs w:val="21"/>
                <w:highlight w:val="none"/>
                <w:lang w:val="en-US" w:eastAsia="zh-CN" w:bidi="ar-SA"/>
              </w:rPr>
              <w:t>5</w:t>
            </w:r>
            <w:r>
              <w:rPr>
                <w:rFonts w:hint="eastAsia" w:eastAsia="宋体" w:cs="宋体"/>
                <w:color w:val="auto"/>
                <w:kern w:val="2"/>
                <w:sz w:val="21"/>
                <w:szCs w:val="21"/>
                <w:highlight w:val="none"/>
                <w:lang w:val="en-US" w:eastAsia="zh-CN" w:bidi="ar-SA"/>
              </w:rPr>
              <w:t>分。</w:t>
            </w:r>
          </w:p>
        </w:tc>
      </w:tr>
    </w:tbl>
    <w:p w14:paraId="290166F5">
      <w:pPr>
        <w:pStyle w:val="10"/>
        <w:rPr>
          <w:color w:val="auto"/>
          <w:highlight w:val="none"/>
        </w:rPr>
        <w:sectPr>
          <w:pgSz w:w="11906" w:h="16838"/>
          <w:pgMar w:top="1440" w:right="1800" w:bottom="1440" w:left="1800" w:header="794" w:footer="992" w:gutter="0"/>
          <w:pgNumType w:fmt="decimal"/>
          <w:cols w:space="425" w:num="1"/>
          <w:docGrid w:type="lines" w:linePitch="312" w:charSpace="0"/>
        </w:sectPr>
      </w:pPr>
    </w:p>
    <w:p w14:paraId="46ED2130">
      <w:pPr>
        <w:ind w:firstLine="0" w:firstLineChars="0"/>
        <w:rPr>
          <w:color w:val="auto"/>
          <w:highlight w:val="none"/>
        </w:rPr>
      </w:pPr>
    </w:p>
    <w:bookmarkEnd w:id="97"/>
    <w:p w14:paraId="658D51C8">
      <w:pPr>
        <w:adjustRightInd w:val="0"/>
        <w:snapToGrid w:val="0"/>
        <w:spacing w:line="360" w:lineRule="auto"/>
        <w:jc w:val="center"/>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第五章采购合同格式</w:t>
      </w:r>
    </w:p>
    <w:p w14:paraId="299F08C9">
      <w:pPr>
        <w:keepNext w:val="0"/>
        <w:keepLines w:val="0"/>
        <w:pageBreakBefore w:val="0"/>
        <w:wordWrap/>
        <w:overflowPunct/>
        <w:bidi w:val="0"/>
        <w:spacing w:line="560" w:lineRule="exact"/>
        <w:ind w:firstLine="0" w:firstLineChar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eastAsia="zh-CN"/>
        </w:rPr>
        <w:t>江东新区滨海路至海防林路段环境整治提升工程</w:t>
      </w:r>
      <w:r>
        <w:rPr>
          <w:rFonts w:hint="eastAsia" w:cs="宋体"/>
          <w:color w:val="auto"/>
          <w:sz w:val="21"/>
          <w:szCs w:val="21"/>
          <w:highlight w:val="none"/>
          <w:lang w:val="en-US" w:eastAsia="zh-CN"/>
        </w:rPr>
        <w:t>合同</w:t>
      </w:r>
    </w:p>
    <w:p w14:paraId="79C2CAED">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u w:val="single"/>
          <w:lang w:eastAsia="zh-CN"/>
        </w:rPr>
      </w:pPr>
      <w:r>
        <w:rPr>
          <w:rFonts w:hint="eastAsia" w:ascii="Times New Roman" w:hAnsi="Times New Roman" w:eastAsia="宋体" w:cs="宋体"/>
          <w:color w:val="auto"/>
          <w:sz w:val="21"/>
          <w:szCs w:val="21"/>
          <w:highlight w:val="none"/>
          <w:lang w:eastAsia="zh-CN"/>
        </w:rPr>
        <w:t>甲方：</w:t>
      </w:r>
      <w:r>
        <w:rPr>
          <w:rFonts w:hint="eastAsia" w:ascii="Times New Roman" w:hAnsi="Times New Roman" w:eastAsia="宋体" w:cs="宋体"/>
          <w:color w:val="auto"/>
          <w:sz w:val="21"/>
          <w:szCs w:val="21"/>
          <w:highlight w:val="none"/>
          <w:u w:val="single"/>
          <w:lang w:eastAsia="zh-CN"/>
        </w:rPr>
        <w:t xml:space="preserve">                    </w:t>
      </w:r>
    </w:p>
    <w:p w14:paraId="5D1100E2">
      <w:pPr>
        <w:keepNext w:val="0"/>
        <w:keepLines w:val="0"/>
        <w:pageBreakBefore w:val="0"/>
        <w:widowControl/>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乙方：</w:t>
      </w:r>
      <w:r>
        <w:rPr>
          <w:rFonts w:hint="eastAsia" w:ascii="Times New Roman" w:hAnsi="Times New Roman" w:eastAsia="宋体" w:cs="宋体"/>
          <w:color w:val="auto"/>
          <w:sz w:val="21"/>
          <w:szCs w:val="21"/>
          <w:highlight w:val="none"/>
          <w:u w:val="single"/>
          <w:lang w:eastAsia="zh-CN"/>
        </w:rPr>
        <w:t xml:space="preserve">                     </w:t>
      </w:r>
    </w:p>
    <w:p w14:paraId="26E73B37">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根据《中华人民共和国民法典》及其他有关法律法规的规定</w:t>
      </w:r>
      <w:r>
        <w:rPr>
          <w:rFonts w:hint="eastAsia" w:cs="宋体"/>
          <w:color w:val="auto"/>
          <w:sz w:val="21"/>
          <w:szCs w:val="21"/>
          <w:highlight w:val="none"/>
          <w:lang w:eastAsia="zh-CN"/>
        </w:rPr>
        <w:t>，</w:t>
      </w:r>
      <w:r>
        <w:rPr>
          <w:rFonts w:hint="eastAsia" w:cs="宋体"/>
          <w:color w:val="auto"/>
          <w:sz w:val="21"/>
          <w:szCs w:val="21"/>
          <w:highlight w:val="none"/>
          <w:lang w:val="en-US" w:eastAsia="zh-CN"/>
        </w:rPr>
        <w:t>就江东新区</w:t>
      </w:r>
      <w:r>
        <w:rPr>
          <w:rFonts w:hint="eastAsia" w:cs="宋体"/>
          <w:color w:val="auto"/>
          <w:szCs w:val="21"/>
          <w:highlight w:val="none"/>
        </w:rPr>
        <w:t>海防林路</w:t>
      </w:r>
      <w:r>
        <w:rPr>
          <w:rFonts w:hint="eastAsia" w:cs="宋体"/>
          <w:color w:val="auto"/>
          <w:szCs w:val="21"/>
          <w:highlight w:val="none"/>
          <w:lang w:val="en-US" w:eastAsia="zh-CN"/>
        </w:rPr>
        <w:t>周边</w:t>
      </w:r>
      <w:r>
        <w:rPr>
          <w:rFonts w:hint="eastAsia" w:cs="宋体"/>
          <w:color w:val="auto"/>
          <w:szCs w:val="21"/>
          <w:highlight w:val="none"/>
        </w:rPr>
        <w:t>区</w:t>
      </w:r>
      <w:r>
        <w:rPr>
          <w:rFonts w:hint="eastAsia" w:cs="宋体"/>
          <w:color w:val="auto"/>
          <w:szCs w:val="21"/>
          <w:highlight w:val="none"/>
          <w:lang w:eastAsia="zh-CN"/>
        </w:rPr>
        <w:t>域垃</w:t>
      </w:r>
      <w:r>
        <w:rPr>
          <w:rFonts w:hint="eastAsia" w:cs="宋体"/>
          <w:color w:val="auto"/>
          <w:szCs w:val="21"/>
          <w:highlight w:val="none"/>
        </w:rPr>
        <w:t>圾及枯枝清理</w:t>
      </w:r>
      <w:r>
        <w:rPr>
          <w:rFonts w:hint="eastAsia" w:cs="宋体"/>
          <w:color w:val="auto"/>
          <w:szCs w:val="21"/>
          <w:highlight w:val="none"/>
          <w:lang w:val="en-US" w:eastAsia="zh-CN"/>
        </w:rPr>
        <w:t>及环境整治交由</w:t>
      </w:r>
      <w:r>
        <w:rPr>
          <w:rFonts w:hint="eastAsia" w:ascii="Times New Roman" w:hAnsi="Times New Roman" w:eastAsia="宋体" w:cs="宋体"/>
          <w:color w:val="auto"/>
          <w:sz w:val="21"/>
          <w:szCs w:val="21"/>
          <w:highlight w:val="none"/>
          <w:lang w:eastAsia="zh-CN"/>
        </w:rPr>
        <w:t>乙方</w:t>
      </w:r>
      <w:r>
        <w:rPr>
          <w:rFonts w:hint="eastAsia" w:cs="宋体"/>
          <w:color w:val="auto"/>
          <w:sz w:val="21"/>
          <w:szCs w:val="21"/>
          <w:highlight w:val="none"/>
          <w:lang w:val="en-US" w:eastAsia="zh-CN"/>
        </w:rPr>
        <w:t>实施</w:t>
      </w:r>
      <w:r>
        <w:rPr>
          <w:rFonts w:hint="eastAsia" w:ascii="Times New Roman" w:hAnsi="Times New Roman" w:eastAsia="宋体" w:cs="宋体"/>
          <w:color w:val="auto"/>
          <w:sz w:val="21"/>
          <w:szCs w:val="21"/>
          <w:highlight w:val="none"/>
          <w:lang w:eastAsia="zh-CN"/>
        </w:rPr>
        <w:t>，经甲乙双方友好协商，订立本合同，双方共同遵守。</w:t>
      </w:r>
    </w:p>
    <w:p w14:paraId="2BE71F08">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一、服务名称：</w:t>
      </w:r>
      <w:bookmarkStart w:id="98" w:name="OLE_LINK5"/>
      <w:r>
        <w:rPr>
          <w:rFonts w:hint="eastAsia" w:ascii="Times New Roman" w:hAnsi="Times New Roman" w:eastAsia="宋体" w:cs="宋体"/>
          <w:color w:val="auto"/>
          <w:sz w:val="21"/>
          <w:szCs w:val="21"/>
          <w:highlight w:val="none"/>
          <w:lang w:eastAsia="zh-CN"/>
        </w:rPr>
        <w:t>江东新区滨海路至海防林路段环境整治</w:t>
      </w:r>
      <w:bookmarkEnd w:id="98"/>
      <w:r>
        <w:rPr>
          <w:rFonts w:hint="eastAsia" w:ascii="Times New Roman" w:hAnsi="Times New Roman" w:eastAsia="宋体" w:cs="宋体"/>
          <w:color w:val="auto"/>
          <w:sz w:val="21"/>
          <w:szCs w:val="21"/>
          <w:highlight w:val="none"/>
          <w:lang w:eastAsia="zh-CN"/>
        </w:rPr>
        <w:t>提升工程</w:t>
      </w:r>
    </w:p>
    <w:p w14:paraId="4AADC766">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二、服务地址：海口江东新区起步区</w:t>
      </w:r>
    </w:p>
    <w:p w14:paraId="55AE133F">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三、服务期限：</w:t>
      </w:r>
      <w:r>
        <w:rPr>
          <w:rFonts w:hint="eastAsia" w:cs="宋体"/>
          <w:color w:val="auto"/>
          <w:sz w:val="21"/>
          <w:szCs w:val="21"/>
          <w:highlight w:val="none"/>
          <w:u w:val="single"/>
          <w:lang w:val="en-US" w:eastAsia="zh-CN"/>
        </w:rPr>
        <w:t>15</w:t>
      </w:r>
      <w:r>
        <w:rPr>
          <w:rFonts w:hint="eastAsia" w:ascii="Times New Roman" w:hAnsi="Times New Roman" w:eastAsia="宋体" w:cs="宋体"/>
          <w:color w:val="auto"/>
          <w:sz w:val="21"/>
          <w:szCs w:val="21"/>
          <w:highlight w:val="none"/>
          <w:u w:val="single"/>
          <w:lang w:eastAsia="zh-CN"/>
        </w:rPr>
        <w:t>日历天</w:t>
      </w:r>
      <w:r>
        <w:rPr>
          <w:rFonts w:hint="eastAsia" w:ascii="Times New Roman" w:hAnsi="Times New Roman" w:eastAsia="宋体" w:cs="宋体"/>
          <w:color w:val="auto"/>
          <w:sz w:val="21"/>
          <w:szCs w:val="21"/>
          <w:highlight w:val="none"/>
          <w:lang w:eastAsia="zh-CN"/>
        </w:rPr>
        <w:t>。自</w:t>
      </w:r>
      <w:r>
        <w:rPr>
          <w:rFonts w:hint="eastAsia" w:ascii="Times New Roman" w:hAnsi="Times New Roman" w:eastAsia="宋体" w:cs="宋体"/>
          <w:color w:val="auto"/>
          <w:sz w:val="21"/>
          <w:szCs w:val="21"/>
          <w:highlight w:val="none"/>
          <w:u w:val="single"/>
          <w:lang w:eastAsia="zh-CN"/>
        </w:rPr>
        <w:t xml:space="preserve">    </w:t>
      </w:r>
      <w:r>
        <w:rPr>
          <w:rFonts w:hint="eastAsia" w:ascii="Times New Roman" w:hAnsi="Times New Roman" w:eastAsia="宋体" w:cs="宋体"/>
          <w:color w:val="auto"/>
          <w:sz w:val="21"/>
          <w:szCs w:val="21"/>
          <w:highlight w:val="none"/>
          <w:lang w:eastAsia="zh-CN"/>
        </w:rPr>
        <w:t>年</w:t>
      </w:r>
      <w:r>
        <w:rPr>
          <w:rFonts w:hint="eastAsia" w:ascii="Times New Roman" w:hAnsi="Times New Roman" w:eastAsia="宋体" w:cs="宋体"/>
          <w:color w:val="auto"/>
          <w:sz w:val="21"/>
          <w:szCs w:val="21"/>
          <w:highlight w:val="none"/>
          <w:u w:val="single"/>
          <w:lang w:eastAsia="zh-CN"/>
        </w:rPr>
        <w:t xml:space="preserve">   </w:t>
      </w:r>
      <w:r>
        <w:rPr>
          <w:rFonts w:hint="eastAsia" w:ascii="Times New Roman" w:hAnsi="Times New Roman" w:eastAsia="宋体" w:cs="宋体"/>
          <w:color w:val="auto"/>
          <w:sz w:val="21"/>
          <w:szCs w:val="21"/>
          <w:highlight w:val="none"/>
          <w:lang w:eastAsia="zh-CN"/>
        </w:rPr>
        <w:t>月</w:t>
      </w:r>
      <w:r>
        <w:rPr>
          <w:rFonts w:hint="eastAsia" w:ascii="Times New Roman" w:hAnsi="Times New Roman" w:eastAsia="宋体" w:cs="宋体"/>
          <w:color w:val="auto"/>
          <w:sz w:val="21"/>
          <w:szCs w:val="21"/>
          <w:highlight w:val="none"/>
          <w:u w:val="single"/>
          <w:lang w:eastAsia="zh-CN"/>
        </w:rPr>
        <w:t xml:space="preserve">   </w:t>
      </w:r>
      <w:r>
        <w:rPr>
          <w:rFonts w:hint="eastAsia" w:ascii="Times New Roman" w:hAnsi="Times New Roman" w:eastAsia="宋体" w:cs="宋体"/>
          <w:color w:val="auto"/>
          <w:sz w:val="21"/>
          <w:szCs w:val="21"/>
          <w:highlight w:val="none"/>
          <w:lang w:eastAsia="zh-CN"/>
        </w:rPr>
        <w:t>日起</w:t>
      </w:r>
      <w:r>
        <w:rPr>
          <w:rFonts w:hint="eastAsia" w:cs="宋体"/>
          <w:color w:val="auto"/>
          <w:sz w:val="21"/>
          <w:szCs w:val="21"/>
          <w:highlight w:val="none"/>
          <w:lang w:eastAsia="zh-CN"/>
        </w:rPr>
        <w:t>至</w:t>
      </w:r>
      <w:r>
        <w:rPr>
          <w:rFonts w:hint="eastAsia" w:ascii="Times New Roman" w:hAnsi="Times New Roman" w:eastAsia="宋体" w:cs="宋体"/>
          <w:color w:val="auto"/>
          <w:sz w:val="21"/>
          <w:szCs w:val="21"/>
          <w:highlight w:val="none"/>
          <w:u w:val="single"/>
          <w:lang w:eastAsia="zh-CN"/>
        </w:rPr>
        <w:t xml:space="preserve">    </w:t>
      </w:r>
      <w:r>
        <w:rPr>
          <w:rFonts w:hint="eastAsia" w:ascii="Times New Roman" w:hAnsi="Times New Roman" w:eastAsia="宋体" w:cs="宋体"/>
          <w:color w:val="auto"/>
          <w:sz w:val="21"/>
          <w:szCs w:val="21"/>
          <w:highlight w:val="none"/>
          <w:lang w:eastAsia="zh-CN"/>
        </w:rPr>
        <w:t>年</w:t>
      </w:r>
      <w:r>
        <w:rPr>
          <w:rFonts w:hint="eastAsia" w:ascii="Times New Roman" w:hAnsi="Times New Roman" w:eastAsia="宋体" w:cs="宋体"/>
          <w:color w:val="auto"/>
          <w:sz w:val="21"/>
          <w:szCs w:val="21"/>
          <w:highlight w:val="none"/>
          <w:u w:val="single"/>
          <w:lang w:eastAsia="zh-CN"/>
        </w:rPr>
        <w:t xml:space="preserve">   </w:t>
      </w:r>
      <w:r>
        <w:rPr>
          <w:rFonts w:hint="eastAsia" w:ascii="Times New Roman" w:hAnsi="Times New Roman" w:eastAsia="宋体" w:cs="宋体"/>
          <w:color w:val="auto"/>
          <w:sz w:val="21"/>
          <w:szCs w:val="21"/>
          <w:highlight w:val="none"/>
          <w:lang w:eastAsia="zh-CN"/>
        </w:rPr>
        <w:t>月</w:t>
      </w:r>
      <w:r>
        <w:rPr>
          <w:rFonts w:hint="eastAsia" w:ascii="Times New Roman" w:hAnsi="Times New Roman" w:eastAsia="宋体" w:cs="宋体"/>
          <w:color w:val="auto"/>
          <w:sz w:val="21"/>
          <w:szCs w:val="21"/>
          <w:highlight w:val="none"/>
          <w:u w:val="single"/>
          <w:lang w:eastAsia="zh-CN"/>
        </w:rPr>
        <w:t xml:space="preserve">   </w:t>
      </w:r>
      <w:r>
        <w:rPr>
          <w:rFonts w:hint="eastAsia" w:ascii="Times New Roman" w:hAnsi="Times New Roman" w:eastAsia="宋体" w:cs="宋体"/>
          <w:color w:val="auto"/>
          <w:sz w:val="21"/>
          <w:szCs w:val="21"/>
          <w:highlight w:val="none"/>
          <w:lang w:eastAsia="zh-CN"/>
        </w:rPr>
        <w:t>日。</w:t>
      </w:r>
    </w:p>
    <w:p w14:paraId="02072F0E">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四、服务内容及要求：</w:t>
      </w:r>
      <w:r>
        <w:rPr>
          <w:rFonts w:hint="eastAsia" w:cs="宋体"/>
          <w:color w:val="auto"/>
          <w:szCs w:val="21"/>
          <w:highlight w:val="none"/>
        </w:rPr>
        <w:t>就江东新区海防林路周边区</w:t>
      </w:r>
      <w:r>
        <w:rPr>
          <w:rFonts w:hint="eastAsia" w:cs="宋体"/>
          <w:color w:val="auto"/>
          <w:szCs w:val="21"/>
          <w:highlight w:val="none"/>
          <w:lang w:eastAsia="zh-CN"/>
        </w:rPr>
        <w:t>域垃</w:t>
      </w:r>
      <w:r>
        <w:rPr>
          <w:rFonts w:hint="eastAsia" w:cs="宋体"/>
          <w:color w:val="auto"/>
          <w:szCs w:val="21"/>
          <w:highlight w:val="none"/>
        </w:rPr>
        <w:t>圾及枯枝清理及环境整治</w:t>
      </w:r>
      <w:r>
        <w:rPr>
          <w:rFonts w:hint="eastAsia" w:cs="宋体"/>
          <w:color w:val="auto"/>
          <w:szCs w:val="21"/>
          <w:highlight w:val="none"/>
          <w:lang w:eastAsia="zh-CN"/>
        </w:rPr>
        <w:t>。</w:t>
      </w:r>
    </w:p>
    <w:p w14:paraId="7AC522CE">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五、质量：合格。</w:t>
      </w:r>
    </w:p>
    <w:p w14:paraId="12313795">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六、结算金额及方式</w:t>
      </w:r>
    </w:p>
    <w:p w14:paraId="189BDEF9">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甲、乙双方一致同意由甲方在合同签订前组织具有资质的第三方咨询机构对乙方提供的整治方案进行评审，合同签订金额以审核后的方案以及造价为准。</w:t>
      </w:r>
      <w:r>
        <w:rPr>
          <w:rFonts w:hint="eastAsia" w:ascii="Times New Roman" w:hAnsi="Times New Roman" w:eastAsia="宋体" w:cs="宋体"/>
          <w:color w:val="auto"/>
          <w:sz w:val="21"/>
          <w:szCs w:val="21"/>
          <w:highlight w:val="none"/>
          <w:lang w:eastAsia="zh-CN"/>
        </w:rPr>
        <w:t>本合同总金额为</w:t>
      </w:r>
      <w:r>
        <w:rPr>
          <w:rFonts w:hint="eastAsia" w:ascii="Times New Roman" w:hAnsi="Times New Roman" w:eastAsia="宋体" w:cs="宋体"/>
          <w:color w:val="auto"/>
          <w:sz w:val="21"/>
          <w:szCs w:val="21"/>
          <w:highlight w:val="none"/>
          <w:u w:val="single"/>
          <w:lang w:eastAsia="zh-CN"/>
        </w:rPr>
        <w:t xml:space="preserve">        </w:t>
      </w:r>
      <w:r>
        <w:rPr>
          <w:rFonts w:hint="eastAsia" w:ascii="Times New Roman" w:hAnsi="Times New Roman" w:eastAsia="宋体" w:cs="宋体"/>
          <w:color w:val="auto"/>
          <w:sz w:val="21"/>
          <w:szCs w:val="21"/>
          <w:highlight w:val="none"/>
          <w:lang w:eastAsia="zh-CN"/>
        </w:rPr>
        <w:t>元，大写：</w:t>
      </w:r>
      <w:r>
        <w:rPr>
          <w:rFonts w:hint="eastAsia" w:ascii="Times New Roman" w:hAnsi="Times New Roman" w:eastAsia="宋体" w:cs="宋体"/>
          <w:color w:val="auto"/>
          <w:sz w:val="21"/>
          <w:szCs w:val="21"/>
          <w:highlight w:val="none"/>
          <w:u w:val="single"/>
          <w:lang w:eastAsia="zh-CN"/>
        </w:rPr>
        <w:t xml:space="preserve">           </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含税</w:t>
      </w:r>
      <w:r>
        <w:rPr>
          <w:rFonts w:hint="eastAsia" w:cs="宋体"/>
          <w:color w:val="auto"/>
          <w:sz w:val="21"/>
          <w:szCs w:val="21"/>
          <w:highlight w:val="none"/>
          <w:u w:val="single"/>
          <w:lang w:eastAsia="zh-CN"/>
        </w:rPr>
        <w:t>）</w:t>
      </w:r>
      <w:r>
        <w:rPr>
          <w:rFonts w:hint="eastAsia" w:ascii="Times New Roman" w:hAnsi="Times New Roman" w:eastAsia="宋体" w:cs="宋体"/>
          <w:color w:val="auto"/>
          <w:sz w:val="21"/>
          <w:szCs w:val="21"/>
          <w:highlight w:val="none"/>
          <w:lang w:eastAsia="zh-CN"/>
        </w:rPr>
        <w:t>。合同签订生效后</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甲方向乙方支付合同总金额的30%作为预付款；项目履行</w:t>
      </w:r>
      <w:r>
        <w:rPr>
          <w:rFonts w:hint="eastAsia" w:cs="宋体"/>
          <w:color w:val="auto"/>
          <w:sz w:val="21"/>
          <w:szCs w:val="21"/>
          <w:highlight w:val="none"/>
          <w:lang w:eastAsia="zh-CN"/>
        </w:rPr>
        <w:t>完成</w:t>
      </w:r>
      <w:r>
        <w:rPr>
          <w:rFonts w:hint="eastAsia" w:ascii="Times New Roman" w:hAnsi="Times New Roman" w:eastAsia="宋体" w:cs="宋体"/>
          <w:color w:val="auto"/>
          <w:sz w:val="21"/>
          <w:szCs w:val="21"/>
          <w:highlight w:val="none"/>
          <w:lang w:eastAsia="zh-CN"/>
        </w:rPr>
        <w:t>后且经甲方验收合格后，支付剩余尾款，最终</w:t>
      </w:r>
      <w:r>
        <w:rPr>
          <w:rFonts w:hint="eastAsia" w:cs="宋体"/>
          <w:color w:val="auto"/>
          <w:sz w:val="21"/>
          <w:szCs w:val="21"/>
          <w:highlight w:val="none"/>
          <w:lang w:val="en-US" w:eastAsia="zh-CN"/>
        </w:rPr>
        <w:t>结算</w:t>
      </w:r>
      <w:r>
        <w:rPr>
          <w:rFonts w:hint="eastAsia" w:ascii="Times New Roman" w:hAnsi="Times New Roman" w:eastAsia="宋体" w:cs="宋体"/>
          <w:color w:val="auto"/>
          <w:sz w:val="21"/>
          <w:szCs w:val="21"/>
          <w:highlight w:val="none"/>
          <w:lang w:eastAsia="zh-CN"/>
        </w:rPr>
        <w:t>金额根据实际工程量确定。甲方付款前，乙方先行提供符合国家相关规定的增值税发票，税率按照国家税务部门相关政策规定计取，如因乙方未提供合格发票</w:t>
      </w:r>
      <w:r>
        <w:rPr>
          <w:rFonts w:hint="eastAsia" w:cs="宋体"/>
          <w:color w:val="auto"/>
          <w:sz w:val="21"/>
          <w:szCs w:val="21"/>
          <w:highlight w:val="none"/>
          <w:lang w:val="en-US" w:eastAsia="zh-CN"/>
        </w:rPr>
        <w:t>或甲方出现政府封账等特殊情况无法及时支付费用，付款可顺延，</w:t>
      </w:r>
      <w:r>
        <w:rPr>
          <w:rFonts w:hint="eastAsia" w:ascii="Times New Roman" w:hAnsi="Times New Roman" w:eastAsia="宋体" w:cs="宋体"/>
          <w:color w:val="auto"/>
          <w:sz w:val="21"/>
          <w:szCs w:val="21"/>
          <w:highlight w:val="none"/>
          <w:lang w:eastAsia="zh-CN"/>
        </w:rPr>
        <w:t>导致甲方付款延迟的，不视为甲方违约。</w:t>
      </w:r>
    </w:p>
    <w:p w14:paraId="1E98BEC9">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outlineLvl w:val="1"/>
        <w:rPr>
          <w:rFonts w:hint="eastAsia" w:ascii="Times New Roman" w:hAnsi="Times New Roman" w:eastAsia="宋体" w:cs="宋体"/>
          <w:color w:val="auto"/>
          <w:sz w:val="21"/>
          <w:szCs w:val="21"/>
          <w:highlight w:val="none"/>
          <w:lang w:eastAsia="zh-CN"/>
        </w:rPr>
      </w:pPr>
      <w:bookmarkStart w:id="99" w:name="_Toc25096"/>
      <w:r>
        <w:rPr>
          <w:rFonts w:hint="eastAsia" w:ascii="Times New Roman" w:hAnsi="Times New Roman" w:eastAsia="宋体" w:cs="宋体"/>
          <w:color w:val="auto"/>
          <w:sz w:val="21"/>
          <w:szCs w:val="21"/>
          <w:highlight w:val="none"/>
          <w:lang w:eastAsia="zh-CN"/>
        </w:rPr>
        <w:t>七、甲方义务</w:t>
      </w:r>
      <w:bookmarkEnd w:id="99"/>
    </w:p>
    <w:p w14:paraId="61091355">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（一）甲方应为乙方提供必要的作业条件及场地。</w:t>
      </w:r>
    </w:p>
    <w:p w14:paraId="66489E15">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（二）甲方应按合同约定的条件、时间和方式及时支付合同价款。</w:t>
      </w:r>
    </w:p>
    <w:p w14:paraId="0478FFFF">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（三）甲方组织对项目完工验收。</w:t>
      </w:r>
    </w:p>
    <w:p w14:paraId="17037D5F">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outlineLvl w:val="1"/>
        <w:rPr>
          <w:rFonts w:hint="eastAsia" w:ascii="Times New Roman" w:hAnsi="Times New Roman" w:eastAsia="宋体" w:cs="宋体"/>
          <w:color w:val="auto"/>
          <w:sz w:val="21"/>
          <w:szCs w:val="21"/>
          <w:highlight w:val="none"/>
          <w:lang w:eastAsia="zh-CN"/>
        </w:rPr>
      </w:pPr>
      <w:bookmarkStart w:id="100" w:name="_Toc14261"/>
      <w:r>
        <w:rPr>
          <w:rFonts w:hint="eastAsia" w:ascii="Times New Roman" w:hAnsi="Times New Roman" w:eastAsia="宋体" w:cs="宋体"/>
          <w:color w:val="auto"/>
          <w:sz w:val="21"/>
          <w:szCs w:val="21"/>
          <w:highlight w:val="none"/>
          <w:lang w:eastAsia="zh-CN"/>
        </w:rPr>
        <w:t>八、乙方的义务</w:t>
      </w:r>
      <w:bookmarkEnd w:id="100"/>
    </w:p>
    <w:p w14:paraId="26DFC24D">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（一）乙方必须遵守合同中各项条款，否则造成一切经济损失由乙方负责。</w:t>
      </w:r>
    </w:p>
    <w:p w14:paraId="1B5F56AE">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（二）乙方人员负责作业过程中安全文明管控，若因管理不到位而造成损失或后果，一切责任由乙方承担。</w:t>
      </w:r>
    </w:p>
    <w:p w14:paraId="40CE0293">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（三）乙方在本服务实施过程中发生的人员伤亡或财产损失的事故均由乙方自行承担责任。</w:t>
      </w:r>
    </w:p>
    <w:p w14:paraId="484EB695">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（四）乙方不得自行占用或让他人占用实施地块，不得在实施地块上建造任何建筑物、帐篷、棚子等。</w:t>
      </w:r>
    </w:p>
    <w:p w14:paraId="054DCAB3">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（五）实施及验收过程中，乙方应按照本合同约定及甲方要求对不达标内容进行整改，直至满足验收条件。</w:t>
      </w:r>
    </w:p>
    <w:p w14:paraId="72DA82C9">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outlineLvl w:val="1"/>
        <w:rPr>
          <w:rFonts w:hint="eastAsia" w:ascii="Times New Roman" w:hAnsi="Times New Roman" w:eastAsia="宋体" w:cs="宋体"/>
          <w:color w:val="auto"/>
          <w:sz w:val="21"/>
          <w:szCs w:val="21"/>
          <w:highlight w:val="none"/>
          <w:lang w:eastAsia="zh-CN"/>
        </w:rPr>
      </w:pPr>
      <w:bookmarkStart w:id="101" w:name="_Toc3660"/>
      <w:r>
        <w:rPr>
          <w:rFonts w:hint="eastAsia" w:ascii="Times New Roman" w:hAnsi="Times New Roman" w:eastAsia="宋体" w:cs="宋体"/>
          <w:color w:val="auto"/>
          <w:sz w:val="21"/>
          <w:szCs w:val="21"/>
          <w:highlight w:val="none"/>
          <w:lang w:eastAsia="zh-CN"/>
        </w:rPr>
        <w:t>九、不可抗力</w:t>
      </w:r>
      <w:bookmarkEnd w:id="101"/>
    </w:p>
    <w:p w14:paraId="09F51E00">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在项目整治服务期间，如果发生不可抗力事件</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地震、台风等</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，甲</w:t>
      </w:r>
      <w:r>
        <w:rPr>
          <w:rFonts w:hint="eastAsia" w:cs="宋体"/>
          <w:color w:val="auto"/>
          <w:sz w:val="21"/>
          <w:szCs w:val="21"/>
          <w:highlight w:val="none"/>
          <w:lang w:eastAsia="zh-CN"/>
        </w:rPr>
        <w:t>、乙</w:t>
      </w:r>
      <w:r>
        <w:rPr>
          <w:rFonts w:hint="eastAsia" w:ascii="Times New Roman" w:hAnsi="Times New Roman" w:eastAsia="宋体" w:cs="宋体"/>
          <w:color w:val="auto"/>
          <w:sz w:val="21"/>
          <w:szCs w:val="21"/>
          <w:highlight w:val="none"/>
          <w:lang w:eastAsia="zh-CN"/>
        </w:rPr>
        <w:t>双方应积极维持本协议项下的服务</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任何一方由于不可抗力而影响其履行协议所规定的义务的，受事件影响的一方应尽快将发生的不可抗力事件的情况以传真或特快专递等形式通知另一方，说明发生不可抗力以及不可抗力可能持续的时间。双方在不可抗力事件停止后或影响消除后应立即继续履行协议义务，协议有效期或有关履行协议的预定期限相应延长。双方应承担各自因不可抗力造成的损失。</w:t>
      </w:r>
    </w:p>
    <w:p w14:paraId="340E7857">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outlineLvl w:val="1"/>
        <w:rPr>
          <w:rFonts w:hint="eastAsia" w:ascii="Times New Roman" w:hAnsi="Times New Roman" w:eastAsia="宋体" w:cs="宋体"/>
          <w:color w:val="auto"/>
          <w:sz w:val="21"/>
          <w:szCs w:val="21"/>
          <w:highlight w:val="none"/>
          <w:lang w:eastAsia="zh-CN"/>
        </w:rPr>
      </w:pPr>
      <w:bookmarkStart w:id="102" w:name="_Toc28317"/>
      <w:r>
        <w:rPr>
          <w:rFonts w:hint="eastAsia" w:ascii="Times New Roman" w:hAnsi="Times New Roman" w:eastAsia="宋体" w:cs="宋体"/>
          <w:color w:val="auto"/>
          <w:sz w:val="21"/>
          <w:szCs w:val="21"/>
          <w:highlight w:val="none"/>
          <w:lang w:eastAsia="zh-CN"/>
        </w:rPr>
        <w:t>十、验收工作</w:t>
      </w:r>
      <w:bookmarkEnd w:id="102"/>
    </w:p>
    <w:p w14:paraId="2F8407BA">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乙方在完成所有实施内容后，应在3日内向甲方提出验收申请。甲方负责组织人员对乙方实施内容、范围、质量进行核实，合格后7日内出具书面证明文件。</w:t>
      </w:r>
    </w:p>
    <w:p w14:paraId="3344F4E6">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outlineLvl w:val="1"/>
        <w:rPr>
          <w:rFonts w:hint="eastAsia" w:ascii="Times New Roman" w:hAnsi="Times New Roman" w:eastAsia="宋体" w:cs="宋体"/>
          <w:color w:val="auto"/>
          <w:sz w:val="21"/>
          <w:szCs w:val="21"/>
          <w:highlight w:val="none"/>
          <w:lang w:eastAsia="zh-CN"/>
        </w:rPr>
      </w:pPr>
      <w:bookmarkStart w:id="103" w:name="_Toc8345"/>
      <w:r>
        <w:rPr>
          <w:rFonts w:hint="eastAsia" w:ascii="Times New Roman" w:hAnsi="Times New Roman" w:eastAsia="宋体" w:cs="宋体"/>
          <w:color w:val="auto"/>
          <w:sz w:val="21"/>
          <w:szCs w:val="21"/>
          <w:highlight w:val="none"/>
          <w:lang w:eastAsia="zh-CN"/>
        </w:rPr>
        <w:t>十一、违约责任</w:t>
      </w:r>
      <w:bookmarkEnd w:id="103"/>
    </w:p>
    <w:p w14:paraId="0348C9B9">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（一）乙方违反本合同约定，未按照约定标准和时限整治地块的，造成的损失由乙方承担。</w:t>
      </w:r>
    </w:p>
    <w:p w14:paraId="1261E583">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（二）乙方单方解除终止本合同的，甲方有权不予支付未付款项，由此给甲方造成损失的，乙方承担赔偿责任。甲方单方终止本协议，乙方工作已经开始的，甲方按照乙方实际工作量予以结算。</w:t>
      </w:r>
    </w:p>
    <w:p w14:paraId="2BF40BD9">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（三）乙方有以下情形</w:t>
      </w:r>
      <w:r>
        <w:rPr>
          <w:rFonts w:hint="eastAsia" w:cs="宋体"/>
          <w:color w:val="auto"/>
          <w:sz w:val="21"/>
          <w:szCs w:val="21"/>
          <w:highlight w:val="none"/>
          <w:lang w:val="en-US" w:eastAsia="zh-CN"/>
        </w:rPr>
        <w:t>之一</w:t>
      </w:r>
      <w:r>
        <w:rPr>
          <w:rFonts w:hint="eastAsia" w:ascii="Times New Roman" w:hAnsi="Times New Roman" w:eastAsia="宋体" w:cs="宋体"/>
          <w:color w:val="auto"/>
          <w:sz w:val="21"/>
          <w:szCs w:val="21"/>
          <w:highlight w:val="none"/>
          <w:lang w:eastAsia="zh-CN"/>
        </w:rPr>
        <w:t>的，甲方有权解除合同，乙方应退回已收取的全部款项并按照合同金额的10%向甲方支付违约金</w:t>
      </w:r>
      <w:r>
        <w:rPr>
          <w:rFonts w:hint="eastAsia" w:cs="宋体"/>
          <w:color w:val="auto"/>
          <w:sz w:val="21"/>
          <w:szCs w:val="21"/>
          <w:highlight w:val="none"/>
          <w:lang w:eastAsia="zh-CN"/>
        </w:rPr>
        <w:t>：</w:t>
      </w:r>
    </w:p>
    <w:p w14:paraId="373F0102">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outlineLvl w:val="2"/>
        <w:rPr>
          <w:rFonts w:hint="default" w:ascii="Times New Roman" w:hAnsi="Times New Roman" w:eastAsia="宋体" w:cs="宋体"/>
          <w:color w:val="auto"/>
          <w:sz w:val="21"/>
          <w:szCs w:val="21"/>
          <w:highlight w:val="none"/>
          <w:lang w:val="en-US" w:eastAsia="zh-CN"/>
        </w:rPr>
      </w:pPr>
      <w:bookmarkStart w:id="104" w:name="_Toc21581"/>
      <w:r>
        <w:rPr>
          <w:rFonts w:hint="eastAsia" w:ascii="Times New Roman" w:hAnsi="Times New Roman" w:eastAsia="宋体" w:cs="宋体"/>
          <w:color w:val="auto"/>
          <w:sz w:val="21"/>
          <w:szCs w:val="21"/>
          <w:highlight w:val="none"/>
          <w:lang w:eastAsia="zh-CN"/>
        </w:rPr>
        <w:t>1.</w:t>
      </w:r>
      <w:r>
        <w:rPr>
          <w:rFonts w:hint="eastAsia" w:cs="宋体"/>
          <w:color w:val="auto"/>
          <w:sz w:val="21"/>
          <w:szCs w:val="21"/>
          <w:highlight w:val="none"/>
          <w:lang w:val="en-US" w:eastAsia="zh-CN"/>
        </w:rPr>
        <w:t>乙方逾期完成合同约定工作超过10日的；</w:t>
      </w:r>
    </w:p>
    <w:p w14:paraId="5D8DB005">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outlineLvl w:val="2"/>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eastAsia="zh-CN"/>
        </w:rPr>
        <w:t>乙方擅自转让本合同权利义务的；</w:t>
      </w:r>
      <w:bookmarkEnd w:id="104"/>
    </w:p>
    <w:p w14:paraId="5115D3E0">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3</w:t>
      </w:r>
      <w:r>
        <w:rPr>
          <w:rFonts w:hint="eastAsia" w:ascii="Times New Roman" w:hAnsi="Times New Roman" w:eastAsia="宋体" w:cs="宋体"/>
          <w:color w:val="auto"/>
          <w:sz w:val="21"/>
          <w:szCs w:val="21"/>
          <w:highlight w:val="none"/>
          <w:lang w:eastAsia="zh-CN"/>
        </w:rPr>
        <w:t>.乙方实施内容及现场管控措施不合格，经整改后仍不能达到甲方要求的；</w:t>
      </w:r>
    </w:p>
    <w:p w14:paraId="157A79ED">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4</w:t>
      </w:r>
      <w:r>
        <w:rPr>
          <w:rFonts w:hint="eastAsia" w:ascii="Times New Roman" w:hAnsi="Times New Roman" w:eastAsia="宋体" w:cs="宋体"/>
          <w:color w:val="auto"/>
          <w:sz w:val="21"/>
          <w:szCs w:val="21"/>
          <w:highlight w:val="none"/>
          <w:lang w:eastAsia="zh-CN"/>
        </w:rPr>
        <w:t>.乙方不具备或丧失履行本合同的资质和能力的；</w:t>
      </w:r>
    </w:p>
    <w:p w14:paraId="719A139B">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5</w:t>
      </w:r>
      <w:r>
        <w:rPr>
          <w:rFonts w:hint="eastAsia" w:ascii="Times New Roman" w:hAnsi="Times New Roman" w:eastAsia="宋体" w:cs="宋体"/>
          <w:color w:val="auto"/>
          <w:sz w:val="21"/>
          <w:szCs w:val="21"/>
          <w:highlight w:val="none"/>
          <w:lang w:eastAsia="zh-CN"/>
        </w:rPr>
        <w:t>.乙方违约行为经甲方催告后拒不改正的；</w:t>
      </w:r>
    </w:p>
    <w:p w14:paraId="0706E561">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6</w:t>
      </w:r>
      <w:r>
        <w:rPr>
          <w:rFonts w:hint="eastAsia" w:ascii="Times New Roman" w:hAnsi="Times New Roman" w:eastAsia="宋体" w:cs="宋体"/>
          <w:color w:val="auto"/>
          <w:sz w:val="21"/>
          <w:szCs w:val="21"/>
          <w:highlight w:val="none"/>
          <w:lang w:eastAsia="zh-CN"/>
        </w:rPr>
        <w:t>.乙方存在其他严重违约行为或故意侵害甲方合法权益行为的；</w:t>
      </w:r>
    </w:p>
    <w:p w14:paraId="3838A8FC">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7</w:t>
      </w:r>
      <w:r>
        <w:rPr>
          <w:rFonts w:hint="eastAsia" w:ascii="Times New Roman" w:hAnsi="Times New Roman" w:eastAsia="宋体" w:cs="宋体"/>
          <w:color w:val="auto"/>
          <w:sz w:val="21"/>
          <w:szCs w:val="21"/>
          <w:highlight w:val="none"/>
          <w:lang w:eastAsia="zh-CN"/>
        </w:rPr>
        <w:t>.因乙方实施和管理过错给甲方造成经济损失的；</w:t>
      </w:r>
    </w:p>
    <w:p w14:paraId="0B09E1BF">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四</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乙方违约行为给甲方造成损害的，乙方承担赔偿责任，包括但不限于直接损失、间接损失、律师费、诉讼费等。违约金不足以弥补甲方损失的，乙方承担补充赔偿责任。</w:t>
      </w:r>
    </w:p>
    <w:p w14:paraId="7F475D47">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五</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乙方应严格按照合同约定期限完成工作，每逾期1日。按合同金额1‰向甲方支付违约金，违约金封顶为合同总金额的50‰。</w:t>
      </w:r>
    </w:p>
    <w:p w14:paraId="0368E346">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outlineLvl w:val="1"/>
        <w:rPr>
          <w:rFonts w:hint="eastAsia" w:ascii="Times New Roman" w:hAnsi="Times New Roman" w:eastAsia="宋体" w:cs="宋体"/>
          <w:color w:val="auto"/>
          <w:sz w:val="21"/>
          <w:szCs w:val="21"/>
          <w:highlight w:val="none"/>
          <w:lang w:eastAsia="zh-CN"/>
        </w:rPr>
      </w:pPr>
      <w:bookmarkStart w:id="105" w:name="_Toc21742"/>
      <w:r>
        <w:rPr>
          <w:rFonts w:hint="eastAsia" w:ascii="Times New Roman" w:hAnsi="Times New Roman" w:eastAsia="宋体" w:cs="宋体"/>
          <w:color w:val="auto"/>
          <w:sz w:val="21"/>
          <w:szCs w:val="21"/>
          <w:highlight w:val="none"/>
          <w:lang w:eastAsia="zh-CN"/>
        </w:rPr>
        <w:t>十二、争议</w:t>
      </w:r>
      <w:bookmarkEnd w:id="105"/>
    </w:p>
    <w:p w14:paraId="4D260B25">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甲乙双方发生争议时，可以通过协商或者申请有关部门调解。不愿调解或调解不成的，可以</w:t>
      </w:r>
      <w:r>
        <w:rPr>
          <w:rFonts w:hint="eastAsia" w:ascii="Times New Roman" w:hAnsi="Times New Roman" w:eastAsia="宋体"/>
          <w:color w:val="auto"/>
          <w:sz w:val="21"/>
          <w:szCs w:val="21"/>
          <w:highlight w:val="none"/>
          <w:lang w:eastAsia="zh-CN"/>
        </w:rPr>
        <w:t>依法向甲方所在地的人民法院提起诉讼</w:t>
      </w:r>
      <w:r>
        <w:rPr>
          <w:rFonts w:hint="eastAsia" w:ascii="Times New Roman" w:hAnsi="Times New Roman" w:eastAsia="宋体" w:cs="宋体"/>
          <w:color w:val="auto"/>
          <w:sz w:val="21"/>
          <w:szCs w:val="21"/>
          <w:highlight w:val="none"/>
          <w:lang w:eastAsia="zh-CN"/>
        </w:rPr>
        <w:t>解决。</w:t>
      </w:r>
    </w:p>
    <w:p w14:paraId="127B4088">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outlineLvl w:val="1"/>
        <w:rPr>
          <w:rFonts w:hint="eastAsia" w:ascii="Times New Roman" w:hAnsi="Times New Roman" w:eastAsia="宋体" w:cs="宋体"/>
          <w:color w:val="auto"/>
          <w:sz w:val="21"/>
          <w:szCs w:val="21"/>
          <w:highlight w:val="none"/>
          <w:lang w:eastAsia="zh-CN"/>
        </w:rPr>
      </w:pPr>
      <w:bookmarkStart w:id="106" w:name="_Toc21957"/>
      <w:r>
        <w:rPr>
          <w:rFonts w:hint="eastAsia" w:ascii="Times New Roman" w:hAnsi="Times New Roman" w:eastAsia="宋体" w:cs="宋体"/>
          <w:color w:val="auto"/>
          <w:sz w:val="21"/>
          <w:szCs w:val="21"/>
          <w:highlight w:val="none"/>
          <w:lang w:eastAsia="zh-CN"/>
        </w:rPr>
        <w:t>十三、其他</w:t>
      </w:r>
      <w:bookmarkEnd w:id="106"/>
    </w:p>
    <w:p w14:paraId="6B6947AE">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（一）本协议一式陆份，甲方持叁份，乙方持叁份，均具有同等法律效力。本协议自双方签字或盖章后生效。</w:t>
      </w:r>
    </w:p>
    <w:p w14:paraId="5A8AC7C3">
      <w:pPr>
        <w:keepNext w:val="0"/>
        <w:keepLines w:val="0"/>
        <w:pageBreakBefore w:val="0"/>
        <w:widowControl w:val="0"/>
        <w:kinsoku/>
        <w:wordWrap/>
        <w:overflowPunct/>
        <w:autoSpaceDE/>
        <w:autoSpaceDN/>
        <w:bidi w:val="0"/>
        <w:adjustRightInd/>
        <w:snapToGrid/>
        <w:spacing w:line="560" w:lineRule="exact"/>
        <w:ind w:firstLine="420" w:firstLineChars="200"/>
        <w:jc w:val="both"/>
        <w:textAlignment w:val="auto"/>
        <w:outlineLvl w:val="2"/>
        <w:rPr>
          <w:rFonts w:ascii="Times New Roman" w:hAnsi="Times New Roman" w:eastAsia="宋体"/>
          <w:color w:val="auto"/>
          <w:sz w:val="21"/>
          <w:szCs w:val="21"/>
          <w:highlight w:val="none"/>
          <w:lang w:eastAsia="zh-CN"/>
        </w:rPr>
      </w:pPr>
      <w:bookmarkStart w:id="107" w:name="_Toc2370"/>
      <w:r>
        <w:rPr>
          <w:rFonts w:hint="eastAsia" w:ascii="Times New Roman" w:hAnsi="Times New Roman" w:eastAsia="宋体" w:cs="宋体"/>
          <w:color w:val="auto"/>
          <w:sz w:val="21"/>
          <w:szCs w:val="21"/>
          <w:highlight w:val="none"/>
          <w:lang w:eastAsia="zh-CN"/>
        </w:rPr>
        <w:t>（二）</w:t>
      </w:r>
      <w:r>
        <w:rPr>
          <w:rFonts w:hint="eastAsia" w:cs="宋体"/>
          <w:color w:val="auto"/>
          <w:sz w:val="21"/>
          <w:szCs w:val="21"/>
          <w:highlight w:val="none"/>
          <w:lang w:eastAsia="zh-CN"/>
        </w:rPr>
        <w:t>其他</w:t>
      </w:r>
      <w:r>
        <w:rPr>
          <w:rFonts w:hint="eastAsia" w:ascii="Times New Roman" w:hAnsi="Times New Roman" w:eastAsia="宋体" w:cs="宋体"/>
          <w:color w:val="auto"/>
          <w:sz w:val="21"/>
          <w:szCs w:val="21"/>
          <w:highlight w:val="none"/>
          <w:lang w:eastAsia="zh-CN"/>
        </w:rPr>
        <w:t>未尽事宜，双方协商解决。</w:t>
      </w:r>
      <w:bookmarkEnd w:id="107"/>
    </w:p>
    <w:p w14:paraId="17C5B5E8">
      <w:pPr>
        <w:keepNext w:val="0"/>
        <w:keepLines w:val="0"/>
        <w:pageBreakBefore w:val="0"/>
        <w:wordWrap/>
        <w:overflowPunct/>
        <w:bidi w:val="0"/>
        <w:spacing w:line="560" w:lineRule="exact"/>
        <w:ind w:firstLine="420" w:firstLineChars="200"/>
        <w:jc w:val="both"/>
        <w:rPr>
          <w:rFonts w:hint="eastAsia" w:ascii="Times New Roman" w:hAnsi="Times New Roman" w:eastAsia="宋体" w:cs="宋体"/>
          <w:color w:val="auto"/>
          <w:sz w:val="21"/>
          <w:szCs w:val="21"/>
          <w:highlight w:val="none"/>
          <w:lang w:eastAsia="zh-CN"/>
        </w:rPr>
        <w:sectPr>
          <w:pgSz w:w="11906" w:h="16838"/>
          <w:pgMar w:top="1440" w:right="1800" w:bottom="1440" w:left="1800" w:header="851" w:footer="992" w:gutter="0"/>
          <w:pgNumType w:fmt="decimal"/>
          <w:cols w:space="425" w:num="1"/>
          <w:docGrid w:type="lines" w:linePitch="312" w:charSpace="0"/>
        </w:sectPr>
      </w:pPr>
    </w:p>
    <w:p w14:paraId="4670854E">
      <w:pPr>
        <w:spacing w:line="560" w:lineRule="exact"/>
        <w:ind w:firstLine="420" w:firstLineChars="200"/>
        <w:rPr>
          <w:color w:val="auto"/>
          <w:highlight w:val="none"/>
        </w:rPr>
      </w:pPr>
    </w:p>
    <w:p w14:paraId="73271222">
      <w:pPr>
        <w:spacing w:line="560" w:lineRule="exact"/>
        <w:ind w:firstLine="422"/>
        <w:rPr>
          <w:color w:val="auto"/>
          <w:highlight w:val="none"/>
        </w:rPr>
      </w:pPr>
      <w:r>
        <w:rPr>
          <w:rFonts w:hint="eastAsia"/>
          <w:color w:val="auto"/>
          <w:highlight w:val="none"/>
        </w:rPr>
        <w:t>[本合同正文结束，以下为合同签署页]</w:t>
      </w:r>
    </w:p>
    <w:p w14:paraId="4101302C">
      <w:pPr>
        <w:spacing w:line="560" w:lineRule="exact"/>
        <w:ind w:firstLine="420" w:firstLineChars="200"/>
        <w:rPr>
          <w:color w:val="auto"/>
          <w:highlight w:val="none"/>
        </w:rPr>
      </w:pPr>
      <w:r>
        <w:rPr>
          <w:rFonts w:hint="eastAsia"/>
          <w:color w:val="auto"/>
          <w:highlight w:val="none"/>
        </w:rPr>
        <w:t>甲方：海口江东新区管理局（盖章）</w:t>
      </w:r>
    </w:p>
    <w:p w14:paraId="35736BE4">
      <w:pPr>
        <w:spacing w:line="560" w:lineRule="exact"/>
        <w:ind w:firstLine="420" w:firstLineChars="200"/>
        <w:rPr>
          <w:color w:val="auto"/>
          <w:highlight w:val="none"/>
        </w:rPr>
      </w:pPr>
      <w:r>
        <w:rPr>
          <w:rFonts w:hint="eastAsia"/>
          <w:color w:val="auto"/>
          <w:highlight w:val="none"/>
        </w:rPr>
        <w:t>法定代表人/委托代理人：（签名</w:t>
      </w:r>
      <w:r>
        <w:rPr>
          <w:rFonts w:hint="eastAsia"/>
          <w:color w:val="auto"/>
          <w:highlight w:val="none"/>
          <w:lang w:eastAsia="zh-CN"/>
        </w:rPr>
        <w:t>）：</w:t>
      </w:r>
    </w:p>
    <w:p w14:paraId="51367DF1">
      <w:pPr>
        <w:spacing w:line="560" w:lineRule="exact"/>
        <w:ind w:firstLine="420" w:firstLineChars="200"/>
        <w:rPr>
          <w:color w:val="auto"/>
          <w:highlight w:val="none"/>
        </w:rPr>
      </w:pPr>
      <w:r>
        <w:rPr>
          <w:rFonts w:hint="eastAsia"/>
          <w:color w:val="auto"/>
          <w:highlight w:val="none"/>
        </w:rPr>
        <w:t>住所地：海南省海口市美兰区兴洋大道202号江东发展大厦</w:t>
      </w:r>
    </w:p>
    <w:p w14:paraId="5FFB7591">
      <w:pPr>
        <w:spacing w:line="560" w:lineRule="exact"/>
        <w:ind w:firstLine="420" w:firstLineChars="200"/>
        <w:rPr>
          <w:color w:val="auto"/>
          <w:highlight w:val="none"/>
        </w:rPr>
      </w:pPr>
      <w:r>
        <w:rPr>
          <w:rFonts w:hint="eastAsia"/>
          <w:color w:val="auto"/>
          <w:highlight w:val="none"/>
        </w:rPr>
        <w:t>电话：</w:t>
      </w:r>
    </w:p>
    <w:p w14:paraId="6E62459C">
      <w:pPr>
        <w:spacing w:line="560" w:lineRule="exact"/>
        <w:ind w:firstLine="420" w:firstLineChars="200"/>
        <w:rPr>
          <w:color w:val="auto"/>
          <w:highlight w:val="none"/>
        </w:rPr>
      </w:pPr>
      <w:r>
        <w:rPr>
          <w:rFonts w:hint="eastAsia"/>
          <w:color w:val="auto"/>
          <w:highlight w:val="none"/>
        </w:rPr>
        <w:t>传真：</w:t>
      </w:r>
    </w:p>
    <w:p w14:paraId="6F4A3792">
      <w:pPr>
        <w:spacing w:line="560" w:lineRule="exact"/>
        <w:ind w:firstLine="420" w:firstLineChars="200"/>
        <w:rPr>
          <w:color w:val="auto"/>
          <w:highlight w:val="none"/>
        </w:rPr>
      </w:pPr>
      <w:r>
        <w:rPr>
          <w:rFonts w:hint="eastAsia"/>
          <w:color w:val="auto"/>
          <w:highlight w:val="none"/>
        </w:rPr>
        <w:t>项目联系人：</w:t>
      </w:r>
    </w:p>
    <w:p w14:paraId="7938A1A7">
      <w:pPr>
        <w:spacing w:line="560" w:lineRule="exact"/>
        <w:ind w:firstLine="420" w:firstLineChars="200"/>
        <w:rPr>
          <w:color w:val="auto"/>
          <w:highlight w:val="none"/>
        </w:rPr>
      </w:pPr>
      <w:r>
        <w:rPr>
          <w:rFonts w:hint="eastAsia"/>
          <w:color w:val="auto"/>
          <w:highlight w:val="none"/>
        </w:rPr>
        <w:t>联系方式：</w:t>
      </w:r>
    </w:p>
    <w:p w14:paraId="6C4819EE">
      <w:pPr>
        <w:spacing w:line="560" w:lineRule="exact"/>
        <w:ind w:firstLine="630" w:firstLineChars="300"/>
        <w:rPr>
          <w:color w:val="auto"/>
          <w:highlight w:val="none"/>
        </w:rPr>
      </w:pPr>
      <w:r>
        <w:rPr>
          <w:rFonts w:hint="eastAsia"/>
          <w:color w:val="auto"/>
          <w:highlight w:val="none"/>
        </w:rPr>
        <w:t>年月日</w:t>
      </w:r>
    </w:p>
    <w:p w14:paraId="4E0F5098">
      <w:pPr>
        <w:spacing w:line="560" w:lineRule="exact"/>
        <w:ind w:firstLine="630" w:firstLineChars="300"/>
        <w:rPr>
          <w:color w:val="auto"/>
          <w:highlight w:val="none"/>
        </w:rPr>
      </w:pPr>
    </w:p>
    <w:p w14:paraId="1BA9C52A">
      <w:pPr>
        <w:spacing w:line="560" w:lineRule="exact"/>
        <w:ind w:firstLine="630" w:firstLineChars="300"/>
        <w:rPr>
          <w:color w:val="auto"/>
          <w:highlight w:val="none"/>
        </w:rPr>
      </w:pPr>
    </w:p>
    <w:p w14:paraId="4A9AD70B">
      <w:pPr>
        <w:spacing w:line="560" w:lineRule="exact"/>
        <w:ind w:firstLine="420" w:firstLineChars="200"/>
        <w:rPr>
          <w:color w:val="auto"/>
          <w:highlight w:val="none"/>
        </w:rPr>
      </w:pPr>
      <w:r>
        <w:rPr>
          <w:rFonts w:hint="eastAsia"/>
          <w:color w:val="auto"/>
          <w:highlight w:val="none"/>
        </w:rPr>
        <w:t>乙方：（盖章）</w:t>
      </w:r>
    </w:p>
    <w:p w14:paraId="304BF8B2">
      <w:pPr>
        <w:spacing w:line="560" w:lineRule="exact"/>
        <w:ind w:firstLine="420" w:firstLineChars="200"/>
        <w:rPr>
          <w:color w:val="auto"/>
          <w:highlight w:val="none"/>
        </w:rPr>
      </w:pPr>
      <w:r>
        <w:rPr>
          <w:rFonts w:hint="eastAsia"/>
          <w:color w:val="auto"/>
          <w:highlight w:val="none"/>
        </w:rPr>
        <w:t>法定代表人/委托代理人：（签名）</w:t>
      </w:r>
    </w:p>
    <w:p w14:paraId="184E29CD">
      <w:pPr>
        <w:spacing w:line="560" w:lineRule="exact"/>
        <w:ind w:firstLine="420" w:firstLineChars="200"/>
        <w:rPr>
          <w:color w:val="auto"/>
          <w:highlight w:val="none"/>
        </w:rPr>
      </w:pPr>
      <w:r>
        <w:rPr>
          <w:rFonts w:hint="eastAsia"/>
          <w:color w:val="auto"/>
          <w:highlight w:val="none"/>
        </w:rPr>
        <w:t>住所地：</w:t>
      </w:r>
    </w:p>
    <w:p w14:paraId="780AA5B1">
      <w:pPr>
        <w:spacing w:line="560" w:lineRule="exact"/>
        <w:ind w:firstLine="420" w:firstLineChars="200"/>
        <w:rPr>
          <w:color w:val="auto"/>
          <w:highlight w:val="none"/>
        </w:rPr>
      </w:pPr>
      <w:r>
        <w:rPr>
          <w:rFonts w:hint="eastAsia"/>
          <w:color w:val="auto"/>
          <w:highlight w:val="none"/>
        </w:rPr>
        <w:t>电话：</w:t>
      </w:r>
    </w:p>
    <w:p w14:paraId="4F3765F3">
      <w:pPr>
        <w:spacing w:line="560" w:lineRule="exact"/>
        <w:ind w:firstLine="420" w:firstLineChars="200"/>
        <w:rPr>
          <w:color w:val="auto"/>
          <w:highlight w:val="none"/>
        </w:rPr>
      </w:pPr>
      <w:r>
        <w:rPr>
          <w:rFonts w:hint="eastAsia"/>
          <w:color w:val="auto"/>
          <w:highlight w:val="none"/>
        </w:rPr>
        <w:t>传真：</w:t>
      </w:r>
    </w:p>
    <w:p w14:paraId="041DFB7E">
      <w:pPr>
        <w:spacing w:line="560" w:lineRule="exact"/>
        <w:ind w:firstLine="420" w:firstLineChars="200"/>
        <w:rPr>
          <w:color w:val="auto"/>
          <w:highlight w:val="none"/>
        </w:rPr>
      </w:pPr>
      <w:r>
        <w:rPr>
          <w:rFonts w:hint="eastAsia"/>
          <w:color w:val="auto"/>
          <w:highlight w:val="none"/>
        </w:rPr>
        <w:t>项目</w:t>
      </w:r>
      <w:r>
        <w:rPr>
          <w:rFonts w:hint="eastAsia"/>
          <w:color w:val="auto"/>
          <w:highlight w:val="none"/>
          <w:lang w:val="en-US" w:eastAsia="zh-CN"/>
        </w:rPr>
        <w:t>联系</w:t>
      </w:r>
      <w:r>
        <w:rPr>
          <w:rFonts w:hint="eastAsia"/>
          <w:color w:val="auto"/>
          <w:highlight w:val="none"/>
        </w:rPr>
        <w:t>人：</w:t>
      </w:r>
    </w:p>
    <w:p w14:paraId="75962B10">
      <w:pPr>
        <w:spacing w:line="560" w:lineRule="exact"/>
        <w:ind w:firstLine="420" w:firstLineChars="200"/>
        <w:rPr>
          <w:color w:val="auto"/>
          <w:highlight w:val="none"/>
        </w:rPr>
      </w:pPr>
      <w:r>
        <w:rPr>
          <w:rFonts w:hint="eastAsia"/>
          <w:color w:val="auto"/>
          <w:highlight w:val="none"/>
        </w:rPr>
        <w:t>联系方式：</w:t>
      </w:r>
    </w:p>
    <w:p w14:paraId="5805C675">
      <w:pPr>
        <w:spacing w:line="560" w:lineRule="exact"/>
        <w:rPr>
          <w:color w:val="auto"/>
          <w:highlight w:val="none"/>
        </w:rPr>
      </w:pPr>
      <w:r>
        <w:rPr>
          <w:rFonts w:hint="eastAsia"/>
          <w:color w:val="auto"/>
          <w:highlight w:val="none"/>
        </w:rPr>
        <w:t>年月日</w:t>
      </w:r>
    </w:p>
    <w:p w14:paraId="6E279132">
      <w:pPr>
        <w:adjustRightInd w:val="0"/>
        <w:snapToGrid w:val="0"/>
        <w:spacing w:line="360" w:lineRule="auto"/>
        <w:outlineLvl w:val="1"/>
        <w:rPr>
          <w:color w:val="auto"/>
          <w:highlight w:val="none"/>
        </w:rPr>
        <w:sectPr>
          <w:headerReference r:id="rId13" w:type="default"/>
          <w:pgSz w:w="11906" w:h="16838"/>
          <w:pgMar w:top="1440" w:right="1800" w:bottom="1440" w:left="1800" w:header="794" w:footer="992" w:gutter="0"/>
          <w:pgNumType w:fmt="decimal"/>
          <w:cols w:space="425" w:num="1"/>
          <w:docGrid w:type="lines" w:linePitch="312" w:charSpace="0"/>
        </w:sectPr>
      </w:pPr>
    </w:p>
    <w:p w14:paraId="178C7A2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第六章</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格式及附件</w:t>
      </w:r>
    </w:p>
    <w:p w14:paraId="26A46ABB">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p>
    <w:p w14:paraId="22A4AED4">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格式1</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声明函</w:t>
      </w:r>
    </w:p>
    <w:p w14:paraId="26E8B3F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p w14:paraId="7483F7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致：</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i/>
          <w:iCs/>
          <w:color w:val="auto"/>
          <w:sz w:val="21"/>
          <w:szCs w:val="21"/>
          <w:highlight w:val="none"/>
          <w:u w:val="single"/>
          <w:lang w:val="en-US" w:eastAsia="zh-CN"/>
        </w:rPr>
        <w:t>采购人）</w:t>
      </w:r>
    </w:p>
    <w:p w14:paraId="71FDA387">
      <w:pPr>
        <w:pStyle w:val="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根据贵方</w:t>
      </w:r>
      <w:r>
        <w:rPr>
          <w:rFonts w:hint="eastAsia" w:asciiTheme="minorEastAsia" w:hAnsiTheme="minorEastAsia" w:eastAsiaTheme="minorEastAsia" w:cstheme="minorEastAsia"/>
          <w:bCs/>
          <w:color w:val="auto"/>
          <w:sz w:val="21"/>
          <w:szCs w:val="21"/>
          <w:highlight w:val="none"/>
          <w:u w:val="single"/>
          <w:lang w:val="en-US" w:eastAsia="zh-CN"/>
        </w:rPr>
        <w:t>（</w:t>
      </w:r>
      <w:r>
        <w:rPr>
          <w:rFonts w:hint="eastAsia" w:asciiTheme="minorEastAsia" w:hAnsiTheme="minorEastAsia" w:eastAsiaTheme="minorEastAsia" w:cstheme="minorEastAsia"/>
          <w:bCs/>
          <w:color w:val="auto"/>
          <w:sz w:val="21"/>
          <w:szCs w:val="21"/>
          <w:highlight w:val="none"/>
          <w:u w:val="single"/>
        </w:rPr>
        <w:t>项目名称）</w:t>
      </w:r>
      <w:r>
        <w:rPr>
          <w:rFonts w:hint="eastAsia" w:asciiTheme="minorEastAsia" w:hAnsiTheme="minorEastAsia" w:eastAsiaTheme="minorEastAsia" w:cstheme="minorEastAsia"/>
          <w:bCs/>
          <w:color w:val="auto"/>
          <w:sz w:val="21"/>
          <w:szCs w:val="21"/>
          <w:highlight w:val="none"/>
        </w:rPr>
        <w:t>项目（项目编号</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lang w:eastAsia="zh-CN"/>
        </w:rPr>
        <w:t>比选公告</w:t>
      </w:r>
      <w:r>
        <w:rPr>
          <w:rFonts w:hint="eastAsia" w:asciiTheme="minorEastAsia" w:hAnsiTheme="minorEastAsia" w:eastAsiaTheme="minorEastAsia" w:cstheme="minorEastAsia"/>
          <w:bCs/>
          <w:color w:val="auto"/>
          <w:sz w:val="21"/>
          <w:szCs w:val="21"/>
          <w:highlight w:val="none"/>
        </w:rPr>
        <w:t>，本签字代表</w:t>
      </w:r>
      <w:r>
        <w:rPr>
          <w:rFonts w:hint="eastAsia" w:asciiTheme="minorEastAsia" w:hAnsiTheme="minorEastAsia" w:eastAsiaTheme="minorEastAsia" w:cstheme="minorEastAsia"/>
          <w:bCs/>
          <w:color w:val="auto"/>
          <w:sz w:val="21"/>
          <w:szCs w:val="21"/>
          <w:highlight w:val="none"/>
          <w:u w:val="single"/>
        </w:rPr>
        <w:t>（全名、职务）</w:t>
      </w:r>
      <w:r>
        <w:rPr>
          <w:rFonts w:hint="eastAsia" w:asciiTheme="minorEastAsia" w:hAnsiTheme="minorEastAsia" w:eastAsiaTheme="minorEastAsia" w:cstheme="minorEastAsia"/>
          <w:bCs/>
          <w:color w:val="auto"/>
          <w:sz w:val="21"/>
          <w:szCs w:val="21"/>
          <w:highlight w:val="none"/>
        </w:rPr>
        <w:t>代表</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u w:val="single"/>
          <w:lang w:eastAsia="zh-CN"/>
        </w:rPr>
        <w:t>供应商</w:t>
      </w:r>
      <w:r>
        <w:rPr>
          <w:rFonts w:hint="eastAsia" w:asciiTheme="minorEastAsia" w:hAnsiTheme="minorEastAsia" w:eastAsiaTheme="minorEastAsia" w:cstheme="minorEastAsia"/>
          <w:bCs/>
          <w:color w:val="auto"/>
          <w:sz w:val="21"/>
          <w:szCs w:val="21"/>
          <w:highlight w:val="none"/>
          <w:u w:val="single"/>
        </w:rPr>
        <w:t>单位名称、地址）</w:t>
      </w:r>
      <w:r>
        <w:rPr>
          <w:rFonts w:hint="eastAsia" w:asciiTheme="minorEastAsia" w:hAnsiTheme="minorEastAsia" w:eastAsiaTheme="minorEastAsia" w:cstheme="minorEastAsia"/>
          <w:bCs/>
          <w:color w:val="auto"/>
          <w:sz w:val="21"/>
          <w:szCs w:val="21"/>
          <w:highlight w:val="none"/>
        </w:rPr>
        <w:t>提交下述文件正本一份和</w:t>
      </w:r>
      <w:r>
        <w:rPr>
          <w:rFonts w:hint="eastAsia" w:asciiTheme="minorEastAsia" w:hAnsiTheme="minorEastAsia" w:eastAsiaTheme="minorEastAsia" w:cstheme="minorEastAsia"/>
          <w:bCs/>
          <w:color w:val="auto"/>
          <w:sz w:val="21"/>
          <w:szCs w:val="21"/>
          <w:highlight w:val="none"/>
          <w:lang w:eastAsia="zh-CN"/>
        </w:rPr>
        <w:t>副本</w:t>
      </w:r>
      <w:r>
        <w:rPr>
          <w:rFonts w:hint="eastAsia" w:asciiTheme="minorEastAsia" w:hAnsiTheme="minorEastAsia" w:eastAsiaTheme="minorEastAsia" w:cstheme="minorEastAsia"/>
          <w:bCs/>
          <w:color w:val="auto"/>
          <w:sz w:val="21"/>
          <w:szCs w:val="21"/>
          <w:highlight w:val="none"/>
        </w:rPr>
        <w:t>及电子版U盘一个。</w:t>
      </w:r>
    </w:p>
    <w:p w14:paraId="724A92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据此函，签字代表承诺如下内容（本承诺内容为</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基本要求，如不满足或有缺漏项的，视为</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无效）：</w:t>
      </w:r>
    </w:p>
    <w:p w14:paraId="18B57F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1、我们愿意遵守采购比选文件中的各项规定，提供符合采购比选文件所要求的各项服务。</w:t>
      </w:r>
    </w:p>
    <w:p w14:paraId="66352E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2、我们同意本响应文件自响应文件接收截止日起90天内有效。</w:t>
      </w:r>
    </w:p>
    <w:p w14:paraId="2F02A1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3、我们已经详细地阅读了全部采购比选文件及附件，包括澄清及参考文件（若有），我们完全理解并同意放弃对这方面有不明及误解的权利。</w:t>
      </w:r>
    </w:p>
    <w:p w14:paraId="495275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Cs w:val="21"/>
          <w:highlight w:val="none"/>
        </w:rPr>
        <w:t>4.我们同意按贵司的要求提供有关资料，并保证真实性。</w:t>
      </w:r>
    </w:p>
    <w:p w14:paraId="673E02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p>
    <w:p w14:paraId="550AE9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代表签字：</w:t>
      </w:r>
    </w:p>
    <w:p w14:paraId="3CBBF1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（全称并加盖公章）：</w:t>
      </w:r>
    </w:p>
    <w:p w14:paraId="10619E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日期：</w:t>
      </w:r>
    </w:p>
    <w:p w14:paraId="3FA5C895">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sectPr>
          <w:headerReference r:id="rId14"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6306E213">
      <w:pPr>
        <w:pStyle w:val="10"/>
        <w:rPr>
          <w:rFonts w:hint="eastAsia"/>
          <w:color w:val="auto"/>
          <w:highlight w:val="none"/>
        </w:rPr>
      </w:pPr>
    </w:p>
    <w:p w14:paraId="5F7F5FA6">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color w:val="auto"/>
          <w:sz w:val="21"/>
          <w:szCs w:val="21"/>
          <w:highlight w:val="none"/>
        </w:rPr>
        <w:t>格式2</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bCs w:val="0"/>
          <w:color w:val="auto"/>
          <w:sz w:val="21"/>
          <w:szCs w:val="21"/>
          <w:highlight w:val="none"/>
        </w:rPr>
        <w:t>开标一览表</w:t>
      </w:r>
    </w:p>
    <w:p w14:paraId="2DD13AB0">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项目名称：项目编号：</w:t>
      </w:r>
    </w:p>
    <w:tbl>
      <w:tblPr>
        <w:tblStyle w:val="2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5AD6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14EAEEB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总价</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小写</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（元）</w:t>
            </w:r>
          </w:p>
        </w:tc>
        <w:tc>
          <w:tcPr>
            <w:tcW w:w="2823" w:type="dxa"/>
            <w:noWrap/>
            <w:vAlign w:val="center"/>
          </w:tcPr>
          <w:p w14:paraId="1CCC9CE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服务期限</w:t>
            </w:r>
          </w:p>
        </w:tc>
        <w:tc>
          <w:tcPr>
            <w:tcW w:w="1527" w:type="dxa"/>
            <w:noWrap/>
            <w:vAlign w:val="center"/>
          </w:tcPr>
          <w:p w14:paraId="61F803CA">
            <w:pPr>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响应有效期</w:t>
            </w:r>
          </w:p>
        </w:tc>
      </w:tr>
      <w:tr w14:paraId="259F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6E32FC0D">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p>
        </w:tc>
        <w:tc>
          <w:tcPr>
            <w:tcW w:w="2823" w:type="dxa"/>
            <w:noWrap/>
          </w:tcPr>
          <w:p w14:paraId="0ED5290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p>
        </w:tc>
        <w:tc>
          <w:tcPr>
            <w:tcW w:w="1527" w:type="dxa"/>
            <w:noWrap/>
          </w:tcPr>
          <w:p w14:paraId="5A082A09">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90天</w:t>
            </w:r>
          </w:p>
        </w:tc>
      </w:tr>
      <w:tr w14:paraId="0739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14:paraId="6256A707">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总价（大写）：</w:t>
            </w:r>
          </w:p>
        </w:tc>
      </w:tr>
      <w:tr w14:paraId="41A4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14:paraId="00958FD2">
            <w:pPr>
              <w:pStyle w:val="6"/>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是否为符合条件的小微型企业</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是（）；否（）</w:t>
            </w:r>
          </w:p>
        </w:tc>
      </w:tr>
      <w:tr w14:paraId="1D8D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4AAB0767">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是否监狱企业参加采购活动：是（）；否（）</w:t>
            </w:r>
          </w:p>
        </w:tc>
      </w:tr>
      <w:tr w14:paraId="490E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1B24DFEC">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是否为符合条件的残疾人福利性单位：是（）；否（）</w:t>
            </w:r>
          </w:p>
        </w:tc>
      </w:tr>
      <w:tr w14:paraId="5C27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453A0FA8">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备注：（其他需要说明的情形）</w:t>
            </w:r>
          </w:p>
        </w:tc>
      </w:tr>
    </w:tbl>
    <w:p w14:paraId="082CBC27">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highlight w:val="none"/>
        </w:rPr>
      </w:pPr>
    </w:p>
    <w:p w14:paraId="180D579F">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名称：（公章）</w:t>
      </w:r>
    </w:p>
    <w:p w14:paraId="7FFEA3BF">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p w14:paraId="64C622D4">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代表签名：日期：</w:t>
      </w:r>
    </w:p>
    <w:p w14:paraId="24E9C332">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格式3</w:t>
      </w:r>
      <w:r>
        <w:rPr>
          <w:rFonts w:hint="eastAsia" w:ascii="宋体" w:hAnsi="宋体" w:cs="宋体"/>
          <w:b/>
          <w:bCs w:val="0"/>
          <w:color w:val="auto"/>
          <w:kern w:val="2"/>
          <w:sz w:val="21"/>
          <w:szCs w:val="21"/>
          <w:highlight w:val="none"/>
          <w:lang w:val="en-US" w:eastAsia="zh-CN" w:bidi="ar-SA"/>
        </w:rPr>
        <w:t>：响应报价</w:t>
      </w:r>
      <w:r>
        <w:rPr>
          <w:rFonts w:hint="eastAsia" w:ascii="宋体" w:hAnsi="宋体" w:eastAsia="宋体" w:cs="宋体"/>
          <w:b/>
          <w:bCs w:val="0"/>
          <w:color w:val="auto"/>
          <w:kern w:val="2"/>
          <w:sz w:val="21"/>
          <w:szCs w:val="21"/>
          <w:highlight w:val="none"/>
          <w:lang w:val="en-US" w:eastAsia="zh-CN" w:bidi="ar-SA"/>
        </w:rPr>
        <w:t>明细表</w:t>
      </w:r>
    </w:p>
    <w:p w14:paraId="1106D213">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项目名称：项目编号∶</w:t>
      </w:r>
    </w:p>
    <w:tbl>
      <w:tblPr>
        <w:tblStyle w:val="20"/>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14:paraId="7C85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46CEDE7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2803FAD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宋体" w:hAnsi="宋体" w:eastAsia="宋体" w:cs="宋体"/>
                <w:bCs/>
                <w:color w:val="auto"/>
                <w:sz w:val="21"/>
                <w:szCs w:val="21"/>
                <w:highlight w:val="none"/>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088B9776">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72BE6D6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7FB76BA4">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14:paraId="126E410D">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w:t>
            </w:r>
          </w:p>
        </w:tc>
      </w:tr>
      <w:tr w14:paraId="4439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83A638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421FDA5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350E1CF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07494A2">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54ED7E3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6619DC8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14:paraId="7E97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6534D113">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405FDBB4">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60BBEC8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7E07E3A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0DA18AE7">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4BDB3A92">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14:paraId="10F5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B3D65D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1DE0FF59">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1E583C9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A17B3F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1117E2C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71825B2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14:paraId="0F00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72C879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4</w:t>
            </w:r>
          </w:p>
        </w:tc>
        <w:tc>
          <w:tcPr>
            <w:tcW w:w="2340" w:type="dxa"/>
            <w:tcBorders>
              <w:top w:val="single" w:color="auto" w:sz="4" w:space="0"/>
              <w:left w:val="single" w:color="auto" w:sz="4" w:space="0"/>
              <w:bottom w:val="single" w:color="auto" w:sz="4" w:space="0"/>
              <w:right w:val="single" w:color="auto" w:sz="4" w:space="0"/>
            </w:tcBorders>
            <w:noWrap/>
            <w:vAlign w:val="center"/>
          </w:tcPr>
          <w:p w14:paraId="3CF4A9CD">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0C9A0E6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9E0623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3C34403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00954D7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14:paraId="0E24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5C023B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w:t>
            </w:r>
          </w:p>
        </w:tc>
        <w:tc>
          <w:tcPr>
            <w:tcW w:w="2340" w:type="dxa"/>
            <w:tcBorders>
              <w:top w:val="single" w:color="auto" w:sz="4" w:space="0"/>
              <w:left w:val="single" w:color="auto" w:sz="4" w:space="0"/>
              <w:bottom w:val="single" w:color="auto" w:sz="4" w:space="0"/>
              <w:right w:val="single" w:color="auto" w:sz="4" w:space="0"/>
            </w:tcBorders>
            <w:noWrap/>
            <w:vAlign w:val="center"/>
          </w:tcPr>
          <w:p w14:paraId="51C7AC3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Cs/>
                <w:color w:val="auto"/>
                <w:sz w:val="21"/>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5DBB73C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1A6642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70DC1D3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6EF97E07">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14:paraId="74A0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14:paraId="75E2420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总价（大小写）：</w:t>
            </w:r>
          </w:p>
        </w:tc>
      </w:tr>
    </w:tbl>
    <w:p w14:paraId="6212E555">
      <w:pPr>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Cs/>
          <w:color w:val="auto"/>
          <w:sz w:val="21"/>
          <w:szCs w:val="21"/>
          <w:highlight w:val="none"/>
          <w:lang w:eastAsia="zh-CN"/>
        </w:rPr>
      </w:pPr>
    </w:p>
    <w:p w14:paraId="46EDAC2D">
      <w:pPr>
        <w:pStyle w:val="6"/>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名称：（公章）</w:t>
      </w:r>
    </w:p>
    <w:p w14:paraId="1B17E9B9">
      <w:pPr>
        <w:pStyle w:val="6"/>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p>
    <w:p w14:paraId="5B2181E9">
      <w:pPr>
        <w:pStyle w:val="6"/>
        <w:pageBreakBefore w:val="0"/>
        <w:wordWrap/>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代表签名：日期：</w:t>
      </w:r>
    </w:p>
    <w:p w14:paraId="5644B1C1">
      <w:pPr>
        <w:pStyle w:val="10"/>
        <w:rPr>
          <w:rFonts w:hint="eastAsia"/>
          <w:color w:val="auto"/>
          <w:highlight w:val="none"/>
        </w:rPr>
      </w:pPr>
    </w:p>
    <w:p w14:paraId="7FC424A8">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格式4：法定代表人授权委托书</w:t>
      </w:r>
    </w:p>
    <w:p w14:paraId="0F68E2DA">
      <w:pPr>
        <w:jc w:val="center"/>
        <w:rPr>
          <w:color w:val="auto"/>
          <w:highlight w:val="none"/>
        </w:rPr>
      </w:pPr>
      <w:r>
        <w:rPr>
          <w:rFonts w:hint="eastAsia"/>
          <w:color w:val="auto"/>
          <w:highlight w:val="none"/>
        </w:rPr>
        <w:t>法定代表人授权委托书</w:t>
      </w:r>
    </w:p>
    <w:p w14:paraId="668D6679">
      <w:pPr>
        <w:rPr>
          <w:color w:val="auto"/>
          <w:highlight w:val="none"/>
        </w:rPr>
      </w:pPr>
    </w:p>
    <w:p w14:paraId="122D9A3A">
      <w:pPr>
        <w:rPr>
          <w:color w:val="auto"/>
          <w:highlight w:val="none"/>
        </w:rPr>
      </w:pPr>
      <w:r>
        <w:rPr>
          <w:rFonts w:hint="eastAsia"/>
          <w:color w:val="auto"/>
          <w:highlight w:val="none"/>
          <w:u w:val="single"/>
        </w:rPr>
        <w:t>（供应商名称）</w:t>
      </w:r>
      <w:r>
        <w:rPr>
          <w:rFonts w:hint="eastAsia"/>
          <w:color w:val="auto"/>
          <w:highlight w:val="none"/>
        </w:rPr>
        <w:t>法定代表人授权我司员工全权负责项目的一切相关事宜。本授权书于_______年_____月_____日签字生效，特此声明。</w:t>
      </w:r>
    </w:p>
    <w:p w14:paraId="4B3D9761">
      <w:pPr>
        <w:rPr>
          <w:color w:val="auto"/>
          <w:highlight w:val="none"/>
        </w:rPr>
      </w:pPr>
    </w:p>
    <w:p w14:paraId="12028935">
      <w:pPr>
        <w:rPr>
          <w:color w:val="auto"/>
          <w:highlight w:val="none"/>
        </w:rPr>
      </w:pPr>
    </w:p>
    <w:p w14:paraId="74B9C605">
      <w:pPr>
        <w:rPr>
          <w:color w:val="auto"/>
          <w:highlight w:val="none"/>
        </w:rPr>
      </w:pPr>
    </w:p>
    <w:p w14:paraId="71133B6B">
      <w:pPr>
        <w:rPr>
          <w:rFonts w:hint="eastAsia" w:eastAsia="宋体"/>
          <w:color w:val="auto"/>
          <w:highlight w:val="none"/>
          <w:lang w:eastAsia="zh-CN"/>
        </w:rPr>
      </w:pPr>
      <w:r>
        <w:rPr>
          <w:rFonts w:hint="eastAsia"/>
          <w:color w:val="auto"/>
          <w:highlight w:val="none"/>
        </w:rPr>
        <w:t>供应商（公章）：</w:t>
      </w:r>
    </w:p>
    <w:p w14:paraId="6921275A">
      <w:pPr>
        <w:rPr>
          <w:color w:val="auto"/>
          <w:highlight w:val="none"/>
        </w:rPr>
      </w:pPr>
      <w:r>
        <w:rPr>
          <w:rFonts w:hint="eastAsia"/>
          <w:color w:val="auto"/>
          <w:highlight w:val="none"/>
        </w:rPr>
        <w:t>法定代表人签字：（或法人章）</w:t>
      </w:r>
    </w:p>
    <w:p w14:paraId="4EBFA11A">
      <w:pPr>
        <w:rPr>
          <w:color w:val="auto"/>
          <w:highlight w:val="none"/>
        </w:rPr>
      </w:pPr>
      <w:r>
        <w:rPr>
          <w:rFonts w:hint="eastAsia"/>
          <w:color w:val="auto"/>
          <w:highlight w:val="none"/>
        </w:rPr>
        <w:t>被授权人签字：</w:t>
      </w:r>
    </w:p>
    <w:p w14:paraId="5DA9D34F">
      <w:pPr>
        <w:pStyle w:val="10"/>
        <w:ind w:left="0" w:leftChars="0" w:firstLine="0" w:firstLineChars="0"/>
        <w:rPr>
          <w:color w:val="auto"/>
          <w:highlight w:val="none"/>
        </w:rPr>
      </w:pPr>
    </w:p>
    <w:p w14:paraId="5F0FEB61">
      <w:pPr>
        <w:pStyle w:val="10"/>
        <w:ind w:left="0" w:leftChars="0" w:firstLine="0" w:firstLineChars="0"/>
        <w:rPr>
          <w:color w:val="auto"/>
          <w:highlight w:val="none"/>
        </w:rPr>
      </w:pPr>
    </w:p>
    <w:p w14:paraId="7CB6FF8A">
      <w:pPr>
        <w:pStyle w:val="10"/>
        <w:ind w:left="0" w:leftChars="0" w:firstLine="0" w:firstLineChars="0"/>
        <w:rPr>
          <w:rFonts w:ascii="宋体" w:hAnsi="宋体" w:eastAsia="宋体" w:cs="宋体"/>
          <w:color w:val="auto"/>
          <w:highlight w:val="none"/>
        </w:rPr>
      </w:pPr>
      <w:r>
        <w:rPr>
          <w:rFonts w:hint="eastAsia" w:ascii="宋体" w:hAnsi="宋体" w:eastAsia="宋体" w:cs="宋体"/>
          <w:color w:val="auto"/>
          <w:highlight w:val="none"/>
        </w:rPr>
        <w:t>附：法定代表人身份证复印件</w:t>
      </w:r>
    </w:p>
    <w:p w14:paraId="0FBADE21">
      <w:pPr>
        <w:pStyle w:val="10"/>
        <w:ind w:left="0" w:leftChars="0" w:firstLine="0" w:firstLineChars="0"/>
        <w:rPr>
          <w:rFonts w:hint="eastAsia" w:ascii="Times New Roman" w:hAnsi="Times New Roman" w:eastAsia="宋体" w:cs="Times New Roman"/>
          <w:color w:val="auto"/>
          <w:szCs w:val="24"/>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宋体" w:cs="Times New Roman"/>
          <w:color w:val="auto"/>
          <w:szCs w:val="24"/>
          <w:highlight w:val="none"/>
        </w:rPr>
        <w:t>授权委托人身份证复印件</w:t>
      </w:r>
    </w:p>
    <w:p w14:paraId="4976FBFC">
      <w:pPr>
        <w:pStyle w:val="37"/>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格式5：法定代表人身份证明书</w:t>
      </w:r>
    </w:p>
    <w:p w14:paraId="12A3D0C0">
      <w:pPr>
        <w:adjustRightInd w:val="0"/>
        <w:snapToGrid w:val="0"/>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法定代表人身份证明书</w:t>
      </w:r>
    </w:p>
    <w:p w14:paraId="0499EB5D">
      <w:pPr>
        <w:adjustRightInd w:val="0"/>
        <w:snapToGrid w:val="0"/>
        <w:spacing w:line="360" w:lineRule="auto"/>
        <w:rPr>
          <w:rFonts w:asciiTheme="minorEastAsia" w:hAnsiTheme="minorEastAsia" w:eastAsiaTheme="minorEastAsia" w:cstheme="minorEastAsia"/>
          <w:bCs/>
          <w:color w:val="auto"/>
          <w:szCs w:val="21"/>
          <w:highlight w:val="none"/>
        </w:rPr>
      </w:pPr>
    </w:p>
    <w:p w14:paraId="4C15A407">
      <w:pPr>
        <w:adjustRightInd w:val="0"/>
        <w:snapToGrid w:val="0"/>
        <w:spacing w:line="360" w:lineRule="auto"/>
        <w:rPr>
          <w:rFonts w:hint="default" w:asciiTheme="minorEastAsia" w:hAnsiTheme="minorEastAsia" w:eastAsiaTheme="minorEastAsia" w:cstheme="minorEastAsia"/>
          <w:bCs/>
          <w:color w:val="auto"/>
          <w:szCs w:val="21"/>
          <w:highlight w:val="none"/>
          <w:u w:val="single"/>
          <w:lang w:val="en-US" w:eastAsia="zh-CN"/>
        </w:rPr>
      </w:pPr>
      <w:r>
        <w:rPr>
          <w:rFonts w:hint="eastAsia" w:asciiTheme="minorEastAsia" w:hAnsiTheme="minorEastAsia" w:eastAsiaTheme="minorEastAsia" w:cstheme="minorEastAsia"/>
          <w:bCs/>
          <w:color w:val="auto"/>
          <w:szCs w:val="21"/>
          <w:highlight w:val="none"/>
        </w:rPr>
        <w:t>姓名：性别：年龄：职务：</w:t>
      </w:r>
    </w:p>
    <w:p w14:paraId="1FDA88F4">
      <w:pPr>
        <w:adjustRightInd w:val="0"/>
        <w:snapToGrid w:val="0"/>
        <w:spacing w:line="360" w:lineRule="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系</w:t>
      </w:r>
      <w:r>
        <w:rPr>
          <w:rFonts w:hint="eastAsia" w:asciiTheme="minorEastAsia" w:hAnsiTheme="minorEastAsia" w:eastAsiaTheme="minorEastAsia" w:cstheme="minorEastAsia"/>
          <w:bCs/>
          <w:color w:val="auto"/>
          <w:szCs w:val="21"/>
          <w:highlight w:val="none"/>
          <w:u w:val="single"/>
        </w:rPr>
        <w:t>（供应商名称）</w:t>
      </w:r>
      <w:r>
        <w:rPr>
          <w:rFonts w:hint="eastAsia" w:asciiTheme="minorEastAsia" w:hAnsiTheme="minorEastAsia" w:eastAsiaTheme="minorEastAsia" w:cstheme="minorEastAsia"/>
          <w:bCs/>
          <w:color w:val="auto"/>
          <w:szCs w:val="21"/>
          <w:highlight w:val="none"/>
        </w:rPr>
        <w:t>的法定代表人。</w:t>
      </w:r>
    </w:p>
    <w:p w14:paraId="0F9E8E1C">
      <w:pPr>
        <w:adjustRightInd w:val="0"/>
        <w:snapToGrid w:val="0"/>
        <w:spacing w:line="360" w:lineRule="auto"/>
        <w:rPr>
          <w:rFonts w:asciiTheme="minorEastAsia" w:hAnsiTheme="minorEastAsia" w:eastAsiaTheme="minorEastAsia" w:cstheme="minorEastAsia"/>
          <w:bCs/>
          <w:color w:val="auto"/>
          <w:szCs w:val="21"/>
          <w:highlight w:val="none"/>
        </w:rPr>
      </w:pPr>
    </w:p>
    <w:p w14:paraId="54CF67D2">
      <w:pPr>
        <w:adjustRightInd w:val="0"/>
        <w:snapToGrid w:val="0"/>
        <w:spacing w:line="360" w:lineRule="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特此证明。</w:t>
      </w:r>
    </w:p>
    <w:p w14:paraId="09B9E9A0">
      <w:pPr>
        <w:adjustRightInd w:val="0"/>
        <w:snapToGrid w:val="0"/>
        <w:spacing w:line="360" w:lineRule="auto"/>
        <w:rPr>
          <w:rFonts w:asciiTheme="minorEastAsia" w:hAnsiTheme="minorEastAsia" w:eastAsiaTheme="minorEastAsia" w:cstheme="minorEastAsia"/>
          <w:bCs/>
          <w:color w:val="auto"/>
          <w:szCs w:val="21"/>
          <w:highlight w:val="none"/>
        </w:rPr>
      </w:pPr>
    </w:p>
    <w:p w14:paraId="6BFC16B5">
      <w:pPr>
        <w:adjustRightInd w:val="0"/>
        <w:snapToGrid w:val="0"/>
        <w:spacing w:line="360" w:lineRule="auto"/>
        <w:rPr>
          <w:rFonts w:asciiTheme="minorEastAsia" w:hAnsiTheme="minorEastAsia" w:eastAsiaTheme="minorEastAsia" w:cstheme="minorEastAsia"/>
          <w:bCs/>
          <w:color w:val="auto"/>
          <w:szCs w:val="21"/>
          <w:highlight w:val="none"/>
        </w:rPr>
      </w:pPr>
    </w:p>
    <w:p w14:paraId="53E703D1">
      <w:pPr>
        <w:adjustRightInd w:val="0"/>
        <w:snapToGrid w:val="0"/>
        <w:spacing w:line="360" w:lineRule="auto"/>
        <w:rPr>
          <w:rFonts w:asciiTheme="minorEastAsia" w:hAnsiTheme="minorEastAsia" w:eastAsiaTheme="minorEastAsia" w:cstheme="minorEastAsia"/>
          <w:bCs/>
          <w:color w:val="auto"/>
          <w:szCs w:val="21"/>
          <w:highlight w:val="none"/>
        </w:rPr>
      </w:pPr>
    </w:p>
    <w:p w14:paraId="7D27DE5C">
      <w:pPr>
        <w:adjustRightInd w:val="0"/>
        <w:snapToGrid w:val="0"/>
        <w:spacing w:line="360" w:lineRule="auto"/>
        <w:rPr>
          <w:rFonts w:asciiTheme="minorEastAsia" w:hAnsiTheme="minorEastAsia" w:eastAsiaTheme="minorEastAsia" w:cstheme="minorEastAsia"/>
          <w:bCs/>
          <w:color w:val="auto"/>
          <w:szCs w:val="21"/>
          <w:highlight w:val="none"/>
        </w:rPr>
      </w:pPr>
    </w:p>
    <w:p w14:paraId="43C5BCF3">
      <w:pPr>
        <w:adjustRightInd w:val="0"/>
        <w:snapToGrid w:val="0"/>
        <w:spacing w:line="360" w:lineRule="auto"/>
        <w:rPr>
          <w:rFonts w:asciiTheme="minorEastAsia" w:hAnsiTheme="minorEastAsia" w:eastAsiaTheme="minorEastAsia" w:cstheme="minorEastAsia"/>
          <w:bCs/>
          <w:color w:val="auto"/>
          <w:szCs w:val="21"/>
          <w:highlight w:val="none"/>
        </w:rPr>
      </w:pPr>
    </w:p>
    <w:p w14:paraId="4AF2FE5A">
      <w:pPr>
        <w:adjustRightInd w:val="0"/>
        <w:snapToGrid w:val="0"/>
        <w:spacing w:line="360" w:lineRule="auto"/>
        <w:rPr>
          <w:rFonts w:asciiTheme="minorEastAsia" w:hAnsiTheme="minorEastAsia" w:eastAsiaTheme="minorEastAsia" w:cstheme="minorEastAsia"/>
          <w:bCs/>
          <w:color w:val="auto"/>
          <w:szCs w:val="21"/>
          <w:highlight w:val="none"/>
        </w:rPr>
      </w:pPr>
    </w:p>
    <w:p w14:paraId="4443CF2B">
      <w:pPr>
        <w:adjustRightInd w:val="0"/>
        <w:snapToGrid w:val="0"/>
        <w:spacing w:line="360" w:lineRule="auto"/>
        <w:rPr>
          <w:rFonts w:asciiTheme="minorEastAsia" w:hAnsiTheme="minorEastAsia" w:eastAsiaTheme="minorEastAsia" w:cstheme="minorEastAsia"/>
          <w:bCs/>
          <w:color w:val="auto"/>
          <w:szCs w:val="21"/>
          <w:highlight w:val="none"/>
        </w:rPr>
      </w:pPr>
    </w:p>
    <w:p w14:paraId="731F822B">
      <w:pPr>
        <w:adjustRightInd w:val="0"/>
        <w:snapToGrid w:val="0"/>
        <w:spacing w:line="360" w:lineRule="auto"/>
        <w:rPr>
          <w:rFonts w:asciiTheme="minorEastAsia" w:hAnsiTheme="minorEastAsia" w:eastAsiaTheme="minorEastAsia" w:cstheme="minorEastAsia"/>
          <w:bCs/>
          <w:color w:val="auto"/>
          <w:szCs w:val="21"/>
          <w:highlight w:val="none"/>
        </w:rPr>
      </w:pPr>
    </w:p>
    <w:p w14:paraId="4197B091">
      <w:pPr>
        <w:adjustRightInd w:val="0"/>
        <w:snapToGrid w:val="0"/>
        <w:spacing w:line="360" w:lineRule="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供应商（公章）：</w:t>
      </w:r>
    </w:p>
    <w:p w14:paraId="1B75A5A0">
      <w:pPr>
        <w:adjustRightInd w:val="0"/>
        <w:snapToGrid w:val="0"/>
        <w:spacing w:line="360" w:lineRule="auto"/>
        <w:rPr>
          <w:rFonts w:asciiTheme="minorEastAsia" w:hAnsiTheme="minorEastAsia" w:eastAsiaTheme="minorEastAsia" w:cstheme="minorEastAsia"/>
          <w:bCs/>
          <w:color w:val="auto"/>
          <w:szCs w:val="21"/>
          <w:highlight w:val="none"/>
        </w:rPr>
      </w:pPr>
    </w:p>
    <w:p w14:paraId="5A658D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lang w:eastAsia="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Cs w:val="21"/>
          <w:highlight w:val="none"/>
        </w:rPr>
        <w:t>日期：</w:t>
      </w:r>
    </w:p>
    <w:p w14:paraId="2C228065">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p>
    <w:p w14:paraId="681148C0">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color w:val="auto"/>
          <w:sz w:val="21"/>
          <w:szCs w:val="21"/>
          <w:highlight w:val="none"/>
        </w:rPr>
        <w:t>格式6：</w:t>
      </w:r>
      <w:r>
        <w:rPr>
          <w:rFonts w:hint="eastAsia" w:ascii="宋体" w:hAnsi="宋体" w:eastAsia="宋体" w:cs="宋体"/>
          <w:b/>
          <w:bCs/>
          <w:color w:val="auto"/>
          <w:spacing w:val="0"/>
          <w:w w:val="100"/>
          <w:position w:val="0"/>
          <w:sz w:val="21"/>
          <w:szCs w:val="21"/>
          <w:highlight w:val="none"/>
        </w:rPr>
        <w:t>资格承诺函</w:t>
      </w:r>
    </w:p>
    <w:p w14:paraId="2EE8C6F2">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highlight w:val="none"/>
        </w:rPr>
      </w:pPr>
    </w:p>
    <w:p w14:paraId="69EDA234">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致：</w:t>
      </w:r>
      <w:r>
        <w:rPr>
          <w:rFonts w:hint="eastAsia" w:ascii="宋体" w:hAnsi="宋体" w:eastAsia="宋体" w:cs="宋体"/>
          <w:color w:val="auto"/>
          <w:spacing w:val="0"/>
          <w:w w:val="100"/>
          <w:position w:val="0"/>
          <w:sz w:val="21"/>
          <w:szCs w:val="21"/>
          <w:highlight w:val="none"/>
          <w:u w:val="single"/>
        </w:rPr>
        <w:t>（采购人）</w:t>
      </w:r>
    </w:p>
    <w:p w14:paraId="77BF9DD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我单位参与</w:t>
      </w:r>
      <w:r>
        <w:rPr>
          <w:rFonts w:hint="eastAsia" w:ascii="宋体" w:hAnsi="宋体" w:eastAsia="宋体" w:cs="宋体"/>
          <w:color w:val="auto"/>
          <w:spacing w:val="0"/>
          <w:w w:val="100"/>
          <w:position w:val="0"/>
          <w:sz w:val="21"/>
          <w:szCs w:val="21"/>
          <w:highlight w:val="none"/>
          <w:u w:val="single"/>
        </w:rPr>
        <w:t>（项目名称）（项目编号：）</w:t>
      </w:r>
      <w:r>
        <w:rPr>
          <w:rFonts w:hint="eastAsia" w:ascii="宋体" w:hAnsi="宋体" w:eastAsia="宋体" w:cs="宋体"/>
          <w:color w:val="auto"/>
          <w:spacing w:val="0"/>
          <w:w w:val="100"/>
          <w:position w:val="0"/>
          <w:sz w:val="21"/>
          <w:szCs w:val="21"/>
          <w:highlight w:val="none"/>
        </w:rPr>
        <w:t>项目的采购活动，现承诺如下：</w:t>
      </w:r>
    </w:p>
    <w:p w14:paraId="127CB30F">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我单位具有符合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规定的良好的商业信誉和健全</w:t>
      </w:r>
      <w:r>
        <w:rPr>
          <w:rFonts w:hint="eastAsia" w:ascii="宋体" w:hAnsi="宋体" w:eastAsia="宋体" w:cs="宋体"/>
          <w:color w:val="auto"/>
          <w:spacing w:val="0"/>
          <w:w w:val="100"/>
          <w:position w:val="0"/>
          <w:sz w:val="21"/>
          <w:szCs w:val="21"/>
          <w:highlight w:val="none"/>
        </w:rPr>
        <w:t>的财务</w:t>
      </w:r>
      <w:r>
        <w:rPr>
          <w:rFonts w:hint="eastAsia" w:ascii="宋体" w:hAnsi="宋体" w:eastAsia="宋体" w:cs="宋体"/>
          <w:color w:val="auto"/>
          <w:spacing w:val="0"/>
          <w:w w:val="100"/>
          <w:position w:val="0"/>
          <w:sz w:val="21"/>
          <w:szCs w:val="21"/>
          <w:highlight w:val="none"/>
          <w:lang w:eastAsia="zh-CN"/>
        </w:rPr>
        <w:t>会计制度</w:t>
      </w:r>
      <w:r>
        <w:rPr>
          <w:rFonts w:hint="eastAsia" w:ascii="宋体" w:hAnsi="宋体" w:eastAsia="宋体" w:cs="宋体"/>
          <w:color w:val="auto"/>
          <w:spacing w:val="0"/>
          <w:w w:val="100"/>
          <w:position w:val="0"/>
          <w:sz w:val="21"/>
          <w:szCs w:val="21"/>
          <w:highlight w:val="none"/>
        </w:rPr>
        <w:t>。</w:t>
      </w:r>
    </w:p>
    <w:p w14:paraId="66D83DEE">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2.我单位具有</w:t>
      </w:r>
      <w:r>
        <w:rPr>
          <w:rFonts w:hint="eastAsia" w:ascii="宋体" w:hAnsi="宋体" w:eastAsia="宋体" w:cs="宋体"/>
          <w:color w:val="auto"/>
          <w:spacing w:val="0"/>
          <w:w w:val="100"/>
          <w:position w:val="0"/>
          <w:sz w:val="21"/>
          <w:szCs w:val="21"/>
          <w:highlight w:val="none"/>
        </w:rPr>
        <w:t>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规定的</w:t>
      </w:r>
      <w:r>
        <w:rPr>
          <w:rFonts w:hint="eastAsia" w:ascii="宋体" w:hAnsi="宋体" w:eastAsia="宋体" w:cs="宋体"/>
          <w:color w:val="auto"/>
          <w:spacing w:val="0"/>
          <w:w w:val="100"/>
          <w:position w:val="0"/>
          <w:sz w:val="21"/>
          <w:szCs w:val="21"/>
          <w:highlight w:val="none"/>
          <w:lang w:val="en-US" w:eastAsia="zh-CN"/>
        </w:rPr>
        <w:t>履行合同所必需的设备和专业技术能力。</w:t>
      </w:r>
    </w:p>
    <w:p w14:paraId="23B33FEF">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.我单位具有符合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w:t>
      </w:r>
      <w:r>
        <w:rPr>
          <w:rFonts w:hint="eastAsia" w:ascii="宋体" w:hAnsi="宋体" w:eastAsia="宋体" w:cs="宋体"/>
          <w:color w:val="auto"/>
          <w:spacing w:val="0"/>
          <w:w w:val="100"/>
          <w:position w:val="0"/>
          <w:sz w:val="21"/>
          <w:szCs w:val="21"/>
          <w:highlight w:val="none"/>
        </w:rPr>
        <w:t>的依法缴纳税收和社会保障资金的相关证明材料。</w:t>
      </w:r>
    </w:p>
    <w:p w14:paraId="567BCAD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.我</w:t>
      </w:r>
      <w:r>
        <w:rPr>
          <w:rFonts w:hint="eastAsia" w:ascii="宋体" w:hAnsi="宋体" w:eastAsia="宋体" w:cs="宋体"/>
          <w:color w:val="auto"/>
          <w:spacing w:val="0"/>
          <w:w w:val="100"/>
          <w:position w:val="0"/>
          <w:sz w:val="21"/>
          <w:szCs w:val="21"/>
          <w:highlight w:val="none"/>
          <w:lang w:eastAsia="zh-CN"/>
        </w:rPr>
        <w:t>单位</w:t>
      </w:r>
      <w:r>
        <w:rPr>
          <w:rFonts w:hint="eastAsia" w:ascii="宋体" w:hAnsi="宋体" w:eastAsia="宋体" w:cs="宋体"/>
          <w:color w:val="auto"/>
          <w:spacing w:val="0"/>
          <w:w w:val="100"/>
          <w:position w:val="0"/>
          <w:sz w:val="21"/>
          <w:szCs w:val="21"/>
          <w:highlight w:val="none"/>
        </w:rPr>
        <w:t>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w:t>
      </w:r>
      <w:r>
        <w:rPr>
          <w:rFonts w:hint="eastAsia" w:ascii="宋体" w:hAnsi="宋体" w:eastAsia="宋体" w:cs="宋体"/>
          <w:color w:val="auto"/>
          <w:spacing w:val="0"/>
          <w:w w:val="100"/>
          <w:position w:val="0"/>
          <w:sz w:val="21"/>
          <w:szCs w:val="21"/>
          <w:highlight w:val="none"/>
        </w:rPr>
        <w:t>的</w:t>
      </w:r>
      <w:r>
        <w:rPr>
          <w:rFonts w:hint="eastAsia" w:ascii="宋体" w:hAnsi="宋体" w:eastAsia="宋体" w:cs="宋体"/>
          <w:color w:val="auto"/>
          <w:spacing w:val="0"/>
          <w:w w:val="100"/>
          <w:position w:val="0"/>
          <w:sz w:val="21"/>
          <w:szCs w:val="21"/>
          <w:highlight w:val="none"/>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highlight w:val="none"/>
        </w:rPr>
        <w:t>。</w:t>
      </w:r>
    </w:p>
    <w:p w14:paraId="192045B9">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5</w:t>
      </w:r>
      <w:r>
        <w:rPr>
          <w:rFonts w:hint="eastAsia" w:ascii="宋体" w:hAnsi="宋体" w:eastAsia="宋体" w:cs="宋体"/>
          <w:color w:val="auto"/>
          <w:spacing w:val="0"/>
          <w:w w:val="100"/>
          <w:position w:val="0"/>
          <w:sz w:val="21"/>
          <w:szCs w:val="21"/>
          <w:highlight w:val="none"/>
        </w:rPr>
        <w:t>.如违反上述承诺，同意将相关失信行为纳入海口市信用信息共享平台。</w:t>
      </w:r>
    </w:p>
    <w:p w14:paraId="3171DF0A">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.同意此承诺书在</w:t>
      </w:r>
      <w:r>
        <w:rPr>
          <w:rFonts w:hint="eastAsia" w:ascii="宋体" w:hAnsi="宋体" w:eastAsia="宋体" w:cs="宋体"/>
          <w:color w:val="auto"/>
          <w:spacing w:val="0"/>
          <w:w w:val="100"/>
          <w:position w:val="0"/>
          <w:sz w:val="21"/>
          <w:szCs w:val="21"/>
          <w:highlight w:val="none"/>
          <w:lang w:eastAsia="zh-CN"/>
        </w:rPr>
        <w:t>市公共资源中心的政府采购信息发布平台</w:t>
      </w:r>
      <w:r>
        <w:rPr>
          <w:rFonts w:hint="eastAsia" w:ascii="宋体" w:hAnsi="宋体" w:eastAsia="宋体" w:cs="宋体"/>
          <w:color w:val="auto"/>
          <w:spacing w:val="0"/>
          <w:w w:val="100"/>
          <w:position w:val="0"/>
          <w:sz w:val="21"/>
          <w:szCs w:val="21"/>
          <w:highlight w:val="none"/>
        </w:rPr>
        <w:t>公示，接受社会各界监督。</w:t>
      </w:r>
    </w:p>
    <w:p w14:paraId="369AC589">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若我单位以上承诺不实，自愿承担提供虚假材料谋取</w:t>
      </w:r>
      <w:r>
        <w:rPr>
          <w:rFonts w:hint="eastAsia" w:ascii="宋体" w:hAnsi="宋体" w:cs="宋体"/>
          <w:color w:val="auto"/>
          <w:spacing w:val="0"/>
          <w:w w:val="100"/>
          <w:position w:val="0"/>
          <w:sz w:val="21"/>
          <w:szCs w:val="21"/>
          <w:highlight w:val="none"/>
          <w:lang w:eastAsia="zh-CN"/>
        </w:rPr>
        <w:t>成交</w:t>
      </w:r>
      <w:r>
        <w:rPr>
          <w:rFonts w:hint="eastAsia" w:ascii="宋体" w:hAnsi="宋体" w:eastAsia="宋体" w:cs="宋体"/>
          <w:color w:val="auto"/>
          <w:spacing w:val="0"/>
          <w:w w:val="100"/>
          <w:position w:val="0"/>
          <w:sz w:val="21"/>
          <w:szCs w:val="21"/>
          <w:highlight w:val="none"/>
        </w:rPr>
        <w:t>、成交的法律责任。</w:t>
      </w:r>
    </w:p>
    <w:p w14:paraId="05E26E49">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highlight w:val="none"/>
        </w:rPr>
      </w:pPr>
    </w:p>
    <w:p w14:paraId="773B697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承诺供应商（全称并加盖公章）：</w:t>
      </w:r>
    </w:p>
    <w:p w14:paraId="37070D11">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单位负责人或授权代表（签字）：</w:t>
      </w:r>
    </w:p>
    <w:p w14:paraId="7B325BC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pacing w:val="0"/>
          <w:w w:val="100"/>
          <w:position w:val="0"/>
          <w:sz w:val="21"/>
          <w:szCs w:val="21"/>
          <w:highlight w:val="none"/>
        </w:rPr>
        <w:t>日期：</w:t>
      </w:r>
    </w:p>
    <w:p w14:paraId="165FE370">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附件</w:t>
      </w:r>
      <w:r>
        <w:rPr>
          <w:rFonts w:hint="eastAsia" w:asciiTheme="minorEastAsia" w:hAnsiTheme="minorEastAsia" w:eastAsiaTheme="minorEastAsia" w:cstheme="minorEastAsia"/>
          <w:b/>
          <w:color w:val="auto"/>
          <w:sz w:val="21"/>
          <w:szCs w:val="21"/>
          <w:highlight w:val="none"/>
          <w:lang w:val="en-US" w:eastAsia="zh-CN"/>
        </w:rPr>
        <w:t>2</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中小企业声明函（服务类）</w:t>
      </w:r>
    </w:p>
    <w:p w14:paraId="71E6D156">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w:t>
      </w:r>
    </w:p>
    <w:p w14:paraId="4484B6CC">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本公司郑重声明，根据《政府采购促进中小企业发展管理办法》（财库﹝2020﹞46号）的规定，本公司参加</w:t>
      </w:r>
      <w:r>
        <w:rPr>
          <w:rFonts w:hint="eastAsia" w:asciiTheme="minorEastAsia" w:hAnsiTheme="minorEastAsia" w:eastAsiaTheme="minorEastAsia" w:cstheme="minorEastAsia"/>
          <w:bCs/>
          <w:color w:val="auto"/>
          <w:sz w:val="21"/>
          <w:szCs w:val="21"/>
          <w:highlight w:val="none"/>
          <w:u w:val="single"/>
        </w:rPr>
        <w:t>（单位名称）</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u w:val="single"/>
        </w:rPr>
        <w:t>（项目名称、项目编号、包号）</w:t>
      </w:r>
      <w:r>
        <w:rPr>
          <w:rFonts w:hint="eastAsia" w:asciiTheme="minorEastAsia" w:hAnsiTheme="minorEastAsia" w:eastAsiaTheme="minorEastAsia" w:cstheme="minorEastAsia"/>
          <w:bCs/>
          <w:color w:val="auto"/>
          <w:sz w:val="21"/>
          <w:szCs w:val="21"/>
          <w:highlight w:val="none"/>
        </w:rPr>
        <w:t>采购活动，服务全部由符合政策要求的中小企业承接。相关企业的具体情况如下：</w:t>
      </w:r>
    </w:p>
    <w:p w14:paraId="1D272F37">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u w:val="single"/>
        </w:rPr>
        <w:t>（标的名称）</w:t>
      </w:r>
      <w:r>
        <w:rPr>
          <w:rFonts w:hint="eastAsia" w:asciiTheme="minorEastAsia" w:hAnsiTheme="minorEastAsia" w:eastAsiaTheme="minorEastAsia" w:cstheme="minorEastAsia"/>
          <w:bCs/>
          <w:color w:val="auto"/>
          <w:sz w:val="21"/>
          <w:szCs w:val="21"/>
          <w:highlight w:val="none"/>
        </w:rPr>
        <w:t>，属于</w:t>
      </w:r>
      <w:r>
        <w:rPr>
          <w:rFonts w:hint="eastAsia" w:asciiTheme="minorEastAsia" w:hAnsiTheme="minorEastAsia" w:eastAsiaTheme="minorEastAsia" w:cstheme="minorEastAsia"/>
          <w:bCs/>
          <w:color w:val="auto"/>
          <w:sz w:val="21"/>
          <w:szCs w:val="21"/>
          <w:highlight w:val="none"/>
          <w:u w:val="single"/>
        </w:rPr>
        <w:t>（采购文件中明确的所属行业）</w:t>
      </w:r>
      <w:r>
        <w:rPr>
          <w:rFonts w:hint="eastAsia" w:asciiTheme="minorEastAsia" w:hAnsiTheme="minorEastAsia" w:eastAsiaTheme="minorEastAsia" w:cstheme="minorEastAsia"/>
          <w:bCs/>
          <w:color w:val="auto"/>
          <w:sz w:val="21"/>
          <w:szCs w:val="21"/>
          <w:highlight w:val="none"/>
        </w:rPr>
        <w:t>；承接企业为</w:t>
      </w:r>
      <w:r>
        <w:rPr>
          <w:rFonts w:hint="eastAsia" w:asciiTheme="minorEastAsia" w:hAnsiTheme="minorEastAsia" w:eastAsiaTheme="minorEastAsia" w:cstheme="minorEastAsia"/>
          <w:bCs/>
          <w:color w:val="auto"/>
          <w:sz w:val="21"/>
          <w:szCs w:val="21"/>
          <w:highlight w:val="none"/>
          <w:u w:val="single"/>
        </w:rPr>
        <w:t>（企业名称）</w:t>
      </w:r>
      <w:r>
        <w:rPr>
          <w:rFonts w:hint="eastAsia" w:asciiTheme="minorEastAsia" w:hAnsiTheme="minorEastAsia" w:eastAsiaTheme="minorEastAsia" w:cstheme="minorEastAsia"/>
          <w:bCs/>
          <w:color w:val="auto"/>
          <w:sz w:val="21"/>
          <w:szCs w:val="21"/>
          <w:highlight w:val="none"/>
        </w:rPr>
        <w:t>，从业人员人，营业收入为万元，资产总额为万元，属于</w:t>
      </w:r>
      <w:r>
        <w:rPr>
          <w:rFonts w:hint="eastAsia" w:asciiTheme="minorEastAsia" w:hAnsiTheme="minorEastAsia" w:eastAsiaTheme="minorEastAsia" w:cstheme="minorEastAsia"/>
          <w:bCs/>
          <w:color w:val="auto"/>
          <w:sz w:val="21"/>
          <w:szCs w:val="21"/>
          <w:highlight w:val="none"/>
          <w:u w:val="single"/>
        </w:rPr>
        <w:t>（中型企业、小型企业、微型企业）</w:t>
      </w:r>
      <w:r>
        <w:rPr>
          <w:rFonts w:hint="eastAsia" w:asciiTheme="minorEastAsia" w:hAnsiTheme="minorEastAsia" w:eastAsiaTheme="minorEastAsia" w:cstheme="minorEastAsia"/>
          <w:bCs/>
          <w:color w:val="auto"/>
          <w:sz w:val="21"/>
          <w:szCs w:val="21"/>
          <w:highlight w:val="none"/>
        </w:rPr>
        <w:t>；</w:t>
      </w:r>
    </w:p>
    <w:p w14:paraId="2D0BC2F4">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u w:val="single"/>
        </w:rPr>
        <w:t>（标的名称）</w:t>
      </w:r>
      <w:r>
        <w:rPr>
          <w:rFonts w:hint="eastAsia" w:asciiTheme="minorEastAsia" w:hAnsiTheme="minorEastAsia" w:eastAsiaTheme="minorEastAsia" w:cstheme="minorEastAsia"/>
          <w:bCs/>
          <w:color w:val="auto"/>
          <w:sz w:val="21"/>
          <w:szCs w:val="21"/>
          <w:highlight w:val="none"/>
        </w:rPr>
        <w:t>，属于</w:t>
      </w:r>
      <w:r>
        <w:rPr>
          <w:rFonts w:hint="eastAsia" w:asciiTheme="minorEastAsia" w:hAnsiTheme="minorEastAsia" w:eastAsiaTheme="minorEastAsia" w:cstheme="minorEastAsia"/>
          <w:bCs/>
          <w:color w:val="auto"/>
          <w:sz w:val="21"/>
          <w:szCs w:val="21"/>
          <w:highlight w:val="none"/>
          <w:u w:val="single"/>
        </w:rPr>
        <w:t>（采购文件中明确的所属行业）</w:t>
      </w:r>
      <w:r>
        <w:rPr>
          <w:rFonts w:hint="eastAsia" w:asciiTheme="minorEastAsia" w:hAnsiTheme="minorEastAsia" w:eastAsiaTheme="minorEastAsia" w:cstheme="minorEastAsia"/>
          <w:bCs/>
          <w:color w:val="auto"/>
          <w:sz w:val="21"/>
          <w:szCs w:val="21"/>
          <w:highlight w:val="none"/>
        </w:rPr>
        <w:t>；承接企业为</w:t>
      </w:r>
      <w:r>
        <w:rPr>
          <w:rFonts w:hint="eastAsia" w:asciiTheme="minorEastAsia" w:hAnsiTheme="minorEastAsia" w:eastAsiaTheme="minorEastAsia" w:cstheme="minorEastAsia"/>
          <w:bCs/>
          <w:color w:val="auto"/>
          <w:sz w:val="21"/>
          <w:szCs w:val="21"/>
          <w:highlight w:val="none"/>
          <w:u w:val="single"/>
        </w:rPr>
        <w:t>（企业名称）</w:t>
      </w:r>
      <w:r>
        <w:rPr>
          <w:rFonts w:hint="eastAsia" w:asciiTheme="minorEastAsia" w:hAnsiTheme="minorEastAsia" w:eastAsiaTheme="minorEastAsia" w:cstheme="minorEastAsia"/>
          <w:bCs/>
          <w:color w:val="auto"/>
          <w:sz w:val="21"/>
          <w:szCs w:val="21"/>
          <w:highlight w:val="none"/>
        </w:rPr>
        <w:t>，从业人员人，营业收入为万元，资产总额为万元，属于</w:t>
      </w:r>
      <w:r>
        <w:rPr>
          <w:rFonts w:hint="eastAsia" w:asciiTheme="minorEastAsia" w:hAnsiTheme="minorEastAsia" w:eastAsiaTheme="minorEastAsia" w:cstheme="minorEastAsia"/>
          <w:bCs/>
          <w:color w:val="auto"/>
          <w:sz w:val="21"/>
          <w:szCs w:val="21"/>
          <w:highlight w:val="none"/>
          <w:u w:val="single"/>
        </w:rPr>
        <w:t>（中型企业、小型企业、微型企业）</w:t>
      </w:r>
      <w:r>
        <w:rPr>
          <w:rFonts w:hint="eastAsia" w:asciiTheme="minorEastAsia" w:hAnsiTheme="minorEastAsia" w:eastAsiaTheme="minorEastAsia" w:cstheme="minorEastAsia"/>
          <w:bCs/>
          <w:color w:val="auto"/>
          <w:sz w:val="21"/>
          <w:szCs w:val="21"/>
          <w:highlight w:val="none"/>
        </w:rPr>
        <w:t>；</w:t>
      </w:r>
    </w:p>
    <w:p w14:paraId="434962F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p>
    <w:p w14:paraId="469D6ECF">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以上企业，不属于大企业的分支机构，不存在控股股东为大企业的情形，也不存在与大企业的负责人为同一人的情形。</w:t>
      </w:r>
    </w:p>
    <w:p w14:paraId="661E961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本企业对上述声明内容的真实性负责。如有虚假，将依法承担相应责任。</w:t>
      </w:r>
    </w:p>
    <w:p w14:paraId="0F5B324C">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highlight w:val="none"/>
        </w:rPr>
      </w:pPr>
    </w:p>
    <w:p w14:paraId="53405073">
      <w:pPr>
        <w:pStyle w:val="6"/>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名称（盖章）：</w:t>
      </w:r>
    </w:p>
    <w:p w14:paraId="61B5CB65">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日期：</w:t>
      </w:r>
    </w:p>
    <w:p w14:paraId="757030CC">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p>
    <w:p w14:paraId="1F110B90">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w:t>
      </w:r>
    </w:p>
    <w:p w14:paraId="23BF75A9">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①从业人员、营业收入、资产总额填报上一年度数据，无上一年度数据的新成立企业可不填报。</w:t>
      </w:r>
    </w:p>
    <w:p w14:paraId="2BF1E37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rPr>
        <w:t>②供应商提供《中小企业声明函》内容不实的，属于“隐瞒真实情况，提供虚假资料的”情形，依照有关规定追究相应责任。</w:t>
      </w:r>
    </w:p>
    <w:p w14:paraId="39CCD89B">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附件3：监狱企业证明文件</w:t>
      </w:r>
    </w:p>
    <w:p w14:paraId="658B688F">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highlight w:val="none"/>
          <w:lang w:val="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lang w:val="zh-CN"/>
        </w:rPr>
        <w:t>享受</w:t>
      </w:r>
      <w:r>
        <w:rPr>
          <w:rFonts w:hint="eastAsia"/>
          <w:color w:val="auto"/>
          <w:sz w:val="21"/>
          <w:szCs w:val="21"/>
          <w:highlight w:val="none"/>
          <w:lang w:val="zh-CN"/>
        </w:rPr>
        <w:t>政策优惠的监狱企业须提供由省级以上监狱管理局、戒毒管理局（含新疆生产建设兵团）出具的属于监狱企业的证明文件。</w:t>
      </w:r>
    </w:p>
    <w:p w14:paraId="405B3B08">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附件4</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残疾人福利性单位声明函</w:t>
      </w:r>
    </w:p>
    <w:p w14:paraId="096A610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p>
    <w:p w14:paraId="0756B4F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单位的</w:t>
      </w:r>
      <w:r>
        <w:rPr>
          <w:rFonts w:hint="eastAsia" w:asciiTheme="minorEastAsia" w:hAnsiTheme="minorEastAsia" w:eastAsiaTheme="minorEastAsia" w:cstheme="minorEastAsia"/>
          <w:bCs/>
          <w:color w:val="auto"/>
          <w:sz w:val="21"/>
          <w:szCs w:val="21"/>
          <w:highlight w:val="none"/>
          <w:u w:val="single"/>
        </w:rPr>
        <w:t>（项目名称、项目编号、包号）</w:t>
      </w:r>
      <w:r>
        <w:rPr>
          <w:rFonts w:hint="eastAsia" w:asciiTheme="minorEastAsia" w:hAnsiTheme="minorEastAsia" w:eastAsiaTheme="minorEastAsia" w:cs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 </w:t>
      </w:r>
    </w:p>
    <w:p w14:paraId="18D5CB11">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本单位对上述声明的真实性负责。如有虚假，将依法承担相应责任。</w:t>
      </w:r>
    </w:p>
    <w:p w14:paraId="1796FD66">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highlight w:val="none"/>
        </w:rPr>
      </w:pPr>
    </w:p>
    <w:p w14:paraId="7C443852">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highlight w:val="none"/>
        </w:rPr>
      </w:pPr>
    </w:p>
    <w:p w14:paraId="3D48CC4E">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单位名称（盖章）：　　　　　　　　</w:t>
      </w:r>
    </w:p>
    <w:p w14:paraId="2FF4FCAF">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日期：</w:t>
      </w:r>
    </w:p>
    <w:p w14:paraId="1D350D46">
      <w:pPr>
        <w:pStyle w:val="15"/>
        <w:rPr>
          <w:rFonts w:hint="eastAsia" w:ascii="宋体" w:hAnsi="宋体" w:eastAsia="宋体" w:cs="宋体"/>
          <w:b w:val="0"/>
          <w:bCs/>
          <w:color w:val="auto"/>
          <w:sz w:val="21"/>
          <w:szCs w:val="21"/>
          <w:highlight w:val="none"/>
        </w:rPr>
      </w:pPr>
    </w:p>
    <w:p w14:paraId="7F49D9B4">
      <w:pPr>
        <w:rPr>
          <w:rFonts w:hint="eastAsia" w:ascii="宋体" w:hAnsi="宋体" w:eastAsia="宋体" w:cs="宋体"/>
          <w:b w:val="0"/>
          <w:bCs/>
          <w:color w:val="auto"/>
          <w:sz w:val="21"/>
          <w:szCs w:val="21"/>
          <w:highlight w:val="none"/>
        </w:rPr>
      </w:pPr>
    </w:p>
    <w:p w14:paraId="08DF09C1">
      <w:pPr>
        <w:pStyle w:val="15"/>
        <w:rPr>
          <w:rFonts w:hint="eastAsia" w:ascii="宋体" w:hAnsi="宋体" w:eastAsia="宋体" w:cs="宋体"/>
          <w:b w:val="0"/>
          <w:bCs/>
          <w:color w:val="auto"/>
          <w:sz w:val="21"/>
          <w:szCs w:val="21"/>
          <w:highlight w:val="none"/>
        </w:rPr>
      </w:pPr>
    </w:p>
    <w:p w14:paraId="12C6E02F">
      <w:pPr>
        <w:rPr>
          <w:rFonts w:hint="eastAsia" w:ascii="宋体" w:hAnsi="宋体" w:eastAsia="宋体" w:cs="宋体"/>
          <w:b w:val="0"/>
          <w:bCs/>
          <w:color w:val="auto"/>
          <w:sz w:val="21"/>
          <w:szCs w:val="21"/>
          <w:highlight w:val="none"/>
        </w:rPr>
      </w:pPr>
    </w:p>
    <w:p w14:paraId="408524F9">
      <w:pPr>
        <w:pStyle w:val="15"/>
        <w:rPr>
          <w:rFonts w:hint="eastAsia" w:ascii="宋体" w:hAnsi="宋体" w:eastAsia="宋体" w:cs="宋体"/>
          <w:b w:val="0"/>
          <w:bCs/>
          <w:color w:val="auto"/>
          <w:sz w:val="21"/>
          <w:szCs w:val="21"/>
          <w:highlight w:val="none"/>
        </w:rPr>
      </w:pPr>
    </w:p>
    <w:p w14:paraId="29F17367">
      <w:pPr>
        <w:rPr>
          <w:rFonts w:hint="eastAsia" w:ascii="宋体" w:hAnsi="宋体" w:eastAsia="宋体" w:cs="宋体"/>
          <w:b w:val="0"/>
          <w:bCs/>
          <w:color w:val="auto"/>
          <w:sz w:val="21"/>
          <w:szCs w:val="21"/>
          <w:highlight w:val="none"/>
        </w:rPr>
      </w:pPr>
    </w:p>
    <w:p w14:paraId="7EC14F6F">
      <w:pPr>
        <w:pStyle w:val="15"/>
        <w:rPr>
          <w:rFonts w:hint="eastAsia" w:ascii="宋体" w:hAnsi="宋体" w:eastAsia="宋体" w:cs="宋体"/>
          <w:b w:val="0"/>
          <w:bCs/>
          <w:color w:val="auto"/>
          <w:sz w:val="21"/>
          <w:szCs w:val="21"/>
          <w:highlight w:val="none"/>
        </w:rPr>
      </w:pPr>
    </w:p>
    <w:p w14:paraId="1A25CE6D">
      <w:pPr>
        <w:rPr>
          <w:rFonts w:hint="eastAsia" w:ascii="宋体" w:hAnsi="宋体" w:eastAsia="宋体" w:cs="宋体"/>
          <w:b w:val="0"/>
          <w:bCs/>
          <w:color w:val="auto"/>
          <w:sz w:val="21"/>
          <w:szCs w:val="21"/>
          <w:highlight w:val="none"/>
        </w:rPr>
      </w:pPr>
    </w:p>
    <w:p w14:paraId="2B1A0917">
      <w:pPr>
        <w:pStyle w:val="15"/>
        <w:rPr>
          <w:rFonts w:hint="eastAsia" w:ascii="宋体" w:hAnsi="宋体" w:eastAsia="宋体" w:cs="宋体"/>
          <w:b w:val="0"/>
          <w:bCs/>
          <w:color w:val="auto"/>
          <w:sz w:val="21"/>
          <w:szCs w:val="21"/>
          <w:highlight w:val="none"/>
        </w:rPr>
      </w:pPr>
    </w:p>
    <w:p w14:paraId="3AF7A054">
      <w:pPr>
        <w:rPr>
          <w:rFonts w:hint="eastAsia" w:ascii="宋体" w:hAnsi="宋体" w:eastAsia="宋体" w:cs="宋体"/>
          <w:b w:val="0"/>
          <w:bCs/>
          <w:color w:val="auto"/>
          <w:sz w:val="21"/>
          <w:szCs w:val="21"/>
          <w:highlight w:val="none"/>
        </w:rPr>
      </w:pPr>
    </w:p>
    <w:p w14:paraId="3003B06A">
      <w:pPr>
        <w:pStyle w:val="15"/>
        <w:rPr>
          <w:rFonts w:hint="eastAsia" w:ascii="宋体" w:hAnsi="宋体" w:eastAsia="宋体" w:cs="宋体"/>
          <w:b w:val="0"/>
          <w:bCs/>
          <w:color w:val="auto"/>
          <w:sz w:val="21"/>
          <w:szCs w:val="21"/>
          <w:highlight w:val="none"/>
        </w:rPr>
      </w:pPr>
    </w:p>
    <w:p w14:paraId="08AE165F">
      <w:pPr>
        <w:rPr>
          <w:rFonts w:hint="eastAsia" w:ascii="宋体" w:hAnsi="宋体" w:eastAsia="宋体" w:cs="宋体"/>
          <w:b w:val="0"/>
          <w:bCs/>
          <w:color w:val="auto"/>
          <w:sz w:val="21"/>
          <w:szCs w:val="21"/>
          <w:highlight w:val="none"/>
        </w:rPr>
      </w:pPr>
    </w:p>
    <w:p w14:paraId="4191E6DE">
      <w:pPr>
        <w:pStyle w:val="15"/>
        <w:rPr>
          <w:rFonts w:hint="eastAsia" w:ascii="宋体" w:hAnsi="宋体" w:eastAsia="宋体" w:cs="宋体"/>
          <w:b w:val="0"/>
          <w:bCs/>
          <w:color w:val="auto"/>
          <w:sz w:val="21"/>
          <w:szCs w:val="21"/>
          <w:highlight w:val="none"/>
        </w:rPr>
      </w:pPr>
    </w:p>
    <w:p w14:paraId="021C6CEC">
      <w:pPr>
        <w:rPr>
          <w:rFonts w:hint="eastAsia" w:ascii="宋体" w:hAnsi="宋体" w:eastAsia="宋体" w:cs="宋体"/>
          <w:b w:val="0"/>
          <w:bCs/>
          <w:color w:val="auto"/>
          <w:sz w:val="21"/>
          <w:szCs w:val="21"/>
          <w:highlight w:val="none"/>
        </w:rPr>
      </w:pPr>
    </w:p>
    <w:p w14:paraId="0DDB53A4">
      <w:pPr>
        <w:pStyle w:val="15"/>
        <w:rPr>
          <w:rFonts w:hint="eastAsia" w:ascii="宋体" w:hAnsi="宋体" w:eastAsia="宋体" w:cs="宋体"/>
          <w:b w:val="0"/>
          <w:bCs/>
          <w:color w:val="auto"/>
          <w:sz w:val="21"/>
          <w:szCs w:val="21"/>
          <w:highlight w:val="none"/>
        </w:rPr>
      </w:pPr>
    </w:p>
    <w:p w14:paraId="7A91B1A8">
      <w:pPr>
        <w:spacing w:line="560" w:lineRule="exact"/>
        <w:ind w:firstLine="422"/>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附件5：</w:t>
      </w:r>
      <w:r>
        <w:rPr>
          <w:rFonts w:hint="eastAsia" w:ascii="宋体" w:hAnsi="宋体" w:eastAsia="宋体" w:cs="宋体"/>
          <w:b/>
          <w:bCs/>
          <w:color w:val="auto"/>
          <w:kern w:val="0"/>
          <w:sz w:val="21"/>
          <w:szCs w:val="21"/>
          <w:highlight w:val="none"/>
          <w:lang w:val="en-US" w:eastAsia="zh-CN" w:bidi="ar"/>
        </w:rPr>
        <w:t>政府采购活动前三年内无环保类行政处罚记录声明函</w:t>
      </w:r>
    </w:p>
    <w:p w14:paraId="4CE6A9FA">
      <w:pPr>
        <w:widowControl w:val="0"/>
        <w:adjustRightInd w:val="0"/>
        <w:snapToGrid w:val="0"/>
        <w:spacing w:line="360" w:lineRule="auto"/>
        <w:jc w:val="both"/>
        <w:rPr>
          <w:rFonts w:asciiTheme="minorEastAsia" w:hAnsiTheme="minorEastAsia" w:eastAsiaTheme="minorEastAsia" w:cstheme="minorEastAsia"/>
          <w:color w:val="auto"/>
          <w:kern w:val="2"/>
          <w:sz w:val="21"/>
          <w:szCs w:val="21"/>
          <w:highlight w:val="none"/>
          <w:u w:val="none"/>
          <w:lang w:val="en-US" w:eastAsia="zh-CN" w:bidi="ar-SA"/>
        </w:rPr>
      </w:pPr>
    </w:p>
    <w:p w14:paraId="282F7154">
      <w:pPr>
        <w:widowControl w:val="0"/>
        <w:adjustRightInd w:val="0"/>
        <w:snapToGrid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本单位郑重声明</w:t>
      </w:r>
      <w:r>
        <w:rPr>
          <w:rFonts w:asciiTheme="minorEastAsia" w:hAnsiTheme="minorEastAsia" w:eastAsiaTheme="minorEastAsia" w:cstheme="minorEastAsia"/>
          <w:color w:val="auto"/>
          <w:kern w:val="2"/>
          <w:sz w:val="21"/>
          <w:szCs w:val="21"/>
          <w:highlight w:val="none"/>
          <w:lang w:val="en-US" w:eastAsia="zh-CN" w:bidi="ar-SA"/>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w:t>
      </w:r>
      <w:r>
        <w:rPr>
          <w:rFonts w:asciiTheme="minorEastAsia" w:hAnsiTheme="minorEastAsia" w:eastAsiaTheme="minorEastAsia" w:cstheme="minorEastAsia"/>
          <w:color w:val="auto"/>
          <w:kern w:val="2"/>
          <w:sz w:val="21"/>
          <w:szCs w:val="21"/>
          <w:highlight w:val="none"/>
          <w:lang w:val="en-US" w:eastAsia="zh-CN" w:bidi="ar-SA"/>
        </w:rPr>
        <w:t>本单位在参加</w:t>
      </w:r>
      <w:r>
        <w:rPr>
          <w:rFonts w:asciiTheme="minorEastAsia" w:hAnsiTheme="minorEastAsia" w:eastAsiaTheme="minorEastAsia" w:cstheme="minorEastAsia"/>
          <w:color w:val="auto"/>
          <w:kern w:val="2"/>
          <w:sz w:val="21"/>
          <w:szCs w:val="21"/>
          <w:highlight w:val="none"/>
          <w:u w:val="none"/>
          <w:lang w:val="en-US" w:eastAsia="zh-CN" w:bidi="ar-SA"/>
        </w:rPr>
        <w:t xml:space="preserve">         </w:t>
      </w:r>
      <w:r>
        <w:rPr>
          <w:rFonts w:asciiTheme="minorEastAsia" w:hAnsiTheme="minorEastAsia" w:eastAsiaTheme="minorEastAsia" w:cstheme="minorEastAsia"/>
          <w:color w:val="auto"/>
          <w:kern w:val="2"/>
          <w:sz w:val="21"/>
          <w:szCs w:val="21"/>
          <w:highlight w:val="none"/>
          <w:lang w:val="en-US" w:eastAsia="zh-CN" w:bidi="ar-SA"/>
        </w:rPr>
        <w:t>项目（采购编号</w:t>
      </w:r>
      <w:r>
        <w:rPr>
          <w:rFonts w:hint="eastAsia" w:asciiTheme="minorEastAsia" w:hAnsiTheme="minorEastAsia" w:eastAsiaTheme="minorEastAsia" w:cstheme="minorEastAsia"/>
          <w:color w:val="auto"/>
          <w:kern w:val="2"/>
          <w:sz w:val="21"/>
          <w:szCs w:val="21"/>
          <w:highlight w:val="none"/>
          <w:lang w:val="en-US" w:eastAsia="zh-CN" w:bidi="ar-SA"/>
        </w:rPr>
        <w:t>：</w:t>
      </w:r>
      <w:r>
        <w:rPr>
          <w:rFonts w:asciiTheme="minorEastAsia" w:hAnsiTheme="minorEastAsia" w:eastAsiaTheme="minorEastAsia" w:cstheme="minorEastAsia"/>
          <w:color w:val="auto"/>
          <w:kern w:val="2"/>
          <w:sz w:val="21"/>
          <w:szCs w:val="21"/>
          <w:highlight w:val="none"/>
          <w:lang w:val="en-US" w:eastAsia="zh-CN" w:bidi="ar-SA"/>
        </w:rPr>
        <w:t xml:space="preserve"> </w:t>
      </w:r>
      <w:r>
        <w:rPr>
          <w:rFonts w:asciiTheme="minorEastAsia" w:hAnsiTheme="minorEastAsia" w:eastAsiaTheme="minorEastAsia" w:cstheme="minorEastAsia"/>
          <w:color w:val="auto"/>
          <w:kern w:val="2"/>
          <w:sz w:val="21"/>
          <w:szCs w:val="21"/>
          <w:highlight w:val="none"/>
          <w:u w:val="none"/>
          <w:lang w:val="en-US" w:eastAsia="zh-CN" w:bidi="ar-SA"/>
        </w:rPr>
        <w:t xml:space="preserve">       </w:t>
      </w:r>
      <w:r>
        <w:rPr>
          <w:rFonts w:asciiTheme="minorEastAsia" w:hAnsiTheme="minorEastAsia" w:eastAsiaTheme="minorEastAsia" w:cstheme="minorEastAsia"/>
          <w:color w:val="auto"/>
          <w:kern w:val="2"/>
          <w:sz w:val="21"/>
          <w:szCs w:val="21"/>
          <w:highlight w:val="none"/>
          <w:lang w:val="en-US" w:eastAsia="zh-CN" w:bidi="ar-SA"/>
        </w:rPr>
        <w:t>）的政府采购活动前三年内，未有环保类行政处罚记录。若我单位以上承诺不实，自愿承担提供虚假材料谋取中标、成交的法律责任。</w:t>
      </w:r>
    </w:p>
    <w:p w14:paraId="48476DA9">
      <w:pPr>
        <w:widowControl w:val="0"/>
        <w:adjustRightInd w:val="0"/>
        <w:snapToGrid w:val="0"/>
        <w:spacing w:line="360" w:lineRule="auto"/>
        <w:jc w:val="both"/>
        <w:rPr>
          <w:rFonts w:asciiTheme="minorEastAsia" w:hAnsiTheme="minorEastAsia" w:eastAsiaTheme="minorEastAsia" w:cstheme="minorEastAsia"/>
          <w:color w:val="auto"/>
          <w:kern w:val="2"/>
          <w:sz w:val="21"/>
          <w:szCs w:val="21"/>
          <w:highlight w:val="none"/>
          <w:lang w:val="en-US" w:eastAsia="zh-CN" w:bidi="ar-SA"/>
        </w:rPr>
      </w:pPr>
    </w:p>
    <w:p w14:paraId="794C3DB7">
      <w:pPr>
        <w:keepNext w:val="0"/>
        <w:keepLines w:val="0"/>
        <w:widowControl/>
        <w:suppressLineNumbers w:val="0"/>
        <w:spacing w:line="560" w:lineRule="exact"/>
        <w:ind w:firstLine="560" w:firstLineChars="200"/>
        <w:jc w:val="right"/>
        <w:rPr>
          <w:rFonts w:hint="eastAsia" w:ascii="宋体" w:hAnsi="宋体" w:eastAsia="宋体" w:cs="宋体"/>
          <w:color w:val="auto"/>
          <w:kern w:val="0"/>
          <w:sz w:val="28"/>
          <w:szCs w:val="28"/>
          <w:highlight w:val="none"/>
          <w:lang w:val="en-US" w:eastAsia="zh-CN" w:bidi="ar"/>
        </w:rPr>
      </w:pPr>
    </w:p>
    <w:p w14:paraId="69D29D79">
      <w:pPr>
        <w:keepNext w:val="0"/>
        <w:keepLines w:val="0"/>
        <w:widowControl w:val="0"/>
        <w:suppressLineNumbers w:val="0"/>
        <w:adjustRightInd w:val="0"/>
        <w:snapToGrid w:val="0"/>
        <w:spacing w:line="360" w:lineRule="auto"/>
        <w:ind w:firstLine="0" w:firstLineChars="0"/>
        <w:jc w:val="left"/>
        <w:rPr>
          <w:rFonts w:hint="default" w:asciiTheme="minorEastAsia" w:hAnsiTheme="minorEastAsia" w:eastAsiaTheme="minorEastAsia" w:cstheme="minorEastAsia"/>
          <w:color w:val="auto"/>
          <w:kern w:val="2"/>
          <w:sz w:val="21"/>
          <w:szCs w:val="21"/>
          <w:highlight w:val="none"/>
          <w:lang w:val="en-US" w:eastAsia="zh-CN" w:bidi="ar-SA"/>
        </w:rPr>
      </w:pPr>
    </w:p>
    <w:p w14:paraId="4D01B001">
      <w:pPr>
        <w:adjustRightInd w:val="0"/>
        <w:snapToGrid w:val="0"/>
        <w:spacing w:line="360" w:lineRule="auto"/>
        <w:ind w:firstLine="0" w:firstLineChars="0"/>
        <w:jc w:val="left"/>
        <w:rPr>
          <w:rFonts w:hint="default" w:asciiTheme="minorEastAsia" w:hAnsiTheme="minorEastAsia" w:eastAsiaTheme="minorEastAsia" w:cstheme="minorEastAsia"/>
          <w:color w:val="auto"/>
          <w:spacing w:val="0"/>
          <w:w w:val="100"/>
          <w:position w:val="0"/>
          <w:sz w:val="21"/>
          <w:szCs w:val="21"/>
          <w:highlight w:val="none"/>
        </w:rPr>
      </w:pPr>
      <w:r>
        <w:rPr>
          <w:rFonts w:hint="default" w:asciiTheme="minorEastAsia" w:hAnsiTheme="minorEastAsia" w:eastAsiaTheme="minorEastAsia" w:cstheme="minorEastAsia"/>
          <w:color w:val="auto"/>
          <w:kern w:val="2"/>
          <w:sz w:val="21"/>
          <w:szCs w:val="21"/>
          <w:highlight w:val="none"/>
          <w:lang w:val="en-US" w:eastAsia="zh-CN" w:bidi="ar-SA"/>
        </w:rPr>
        <w:t xml:space="preserve">              </w:t>
      </w:r>
      <w:r>
        <w:rPr>
          <w:rFonts w:hint="eastAsia" w:asciiTheme="minorEastAsia" w:hAnsiTheme="minorEastAsia" w:eastAsiaTheme="minorEastAsia" w:cstheme="minorEastAsia"/>
          <w:color w:val="auto"/>
          <w:kern w:val="2"/>
          <w:sz w:val="21"/>
          <w:szCs w:val="21"/>
          <w:highlight w:val="none"/>
          <w:lang w:val="en-US" w:eastAsia="zh-CN" w:bidi="ar-SA"/>
        </w:rPr>
        <w:t xml:space="preserve">                                                </w:t>
      </w:r>
      <w:r>
        <w:rPr>
          <w:rFonts w:hint="default" w:asciiTheme="minorEastAsia" w:hAnsiTheme="minorEastAsia" w:eastAsiaTheme="minorEastAsia" w:cstheme="minorEastAsia"/>
          <w:color w:val="auto"/>
          <w:spacing w:val="0"/>
          <w:w w:val="100"/>
          <w:position w:val="0"/>
          <w:sz w:val="21"/>
          <w:szCs w:val="21"/>
          <w:highlight w:val="none"/>
        </w:rPr>
        <w:t>供应商：</w:t>
      </w:r>
    </w:p>
    <w:p w14:paraId="2FB33498">
      <w:pPr>
        <w:adjustRightInd w:val="0"/>
        <w:snapToGrid w:val="0"/>
        <w:spacing w:line="360" w:lineRule="auto"/>
        <w:ind w:firstLine="6510" w:firstLineChars="3100"/>
        <w:jc w:val="left"/>
        <w:rPr>
          <w:rFonts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kern w:val="2"/>
          <w:sz w:val="21"/>
          <w:szCs w:val="21"/>
          <w:highlight w:val="none"/>
          <w:lang w:val="en-US" w:eastAsia="zh-CN" w:bidi="ar-SA"/>
        </w:rPr>
        <w:t xml:space="preserve">日期：    </w:t>
      </w:r>
    </w:p>
    <w:sectPr>
      <w:headerReference r:id="rId15" w:type="default"/>
      <w:pgSz w:w="11906" w:h="16838"/>
      <w:pgMar w:top="1440" w:right="1800" w:bottom="1440" w:left="1800" w:header="794"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Monotype Corsiva">
    <w:altName w:val="Mongolian Baiti"/>
    <w:panose1 w:val="03010101010201010101"/>
    <w:charset w:val="00"/>
    <w:family w:val="auto"/>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8A5B8">
    <w:pPr>
      <w:pStyle w:val="13"/>
      <w:ind w:firstLine="360"/>
    </w:pPr>
  </w:p>
  <w:p w14:paraId="0A73C246">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C0786">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F0F7">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3E8C2">
                          <w:pPr>
                            <w:pStyle w:val="13"/>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rFonts w:hint="default"/>
                              <w:sz w:val="21"/>
                              <w:szCs w:val="21"/>
                              <w:lang w:val="en-US"/>
                            </w:rPr>
                            <w:t>4</w:t>
                          </w:r>
                          <w:r>
                            <w:rPr>
                              <w:rFonts w:hint="eastAsia"/>
                              <w:sz w:val="21"/>
                              <w:szCs w:val="21"/>
                              <w:lang w:val="en-US" w:eastAsia="zh-CN"/>
                            </w:rPr>
                            <w:t>0</w:t>
                          </w:r>
                          <w:r>
                            <w:rPr>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33E8C2">
                    <w:pPr>
                      <w:pStyle w:val="13"/>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rFonts w:hint="default"/>
                        <w:sz w:val="21"/>
                        <w:szCs w:val="21"/>
                        <w:lang w:val="en-US"/>
                      </w:rPr>
                      <w:t>4</w:t>
                    </w:r>
                    <w:r>
                      <w:rPr>
                        <w:rFonts w:hint="eastAsia"/>
                        <w:sz w:val="21"/>
                        <w:szCs w:val="21"/>
                        <w:lang w:val="en-US" w:eastAsia="zh-CN"/>
                      </w:rPr>
                      <w:t>0</w:t>
                    </w:r>
                    <w:r>
                      <w:rPr>
                        <w:sz w:val="21"/>
                        <w:szCs w:val="21"/>
                      </w:rPr>
                      <w:t xml:space="preserve"> 页</w:t>
                    </w:r>
                  </w:p>
                </w:txbxContent>
              </v:textbox>
            </v:shape>
          </w:pict>
        </mc:Fallback>
      </mc:AlternateContent>
    </w:r>
  </w:p>
  <w:p w14:paraId="620A5A33">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895B">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9D64AE">
                          <w:pPr>
                            <w:pStyle w:val="13"/>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w:t>
                          </w:r>
                          <w:r>
                            <w:fldChar w:fldCharType="begin"/>
                          </w:r>
                          <w:r>
                            <w:instrText xml:space="preserve"> NUMPAGES  \* MERGEFORMAT </w:instrText>
                          </w:r>
                          <w:r>
                            <w:fldChar w:fldCharType="separate"/>
                          </w:r>
                          <w:r>
                            <w:t>114</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79D64AE">
                    <w:pPr>
                      <w:pStyle w:val="13"/>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w:t>
                    </w:r>
                    <w:r>
                      <w:fldChar w:fldCharType="begin"/>
                    </w:r>
                    <w:r>
                      <w:instrText xml:space="preserve"> NUMPAGES  \* MERGEFORMAT </w:instrText>
                    </w:r>
                    <w:r>
                      <w:fldChar w:fldCharType="separate"/>
                    </w:r>
                    <w:r>
                      <w:t>114</w:t>
                    </w:r>
                    <w:r>
                      <w:fldChar w:fldCharType="end"/>
                    </w:r>
                    <w:r>
                      <w:rPr>
                        <w:rFonts w:hint="eastAsia"/>
                      </w:rPr>
                      <w:t>页</w:t>
                    </w:r>
                  </w:p>
                </w:txbxContent>
              </v:textbox>
            </v:shape>
          </w:pict>
        </mc:Fallback>
      </mc:AlternateContent>
    </w:r>
  </w:p>
  <w:p w14:paraId="482D41B2">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FF57">
    <w:pPr>
      <w:pStyle w:val="14"/>
      <w:pBdr>
        <w:bottom w:val="none" w:color="auto" w:sz="0" w:space="1"/>
      </w:pBdr>
      <w:ind w:firstLine="360"/>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8FBC7">
    <w:pPr>
      <w:pStyle w:val="14"/>
      <w:pBdr>
        <w:bottom w:val="single" w:color="auto" w:sz="6"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7E1B">
    <w:pPr>
      <w:pStyle w:val="11"/>
      <w:ind w:firstLine="360"/>
    </w:pPr>
    <w:r>
      <w:rPr>
        <w:rFonts w:hint="eastAsia"/>
        <w:sz w:val="18"/>
        <w:szCs w:val="18"/>
      </w:rPr>
      <w:t>海</w:t>
    </w:r>
    <w:r>
      <w:rPr>
        <w:rFonts w:hint="eastAsia"/>
      </w:rPr>
      <w:t>口市政府采购中心海口市人民医院物业服务项目（C包安保服务）</w:t>
    </w:r>
  </w:p>
  <w:p w14:paraId="27D3AF55">
    <w:pPr>
      <w:pStyle w:val="11"/>
    </w:pPr>
    <w:r>
      <w:rPr>
        <w:rFonts w:hint="eastAsia"/>
      </w:rPr>
      <w:t>/HKGP-2021-0038</w:t>
    </w:r>
  </w:p>
  <w:p w14:paraId="45D69C63">
    <w:pPr>
      <w:pStyle w:val="14"/>
      <w:ind w:firstLine="360"/>
    </w:pP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938A">
    <w:pPr>
      <w:pStyle w:val="11"/>
      <w:ind w:firstLine="360"/>
    </w:pPr>
    <w:r>
      <w:rPr>
        <w:rFonts w:hint="eastAsia"/>
        <w:sz w:val="18"/>
        <w:szCs w:val="18"/>
      </w:rPr>
      <w:t>海</w:t>
    </w:r>
    <w:r>
      <w:rPr>
        <w:rFonts w:hint="eastAsia"/>
      </w:rPr>
      <w:t>口市政府采购中心海口市人民医院物业服务项目（C包安保服务）</w:t>
    </w:r>
  </w:p>
  <w:p w14:paraId="4C04DCD1">
    <w:pPr>
      <w:pStyle w:val="11"/>
    </w:pPr>
    <w:r>
      <w:rPr>
        <w:rFonts w:hint="eastAsia"/>
      </w:rPr>
      <w:t>/HKGP-2021-0038</w:t>
    </w:r>
  </w:p>
  <w:p w14:paraId="276267CF">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AE1E7">
    <w:pPr>
      <w:pStyle w:val="1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DAF5">
    <w:pPr>
      <w:pStyle w:val="14"/>
      <w:pBdr>
        <w:bottom w:val="none" w:color="auto" w:sz="0" w:space="1"/>
      </w:pBdr>
    </w:pPr>
    <w:r>
      <w:rPr>
        <w:sz w:val="21"/>
        <w:szCs w:val="21"/>
      </w:rP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03D3">
    <w:pPr>
      <w:pStyle w:val="14"/>
      <w:pBdr>
        <w:bottom w:val="none" w:color="auto" w:sz="0" w:space="1"/>
      </w:pBdr>
      <w:ind w:firstLine="360"/>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mU4YjY5ZWZiNjcyNTBmOGE5ZDZlNTM0NmViODgifQ=="/>
  </w:docVars>
  <w:rsids>
    <w:rsidRoot w:val="00172A27"/>
    <w:rsid w:val="0001465D"/>
    <w:rsid w:val="00172A27"/>
    <w:rsid w:val="002D0ECF"/>
    <w:rsid w:val="003216DB"/>
    <w:rsid w:val="00407E90"/>
    <w:rsid w:val="00471A40"/>
    <w:rsid w:val="004754F0"/>
    <w:rsid w:val="005D103E"/>
    <w:rsid w:val="005E2BF8"/>
    <w:rsid w:val="005F4489"/>
    <w:rsid w:val="006951D6"/>
    <w:rsid w:val="00801901"/>
    <w:rsid w:val="00803B0C"/>
    <w:rsid w:val="00847139"/>
    <w:rsid w:val="009A1606"/>
    <w:rsid w:val="009B4088"/>
    <w:rsid w:val="00A63F7E"/>
    <w:rsid w:val="00B226E4"/>
    <w:rsid w:val="00B2523D"/>
    <w:rsid w:val="00B801B8"/>
    <w:rsid w:val="00BF39B3"/>
    <w:rsid w:val="00CF3B3E"/>
    <w:rsid w:val="00EA3FDC"/>
    <w:rsid w:val="00FE4042"/>
    <w:rsid w:val="01193BAB"/>
    <w:rsid w:val="012515C4"/>
    <w:rsid w:val="012F0CEC"/>
    <w:rsid w:val="013A752C"/>
    <w:rsid w:val="0159347F"/>
    <w:rsid w:val="017C6D0A"/>
    <w:rsid w:val="01816A09"/>
    <w:rsid w:val="0196601E"/>
    <w:rsid w:val="01A76C84"/>
    <w:rsid w:val="01C41560"/>
    <w:rsid w:val="01C66C29"/>
    <w:rsid w:val="01D408F4"/>
    <w:rsid w:val="01E70628"/>
    <w:rsid w:val="02031C73"/>
    <w:rsid w:val="02092C94"/>
    <w:rsid w:val="02160F0D"/>
    <w:rsid w:val="02213014"/>
    <w:rsid w:val="022655F4"/>
    <w:rsid w:val="022D30DA"/>
    <w:rsid w:val="02455925"/>
    <w:rsid w:val="0256755B"/>
    <w:rsid w:val="02866093"/>
    <w:rsid w:val="02A97FD3"/>
    <w:rsid w:val="02B04EBD"/>
    <w:rsid w:val="02BA21E0"/>
    <w:rsid w:val="02D05560"/>
    <w:rsid w:val="02D219C4"/>
    <w:rsid w:val="03065425"/>
    <w:rsid w:val="030A6CC4"/>
    <w:rsid w:val="03231259"/>
    <w:rsid w:val="033360DB"/>
    <w:rsid w:val="033B0CFE"/>
    <w:rsid w:val="034F7EF4"/>
    <w:rsid w:val="03854560"/>
    <w:rsid w:val="03BF4CCA"/>
    <w:rsid w:val="03C14561"/>
    <w:rsid w:val="03C926DB"/>
    <w:rsid w:val="04041965"/>
    <w:rsid w:val="040D3C69"/>
    <w:rsid w:val="0422003D"/>
    <w:rsid w:val="04261197"/>
    <w:rsid w:val="04630F4A"/>
    <w:rsid w:val="047B2506"/>
    <w:rsid w:val="0491110B"/>
    <w:rsid w:val="049B5476"/>
    <w:rsid w:val="04AC1A71"/>
    <w:rsid w:val="04E03371"/>
    <w:rsid w:val="052D4ADE"/>
    <w:rsid w:val="0534580D"/>
    <w:rsid w:val="05432019"/>
    <w:rsid w:val="055E210C"/>
    <w:rsid w:val="056A57F8"/>
    <w:rsid w:val="05774F35"/>
    <w:rsid w:val="05B80C59"/>
    <w:rsid w:val="05F21DE6"/>
    <w:rsid w:val="06112117"/>
    <w:rsid w:val="064E5119"/>
    <w:rsid w:val="064E6865"/>
    <w:rsid w:val="066C559F"/>
    <w:rsid w:val="06984B35"/>
    <w:rsid w:val="06BC55A9"/>
    <w:rsid w:val="06DF2215"/>
    <w:rsid w:val="06EC4087"/>
    <w:rsid w:val="07027CB2"/>
    <w:rsid w:val="07050876"/>
    <w:rsid w:val="07105E67"/>
    <w:rsid w:val="071C34B5"/>
    <w:rsid w:val="071D0355"/>
    <w:rsid w:val="0733430F"/>
    <w:rsid w:val="073851BD"/>
    <w:rsid w:val="07A219EC"/>
    <w:rsid w:val="07B81042"/>
    <w:rsid w:val="07D1641A"/>
    <w:rsid w:val="07D23B28"/>
    <w:rsid w:val="07DE427B"/>
    <w:rsid w:val="07F5271F"/>
    <w:rsid w:val="07F661BB"/>
    <w:rsid w:val="08007B78"/>
    <w:rsid w:val="08105A97"/>
    <w:rsid w:val="08145A20"/>
    <w:rsid w:val="081964D9"/>
    <w:rsid w:val="082779D0"/>
    <w:rsid w:val="082C4653"/>
    <w:rsid w:val="085409E1"/>
    <w:rsid w:val="085A2AEA"/>
    <w:rsid w:val="085A4AFD"/>
    <w:rsid w:val="08755BC3"/>
    <w:rsid w:val="087D5842"/>
    <w:rsid w:val="08A774AC"/>
    <w:rsid w:val="08DB2D17"/>
    <w:rsid w:val="08DC5BCE"/>
    <w:rsid w:val="08FD2989"/>
    <w:rsid w:val="090F409F"/>
    <w:rsid w:val="09601EFA"/>
    <w:rsid w:val="09634106"/>
    <w:rsid w:val="09856BC3"/>
    <w:rsid w:val="09886B94"/>
    <w:rsid w:val="09955495"/>
    <w:rsid w:val="099C6886"/>
    <w:rsid w:val="09A068B5"/>
    <w:rsid w:val="09B00F80"/>
    <w:rsid w:val="09B37E23"/>
    <w:rsid w:val="09FC5A6D"/>
    <w:rsid w:val="0A586351"/>
    <w:rsid w:val="0A5D1DCF"/>
    <w:rsid w:val="0A7B7C6C"/>
    <w:rsid w:val="0A89454C"/>
    <w:rsid w:val="0AA52631"/>
    <w:rsid w:val="0ABD0ABF"/>
    <w:rsid w:val="0AD87214"/>
    <w:rsid w:val="0AF21923"/>
    <w:rsid w:val="0AFD710E"/>
    <w:rsid w:val="0B183F48"/>
    <w:rsid w:val="0B301C8C"/>
    <w:rsid w:val="0B464611"/>
    <w:rsid w:val="0B971310"/>
    <w:rsid w:val="0BB7140A"/>
    <w:rsid w:val="0BBC0022"/>
    <w:rsid w:val="0BD90EE9"/>
    <w:rsid w:val="0BE61950"/>
    <w:rsid w:val="0BF26973"/>
    <w:rsid w:val="0C0D599E"/>
    <w:rsid w:val="0C246131"/>
    <w:rsid w:val="0C2708D5"/>
    <w:rsid w:val="0C282C80"/>
    <w:rsid w:val="0C747BE1"/>
    <w:rsid w:val="0C796895"/>
    <w:rsid w:val="0C7E427E"/>
    <w:rsid w:val="0C87260E"/>
    <w:rsid w:val="0C8D7232"/>
    <w:rsid w:val="0C8E44C1"/>
    <w:rsid w:val="0C956CDB"/>
    <w:rsid w:val="0C9E593E"/>
    <w:rsid w:val="0CA578F4"/>
    <w:rsid w:val="0CC95340"/>
    <w:rsid w:val="0CE06855"/>
    <w:rsid w:val="0CF271BF"/>
    <w:rsid w:val="0D2C5A88"/>
    <w:rsid w:val="0D337983"/>
    <w:rsid w:val="0D3A63F7"/>
    <w:rsid w:val="0D3F756A"/>
    <w:rsid w:val="0D417786"/>
    <w:rsid w:val="0D42705A"/>
    <w:rsid w:val="0D474670"/>
    <w:rsid w:val="0D5F1E64"/>
    <w:rsid w:val="0D9755F8"/>
    <w:rsid w:val="0DB145F7"/>
    <w:rsid w:val="0DB27913"/>
    <w:rsid w:val="0DCD568A"/>
    <w:rsid w:val="0DFD1228"/>
    <w:rsid w:val="0E2B535C"/>
    <w:rsid w:val="0E2E2BAD"/>
    <w:rsid w:val="0E603E62"/>
    <w:rsid w:val="0EF600FC"/>
    <w:rsid w:val="0EFA4090"/>
    <w:rsid w:val="0F3B3D47"/>
    <w:rsid w:val="0F4814BC"/>
    <w:rsid w:val="0F6B0AEA"/>
    <w:rsid w:val="0F973DEF"/>
    <w:rsid w:val="0FA062BA"/>
    <w:rsid w:val="0FAA7AD4"/>
    <w:rsid w:val="0FB6788B"/>
    <w:rsid w:val="100B407B"/>
    <w:rsid w:val="104E667B"/>
    <w:rsid w:val="10575E20"/>
    <w:rsid w:val="105A2DDD"/>
    <w:rsid w:val="10637FF6"/>
    <w:rsid w:val="106611CB"/>
    <w:rsid w:val="10831E63"/>
    <w:rsid w:val="10A67900"/>
    <w:rsid w:val="10E03ACC"/>
    <w:rsid w:val="11357601"/>
    <w:rsid w:val="113722BE"/>
    <w:rsid w:val="113B0DD1"/>
    <w:rsid w:val="113F685C"/>
    <w:rsid w:val="11601AD6"/>
    <w:rsid w:val="11BA18B5"/>
    <w:rsid w:val="11C11441"/>
    <w:rsid w:val="11E76422"/>
    <w:rsid w:val="120D71EE"/>
    <w:rsid w:val="12380801"/>
    <w:rsid w:val="12507C79"/>
    <w:rsid w:val="1254371D"/>
    <w:rsid w:val="1262199D"/>
    <w:rsid w:val="12865437"/>
    <w:rsid w:val="128A572B"/>
    <w:rsid w:val="12A73D26"/>
    <w:rsid w:val="12AA1929"/>
    <w:rsid w:val="12AF6F40"/>
    <w:rsid w:val="12BD6BF4"/>
    <w:rsid w:val="12CA3D79"/>
    <w:rsid w:val="13053004"/>
    <w:rsid w:val="132D6E78"/>
    <w:rsid w:val="1339562D"/>
    <w:rsid w:val="13505B2E"/>
    <w:rsid w:val="137C0484"/>
    <w:rsid w:val="13962132"/>
    <w:rsid w:val="1399374C"/>
    <w:rsid w:val="139C4065"/>
    <w:rsid w:val="13BF7656"/>
    <w:rsid w:val="141E0ADB"/>
    <w:rsid w:val="142812C3"/>
    <w:rsid w:val="1437327D"/>
    <w:rsid w:val="145002AE"/>
    <w:rsid w:val="1454587B"/>
    <w:rsid w:val="145A17F2"/>
    <w:rsid w:val="145A366F"/>
    <w:rsid w:val="145F04F1"/>
    <w:rsid w:val="147C10A3"/>
    <w:rsid w:val="14891A12"/>
    <w:rsid w:val="148D1503"/>
    <w:rsid w:val="148F0CA1"/>
    <w:rsid w:val="14A8633C"/>
    <w:rsid w:val="14B22D17"/>
    <w:rsid w:val="14B33330"/>
    <w:rsid w:val="14E24257"/>
    <w:rsid w:val="14F364DD"/>
    <w:rsid w:val="14FE7D0A"/>
    <w:rsid w:val="150D5D06"/>
    <w:rsid w:val="15204125"/>
    <w:rsid w:val="153951E6"/>
    <w:rsid w:val="155B13B3"/>
    <w:rsid w:val="157F1A78"/>
    <w:rsid w:val="15D078F9"/>
    <w:rsid w:val="15DA2525"/>
    <w:rsid w:val="15DA2C5A"/>
    <w:rsid w:val="1605187F"/>
    <w:rsid w:val="16154877"/>
    <w:rsid w:val="16500A3A"/>
    <w:rsid w:val="16573B76"/>
    <w:rsid w:val="1672275E"/>
    <w:rsid w:val="167A1613"/>
    <w:rsid w:val="16845276"/>
    <w:rsid w:val="16897AA8"/>
    <w:rsid w:val="169762DB"/>
    <w:rsid w:val="16A11295"/>
    <w:rsid w:val="16A13043"/>
    <w:rsid w:val="16A673E4"/>
    <w:rsid w:val="16AA639C"/>
    <w:rsid w:val="16C0190D"/>
    <w:rsid w:val="170F0CDD"/>
    <w:rsid w:val="17137D16"/>
    <w:rsid w:val="173B3498"/>
    <w:rsid w:val="17400162"/>
    <w:rsid w:val="17563E2E"/>
    <w:rsid w:val="17944956"/>
    <w:rsid w:val="17982698"/>
    <w:rsid w:val="17B77DC6"/>
    <w:rsid w:val="17BE2ABD"/>
    <w:rsid w:val="17E31439"/>
    <w:rsid w:val="18251A52"/>
    <w:rsid w:val="18367B71"/>
    <w:rsid w:val="18371EB1"/>
    <w:rsid w:val="186A144F"/>
    <w:rsid w:val="187622AE"/>
    <w:rsid w:val="18812024"/>
    <w:rsid w:val="189D2F2A"/>
    <w:rsid w:val="18A543BA"/>
    <w:rsid w:val="18B16CFB"/>
    <w:rsid w:val="18D314AE"/>
    <w:rsid w:val="18DA1062"/>
    <w:rsid w:val="18DF750D"/>
    <w:rsid w:val="19057B47"/>
    <w:rsid w:val="192E465C"/>
    <w:rsid w:val="193A152D"/>
    <w:rsid w:val="195A634B"/>
    <w:rsid w:val="19720CC7"/>
    <w:rsid w:val="199C16E9"/>
    <w:rsid w:val="199D5F29"/>
    <w:rsid w:val="1A0E0CCD"/>
    <w:rsid w:val="1A271AB1"/>
    <w:rsid w:val="1A2E4BEE"/>
    <w:rsid w:val="1A5202FA"/>
    <w:rsid w:val="1AAC33FA"/>
    <w:rsid w:val="1AB86BAD"/>
    <w:rsid w:val="1AED0A61"/>
    <w:rsid w:val="1AF517D9"/>
    <w:rsid w:val="1B056327"/>
    <w:rsid w:val="1B34092A"/>
    <w:rsid w:val="1B4548E5"/>
    <w:rsid w:val="1B4B4FB2"/>
    <w:rsid w:val="1B4E010B"/>
    <w:rsid w:val="1B5C39DD"/>
    <w:rsid w:val="1B7A723A"/>
    <w:rsid w:val="1B9E715D"/>
    <w:rsid w:val="1BA472DF"/>
    <w:rsid w:val="1BC33804"/>
    <w:rsid w:val="1BCA0EFB"/>
    <w:rsid w:val="1BCD6688"/>
    <w:rsid w:val="1BD6322C"/>
    <w:rsid w:val="1BDD4B1E"/>
    <w:rsid w:val="1BDF0C37"/>
    <w:rsid w:val="1C180837"/>
    <w:rsid w:val="1C1B5646"/>
    <w:rsid w:val="1C2244F6"/>
    <w:rsid w:val="1C6670D2"/>
    <w:rsid w:val="1C735482"/>
    <w:rsid w:val="1C8E406A"/>
    <w:rsid w:val="1C9070D0"/>
    <w:rsid w:val="1CA52F76"/>
    <w:rsid w:val="1CAD6FA9"/>
    <w:rsid w:val="1CCD7296"/>
    <w:rsid w:val="1CE64FF2"/>
    <w:rsid w:val="1D1C3424"/>
    <w:rsid w:val="1D234DCF"/>
    <w:rsid w:val="1D2D3ACF"/>
    <w:rsid w:val="1D3E783E"/>
    <w:rsid w:val="1D686A57"/>
    <w:rsid w:val="1D813BCE"/>
    <w:rsid w:val="1D864D41"/>
    <w:rsid w:val="1D877C1B"/>
    <w:rsid w:val="1DB63878"/>
    <w:rsid w:val="1DE2494A"/>
    <w:rsid w:val="1DE71C83"/>
    <w:rsid w:val="1DFE6FCD"/>
    <w:rsid w:val="1E0D7210"/>
    <w:rsid w:val="1E1A6270"/>
    <w:rsid w:val="1E37603B"/>
    <w:rsid w:val="1E4435D7"/>
    <w:rsid w:val="1E66393B"/>
    <w:rsid w:val="1E6C2189"/>
    <w:rsid w:val="1E8C6387"/>
    <w:rsid w:val="1E9F7B2F"/>
    <w:rsid w:val="1EB53B30"/>
    <w:rsid w:val="1EB83740"/>
    <w:rsid w:val="1EC56452"/>
    <w:rsid w:val="1EED5392"/>
    <w:rsid w:val="1F37541D"/>
    <w:rsid w:val="1F86727A"/>
    <w:rsid w:val="1F9D2223"/>
    <w:rsid w:val="1FC96AD8"/>
    <w:rsid w:val="1FE15F3B"/>
    <w:rsid w:val="1FF7A56F"/>
    <w:rsid w:val="20270A5D"/>
    <w:rsid w:val="203E5DA7"/>
    <w:rsid w:val="20523600"/>
    <w:rsid w:val="205D447F"/>
    <w:rsid w:val="20660E66"/>
    <w:rsid w:val="208725B1"/>
    <w:rsid w:val="209B4FA7"/>
    <w:rsid w:val="20A21E92"/>
    <w:rsid w:val="21132956"/>
    <w:rsid w:val="211428BF"/>
    <w:rsid w:val="211519AD"/>
    <w:rsid w:val="21202FCA"/>
    <w:rsid w:val="21452025"/>
    <w:rsid w:val="215A09BE"/>
    <w:rsid w:val="217C5962"/>
    <w:rsid w:val="21B3342C"/>
    <w:rsid w:val="21C127EB"/>
    <w:rsid w:val="21C978F2"/>
    <w:rsid w:val="21F95F69"/>
    <w:rsid w:val="220171CF"/>
    <w:rsid w:val="22235254"/>
    <w:rsid w:val="22287E8E"/>
    <w:rsid w:val="224A0A33"/>
    <w:rsid w:val="224A1874"/>
    <w:rsid w:val="225D1EB1"/>
    <w:rsid w:val="226F2DD1"/>
    <w:rsid w:val="22745AB0"/>
    <w:rsid w:val="229B216B"/>
    <w:rsid w:val="229D6DB5"/>
    <w:rsid w:val="22B13B13"/>
    <w:rsid w:val="22B3482A"/>
    <w:rsid w:val="22B66EF0"/>
    <w:rsid w:val="22F664C5"/>
    <w:rsid w:val="23256DAA"/>
    <w:rsid w:val="233174FD"/>
    <w:rsid w:val="233A0AA7"/>
    <w:rsid w:val="234271CB"/>
    <w:rsid w:val="237D267B"/>
    <w:rsid w:val="238B212F"/>
    <w:rsid w:val="23A0437A"/>
    <w:rsid w:val="23A423C5"/>
    <w:rsid w:val="23AE0B4E"/>
    <w:rsid w:val="23B1063E"/>
    <w:rsid w:val="23B32608"/>
    <w:rsid w:val="23BC2A5A"/>
    <w:rsid w:val="23C66840"/>
    <w:rsid w:val="23C860B3"/>
    <w:rsid w:val="23CD07BD"/>
    <w:rsid w:val="23FB3B93"/>
    <w:rsid w:val="240D7F6A"/>
    <w:rsid w:val="24294678"/>
    <w:rsid w:val="24346E9F"/>
    <w:rsid w:val="243E6375"/>
    <w:rsid w:val="245925FC"/>
    <w:rsid w:val="245C4A4D"/>
    <w:rsid w:val="245E5334"/>
    <w:rsid w:val="24774524"/>
    <w:rsid w:val="248A08C7"/>
    <w:rsid w:val="24A26904"/>
    <w:rsid w:val="24E42850"/>
    <w:rsid w:val="24ED56A6"/>
    <w:rsid w:val="25030902"/>
    <w:rsid w:val="25050C41"/>
    <w:rsid w:val="25320EB3"/>
    <w:rsid w:val="253F05F7"/>
    <w:rsid w:val="254257E5"/>
    <w:rsid w:val="25675458"/>
    <w:rsid w:val="256D095A"/>
    <w:rsid w:val="25714A6D"/>
    <w:rsid w:val="25824FE5"/>
    <w:rsid w:val="258E50DA"/>
    <w:rsid w:val="25AE26C4"/>
    <w:rsid w:val="25D51472"/>
    <w:rsid w:val="25E0531F"/>
    <w:rsid w:val="25F5515A"/>
    <w:rsid w:val="26306279"/>
    <w:rsid w:val="263A0DBE"/>
    <w:rsid w:val="263B05DB"/>
    <w:rsid w:val="264F15E3"/>
    <w:rsid w:val="26774ED4"/>
    <w:rsid w:val="26832765"/>
    <w:rsid w:val="26AD1856"/>
    <w:rsid w:val="26F02B5B"/>
    <w:rsid w:val="26FE382E"/>
    <w:rsid w:val="273B094A"/>
    <w:rsid w:val="273F0DA8"/>
    <w:rsid w:val="27460791"/>
    <w:rsid w:val="274F43F6"/>
    <w:rsid w:val="274F678B"/>
    <w:rsid w:val="275318CF"/>
    <w:rsid w:val="277147DB"/>
    <w:rsid w:val="27A40BE5"/>
    <w:rsid w:val="27BF3540"/>
    <w:rsid w:val="27D44B1C"/>
    <w:rsid w:val="27FA4469"/>
    <w:rsid w:val="28193725"/>
    <w:rsid w:val="282A6111"/>
    <w:rsid w:val="282F2F82"/>
    <w:rsid w:val="2835183D"/>
    <w:rsid w:val="28572535"/>
    <w:rsid w:val="286A10B9"/>
    <w:rsid w:val="286F2FA1"/>
    <w:rsid w:val="28777AD4"/>
    <w:rsid w:val="287D015D"/>
    <w:rsid w:val="288B7471"/>
    <w:rsid w:val="28A92BCF"/>
    <w:rsid w:val="28B078C0"/>
    <w:rsid w:val="28B5472C"/>
    <w:rsid w:val="28CC4A38"/>
    <w:rsid w:val="28CF48FA"/>
    <w:rsid w:val="28D56B7C"/>
    <w:rsid w:val="28FB0F36"/>
    <w:rsid w:val="29220014"/>
    <w:rsid w:val="29335621"/>
    <w:rsid w:val="293755EF"/>
    <w:rsid w:val="295B52D4"/>
    <w:rsid w:val="297213A4"/>
    <w:rsid w:val="298A5CE1"/>
    <w:rsid w:val="298E56A9"/>
    <w:rsid w:val="29935745"/>
    <w:rsid w:val="299E0C30"/>
    <w:rsid w:val="29AF73CD"/>
    <w:rsid w:val="29C333E9"/>
    <w:rsid w:val="29CF2C9E"/>
    <w:rsid w:val="29F01EC0"/>
    <w:rsid w:val="29FF0355"/>
    <w:rsid w:val="2A0059CF"/>
    <w:rsid w:val="2A1525B3"/>
    <w:rsid w:val="2A1F3C77"/>
    <w:rsid w:val="2A41271B"/>
    <w:rsid w:val="2A420242"/>
    <w:rsid w:val="2A663F30"/>
    <w:rsid w:val="2A770325"/>
    <w:rsid w:val="2A862824"/>
    <w:rsid w:val="2A954815"/>
    <w:rsid w:val="2B3E30FF"/>
    <w:rsid w:val="2B5621F6"/>
    <w:rsid w:val="2B577739"/>
    <w:rsid w:val="2B6B2C4C"/>
    <w:rsid w:val="2B82420A"/>
    <w:rsid w:val="2BC32FA6"/>
    <w:rsid w:val="2BDE0F2A"/>
    <w:rsid w:val="2BE230F1"/>
    <w:rsid w:val="2BF35C97"/>
    <w:rsid w:val="2BFD2672"/>
    <w:rsid w:val="2C1005F7"/>
    <w:rsid w:val="2C1B0D4A"/>
    <w:rsid w:val="2C1F0ECB"/>
    <w:rsid w:val="2C29790B"/>
    <w:rsid w:val="2C2F0132"/>
    <w:rsid w:val="2C5A1975"/>
    <w:rsid w:val="2C5B48B1"/>
    <w:rsid w:val="2C60179C"/>
    <w:rsid w:val="2C635A6B"/>
    <w:rsid w:val="2C9C63F2"/>
    <w:rsid w:val="2C9F5E1F"/>
    <w:rsid w:val="2CE95AE3"/>
    <w:rsid w:val="2D056A81"/>
    <w:rsid w:val="2D0B713B"/>
    <w:rsid w:val="2D0D1210"/>
    <w:rsid w:val="2D205DF5"/>
    <w:rsid w:val="2D6C3F53"/>
    <w:rsid w:val="2D6F2A08"/>
    <w:rsid w:val="2D7A708A"/>
    <w:rsid w:val="2D986A7C"/>
    <w:rsid w:val="2DB53F1B"/>
    <w:rsid w:val="2DD31C58"/>
    <w:rsid w:val="2DEA2F02"/>
    <w:rsid w:val="2E0D6B3A"/>
    <w:rsid w:val="2E386100"/>
    <w:rsid w:val="2E3A4E93"/>
    <w:rsid w:val="2E4F2F2D"/>
    <w:rsid w:val="2E671B3F"/>
    <w:rsid w:val="2E69279B"/>
    <w:rsid w:val="2E813A2E"/>
    <w:rsid w:val="2E921BC1"/>
    <w:rsid w:val="2E987B5A"/>
    <w:rsid w:val="2E9D3756"/>
    <w:rsid w:val="2ED71151"/>
    <w:rsid w:val="2EEB534C"/>
    <w:rsid w:val="2EFB0B3C"/>
    <w:rsid w:val="2F1300E5"/>
    <w:rsid w:val="2F3B21A6"/>
    <w:rsid w:val="2F503401"/>
    <w:rsid w:val="2F5B4CE0"/>
    <w:rsid w:val="2F5C1340"/>
    <w:rsid w:val="2F5D4FF9"/>
    <w:rsid w:val="2F6457B2"/>
    <w:rsid w:val="2F666780"/>
    <w:rsid w:val="2F7E3ACA"/>
    <w:rsid w:val="2F8135BA"/>
    <w:rsid w:val="2F8D101C"/>
    <w:rsid w:val="2F9039F3"/>
    <w:rsid w:val="2FB63264"/>
    <w:rsid w:val="2FE85A33"/>
    <w:rsid w:val="2FF4525E"/>
    <w:rsid w:val="300D602F"/>
    <w:rsid w:val="30434F34"/>
    <w:rsid w:val="30551C7E"/>
    <w:rsid w:val="305C1DF5"/>
    <w:rsid w:val="307A6139"/>
    <w:rsid w:val="307D0225"/>
    <w:rsid w:val="30845CF8"/>
    <w:rsid w:val="3095731D"/>
    <w:rsid w:val="30A552E1"/>
    <w:rsid w:val="30AB6B41"/>
    <w:rsid w:val="30C145B6"/>
    <w:rsid w:val="30C330A2"/>
    <w:rsid w:val="30E26F4D"/>
    <w:rsid w:val="31032820"/>
    <w:rsid w:val="31366ABD"/>
    <w:rsid w:val="31575E0E"/>
    <w:rsid w:val="315F3110"/>
    <w:rsid w:val="3163566D"/>
    <w:rsid w:val="31847465"/>
    <w:rsid w:val="31D83F94"/>
    <w:rsid w:val="31DD71CE"/>
    <w:rsid w:val="31DE379A"/>
    <w:rsid w:val="31F055F6"/>
    <w:rsid w:val="321B2CF5"/>
    <w:rsid w:val="325D0CD4"/>
    <w:rsid w:val="327B69E7"/>
    <w:rsid w:val="327D0402"/>
    <w:rsid w:val="32A61FCC"/>
    <w:rsid w:val="32C0465B"/>
    <w:rsid w:val="32CE6B16"/>
    <w:rsid w:val="32D54349"/>
    <w:rsid w:val="33000244"/>
    <w:rsid w:val="3319111C"/>
    <w:rsid w:val="33366578"/>
    <w:rsid w:val="338646B0"/>
    <w:rsid w:val="33896EE1"/>
    <w:rsid w:val="33A45AC9"/>
    <w:rsid w:val="33A63D3F"/>
    <w:rsid w:val="33AA7583"/>
    <w:rsid w:val="33D3298D"/>
    <w:rsid w:val="33D41912"/>
    <w:rsid w:val="33DB773D"/>
    <w:rsid w:val="33F61B9F"/>
    <w:rsid w:val="33FB1B8D"/>
    <w:rsid w:val="3425351D"/>
    <w:rsid w:val="3442156A"/>
    <w:rsid w:val="34864572"/>
    <w:rsid w:val="349808FF"/>
    <w:rsid w:val="34B155AA"/>
    <w:rsid w:val="34B7799F"/>
    <w:rsid w:val="34BE18EB"/>
    <w:rsid w:val="34BF7A35"/>
    <w:rsid w:val="34C80E50"/>
    <w:rsid w:val="34DB1C6D"/>
    <w:rsid w:val="35095BB0"/>
    <w:rsid w:val="350D3521"/>
    <w:rsid w:val="35262805"/>
    <w:rsid w:val="352D343A"/>
    <w:rsid w:val="353A6D2D"/>
    <w:rsid w:val="35407683"/>
    <w:rsid w:val="3560476E"/>
    <w:rsid w:val="357342CB"/>
    <w:rsid w:val="357F234A"/>
    <w:rsid w:val="35956011"/>
    <w:rsid w:val="35A207D8"/>
    <w:rsid w:val="35A51DD0"/>
    <w:rsid w:val="35CC03C4"/>
    <w:rsid w:val="36202DD1"/>
    <w:rsid w:val="36345F74"/>
    <w:rsid w:val="365629B3"/>
    <w:rsid w:val="36603F29"/>
    <w:rsid w:val="366C2AF8"/>
    <w:rsid w:val="36720821"/>
    <w:rsid w:val="36CF7301"/>
    <w:rsid w:val="36E43B49"/>
    <w:rsid w:val="36F31241"/>
    <w:rsid w:val="3708704A"/>
    <w:rsid w:val="37105321"/>
    <w:rsid w:val="37570C1D"/>
    <w:rsid w:val="375D7E76"/>
    <w:rsid w:val="37755EB7"/>
    <w:rsid w:val="37807888"/>
    <w:rsid w:val="37873738"/>
    <w:rsid w:val="37941424"/>
    <w:rsid w:val="37AD13F0"/>
    <w:rsid w:val="37C96B2D"/>
    <w:rsid w:val="37F0121B"/>
    <w:rsid w:val="37F214F9"/>
    <w:rsid w:val="381416F0"/>
    <w:rsid w:val="384A4E91"/>
    <w:rsid w:val="38533CA9"/>
    <w:rsid w:val="3868086E"/>
    <w:rsid w:val="3869436C"/>
    <w:rsid w:val="38754CFF"/>
    <w:rsid w:val="388138D0"/>
    <w:rsid w:val="388B18D0"/>
    <w:rsid w:val="38BB7B3D"/>
    <w:rsid w:val="38C70290"/>
    <w:rsid w:val="38CA6BA3"/>
    <w:rsid w:val="38E057F5"/>
    <w:rsid w:val="38E30E42"/>
    <w:rsid w:val="38EF3348"/>
    <w:rsid w:val="38F36F52"/>
    <w:rsid w:val="39027F6D"/>
    <w:rsid w:val="39072D82"/>
    <w:rsid w:val="391A0D07"/>
    <w:rsid w:val="392C38FE"/>
    <w:rsid w:val="39302E30"/>
    <w:rsid w:val="394B49F2"/>
    <w:rsid w:val="395D73C0"/>
    <w:rsid w:val="3964489B"/>
    <w:rsid w:val="39677CC5"/>
    <w:rsid w:val="396D4363"/>
    <w:rsid w:val="397D5C71"/>
    <w:rsid w:val="398C450B"/>
    <w:rsid w:val="39A27D95"/>
    <w:rsid w:val="39A30FAD"/>
    <w:rsid w:val="39B35E27"/>
    <w:rsid w:val="39C26CA9"/>
    <w:rsid w:val="39DF76B4"/>
    <w:rsid w:val="3A0379ED"/>
    <w:rsid w:val="3A0743D6"/>
    <w:rsid w:val="3A3B4A7C"/>
    <w:rsid w:val="3A9C5889"/>
    <w:rsid w:val="3B0300BA"/>
    <w:rsid w:val="3B103205"/>
    <w:rsid w:val="3B2319C9"/>
    <w:rsid w:val="3B2C125E"/>
    <w:rsid w:val="3B40382E"/>
    <w:rsid w:val="3B4909A7"/>
    <w:rsid w:val="3B706D2B"/>
    <w:rsid w:val="3B7A5A8D"/>
    <w:rsid w:val="3B900E71"/>
    <w:rsid w:val="3B903503"/>
    <w:rsid w:val="3B96663F"/>
    <w:rsid w:val="3B967BC8"/>
    <w:rsid w:val="3BC7074D"/>
    <w:rsid w:val="3BDA3232"/>
    <w:rsid w:val="3C0567E7"/>
    <w:rsid w:val="3C362D65"/>
    <w:rsid w:val="3C547DBA"/>
    <w:rsid w:val="3C5A7719"/>
    <w:rsid w:val="3C71787E"/>
    <w:rsid w:val="3C766FF7"/>
    <w:rsid w:val="3C8F5568"/>
    <w:rsid w:val="3C964B49"/>
    <w:rsid w:val="3C9831CD"/>
    <w:rsid w:val="3CB60D47"/>
    <w:rsid w:val="3CB92798"/>
    <w:rsid w:val="3CEC3782"/>
    <w:rsid w:val="3CF03B2D"/>
    <w:rsid w:val="3CF8135F"/>
    <w:rsid w:val="3D005751"/>
    <w:rsid w:val="3D2E7CF5"/>
    <w:rsid w:val="3D6A7A3F"/>
    <w:rsid w:val="3D8475ED"/>
    <w:rsid w:val="3D8726E3"/>
    <w:rsid w:val="3D9133ED"/>
    <w:rsid w:val="3D9A7407"/>
    <w:rsid w:val="3DB72FC9"/>
    <w:rsid w:val="3DBA03C3"/>
    <w:rsid w:val="3DC47494"/>
    <w:rsid w:val="3DDC47DD"/>
    <w:rsid w:val="3DF02037"/>
    <w:rsid w:val="3E0C29CB"/>
    <w:rsid w:val="3E111FAD"/>
    <w:rsid w:val="3E1438A5"/>
    <w:rsid w:val="3E467EA9"/>
    <w:rsid w:val="3E4800C5"/>
    <w:rsid w:val="3E5949BE"/>
    <w:rsid w:val="3E6977ED"/>
    <w:rsid w:val="3E974BA8"/>
    <w:rsid w:val="3EB53979"/>
    <w:rsid w:val="3ECC2AA4"/>
    <w:rsid w:val="3ED06C72"/>
    <w:rsid w:val="3EE85802"/>
    <w:rsid w:val="3F06105C"/>
    <w:rsid w:val="3F0A7128"/>
    <w:rsid w:val="3F11193A"/>
    <w:rsid w:val="3F472EC1"/>
    <w:rsid w:val="3F9179BC"/>
    <w:rsid w:val="3FAF7652"/>
    <w:rsid w:val="3FB91F06"/>
    <w:rsid w:val="3FC76DC7"/>
    <w:rsid w:val="3FCC262F"/>
    <w:rsid w:val="3FCF2120"/>
    <w:rsid w:val="3FD9375B"/>
    <w:rsid w:val="3FEF631E"/>
    <w:rsid w:val="40143827"/>
    <w:rsid w:val="40172C0E"/>
    <w:rsid w:val="40324B88"/>
    <w:rsid w:val="405A10B2"/>
    <w:rsid w:val="4065225E"/>
    <w:rsid w:val="408C567A"/>
    <w:rsid w:val="40930E3F"/>
    <w:rsid w:val="40DE32EB"/>
    <w:rsid w:val="40FB141E"/>
    <w:rsid w:val="40FC0CF2"/>
    <w:rsid w:val="412D71DE"/>
    <w:rsid w:val="416C485A"/>
    <w:rsid w:val="41721093"/>
    <w:rsid w:val="41A25A1E"/>
    <w:rsid w:val="41A75102"/>
    <w:rsid w:val="41D5051C"/>
    <w:rsid w:val="41D57EC1"/>
    <w:rsid w:val="41D93646"/>
    <w:rsid w:val="422B280E"/>
    <w:rsid w:val="422C5302"/>
    <w:rsid w:val="42302AF1"/>
    <w:rsid w:val="42420B28"/>
    <w:rsid w:val="424C4B06"/>
    <w:rsid w:val="42552DB0"/>
    <w:rsid w:val="42666D6B"/>
    <w:rsid w:val="429E3832"/>
    <w:rsid w:val="42C87A9C"/>
    <w:rsid w:val="42EE4396"/>
    <w:rsid w:val="432033BE"/>
    <w:rsid w:val="43215097"/>
    <w:rsid w:val="432B3B11"/>
    <w:rsid w:val="432B78CC"/>
    <w:rsid w:val="43335793"/>
    <w:rsid w:val="433E3844"/>
    <w:rsid w:val="434D1CD9"/>
    <w:rsid w:val="43504A5C"/>
    <w:rsid w:val="43560B8E"/>
    <w:rsid w:val="43666078"/>
    <w:rsid w:val="437629AE"/>
    <w:rsid w:val="437D2606"/>
    <w:rsid w:val="43974D0D"/>
    <w:rsid w:val="43BB7080"/>
    <w:rsid w:val="43BE61A8"/>
    <w:rsid w:val="43D0692B"/>
    <w:rsid w:val="43DA56DD"/>
    <w:rsid w:val="43EE0B63"/>
    <w:rsid w:val="441D78FE"/>
    <w:rsid w:val="442D019F"/>
    <w:rsid w:val="44370871"/>
    <w:rsid w:val="443B5FD6"/>
    <w:rsid w:val="444529B0"/>
    <w:rsid w:val="445B0426"/>
    <w:rsid w:val="445F7F16"/>
    <w:rsid w:val="446369C0"/>
    <w:rsid w:val="447913F5"/>
    <w:rsid w:val="449201EC"/>
    <w:rsid w:val="44AA1CB0"/>
    <w:rsid w:val="44AD0C81"/>
    <w:rsid w:val="44B518E4"/>
    <w:rsid w:val="44CE24E4"/>
    <w:rsid w:val="44D16A09"/>
    <w:rsid w:val="44D33F5C"/>
    <w:rsid w:val="44D90521"/>
    <w:rsid w:val="44E52F1F"/>
    <w:rsid w:val="45060392"/>
    <w:rsid w:val="450E440F"/>
    <w:rsid w:val="45502007"/>
    <w:rsid w:val="45647E2F"/>
    <w:rsid w:val="45763769"/>
    <w:rsid w:val="457B0D80"/>
    <w:rsid w:val="457C5EE2"/>
    <w:rsid w:val="4580392B"/>
    <w:rsid w:val="45883F8A"/>
    <w:rsid w:val="45B7168C"/>
    <w:rsid w:val="45EA7CB3"/>
    <w:rsid w:val="45EF0E26"/>
    <w:rsid w:val="45F04858"/>
    <w:rsid w:val="4606799E"/>
    <w:rsid w:val="46225844"/>
    <w:rsid w:val="4629386F"/>
    <w:rsid w:val="466174A4"/>
    <w:rsid w:val="468B197E"/>
    <w:rsid w:val="46CB3641"/>
    <w:rsid w:val="46D52AA1"/>
    <w:rsid w:val="470E5183"/>
    <w:rsid w:val="471F4F7F"/>
    <w:rsid w:val="47264D1B"/>
    <w:rsid w:val="472F1E22"/>
    <w:rsid w:val="47413903"/>
    <w:rsid w:val="47501D1D"/>
    <w:rsid w:val="479B2B65"/>
    <w:rsid w:val="47E241F2"/>
    <w:rsid w:val="47E32E09"/>
    <w:rsid w:val="47E67EE1"/>
    <w:rsid w:val="47F05DF8"/>
    <w:rsid w:val="47FB1B88"/>
    <w:rsid w:val="483C6C28"/>
    <w:rsid w:val="484C22AF"/>
    <w:rsid w:val="48790270"/>
    <w:rsid w:val="488B7FA6"/>
    <w:rsid w:val="488D2155"/>
    <w:rsid w:val="48AC59F4"/>
    <w:rsid w:val="48C742DC"/>
    <w:rsid w:val="48C90054"/>
    <w:rsid w:val="48DB6F66"/>
    <w:rsid w:val="49057F3E"/>
    <w:rsid w:val="49152575"/>
    <w:rsid w:val="493D11A5"/>
    <w:rsid w:val="49497376"/>
    <w:rsid w:val="49913258"/>
    <w:rsid w:val="49AD56D2"/>
    <w:rsid w:val="49CE0CA6"/>
    <w:rsid w:val="49DF2FA3"/>
    <w:rsid w:val="49ED1963"/>
    <w:rsid w:val="49ED1B20"/>
    <w:rsid w:val="49EF3AEA"/>
    <w:rsid w:val="49F37251"/>
    <w:rsid w:val="49F41BF1"/>
    <w:rsid w:val="49FE18E4"/>
    <w:rsid w:val="4A2B6493"/>
    <w:rsid w:val="4A570B81"/>
    <w:rsid w:val="4A596A5D"/>
    <w:rsid w:val="4A7D708F"/>
    <w:rsid w:val="4A9936CA"/>
    <w:rsid w:val="4AC43147"/>
    <w:rsid w:val="4ACC2191"/>
    <w:rsid w:val="4AE01685"/>
    <w:rsid w:val="4B967555"/>
    <w:rsid w:val="4BA41081"/>
    <w:rsid w:val="4BAE7BD6"/>
    <w:rsid w:val="4BE56F53"/>
    <w:rsid w:val="4C07336D"/>
    <w:rsid w:val="4C516396"/>
    <w:rsid w:val="4C624E51"/>
    <w:rsid w:val="4C6F5D75"/>
    <w:rsid w:val="4C8614A0"/>
    <w:rsid w:val="4CAC181F"/>
    <w:rsid w:val="4CB90B4A"/>
    <w:rsid w:val="4D011E35"/>
    <w:rsid w:val="4D1A70AD"/>
    <w:rsid w:val="4D4D66ED"/>
    <w:rsid w:val="4D53629A"/>
    <w:rsid w:val="4D896AAF"/>
    <w:rsid w:val="4D927727"/>
    <w:rsid w:val="4DBA3D68"/>
    <w:rsid w:val="4DC350E6"/>
    <w:rsid w:val="4DCE7CC5"/>
    <w:rsid w:val="4DD94895"/>
    <w:rsid w:val="4DDB03CA"/>
    <w:rsid w:val="4DDF58BD"/>
    <w:rsid w:val="4E295649"/>
    <w:rsid w:val="4E2C3E2E"/>
    <w:rsid w:val="4E434405"/>
    <w:rsid w:val="4E493156"/>
    <w:rsid w:val="4E6C5A7D"/>
    <w:rsid w:val="4E6D51A2"/>
    <w:rsid w:val="4E9B1B4B"/>
    <w:rsid w:val="4EC74D90"/>
    <w:rsid w:val="4EE72FE2"/>
    <w:rsid w:val="4EFE738A"/>
    <w:rsid w:val="4F330037"/>
    <w:rsid w:val="4F6B7B7D"/>
    <w:rsid w:val="4F840FDE"/>
    <w:rsid w:val="4F8A0ABB"/>
    <w:rsid w:val="502B260A"/>
    <w:rsid w:val="502D383A"/>
    <w:rsid w:val="503277C4"/>
    <w:rsid w:val="506B19F1"/>
    <w:rsid w:val="507B2035"/>
    <w:rsid w:val="50B62F90"/>
    <w:rsid w:val="50D729C1"/>
    <w:rsid w:val="50FE4613"/>
    <w:rsid w:val="510065DD"/>
    <w:rsid w:val="511F7635"/>
    <w:rsid w:val="512978E2"/>
    <w:rsid w:val="5187033E"/>
    <w:rsid w:val="51990B70"/>
    <w:rsid w:val="51B3364F"/>
    <w:rsid w:val="51B615DA"/>
    <w:rsid w:val="51CF5615"/>
    <w:rsid w:val="51D41141"/>
    <w:rsid w:val="51DA0BDC"/>
    <w:rsid w:val="51E101BC"/>
    <w:rsid w:val="5200518F"/>
    <w:rsid w:val="52111515"/>
    <w:rsid w:val="52115DFD"/>
    <w:rsid w:val="523830D8"/>
    <w:rsid w:val="525E7A5F"/>
    <w:rsid w:val="52A124AC"/>
    <w:rsid w:val="52B0193D"/>
    <w:rsid w:val="52F14A35"/>
    <w:rsid w:val="53430A03"/>
    <w:rsid w:val="53453EF9"/>
    <w:rsid w:val="537961D3"/>
    <w:rsid w:val="537E1A3B"/>
    <w:rsid w:val="537E7219"/>
    <w:rsid w:val="53AE1474"/>
    <w:rsid w:val="53CC6C4A"/>
    <w:rsid w:val="53E73F9D"/>
    <w:rsid w:val="542B47E5"/>
    <w:rsid w:val="5463665A"/>
    <w:rsid w:val="54737C15"/>
    <w:rsid w:val="54867B4F"/>
    <w:rsid w:val="5489364B"/>
    <w:rsid w:val="549A28A4"/>
    <w:rsid w:val="54D80C35"/>
    <w:rsid w:val="54D86D8D"/>
    <w:rsid w:val="54F16968"/>
    <w:rsid w:val="554B067D"/>
    <w:rsid w:val="554C1DF1"/>
    <w:rsid w:val="555111B5"/>
    <w:rsid w:val="55583A1F"/>
    <w:rsid w:val="55624988"/>
    <w:rsid w:val="55651104"/>
    <w:rsid w:val="55705033"/>
    <w:rsid w:val="557D617C"/>
    <w:rsid w:val="557D70BE"/>
    <w:rsid w:val="55A36912"/>
    <w:rsid w:val="55CE4587"/>
    <w:rsid w:val="5603032A"/>
    <w:rsid w:val="560D2D97"/>
    <w:rsid w:val="5624337B"/>
    <w:rsid w:val="56332F20"/>
    <w:rsid w:val="56861332"/>
    <w:rsid w:val="56E6539B"/>
    <w:rsid w:val="56E827E2"/>
    <w:rsid w:val="56E96FC6"/>
    <w:rsid w:val="570B1838"/>
    <w:rsid w:val="57103B34"/>
    <w:rsid w:val="5714694D"/>
    <w:rsid w:val="571B5F1F"/>
    <w:rsid w:val="572C012C"/>
    <w:rsid w:val="57340E32"/>
    <w:rsid w:val="5737024E"/>
    <w:rsid w:val="574A1DC1"/>
    <w:rsid w:val="576A0C54"/>
    <w:rsid w:val="57825F9E"/>
    <w:rsid w:val="579E08FE"/>
    <w:rsid w:val="57A04676"/>
    <w:rsid w:val="57CC7219"/>
    <w:rsid w:val="57E83927"/>
    <w:rsid w:val="57F549C2"/>
    <w:rsid w:val="580547FF"/>
    <w:rsid w:val="5809010E"/>
    <w:rsid w:val="581A6F83"/>
    <w:rsid w:val="582A0AC8"/>
    <w:rsid w:val="582E1C82"/>
    <w:rsid w:val="583525C6"/>
    <w:rsid w:val="583F79A7"/>
    <w:rsid w:val="588E0FF2"/>
    <w:rsid w:val="589932BB"/>
    <w:rsid w:val="58F5055B"/>
    <w:rsid w:val="58FC3E36"/>
    <w:rsid w:val="59264674"/>
    <w:rsid w:val="593B4656"/>
    <w:rsid w:val="5966544B"/>
    <w:rsid w:val="596801AA"/>
    <w:rsid w:val="596B480F"/>
    <w:rsid w:val="596F1852"/>
    <w:rsid w:val="59831B59"/>
    <w:rsid w:val="5987789B"/>
    <w:rsid w:val="5992473D"/>
    <w:rsid w:val="59A71F8F"/>
    <w:rsid w:val="59AC5554"/>
    <w:rsid w:val="59B61F2F"/>
    <w:rsid w:val="59D251A4"/>
    <w:rsid w:val="5A026F22"/>
    <w:rsid w:val="5A16575C"/>
    <w:rsid w:val="5A175510"/>
    <w:rsid w:val="5A225816"/>
    <w:rsid w:val="5A244218"/>
    <w:rsid w:val="5A5F15A1"/>
    <w:rsid w:val="5A8B5169"/>
    <w:rsid w:val="5A954EAF"/>
    <w:rsid w:val="5A975B2D"/>
    <w:rsid w:val="5ABB4A59"/>
    <w:rsid w:val="5AC230A5"/>
    <w:rsid w:val="5ACE32A8"/>
    <w:rsid w:val="5B070F30"/>
    <w:rsid w:val="5B1D06EE"/>
    <w:rsid w:val="5B3E7A46"/>
    <w:rsid w:val="5B4041A6"/>
    <w:rsid w:val="5B907B59"/>
    <w:rsid w:val="5B975D90"/>
    <w:rsid w:val="5B9D0C40"/>
    <w:rsid w:val="5BA858A7"/>
    <w:rsid w:val="5BAB5771"/>
    <w:rsid w:val="5BC87CF7"/>
    <w:rsid w:val="5BE014E5"/>
    <w:rsid w:val="5BE12E48"/>
    <w:rsid w:val="5BF44728"/>
    <w:rsid w:val="5BFB5EB2"/>
    <w:rsid w:val="5C0276AD"/>
    <w:rsid w:val="5C1271C4"/>
    <w:rsid w:val="5C317F92"/>
    <w:rsid w:val="5C495DD3"/>
    <w:rsid w:val="5C4E06E7"/>
    <w:rsid w:val="5C593A80"/>
    <w:rsid w:val="5C7B2FBB"/>
    <w:rsid w:val="5CC901CB"/>
    <w:rsid w:val="5CEB6393"/>
    <w:rsid w:val="5D041CF2"/>
    <w:rsid w:val="5D0D6309"/>
    <w:rsid w:val="5D101956"/>
    <w:rsid w:val="5D2378DB"/>
    <w:rsid w:val="5D2418A5"/>
    <w:rsid w:val="5D272928"/>
    <w:rsid w:val="5D2B2C34"/>
    <w:rsid w:val="5D4F03EF"/>
    <w:rsid w:val="5D905C05"/>
    <w:rsid w:val="5DAA7FFC"/>
    <w:rsid w:val="5DCD0AC1"/>
    <w:rsid w:val="5E02038B"/>
    <w:rsid w:val="5E224037"/>
    <w:rsid w:val="5E2C27BF"/>
    <w:rsid w:val="5E3E0FB2"/>
    <w:rsid w:val="5E9774D4"/>
    <w:rsid w:val="5EC96260"/>
    <w:rsid w:val="5EE67330"/>
    <w:rsid w:val="5F092881"/>
    <w:rsid w:val="5F212FF8"/>
    <w:rsid w:val="5F21580E"/>
    <w:rsid w:val="5F245B8C"/>
    <w:rsid w:val="5F27742B"/>
    <w:rsid w:val="5F571ABE"/>
    <w:rsid w:val="5F8B27B8"/>
    <w:rsid w:val="5F8D1984"/>
    <w:rsid w:val="5FB7255D"/>
    <w:rsid w:val="5FB72636"/>
    <w:rsid w:val="5FCB425A"/>
    <w:rsid w:val="5FED41D0"/>
    <w:rsid w:val="5FFF7CA9"/>
    <w:rsid w:val="60017C7C"/>
    <w:rsid w:val="600B3636"/>
    <w:rsid w:val="600B50C4"/>
    <w:rsid w:val="60326087"/>
    <w:rsid w:val="6060486B"/>
    <w:rsid w:val="608A7C71"/>
    <w:rsid w:val="60DE7CF2"/>
    <w:rsid w:val="611E2E9B"/>
    <w:rsid w:val="612B0E8B"/>
    <w:rsid w:val="6191721C"/>
    <w:rsid w:val="619743F4"/>
    <w:rsid w:val="619D6AD3"/>
    <w:rsid w:val="619D7131"/>
    <w:rsid w:val="61B56F70"/>
    <w:rsid w:val="61D45A07"/>
    <w:rsid w:val="61DE071F"/>
    <w:rsid w:val="6218157F"/>
    <w:rsid w:val="62204E98"/>
    <w:rsid w:val="62553AB2"/>
    <w:rsid w:val="62633B2A"/>
    <w:rsid w:val="6291178B"/>
    <w:rsid w:val="62956105"/>
    <w:rsid w:val="62997C74"/>
    <w:rsid w:val="62A77FE2"/>
    <w:rsid w:val="62BB05B6"/>
    <w:rsid w:val="62E55633"/>
    <w:rsid w:val="631F28F3"/>
    <w:rsid w:val="634041A9"/>
    <w:rsid w:val="63652AF7"/>
    <w:rsid w:val="63805167"/>
    <w:rsid w:val="63832876"/>
    <w:rsid w:val="638442E1"/>
    <w:rsid w:val="63946ADD"/>
    <w:rsid w:val="63972DD1"/>
    <w:rsid w:val="640929F0"/>
    <w:rsid w:val="64B41760"/>
    <w:rsid w:val="64B905C0"/>
    <w:rsid w:val="64CF7BEB"/>
    <w:rsid w:val="65187528"/>
    <w:rsid w:val="65200BA4"/>
    <w:rsid w:val="65202952"/>
    <w:rsid w:val="656C147B"/>
    <w:rsid w:val="65832223"/>
    <w:rsid w:val="664A7A0D"/>
    <w:rsid w:val="665723A3"/>
    <w:rsid w:val="66901382"/>
    <w:rsid w:val="66E63727"/>
    <w:rsid w:val="66FB3677"/>
    <w:rsid w:val="670F0ED0"/>
    <w:rsid w:val="671A190B"/>
    <w:rsid w:val="6731767E"/>
    <w:rsid w:val="67335956"/>
    <w:rsid w:val="67925807"/>
    <w:rsid w:val="67DA14DE"/>
    <w:rsid w:val="68016B77"/>
    <w:rsid w:val="68246BFD"/>
    <w:rsid w:val="68291AF5"/>
    <w:rsid w:val="68294213"/>
    <w:rsid w:val="68307014"/>
    <w:rsid w:val="687047EC"/>
    <w:rsid w:val="68774F7F"/>
    <w:rsid w:val="68A06712"/>
    <w:rsid w:val="68E1689C"/>
    <w:rsid w:val="68EF4B15"/>
    <w:rsid w:val="68FD36D6"/>
    <w:rsid w:val="690C2F01"/>
    <w:rsid w:val="691438F8"/>
    <w:rsid w:val="692A3B68"/>
    <w:rsid w:val="69325697"/>
    <w:rsid w:val="693A4663"/>
    <w:rsid w:val="696A147D"/>
    <w:rsid w:val="698536CB"/>
    <w:rsid w:val="699B0FA7"/>
    <w:rsid w:val="699F0403"/>
    <w:rsid w:val="6A257C7E"/>
    <w:rsid w:val="6A2C3B47"/>
    <w:rsid w:val="6A38073E"/>
    <w:rsid w:val="6A771266"/>
    <w:rsid w:val="6A927E4E"/>
    <w:rsid w:val="6AB061AF"/>
    <w:rsid w:val="6AED0C62"/>
    <w:rsid w:val="6AEF34F2"/>
    <w:rsid w:val="6AEF704E"/>
    <w:rsid w:val="6AF66468"/>
    <w:rsid w:val="6AF86E22"/>
    <w:rsid w:val="6AF97ECD"/>
    <w:rsid w:val="6B170353"/>
    <w:rsid w:val="6B276638"/>
    <w:rsid w:val="6B5F2CBB"/>
    <w:rsid w:val="6B850358"/>
    <w:rsid w:val="6B8A321B"/>
    <w:rsid w:val="6B99520C"/>
    <w:rsid w:val="6BA23990"/>
    <w:rsid w:val="6BA918F3"/>
    <w:rsid w:val="6BA92A8C"/>
    <w:rsid w:val="6BAF5D69"/>
    <w:rsid w:val="6BBF6B35"/>
    <w:rsid w:val="6BD40CFD"/>
    <w:rsid w:val="6C022DB1"/>
    <w:rsid w:val="6C0F240A"/>
    <w:rsid w:val="6C2271E5"/>
    <w:rsid w:val="6C6139A2"/>
    <w:rsid w:val="6C643A6C"/>
    <w:rsid w:val="6C6475C8"/>
    <w:rsid w:val="6C6B059F"/>
    <w:rsid w:val="6C7259E8"/>
    <w:rsid w:val="6C8C5F63"/>
    <w:rsid w:val="6CAB169B"/>
    <w:rsid w:val="6CF4147E"/>
    <w:rsid w:val="6CFA34DB"/>
    <w:rsid w:val="6CFD6829"/>
    <w:rsid w:val="6D330230"/>
    <w:rsid w:val="6D332F6E"/>
    <w:rsid w:val="6D396B87"/>
    <w:rsid w:val="6DB265D8"/>
    <w:rsid w:val="6DB301A4"/>
    <w:rsid w:val="6DD84920"/>
    <w:rsid w:val="6DDB5D1F"/>
    <w:rsid w:val="6DE210EC"/>
    <w:rsid w:val="6DE82115"/>
    <w:rsid w:val="6DF14E2F"/>
    <w:rsid w:val="6DFB5D0A"/>
    <w:rsid w:val="6E182D60"/>
    <w:rsid w:val="6E1F4FB0"/>
    <w:rsid w:val="6E3B25AB"/>
    <w:rsid w:val="6E465867"/>
    <w:rsid w:val="6E5246F3"/>
    <w:rsid w:val="6E8F319E"/>
    <w:rsid w:val="6E92178E"/>
    <w:rsid w:val="6EB4432A"/>
    <w:rsid w:val="6EF54E4F"/>
    <w:rsid w:val="6F1C062E"/>
    <w:rsid w:val="6F3326BD"/>
    <w:rsid w:val="6F3411C8"/>
    <w:rsid w:val="6F5B19D4"/>
    <w:rsid w:val="6FB1521A"/>
    <w:rsid w:val="6FBD5643"/>
    <w:rsid w:val="6FC50CC6"/>
    <w:rsid w:val="6FDF215C"/>
    <w:rsid w:val="6FF979C2"/>
    <w:rsid w:val="703608FF"/>
    <w:rsid w:val="703B0F88"/>
    <w:rsid w:val="707123F1"/>
    <w:rsid w:val="708F6BDE"/>
    <w:rsid w:val="709E7E1C"/>
    <w:rsid w:val="70A709CF"/>
    <w:rsid w:val="70AA1BAA"/>
    <w:rsid w:val="70C21E33"/>
    <w:rsid w:val="713954C7"/>
    <w:rsid w:val="71420EA7"/>
    <w:rsid w:val="714C45F2"/>
    <w:rsid w:val="714F4CEB"/>
    <w:rsid w:val="7150639A"/>
    <w:rsid w:val="715504AF"/>
    <w:rsid w:val="717C3606"/>
    <w:rsid w:val="719721EE"/>
    <w:rsid w:val="71B863AA"/>
    <w:rsid w:val="71B9524D"/>
    <w:rsid w:val="71D03848"/>
    <w:rsid w:val="71FE226D"/>
    <w:rsid w:val="72044045"/>
    <w:rsid w:val="720930EC"/>
    <w:rsid w:val="72440D8F"/>
    <w:rsid w:val="724701AA"/>
    <w:rsid w:val="72613BB4"/>
    <w:rsid w:val="72686DCB"/>
    <w:rsid w:val="72711D77"/>
    <w:rsid w:val="72734125"/>
    <w:rsid w:val="727918F3"/>
    <w:rsid w:val="72890BE1"/>
    <w:rsid w:val="729130E1"/>
    <w:rsid w:val="7297342D"/>
    <w:rsid w:val="72A66B8C"/>
    <w:rsid w:val="730750C4"/>
    <w:rsid w:val="73165394"/>
    <w:rsid w:val="733D0171"/>
    <w:rsid w:val="733E411A"/>
    <w:rsid w:val="734D525A"/>
    <w:rsid w:val="735006CC"/>
    <w:rsid w:val="7368312F"/>
    <w:rsid w:val="73913267"/>
    <w:rsid w:val="73A535EF"/>
    <w:rsid w:val="73B459E2"/>
    <w:rsid w:val="73B74455"/>
    <w:rsid w:val="73BE02D8"/>
    <w:rsid w:val="73BF1DDC"/>
    <w:rsid w:val="73D46E02"/>
    <w:rsid w:val="73ED07EB"/>
    <w:rsid w:val="73F456D6"/>
    <w:rsid w:val="74153FE8"/>
    <w:rsid w:val="741C39F8"/>
    <w:rsid w:val="74544D62"/>
    <w:rsid w:val="74657C79"/>
    <w:rsid w:val="748D4891"/>
    <w:rsid w:val="74B143F2"/>
    <w:rsid w:val="74B34C91"/>
    <w:rsid w:val="74B6734E"/>
    <w:rsid w:val="74BF52EA"/>
    <w:rsid w:val="74C6482B"/>
    <w:rsid w:val="752320C7"/>
    <w:rsid w:val="7530605E"/>
    <w:rsid w:val="756E4256"/>
    <w:rsid w:val="75917350"/>
    <w:rsid w:val="75CB690A"/>
    <w:rsid w:val="75D723B2"/>
    <w:rsid w:val="76157B85"/>
    <w:rsid w:val="762304F4"/>
    <w:rsid w:val="76393941"/>
    <w:rsid w:val="76584AFD"/>
    <w:rsid w:val="768E0063"/>
    <w:rsid w:val="76A809F9"/>
    <w:rsid w:val="76B37ACA"/>
    <w:rsid w:val="76BD3F62"/>
    <w:rsid w:val="77043BE9"/>
    <w:rsid w:val="770739C7"/>
    <w:rsid w:val="77A15B74"/>
    <w:rsid w:val="77D44857"/>
    <w:rsid w:val="77D75D2C"/>
    <w:rsid w:val="78197FA9"/>
    <w:rsid w:val="78375191"/>
    <w:rsid w:val="783A5034"/>
    <w:rsid w:val="78752699"/>
    <w:rsid w:val="788A190E"/>
    <w:rsid w:val="78B67C13"/>
    <w:rsid w:val="78C7785D"/>
    <w:rsid w:val="78CD6A8B"/>
    <w:rsid w:val="78D027F0"/>
    <w:rsid w:val="78F46178"/>
    <w:rsid w:val="79091C23"/>
    <w:rsid w:val="79107D4E"/>
    <w:rsid w:val="79133380"/>
    <w:rsid w:val="79144124"/>
    <w:rsid w:val="79353900"/>
    <w:rsid w:val="793C3B55"/>
    <w:rsid w:val="793F6CA3"/>
    <w:rsid w:val="794A04D7"/>
    <w:rsid w:val="795B6FC3"/>
    <w:rsid w:val="79746535"/>
    <w:rsid w:val="797647ED"/>
    <w:rsid w:val="79814165"/>
    <w:rsid w:val="7984574E"/>
    <w:rsid w:val="79927E6B"/>
    <w:rsid w:val="799C6F8D"/>
    <w:rsid w:val="79DD5887"/>
    <w:rsid w:val="7A13676F"/>
    <w:rsid w:val="7A387BE8"/>
    <w:rsid w:val="7A456C8B"/>
    <w:rsid w:val="7A4D74CC"/>
    <w:rsid w:val="7A523156"/>
    <w:rsid w:val="7A5428B9"/>
    <w:rsid w:val="7A60559B"/>
    <w:rsid w:val="7A682979"/>
    <w:rsid w:val="7A774EF1"/>
    <w:rsid w:val="7AB94F83"/>
    <w:rsid w:val="7AC843DE"/>
    <w:rsid w:val="7ADD5115"/>
    <w:rsid w:val="7AE9123F"/>
    <w:rsid w:val="7AED3D24"/>
    <w:rsid w:val="7AF34939"/>
    <w:rsid w:val="7AFC3A32"/>
    <w:rsid w:val="7B237139"/>
    <w:rsid w:val="7B323F28"/>
    <w:rsid w:val="7B446F42"/>
    <w:rsid w:val="7B4D150D"/>
    <w:rsid w:val="7B504D7D"/>
    <w:rsid w:val="7B533629"/>
    <w:rsid w:val="7B800B6B"/>
    <w:rsid w:val="7BAF26F5"/>
    <w:rsid w:val="7BB05565"/>
    <w:rsid w:val="7BBB5446"/>
    <w:rsid w:val="7BEA3458"/>
    <w:rsid w:val="7C0163B0"/>
    <w:rsid w:val="7C025169"/>
    <w:rsid w:val="7C127041"/>
    <w:rsid w:val="7C16204D"/>
    <w:rsid w:val="7C39281F"/>
    <w:rsid w:val="7C3D3992"/>
    <w:rsid w:val="7C682867"/>
    <w:rsid w:val="7C6B04FF"/>
    <w:rsid w:val="7C6C7F23"/>
    <w:rsid w:val="7CA51C7D"/>
    <w:rsid w:val="7CD05611"/>
    <w:rsid w:val="7CEB43CC"/>
    <w:rsid w:val="7D1F7C67"/>
    <w:rsid w:val="7D524A37"/>
    <w:rsid w:val="7D676F18"/>
    <w:rsid w:val="7D7D2BE0"/>
    <w:rsid w:val="7D8201F6"/>
    <w:rsid w:val="7DA0242A"/>
    <w:rsid w:val="7DA418C3"/>
    <w:rsid w:val="7DDA1DE0"/>
    <w:rsid w:val="7DEA78A4"/>
    <w:rsid w:val="7E1846B6"/>
    <w:rsid w:val="7E325778"/>
    <w:rsid w:val="7E454CA6"/>
    <w:rsid w:val="7E5C2B8F"/>
    <w:rsid w:val="7E6367F0"/>
    <w:rsid w:val="7E8B0CEF"/>
    <w:rsid w:val="7EA93097"/>
    <w:rsid w:val="7EDE41B3"/>
    <w:rsid w:val="7EE20BA9"/>
    <w:rsid w:val="7F143F12"/>
    <w:rsid w:val="7F1E3F4E"/>
    <w:rsid w:val="7F1E73A2"/>
    <w:rsid w:val="7F29005F"/>
    <w:rsid w:val="7F380545"/>
    <w:rsid w:val="7F5C7E39"/>
    <w:rsid w:val="7F6A4A9D"/>
    <w:rsid w:val="7F7973D7"/>
    <w:rsid w:val="7F9B2913"/>
    <w:rsid w:val="7FBD3767"/>
    <w:rsid w:val="7FBF5C47"/>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420" w:firstLineChars="200"/>
      <w:jc w:val="both"/>
      <w:pPrChange w:id="0" w:author="flx-wzy" w:date="2024-04-18T22:43:00Z">
        <w:pPr>
          <w:widowControl w:val="0"/>
          <w:jc w:val="both"/>
        </w:pPr>
      </w:pPrChange>
    </w:pPr>
    <w:rPr>
      <w:rFonts w:ascii="Times New Roman" w:hAnsi="Times New Roman" w:eastAsia="宋体" w:cs="Times New Roman"/>
      <w:kern w:val="2"/>
      <w:sz w:val="21"/>
      <w:szCs w:val="24"/>
      <w:lang w:val="en-US" w:eastAsia="zh-CN" w:bidi="ar-SA"/>
      <w:rPrChange w:id="1" w:author="flx-wzy" w:date="2024-04-18T22:43:00Z">
        <w:rPr>
          <w:rFonts w:eastAsia="宋体"/>
          <w:kern w:val="2"/>
          <w:sz w:val="21"/>
          <w:szCs w:val="24"/>
          <w:lang w:val="en-US" w:eastAsia="zh-CN" w:bidi="ar-SA"/>
        </w:rPr>
      </w:rPrChange>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rPr>
      <w:szCs w:val="20"/>
    </w:rPr>
  </w:style>
  <w:style w:type="paragraph" w:styleId="6">
    <w:name w:val="annotation text"/>
    <w:basedOn w:val="1"/>
    <w:link w:val="68"/>
    <w:autoRedefine/>
    <w:qFormat/>
    <w:uiPriority w:val="0"/>
    <w:pPr>
      <w:jc w:val="left"/>
      <w:pPrChange w:id="2" w:author="flx-wzy" w:date="2024-04-18T17:17:00Z">
        <w:pPr>
          <w:widowControl w:val="0"/>
        </w:pPr>
      </w:pPrChange>
    </w:pPr>
    <w:rPr>
      <w:rPrChange w:id="3" w:author="flx-wzy" w:date="2024-04-18T17:17:00Z">
        <w:rPr>
          <w:rFonts w:eastAsia="宋体"/>
          <w:kern w:val="2"/>
          <w:sz w:val="21"/>
          <w:szCs w:val="24"/>
          <w:lang w:val="en-US" w:eastAsia="zh-CN" w:bidi="ar-SA"/>
        </w:rPr>
      </w:rPrChange>
    </w:rPr>
  </w:style>
  <w:style w:type="paragraph" w:styleId="7">
    <w:name w:val="Body Text"/>
    <w:basedOn w:val="1"/>
    <w:next w:val="8"/>
    <w:autoRedefine/>
    <w:qFormat/>
    <w:uiPriority w:val="99"/>
    <w:pPr>
      <w:spacing w:after="120"/>
    </w:pPr>
  </w:style>
  <w:style w:type="paragraph" w:styleId="8">
    <w:name w:val="Title"/>
    <w:basedOn w:val="1"/>
    <w:next w:val="1"/>
    <w:autoRedefine/>
    <w:qFormat/>
    <w:uiPriority w:val="0"/>
    <w:pPr>
      <w:spacing w:before="240" w:after="60"/>
      <w:jc w:val="center"/>
      <w:outlineLvl w:val="0"/>
    </w:pPr>
    <w:rPr>
      <w:rFonts w:ascii="Calibri Light" w:hAnsi="Calibri Light"/>
      <w:b/>
      <w:bCs/>
      <w:sz w:val="32"/>
      <w:szCs w:val="32"/>
    </w:rPr>
  </w:style>
  <w:style w:type="paragraph" w:styleId="9">
    <w:name w:val="Body Text Indent"/>
    <w:basedOn w:val="1"/>
    <w:next w:val="10"/>
    <w:autoRedefine/>
    <w:qFormat/>
    <w:uiPriority w:val="0"/>
    <w:pPr>
      <w:snapToGrid w:val="0"/>
      <w:spacing w:line="360" w:lineRule="auto"/>
      <w:ind w:firstLine="538" w:firstLineChars="192"/>
    </w:pPr>
    <w:rPr>
      <w:rFonts w:ascii="仿宋_GB2312" w:eastAsia="仿宋_GB2312"/>
      <w:bCs/>
      <w:sz w:val="28"/>
      <w:szCs w:val="28"/>
    </w:rPr>
  </w:style>
  <w:style w:type="paragraph" w:styleId="10">
    <w:name w:val="Body Text First Indent 2"/>
    <w:basedOn w:val="9"/>
    <w:next w:val="1"/>
    <w:autoRedefine/>
    <w:unhideWhenUsed/>
    <w:qFormat/>
    <w:uiPriority w:val="0"/>
    <w:pPr>
      <w:spacing w:after="120" w:line="240" w:lineRule="auto"/>
      <w:ind w:left="420" w:leftChars="200" w:firstLine="420" w:firstLineChars="200"/>
    </w:pPr>
    <w:rPr>
      <w:sz w:val="21"/>
      <w:szCs w:val="21"/>
    </w:rPr>
  </w:style>
  <w:style w:type="paragraph" w:styleId="11">
    <w:name w:val="Plain Text"/>
    <w:basedOn w:val="1"/>
    <w:autoRedefine/>
    <w:qFormat/>
    <w:uiPriority w:val="0"/>
    <w:rPr>
      <w:rFonts w:ascii="宋体" w:hAnsi="Courier New"/>
      <w:szCs w:val="20"/>
    </w:rPr>
  </w:style>
  <w:style w:type="paragraph" w:styleId="12">
    <w:name w:val="Balloon Text"/>
    <w:basedOn w:val="1"/>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tabs>
        <w:tab w:val="right" w:leader="dot" w:pos="8393"/>
      </w:tabs>
      <w:spacing w:line="500" w:lineRule="exact"/>
      <w:ind w:firstLine="562"/>
      <w:pPrChange w:id="4" w:author="flx-wzy" w:date="2024-04-18T22:50:00Z">
        <w:pPr>
          <w:widowControl w:val="0"/>
          <w:spacing w:line="500" w:lineRule="exact"/>
          <w:ind w:firstLine="420" w:firstLineChars="200"/>
          <w:jc w:val="both"/>
        </w:pPr>
      </w:pPrChange>
    </w:pPr>
    <w:rPr>
      <w:rFonts w:ascii="宋体" w:hAnsi="宋体"/>
      <w:b/>
      <w:bCs/>
      <w:color w:val="000000"/>
      <w:sz w:val="28"/>
      <w:szCs w:val="28"/>
      <w:rPrChange w:id="5" w:author="flx-wzy" w:date="2024-04-18T22:50:00Z">
        <w:rPr>
          <w:rFonts w:ascii="宋体" w:hAnsi="宋体" w:eastAsia="宋体"/>
          <w:b/>
          <w:bCs/>
          <w:color w:val="000000"/>
          <w:kern w:val="2"/>
          <w:sz w:val="28"/>
          <w:szCs w:val="28"/>
          <w:lang w:val="en-US" w:eastAsia="zh-CN" w:bidi="ar-SA"/>
        </w:rPr>
      </w:rPrChange>
    </w:rPr>
  </w:style>
  <w:style w:type="paragraph" w:styleId="16">
    <w:name w:val="footnote text"/>
    <w:basedOn w:val="1"/>
    <w:autoRedefine/>
    <w:qFormat/>
    <w:uiPriority w:val="0"/>
    <w:pPr>
      <w:snapToGrid w:val="0"/>
    </w:pPr>
    <w:rPr>
      <w:sz w:val="18"/>
    </w:r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6"/>
    <w:next w:val="6"/>
    <w:link w:val="69"/>
    <w:autoRedefine/>
    <w:semiHidden/>
    <w:unhideWhenUsed/>
    <w:qFormat/>
    <w:uiPriority w:val="0"/>
    <w:rPr>
      <w:b/>
      <w:bCs/>
    </w:rPr>
  </w:style>
  <w:style w:type="paragraph" w:styleId="19">
    <w:name w:val="Body Text First Indent"/>
    <w:basedOn w:val="7"/>
    <w:autoRedefine/>
    <w:unhideWhenUsed/>
    <w:qFormat/>
    <w:uiPriority w:val="99"/>
    <w:pPr>
      <w:ind w:firstLineChars="100"/>
    </w:pPr>
    <w:rPr>
      <w:rFonts w:eastAsia="仿宋_GB2312"/>
      <w:sz w:val="32"/>
      <w:szCs w:val="22"/>
    </w:rPr>
  </w:style>
  <w:style w:type="table" w:styleId="21">
    <w:name w:val="Table Grid"/>
    <w:basedOn w:val="2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page number"/>
    <w:basedOn w:val="22"/>
    <w:autoRedefine/>
    <w:qFormat/>
    <w:uiPriority w:val="0"/>
  </w:style>
  <w:style w:type="character" w:styleId="25">
    <w:name w:val="FollowedHyperlink"/>
    <w:basedOn w:val="22"/>
    <w:autoRedefine/>
    <w:semiHidden/>
    <w:unhideWhenUsed/>
    <w:qFormat/>
    <w:uiPriority w:val="0"/>
    <w:rPr>
      <w:color w:val="428BCA"/>
      <w:u w:val="none"/>
    </w:rPr>
  </w:style>
  <w:style w:type="character" w:styleId="26">
    <w:name w:val="HTML Definition"/>
    <w:basedOn w:val="22"/>
    <w:autoRedefine/>
    <w:semiHidden/>
    <w:unhideWhenUsed/>
    <w:qFormat/>
    <w:uiPriority w:val="0"/>
    <w:rPr>
      <w:i/>
      <w:iCs/>
    </w:rPr>
  </w:style>
  <w:style w:type="character" w:styleId="27">
    <w:name w:val="Hyperlink"/>
    <w:basedOn w:val="22"/>
    <w:autoRedefine/>
    <w:qFormat/>
    <w:uiPriority w:val="0"/>
    <w:rPr>
      <w:color w:val="013F7C"/>
      <w:u w:val="none"/>
    </w:rPr>
  </w:style>
  <w:style w:type="character" w:styleId="28">
    <w:name w:val="HTML Code"/>
    <w:basedOn w:val="22"/>
    <w:autoRedefine/>
    <w:semiHidden/>
    <w:unhideWhenUsed/>
    <w:qFormat/>
    <w:uiPriority w:val="0"/>
    <w:rPr>
      <w:rFonts w:hint="default" w:ascii="Consolas" w:hAnsi="Consolas" w:eastAsia="Consolas" w:cs="Consolas"/>
      <w:color w:val="C7254E"/>
      <w:sz w:val="21"/>
      <w:szCs w:val="21"/>
      <w:shd w:val="clear" w:color="auto" w:fill="F9F2F4"/>
    </w:rPr>
  </w:style>
  <w:style w:type="character" w:styleId="29">
    <w:name w:val="annotation reference"/>
    <w:basedOn w:val="22"/>
    <w:autoRedefine/>
    <w:semiHidden/>
    <w:unhideWhenUsed/>
    <w:qFormat/>
    <w:uiPriority w:val="0"/>
    <w:rPr>
      <w:sz w:val="21"/>
      <w:szCs w:val="21"/>
    </w:rPr>
  </w:style>
  <w:style w:type="character" w:styleId="30">
    <w:name w:val="HTML Cite"/>
    <w:basedOn w:val="22"/>
    <w:autoRedefine/>
    <w:semiHidden/>
    <w:unhideWhenUsed/>
    <w:qFormat/>
    <w:uiPriority w:val="0"/>
  </w:style>
  <w:style w:type="character" w:styleId="31">
    <w:name w:val="HTML Keyboard"/>
    <w:basedOn w:val="22"/>
    <w:autoRedefine/>
    <w:semiHidden/>
    <w:unhideWhenUsed/>
    <w:qFormat/>
    <w:uiPriority w:val="0"/>
    <w:rPr>
      <w:rFonts w:hint="default" w:ascii="Consolas" w:hAnsi="Consolas" w:eastAsia="Consolas" w:cs="Consolas"/>
      <w:color w:val="FFFFFF"/>
      <w:sz w:val="21"/>
      <w:szCs w:val="21"/>
      <w:shd w:val="clear" w:color="auto" w:fill="333333"/>
    </w:rPr>
  </w:style>
  <w:style w:type="character" w:styleId="32">
    <w:name w:val="HTML Sample"/>
    <w:basedOn w:val="22"/>
    <w:autoRedefine/>
    <w:semiHidden/>
    <w:unhideWhenUsed/>
    <w:qFormat/>
    <w:uiPriority w:val="0"/>
    <w:rPr>
      <w:rFonts w:ascii="Consolas" w:hAnsi="Consolas" w:eastAsia="Consolas" w:cs="Consolas"/>
      <w:sz w:val="21"/>
      <w:szCs w:val="21"/>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paragraph" w:customStyle="1" w:styleId="34">
    <w:name w:val="正文缩进1"/>
    <w:basedOn w:val="1"/>
    <w:autoRedefine/>
    <w:qFormat/>
    <w:uiPriority w:val="0"/>
  </w:style>
  <w:style w:type="paragraph" w:customStyle="1" w:styleId="35">
    <w:name w:val="引用1"/>
    <w:basedOn w:val="1"/>
    <w:next w:val="1"/>
    <w:autoRedefine/>
    <w:qFormat/>
    <w:uiPriority w:val="99"/>
    <w:rPr>
      <w:rFonts w:ascii="Calibri" w:hAnsi="Calibri" w:cs="Calibri"/>
      <w:i/>
      <w:iCs/>
      <w:color w:val="000000"/>
      <w:sz w:val="22"/>
      <w:szCs w:val="22"/>
    </w:rPr>
  </w:style>
  <w:style w:type="paragraph" w:customStyle="1" w:styleId="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样式3"/>
    <w:basedOn w:val="11"/>
    <w:autoRedefine/>
    <w:qFormat/>
    <w:uiPriority w:val="0"/>
    <w:pPr>
      <w:spacing w:line="0" w:lineRule="atLeast"/>
      <w:outlineLvl w:val="0"/>
    </w:pPr>
    <w:rPr>
      <w:sz w:val="28"/>
      <w:szCs w:val="24"/>
    </w:rPr>
  </w:style>
  <w:style w:type="paragraph" w:customStyle="1" w:styleId="38">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39">
    <w:name w:val="Normal_18"/>
    <w:autoRedefine/>
    <w:qFormat/>
    <w:uiPriority w:val="0"/>
    <w:rPr>
      <w:rFonts w:ascii="Times New Roman" w:hAnsi="Times New Roman" w:eastAsia="宋体" w:cs="Times New Roman"/>
      <w:sz w:val="21"/>
      <w:lang w:val="en-US" w:eastAsia="zh-CN" w:bidi="ar-SA"/>
    </w:rPr>
  </w:style>
  <w:style w:type="character" w:customStyle="1" w:styleId="40">
    <w:name w:val="ndata"/>
    <w:basedOn w:val="22"/>
    <w:autoRedefine/>
    <w:qFormat/>
    <w:uiPriority w:val="0"/>
    <w:rPr>
      <w:color w:val="AAAAAA"/>
    </w:rPr>
  </w:style>
  <w:style w:type="character" w:customStyle="1" w:styleId="41">
    <w:name w:val="NormalCharacter"/>
    <w:autoRedefine/>
    <w:qFormat/>
    <w:uiPriority w:val="0"/>
    <w:rPr>
      <w:sz w:val="21"/>
      <w:lang w:val="en-US" w:eastAsia="zh-CN" w:bidi="ar-SA"/>
    </w:rPr>
  </w:style>
  <w:style w:type="paragraph" w:customStyle="1" w:styleId="42">
    <w:name w:val="正文2"/>
    <w:basedOn w:val="1"/>
    <w:autoRedefine/>
    <w:qFormat/>
    <w:uiPriority w:val="0"/>
    <w:pPr>
      <w:spacing w:before="156" w:line="360" w:lineRule="auto"/>
      <w:ind w:firstLine="510"/>
    </w:pPr>
    <w:rPr>
      <w:sz w:val="24"/>
    </w:rPr>
  </w:style>
  <w:style w:type="paragraph" w:customStyle="1" w:styleId="43">
    <w:name w:val="NormalIndent"/>
    <w:basedOn w:val="1"/>
    <w:autoRedefine/>
    <w:qFormat/>
    <w:uiPriority w:val="0"/>
    <w:pPr>
      <w:widowControl/>
      <w:ind w:firstLine="200"/>
      <w:textAlignment w:val="baseline"/>
    </w:pPr>
    <w:rPr>
      <w:rFonts w:ascii="Calibri" w:hAnsi="Calibri"/>
    </w:rPr>
  </w:style>
  <w:style w:type="paragraph" w:styleId="44">
    <w:name w:val="List Paragraph"/>
    <w:basedOn w:val="1"/>
    <w:autoRedefine/>
    <w:qFormat/>
    <w:uiPriority w:val="34"/>
  </w:style>
  <w:style w:type="paragraph" w:customStyle="1" w:styleId="45">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46">
    <w:name w:val="active5"/>
    <w:basedOn w:val="22"/>
    <w:autoRedefine/>
    <w:qFormat/>
    <w:uiPriority w:val="0"/>
    <w:rPr>
      <w:color w:val="FFFFFF"/>
      <w:shd w:val="clear" w:color="auto" w:fill="428BCA"/>
    </w:rPr>
  </w:style>
  <w:style w:type="character" w:customStyle="1" w:styleId="47">
    <w:name w:val="ui-jqgrid-resize"/>
    <w:basedOn w:val="22"/>
    <w:autoRedefine/>
    <w:qFormat/>
    <w:uiPriority w:val="0"/>
  </w:style>
  <w:style w:type="character" w:customStyle="1" w:styleId="48">
    <w:name w:val="ui-icon37"/>
    <w:basedOn w:val="22"/>
    <w:autoRedefine/>
    <w:qFormat/>
    <w:uiPriority w:val="0"/>
  </w:style>
  <w:style w:type="character" w:customStyle="1" w:styleId="49">
    <w:name w:val="ui-icon38"/>
    <w:basedOn w:val="22"/>
    <w:autoRedefine/>
    <w:qFormat/>
    <w:uiPriority w:val="0"/>
  </w:style>
  <w:style w:type="character" w:customStyle="1" w:styleId="50">
    <w:name w:val="ui-icon39"/>
    <w:basedOn w:val="22"/>
    <w:autoRedefine/>
    <w:qFormat/>
    <w:uiPriority w:val="0"/>
  </w:style>
  <w:style w:type="character" w:customStyle="1" w:styleId="51">
    <w:name w:val="input-icon2"/>
    <w:basedOn w:val="22"/>
    <w:autoRedefine/>
    <w:qFormat/>
    <w:uiPriority w:val="0"/>
  </w:style>
  <w:style w:type="character" w:customStyle="1" w:styleId="52">
    <w:name w:val="before"/>
    <w:basedOn w:val="22"/>
    <w:autoRedefine/>
    <w:qFormat/>
    <w:uiPriority w:val="0"/>
    <w:rPr>
      <w:rFonts w:hint="default" w:ascii="Monotype Corsiva" w:hAnsi="Monotype Corsiva" w:eastAsia="Monotype Corsiva" w:cs="Monotype Corsiva"/>
      <w:color w:val="888888"/>
    </w:rPr>
  </w:style>
  <w:style w:type="character" w:customStyle="1" w:styleId="53">
    <w:name w:val="before1"/>
    <w:basedOn w:val="22"/>
    <w:autoRedefine/>
    <w:qFormat/>
    <w:uiPriority w:val="0"/>
    <w:rPr>
      <w:rFonts w:hint="default" w:ascii="Monotype Corsiva" w:hAnsi="Monotype Corsiva" w:eastAsia="Monotype Corsiva" w:cs="Monotype Corsiva"/>
      <w:color w:val="888888"/>
    </w:rPr>
  </w:style>
  <w:style w:type="character" w:customStyle="1" w:styleId="54">
    <w:name w:val="hover6"/>
    <w:basedOn w:val="22"/>
    <w:autoRedefine/>
    <w:qFormat/>
    <w:uiPriority w:val="0"/>
    <w:rPr>
      <w:shd w:val="clear" w:color="auto" w:fill="EEEEEE"/>
    </w:rPr>
  </w:style>
  <w:style w:type="character" w:customStyle="1" w:styleId="55">
    <w:name w:val="old"/>
    <w:basedOn w:val="22"/>
    <w:autoRedefine/>
    <w:qFormat/>
    <w:uiPriority w:val="0"/>
    <w:rPr>
      <w:color w:val="999999"/>
    </w:rPr>
  </w:style>
  <w:style w:type="character" w:customStyle="1" w:styleId="56">
    <w:name w:val="ui-icon40"/>
    <w:basedOn w:val="22"/>
    <w:autoRedefine/>
    <w:qFormat/>
    <w:uiPriority w:val="0"/>
  </w:style>
  <w:style w:type="character" w:customStyle="1" w:styleId="57">
    <w:name w:val="font31"/>
    <w:basedOn w:val="22"/>
    <w:autoRedefine/>
    <w:qFormat/>
    <w:uiPriority w:val="0"/>
    <w:rPr>
      <w:rFonts w:hint="default" w:ascii="Arial" w:hAnsi="Arial" w:cs="Arial"/>
      <w:b/>
      <w:color w:val="000000"/>
      <w:sz w:val="24"/>
      <w:szCs w:val="24"/>
      <w:u w:val="none"/>
    </w:rPr>
  </w:style>
  <w:style w:type="character" w:customStyle="1" w:styleId="58">
    <w:name w:val="font81"/>
    <w:basedOn w:val="22"/>
    <w:autoRedefine/>
    <w:qFormat/>
    <w:uiPriority w:val="0"/>
    <w:rPr>
      <w:rFonts w:ascii="新宋体" w:hAnsi="新宋体" w:eastAsia="新宋体" w:cs="新宋体"/>
      <w:color w:val="000000"/>
      <w:sz w:val="21"/>
      <w:szCs w:val="21"/>
      <w:u w:val="none"/>
    </w:rPr>
  </w:style>
  <w:style w:type="character" w:customStyle="1" w:styleId="59">
    <w:name w:val="font41"/>
    <w:basedOn w:val="22"/>
    <w:autoRedefine/>
    <w:qFormat/>
    <w:uiPriority w:val="0"/>
    <w:rPr>
      <w:rFonts w:hint="default" w:ascii="Times New Roman" w:hAnsi="Times New Roman" w:cs="Times New Roman"/>
      <w:color w:val="000000"/>
      <w:sz w:val="18"/>
      <w:szCs w:val="18"/>
      <w:u w:val="none"/>
    </w:rPr>
  </w:style>
  <w:style w:type="character" w:customStyle="1" w:styleId="60">
    <w:name w:val="font51"/>
    <w:basedOn w:val="22"/>
    <w:autoRedefine/>
    <w:qFormat/>
    <w:uiPriority w:val="0"/>
    <w:rPr>
      <w:rFonts w:hint="eastAsia" w:ascii="宋体" w:hAnsi="宋体" w:eastAsia="宋体" w:cs="宋体"/>
      <w:b/>
      <w:color w:val="000000"/>
      <w:sz w:val="32"/>
      <w:szCs w:val="32"/>
      <w:u w:val="none"/>
    </w:rPr>
  </w:style>
  <w:style w:type="character" w:customStyle="1" w:styleId="61">
    <w:name w:val="font01"/>
    <w:basedOn w:val="22"/>
    <w:autoRedefine/>
    <w:qFormat/>
    <w:uiPriority w:val="0"/>
    <w:rPr>
      <w:rFonts w:hint="eastAsia" w:ascii="宋体" w:hAnsi="宋体" w:eastAsia="宋体" w:cs="宋体"/>
      <w:color w:val="000000"/>
      <w:sz w:val="24"/>
      <w:szCs w:val="24"/>
      <w:u w:val="none"/>
    </w:rPr>
  </w:style>
  <w:style w:type="character" w:customStyle="1" w:styleId="62">
    <w:name w:val="font71"/>
    <w:basedOn w:val="22"/>
    <w:autoRedefine/>
    <w:qFormat/>
    <w:uiPriority w:val="0"/>
    <w:rPr>
      <w:rFonts w:hint="default" w:ascii="仿宋_GB2312" w:eastAsia="仿宋_GB2312" w:cs="仿宋_GB2312"/>
      <w:b/>
      <w:bCs/>
      <w:color w:val="000000"/>
      <w:sz w:val="32"/>
      <w:szCs w:val="32"/>
      <w:u w:val="none"/>
    </w:rPr>
  </w:style>
  <w:style w:type="character" w:customStyle="1" w:styleId="63">
    <w:name w:val="active1"/>
    <w:basedOn w:val="22"/>
    <w:autoRedefine/>
    <w:qFormat/>
    <w:uiPriority w:val="0"/>
    <w:rPr>
      <w:color w:val="FFFFFF"/>
      <w:shd w:val="clear" w:color="auto" w:fill="428BCA"/>
    </w:rPr>
  </w:style>
  <w:style w:type="character" w:customStyle="1" w:styleId="64">
    <w:name w:val="hover5"/>
    <w:basedOn w:val="22"/>
    <w:autoRedefine/>
    <w:qFormat/>
    <w:uiPriority w:val="0"/>
    <w:rPr>
      <w:shd w:val="clear" w:color="auto" w:fill="EEEEEE"/>
    </w:rPr>
  </w:style>
  <w:style w:type="character" w:customStyle="1" w:styleId="65">
    <w:name w:val="ui-jqgrid-resize2"/>
    <w:basedOn w:val="22"/>
    <w:autoRedefine/>
    <w:qFormat/>
    <w:uiPriority w:val="0"/>
  </w:style>
  <w:style w:type="paragraph" w:customStyle="1" w:styleId="66">
    <w:name w:val="列出段落1"/>
    <w:basedOn w:val="1"/>
    <w:autoRedefine/>
    <w:qFormat/>
    <w:uiPriority w:val="34"/>
  </w:style>
  <w:style w:type="paragraph" w:customStyle="1" w:styleId="67">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批注文字 字符"/>
    <w:basedOn w:val="22"/>
    <w:link w:val="6"/>
    <w:autoRedefine/>
    <w:qFormat/>
    <w:uiPriority w:val="0"/>
    <w:rPr>
      <w:kern w:val="2"/>
      <w:sz w:val="21"/>
      <w:szCs w:val="24"/>
    </w:rPr>
  </w:style>
  <w:style w:type="character" w:customStyle="1" w:styleId="69">
    <w:name w:val="批注主题 字符"/>
    <w:basedOn w:val="68"/>
    <w:link w:val="18"/>
    <w:autoRedefine/>
    <w:semiHidden/>
    <w:qFormat/>
    <w:uiPriority w:val="0"/>
    <w:rPr>
      <w:b/>
      <w:bCs/>
      <w:kern w:val="2"/>
      <w:sz w:val="21"/>
      <w:szCs w:val="24"/>
    </w:rPr>
  </w:style>
  <w:style w:type="table" w:customStyle="1" w:styleId="7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42</Pages>
  <Words>18613</Words>
  <Characters>19413</Characters>
  <Lines>216</Lines>
  <Paragraphs>60</Paragraphs>
  <TotalTime>4</TotalTime>
  <ScaleCrop>false</ScaleCrop>
  <LinksUpToDate>false</LinksUpToDate>
  <CharactersWithSpaces>19519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2020-09-02T10:13:00Z</dcterms:created>
  <dc:creator>随风</dc:creator>
  <cp:lastModifiedBy>符锐</cp:lastModifiedBy>
  <cp:lastPrinted>2023-10-07T01:41:00Z</cp:lastPrinted>
  <dcterms:modified xsi:type="dcterms:W3CDTF">2025-08-07T07:09:20Z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80585A99CB714F47BE20531DBE82B683_13</vt:lpwstr>
  </property>
  <property fmtid="{D5CDD505-2E9C-101B-9397-08002B2CF9AE}" pid="4" name="KSOTemplateDocerSaveRecord">
    <vt:lpwstr>eyJoZGlkIjoiZjVkYmU1YmQ0YTA1YmVmYzEyZGJhMzExMTQ4M2UwMWMiLCJ1c2VySWQiOiIxMTUzNjIyOTU4In0=</vt:lpwstr>
  </property>
</Properties>
</file>