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DD50">
      <w:pPr>
        <w:pStyle w:val="10"/>
        <w:adjustRightInd w:val="0"/>
        <w:snapToGrid w:val="0"/>
        <w:spacing w:line="360" w:lineRule="auto"/>
        <w:outlineLvl w:val="0"/>
        <w:rPr>
          <w:rFonts w:hint="eastAsia" w:asciiTheme="minorEastAsia" w:hAnsiTheme="minorEastAsia" w:eastAsiaTheme="minorEastAsia" w:cstheme="minorEastAsia"/>
          <w:b/>
          <w:szCs w:val="21"/>
        </w:rPr>
      </w:pPr>
    </w:p>
    <w:p w14:paraId="254CE3F4">
      <w:pPr>
        <w:pStyle w:val="10"/>
        <w:adjustRightInd w:val="0"/>
        <w:snapToGrid w:val="0"/>
        <w:spacing w:line="360" w:lineRule="auto"/>
        <w:outlineLvl w:val="0"/>
        <w:rPr>
          <w:rFonts w:hint="eastAsia" w:asciiTheme="minorEastAsia" w:hAnsiTheme="minorEastAsia" w:eastAsiaTheme="minorEastAsia" w:cstheme="minorEastAsia"/>
          <w:b/>
          <w:sz w:val="52"/>
          <w:szCs w:val="52"/>
        </w:rPr>
      </w:pPr>
    </w:p>
    <w:p w14:paraId="1EDEBEFE">
      <w:pPr>
        <w:adjustRightInd w:val="0"/>
        <w:snapToGrid w:val="0"/>
        <w:spacing w:line="360" w:lineRule="auto"/>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海口江东新区管理局</w:t>
      </w:r>
    </w:p>
    <w:p w14:paraId="03E5E245">
      <w:pPr>
        <w:adjustRightInd w:val="0"/>
        <w:snapToGrid w:val="0"/>
        <w:spacing w:line="500" w:lineRule="exact"/>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采购比选文件</w:t>
      </w:r>
    </w:p>
    <w:p w14:paraId="601254C7">
      <w:pPr>
        <w:adjustRightInd w:val="0"/>
        <w:snapToGrid w:val="0"/>
        <w:spacing w:line="360" w:lineRule="auto"/>
        <w:jc w:val="center"/>
        <w:rPr>
          <w:rFonts w:hint="eastAsia" w:asciiTheme="minorEastAsia" w:hAnsiTheme="minorEastAsia" w:eastAsiaTheme="minorEastAsia" w:cstheme="minorEastAsia"/>
          <w:b/>
          <w:szCs w:val="21"/>
        </w:rPr>
      </w:pPr>
    </w:p>
    <w:p w14:paraId="2A4D207E">
      <w:pPr>
        <w:spacing w:line="360" w:lineRule="auto"/>
        <w:rPr>
          <w:szCs w:val="21"/>
        </w:rPr>
      </w:pPr>
    </w:p>
    <w:p w14:paraId="45426A50">
      <w:pPr>
        <w:pStyle w:val="10"/>
        <w:adjustRightInd w:val="0"/>
        <w:snapToGrid w:val="0"/>
        <w:spacing w:line="360" w:lineRule="auto"/>
        <w:jc w:val="center"/>
        <w:outlineLvl w:val="0"/>
        <w:rPr>
          <w:rFonts w:hint="eastAsia" w:asciiTheme="minorEastAsia" w:hAnsiTheme="minorEastAsia" w:eastAsiaTheme="minorEastAsia" w:cstheme="minorEastAsia"/>
          <w:b/>
          <w:szCs w:val="21"/>
        </w:rPr>
      </w:pPr>
    </w:p>
    <w:p w14:paraId="2F227E82">
      <w:pPr>
        <w:pStyle w:val="10"/>
        <w:adjustRightInd w:val="0"/>
        <w:snapToGrid w:val="0"/>
        <w:spacing w:line="360" w:lineRule="auto"/>
        <w:jc w:val="center"/>
        <w:outlineLvl w:val="0"/>
        <w:rPr>
          <w:rFonts w:hint="eastAsia" w:asciiTheme="minorEastAsia" w:hAnsiTheme="minorEastAsia" w:eastAsiaTheme="minorEastAsia" w:cstheme="minorEastAsia"/>
          <w:b/>
          <w:szCs w:val="21"/>
        </w:rPr>
      </w:pPr>
    </w:p>
    <w:p w14:paraId="36EE6F0B">
      <w:pPr>
        <w:pStyle w:val="10"/>
        <w:spacing w:line="360" w:lineRule="auto"/>
        <w:ind w:firstLine="1476" w:firstLineChars="700"/>
        <w:jc w:val="left"/>
        <w:outlineLvl w:val="0"/>
        <w:rPr>
          <w:rFonts w:hint="eastAsia" w:asciiTheme="minorEastAsia" w:hAnsiTheme="minorEastAsia" w:eastAsiaTheme="minorEastAsia" w:cstheme="minorEastAsia"/>
          <w:b/>
          <w:szCs w:val="21"/>
        </w:rPr>
      </w:pPr>
    </w:p>
    <w:p w14:paraId="62C8F978">
      <w:pPr>
        <w:pStyle w:val="10"/>
        <w:spacing w:line="360" w:lineRule="auto"/>
        <w:ind w:firstLine="1968" w:firstLineChars="700"/>
        <w:jc w:val="left"/>
        <w:outlineLvl w:val="0"/>
        <w:rPr>
          <w:rFonts w:hint="eastAsia" w:asciiTheme="minorEastAsia" w:hAnsiTheme="minorEastAsia" w:eastAsiaTheme="minorEastAsia" w:cstheme="minorEastAsia"/>
          <w:b/>
          <w:sz w:val="28"/>
          <w:szCs w:val="28"/>
        </w:rPr>
      </w:pPr>
      <w:bookmarkStart w:id="0" w:name="_Toc245888257"/>
      <w:bookmarkStart w:id="1" w:name="_Toc245887524"/>
      <w:bookmarkStart w:id="2" w:name="_Toc246825786"/>
      <w:bookmarkStart w:id="3" w:name="_Toc246826091"/>
      <w:r>
        <w:rPr>
          <w:rFonts w:hint="eastAsia" w:asciiTheme="minorEastAsia" w:hAnsiTheme="minorEastAsia" w:eastAsiaTheme="minorEastAsia" w:cstheme="minorEastAsia"/>
          <w:b/>
          <w:sz w:val="28"/>
          <w:szCs w:val="28"/>
        </w:rPr>
        <w:t>项目编号：</w:t>
      </w:r>
      <w:bookmarkEnd w:id="0"/>
      <w:bookmarkEnd w:id="1"/>
      <w:bookmarkEnd w:id="2"/>
      <w:bookmarkEnd w:id="3"/>
      <w:bookmarkStart w:id="4" w:name="_Toc245888258"/>
      <w:bookmarkStart w:id="5" w:name="_Toc246826092"/>
      <w:bookmarkStart w:id="6" w:name="_Toc246825787"/>
      <w:bookmarkStart w:id="7" w:name="_Toc245887525"/>
      <w:r>
        <w:rPr>
          <w:rFonts w:hint="eastAsia" w:asciiTheme="minorEastAsia" w:hAnsiTheme="minorEastAsia" w:eastAsiaTheme="minorEastAsia" w:cstheme="minorEastAsia"/>
          <w:b/>
          <w:sz w:val="28"/>
          <w:szCs w:val="28"/>
        </w:rPr>
        <w:t>JDCG-GHB-2025-001</w:t>
      </w:r>
    </w:p>
    <w:p w14:paraId="62D8FDA5">
      <w:pPr>
        <w:pStyle w:val="10"/>
        <w:spacing w:line="360" w:lineRule="auto"/>
        <w:ind w:left="3360" w:leftChars="931" w:hanging="1405" w:hangingChars="500"/>
        <w:jc w:val="left"/>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项目名称：</w:t>
      </w:r>
      <w:bookmarkEnd w:id="4"/>
      <w:bookmarkEnd w:id="5"/>
      <w:bookmarkEnd w:id="6"/>
      <w:bookmarkEnd w:id="7"/>
      <w:bookmarkStart w:id="8" w:name="_Toc246826094"/>
      <w:bookmarkStart w:id="9" w:name="_Toc246825789"/>
      <w:bookmarkStart w:id="10" w:name="_Toc245888260"/>
      <w:bookmarkStart w:id="11" w:name="_Toc245887527"/>
      <w:r>
        <w:rPr>
          <w:rFonts w:hint="eastAsia" w:asciiTheme="minorEastAsia" w:hAnsiTheme="minorEastAsia" w:eastAsiaTheme="minorEastAsia" w:cstheme="minorEastAsia"/>
          <w:b/>
          <w:sz w:val="28"/>
          <w:szCs w:val="28"/>
        </w:rPr>
        <w:t>全球消费精品博览园短展项目前期研究工作</w:t>
      </w:r>
    </w:p>
    <w:p w14:paraId="73209A7F">
      <w:pPr>
        <w:pStyle w:val="10"/>
        <w:spacing w:line="360" w:lineRule="auto"/>
        <w:ind w:firstLine="1968" w:firstLineChars="700"/>
        <w:jc w:val="left"/>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采 购 人：</w:t>
      </w:r>
      <w:bookmarkEnd w:id="8"/>
      <w:bookmarkEnd w:id="9"/>
      <w:bookmarkEnd w:id="10"/>
      <w:bookmarkEnd w:id="11"/>
      <w:r>
        <w:rPr>
          <w:rFonts w:hint="eastAsia" w:asciiTheme="minorEastAsia" w:hAnsiTheme="minorEastAsia" w:eastAsiaTheme="minorEastAsia" w:cstheme="minorEastAsia"/>
          <w:b/>
          <w:sz w:val="28"/>
          <w:szCs w:val="28"/>
        </w:rPr>
        <w:t>海口江东新区管理局</w:t>
      </w:r>
    </w:p>
    <w:p w14:paraId="6174A9CA">
      <w:pPr>
        <w:pStyle w:val="10"/>
        <w:spacing w:line="360" w:lineRule="auto"/>
        <w:ind w:firstLine="1476" w:firstLineChars="700"/>
        <w:jc w:val="left"/>
        <w:outlineLvl w:val="0"/>
        <w:rPr>
          <w:rFonts w:hint="eastAsia" w:asciiTheme="minorEastAsia" w:hAnsiTheme="minorEastAsia" w:eastAsiaTheme="minorEastAsia" w:cstheme="minorEastAsia"/>
          <w:b/>
          <w:szCs w:val="21"/>
        </w:rPr>
      </w:pPr>
    </w:p>
    <w:p w14:paraId="253A5ACA">
      <w:pPr>
        <w:pStyle w:val="10"/>
        <w:spacing w:line="360" w:lineRule="auto"/>
        <w:outlineLvl w:val="0"/>
        <w:rPr>
          <w:rFonts w:hint="eastAsia" w:asciiTheme="minorEastAsia" w:hAnsiTheme="minorEastAsia" w:eastAsiaTheme="minorEastAsia" w:cstheme="minorEastAsia"/>
          <w:bCs/>
          <w:szCs w:val="21"/>
        </w:rPr>
      </w:pPr>
    </w:p>
    <w:p w14:paraId="12A99DC8">
      <w:pPr>
        <w:pStyle w:val="10"/>
        <w:adjustRightInd w:val="0"/>
        <w:snapToGrid w:val="0"/>
        <w:spacing w:line="360" w:lineRule="auto"/>
        <w:jc w:val="center"/>
        <w:outlineLvl w:val="0"/>
        <w:rPr>
          <w:rFonts w:hint="eastAsia" w:asciiTheme="minorEastAsia" w:hAnsiTheme="minorEastAsia" w:eastAsiaTheme="minorEastAsia" w:cstheme="minorEastAsia"/>
          <w:bCs/>
          <w:szCs w:val="21"/>
        </w:rPr>
      </w:pPr>
    </w:p>
    <w:p w14:paraId="307FCEA7">
      <w:pPr>
        <w:pStyle w:val="7"/>
        <w:spacing w:line="360" w:lineRule="auto"/>
        <w:rPr>
          <w:rFonts w:hint="eastAsia" w:asciiTheme="minorEastAsia" w:hAnsiTheme="minorEastAsia" w:eastAsiaTheme="minorEastAsia" w:cstheme="minorEastAsia"/>
          <w:b/>
          <w:spacing w:val="40"/>
          <w:szCs w:val="21"/>
        </w:rPr>
      </w:pPr>
    </w:p>
    <w:p w14:paraId="77BE1023">
      <w:pPr>
        <w:pStyle w:val="31"/>
        <w:spacing w:line="360" w:lineRule="auto"/>
        <w:rPr>
          <w:color w:val="auto"/>
          <w:sz w:val="21"/>
          <w:szCs w:val="21"/>
        </w:rPr>
      </w:pPr>
    </w:p>
    <w:p w14:paraId="356E7A59">
      <w:pPr>
        <w:pStyle w:val="9"/>
        <w:ind w:left="0" w:leftChars="0" w:firstLine="0" w:firstLineChars="0"/>
      </w:pPr>
    </w:p>
    <w:p w14:paraId="3FF695FA">
      <w:pPr>
        <w:pStyle w:val="9"/>
      </w:pPr>
    </w:p>
    <w:p w14:paraId="3A401298">
      <w:pPr>
        <w:pStyle w:val="9"/>
      </w:pPr>
      <w:bookmarkStart w:id="98" w:name="_GoBack"/>
      <w:bookmarkEnd w:id="98"/>
    </w:p>
    <w:p w14:paraId="1FB40C91">
      <w:pPr>
        <w:adjustRightInd w:val="0"/>
        <w:snapToGrid w:val="0"/>
        <w:spacing w:line="360" w:lineRule="auto"/>
        <w:jc w:val="center"/>
        <w:rPr>
          <w:rFonts w:hint="eastAsia" w:asciiTheme="minorEastAsia" w:hAnsiTheme="minorEastAsia" w:eastAsiaTheme="minorEastAsia" w:cstheme="minorEastAsia"/>
          <w:b/>
          <w:spacing w:val="40"/>
          <w:szCs w:val="21"/>
        </w:rPr>
      </w:pPr>
    </w:p>
    <w:p w14:paraId="5F4CD2E2">
      <w:pPr>
        <w:adjustRightInd w:val="0"/>
        <w:snapToGrid w:val="0"/>
        <w:spacing w:line="360" w:lineRule="auto"/>
        <w:jc w:val="center"/>
        <w:rPr>
          <w:rFonts w:hint="eastAsia" w:asciiTheme="minorEastAsia" w:hAnsiTheme="minorEastAsia" w:eastAsiaTheme="minorEastAsia" w:cstheme="minorEastAsia"/>
          <w:b/>
          <w:spacing w:val="40"/>
          <w:szCs w:val="21"/>
        </w:rPr>
      </w:pPr>
    </w:p>
    <w:p w14:paraId="235C2E62">
      <w:pPr>
        <w:pStyle w:val="10"/>
        <w:adjustRightInd w:val="0"/>
        <w:snapToGrid w:val="0"/>
        <w:spacing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40"/>
          <w:sz w:val="28"/>
          <w:szCs w:val="28"/>
        </w:rPr>
        <w:t xml:space="preserve">2025年8月  </w:t>
      </w:r>
    </w:p>
    <w:p w14:paraId="603292AB">
      <w:pPr>
        <w:pStyle w:val="10"/>
        <w:spacing w:line="360" w:lineRule="auto"/>
        <w:jc w:val="center"/>
        <w:outlineLvl w:val="0"/>
        <w:rPr>
          <w:rStyle w:val="25"/>
          <w:rFonts w:hint="eastAsia"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14:paraId="26B02E0E">
      <w:pPr>
        <w:pStyle w:val="10"/>
        <w:spacing w:line="360" w:lineRule="auto"/>
        <w:jc w:val="center"/>
        <w:outlineLvl w:val="0"/>
        <w:rPr>
          <w:rStyle w:val="25"/>
          <w:rFonts w:hint="eastAsia" w:hAnsi="宋体" w:cs="宋体"/>
          <w:b/>
          <w:color w:val="auto"/>
          <w:szCs w:val="21"/>
        </w:rPr>
      </w:pPr>
    </w:p>
    <w:p w14:paraId="6F968680">
      <w:pPr>
        <w:pStyle w:val="10"/>
        <w:spacing w:line="360" w:lineRule="auto"/>
        <w:jc w:val="center"/>
        <w:outlineLvl w:val="0"/>
        <w:rPr>
          <w:rStyle w:val="25"/>
          <w:rFonts w:hint="eastAsia" w:hAnsi="宋体" w:cs="宋体"/>
          <w:b/>
          <w:color w:val="auto"/>
          <w:sz w:val="24"/>
          <w:szCs w:val="24"/>
        </w:rPr>
      </w:pPr>
      <w:r>
        <w:rPr>
          <w:rStyle w:val="25"/>
          <w:rFonts w:hint="eastAsia" w:hAnsi="宋体" w:cs="宋体"/>
          <w:b/>
          <w:color w:val="auto"/>
          <w:sz w:val="24"/>
          <w:szCs w:val="24"/>
        </w:rPr>
        <w:t>目  录</w:t>
      </w:r>
    </w:p>
    <w:p w14:paraId="2A3F957C">
      <w:pPr>
        <w:spacing w:line="360" w:lineRule="auto"/>
        <w:rPr>
          <w:rFonts w:hint="eastAsia" w:ascii="宋体" w:hAnsi="宋体" w:cs="宋体"/>
          <w:b/>
          <w:sz w:val="24"/>
        </w:rPr>
      </w:pPr>
    </w:p>
    <w:p w14:paraId="25983EE0">
      <w:pPr>
        <w:spacing w:line="360" w:lineRule="auto"/>
        <w:jc w:val="left"/>
        <w:rPr>
          <w:rFonts w:hint="eastAsia" w:ascii="宋体" w:hAnsi="宋体" w:cs="宋体"/>
          <w:b/>
          <w:sz w:val="24"/>
        </w:rPr>
      </w:pPr>
    </w:p>
    <w:p w14:paraId="78C16E54">
      <w:pPr>
        <w:pStyle w:val="10"/>
        <w:adjustRightInd w:val="0"/>
        <w:snapToGrid w:val="0"/>
        <w:spacing w:line="560" w:lineRule="exact"/>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第一章 比选公告</w:t>
      </w:r>
    </w:p>
    <w:p w14:paraId="140B06E8">
      <w:pPr>
        <w:pStyle w:val="10"/>
        <w:adjustRightInd w:val="0"/>
        <w:snapToGrid w:val="0"/>
        <w:spacing w:line="560" w:lineRule="exact"/>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第二章 采购需求</w:t>
      </w:r>
    </w:p>
    <w:p w14:paraId="2394663C">
      <w:pPr>
        <w:pStyle w:val="10"/>
        <w:adjustRightInd w:val="0"/>
        <w:snapToGrid w:val="0"/>
        <w:spacing w:line="560" w:lineRule="exact"/>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 供应商须知</w:t>
      </w:r>
    </w:p>
    <w:p w14:paraId="27966A9D">
      <w:pPr>
        <w:pStyle w:val="10"/>
        <w:adjustRightInd w:val="0"/>
        <w:snapToGrid w:val="0"/>
        <w:spacing w:line="560" w:lineRule="exact"/>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第四章 审查标准和评审标准</w:t>
      </w:r>
    </w:p>
    <w:p w14:paraId="6BDAE56C">
      <w:pPr>
        <w:pStyle w:val="10"/>
        <w:adjustRightInd w:val="0"/>
        <w:snapToGrid w:val="0"/>
        <w:spacing w:line="560" w:lineRule="exact"/>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第五章 采购合同格式</w:t>
      </w:r>
    </w:p>
    <w:p w14:paraId="03150304">
      <w:pPr>
        <w:pStyle w:val="10"/>
        <w:adjustRightInd w:val="0"/>
        <w:snapToGrid w:val="0"/>
        <w:spacing w:line="560" w:lineRule="exact"/>
        <w:jc w:val="left"/>
        <w:outlineLvl w:val="0"/>
        <w:rPr>
          <w:rFonts w:hint="eastAsia" w:asciiTheme="minorEastAsia" w:hAnsiTheme="minorEastAsia" w:eastAsiaTheme="minorEastAsia" w:cstheme="minorEastAsia"/>
          <w:b/>
          <w:szCs w:val="21"/>
        </w:rPr>
        <w:sectPr>
          <w:footerReference r:id="rId7" w:type="default"/>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
          <w:szCs w:val="21"/>
        </w:rPr>
        <w:t>第六章 响应文件格式及附件</w:t>
      </w:r>
    </w:p>
    <w:p w14:paraId="0A9ABD7E">
      <w:pPr>
        <w:pStyle w:val="10"/>
        <w:adjustRightInd w:val="0"/>
        <w:snapToGrid w:val="0"/>
        <w:spacing w:line="360" w:lineRule="auto"/>
        <w:jc w:val="center"/>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第一章  比选公告</w:t>
      </w:r>
    </w:p>
    <w:p w14:paraId="5EB043C7">
      <w:pPr>
        <w:adjustRightInd w:val="0"/>
        <w:snapToGrid w:val="0"/>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一、项目基本情况</w:t>
      </w:r>
    </w:p>
    <w:p w14:paraId="0F358BFE">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1、项目编号：JDCG-GHB-2025-001；</w:t>
      </w:r>
    </w:p>
    <w:p w14:paraId="43F5A205">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2、项目名称：全球消费精品博览园短展项目前期研究工作；</w:t>
      </w:r>
    </w:p>
    <w:p w14:paraId="0880858E">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3、预算金额：人民币300000元（不含300000元，投标报价超过预算金额或等于最高限价的均按无效投标处理）；</w:t>
      </w:r>
    </w:p>
    <w:p w14:paraId="3901E422">
      <w:pPr>
        <w:pStyle w:val="10"/>
        <w:adjustRightInd w:val="0"/>
        <w:snapToGrid w:val="0"/>
        <w:spacing w:line="400" w:lineRule="exact"/>
        <w:ind w:firstLine="420" w:firstLineChars="200"/>
        <w:jc w:val="left"/>
        <w:outlineLvl w:val="0"/>
        <w:rPr>
          <w:rFonts w:hint="eastAsia" w:hAnsi="宋体" w:cs="宋体"/>
          <w:szCs w:val="21"/>
        </w:rPr>
      </w:pPr>
      <w:r>
        <w:rPr>
          <w:rFonts w:hint="eastAsia" w:hAnsi="宋体" w:cs="宋体"/>
          <w:kern w:val="28"/>
          <w:szCs w:val="21"/>
        </w:rPr>
        <w:t xml:space="preserve">  </w:t>
      </w:r>
      <w:r>
        <w:rPr>
          <w:rFonts w:hint="eastAsia" w:asciiTheme="minorEastAsia" w:hAnsiTheme="minorEastAsia" w:eastAsiaTheme="minorEastAsia" w:cstheme="minorEastAsia"/>
          <w:bCs/>
          <w:szCs w:val="21"/>
        </w:rPr>
        <w:t>最高限价：人民币300000元（不含300000元），供应商报价不得超过或等于最高限价；</w:t>
      </w:r>
    </w:p>
    <w:p w14:paraId="787E227E">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highlight w:val="yellow"/>
        </w:rPr>
      </w:pPr>
      <w:r>
        <w:rPr>
          <w:rFonts w:hint="eastAsia" w:asciiTheme="minorEastAsia" w:hAnsiTheme="minorEastAsia" w:eastAsiaTheme="minorEastAsia" w:cstheme="minorEastAsia"/>
          <w:bCs/>
          <w:szCs w:val="21"/>
        </w:rPr>
        <w:t>4、采购需求：详见第二章；</w:t>
      </w:r>
    </w:p>
    <w:p w14:paraId="3782D1DF">
      <w:pPr>
        <w:spacing w:line="400" w:lineRule="exact"/>
        <w:ind w:right="-197" w:rightChars="-94" w:firstLine="420" w:firstLineChars="200"/>
        <w:rPr>
          <w:rFonts w:hint="eastAsia" w:ascii="宋体" w:hAnsi="宋体"/>
          <w:bCs/>
          <w:szCs w:val="21"/>
        </w:rPr>
      </w:pPr>
      <w:r>
        <w:rPr>
          <w:rFonts w:hint="eastAsia" w:asciiTheme="minorEastAsia" w:hAnsiTheme="minorEastAsia" w:eastAsiaTheme="minorEastAsia" w:cstheme="minorEastAsia"/>
          <w:bCs/>
          <w:szCs w:val="21"/>
        </w:rPr>
        <w:t>5、服务期限</w:t>
      </w:r>
      <w:bookmarkStart w:id="12" w:name="_Toc35393791"/>
      <w:bookmarkStart w:id="13" w:name="_Toc28359003"/>
      <w:bookmarkStart w:id="14" w:name="_Toc35393622"/>
      <w:bookmarkStart w:id="15" w:name="_Toc28359080"/>
      <w:r>
        <w:rPr>
          <w:rFonts w:hint="eastAsia" w:asciiTheme="minorEastAsia" w:hAnsiTheme="minorEastAsia" w:eastAsiaTheme="minorEastAsia" w:cstheme="minorEastAsia"/>
          <w:bCs/>
          <w:szCs w:val="21"/>
        </w:rPr>
        <w:t>：自合同签订之日起三个月；</w:t>
      </w:r>
    </w:p>
    <w:p w14:paraId="2E4CA817">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6、服务地点：海口江东新区；</w:t>
      </w:r>
    </w:p>
    <w:p w14:paraId="5CEA8270">
      <w:pPr>
        <w:pStyle w:val="10"/>
        <w:adjustRightInd w:val="0"/>
        <w:spacing w:line="360" w:lineRule="auto"/>
        <w:ind w:firstLine="420" w:firstLineChars="200"/>
        <w:jc w:val="left"/>
        <w:outlineLvl w:val="0"/>
        <w:rPr>
          <w:rFonts w:hint="eastAsia" w:hAnsi="宋体" w:cs="宋体"/>
          <w:bCs/>
          <w:sz w:val="24"/>
          <w:szCs w:val="24"/>
        </w:rPr>
      </w:pPr>
      <w:r>
        <w:rPr>
          <w:rFonts w:hint="eastAsia" w:asciiTheme="minorEastAsia" w:hAnsiTheme="minorEastAsia" w:eastAsiaTheme="minorEastAsia" w:cstheme="minorEastAsia"/>
          <w:bCs/>
          <w:szCs w:val="21"/>
        </w:rPr>
        <w:t>7、质量标准：符合采购人要求。</w:t>
      </w:r>
    </w:p>
    <w:p w14:paraId="191105A7">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二、供应商的资格要求：</w:t>
      </w:r>
      <w:bookmarkEnd w:id="12"/>
      <w:bookmarkEnd w:id="13"/>
      <w:bookmarkEnd w:id="14"/>
      <w:bookmarkEnd w:id="15"/>
    </w:p>
    <w:p w14:paraId="66688E63">
      <w:pPr>
        <w:pStyle w:val="10"/>
        <w:adjustRightInd w:val="0"/>
        <w:snapToGrid w:val="0"/>
        <w:spacing w:line="400" w:lineRule="exact"/>
        <w:ind w:firstLine="420" w:firstLineChars="200"/>
        <w:jc w:val="left"/>
        <w:outlineLvl w:val="0"/>
        <w:rPr>
          <w:rFonts w:hint="eastAsia" w:hAnsi="宋体" w:cs="宋体"/>
          <w:bCs/>
          <w:szCs w:val="21"/>
        </w:rPr>
      </w:pPr>
      <w:bookmarkStart w:id="16" w:name="_Toc28359081"/>
      <w:bookmarkStart w:id="17" w:name="_Toc35393792"/>
      <w:bookmarkStart w:id="18" w:name="_Toc35393623"/>
      <w:bookmarkStart w:id="19" w:name="_Toc28359004"/>
      <w:r>
        <w:rPr>
          <w:rFonts w:hint="eastAsia" w:hAnsi="宋体" w:cs="宋体"/>
          <w:bCs/>
          <w:szCs w:val="21"/>
        </w:rPr>
        <w:t>1、满足《中华人民共和国政府采购法》第二十二条规定；</w:t>
      </w:r>
    </w:p>
    <w:p w14:paraId="2D736F45">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2、符合采购人根据采购项目实际情况要求的特定资格条件和其他法律法规规定的条件，具体如下：</w:t>
      </w:r>
    </w:p>
    <w:p w14:paraId="1E8C6ECA">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2.1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14:paraId="7C8AE462">
      <w:pPr>
        <w:pStyle w:val="10"/>
        <w:adjustRightInd w:val="0"/>
        <w:snapToGrid w:val="0"/>
        <w:spacing w:line="400" w:lineRule="exact"/>
        <w:ind w:firstLine="420" w:firstLineChars="200"/>
        <w:jc w:val="left"/>
        <w:outlineLvl w:val="0"/>
        <w:rPr>
          <w:rFonts w:hint="eastAsia" w:hAnsi="宋体" w:cs="宋体"/>
          <w:bCs/>
          <w:szCs w:val="21"/>
        </w:rPr>
      </w:pPr>
      <w:r>
        <w:rPr>
          <w:rFonts w:hint="eastAsia" w:hAnsi="宋体" w:cs="宋体"/>
          <w:bCs/>
          <w:szCs w:val="21"/>
        </w:rPr>
        <w:t>2.2本项目不接受联合体响应。</w:t>
      </w:r>
    </w:p>
    <w:p w14:paraId="64949EFD">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w:t>
      </w:r>
      <w:bookmarkEnd w:id="16"/>
      <w:bookmarkEnd w:id="17"/>
      <w:bookmarkEnd w:id="18"/>
      <w:bookmarkEnd w:id="19"/>
      <w:r>
        <w:rPr>
          <w:rFonts w:hint="eastAsia" w:asciiTheme="minorEastAsia" w:hAnsiTheme="minorEastAsia" w:eastAsiaTheme="minorEastAsia" w:cstheme="minorEastAsia"/>
          <w:b/>
          <w:szCs w:val="21"/>
        </w:rPr>
        <w:t>采购文件获取时间、办法</w:t>
      </w:r>
    </w:p>
    <w:p w14:paraId="1AFCF717">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bookmarkStart w:id="20" w:name="_Toc28359008"/>
      <w:bookmarkStart w:id="21" w:name="_Toc35393796"/>
      <w:bookmarkStart w:id="22" w:name="_Toc35393627"/>
      <w:bookmarkStart w:id="23" w:name="_Toc28359085"/>
      <w:r>
        <w:rPr>
          <w:rFonts w:hint="eastAsia" w:asciiTheme="minorEastAsia" w:hAnsiTheme="minorEastAsia" w:eastAsiaTheme="minorEastAsia" w:cstheme="minorEastAsia"/>
          <w:bCs/>
          <w:szCs w:val="21"/>
        </w:rPr>
        <w:t>1、采购比选文件获取时间： 2025年8月</w:t>
      </w:r>
      <w:r>
        <w:rPr>
          <w:rFonts w:hint="eastAsia" w:asciiTheme="minorEastAsia" w:hAnsiTheme="minorEastAsia" w:eastAsiaTheme="minorEastAsia" w:cstheme="minorEastAsia"/>
          <w:bCs/>
          <w:szCs w:val="21"/>
          <w:lang w:val="en-US" w:eastAsia="zh-CN"/>
        </w:rPr>
        <w:t>9</w:t>
      </w:r>
      <w:r>
        <w:rPr>
          <w:rFonts w:hint="eastAsia" w:asciiTheme="minorEastAsia" w:hAnsiTheme="minorEastAsia" w:eastAsiaTheme="minorEastAsia" w:cstheme="minorEastAsia"/>
          <w:bCs/>
          <w:szCs w:val="21"/>
        </w:rPr>
        <w:t>日00时00分至2025年8月1</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日23点59分（北京时间）；</w:t>
      </w:r>
    </w:p>
    <w:p w14:paraId="05E27D5F">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2、采购比选文件获取方式：请有意向参与本项目采购活动的供应商在比选公告界面自行下载比选文件</w:t>
      </w:r>
    </w:p>
    <w:p w14:paraId="48617A6A">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rPr>
      </w:pPr>
    </w:p>
    <w:p w14:paraId="12AEEE0C">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四、响应文件递交截止时间、开标时间及地点</w:t>
      </w:r>
    </w:p>
    <w:p w14:paraId="2EE521AC">
      <w:pPr>
        <w:adjustRightInd w:val="0"/>
        <w:snapToGrid w:val="0"/>
        <w:spacing w:line="400" w:lineRule="exact"/>
        <w:ind w:firstLine="420" w:firstLineChars="200"/>
        <w:rPr>
          <w:bCs/>
          <w:szCs w:val="21"/>
        </w:rPr>
      </w:pPr>
      <w:bookmarkStart w:id="24" w:name="_Toc35393794"/>
      <w:bookmarkStart w:id="25" w:name="_Toc35393625"/>
      <w:bookmarkStart w:id="26" w:name="_Toc28359084"/>
      <w:bookmarkStart w:id="27" w:name="_Toc28359007"/>
      <w:r>
        <w:rPr>
          <w:rFonts w:hint="eastAsia" w:asciiTheme="minorEastAsia" w:hAnsiTheme="minorEastAsia" w:eastAsiaTheme="minorEastAsia" w:cstheme="minorEastAsia"/>
          <w:bCs/>
          <w:szCs w:val="21"/>
        </w:rPr>
        <w:t>1、响应文件递交截止时间:2025年8月1</w:t>
      </w: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rPr>
        <w:t>日上午9:00（北京时间）；</w:t>
      </w:r>
    </w:p>
    <w:p w14:paraId="4F07C58D">
      <w:pPr>
        <w:adjustRightInd w:val="0"/>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2、开标时间:与递交响应文件截止时间为同一时间；</w:t>
      </w:r>
    </w:p>
    <w:p w14:paraId="26ADF3FC">
      <w:pPr>
        <w:adjustRightInd w:val="0"/>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3、递交响应文件及开标地点:海口江东新区管理局；</w:t>
      </w:r>
    </w:p>
    <w:p w14:paraId="4C2F7740">
      <w:pPr>
        <w:adjustRightInd w:val="0"/>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4、逾期未送达指定地点的响应文件，视为无效响应文件不予接收。</w:t>
      </w:r>
    </w:p>
    <w:p w14:paraId="487448D3">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五、采购信息发布媒体</w:t>
      </w:r>
    </w:p>
    <w:p w14:paraId="29F2E51A">
      <w:pPr>
        <w:adjustRightInd w:val="0"/>
        <w:snapToGrid w:val="0"/>
        <w:spacing w:line="400" w:lineRule="exact"/>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1、本项目采购信息指定发布媒体为海口江东新区管理局官网；</w:t>
      </w:r>
    </w:p>
    <w:p w14:paraId="325A18A1">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2、有关本项目采购文件的补遗、澄清及变更信息以上述网站公告与下载为准，采购人不再另行通知，采购文件与更正公告的内容相互矛盾时，以最后发出的更正公告内容为准</w:t>
      </w:r>
      <w:r>
        <w:rPr>
          <w:rFonts w:hint="eastAsia" w:asciiTheme="minorEastAsia" w:hAnsiTheme="minorEastAsia" w:eastAsiaTheme="minorEastAsia" w:cstheme="minorEastAsia"/>
          <w:b/>
          <w:szCs w:val="21"/>
        </w:rPr>
        <w:t>。</w:t>
      </w:r>
    </w:p>
    <w:p w14:paraId="2E04DDC6">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六、公告期限</w:t>
      </w:r>
    </w:p>
    <w:bookmarkEnd w:id="24"/>
    <w:bookmarkEnd w:id="25"/>
    <w:bookmarkEnd w:id="26"/>
    <w:bookmarkEnd w:id="27"/>
    <w:p w14:paraId="6D5AE426">
      <w:pPr>
        <w:pStyle w:val="10"/>
        <w:adjustRightInd w:val="0"/>
        <w:snapToGrid w:val="0"/>
        <w:spacing w:line="400" w:lineRule="exact"/>
        <w:ind w:firstLine="420" w:firstLineChars="200"/>
        <w:jc w:val="left"/>
        <w:outlineLvl w:val="0"/>
        <w:rPr>
          <w:rFonts w:hint="eastAsia" w:asciiTheme="minorEastAsia" w:hAnsiTheme="minorEastAsia" w:eastAsiaTheme="minorEastAsia" w:cstheme="minorEastAsia"/>
          <w:bCs/>
          <w:szCs w:val="21"/>
          <w:lang w:val="zh-CN"/>
        </w:rPr>
      </w:pPr>
      <w:bookmarkStart w:id="28" w:name="_Toc35393795"/>
      <w:bookmarkStart w:id="29" w:name="_Toc35393626"/>
      <w:r>
        <w:rPr>
          <w:rFonts w:hint="eastAsia" w:asciiTheme="minorEastAsia" w:hAnsiTheme="minorEastAsia" w:eastAsiaTheme="minorEastAsia" w:cstheme="minorEastAsia"/>
          <w:bCs/>
          <w:szCs w:val="21"/>
        </w:rPr>
        <w:t>本项目采购公告期限自本公告发布之日起不少于3个工作日，</w:t>
      </w:r>
      <w:r>
        <w:rPr>
          <w:rFonts w:hint="eastAsia" w:asciiTheme="minorEastAsia" w:hAnsiTheme="minorEastAsia" w:eastAsiaTheme="minorEastAsia" w:cstheme="minorEastAsia"/>
          <w:bCs/>
          <w:szCs w:val="21"/>
          <w:lang w:val="zh-CN"/>
        </w:rPr>
        <w:t>自</w:t>
      </w:r>
      <w:r>
        <w:rPr>
          <w:rFonts w:hint="eastAsia" w:asciiTheme="minorEastAsia" w:hAnsiTheme="minorEastAsia" w:eastAsiaTheme="minorEastAsia" w:cstheme="minorEastAsia"/>
          <w:bCs/>
          <w:szCs w:val="21"/>
        </w:rPr>
        <w:t>2025</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rPr>
        <w:t>8</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lang w:val="en-US" w:eastAsia="zh-CN"/>
        </w:rPr>
        <w:t>9</w:t>
      </w:r>
      <w:r>
        <w:rPr>
          <w:rFonts w:hint="eastAsia" w:asciiTheme="minorEastAsia" w:hAnsiTheme="minorEastAsia" w:eastAsiaTheme="minorEastAsia" w:cstheme="minorEastAsia"/>
          <w:bCs/>
          <w:szCs w:val="21"/>
          <w:lang w:val="zh-CN"/>
        </w:rPr>
        <w:t>日零时起至</w:t>
      </w:r>
      <w:r>
        <w:rPr>
          <w:rFonts w:hint="eastAsia" w:asciiTheme="minorEastAsia" w:hAnsiTheme="minorEastAsia" w:eastAsiaTheme="minorEastAsia" w:cstheme="minorEastAsia"/>
          <w:bCs/>
          <w:szCs w:val="21"/>
        </w:rPr>
        <w:t>2025</w:t>
      </w:r>
      <w:r>
        <w:rPr>
          <w:rFonts w:hint="eastAsia" w:asciiTheme="minorEastAsia" w:hAnsiTheme="minorEastAsia" w:eastAsiaTheme="minorEastAsia" w:cstheme="minorEastAsia"/>
          <w:bCs/>
          <w:szCs w:val="21"/>
          <w:lang w:val="zh-CN"/>
        </w:rPr>
        <w:t>年</w:t>
      </w:r>
      <w:r>
        <w:rPr>
          <w:rFonts w:hint="eastAsia" w:asciiTheme="minorEastAsia" w:hAnsiTheme="minorEastAsia" w:eastAsiaTheme="minorEastAsia" w:cstheme="minorEastAsia"/>
          <w:bCs/>
          <w:szCs w:val="21"/>
        </w:rPr>
        <w:t>8</w:t>
      </w:r>
      <w:r>
        <w:rPr>
          <w:rFonts w:hint="eastAsia" w:asciiTheme="minorEastAsia" w:hAnsiTheme="minorEastAsia" w:eastAsiaTheme="minorEastAsia" w:cstheme="minorEastAsia"/>
          <w:bCs/>
          <w:szCs w:val="21"/>
          <w:lang w:val="zh-CN"/>
        </w:rPr>
        <w:t>月</w:t>
      </w:r>
      <w:r>
        <w:rPr>
          <w:rFonts w:hint="eastAsia" w:asciiTheme="minorEastAsia" w:hAnsiTheme="minorEastAsia" w:eastAsiaTheme="minorEastAsia" w:cstheme="minorEastAsia"/>
          <w:bCs/>
          <w:szCs w:val="21"/>
        </w:rPr>
        <w:t>1</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lang w:val="zh-CN"/>
        </w:rPr>
        <w:t>日2</w:t>
      </w: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lang w:val="zh-CN"/>
        </w:rPr>
        <w:t>时止。</w:t>
      </w:r>
    </w:p>
    <w:p w14:paraId="25290578">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七、其他补充事宜</w:t>
      </w:r>
      <w:bookmarkEnd w:id="28"/>
      <w:bookmarkEnd w:id="29"/>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Cs/>
          <w:szCs w:val="21"/>
        </w:rPr>
        <w:t>无。</w:t>
      </w:r>
    </w:p>
    <w:p w14:paraId="48C8F297">
      <w:pPr>
        <w:pStyle w:val="10"/>
        <w:adjustRightInd w:val="0"/>
        <w:snapToGrid w:val="0"/>
        <w:spacing w:line="400" w:lineRule="exact"/>
        <w:ind w:firstLine="422" w:firstLineChars="200"/>
        <w:jc w:val="lef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八、对本次招标提出询问，请按以下方式联系</w:t>
      </w:r>
      <w:bookmarkEnd w:id="20"/>
      <w:bookmarkEnd w:id="21"/>
      <w:bookmarkEnd w:id="22"/>
      <w:bookmarkEnd w:id="23"/>
    </w:p>
    <w:p w14:paraId="0BEAC124">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名称：海口江东新区管理局 </w:t>
      </w:r>
    </w:p>
    <w:p w14:paraId="542B947C">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地址： 海口市美兰区江东大道202号</w:t>
      </w:r>
    </w:p>
    <w:p w14:paraId="257803EE">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联系人：柯先生 </w:t>
      </w:r>
    </w:p>
    <w:p w14:paraId="32D20ECC">
      <w:pPr>
        <w:snapToGrid w:val="0"/>
        <w:spacing w:line="400" w:lineRule="exact"/>
        <w:ind w:firstLine="420" w:firstLineChars="200"/>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联系方式：</w:t>
      </w:r>
      <w:bookmarkStart w:id="30" w:name="_Toc28359009"/>
      <w:bookmarkStart w:id="31" w:name="_Toc28359086"/>
      <w:r>
        <w:rPr>
          <w:rFonts w:hint="eastAsia" w:asciiTheme="minorEastAsia" w:hAnsiTheme="minorEastAsia" w:eastAsiaTheme="minorEastAsia" w:cstheme="minorEastAsia"/>
          <w:bCs/>
          <w:szCs w:val="21"/>
        </w:rPr>
        <w:t>0898-65686619</w:t>
      </w:r>
    </w:p>
    <w:p w14:paraId="087C7963">
      <w:pPr>
        <w:snapToGrid w:val="0"/>
        <w:spacing w:line="40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p>
    <w:bookmarkEnd w:id="30"/>
    <w:bookmarkEnd w:id="31"/>
    <w:p w14:paraId="6746B44D">
      <w:pPr>
        <w:adjustRightInd w:val="0"/>
        <w:snapToGrid w:val="0"/>
        <w:spacing w:line="360" w:lineRule="auto"/>
        <w:jc w:val="center"/>
        <w:rPr>
          <w:rFonts w:hint="eastAsia" w:ascii="宋体" w:hAnsi="宋体" w:cs="宋体"/>
          <w:b/>
          <w:szCs w:val="21"/>
        </w:rPr>
      </w:pPr>
      <w:r>
        <w:rPr>
          <w:rFonts w:hint="eastAsia" w:ascii="宋体" w:hAnsi="宋体" w:cs="宋体"/>
          <w:b/>
          <w:szCs w:val="21"/>
        </w:rPr>
        <w:t>第二章  采购需求</w:t>
      </w:r>
    </w:p>
    <w:p w14:paraId="0242A87F">
      <w:pPr>
        <w:numPr>
          <w:ilvl w:val="0"/>
          <w:numId w:val="1"/>
        </w:numPr>
        <w:spacing w:line="560" w:lineRule="exact"/>
        <w:ind w:firstLine="422" w:firstLineChars="200"/>
        <w:rPr>
          <w:rFonts w:hint="eastAsia" w:ascii="宋体" w:hAnsi="宋体" w:cs="宋体"/>
          <w:b/>
          <w:bCs/>
          <w:szCs w:val="21"/>
        </w:rPr>
      </w:pPr>
      <w:r>
        <w:rPr>
          <w:rFonts w:hint="eastAsia" w:ascii="宋体" w:hAnsi="宋体" w:cs="宋体"/>
          <w:b/>
          <w:bCs/>
          <w:szCs w:val="21"/>
        </w:rPr>
        <w:t>项目概况</w:t>
      </w:r>
    </w:p>
    <w:p w14:paraId="1F292F4E">
      <w:pPr>
        <w:numPr>
          <w:ilvl w:val="0"/>
          <w:numId w:val="2"/>
        </w:numPr>
        <w:spacing w:line="560" w:lineRule="exact"/>
        <w:ind w:firstLine="420" w:firstLineChars="200"/>
        <w:rPr>
          <w:rFonts w:hint="eastAsia" w:ascii="宋体" w:hAnsi="宋体" w:cs="宋体"/>
          <w:szCs w:val="21"/>
        </w:rPr>
      </w:pPr>
      <w:r>
        <w:rPr>
          <w:rFonts w:hint="eastAsia" w:ascii="宋体" w:hAnsi="宋体" w:cs="宋体"/>
          <w:szCs w:val="21"/>
        </w:rPr>
        <w:t>项目名称：全球消费精品博览园短展项目前期研究工作</w:t>
      </w:r>
    </w:p>
    <w:p w14:paraId="3FC7B7D0">
      <w:pPr>
        <w:numPr>
          <w:ilvl w:val="0"/>
          <w:numId w:val="2"/>
        </w:numPr>
        <w:spacing w:line="560" w:lineRule="exact"/>
        <w:ind w:firstLine="420" w:firstLineChars="200"/>
        <w:rPr>
          <w:rFonts w:hint="eastAsia" w:ascii="宋体" w:hAnsi="宋体" w:cs="宋体"/>
          <w:szCs w:val="21"/>
        </w:rPr>
      </w:pPr>
      <w:r>
        <w:rPr>
          <w:rFonts w:hint="eastAsia" w:ascii="宋体" w:hAnsi="宋体" w:cs="宋体"/>
          <w:szCs w:val="21"/>
        </w:rPr>
        <w:t>预算金额：30.0000万元（不含30.0000万元，投标报价超过预算金额或等于最高限价的均按无效投标处理）</w:t>
      </w:r>
    </w:p>
    <w:p w14:paraId="7EB6AA1B">
      <w:pPr>
        <w:numPr>
          <w:ilvl w:val="0"/>
          <w:numId w:val="2"/>
        </w:numPr>
        <w:spacing w:line="560" w:lineRule="exact"/>
        <w:ind w:firstLine="420" w:firstLineChars="200"/>
        <w:rPr>
          <w:rFonts w:hint="eastAsia" w:ascii="宋体" w:hAnsi="宋体" w:cs="宋体"/>
          <w:szCs w:val="21"/>
        </w:rPr>
      </w:pPr>
      <w:r>
        <w:rPr>
          <w:rFonts w:hint="eastAsia" w:ascii="宋体" w:hAnsi="宋体" w:cs="宋体"/>
          <w:szCs w:val="21"/>
        </w:rPr>
        <w:t>采购内容：贯彻落实海南自由贸易港建设战略部署，推动江东新区打造国际旅游消费中心的标杆项目，围绕项目进行研究分析提供技术咨询服务，编制提交《全球消费精品博览园短展项目研究报告》。</w:t>
      </w:r>
    </w:p>
    <w:p w14:paraId="06A40098">
      <w:pPr>
        <w:spacing w:line="560" w:lineRule="exact"/>
        <w:ind w:firstLine="422" w:firstLineChars="200"/>
        <w:rPr>
          <w:rFonts w:hint="eastAsia" w:ascii="宋体" w:hAnsi="宋体" w:cs="宋体"/>
          <w:b/>
          <w:bCs/>
          <w:szCs w:val="21"/>
        </w:rPr>
      </w:pPr>
      <w:r>
        <w:rPr>
          <w:rFonts w:hint="eastAsia" w:ascii="宋体" w:hAnsi="宋体" w:cs="宋体"/>
          <w:b/>
          <w:bCs/>
          <w:szCs w:val="21"/>
        </w:rPr>
        <w:t>二、采购内容与需求</w:t>
      </w:r>
    </w:p>
    <w:p w14:paraId="2BC524B3">
      <w:pPr>
        <w:spacing w:line="560" w:lineRule="exact"/>
        <w:ind w:firstLine="422" w:firstLineChars="200"/>
        <w:rPr>
          <w:rFonts w:hint="eastAsia" w:ascii="宋体" w:hAnsi="宋体" w:cs="宋体"/>
          <w:b/>
          <w:bCs/>
          <w:szCs w:val="21"/>
        </w:rPr>
      </w:pPr>
      <w:r>
        <w:rPr>
          <w:rFonts w:hint="eastAsia" w:ascii="宋体" w:hAnsi="宋体" w:cs="宋体"/>
          <w:b/>
          <w:bCs/>
          <w:szCs w:val="21"/>
        </w:rPr>
        <w:t>（一）总体要求</w:t>
      </w:r>
    </w:p>
    <w:p w14:paraId="2FA2099B">
      <w:pPr>
        <w:spacing w:line="560" w:lineRule="exact"/>
        <w:ind w:firstLine="420" w:firstLineChars="200"/>
        <w:rPr>
          <w:rFonts w:hint="eastAsia" w:ascii="宋体" w:hAnsi="宋体" w:cs="宋体"/>
          <w:szCs w:val="21"/>
        </w:rPr>
      </w:pPr>
      <w:r>
        <w:rPr>
          <w:rFonts w:hint="eastAsia" w:ascii="宋体" w:hAnsi="宋体" w:cs="宋体"/>
          <w:szCs w:val="21"/>
        </w:rPr>
        <w:t>围绕项目整体概述、项目必要性、市场情况、项目建设方案、项目要点进行分析研究，编制提交《全球消费精品博览园短展项目研究报告》，为决策提供依据。</w:t>
      </w:r>
    </w:p>
    <w:p w14:paraId="4F9B7CB0">
      <w:pPr>
        <w:spacing w:line="560" w:lineRule="exact"/>
        <w:ind w:firstLine="422" w:firstLineChars="200"/>
        <w:rPr>
          <w:rFonts w:hint="eastAsia" w:ascii="宋体" w:hAnsi="宋体" w:cs="宋体"/>
          <w:b/>
          <w:bCs/>
          <w:szCs w:val="21"/>
        </w:rPr>
      </w:pPr>
      <w:r>
        <w:rPr>
          <w:rFonts w:hint="eastAsia" w:ascii="宋体" w:hAnsi="宋体" w:cs="宋体"/>
          <w:b/>
          <w:bCs/>
          <w:szCs w:val="21"/>
        </w:rPr>
        <w:t>（二）成果形式</w:t>
      </w:r>
    </w:p>
    <w:p w14:paraId="0DE41372">
      <w:pPr>
        <w:spacing w:line="560" w:lineRule="exact"/>
        <w:ind w:firstLine="420" w:firstLineChars="200"/>
        <w:rPr>
          <w:rFonts w:hint="eastAsia" w:ascii="宋体" w:hAnsi="宋体" w:cs="宋体"/>
          <w:szCs w:val="21"/>
        </w:rPr>
      </w:pPr>
      <w:r>
        <w:rPr>
          <w:rFonts w:hint="eastAsia" w:ascii="宋体" w:hAnsi="宋体" w:cs="宋体"/>
          <w:szCs w:val="21"/>
        </w:rPr>
        <w:t>《全球消费精品博览园短展项目研究报告》。</w:t>
      </w:r>
    </w:p>
    <w:p w14:paraId="11816BAB">
      <w:pPr>
        <w:spacing w:line="560" w:lineRule="exact"/>
        <w:ind w:firstLine="422" w:firstLineChars="200"/>
        <w:rPr>
          <w:rFonts w:hint="eastAsia" w:ascii="宋体" w:hAnsi="宋体" w:cs="宋体"/>
          <w:b/>
          <w:bCs/>
          <w:szCs w:val="21"/>
        </w:rPr>
      </w:pPr>
      <w:r>
        <w:rPr>
          <w:rFonts w:hint="eastAsia" w:ascii="宋体" w:hAnsi="宋体" w:cs="宋体"/>
          <w:b/>
          <w:bCs/>
          <w:szCs w:val="21"/>
        </w:rPr>
        <w:t>（三）工作组织</w:t>
      </w:r>
    </w:p>
    <w:p w14:paraId="2E94678A">
      <w:pPr>
        <w:spacing w:line="560" w:lineRule="exact"/>
        <w:ind w:firstLine="420" w:firstLineChars="200"/>
        <w:rPr>
          <w:rFonts w:hint="eastAsia" w:ascii="宋体" w:hAnsi="宋体" w:cs="宋体"/>
          <w:szCs w:val="21"/>
        </w:rPr>
      </w:pPr>
      <w:r>
        <w:rPr>
          <w:rFonts w:hint="eastAsia" w:ascii="宋体" w:hAnsi="宋体" w:cs="宋体"/>
          <w:szCs w:val="21"/>
        </w:rPr>
        <w:t>采取“实地调研+咨询公司研究+专家论证”的专项工作组织模式，推进项目研究论证工作。</w:t>
      </w:r>
    </w:p>
    <w:p w14:paraId="0240E739">
      <w:pPr>
        <w:spacing w:line="560" w:lineRule="exact"/>
        <w:ind w:firstLine="422" w:firstLineChars="200"/>
        <w:rPr>
          <w:rFonts w:hint="eastAsia" w:ascii="宋体" w:hAnsi="宋体" w:cs="宋体"/>
          <w:b/>
          <w:bCs/>
          <w:szCs w:val="21"/>
        </w:rPr>
      </w:pPr>
      <w:r>
        <w:rPr>
          <w:rFonts w:hint="eastAsia" w:ascii="宋体" w:hAnsi="宋体" w:cs="宋体"/>
          <w:b/>
          <w:bCs/>
          <w:szCs w:val="21"/>
        </w:rPr>
        <w:t>（四）工作形式</w:t>
      </w:r>
    </w:p>
    <w:p w14:paraId="7703AD78">
      <w:pPr>
        <w:spacing w:line="560" w:lineRule="exact"/>
        <w:ind w:firstLine="420" w:firstLineChars="200"/>
        <w:rPr>
          <w:rFonts w:hint="eastAsia" w:ascii="宋体" w:hAnsi="宋体" w:cs="宋体"/>
          <w:szCs w:val="21"/>
        </w:rPr>
      </w:pPr>
      <w:r>
        <w:rPr>
          <w:rFonts w:hint="eastAsia" w:ascii="宋体" w:hAnsi="宋体" w:cs="宋体"/>
          <w:szCs w:val="21"/>
        </w:rPr>
        <w:t>1、基本情况摸排：通过工作研讨、实地踏勘、座谈调研、资料收集分析等方式，深入、细致、全面掌握基础情况；</w:t>
      </w:r>
    </w:p>
    <w:p w14:paraId="7F4891F1">
      <w:pPr>
        <w:spacing w:line="560" w:lineRule="exact"/>
        <w:ind w:firstLine="420" w:firstLineChars="200"/>
        <w:rPr>
          <w:rFonts w:hint="eastAsia" w:ascii="宋体" w:hAnsi="宋体" w:cs="宋体"/>
          <w:szCs w:val="21"/>
        </w:rPr>
      </w:pPr>
      <w:r>
        <w:rPr>
          <w:rFonts w:hint="eastAsia" w:ascii="宋体" w:hAnsi="宋体" w:cs="宋体"/>
          <w:szCs w:val="21"/>
        </w:rPr>
        <w:t>2、项目背景研究：结合海南会展行业发展现状，深入分析发展现状和存在问题，与海南省、海口市相关部门和外部专家及时开展专题研讨，结合海南自由贸易港建设战略部署，研究分析本项目；</w:t>
      </w:r>
    </w:p>
    <w:p w14:paraId="5ACBE4A2">
      <w:pPr>
        <w:spacing w:line="560" w:lineRule="exact"/>
        <w:ind w:firstLine="420" w:firstLineChars="200"/>
        <w:rPr>
          <w:rFonts w:hint="eastAsia" w:ascii="宋体" w:hAnsi="宋体" w:cs="宋体"/>
          <w:szCs w:val="21"/>
        </w:rPr>
      </w:pPr>
      <w:r>
        <w:rPr>
          <w:rFonts w:hint="eastAsia" w:ascii="宋体" w:hAnsi="宋体" w:cs="宋体"/>
          <w:szCs w:val="21"/>
        </w:rPr>
        <w:t>3、进度与质量管理：受托单位应建立严格的进度管理和质量控制体系，以确保方案科学性、可行性和前瞻性，为项目的顺利实施提供有力支撑，并定期汇报工作进度，及时识别并应对可能影响项目进度的风险因素；</w:t>
      </w:r>
    </w:p>
    <w:p w14:paraId="4896FECB">
      <w:pPr>
        <w:spacing w:line="560" w:lineRule="exact"/>
        <w:ind w:firstLine="420" w:firstLineChars="200"/>
        <w:rPr>
          <w:rFonts w:hint="eastAsia" w:ascii="宋体" w:hAnsi="宋体" w:cs="宋体"/>
          <w:szCs w:val="21"/>
        </w:rPr>
      </w:pPr>
      <w:r>
        <w:rPr>
          <w:rFonts w:hint="eastAsia" w:ascii="宋体" w:hAnsi="宋体" w:cs="宋体"/>
          <w:szCs w:val="21"/>
        </w:rPr>
        <w:t>4、项目验收：受托单位应协助完成谋划项目的专家验收工作，确保项目成果符合江东新区管理局的项目验收标准。</w:t>
      </w:r>
    </w:p>
    <w:p w14:paraId="1FF5CFD8">
      <w:pPr>
        <w:spacing w:line="560" w:lineRule="exact"/>
        <w:ind w:firstLine="420" w:firstLineChars="200"/>
        <w:rPr>
          <w:rFonts w:hint="eastAsia" w:ascii="宋体" w:hAnsi="宋体" w:cs="宋体"/>
          <w:szCs w:val="21"/>
        </w:rPr>
        <w:sectPr>
          <w:pgSz w:w="11906" w:h="16838"/>
          <w:pgMar w:top="1440" w:right="1800" w:bottom="1440" w:left="1800" w:header="794" w:footer="992" w:gutter="0"/>
          <w:cols w:space="425" w:num="1"/>
          <w:docGrid w:type="lines" w:linePitch="312" w:charSpace="0"/>
        </w:sectPr>
      </w:pPr>
      <w:r>
        <w:rPr>
          <w:rFonts w:hint="eastAsia" w:ascii="宋体" w:hAnsi="宋体" w:cs="宋体"/>
          <w:szCs w:val="21"/>
        </w:rPr>
        <w:t>5、沟通与协作：在项目执行过程中，受托单位应与江东新区管理局、项目团队及其他利益相关方保持密切沟通，确保信息的及时传递和问题的有效解决。同时，受托单位应发挥桥梁作用，促进各方之间的有效协作，共同推动项目的顺利实施。</w:t>
      </w:r>
    </w:p>
    <w:p w14:paraId="5B3D4256">
      <w:pPr>
        <w:pStyle w:val="15"/>
      </w:pPr>
    </w:p>
    <w:p w14:paraId="2F46A748">
      <w:pPr>
        <w:pStyle w:val="9"/>
      </w:pPr>
    </w:p>
    <w:p w14:paraId="580B3615">
      <w:pPr>
        <w:pStyle w:val="9"/>
        <w:ind w:left="0" w:leftChars="0" w:firstLine="0" w:firstLineChars="0"/>
        <w:rPr>
          <w:rFonts w:hint="eastAsia" w:asciiTheme="minorEastAsia" w:hAnsiTheme="minorEastAsia" w:eastAsiaTheme="minorEastAsia" w:cstheme="minorEastAsia"/>
          <w:b/>
        </w:rPr>
      </w:pPr>
    </w:p>
    <w:p w14:paraId="0985CA0B">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第三章  供应商须知</w:t>
      </w:r>
    </w:p>
    <w:p w14:paraId="24D68F70">
      <w:pPr>
        <w:adjustRightInd w:val="0"/>
        <w:snapToGrid w:val="0"/>
        <w:spacing w:before="120" w:after="24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供应商须知前附表</w:t>
      </w:r>
    </w:p>
    <w:p w14:paraId="4366C8A4">
      <w:pPr>
        <w:spacing w:line="360" w:lineRule="auto"/>
        <w:ind w:firstLine="482"/>
        <w:rPr>
          <w:szCs w:val="21"/>
        </w:rPr>
      </w:pPr>
      <w:r>
        <w:rPr>
          <w:rFonts w:hint="eastAsia" w:ascii="宋体" w:hAnsi="宋体" w:cs="宋体"/>
          <w:bCs/>
          <w:szCs w:val="21"/>
        </w:rPr>
        <w:t>“供应商须知前附表”用于进一步明确正文中的未尽事宜，由采购人根据项目的具体特点和实际需要编制和填写，如有与本章正文内容不一致的，以本表的内容为准。</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51F3E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435895A3">
            <w:pPr>
              <w:pStyle w:val="32"/>
              <w:snapToGrid w:val="0"/>
              <w:spacing w:line="360" w:lineRule="auto"/>
              <w:ind w:left="9"/>
              <w:jc w:val="center"/>
              <w:rPr>
                <w:rFonts w:hint="eastAsia" w:asciiTheme="minorEastAsia" w:hAnsiTheme="minorEastAsia" w:eastAsiaTheme="minorEastAsia" w:cstheme="minorEastAsia"/>
                <w:b/>
                <w:sz w:val="21"/>
                <w:szCs w:val="21"/>
                <w:lang w:val="zh-CN"/>
              </w:rPr>
            </w:pPr>
            <w:bookmarkStart w:id="32" w:name="_Toc246826106"/>
            <w:r>
              <w:rPr>
                <w:rFonts w:hint="eastAsia" w:asciiTheme="minorEastAsia" w:hAnsiTheme="minorEastAsia" w:eastAsiaTheme="minorEastAsia" w:cstheme="minorEastAsia"/>
                <w:b/>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3E01FDF2">
            <w:pPr>
              <w:pStyle w:val="32"/>
              <w:snapToGrid w:val="0"/>
              <w:spacing w:line="360" w:lineRule="auto"/>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0C528B3B">
            <w:pPr>
              <w:pStyle w:val="32"/>
              <w:snapToGrid w:val="0"/>
              <w:spacing w:line="360" w:lineRule="auto"/>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说明和要求</w:t>
            </w:r>
          </w:p>
        </w:tc>
      </w:tr>
      <w:tr w14:paraId="567E6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7A76438D">
            <w:pPr>
              <w:pStyle w:val="32"/>
              <w:snapToGrid w:val="0"/>
              <w:spacing w:line="360" w:lineRule="auto"/>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167D1537">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有无带</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kern w:val="0"/>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0F91E671">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无：</w:t>
            </w:r>
          </w:p>
          <w:p w14:paraId="4BB106F1">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有：</w:t>
            </w:r>
            <w:r>
              <w:rPr>
                <w:rFonts w:hint="eastAsia" w:asciiTheme="minorEastAsia" w:hAnsiTheme="minorEastAsia" w:eastAsiaTheme="minorEastAsia" w:cstheme="minorEastAsia"/>
                <w:bCs/>
                <w:szCs w:val="21"/>
              </w:rPr>
              <w:t xml:space="preserve"> 带</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szCs w:val="21"/>
              </w:rPr>
              <w:t>的是实质性要求，供应商</w:t>
            </w:r>
            <w:r>
              <w:rPr>
                <w:rFonts w:hint="eastAsia" w:asciiTheme="minorEastAsia" w:hAnsiTheme="minorEastAsia" w:eastAsiaTheme="minorEastAsia" w:cstheme="minorEastAsia"/>
                <w:bCs/>
                <w:szCs w:val="21"/>
                <w:lang w:val="zh-CN"/>
              </w:rPr>
              <w:t>必须作出实质性响应满足或优于采购文件的要求，否则视为无效响应。</w:t>
            </w:r>
          </w:p>
        </w:tc>
      </w:tr>
      <w:tr w14:paraId="21B8FB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773CD097">
            <w:pPr>
              <w:pStyle w:val="32"/>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0779FD3F">
            <w:pPr>
              <w:adjustRightInd w:val="0"/>
              <w:snapToGrid w:val="0"/>
              <w:spacing w:line="360" w:lineRule="auto"/>
              <w:ind w:left="105" w:leftChars="5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10DE1F82">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组织：</w:t>
            </w:r>
          </w:p>
          <w:p w14:paraId="78D42A20">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1、答疑会或/和现场考察时间：</w:t>
            </w:r>
          </w:p>
          <w:p w14:paraId="2577AEDF">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2、答疑会或/和现场考察地点：</w:t>
            </w:r>
          </w:p>
          <w:p w14:paraId="5A8E328D">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3、要求及注意事项：</w:t>
            </w:r>
          </w:p>
          <w:p w14:paraId="3622805D">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备注：供应商如不参加的，其风险由供应商自行承担；采购人不单独或分别组织只有一个供应商参加的现场考察和答疑会。</w:t>
            </w:r>
          </w:p>
          <w:p w14:paraId="2D45B978">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不组织：</w:t>
            </w:r>
            <w:r>
              <w:rPr>
                <w:rFonts w:hint="eastAsia" w:asciiTheme="minorEastAsia" w:hAnsiTheme="minorEastAsia" w:eastAsiaTheme="minorEastAsia" w:cstheme="minorEastAsia"/>
                <w:bCs/>
                <w:szCs w:val="21"/>
              </w:rPr>
              <w:t>✔</w:t>
            </w:r>
          </w:p>
        </w:tc>
      </w:tr>
      <w:tr w14:paraId="38AF23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2864817F">
            <w:pPr>
              <w:pStyle w:val="32"/>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7DDBA129">
            <w:pPr>
              <w:pStyle w:val="32"/>
              <w:snapToGrid w:val="0"/>
              <w:spacing w:line="360" w:lineRule="auto"/>
              <w:ind w:left="105" w:leftChars="5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C00050B">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有述标/演示：</w:t>
            </w:r>
          </w:p>
          <w:p w14:paraId="06D238EE">
            <w:pPr>
              <w:adjustRightInd w:val="0"/>
              <w:snapToGrid w:val="0"/>
              <w:spacing w:line="360" w:lineRule="auto"/>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1、述标/演示时间：</w:t>
            </w:r>
          </w:p>
          <w:p w14:paraId="0B39ED99">
            <w:pPr>
              <w:adjustRightInd w:val="0"/>
              <w:snapToGrid w:val="0"/>
              <w:spacing w:line="360" w:lineRule="auto"/>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2、述标/演示地点：</w:t>
            </w:r>
          </w:p>
          <w:p w14:paraId="4DE9DB81">
            <w:pPr>
              <w:pStyle w:val="5"/>
              <w:ind w:firstLine="210" w:firstLineChars="100"/>
            </w:pPr>
            <w:r>
              <w:rPr>
                <w:rFonts w:hint="eastAsia" w:asciiTheme="minorEastAsia" w:hAnsiTheme="minorEastAsia" w:eastAsiaTheme="minorEastAsia" w:cstheme="minorEastAsia"/>
                <w:bCs/>
                <w:szCs w:val="21"/>
              </w:rPr>
              <w:t>3、述标/演示要求及注意事项：</w:t>
            </w:r>
          </w:p>
          <w:p w14:paraId="43EA980D">
            <w:pPr>
              <w:adjustRightInd w:val="0"/>
              <w:snapToGrid w:val="0"/>
              <w:spacing w:line="360" w:lineRule="auto"/>
              <w:ind w:left="105" w:leftChars="5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无述标/演示：✔</w:t>
            </w:r>
          </w:p>
        </w:tc>
      </w:tr>
      <w:tr w14:paraId="447C20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1B40926">
            <w:pPr>
              <w:pStyle w:val="32"/>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24F11325">
            <w:pPr>
              <w:pStyle w:val="32"/>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14:paraId="3334454A">
            <w:pPr>
              <w:widowControl/>
              <w:tabs>
                <w:tab w:val="left" w:pos="425"/>
              </w:tabs>
              <w:spacing w:line="360" w:lineRule="auto"/>
              <w:ind w:left="210" w:leftChars="100"/>
              <w:jc w:val="left"/>
              <w:rPr>
                <w:rFonts w:hint="eastAsia" w:ascii="宋体" w:hAnsi="宋体" w:cs="宋体"/>
                <w:bCs/>
                <w:kern w:val="0"/>
                <w:szCs w:val="21"/>
              </w:rPr>
            </w:pPr>
            <w:r>
              <w:rPr>
                <w:rFonts w:hint="eastAsia" w:ascii="宋体" w:hAnsi="宋体" w:cs="宋体"/>
                <w:bCs/>
                <w:kern w:val="0"/>
                <w:szCs w:val="21"/>
              </w:rPr>
              <w:t>接受：</w:t>
            </w:r>
          </w:p>
          <w:p w14:paraId="0157033B">
            <w:pPr>
              <w:widowControl/>
              <w:tabs>
                <w:tab w:val="left" w:pos="425"/>
              </w:tabs>
              <w:spacing w:line="360" w:lineRule="auto"/>
              <w:ind w:left="210" w:leftChars="100"/>
              <w:jc w:val="left"/>
              <w:rPr>
                <w:rFonts w:hint="eastAsia" w:ascii="宋体" w:hAnsi="宋体" w:cs="宋体"/>
                <w:bCs/>
                <w:kern w:val="0"/>
                <w:szCs w:val="21"/>
              </w:rPr>
            </w:pPr>
            <w:r>
              <w:rPr>
                <w:rFonts w:hint="eastAsia" w:ascii="宋体" w:hAnsi="宋体" w:cs="宋体"/>
                <w:bCs/>
                <w:kern w:val="0"/>
                <w:szCs w:val="21"/>
              </w:rPr>
              <w:t>根据采购需求内容提出备选方案，并在开标一览表注明备选方案价格。</w:t>
            </w:r>
          </w:p>
          <w:p w14:paraId="6B9DB668">
            <w:pPr>
              <w:widowControl/>
              <w:tabs>
                <w:tab w:val="left" w:pos="425"/>
              </w:tabs>
              <w:spacing w:line="360" w:lineRule="auto"/>
              <w:ind w:left="210" w:leftChars="100"/>
              <w:jc w:val="left"/>
              <w:rPr>
                <w:rFonts w:hint="eastAsia" w:asciiTheme="minorEastAsia" w:hAnsiTheme="minorEastAsia" w:eastAsiaTheme="minorEastAsia" w:cstheme="minorEastAsia"/>
                <w:bCs/>
                <w:szCs w:val="21"/>
              </w:rPr>
            </w:pPr>
            <w:r>
              <w:rPr>
                <w:rFonts w:hint="eastAsia" w:ascii="宋体" w:hAnsi="宋体" w:cs="宋体" w:eastAsiaTheme="minorEastAsia"/>
                <w:bCs/>
                <w:kern w:val="0"/>
                <w:szCs w:val="21"/>
              </w:rPr>
              <w:t>不接受：✔</w:t>
            </w:r>
          </w:p>
        </w:tc>
      </w:tr>
      <w:tr w14:paraId="6A9470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44B35ACA">
            <w:pPr>
              <w:pStyle w:val="32"/>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301AA931">
            <w:pPr>
              <w:pStyle w:val="32"/>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3AEA09CC">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rPr>
              <w:t>1</w:t>
            </w:r>
            <w:r>
              <w:rPr>
                <w:rFonts w:hint="eastAsia" w:ascii="宋体" w:hAnsi="宋体" w:cs="宋体"/>
                <w:bCs/>
                <w:kern w:val="0"/>
                <w:szCs w:val="21"/>
                <w:lang w:val="zh-CN"/>
              </w:rPr>
              <w:t>、响应声明函；</w:t>
            </w:r>
          </w:p>
          <w:p w14:paraId="4D4496CE">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lang w:val="zh-CN"/>
              </w:rPr>
              <w:t>2、法定代表人授权委托书（提供委托代理人的身份证复印件，非中国国籍的则提供护照复印件）（非法定代表人签署响应文件适用）；</w:t>
            </w:r>
          </w:p>
          <w:p w14:paraId="636F6C94">
            <w:pPr>
              <w:widowControl/>
              <w:tabs>
                <w:tab w:val="left" w:pos="425"/>
              </w:tabs>
              <w:spacing w:line="360" w:lineRule="auto"/>
              <w:ind w:left="210" w:leftChars="100"/>
              <w:jc w:val="left"/>
              <w:rPr>
                <w:rFonts w:hint="eastAsia" w:ascii="宋体" w:hAnsi="宋体" w:cs="宋体"/>
                <w:bCs/>
                <w:kern w:val="0"/>
                <w:szCs w:val="21"/>
                <w:lang w:val="zh-CN"/>
              </w:rPr>
            </w:pPr>
            <w:r>
              <w:rPr>
                <w:rFonts w:hint="eastAsia" w:ascii="宋体" w:hAnsi="宋体" w:cs="宋体"/>
                <w:bCs/>
                <w:kern w:val="0"/>
                <w:szCs w:val="21"/>
                <w:lang w:val="zh-CN"/>
              </w:rPr>
              <w:t>3、法定代表人身份证明书（提供法定代表人身份证复印件，非中国国籍的则提供护照复印件）；</w:t>
            </w:r>
          </w:p>
          <w:p w14:paraId="10AC733E">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lang w:val="zh-CN"/>
              </w:rPr>
              <w:t>4、提供营业执照副本、或事业单位法人证书（事业单位）、或执业许可证（非企业专业服务机构）的复印件；如果供应商为自然人的则提供身份证复印件；</w:t>
            </w:r>
          </w:p>
          <w:p w14:paraId="17FF1193">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lang w:val="zh-CN"/>
              </w:rPr>
              <w:t>5、</w:t>
            </w:r>
            <w:r>
              <w:rPr>
                <w:rFonts w:hint="eastAsia" w:asciiTheme="minorEastAsia" w:hAnsiTheme="minorEastAsia" w:eastAsiaTheme="minorEastAsia" w:cstheme="minor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14:paraId="24F93256">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rPr>
              <w:t>6、如</w:t>
            </w:r>
            <w:r>
              <w:rPr>
                <w:rFonts w:hint="eastAsia" w:ascii="宋体" w:hAnsi="宋体" w:cs="宋体"/>
                <w:bCs/>
                <w:kern w:val="0"/>
                <w:szCs w:val="21"/>
                <w:lang w:val="zh-CN"/>
              </w:rPr>
              <w:t>交纳响应保证金的，</w:t>
            </w:r>
            <w:r>
              <w:rPr>
                <w:rFonts w:hint="eastAsia" w:ascii="宋体" w:hAnsi="宋体" w:cs="宋体"/>
                <w:bCs/>
                <w:kern w:val="0"/>
                <w:szCs w:val="21"/>
              </w:rPr>
              <w:t>提供</w:t>
            </w:r>
            <w:r>
              <w:rPr>
                <w:rFonts w:hint="eastAsia" w:ascii="宋体" w:hAnsi="宋体" w:cs="宋体"/>
                <w:bCs/>
                <w:kern w:val="0"/>
                <w:szCs w:val="21"/>
                <w:lang w:val="zh-CN"/>
              </w:rPr>
              <w:t>有效证明文件并加盖单位公章（</w:t>
            </w:r>
            <w:r>
              <w:rPr>
                <w:rFonts w:hint="eastAsia" w:ascii="宋体" w:hAnsi="宋体" w:cs="宋体"/>
                <w:bCs/>
                <w:kern w:val="0"/>
                <w:szCs w:val="21"/>
              </w:rPr>
              <w:t>本项目不要求</w:t>
            </w:r>
            <w:r>
              <w:rPr>
                <w:rFonts w:hint="eastAsia" w:ascii="宋体" w:hAnsi="宋体" w:cs="宋体"/>
                <w:bCs/>
                <w:kern w:val="0"/>
                <w:szCs w:val="21"/>
                <w:lang w:val="zh-CN"/>
              </w:rPr>
              <w:t>）；</w:t>
            </w:r>
          </w:p>
          <w:p w14:paraId="2C31BF2B">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rPr>
              <w:t>7</w:t>
            </w:r>
            <w:r>
              <w:rPr>
                <w:rFonts w:hint="eastAsia" w:ascii="宋体" w:hAnsi="宋体" w:cs="宋体"/>
                <w:bCs/>
                <w:kern w:val="0"/>
                <w:szCs w:val="21"/>
                <w:lang w:val="zh-CN"/>
              </w:rPr>
              <w:t>、资格审查及符合性审查要求提供的其他资料（详见资格审查表及符合性审查表要求）；</w:t>
            </w:r>
          </w:p>
          <w:p w14:paraId="613BA800">
            <w:pPr>
              <w:widowControl/>
              <w:tabs>
                <w:tab w:val="left" w:pos="425"/>
              </w:tabs>
              <w:snapToGrid w:val="0"/>
              <w:spacing w:line="360" w:lineRule="auto"/>
              <w:ind w:left="210" w:leftChars="100"/>
              <w:rPr>
                <w:rFonts w:hint="eastAsia" w:ascii="宋体" w:hAnsi="宋体" w:cs="宋体"/>
                <w:bCs/>
                <w:kern w:val="0"/>
                <w:szCs w:val="21"/>
                <w:lang w:val="zh-CN"/>
              </w:rPr>
            </w:pPr>
            <w:r>
              <w:rPr>
                <w:rFonts w:hint="eastAsia" w:ascii="宋体" w:hAnsi="宋体" w:cs="宋体"/>
                <w:bCs/>
                <w:kern w:val="0"/>
                <w:szCs w:val="21"/>
              </w:rPr>
              <w:t>8</w:t>
            </w:r>
            <w:r>
              <w:rPr>
                <w:rFonts w:hint="eastAsia" w:ascii="宋体" w:hAnsi="宋体" w:cs="宋体"/>
                <w:bCs/>
                <w:kern w:val="0"/>
                <w:szCs w:val="21"/>
                <w:lang w:val="zh-CN"/>
              </w:rPr>
              <w:t>、评审标准要求提供的其他资料（详见评审细则要求）；</w:t>
            </w:r>
          </w:p>
          <w:p w14:paraId="00DDE461">
            <w:pPr>
              <w:adjustRightInd w:val="0"/>
              <w:snapToGrid w:val="0"/>
              <w:spacing w:line="360" w:lineRule="auto"/>
              <w:ind w:left="210" w:leftChars="100"/>
              <w:jc w:val="left"/>
              <w:rPr>
                <w:rFonts w:hint="eastAsia" w:asciiTheme="minorEastAsia" w:hAnsiTheme="minorEastAsia" w:eastAsiaTheme="minorEastAsia" w:cstheme="minorEastAsia"/>
                <w:bCs/>
                <w:kern w:val="0"/>
                <w:szCs w:val="21"/>
                <w:lang w:val="zh-CN"/>
              </w:rPr>
            </w:pPr>
            <w:r>
              <w:rPr>
                <w:rFonts w:hint="eastAsia" w:ascii="宋体" w:hAnsi="宋体" w:cs="宋体"/>
                <w:bCs/>
                <w:kern w:val="0"/>
                <w:szCs w:val="21"/>
              </w:rPr>
              <w:t>9</w:t>
            </w:r>
            <w:r>
              <w:rPr>
                <w:rFonts w:hint="eastAsia" w:ascii="宋体" w:hAnsi="宋体" w:cs="宋体"/>
                <w:bCs/>
                <w:kern w:val="0"/>
                <w:szCs w:val="21"/>
                <w:lang w:val="zh-CN"/>
              </w:rPr>
              <w:t>、供应商认为需要提供的其他资格证明文件和商务资料。</w:t>
            </w:r>
          </w:p>
        </w:tc>
      </w:tr>
      <w:tr w14:paraId="1F634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1C7A599E">
            <w:pPr>
              <w:pStyle w:val="32"/>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6CAEF66C">
            <w:pPr>
              <w:adjustRightInd w:val="0"/>
              <w:snapToGrid w:val="0"/>
              <w:spacing w:line="360" w:lineRule="auto"/>
              <w:ind w:left="105" w:leftChars="5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本项目要求供应商</w:t>
            </w:r>
            <w:r>
              <w:rPr>
                <w:rFonts w:hint="eastAsia" w:asciiTheme="minorEastAsia" w:hAnsiTheme="minorEastAsia" w:eastAsiaTheme="minorEastAsia" w:cstheme="minorEastAsia"/>
                <w:bCs/>
                <w:kern w:val="0"/>
                <w:szCs w:val="21"/>
                <w:lang w:val="zh-CN"/>
              </w:rPr>
              <w:t>提供的</w:t>
            </w:r>
            <w:r>
              <w:rPr>
                <w:rFonts w:hint="eastAsia" w:asciiTheme="minorEastAsia" w:hAnsiTheme="minorEastAsia" w:eastAsiaTheme="minorEastAsia" w:cstheme="minorEastAsia"/>
                <w:bCs/>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4420F772">
            <w:pPr>
              <w:adjustRightInd w:val="0"/>
              <w:snapToGrid w:val="0"/>
              <w:spacing w:line="360" w:lineRule="auto"/>
              <w:ind w:left="105" w:leftChars="50"/>
              <w:rPr>
                <w:rFonts w:hint="eastAsia"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rPr>
              <w:t>1、</w:t>
            </w:r>
            <w:r>
              <w:rPr>
                <w:rFonts w:hint="eastAsia" w:asciiTheme="minorEastAsia" w:hAnsiTheme="minorEastAsia" w:eastAsiaTheme="minorEastAsia" w:cstheme="minorEastAsia"/>
                <w:bCs/>
                <w:kern w:val="0"/>
                <w:szCs w:val="21"/>
                <w:lang w:val="zh-CN"/>
              </w:rPr>
              <w:t>开标一览表</w:t>
            </w:r>
          </w:p>
          <w:p w14:paraId="642D845D">
            <w:pPr>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kern w:val="0"/>
                <w:szCs w:val="21"/>
              </w:rPr>
              <w:t>2、</w:t>
            </w:r>
            <w:r>
              <w:rPr>
                <w:rFonts w:hint="eastAsia" w:asciiTheme="minorEastAsia" w:hAnsiTheme="minorEastAsia" w:eastAsiaTheme="minorEastAsia" w:cstheme="minorEastAsia"/>
                <w:bCs/>
                <w:kern w:val="0"/>
                <w:szCs w:val="21"/>
                <w:lang w:val="zh-CN"/>
              </w:rPr>
              <w:t>响应报价明细表</w:t>
            </w:r>
          </w:p>
        </w:tc>
      </w:tr>
      <w:tr w14:paraId="19E4FE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5B66C072">
            <w:pPr>
              <w:pStyle w:val="32"/>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0808FD04">
            <w:pPr>
              <w:pStyle w:val="32"/>
              <w:snapToGrid w:val="0"/>
              <w:spacing w:line="360" w:lineRule="auto"/>
              <w:ind w:left="105" w:leftChars="50"/>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41BD7A8">
            <w:pPr>
              <w:pStyle w:val="32"/>
              <w:snapToGrid w:val="0"/>
              <w:spacing w:line="360" w:lineRule="auto"/>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自响应文件递交截止时间起90天。</w:t>
            </w:r>
          </w:p>
        </w:tc>
      </w:tr>
      <w:tr w14:paraId="390B51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14:paraId="622A285B">
            <w:pPr>
              <w:pStyle w:val="32"/>
              <w:snapToGrid w:val="0"/>
              <w:spacing w:line="360" w:lineRule="auto"/>
              <w:ind w:left="9"/>
              <w:jc w:val="center"/>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rPr>
              <w:t>9</w:t>
            </w:r>
          </w:p>
        </w:tc>
        <w:tc>
          <w:tcPr>
            <w:tcW w:w="2435" w:type="dxa"/>
            <w:tcBorders>
              <w:top w:val="single" w:color="auto" w:sz="8" w:space="0"/>
              <w:left w:val="single" w:color="auto" w:sz="4" w:space="0"/>
              <w:bottom w:val="single" w:color="auto" w:sz="8" w:space="0"/>
              <w:right w:val="single" w:color="auto" w:sz="8" w:space="0"/>
            </w:tcBorders>
            <w:vAlign w:val="bottom"/>
          </w:tcPr>
          <w:p w14:paraId="093E22C6">
            <w:pPr>
              <w:pStyle w:val="32"/>
              <w:snapToGrid w:val="0"/>
              <w:spacing w:line="360" w:lineRule="auto"/>
              <w:ind w:left="105" w:leftChars="50"/>
              <w:jc w:val="both"/>
              <w:rPr>
                <w:rFonts w:hint="eastAsia"/>
              </w:rPr>
            </w:pPr>
            <w:r>
              <w:rPr>
                <w:rFonts w:hint="eastAsia"/>
                <w:bCs/>
                <w:kern w:val="2"/>
                <w:sz w:val="21"/>
                <w:szCs w:val="21"/>
                <w:lang w:val="zh-CN"/>
              </w:rPr>
              <w:t>响应保证金</w:t>
            </w:r>
            <w:r>
              <w:rPr>
                <w:rFonts w:hint="eastAsia"/>
                <w:bCs/>
                <w:kern w:val="2"/>
                <w:sz w:val="21"/>
                <w:szCs w:val="21"/>
              </w:rPr>
              <w:t>要求</w:t>
            </w:r>
          </w:p>
          <w:p w14:paraId="2B3EDCF4">
            <w:pPr>
              <w:pStyle w:val="32"/>
              <w:snapToGrid w:val="0"/>
              <w:spacing w:line="360" w:lineRule="auto"/>
              <w:ind w:left="105" w:leftChars="50"/>
              <w:jc w:val="both"/>
              <w:rPr>
                <w:rFonts w:hint="eastAsia"/>
                <w:bCs/>
                <w:kern w:val="2"/>
                <w:sz w:val="21"/>
                <w:szCs w:val="21"/>
              </w:rPr>
            </w:pPr>
          </w:p>
        </w:tc>
        <w:tc>
          <w:tcPr>
            <w:tcW w:w="5220" w:type="dxa"/>
            <w:tcBorders>
              <w:top w:val="single" w:color="auto" w:sz="8" w:space="0"/>
              <w:left w:val="single" w:color="auto" w:sz="8" w:space="0"/>
              <w:bottom w:val="single" w:color="auto" w:sz="8" w:space="0"/>
              <w:right w:val="single" w:color="auto" w:sz="18" w:space="0"/>
            </w:tcBorders>
            <w:vAlign w:val="center"/>
          </w:tcPr>
          <w:p w14:paraId="4081D6D2">
            <w:pPr>
              <w:pStyle w:val="6"/>
              <w:adjustRightInd w:val="0"/>
              <w:snapToGrid w:val="0"/>
              <w:spacing w:line="360" w:lineRule="auto"/>
              <w:jc w:val="both"/>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本项目不要求</w:t>
            </w:r>
          </w:p>
        </w:tc>
      </w:tr>
      <w:tr w14:paraId="0571C7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6A35292D">
            <w:pPr>
              <w:pStyle w:val="32"/>
              <w:snapToGrid w:val="0"/>
              <w:spacing w:line="360" w:lineRule="auto"/>
              <w:ind w:left="9"/>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4B67100">
            <w:pPr>
              <w:pStyle w:val="32"/>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2F37078F">
            <w:pPr>
              <w:pStyle w:val="6"/>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1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①</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正本</w:t>
            </w:r>
            <w:r>
              <w:rPr>
                <w:rFonts w:hint="eastAsia" w:asciiTheme="minorEastAsia" w:hAnsiTheme="minorEastAsia" w:eastAsiaTheme="minorEastAsia" w:cstheme="minorEastAsia"/>
                <w:bCs/>
                <w:szCs w:val="21"/>
                <w:u w:val="single"/>
                <w:lang w:val="zh-CN"/>
              </w:rPr>
              <w:t xml:space="preserve"> 壹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2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②</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副本</w:t>
            </w:r>
            <w:r>
              <w:rPr>
                <w:rFonts w:hint="eastAsia" w:asciiTheme="minorEastAsia" w:hAnsiTheme="minorEastAsia" w:eastAsiaTheme="minorEastAsia" w:cstheme="minorEastAsia"/>
                <w:bCs/>
                <w:szCs w:val="21"/>
                <w:u w:val="single"/>
              </w:rPr>
              <w:t xml:space="preserve"> 贰</w:t>
            </w:r>
            <w:r>
              <w:rPr>
                <w:rFonts w:hint="eastAsia" w:asciiTheme="minorEastAsia" w:hAnsiTheme="minorEastAsia" w:eastAsiaTheme="minorEastAsia" w:cstheme="minorEastAsia"/>
                <w:bCs/>
                <w:szCs w:val="21"/>
                <w:u w:val="single"/>
                <w:lang w:val="zh-CN"/>
              </w:rPr>
              <w:t xml:space="preserve"> </w:t>
            </w:r>
            <w:r>
              <w:rPr>
                <w:rFonts w:hint="eastAsia" w:asciiTheme="minorEastAsia" w:hAnsiTheme="minorEastAsia" w:eastAsiaTheme="minorEastAsia" w:cstheme="minorEastAsia"/>
                <w:bCs/>
                <w:szCs w:val="21"/>
                <w:lang w:val="zh-CN"/>
              </w:rPr>
              <w:t xml:space="preserve">份 </w:t>
            </w: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 3 \* GB3 \* MERGEFORMAT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szCs w:val="21"/>
              </w:rPr>
              <w:t>③</w:t>
            </w:r>
            <w:r>
              <w:rPr>
                <w:rFonts w:hint="eastAsia" w:asciiTheme="minorEastAsia" w:hAnsiTheme="minorEastAsia" w:eastAsiaTheme="minorEastAsia" w:cstheme="minorEastAsia"/>
                <w:bCs/>
                <w:szCs w:val="21"/>
                <w:lang w:val="zh-CN"/>
              </w:rPr>
              <w:fldChar w:fldCharType="end"/>
            </w:r>
            <w:r>
              <w:rPr>
                <w:rFonts w:hint="eastAsia" w:asciiTheme="minorEastAsia" w:hAnsiTheme="minorEastAsia" w:eastAsiaTheme="minorEastAsia" w:cstheme="minorEastAsia"/>
                <w:bCs/>
                <w:szCs w:val="21"/>
                <w:lang w:val="zh-CN"/>
              </w:rPr>
              <w:t>电子版响应文件</w:t>
            </w:r>
            <w:r>
              <w:rPr>
                <w:rFonts w:hint="eastAsia" w:asciiTheme="minorEastAsia" w:hAnsiTheme="minorEastAsia" w:eastAsiaTheme="minorEastAsia" w:cstheme="minorEastAsia"/>
                <w:bCs/>
                <w:szCs w:val="21"/>
              </w:rPr>
              <w:t>U盘壹个。</w:t>
            </w:r>
          </w:p>
          <w:p w14:paraId="5B7A1C3F">
            <w:pPr>
              <w:tabs>
                <w:tab w:val="left" w:pos="420"/>
              </w:tabs>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要求：</w:t>
            </w:r>
          </w:p>
          <w:p w14:paraId="3BEF6AF0">
            <w:pPr>
              <w:tabs>
                <w:tab w:val="left" w:pos="420"/>
              </w:tabs>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1、少于数量要求的响应文件视为无效响应文件。</w:t>
            </w:r>
          </w:p>
          <w:p w14:paraId="10ED72BB">
            <w:pPr>
              <w:pStyle w:val="6"/>
              <w:adjustRightInd w:val="0"/>
              <w:snapToGrid w:val="0"/>
              <w:spacing w:line="360" w:lineRule="auto"/>
              <w:ind w:left="105" w:leftChars="50"/>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rPr>
              <w:t>2、电子版响应文件（电子版</w:t>
            </w:r>
            <w:r>
              <w:rPr>
                <w:rFonts w:hint="eastAsia" w:asciiTheme="minorEastAsia" w:hAnsiTheme="minorEastAsia" w:eastAsiaTheme="minorEastAsia" w:cstheme="minorEastAsia"/>
                <w:bCs/>
                <w:szCs w:val="21"/>
                <w:lang w:val="zh-CN"/>
              </w:rPr>
              <w:t>响应文件</w:t>
            </w:r>
            <w:r>
              <w:rPr>
                <w:rFonts w:hint="eastAsia" w:asciiTheme="minorEastAsia" w:hAnsiTheme="minorEastAsia" w:eastAsiaTheme="minorEastAsia" w:cstheme="minorEastAsia"/>
                <w:bCs/>
                <w:szCs w:val="21"/>
              </w:rPr>
              <w:t>须是PDF格式）为正本完整版的扫描件</w:t>
            </w:r>
            <w:r>
              <w:rPr>
                <w:rFonts w:hint="eastAsia" w:asciiTheme="minorEastAsia" w:hAnsiTheme="minorEastAsia" w:eastAsiaTheme="minorEastAsia" w:cstheme="minorEastAsia"/>
                <w:bCs/>
                <w:szCs w:val="21"/>
                <w:lang w:val="zh-CN"/>
              </w:rPr>
              <w:t>。</w:t>
            </w:r>
          </w:p>
        </w:tc>
      </w:tr>
      <w:tr w14:paraId="788F42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D38AE63">
            <w:pPr>
              <w:pStyle w:val="32"/>
              <w:snapToGrid w:val="0"/>
              <w:spacing w:line="360" w:lineRule="auto"/>
              <w:ind w:left="9"/>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14AE7BE5">
            <w:pPr>
              <w:pStyle w:val="32"/>
              <w:snapToGrid w:val="0"/>
              <w:spacing w:line="360" w:lineRule="auto"/>
              <w:ind w:left="105" w:leftChars="50"/>
              <w:jc w:val="both"/>
              <w:rPr>
                <w:rFonts w:hint="eastAsia" w:asciiTheme="minorEastAsia" w:hAnsiTheme="minorEastAsia" w:eastAsiaTheme="minorEastAsia" w:cstheme="minorEastAsia"/>
                <w:bCs/>
                <w:sz w:val="21"/>
                <w:szCs w:val="21"/>
                <w:lang w:val="zh-CN"/>
              </w:rPr>
            </w:pPr>
            <w:r>
              <w:rPr>
                <w:rFonts w:hint="eastAsia" w:asciiTheme="minorEastAsia" w:hAnsiTheme="minorEastAsia" w:eastAsiaTheme="minorEastAsia" w:cstheme="minorEastAsia"/>
                <w:bCs/>
                <w:sz w:val="21"/>
                <w:szCs w:val="21"/>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2BAA32E8">
            <w:pPr>
              <w:pStyle w:val="32"/>
              <w:snapToGrid w:val="0"/>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1、响应文件正本和副本须密封，并在密封处加盖单位公章或供应商授权代表签名；</w:t>
            </w:r>
          </w:p>
          <w:p w14:paraId="56FE806C">
            <w:pPr>
              <w:pStyle w:val="32"/>
              <w:snapToGrid w:val="0"/>
              <w:spacing w:line="360" w:lineRule="auto"/>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2、电子版响应文件（PDF格式）与开标一览表一并密封，并在密封处加盖单位公章或供应商授权代表签名。</w:t>
            </w:r>
          </w:p>
          <w:p w14:paraId="6DA5D593">
            <w:pPr>
              <w:pStyle w:val="32"/>
              <w:snapToGrid w:val="0"/>
              <w:spacing w:line="360" w:lineRule="auto"/>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sz w:val="21"/>
                <w:szCs w:val="21"/>
              </w:rPr>
              <w:t>3、电子版响应文件和纸质版响应文件一起提交。</w:t>
            </w:r>
          </w:p>
          <w:p w14:paraId="418E7F7D">
            <w:pPr>
              <w:pStyle w:val="32"/>
              <w:snapToGrid w:val="0"/>
              <w:spacing w:line="360" w:lineRule="auto"/>
              <w:ind w:left="105" w:leftChars="50"/>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要求：不符合上述密封签章要求的响应文件存在视为无效响应文件风险。</w:t>
            </w:r>
          </w:p>
        </w:tc>
      </w:tr>
      <w:tr w14:paraId="6460A1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595B65A">
            <w:pPr>
              <w:pStyle w:val="5"/>
              <w:adjustRightInd w:val="0"/>
              <w:snapToGrid w:val="0"/>
              <w:spacing w:line="360" w:lineRule="auto"/>
              <w:ind w:left="9" w:firstLine="0"/>
              <w:jc w:val="center"/>
              <w:rPr>
                <w:rFonts w:hint="eastAsia"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1</w:t>
            </w:r>
            <w:r>
              <w:rPr>
                <w:rFonts w:hint="eastAsia" w:asciiTheme="minorEastAsia" w:hAnsiTheme="minorEastAsia" w:eastAsiaTheme="minorEastAsia" w:cstheme="minorEastAsia"/>
                <w:bCs/>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0F120513">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18997827">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    正本（副本）</w:t>
            </w:r>
          </w:p>
          <w:p w14:paraId="26E499B0">
            <w:pPr>
              <w:adjustRightInd w:val="0"/>
              <w:snapToGrid w:val="0"/>
              <w:spacing w:line="360" w:lineRule="auto"/>
              <w:ind w:left="105" w:leftChars="50"/>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项目名称:</w:t>
            </w:r>
          </w:p>
          <w:p w14:paraId="78079C3B">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项目编号：</w:t>
            </w:r>
          </w:p>
          <w:p w14:paraId="457C5EEB">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供应商的名称（加盖公章）：</w:t>
            </w:r>
          </w:p>
          <w:p w14:paraId="49F1FDE8">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供应商联系人姓名、联系电话：</w:t>
            </w:r>
          </w:p>
          <w:p w14:paraId="27487B9F">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于</w:t>
            </w:r>
            <w:r>
              <w:rPr>
                <w:rFonts w:hint="eastAsia" w:asciiTheme="minorEastAsia" w:hAnsiTheme="minorEastAsia" w:eastAsiaTheme="minorEastAsia" w:cstheme="minorEastAsia"/>
                <w:bCs/>
                <w:kern w:val="0"/>
                <w:szCs w:val="21"/>
              </w:rPr>
              <w:t>在2025</w:t>
            </w:r>
            <w:r>
              <w:rPr>
                <w:rFonts w:hint="eastAsia" w:asciiTheme="minorEastAsia" w:hAnsiTheme="minorEastAsia" w:eastAsiaTheme="minorEastAsia" w:cstheme="minorEastAsia"/>
                <w:bCs/>
                <w:kern w:val="0"/>
                <w:szCs w:val="21"/>
                <w:lang w:val="zh-CN"/>
              </w:rPr>
              <w:t>年</w:t>
            </w:r>
            <w:r>
              <w:rPr>
                <w:rFonts w:hint="eastAsia" w:asciiTheme="minorEastAsia" w:hAnsiTheme="minorEastAsia" w:eastAsiaTheme="minorEastAsia" w:cstheme="minorEastAsia"/>
                <w:bCs/>
                <w:kern w:val="0"/>
                <w:szCs w:val="21"/>
                <w:lang w:val="en-US" w:eastAsia="zh-CN"/>
              </w:rPr>
              <w:t>8</w:t>
            </w:r>
            <w:r>
              <w:rPr>
                <w:rFonts w:hint="eastAsia" w:asciiTheme="minorEastAsia" w:hAnsiTheme="minorEastAsia" w:eastAsiaTheme="minorEastAsia" w:cstheme="minorEastAsia"/>
                <w:bCs/>
                <w:kern w:val="0"/>
                <w:szCs w:val="21"/>
                <w:lang w:val="zh-CN"/>
              </w:rPr>
              <w:t>月</w:t>
            </w:r>
            <w:r>
              <w:rPr>
                <w:rFonts w:hint="eastAsia" w:asciiTheme="minorEastAsia" w:hAnsiTheme="minorEastAsia" w:eastAsiaTheme="minorEastAsia" w:cstheme="minorEastAsia"/>
                <w:bCs/>
                <w:kern w:val="0"/>
                <w:szCs w:val="21"/>
                <w:lang w:val="en-US" w:eastAsia="zh-CN"/>
              </w:rPr>
              <w:t>14</w:t>
            </w:r>
            <w:r>
              <w:rPr>
                <w:rFonts w:hint="eastAsia" w:asciiTheme="minorEastAsia" w:hAnsiTheme="minorEastAsia" w:eastAsiaTheme="minorEastAsia" w:cstheme="minorEastAsia"/>
                <w:bCs/>
                <w:kern w:val="0"/>
                <w:szCs w:val="21"/>
                <w:lang w:val="zh-CN"/>
              </w:rPr>
              <w:t>日</w:t>
            </w:r>
            <w:r>
              <w:rPr>
                <w:rFonts w:hint="eastAsia" w:asciiTheme="minorEastAsia" w:hAnsiTheme="minorEastAsia" w:eastAsiaTheme="minorEastAsia" w:cstheme="minorEastAsia"/>
                <w:bCs/>
                <w:kern w:val="0"/>
                <w:szCs w:val="21"/>
              </w:rPr>
              <w:t>9</w:t>
            </w:r>
            <w:r>
              <w:rPr>
                <w:rFonts w:hint="eastAsia" w:asciiTheme="minorEastAsia" w:hAnsiTheme="minorEastAsia" w:eastAsiaTheme="minorEastAsia" w:cstheme="minorEastAsia"/>
                <w:bCs/>
                <w:kern w:val="0"/>
                <w:szCs w:val="21"/>
                <w:lang w:val="zh-CN"/>
              </w:rPr>
              <w:t>时</w:t>
            </w:r>
            <w:r>
              <w:rPr>
                <w:rFonts w:hint="eastAsia" w:asciiTheme="minorEastAsia" w:hAnsiTheme="minorEastAsia" w:eastAsiaTheme="minorEastAsia" w:cstheme="minorEastAsia"/>
                <w:bCs/>
                <w:kern w:val="0"/>
                <w:szCs w:val="21"/>
              </w:rPr>
              <w:t>00</w:t>
            </w:r>
            <w:r>
              <w:rPr>
                <w:rFonts w:hint="eastAsia" w:asciiTheme="minorEastAsia" w:hAnsiTheme="minorEastAsia" w:eastAsiaTheme="minorEastAsia" w:cstheme="minorEastAsia"/>
                <w:bCs/>
                <w:kern w:val="0"/>
                <w:szCs w:val="21"/>
                <w:lang w:val="zh-CN"/>
              </w:rPr>
              <w:t>分前</w:t>
            </w:r>
            <w:r>
              <w:rPr>
                <w:rFonts w:hint="eastAsia" w:asciiTheme="minorEastAsia" w:hAnsiTheme="minorEastAsia" w:eastAsiaTheme="minorEastAsia" w:cstheme="minorEastAsia"/>
                <w:bCs/>
                <w:kern w:val="0"/>
                <w:szCs w:val="21"/>
              </w:rPr>
              <w:t>（开标时间</w:t>
            </w:r>
            <w:r>
              <w:rPr>
                <w:rFonts w:hint="eastAsia" w:asciiTheme="minorEastAsia" w:hAnsiTheme="minorEastAsia" w:eastAsiaTheme="minorEastAsia" w:cstheme="minorEastAsia"/>
                <w:bCs/>
                <w:szCs w:val="21"/>
              </w:rPr>
              <w:t>）不得开启</w:t>
            </w:r>
          </w:p>
        </w:tc>
      </w:tr>
      <w:tr w14:paraId="1C579D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3764D2E3">
            <w:pPr>
              <w:pStyle w:val="5"/>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2435" w:type="dxa"/>
            <w:vAlign w:val="center"/>
          </w:tcPr>
          <w:p w14:paraId="4939B58D">
            <w:pPr>
              <w:pStyle w:val="32"/>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参加开标供应商代表身份证明文件</w:t>
            </w:r>
          </w:p>
        </w:tc>
        <w:tc>
          <w:tcPr>
            <w:tcW w:w="5220" w:type="dxa"/>
            <w:vAlign w:val="center"/>
          </w:tcPr>
          <w:p w14:paraId="13BB5892">
            <w:pPr>
              <w:pStyle w:val="32"/>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授权委托书及个人身份证（或其他有效证件）复印件</w:t>
            </w:r>
          </w:p>
        </w:tc>
      </w:tr>
      <w:tr w14:paraId="097ED1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1BDB0F09">
            <w:pPr>
              <w:pStyle w:val="5"/>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w:t>
            </w:r>
          </w:p>
        </w:tc>
        <w:tc>
          <w:tcPr>
            <w:tcW w:w="2435" w:type="dxa"/>
            <w:vAlign w:val="center"/>
          </w:tcPr>
          <w:p w14:paraId="01CFE2C2">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开标程序</w:t>
            </w:r>
          </w:p>
        </w:tc>
        <w:tc>
          <w:tcPr>
            <w:tcW w:w="5220" w:type="dxa"/>
            <w:vAlign w:val="center"/>
          </w:tcPr>
          <w:p w14:paraId="7044667D">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1、主持人宣布开标会议开始；</w:t>
            </w:r>
          </w:p>
          <w:p w14:paraId="63510D77">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2、介绍参加开标会议的人员；</w:t>
            </w:r>
          </w:p>
          <w:p w14:paraId="631552B7">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3、宣读开标纪律；</w:t>
            </w:r>
          </w:p>
          <w:p w14:paraId="63A68888">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4、查验各响应文件的密封性并予以确认；</w:t>
            </w:r>
          </w:p>
          <w:p w14:paraId="35408832">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5、拆封响应文件；</w:t>
            </w:r>
          </w:p>
          <w:p w14:paraId="077FD879">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6、唱标，唱标内容为“开标一览表”所载明的内容；</w:t>
            </w:r>
          </w:p>
          <w:p w14:paraId="3BA95C4B">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7、记录唱标结果及开标过程，供应商代表须在记录上签字确认；</w:t>
            </w:r>
          </w:p>
          <w:p w14:paraId="11C98161">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8、主持人宣布开标会议结束。</w:t>
            </w:r>
          </w:p>
          <w:p w14:paraId="2D165759">
            <w:pPr>
              <w:pStyle w:val="9"/>
              <w:ind w:left="0" w:leftChars="0" w:firstLine="0" w:firstLineChars="0"/>
            </w:pPr>
            <w:r>
              <w:rPr>
                <w:rFonts w:hint="eastAsia" w:asciiTheme="minorEastAsia" w:hAnsiTheme="minorEastAsia" w:eastAsiaTheme="minorEastAsia" w:cstheme="minorEastAsia"/>
                <w:color w:val="000000" w:themeColor="text1"/>
                <w14:textFill>
                  <w14:solidFill>
                    <w14:schemeClr w14:val="tx1"/>
                  </w14:solidFill>
                </w14:textFill>
              </w:rPr>
              <w:t>备注：本项目不要求供应商授权代表参与开标会议</w:t>
            </w:r>
            <w:r>
              <w:rPr>
                <w:rFonts w:hint="eastAsia" w:asciiTheme="minorEastAsia" w:hAnsiTheme="minorEastAsia" w:eastAsiaTheme="minorEastAsia" w:cstheme="minorEastAsia"/>
                <w:color w:val="0000FF"/>
              </w:rPr>
              <w:t>。</w:t>
            </w:r>
          </w:p>
        </w:tc>
      </w:tr>
      <w:tr w14:paraId="261C6E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331FF54C">
            <w:pPr>
              <w:pStyle w:val="5"/>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w:t>
            </w:r>
          </w:p>
        </w:tc>
        <w:tc>
          <w:tcPr>
            <w:tcW w:w="2435" w:type="dxa"/>
            <w:vAlign w:val="center"/>
          </w:tcPr>
          <w:p w14:paraId="79301CDE">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唱标内容</w:t>
            </w:r>
          </w:p>
        </w:tc>
        <w:tc>
          <w:tcPr>
            <w:tcW w:w="5220" w:type="dxa"/>
            <w:vAlign w:val="center"/>
          </w:tcPr>
          <w:p w14:paraId="5C8B0C6E">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1、“开标一览表”所载明的内容</w:t>
            </w:r>
          </w:p>
          <w:p w14:paraId="5FE69A39">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对响应报价若有说明应在开标一览表显著处予以注明，只有开标时唱出的响应报价、价格折扣等内容才会被考虑。供应商若有响应报价、价格折扣等未被唱出的，应在唱标时及时提出。否则，采购人对此不承担任何责任。</w:t>
            </w:r>
          </w:p>
        </w:tc>
      </w:tr>
      <w:tr w14:paraId="7FC331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14:paraId="1B8D54C5">
            <w:pPr>
              <w:pStyle w:val="5"/>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w:t>
            </w:r>
          </w:p>
        </w:tc>
        <w:tc>
          <w:tcPr>
            <w:tcW w:w="2435" w:type="dxa"/>
            <w:vAlign w:val="center"/>
          </w:tcPr>
          <w:p w14:paraId="5CC9DD0D">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资格审查</w:t>
            </w:r>
          </w:p>
        </w:tc>
        <w:tc>
          <w:tcPr>
            <w:tcW w:w="5220" w:type="dxa"/>
            <w:vAlign w:val="center"/>
          </w:tcPr>
          <w:p w14:paraId="3D2A5DA6">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开标结束后，先对供应商的资格进行审查，合格供应商不足3家的，不得评审。</w:t>
            </w:r>
          </w:p>
        </w:tc>
      </w:tr>
      <w:tr w14:paraId="28CC7C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79C50308">
            <w:pPr>
              <w:pStyle w:val="5"/>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w:t>
            </w:r>
          </w:p>
        </w:tc>
        <w:tc>
          <w:tcPr>
            <w:tcW w:w="2435" w:type="dxa"/>
            <w:vAlign w:val="center"/>
          </w:tcPr>
          <w:p w14:paraId="16E9C407">
            <w:pPr>
              <w:adjustRightInd w:val="0"/>
              <w:snapToGrid w:val="0"/>
              <w:spacing w:line="360" w:lineRule="auto"/>
              <w:ind w:left="105" w:leftChars="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修正内容</w:t>
            </w:r>
          </w:p>
        </w:tc>
        <w:tc>
          <w:tcPr>
            <w:tcW w:w="5220" w:type="dxa"/>
            <w:vAlign w:val="center"/>
          </w:tcPr>
          <w:p w14:paraId="1C332C1E">
            <w:pPr>
              <w:adjustRightInd w:val="0"/>
              <w:snapToGrid w:val="0"/>
              <w:spacing w:line="360" w:lineRule="auto"/>
              <w:ind w:left="105" w:leftChars="5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响应文件中开标一览表（报价表）内容与响应文件中相应内容不一致的，以开标一览表（报价表）为准,但价格评审时则以最不利于评审结果的标准取值。</w:t>
            </w:r>
          </w:p>
        </w:tc>
      </w:tr>
      <w:tr w14:paraId="41D7D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5EEE700">
            <w:pPr>
              <w:pStyle w:val="5"/>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w:t>
            </w:r>
          </w:p>
        </w:tc>
        <w:tc>
          <w:tcPr>
            <w:tcW w:w="2435" w:type="dxa"/>
            <w:vAlign w:val="center"/>
          </w:tcPr>
          <w:p w14:paraId="7A201147">
            <w:pPr>
              <w:pStyle w:val="32"/>
              <w:snapToGrid w:val="0"/>
              <w:spacing w:line="360" w:lineRule="auto"/>
              <w:ind w:left="105" w:leftChars="5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评审方法</w:t>
            </w:r>
          </w:p>
        </w:tc>
        <w:tc>
          <w:tcPr>
            <w:tcW w:w="5220" w:type="dxa"/>
            <w:vAlign w:val="center"/>
          </w:tcPr>
          <w:p w14:paraId="5D207C71">
            <w:pPr>
              <w:pStyle w:val="32"/>
              <w:snapToGrid w:val="0"/>
              <w:spacing w:line="360" w:lineRule="auto"/>
              <w:ind w:left="105" w:leftChars="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zh-CN"/>
              </w:rPr>
              <w:t>综合评分法</w:t>
            </w:r>
          </w:p>
        </w:tc>
      </w:tr>
      <w:tr w14:paraId="44A838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4A00E9B6">
            <w:pPr>
              <w:pStyle w:val="5"/>
              <w:adjustRightInd w:val="0"/>
              <w:snapToGrid w:val="0"/>
              <w:spacing w:line="360" w:lineRule="auto"/>
              <w:ind w:left="9" w:firstLine="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w:t>
            </w:r>
          </w:p>
        </w:tc>
        <w:tc>
          <w:tcPr>
            <w:tcW w:w="7655" w:type="dxa"/>
            <w:gridSpan w:val="2"/>
            <w:vAlign w:val="center"/>
          </w:tcPr>
          <w:p w14:paraId="2A3B5F61">
            <w:pPr>
              <w:pStyle w:val="32"/>
              <w:snapToGrid w:val="0"/>
              <w:spacing w:line="360" w:lineRule="auto"/>
              <w:ind w:left="105" w:leftChars="50"/>
              <w:rPr>
                <w:rFonts w:hint="eastAsia" w:asciiTheme="minorEastAsia" w:hAnsiTheme="minorEastAsia" w:cstheme="minorEastAsia"/>
                <w:bCs/>
                <w:sz w:val="21"/>
                <w:szCs w:val="21"/>
                <w:lang w:val="zh-CN"/>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本项目</w:t>
            </w:r>
            <w:r>
              <w:rPr>
                <w:rFonts w:hint="eastAsia"/>
                <w:color w:val="000000" w:themeColor="text1"/>
                <w:sz w:val="21"/>
                <w:szCs w:val="21"/>
                <w14:textFill>
                  <w14:solidFill>
                    <w14:schemeClr w14:val="tx1"/>
                  </w14:solidFill>
                </w14:textFill>
              </w:rPr>
              <w:t>对应的中小企业划分标准所属行业：其他未列明行业。</w:t>
            </w:r>
          </w:p>
        </w:tc>
      </w:tr>
    </w:tbl>
    <w:p w14:paraId="78885655">
      <w:pPr>
        <w:adjustRightInd w:val="0"/>
        <w:snapToGrid w:val="0"/>
        <w:spacing w:line="360" w:lineRule="auto"/>
        <w:ind w:firstLine="420" w:firstLineChars="200"/>
        <w:outlineLvl w:val="1"/>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一、总则</w:t>
      </w:r>
      <w:bookmarkEnd w:id="32"/>
    </w:p>
    <w:p w14:paraId="57D739E6">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bookmarkStart w:id="33" w:name="_Toc246826115"/>
      <w:r>
        <w:rPr>
          <w:rFonts w:hint="eastAsia" w:asciiTheme="minorEastAsia" w:hAnsiTheme="minorEastAsia" w:eastAsiaTheme="minorEastAsia" w:cstheme="minorEastAsia"/>
          <w:bCs/>
          <w:kern w:val="0"/>
          <w:szCs w:val="21"/>
        </w:rPr>
        <w:t>1、适用范围</w:t>
      </w:r>
    </w:p>
    <w:p w14:paraId="171AC837">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本采购文件仅适用于本次比选公告函中所述项目的采购。</w:t>
      </w:r>
    </w:p>
    <w:p w14:paraId="6DEE797F">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2、定义</w:t>
      </w:r>
    </w:p>
    <w:p w14:paraId="33186E82">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本采购文件中的下列术语应解释为：</w:t>
      </w:r>
    </w:p>
    <w:p w14:paraId="0B88B2BB">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2.1“采购人”系指本项目的采购人，是依法开展政府采购活动的国家机关、事业单位和团体组织。在履行合同阶段称为甲方或买方。</w:t>
      </w:r>
    </w:p>
    <w:p w14:paraId="4E467EC9">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2.2“采购人”系指组织本次采购活动的海口江东新区管理局。</w:t>
      </w:r>
    </w:p>
    <w:p w14:paraId="308021A2">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2.3“供应商”系指向采购人提供货物、工程或者服务的法人、其他组织或者自然人。法人的分支机构不得参加政府采购活动，但银行、保险、石油石化、电力、电信等特殊行业除外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szCs w:val="21"/>
          <w:lang w:val="zh-CN"/>
        </w:rPr>
        <w:t>。</w:t>
      </w:r>
      <w:r>
        <w:rPr>
          <w:rFonts w:hint="eastAsia" w:asciiTheme="minorEastAsia" w:hAnsiTheme="minorEastAsia" w:eastAsiaTheme="minorEastAsia" w:cstheme="minorEastAsia"/>
          <w:bCs/>
          <w:kern w:val="0"/>
          <w:szCs w:val="21"/>
        </w:rPr>
        <w:t>在响应阶段称为供应商，在签订和履行合同阶段称为乙方、卖方或成交人（成交供应商）。</w:t>
      </w:r>
      <w:bookmarkStart w:id="34" w:name="_Toc267320062"/>
    </w:p>
    <w:p w14:paraId="05C34FBB">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bookmarkEnd w:id="34"/>
      <w:r>
        <w:rPr>
          <w:rFonts w:hint="eastAsia" w:asciiTheme="minorEastAsia" w:hAnsiTheme="minorEastAsia" w:eastAsiaTheme="minorEastAsia" w:cstheme="minorEastAsia"/>
          <w:bCs/>
          <w:kern w:val="0"/>
          <w:szCs w:val="21"/>
        </w:rPr>
        <w:t>供应商</w:t>
      </w:r>
    </w:p>
    <w:p w14:paraId="567CFA6A">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3.1合格供应商条件</w:t>
      </w:r>
    </w:p>
    <w:p w14:paraId="5B426F9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szCs w:val="21"/>
          <w:lang w:val="zh-CN"/>
        </w:rPr>
        <w:t>或者</w:t>
      </w:r>
      <w:r>
        <w:rPr>
          <w:rFonts w:hint="eastAsia" w:asciiTheme="minorEastAsia" w:hAnsiTheme="minorEastAsia" w:eastAsiaTheme="minorEastAsia" w:cstheme="minorEastAsia"/>
          <w:bCs/>
          <w:szCs w:val="21"/>
        </w:rPr>
        <w:t>自然人；</w:t>
      </w:r>
    </w:p>
    <w:p w14:paraId="026792A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3.1.2符合《政府采购法》第二十二条规定的条件：</w:t>
      </w:r>
    </w:p>
    <w:p w14:paraId="3443EC7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3.1.2.1具有独立承担民事责任的能力；</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3.1.2.1具有良好的商业信誉和健全的财务会计制度；</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3.1.2.1具有履行合同所必需的设备和专业技术能力；</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3.1.2.1有依法缴纳税收和社会保障资金的良好记录；</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3.1.2.1参加政府采购活动前三年内，在经营活动中没有重大违法记录；</w:t>
      </w:r>
      <w:r>
        <w:rPr>
          <w:rFonts w:hint="eastAsia" w:asciiTheme="minorEastAsia" w:hAnsiTheme="minorEastAsia" w:eastAsiaTheme="minorEastAsia" w:cstheme="minorEastAsia"/>
          <w:bCs/>
          <w:kern w:val="0"/>
          <w:szCs w:val="21"/>
        </w:rPr>
        <w:br w:type="textWrapping"/>
      </w:r>
      <w:r>
        <w:rPr>
          <w:rFonts w:hint="eastAsia" w:asciiTheme="minorEastAsia" w:hAnsiTheme="minorEastAsia" w:eastAsiaTheme="minorEastAsia" w:cstheme="minorEastAsia"/>
          <w:bCs/>
          <w:kern w:val="0"/>
          <w:szCs w:val="21"/>
        </w:rPr>
        <w:t>  3.1.2.1法律、行政法规规定的其他条件。</w:t>
      </w:r>
    </w:p>
    <w:p w14:paraId="464D5DA3">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3.1.3满足采购文件报价、商务和技术等实质性要求的；</w:t>
      </w:r>
    </w:p>
    <w:p w14:paraId="66243518">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3.2供应商的风险</w:t>
      </w:r>
    </w:p>
    <w:p w14:paraId="43DE85DF">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3.2.1供应商没有按照采购文件的要求编制、签署、密封、标记、递交及修正响应文件的，或者响应文件没有对采购文件在各方面都做出实质性响应的，将导致响应无效。</w:t>
      </w:r>
    </w:p>
    <w:p w14:paraId="6A707AFF">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kern w:val="0"/>
          <w:szCs w:val="21"/>
        </w:rPr>
        <w:t>：</w:t>
      </w:r>
    </w:p>
    <w:p w14:paraId="66E0F15A">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（1）提供虚假的资料；</w:t>
      </w:r>
    </w:p>
    <w:p w14:paraId="1A5054D9">
      <w:pPr>
        <w:adjustRightInd w:val="0"/>
        <w:snapToGrid w:val="0"/>
        <w:spacing w:line="360" w:lineRule="auto"/>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（2）在实质性方面失实；</w:t>
      </w:r>
    </w:p>
    <w:p w14:paraId="640CD49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3.2.3</w:t>
      </w:r>
      <w:r>
        <w:rPr>
          <w:rFonts w:hint="eastAsia" w:asciiTheme="minorEastAsia" w:hAnsiTheme="minorEastAsia" w:eastAsiaTheme="minorEastAsia" w:cstheme="minorEastAsia"/>
          <w:bCs/>
          <w:szCs w:val="21"/>
        </w:rPr>
        <w:t>供应商享受政策优惠条件但提供的证明（说明）文件或</w:t>
      </w:r>
      <w:r>
        <w:rPr>
          <w:rFonts w:hint="eastAsia"/>
          <w:szCs w:val="21"/>
        </w:rPr>
        <w:t>承诺文件失实的，</w:t>
      </w:r>
      <w:r>
        <w:rPr>
          <w:rFonts w:hint="eastAsia" w:asciiTheme="minorEastAsia" w:hAnsiTheme="minorEastAsia" w:eastAsiaTheme="minorEastAsia" w:cstheme="minorEastAsia"/>
          <w:bCs/>
          <w:szCs w:val="21"/>
        </w:rPr>
        <w:t>视同响应文件提供虚假资料论处。</w:t>
      </w:r>
    </w:p>
    <w:p w14:paraId="7D188A9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4、响应费用</w:t>
      </w:r>
    </w:p>
    <w:p w14:paraId="6C63527F">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4.1无论响应过程中的做法和结果如何，供应商自行承担所有与参加采购活动有关的全部费用；</w:t>
      </w:r>
    </w:p>
    <w:p w14:paraId="5F0D219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3D554180">
      <w:pPr>
        <w:pStyle w:val="6"/>
        <w:adjustRightInd w:val="0"/>
        <w:snapToGrid w:val="0"/>
        <w:spacing w:line="360" w:lineRule="auto"/>
        <w:ind w:firstLine="420" w:firstLineChars="200"/>
        <w:rPr>
          <w:rFonts w:hint="eastAsia" w:asciiTheme="minorEastAsia" w:hAnsiTheme="minorEastAsia" w:eastAsiaTheme="minorEastAsia" w:cstheme="minorEastAsia"/>
          <w:bCs/>
          <w:color w:val="0000FF"/>
          <w:szCs w:val="21"/>
        </w:rPr>
      </w:pPr>
      <w:r>
        <w:rPr>
          <w:rFonts w:hint="eastAsia" w:asciiTheme="minorEastAsia" w:hAnsiTheme="minorEastAsia" w:eastAsiaTheme="minorEastAsia" w:cstheme="minorEastAsia"/>
          <w:bCs/>
          <w:szCs w:val="21"/>
        </w:rPr>
        <w:t>5.1关于符合上述规定的小微企业（供应商）参与响应</w:t>
      </w:r>
      <w:r>
        <w:rPr>
          <w:rFonts w:hint="eastAsia" w:asciiTheme="minorEastAsia" w:hAnsiTheme="minorEastAsia" w:eastAsiaTheme="minorEastAsia" w:cstheme="minorEastAsia"/>
          <w:bCs/>
          <w:color w:val="0000FF"/>
          <w:szCs w:val="21"/>
        </w:rPr>
        <w:t>。</w:t>
      </w:r>
    </w:p>
    <w:p w14:paraId="4959284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5.1.1监狱企业、残疾人福利性单位视同小型、微型企业；以联合体形式参加政府采购活动，联合体各方均为小微企业的，联合体视同为小微企业。</w:t>
      </w:r>
    </w:p>
    <w:p w14:paraId="5D05342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5.1.2供应商为符合规定的小型或微型企业时，报价给予20%的价格扣除，用扣除后的价格参与评审；</w:t>
      </w:r>
    </w:p>
    <w:p w14:paraId="79F7943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5.1.3供应商为大中型企业和其他自然人、法人或者其他组织与小微企业组成联合体或者大中型企业向小微企业分包的，对联合体报价给予6%的价格扣除，用扣除后的价格参与评审；</w:t>
      </w:r>
    </w:p>
    <w:p w14:paraId="5DB3213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5.1.4本条款中两种价格扣除优惠原则不同时使用。</w:t>
      </w:r>
    </w:p>
    <w:p w14:paraId="1B942B7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5.1.5组成联合体或者接受分包的小微企业与联合体内其他企业、分包企业之间存在直接控股、管理关系的，不享受价格扣除优惠政策；</w:t>
      </w:r>
    </w:p>
    <w:p w14:paraId="19A3D50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5.1.6供应商认为其为小型或微型企业的应提供合法有效的“中小企业声明函”（附件2），并明确企业类型；供应商认为其为监狱企业须提供由省级以上监狱管理局、戒毒管理局（含新疆生产建设兵团）出具的属于监狱企业的证明文件(附件3)；供应商认为其为符合条件的残疾人福利性单位在参加政府采购活动时，应当提供《残疾人福利性单位声明函》（附件4），并对声明的真实性负责，否则评审时不能享受相应的价格扣除。</w:t>
      </w:r>
    </w:p>
    <w:p w14:paraId="2E86BD5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5.1.7在货物采购项目中，供应商提供的货物既有小微企业制造货物，也有大中型企业制造货物的，不享受本办法规定的小微企业扶持政策。</w:t>
      </w:r>
    </w:p>
    <w:p w14:paraId="0F42D66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5.1.8享受扶持政策获得政府采购合同的，小微企业不得将合同分包给大中型企业，中型企业不得将合同分包给大型企业。</w:t>
      </w:r>
    </w:p>
    <w:p w14:paraId="2532BFB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 关于强制采购节能产品、信息安全产品和优先采购环境标志产品的要求。</w:t>
      </w:r>
    </w:p>
    <w:p w14:paraId="3A1A559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0429AF2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5.2.2提供的产品属于信息安全产品的，供应商应当选择经国家认证的信息安全产品响应，并提供有效的中国国家信息安全产品认证证书复印件。</w:t>
      </w:r>
    </w:p>
    <w:p w14:paraId="61A174C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5.2.3提供的产品属于政府强制采购节能产品的，供应商应当选择《节能产品政府采购清单》中的产品响应，并提供有效的节能产品认证证书复印件。</w:t>
      </w:r>
    </w:p>
    <w:p w14:paraId="181161C4">
      <w:pPr>
        <w:adjustRightInd w:val="0"/>
        <w:snapToGrid w:val="0"/>
        <w:spacing w:line="360" w:lineRule="auto"/>
        <w:ind w:firstLine="420" w:firstLineChars="200"/>
        <w:rPr>
          <w:szCs w:val="21"/>
        </w:rPr>
      </w:pPr>
      <w:r>
        <w:rPr>
          <w:rFonts w:hint="eastAsia" w:asciiTheme="minorEastAsia" w:hAnsiTheme="minorEastAsia" w:eastAsiaTheme="minorEastAsia" w:cstheme="minorEastAsia"/>
          <w:bCs/>
          <w:szCs w:val="21"/>
        </w:rPr>
        <w:t>5.2.4 提供的产品属于优先采购环境标志产品的，供应商应当选择《环境标志产品政府采购清单》中的产品响应，并提供有效的环境标志产品认证证书复印件。</w:t>
      </w:r>
    </w:p>
    <w:p w14:paraId="76B2DB5E">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6、注意事项</w:t>
      </w:r>
    </w:p>
    <w:p w14:paraId="2C5FB894">
      <w:pPr>
        <w:adjustRightInd w:val="0"/>
        <w:snapToGrid w:val="0"/>
        <w:spacing w:line="360" w:lineRule="auto"/>
        <w:ind w:firstLine="420" w:firstLineChars="200"/>
        <w:rPr>
          <w:rFonts w:hint="eastAsia" w:asciiTheme="minorEastAsia" w:hAnsiTheme="minorEastAsia" w:eastAsiaTheme="minorEastAsia" w:cstheme="minorEastAsia"/>
          <w:bCs/>
          <w:color w:val="0000FF"/>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6.1如果没有特别声明或要求，供应商被视为充分熟悉本采购项目所在地与履行合同有关的各种情况，包括自然环境、气候条件、劳动力及公用设施等，本采购文件不再对上述情况进行描述。</w:t>
      </w:r>
    </w:p>
    <w:p w14:paraId="0856032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6.2分包采购详见“供应商须知前附表”要求。</w:t>
      </w:r>
    </w:p>
    <w:p w14:paraId="3AB9D46F">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35" w:name="_Toc246826107"/>
      <w:r>
        <w:rPr>
          <w:rFonts w:hint="eastAsia" w:asciiTheme="minorEastAsia" w:hAnsiTheme="minorEastAsia" w:eastAsiaTheme="minorEastAsia" w:cstheme="minorEastAsia"/>
          <w:bCs/>
          <w:szCs w:val="21"/>
        </w:rPr>
        <w:t>二、采购文件</w:t>
      </w:r>
      <w:bookmarkEnd w:id="35"/>
    </w:p>
    <w:p w14:paraId="21B9AD2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7、采购文件的组成</w:t>
      </w:r>
    </w:p>
    <w:p w14:paraId="47FC9E36">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采购文件用以阐明供应商准备响应文件所必须的信息，以及响应、开标、评标和签订合同等有关规定。采购文件以电子版形式下载，采购文件由下述章节组成：</w:t>
      </w:r>
    </w:p>
    <w:p w14:paraId="3BDBB883">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（1）比选公告</w:t>
      </w:r>
    </w:p>
    <w:p w14:paraId="1D14352C">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（2）采购需求</w:t>
      </w:r>
    </w:p>
    <w:p w14:paraId="5A918813">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（3）供应商须知</w:t>
      </w:r>
    </w:p>
    <w:p w14:paraId="230D7547">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（4）审查标准和评审标准</w:t>
      </w:r>
    </w:p>
    <w:p w14:paraId="4022F1C0">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（5）采购合同格式</w:t>
      </w:r>
    </w:p>
    <w:p w14:paraId="5ACBD3BB">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（6）响应文件格式及附件</w:t>
      </w:r>
    </w:p>
    <w:p w14:paraId="08367D48">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szCs w:val="21"/>
        </w:rPr>
        <w:t>8、采购文件的澄清</w:t>
      </w:r>
      <w:bookmarkEnd w:id="36"/>
      <w:bookmarkEnd w:id="37"/>
      <w:r>
        <w:rPr>
          <w:rFonts w:hint="eastAsia" w:asciiTheme="minorEastAsia" w:hAnsiTheme="minorEastAsia" w:eastAsiaTheme="minorEastAsia" w:cstheme="minorEastAsia"/>
          <w:bCs/>
          <w:szCs w:val="21"/>
        </w:rPr>
        <w:t>和修改</w:t>
      </w:r>
      <w:bookmarkEnd w:id="38"/>
    </w:p>
    <w:p w14:paraId="7A1ED5AF">
      <w:pPr>
        <w:tabs>
          <w:tab w:val="left" w:pos="720"/>
        </w:tabs>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8.1 在响应文件递交截止时间前，采购人无论出于何种原因，可以对采购文件进行澄清或者修改。</w:t>
      </w:r>
    </w:p>
    <w:p w14:paraId="0CEFC65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8.2</w:t>
      </w:r>
      <w:bookmarkStart w:id="39" w:name="_Toc430488645"/>
      <w:bookmarkStart w:id="40" w:name="_Toc430490613"/>
      <w:bookmarkStart w:id="41" w:name="_Toc430492127"/>
      <w:bookmarkStart w:id="42" w:name="_Toc430422414"/>
      <w:bookmarkStart w:id="43" w:name="_Toc415567498"/>
      <w:bookmarkStart w:id="44" w:name="_Toc430489120"/>
      <w:bookmarkStart w:id="45" w:name="_Toc430488852"/>
      <w:r>
        <w:rPr>
          <w:rFonts w:hint="eastAsia" w:asciiTheme="minorEastAsia" w:hAnsiTheme="minorEastAsia" w:eastAsiaTheme="minorEastAsia" w:cstheme="minorEastAsia"/>
          <w:bCs/>
          <w:szCs w:val="21"/>
        </w:rPr>
        <w:t xml:space="preserve"> 采购文件的修改</w:t>
      </w:r>
      <w:bookmarkEnd w:id="39"/>
      <w:bookmarkEnd w:id="40"/>
      <w:bookmarkEnd w:id="41"/>
      <w:bookmarkEnd w:id="42"/>
      <w:bookmarkEnd w:id="43"/>
      <w:bookmarkEnd w:id="44"/>
      <w:bookmarkEnd w:id="45"/>
    </w:p>
    <w:p w14:paraId="445AA177">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46" w:name="_Toc246825804"/>
      <w:bookmarkStart w:id="47" w:name="_Toc246826109"/>
      <w:bookmarkStart w:id="48" w:name="_Toc245887536"/>
      <w:bookmarkStart w:id="49" w:name="_Toc245888275"/>
      <w:r>
        <w:rPr>
          <w:rFonts w:hint="eastAsia" w:asciiTheme="minorEastAsia" w:hAnsiTheme="minorEastAsia" w:eastAsiaTheme="minorEastAsia" w:cstheme="minorEastAsia"/>
          <w:bCs/>
          <w:szCs w:val="21"/>
        </w:rPr>
        <w:t>（1）在响应文件递交截止时间以前，采购人可主动或依供应商要求澄清或质疑的问题对采购文件进行必要的补遗、澄清或修改；</w:t>
      </w:r>
      <w:bookmarkEnd w:id="46"/>
      <w:bookmarkEnd w:id="47"/>
      <w:bookmarkEnd w:id="48"/>
      <w:bookmarkEnd w:id="49"/>
      <w:bookmarkStart w:id="50" w:name="_Toc217446041"/>
      <w:bookmarkStart w:id="51" w:name="_Toc208848971"/>
    </w:p>
    <w:p w14:paraId="3BA45443">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补遗、澄清或修改内容可能影响响应文件编制的，采购人须在响应文件递交截止时间1日前发布公告；不足1日的，采购人应当顺延提交响应文件的截止时间和开标时间，在此情况下，采购当事人受响应文件递交截止时间制约的所有权利和义务均应延长至新的截止日期；</w:t>
      </w:r>
    </w:p>
    <w:p w14:paraId="29416EE7">
      <w:pPr>
        <w:pStyle w:val="1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（3）补遗、澄清或修改后的内容是采购文件的组成部分，并对潜在供应商具有约束力。有关</w:t>
      </w:r>
      <w:r>
        <w:rPr>
          <w:rFonts w:hint="eastAsia" w:asciiTheme="minorEastAsia" w:hAnsiTheme="minorEastAsia" w:eastAsiaTheme="minorEastAsia" w:cstheme="minorEastAsia"/>
          <w:bCs/>
          <w:spacing w:val="-8"/>
          <w:szCs w:val="21"/>
        </w:rPr>
        <w:t>本项目采购文件的补遗、澄清及变更信息以第一章指定网站公告及下载内容为准，</w:t>
      </w:r>
      <w:r>
        <w:rPr>
          <w:rFonts w:hint="eastAsia" w:asciiTheme="minorEastAsia" w:hAnsiTheme="minorEastAsia" w:eastAsiaTheme="minorEastAsia" w:cstheme="minorEastAsia"/>
          <w:bCs/>
          <w:szCs w:val="21"/>
        </w:rPr>
        <w:t>采购人不再另行通知，潜在供应商须及时关注关于本项目采购信息的更新事项，否则自行承担由此产生的风险。采购文件与更正公告的内容相互矛盾时，以最后发出的更正公告为准。</w:t>
      </w:r>
    </w:p>
    <w:p w14:paraId="52A8B7F3">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9、其他</w:t>
      </w:r>
    </w:p>
    <w:p w14:paraId="5B0B418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9.1标前答疑会和</w:t>
      </w:r>
      <w:bookmarkEnd w:id="50"/>
      <w:bookmarkEnd w:id="51"/>
      <w:r>
        <w:rPr>
          <w:rFonts w:hint="eastAsia" w:asciiTheme="minorEastAsia" w:hAnsiTheme="minorEastAsia" w:eastAsiaTheme="minorEastAsia" w:cstheme="minorEastAsia"/>
          <w:bCs/>
          <w:szCs w:val="21"/>
        </w:rPr>
        <w:t>现场考察</w:t>
      </w:r>
    </w:p>
    <w:p w14:paraId="2B64266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9.1.1供应商须知前附表规定组织答疑会或/和现场考察的，采购人按供应商须知前附表规定的时间、地点组织答疑会或/和供应商考察项目现场，供应商如不参加的，其风险由供应商自行承担，采购人不承担任何责任。和采购人不组织现场考察的，供应商可以自行决定是否考察现场。</w:t>
      </w:r>
    </w:p>
    <w:p w14:paraId="6E29402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9.1.2答疑会上，采购人将解答供应商的疑问。会上所有的解答与说明仅供供应商编制响应文件时参考，采购人不对供应商据此作出的判断和决策负责。</w:t>
      </w:r>
    </w:p>
    <w:p w14:paraId="7DC024C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9.1.3采购人在考察现场中口头介绍的情况（如有），供供应商在编制响应文件时参考，采购人不对供应商据此作出的判断和决策负责。</w:t>
      </w:r>
    </w:p>
    <w:p w14:paraId="1505B76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9.1.4采购人不单独或者分别组织只有1个供应商参加的现场考察及标前答疑会。</w:t>
      </w:r>
    </w:p>
    <w:p w14:paraId="26B85A2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9.1.5供应商自行承担参加答疑或现场考察所发生的一切费用。</w:t>
      </w:r>
    </w:p>
    <w:p w14:paraId="7EDA944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9.2述标和/或演示</w:t>
      </w:r>
    </w:p>
    <w:p w14:paraId="416080F4">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具体要求详见第二章“采购需求”和/或“供应商须知前附表”有关规定。</w:t>
      </w:r>
    </w:p>
    <w:p w14:paraId="5F0CE2C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52" w:name="_Toc246826110"/>
      <w:r>
        <w:rPr>
          <w:rFonts w:hint="eastAsia" w:asciiTheme="minorEastAsia" w:hAnsiTheme="minorEastAsia" w:eastAsiaTheme="minorEastAsia" w:cstheme="minorEastAsia"/>
          <w:bCs/>
          <w:szCs w:val="21"/>
        </w:rPr>
        <w:t>三、响应文件的编写</w:t>
      </w:r>
      <w:bookmarkEnd w:id="52"/>
    </w:p>
    <w:p w14:paraId="138FE1B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 响应文件的编制要求：供应商应当根据采购文件的要求编制响应文件（包括签名和盖章），否则自行承担由此产生的风险。</w:t>
      </w:r>
    </w:p>
    <w:p w14:paraId="54893A4E">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0602BB9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10.2供应商提供的文件必须真实、充分、全面，并对响应文件所提供全部资料的真实性和合法性承担法律责任。</w:t>
      </w:r>
    </w:p>
    <w:p w14:paraId="3B1784A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10.3每一单项服务项目只允许有一个报价，否则将被视为无效响应。</w:t>
      </w:r>
    </w:p>
    <w:p w14:paraId="4139206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10.4只允许供应商有一个方案，否则将被视为无效响应。（采购文件允许有备选方案的除外）</w:t>
      </w:r>
    </w:p>
    <w:p w14:paraId="371332B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10.5 供应商根据采购文件载明的采购项目实际情况，拟在成交后将成交项目的非主体、非关键性工作交由他人完成的，应当在响应文件中载明。</w:t>
      </w:r>
    </w:p>
    <w:p w14:paraId="144EEFE0">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10.6响应文件的正本、副本和电子版响应文件的数量应当符合采购文件的要求。</w:t>
      </w:r>
    </w:p>
    <w:p w14:paraId="7802B93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10.7响应文件必须编页码，页码必须连续。</w:t>
      </w:r>
    </w:p>
    <w:p w14:paraId="4920BB6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10.8响应文件应装订牢固不可拆卸（如：胶订），如因装订不牢固导致的任何损失及风险由供应商承担。</w:t>
      </w:r>
    </w:p>
    <w:p w14:paraId="5407AB56">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 响应文件语言、货物及计量单位</w:t>
      </w:r>
    </w:p>
    <w:p w14:paraId="14481B88">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11.1除采购文件中另有规定外，供应商提交的响应文件及其与采购人和采购人所有来往文件均应使用中文，若有不同文本，以中文文本为准。非中文的响应文件内容应翻译成中文。</w:t>
      </w:r>
    </w:p>
    <w:p w14:paraId="32ECF381">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11.2货币单位：本次采购项目的响应均以人民币报价。</w:t>
      </w:r>
    </w:p>
    <w:p w14:paraId="50AD2687">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11.3计量单位：除采购文件中另有规定外，供应商在响应文件中及其与采购人所有往来文件中所使用的计量单位均应采用中华人民共和国法定计量单位。</w:t>
      </w:r>
      <w:bookmarkStart w:id="53" w:name="_Toc217446046"/>
    </w:p>
    <w:bookmarkEnd w:id="53"/>
    <w:p w14:paraId="4BBCB9AC">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3753C459">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12.1响应文件的商务部分</w:t>
      </w:r>
    </w:p>
    <w:p w14:paraId="5400FF3F">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 商务部分是证明供应商是合格的，并且在成交后有能力履行合同的证明文件，这些文件可以是但不限于文字资料、证书复印件和数据报表等。</w:t>
      </w:r>
    </w:p>
    <w:p w14:paraId="03E9000C">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12.1.2 不满足商务部分实质性要求的将视为无效响应。</w:t>
      </w:r>
    </w:p>
    <w:p w14:paraId="30E6AC3B">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12.2 响应文件的技术部分</w:t>
      </w:r>
    </w:p>
    <w:p w14:paraId="0040FCA9">
      <w:pPr>
        <w:pStyle w:val="8"/>
        <w:adjustRightIn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14:paraId="706EA368">
      <w:pPr>
        <w:autoSpaceDE w:val="0"/>
        <w:autoSpaceDN w:val="0"/>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12.3 响应文件的价格部分 </w:t>
      </w:r>
    </w:p>
    <w:p w14:paraId="4B11E32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14:paraId="4ABC0919">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12.4 响应文件的其他部分</w:t>
      </w:r>
    </w:p>
    <w:p w14:paraId="1A895DA0">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其他部分由供应商根据编制响应文件需要提供的其他相关文件组成。</w:t>
      </w:r>
    </w:p>
    <w:p w14:paraId="147E4D8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13、响应有效期</w:t>
      </w:r>
    </w:p>
    <w:p w14:paraId="24AC0CFE">
      <w:pPr>
        <w:autoSpaceDE w:val="0"/>
        <w:autoSpaceDN w:val="0"/>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13.1 响应文件从“供应商须知前附表”所规定的响应文件递交截止时间之后开始生效，在“供应商须知前附表”所规定的响应有效期期限内保持有效。有效期不足将导致其响应无效。</w:t>
      </w:r>
    </w:p>
    <w:p w14:paraId="4CEF46E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同意响应有效期延长的供应商不足三家的，予以废标。不同意延长响应有效期的，响应有效期满自动失效。</w:t>
      </w:r>
    </w:p>
    <w:p w14:paraId="609D672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14、响应保证金</w:t>
      </w:r>
    </w:p>
    <w:p w14:paraId="680C4419">
      <w:pPr>
        <w:pStyle w:val="10"/>
        <w:tabs>
          <w:tab w:val="left" w:pos="8360"/>
        </w:tabs>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14.1 如项目需交纳响应保证金，则响应保证金为响应文件的组成部分之一。</w:t>
      </w:r>
    </w:p>
    <w:p w14:paraId="137352A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14.2 供应商应在提交响应文件之前向采购人交纳“供应商须知前附表”所规定的响应保证金。联合体响应的，由联合体中的一方提交响应保证金，以一方名义提交响应保证金的，对联合体各方均具有约束力。</w:t>
      </w:r>
    </w:p>
    <w:p w14:paraId="711F724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14.3 响应保证金用于保护本次采购活动免受供应商的行为而引起的风险。</w:t>
      </w:r>
    </w:p>
    <w:p w14:paraId="2BCEB81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14.4 供应商未按采购文件要求提交响应保证金的，视为无效响应；项目免收响应保证金的除外。</w:t>
      </w:r>
    </w:p>
    <w:p w14:paraId="5D551FC8">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14.5 未成交供应商的响应保证金将在成交通知书发出后5个工作日内退还，成交供应商的响应保证金将在合同送达采购人存档及公告后5个工作日内退还。</w:t>
      </w:r>
    </w:p>
    <w:p w14:paraId="04F162B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14.6 响应保证金的有效期与响应有效期一致。</w:t>
      </w:r>
    </w:p>
    <w:p w14:paraId="316F35B1">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14.7供应商交纳响应保证金的单位名称须与响应的单位名称一致，否则自行承担响应无效的风险。</w:t>
      </w:r>
    </w:p>
    <w:p w14:paraId="0F71B78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14.8 发生以下情况之一的，响应保证金将不予退还：</w:t>
      </w:r>
    </w:p>
    <w:p w14:paraId="418F9A6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（1）供应商在响应有效期内撤回已提交的响应文件的；</w:t>
      </w:r>
    </w:p>
    <w:p w14:paraId="33E7604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（2）供应商在响应文件中提供虚假材料的；</w:t>
      </w:r>
    </w:p>
    <w:p w14:paraId="1E7BD4E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（3）除因不可抗力或采购文件认可的情形以外，成交供应商放弃成交资格的；</w:t>
      </w:r>
    </w:p>
    <w:p w14:paraId="0428BC4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（4）供应商与采购人、其他供应商或者采购人恶意串通的；</w:t>
      </w:r>
    </w:p>
    <w:p w14:paraId="3FE47C7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（5）成交供应商无正当理由不与采购人签订合同的；</w:t>
      </w:r>
    </w:p>
    <w:p w14:paraId="3A5B9B8E">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（6）供应商有违反政府采购法律、法规和扰乱会场秩序行为的；</w:t>
      </w:r>
    </w:p>
    <w:p w14:paraId="342BE432">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（7）拒绝履行合同义务的；</w:t>
      </w:r>
    </w:p>
    <w:p w14:paraId="7847C3D3">
      <w:pPr>
        <w:pStyle w:val="9"/>
        <w:ind w:left="0" w:leftChars="0"/>
        <w:rPr>
          <w:rFonts w:eastAsiaTheme="minorEastAsia"/>
        </w:rPr>
      </w:pPr>
      <w:r>
        <w:rPr>
          <w:rFonts w:hint="eastAsia" w:asciiTheme="minorEastAsia" w:hAnsiTheme="minorEastAsia" w:eastAsiaTheme="minorEastAsia" w:cstheme="minorEastAsia"/>
        </w:rPr>
        <w:t>（8）法律法规及采购文件规定的其他情形。</w:t>
      </w:r>
    </w:p>
    <w:p w14:paraId="43185CD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上述不予退还响应保证金的情况给采购人或采购人造成损失的，还要承担赔偿责任。</w:t>
      </w:r>
    </w:p>
    <w:p w14:paraId="432E6CBF">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 响应文件的格式及签署</w:t>
      </w:r>
    </w:p>
    <w:p w14:paraId="1D3813E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15.1（仅使用纸质响应文件）响应文件正本壹份，副本贰份，电子版响应文件（PDF格式）U盘壹个。正本、副本必须打印装订，副本可以用正本的完整复印件，并在封面标明“正本”、“副本”字样。电子版响应文件（PDF格式）为正本完整版的扫描件。正本与副本如有不一致，则以正本为准。</w:t>
      </w:r>
    </w:p>
    <w:p w14:paraId="2FAFD19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15.2响应文件应当由供应商的法定代表人或经其正式授权的代表签字，授权代表须出具书面的法定代表人授权委托书并附载响应文件中，否则视为无效响应文件；</w:t>
      </w:r>
    </w:p>
    <w:p w14:paraId="5B21EE03">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15.3响应文件所使用的印章必须为单位公章，且与供应商单位名称完全一致，不能以其他业务章或附属机构印章代替，否则视为无效响应文件；</w:t>
      </w:r>
    </w:p>
    <w:p w14:paraId="3850EAB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15.4响应文件中的任何行间插字，涂改和增删，须由法定代表人或经其正式授权的代表在旁边签字方可有效；</w:t>
      </w:r>
    </w:p>
    <w:p w14:paraId="7794225B">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15.5供应商应按照采购文件第六章中提供的“响应文件格式”编制响应文件，如自有格式并按其格式编制的响应文件，其内容必须包含“响应文件格式”中所有的实质性内容并受其约束。</w:t>
      </w:r>
    </w:p>
    <w:p w14:paraId="5C5284A6">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15.6供应商须将响应文件的商务部分、技术部分和价格部分整合为一份响应文件，并制作详细目录、页码索引。</w:t>
      </w:r>
    </w:p>
    <w:p w14:paraId="2017DE75">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15.7响应文件因字迹潦草或表达不清所引起的后果由供应商负责。</w:t>
      </w:r>
    </w:p>
    <w:p w14:paraId="1984045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54" w:name="_Toc246826111"/>
      <w:r>
        <w:rPr>
          <w:rFonts w:hint="eastAsia" w:asciiTheme="minorEastAsia" w:hAnsiTheme="minorEastAsia" w:eastAsiaTheme="minorEastAsia" w:cstheme="minorEastAsia"/>
          <w:bCs/>
          <w:szCs w:val="21"/>
        </w:rPr>
        <w:t>四、响应文件的提交</w:t>
      </w:r>
      <w:bookmarkEnd w:id="54"/>
    </w:p>
    <w:p w14:paraId="386E2EA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16.响应文件的密封和递交</w:t>
      </w:r>
    </w:p>
    <w:p w14:paraId="1BD1151F">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 供应商应将纸质版响应文件</w:t>
      </w:r>
      <w:r>
        <w:rPr>
          <w:rFonts w:hint="eastAsia" w:asciiTheme="minorEastAsia" w:hAnsiTheme="minorEastAsia" w:eastAsiaTheme="minorEastAsia" w:cstheme="minorEastAsia"/>
          <w:szCs w:val="21"/>
        </w:rPr>
        <w:t>和</w:t>
      </w:r>
      <w:r>
        <w:rPr>
          <w:rFonts w:hint="eastAsia" w:asciiTheme="minorEastAsia" w:hAnsiTheme="minorEastAsia" w:eastAsiaTheme="minorEastAsia" w:cstheme="minorEastAsia"/>
          <w:bCs/>
          <w:szCs w:val="21"/>
        </w:rPr>
        <w:t>电子版响应文件（PDF格式）密封提交，响应文件密封袋上标示“供应商须知前附表”所规定的内容。</w:t>
      </w:r>
    </w:p>
    <w:p w14:paraId="703EA9E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16.2电子版响应文件U盘应密封提交。</w:t>
      </w:r>
    </w:p>
    <w:p w14:paraId="166519D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16.3供应商应将响应文件按照本须知正文第16.1条及16.2的规定进行密封和标记后，按第一章比选公告注明的递交响应文件地址送至采购人指定地点。</w:t>
      </w:r>
    </w:p>
    <w:p w14:paraId="55676F2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16.4如果未按上述规定进行密封和标记，采购人将不承担由此造成的对响应文件的误投或提前拆封的责任。</w:t>
      </w:r>
    </w:p>
    <w:p w14:paraId="3DE876F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16.5响应文件应在第一章比选公告中所规定的响应文件递交截止时间前送达，迟到的响应文件为无效响应文件, 将被拒收；未按照采购文件要求密封的响应文件将被拒收。</w:t>
      </w:r>
    </w:p>
    <w:p w14:paraId="5F1D9564">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55" w:name="_Toc183682365"/>
      <w:bookmarkStart w:id="56" w:name="_Toc183582228"/>
      <w:bookmarkStart w:id="57" w:name="_Toc217446055"/>
      <w:r>
        <w:rPr>
          <w:rFonts w:hint="eastAsia" w:asciiTheme="minorEastAsia" w:hAnsiTheme="minorEastAsia" w:eastAsiaTheme="minorEastAsia" w:cstheme="minorEastAsia"/>
          <w:bCs/>
          <w:szCs w:val="21"/>
        </w:rPr>
        <w:t>16.6截至响应文件递交截止时间，参加响应的供应商（以开标会场签到为准）不足三家的，予以废标，响应文件不予拆封，由供应商自行处理；</w:t>
      </w:r>
    </w:p>
    <w:p w14:paraId="7FEA966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16.7参加供应商数量满足三家或以上的，同一时间予以开标，开标后，响应文件一律不予退还。</w:t>
      </w:r>
    </w:p>
    <w:p w14:paraId="539A5BC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16.8接受邮寄的响应文件，但必须密封完整。</w:t>
      </w:r>
    </w:p>
    <w:p w14:paraId="2A58936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17.响应文件的修改和撤</w:t>
      </w:r>
      <w:bookmarkEnd w:id="55"/>
      <w:bookmarkEnd w:id="56"/>
      <w:r>
        <w:rPr>
          <w:rFonts w:hint="eastAsia" w:asciiTheme="minorEastAsia" w:hAnsiTheme="minorEastAsia" w:eastAsiaTheme="minorEastAsia" w:cstheme="minorEastAsia"/>
          <w:bCs/>
          <w:szCs w:val="21"/>
        </w:rPr>
        <w:t>回</w:t>
      </w:r>
      <w:bookmarkEnd w:id="57"/>
    </w:p>
    <w:p w14:paraId="1767603D">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58" w:name="_Toc246826112"/>
      <w:r>
        <w:rPr>
          <w:rFonts w:hint="eastAsia" w:asciiTheme="minorEastAsia" w:hAnsiTheme="minorEastAsia" w:eastAsiaTheme="minorEastAsia" w:cstheme="minorEastAsia"/>
          <w:bCs/>
          <w:szCs w:val="21"/>
        </w:rPr>
        <w:t>17.l 供应商在提交响应文件后可对其进行修改或撤回，但必须使采购人在响应文件递交截止时间前收到该修改的书面内容或撤回的书面通知。</w:t>
      </w:r>
    </w:p>
    <w:p w14:paraId="500BA60A">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17.2 响应文件的修改文件应按第15条规定签署，并按第 16.1条规定盖章及标记，还须注明“修改响应文件”和“开标前不得启封”字样。修改文件须在响应文件递交截止时间前送达规定的响应地点。上述补充或修改若涉及响应报价，必须注明“最终唯一报价”字样，否则将视为有选择的报价。</w:t>
      </w:r>
    </w:p>
    <w:p w14:paraId="178BED90">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17.3 供应商不得在响应文件递交截止时间以后修改或/和撤回响应文件。</w:t>
      </w:r>
    </w:p>
    <w:p w14:paraId="055AB93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五、开标与</w:t>
      </w:r>
      <w:bookmarkEnd w:id="58"/>
      <w:r>
        <w:rPr>
          <w:rFonts w:hint="eastAsia" w:asciiTheme="minorEastAsia" w:hAnsiTheme="minorEastAsia" w:eastAsiaTheme="minorEastAsia" w:cstheme="minorEastAsia"/>
          <w:bCs/>
          <w:szCs w:val="21"/>
        </w:rPr>
        <w:t>评审</w:t>
      </w:r>
    </w:p>
    <w:p w14:paraId="79FD537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18．开标</w:t>
      </w:r>
    </w:p>
    <w:p w14:paraId="48512AA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18.1 在第一章比选公告所规定的开标时间和地点开标。开标由采购人主持，供应商和有关方面代表参加。</w:t>
      </w:r>
    </w:p>
    <w:p w14:paraId="1CF53B06">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18.2开标时，供应商法定代表人或法人授权的供应商授权代表须携带个人身份证（或其他有效证件）复印件和授权委托书原件亲自出席开标会并确认开标情况。如果不参加开标会议的，则视为认可开标情况。</w:t>
      </w:r>
    </w:p>
    <w:p w14:paraId="32E70D7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18.3 开标时，由供应商或者其推选的代表检查响应文件的密封情况，也可以由采购人委托的公证机构检查并公证，对密封等情形予以确认。供应商认为响应文件存在密封有瑕疵情形的，代理机构将现场如实记录，由评审委员会对响应文件实质性有效与否作出判断，由此产生的风险由供应商自行承担。</w:t>
      </w:r>
    </w:p>
    <w:p w14:paraId="262D694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18.4开标程序详见“供应商须知前附表”。</w:t>
      </w:r>
    </w:p>
    <w:p w14:paraId="6ABB4E9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18.5唱标要求详见“供应商须知前附表”。</w:t>
      </w:r>
    </w:p>
    <w:p w14:paraId="2F9C153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18.6资格审查：开标结束后，先对供应商的资格进行审查，以确定其是否具备合格的响应资格，合格供应商不足3家的，不得评审。依据法律法规和采购文件的规定，资格审查内容是指采购文件对供应商的资格要求等内容，详见《资格审查表》。</w:t>
      </w:r>
    </w:p>
    <w:p w14:paraId="43299CA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19、评审</w:t>
      </w:r>
    </w:p>
    <w:p w14:paraId="4E60A74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19.1评审委员会</w:t>
      </w:r>
    </w:p>
    <w:p w14:paraId="5CCE4F09">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19.1.1评审委员会由采购人自行组建，人数为3人以上单数。</w:t>
      </w:r>
    </w:p>
    <w:p w14:paraId="60D2279A">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19.1.2评审委员会成员与供应商有下列利害关系之一的，应当回避：</w:t>
      </w:r>
    </w:p>
    <w:p w14:paraId="6F04997B">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（1）参加采购活动前3年内与供应商存在劳动关系；</w:t>
      </w:r>
    </w:p>
    <w:p w14:paraId="3DFE56AA">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（2）参加采购活动前3年内担任供应商的董事、监事；</w:t>
      </w:r>
    </w:p>
    <w:p w14:paraId="27D70CAE">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（3）参加采购活动前3年内是供应商的控股股东或者实际控制人；</w:t>
      </w:r>
    </w:p>
    <w:p w14:paraId="33D1B29F">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（4）与供应商的法定代表人或者负责人有夫妻、直系血亲、三代以内旁系血亲或者近姻亲关系；</w:t>
      </w:r>
    </w:p>
    <w:p w14:paraId="7139A903">
      <w:pPr>
        <w:snapToGrid w:val="0"/>
        <w:spacing w:line="360" w:lineRule="auto"/>
        <w:ind w:firstLine="420" w:firstLineChars="200"/>
        <w:outlineLvl w:val="1"/>
        <w:rPr>
          <w:rFonts w:hint="eastAsia" w:ascii="宋体" w:hAnsi="宋体" w:cs="宋体"/>
          <w:bCs/>
          <w:szCs w:val="21"/>
        </w:rPr>
      </w:pPr>
      <w:r>
        <w:rPr>
          <w:rFonts w:hint="eastAsia" w:ascii="宋体" w:hAnsi="宋体" w:cs="宋体"/>
          <w:bCs/>
          <w:szCs w:val="21"/>
        </w:rPr>
        <w:t>（5）与供应商有其他可能影响政府采购活动公平、公正进行的关系。</w:t>
      </w:r>
    </w:p>
    <w:p w14:paraId="3DF732B5">
      <w:pPr>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宋体" w:hAnsi="宋体" w:cs="宋体"/>
          <w:bCs/>
          <w:szCs w:val="21"/>
        </w:rPr>
        <w:t>供应商认为评审委员会成员与其他供应商有利害关系的，可以向采购人或者采购人书面提出回避申请，并说明理由。采购人或者采购人应当及时询问被申请回避人员，有利害关系的被申请回避人员应当回避。评审专家发现本人与参加采购活动的供应商有利害关系的，应当主动提出回避。</w:t>
      </w:r>
    </w:p>
    <w:p w14:paraId="609ED5CA">
      <w:pPr>
        <w:pStyle w:val="6"/>
        <w:adjustRightInd w:val="0"/>
        <w:snapToGrid w:val="0"/>
        <w:spacing w:line="360" w:lineRule="auto"/>
        <w:ind w:firstLine="420" w:firstLineChars="200"/>
        <w:rPr>
          <w:rFonts w:hint="eastAsia" w:ascii="宋体" w:hAnsi="宋体" w:cs="宋体"/>
          <w:bCs/>
          <w:szCs w:val="21"/>
        </w:rPr>
      </w:pPr>
      <w:r>
        <w:rPr>
          <w:rFonts w:hint="eastAsia" w:asciiTheme="minorEastAsia" w:hAnsiTheme="minorEastAsia" w:eastAsiaTheme="minorEastAsia" w:cstheme="minorEastAsia"/>
          <w:bCs/>
          <w:szCs w:val="21"/>
        </w:rPr>
        <w:t>19.1.3</w:t>
      </w:r>
      <w:r>
        <w:rPr>
          <w:rFonts w:hint="eastAsia" w:ascii="宋体" w:hAnsi="宋体" w:cs="宋体"/>
          <w:bCs/>
          <w:szCs w:val="21"/>
        </w:rPr>
        <w:t>评审委员会将严格遵守评审工作纪律，按照客观、公正、审慎的原则，根据采购文件规定的评审程序、评审方法和评审标准进行独立评审。</w:t>
      </w:r>
    </w:p>
    <w:p w14:paraId="128B668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 响应文件的评审</w:t>
      </w:r>
    </w:p>
    <w:p w14:paraId="26E1695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19.2.1 要求</w:t>
      </w:r>
    </w:p>
    <w:p w14:paraId="4F7FB9C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对所有供应商的评审，都采用相同的程序和标准并严格按照采购文件的要求和条件进行。评审委员会决定实质性响应与否只根据响应文件本身的内容，以及述标和/或演示内容（如果有），而不寻求其他的外部证据。</w:t>
      </w:r>
    </w:p>
    <w:p w14:paraId="01A3D92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19.2.2 符合性审查：依据采购文件的规定，评审委员会将从响应文件的有效性、完整性和对采购文件的响应程度进行审查，以确定是否符合对采购文件的实质性要求作出响应。</w:t>
      </w:r>
    </w:p>
    <w:p w14:paraId="28D6F5B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19.2.3 响应文件的澄清 </w:t>
      </w:r>
    </w:p>
    <w:p w14:paraId="526A831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14:paraId="7FFBCD7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19.2.3.2算术错误将按以下方法更正：</w:t>
      </w:r>
    </w:p>
    <w:p w14:paraId="7F0B8AD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（1）响应文件中开标一览表（报价表）内容与响应文件中相应内容不一致的，以开标一览表（报价表）为准；</w:t>
      </w:r>
    </w:p>
    <w:p w14:paraId="744F3CD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（2）大写金额和小写金额不一致的，以大写金额为准；</w:t>
      </w:r>
    </w:p>
    <w:p w14:paraId="658640F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（3）单价金额小数点或者百分比有明显错位的，以开标一览表的总价为准，并修改单价；</w:t>
      </w:r>
    </w:p>
    <w:p w14:paraId="0F1C17E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（4）总价金额与按单价汇总金额不一致的，以单价金额计算结果为准；同时出现两种以上不一致的，按照前款规定的顺序修正。修正后的报价经供应商确认后产生约束力，供应商不确认的，其响应无效。</w:t>
      </w:r>
    </w:p>
    <w:p w14:paraId="42C5032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 比较与评价</w:t>
      </w:r>
    </w:p>
    <w:p w14:paraId="7EFD8BA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19.2.4.1 评审委员会将按第四章所规定的评审方法与标准，对资格性审查和符合性检查合格的响应文件进行评审。</w:t>
      </w:r>
    </w:p>
    <w:p w14:paraId="0FCCC56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14:paraId="1342DFF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19.2.5有下列情形之一的，视为供应商串通响应，其响应无效：</w:t>
      </w:r>
    </w:p>
    <w:p w14:paraId="258BC36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（一）不同供应商的响应文件由同一单位或者个人编制；</w:t>
      </w:r>
    </w:p>
    <w:p w14:paraId="11AC212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（二）不同供应商委托同一单位或者个人办理响应事宜；</w:t>
      </w:r>
    </w:p>
    <w:p w14:paraId="2EE2482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（三）不同供应商的响应文件载明的项目管理成员或者联系人员为同一人；</w:t>
      </w:r>
    </w:p>
    <w:p w14:paraId="4E3346C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（四）不同供应商的响应文件异常一致或者响应报价呈规律性差异；</w:t>
      </w:r>
    </w:p>
    <w:p w14:paraId="62E272B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（五）不同供应商的响应文件相互混装；</w:t>
      </w:r>
    </w:p>
    <w:p w14:paraId="2BA66265">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（六）不同供应商的响应保证金从同一单位或者个人的账户转出。</w:t>
      </w:r>
    </w:p>
    <w:p w14:paraId="6EB3ED5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20、废标</w:t>
      </w:r>
      <w:bookmarkStart w:id="59" w:name="_Toc217446072"/>
      <w:r>
        <w:rPr>
          <w:rFonts w:hint="eastAsia" w:asciiTheme="minorEastAsia" w:hAnsiTheme="minorEastAsia" w:eastAsiaTheme="minorEastAsia" w:cstheme="minorEastAsia"/>
          <w:bCs/>
          <w:szCs w:val="21"/>
        </w:rPr>
        <w:t>的情形</w:t>
      </w:r>
      <w:bookmarkEnd w:id="59"/>
    </w:p>
    <w:p w14:paraId="64CCB5CE">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招标采购中，出现下列情形之一的，予以废标：</w:t>
      </w:r>
    </w:p>
    <w:p w14:paraId="672FDA2B">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（1）符合专业条件的供应商或者对采购文件作实质响应的供应商不足三家的；</w:t>
      </w:r>
    </w:p>
    <w:p w14:paraId="214CFB80">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（2）出现影响采购公正的违法、违规行为的；</w:t>
      </w:r>
    </w:p>
    <w:p w14:paraId="6BDB45F1">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（3）供应商的报价均超过了预算，采购人不能支付的；</w:t>
      </w:r>
    </w:p>
    <w:p w14:paraId="3C9632BB">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（4）因重大变故，采购任务取消的。</w:t>
      </w:r>
    </w:p>
    <w:p w14:paraId="11DB49AC">
      <w:pPr>
        <w:pStyle w:val="5"/>
        <w:adjustRightInd w:val="0"/>
        <w:snapToGrid w:val="0"/>
        <w:spacing w:line="360" w:lineRule="auto"/>
        <w:ind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废标后，采购人将在指定网站发布废标公告。</w:t>
      </w:r>
    </w:p>
    <w:p w14:paraId="465361B7">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21、纪律和监督</w:t>
      </w:r>
    </w:p>
    <w:p w14:paraId="6218DD15">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60" w:name="_Toc296602462"/>
      <w:bookmarkStart w:id="61" w:name="_Toc247085733"/>
      <w:bookmarkStart w:id="62" w:name="_Toc144974543"/>
      <w:bookmarkStart w:id="63" w:name="_Toc246996962"/>
      <w:bookmarkStart w:id="64" w:name="_Toc152045575"/>
      <w:bookmarkStart w:id="65" w:name="_Toc179632593"/>
      <w:bookmarkStart w:id="66" w:name="_Toc246996219"/>
      <w:bookmarkStart w:id="67" w:name="_Toc296590983"/>
      <w:bookmarkStart w:id="68" w:name="_Toc152042351"/>
      <w:r>
        <w:rPr>
          <w:rFonts w:hint="eastAsia" w:asciiTheme="minorEastAsia" w:hAnsiTheme="minorEastAsia" w:eastAsiaTheme="minorEastAsia" w:cstheme="minorEastAsia"/>
          <w:bCs/>
          <w:szCs w:val="21"/>
        </w:rPr>
        <w:t>21.1 对采购人的纪律要求</w:t>
      </w:r>
      <w:bookmarkEnd w:id="60"/>
      <w:bookmarkEnd w:id="61"/>
      <w:bookmarkEnd w:id="62"/>
      <w:bookmarkEnd w:id="63"/>
      <w:bookmarkEnd w:id="64"/>
      <w:bookmarkEnd w:id="65"/>
      <w:bookmarkEnd w:id="66"/>
      <w:bookmarkEnd w:id="67"/>
      <w:bookmarkEnd w:id="68"/>
    </w:p>
    <w:p w14:paraId="6B5EA00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采购人不得泄漏招标采购活动中应当保密的情况和资料，不得与供应商串通损害国家利益、社会公共利益或者他人合法权益。</w:t>
      </w:r>
    </w:p>
    <w:p w14:paraId="15466452">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69" w:name="_Toc246996963"/>
      <w:bookmarkStart w:id="70" w:name="_Toc179632594"/>
      <w:bookmarkStart w:id="71" w:name="_Toc246996220"/>
      <w:bookmarkStart w:id="72" w:name="_Toc152045576"/>
      <w:bookmarkStart w:id="73" w:name="_Toc247085734"/>
      <w:bookmarkStart w:id="74" w:name="_Toc296602463"/>
      <w:bookmarkStart w:id="75" w:name="_Toc144974544"/>
      <w:bookmarkStart w:id="76" w:name="_Toc152042352"/>
      <w:r>
        <w:rPr>
          <w:rFonts w:hint="eastAsia" w:asciiTheme="minorEastAsia" w:hAnsiTheme="minorEastAsia" w:eastAsiaTheme="minorEastAsia" w:cstheme="minorEastAsia"/>
          <w:bCs/>
          <w:szCs w:val="21"/>
        </w:rPr>
        <w:t>21.2对供应商的纪律要求</w:t>
      </w:r>
      <w:bookmarkEnd w:id="69"/>
      <w:bookmarkEnd w:id="70"/>
      <w:bookmarkEnd w:id="71"/>
      <w:bookmarkEnd w:id="72"/>
      <w:bookmarkEnd w:id="73"/>
      <w:bookmarkEnd w:id="74"/>
      <w:bookmarkEnd w:id="75"/>
      <w:bookmarkEnd w:id="76"/>
    </w:p>
    <w:p w14:paraId="0B0D2E7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供应商不得相互串通响应或者与采购人串通响应，不得向采购人或者评审委员会成员行贿谋取成交，不得以他人名义响应或者以其他方式弄虚作假骗取成交；供应商不得以任何方式干扰、影响评审工作。</w:t>
      </w:r>
    </w:p>
    <w:p w14:paraId="11FAC307">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77" w:name="_Toc179632595"/>
      <w:bookmarkStart w:id="78" w:name="_Toc144974545"/>
      <w:bookmarkStart w:id="79" w:name="_Toc246996964"/>
      <w:bookmarkStart w:id="80" w:name="_Toc246996221"/>
      <w:bookmarkStart w:id="81" w:name="_Toc247085735"/>
      <w:bookmarkStart w:id="82" w:name="_Toc152045577"/>
      <w:bookmarkStart w:id="83" w:name="_Toc296602464"/>
      <w:bookmarkStart w:id="84" w:name="_Toc152042353"/>
      <w:r>
        <w:rPr>
          <w:rFonts w:hint="eastAsia" w:asciiTheme="minorEastAsia" w:hAnsiTheme="minorEastAsia" w:eastAsiaTheme="minorEastAsia" w:cstheme="minorEastAsia"/>
          <w:bCs/>
          <w:szCs w:val="21"/>
        </w:rPr>
        <w:t>21.3对评审委员会成员的纪律要求</w:t>
      </w:r>
      <w:bookmarkEnd w:id="77"/>
      <w:bookmarkEnd w:id="78"/>
      <w:bookmarkEnd w:id="79"/>
      <w:bookmarkEnd w:id="80"/>
      <w:bookmarkEnd w:id="81"/>
      <w:bookmarkEnd w:id="82"/>
      <w:bookmarkEnd w:id="83"/>
      <w:bookmarkEnd w:id="84"/>
    </w:p>
    <w:p w14:paraId="6C63489C">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14:paraId="4A51A297">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85" w:name="_Toc246996222"/>
      <w:bookmarkStart w:id="86" w:name="_Toc152045578"/>
      <w:bookmarkStart w:id="87" w:name="_Toc247085736"/>
      <w:bookmarkStart w:id="88" w:name="_Toc246996965"/>
      <w:bookmarkStart w:id="89" w:name="_Toc152042354"/>
      <w:bookmarkStart w:id="90" w:name="_Toc296602465"/>
      <w:bookmarkStart w:id="91" w:name="_Toc179632596"/>
      <w:r>
        <w:rPr>
          <w:rFonts w:hint="eastAsia" w:asciiTheme="minorEastAsia" w:hAnsiTheme="minorEastAsia" w:eastAsiaTheme="minorEastAsia" w:cstheme="minorEastAsia"/>
          <w:bCs/>
          <w:szCs w:val="21"/>
        </w:rPr>
        <w:t>21.4对与评审活动有关的工作人员的纪律要求</w:t>
      </w:r>
      <w:bookmarkEnd w:id="85"/>
      <w:bookmarkEnd w:id="86"/>
      <w:bookmarkEnd w:id="87"/>
      <w:bookmarkEnd w:id="88"/>
      <w:bookmarkEnd w:id="89"/>
      <w:bookmarkEnd w:id="90"/>
      <w:bookmarkEnd w:id="91"/>
    </w:p>
    <w:p w14:paraId="5E4B67D8">
      <w:pPr>
        <w:adjustRightInd w:val="0"/>
        <w:snapToGrid w:val="0"/>
        <w:spacing w:line="360" w:lineRule="auto"/>
        <w:ind w:firstLine="420" w:firstLineChars="200"/>
        <w:rPr>
          <w:rFonts w:hint="eastAsia" w:asciiTheme="minorEastAsia" w:hAnsiTheme="minorEastAsia" w:eastAsiaTheme="minorEastAsia" w:cstheme="minorEastAsia"/>
          <w:bCs/>
          <w:szCs w:val="21"/>
        </w:rPr>
      </w:pPr>
      <w:bookmarkStart w:id="92" w:name="_Toc152042355"/>
      <w:r>
        <w:rPr>
          <w:rFonts w:hint="eastAsia" w:asciiTheme="minorEastAsia" w:hAnsiTheme="minorEastAsia" w:eastAsiaTheme="minorEastAsia" w:cstheme="minorEastAsia"/>
          <w:bCs/>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92"/>
    </w:p>
    <w:p w14:paraId="77F85184">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93" w:name="_Toc246826113"/>
      <w:r>
        <w:rPr>
          <w:rFonts w:hint="eastAsia" w:asciiTheme="minorEastAsia" w:hAnsiTheme="minorEastAsia" w:eastAsiaTheme="minorEastAsia" w:cstheme="minorEastAsia"/>
          <w:bCs/>
          <w:szCs w:val="21"/>
        </w:rPr>
        <w:t>六、定标、合同</w:t>
      </w:r>
      <w:bookmarkEnd w:id="93"/>
      <w:r>
        <w:rPr>
          <w:rFonts w:hint="eastAsia" w:asciiTheme="minorEastAsia" w:hAnsiTheme="minorEastAsia" w:eastAsiaTheme="minorEastAsia" w:cstheme="minorEastAsia"/>
          <w:bCs/>
          <w:szCs w:val="21"/>
        </w:rPr>
        <w:t>与验收</w:t>
      </w:r>
    </w:p>
    <w:p w14:paraId="1B52EAB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22、定标准则</w:t>
      </w:r>
    </w:p>
    <w:p w14:paraId="241AE6B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22.1任何单项因素的最优不能作为成交的保证。</w:t>
      </w:r>
    </w:p>
    <w:p w14:paraId="4218C62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22.2评审委员会推荐排名第一且经采购人确认的供应商即为成交供应商。</w:t>
      </w:r>
    </w:p>
    <w:p w14:paraId="26091765">
      <w:pPr>
        <w:adjustRightInd w:val="0"/>
        <w:snapToGrid w:val="0"/>
        <w:spacing w:line="360" w:lineRule="auto"/>
        <w:ind w:left="420" w:left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23、成交通知</w:t>
      </w:r>
    </w:p>
    <w:p w14:paraId="4E5043C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23.1由采购人在指定媒体上公布成交结果，并向成交供应商发送《成交通知书》。</w:t>
      </w:r>
    </w:p>
    <w:p w14:paraId="60A938E8">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23.2成交通知书为签订政府采购合同的依据，是合同的有效组成部分。</w:t>
      </w:r>
    </w:p>
    <w:p w14:paraId="07C12710">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23.3成交通知书对采购人和成交人均具有法律效力。成交通知书发出后，采购人改变成交结果，或者成交人无正当理由放弃成交的，应当承担相应的法律责任。</w:t>
      </w:r>
    </w:p>
    <w:p w14:paraId="44C3F75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24、合同签订</w:t>
      </w:r>
    </w:p>
    <w:p w14:paraId="6A75860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24.1成交人在收到《成交通知书》后，应在规定的时间内与采购人签订采购合同。由于成交人的原因逾期未与采购人签订采购合同的，将视为放弃成交，取消其成交资格并将按相关规定进行处理。</w:t>
      </w:r>
    </w:p>
    <w:p w14:paraId="0659797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24.2采购人不得向成交人提出任何不合理的要求作为签订合同的条件，不得与成交人私下订立背离合同实质性内容的任何协议，所签订的合同不得对采购文件和成交人响应文件作实质性修改。</w:t>
      </w:r>
    </w:p>
    <w:p w14:paraId="795504B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24.</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政府采购合同公示须经采购人保密信息审查，如合同中涉及国家秘密、商业秘密的内容不得公示，涉及商业秘密或敏感工作秘密的，须经相关部门审核并做脱敏处理后方可公示。</w:t>
      </w:r>
    </w:p>
    <w:p w14:paraId="19BE694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bookmarkStart w:id="94" w:name="_Toc217446069"/>
      <w:r>
        <w:rPr>
          <w:rFonts w:hint="eastAsia" w:asciiTheme="minorEastAsia" w:hAnsiTheme="minorEastAsia" w:eastAsiaTheme="minorEastAsia" w:cstheme="minorEastAsia"/>
          <w:bCs/>
          <w:szCs w:val="21"/>
        </w:rPr>
        <w:t>25、合同</w:t>
      </w:r>
      <w:bookmarkEnd w:id="94"/>
      <w:r>
        <w:rPr>
          <w:rFonts w:hint="eastAsia" w:asciiTheme="minorEastAsia" w:hAnsiTheme="minorEastAsia" w:eastAsiaTheme="minorEastAsia" w:cstheme="minorEastAsia"/>
          <w:bCs/>
          <w:szCs w:val="21"/>
        </w:rPr>
        <w:t>履行</w:t>
      </w:r>
    </w:p>
    <w:p w14:paraId="535D976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25.1成交人与采购人签订合同后，合同双方应严格执行合同条款，履行合同规定的义务，保证合同的顺利完成。</w:t>
      </w:r>
    </w:p>
    <w:p w14:paraId="5001EC2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25.2采购人应严格按照合同约定事项，制定科学合理的验收方案开展验收；</w:t>
      </w:r>
    </w:p>
    <w:p w14:paraId="77C33DE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25.3在合同履行过程中，如发生合同纠纷，合同双方应按照《民法典》的有关规定进行处理。</w:t>
      </w:r>
    </w:p>
    <w:p w14:paraId="1CC5B15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七、评审方法</w:t>
      </w:r>
    </w:p>
    <w:p w14:paraId="188E1151">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26、政府采购招标评标方法分为:最低评标价法和综合评分法。</w:t>
      </w:r>
    </w:p>
    <w:p w14:paraId="0B82E632">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26.1最低评标价法，是指响应文件满足采购文件全部实质性要求且响应报价最低的供应商为成交候选人的评标方法。</w:t>
      </w:r>
    </w:p>
    <w:p w14:paraId="343668D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26.2综合评分法，是指响应文件满足采购文件全部实质性要求且按照评审因素的量化指标评审得分最高的供应商为成交候选人的评标方法。</w:t>
      </w:r>
    </w:p>
    <w:p w14:paraId="3B7103D6">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评审总得分＝F1×A1＋F2×A2＋……＋Fn×An</w:t>
      </w:r>
    </w:p>
    <w:p w14:paraId="5FD95D79">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F1、F2……Fn分别为价格、商务和技术部分评分因素的汇总得分；A1、A2、……An分别为价格、商务和技术部分评分因素所占的权重(A1＋A2＋......＋An＝1)。</w:t>
      </w:r>
    </w:p>
    <w:p w14:paraId="205F2F6C">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其中价格分统一采用低价优先法计算，即满足采购文件要求且响应报价最低的响应报价为评审基准价，其价格分为满分。其他供应商的价格分统一按照下列公式计算：</w:t>
      </w:r>
    </w:p>
    <w:p w14:paraId="5E7DE57F">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响应报价得分＝（评审基准价／响应报价）×价格权值×100　　</w:t>
      </w:r>
    </w:p>
    <w:p w14:paraId="10F5111A">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八、质疑</w:t>
      </w:r>
    </w:p>
    <w:p w14:paraId="268329A0">
      <w:pPr>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27、供应商认为采购文件、采购过程和成交结果使自己的合法权益受到损害的，应当在知道或者应知其权益受到损害之日起七个工作日（质疑有效期）内，向采购人提出询问或以书面形式向其质疑。 </w:t>
      </w:r>
    </w:p>
    <w:p w14:paraId="3BD3A69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F54CAEE">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29、质疑有效期的计算</w:t>
      </w:r>
    </w:p>
    <w:p w14:paraId="3B40E1C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采购文件的质疑有效期为采购文件公告期限届满之日起七个工作日内；采购过程的质疑有效期为各采购程序环节结束之日起七个工作日内；采购结果的质疑有效期为采购结果公告期限届满之日起七个工作日内。</w:t>
      </w:r>
    </w:p>
    <w:p w14:paraId="08808E7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九、无效响应的其他有关规定：</w:t>
      </w:r>
    </w:p>
    <w:p w14:paraId="16117D7C">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30、除符合采购文件中载明的无效响应规定外，如果发现下列情况之一者，同样作无效响应处理，其中30.1至30.3款情形的所有相关供应商均作无效响应处理。因此产生其他法律责任的由供应商自行承担：</w:t>
      </w:r>
    </w:p>
    <w:p w14:paraId="614FB688">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30.1不同供应商的法定代表人、委托代理人等由同一个单位缴纳社会保险的；</w:t>
      </w:r>
    </w:p>
    <w:p w14:paraId="502E1EDE">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30.2由同一人携带两个及以上供应商的企业资料参与开标会议的；</w:t>
      </w:r>
    </w:p>
    <w:p w14:paraId="00C48024">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30.3单位负责人为同一人或者存在直接控股、管理关系的不同供应商，同时参加同一合同项下的政府采购活动的；</w:t>
      </w:r>
    </w:p>
    <w:p w14:paraId="062BBD21">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30.4为采购项目提供整体设计、规范编制或者项目管理、监理、检测等服务的供应商，再参加该采购项目的其他采购活动的；</w:t>
      </w:r>
    </w:p>
    <w:p w14:paraId="1B156215">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30.5属于采购人任何不具有独立法人资格的附属机构（单位）；</w:t>
      </w:r>
    </w:p>
    <w:p w14:paraId="3642A980">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30.6没有按要求提供补充文件，或调整补充内容超出规定范围。</w:t>
      </w:r>
    </w:p>
    <w:p w14:paraId="432D871D">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30.7</w:t>
      </w:r>
      <w:r>
        <w:rPr>
          <w:rFonts w:asciiTheme="minorEastAsia" w:hAnsiTheme="minorEastAsia" w:eastAsiaTheme="minorEastAsia" w:cstheme="minorEastAsia"/>
          <w:bCs/>
          <w:szCs w:val="21"/>
        </w:rPr>
        <w:t>未按照</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文件的规定提交</w:t>
      </w:r>
      <w:r>
        <w:rPr>
          <w:rFonts w:hint="eastAsia" w:asciiTheme="minorEastAsia" w:hAnsiTheme="minorEastAsia" w:eastAsiaTheme="minorEastAsia" w:cstheme="minorEastAsia"/>
          <w:bCs/>
          <w:szCs w:val="21"/>
        </w:rPr>
        <w:t>响应保证金</w:t>
      </w:r>
      <w:r>
        <w:rPr>
          <w:rFonts w:asciiTheme="minorEastAsia" w:hAnsiTheme="minorEastAsia" w:eastAsiaTheme="minorEastAsia" w:cstheme="minorEastAsia"/>
          <w:bCs/>
          <w:szCs w:val="21"/>
        </w:rPr>
        <w:t>的；</w:t>
      </w:r>
    </w:p>
    <w:p w14:paraId="72CD0A54">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30.8响应文件</w:t>
      </w:r>
      <w:r>
        <w:rPr>
          <w:rFonts w:asciiTheme="minorEastAsia" w:hAnsiTheme="minorEastAsia" w:eastAsiaTheme="minorEastAsia" w:cstheme="minorEastAsia"/>
          <w:bCs/>
          <w:szCs w:val="21"/>
        </w:rPr>
        <w:t>未按</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文件要求签署、盖章的；</w:t>
      </w:r>
    </w:p>
    <w:p w14:paraId="2967DA4B">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30.9</w:t>
      </w:r>
      <w:r>
        <w:rPr>
          <w:rFonts w:asciiTheme="minorEastAsia" w:hAnsiTheme="minorEastAsia" w:eastAsiaTheme="minorEastAsia" w:cstheme="minorEastAsia"/>
          <w:bCs/>
          <w:szCs w:val="21"/>
        </w:rPr>
        <w:t>不具备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文件中规定的资格要求的；</w:t>
      </w:r>
    </w:p>
    <w:p w14:paraId="7692FBCD">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30.10</w:t>
      </w:r>
      <w:r>
        <w:rPr>
          <w:rFonts w:asciiTheme="minorEastAsia" w:hAnsiTheme="minorEastAsia" w:eastAsiaTheme="minorEastAsia" w:cstheme="minorEastAsia"/>
          <w:bCs/>
          <w:szCs w:val="21"/>
        </w:rPr>
        <w:t>报价超过</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文件中规定的预算金额或者最高限价的；</w:t>
      </w:r>
    </w:p>
    <w:p w14:paraId="7DED5B7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30.11响应文件</w:t>
      </w:r>
      <w:r>
        <w:rPr>
          <w:rFonts w:asciiTheme="minorEastAsia" w:hAnsiTheme="minorEastAsia" w:eastAsiaTheme="minorEastAsia" w:cstheme="minorEastAsia"/>
          <w:bCs/>
          <w:szCs w:val="21"/>
        </w:rPr>
        <w:t>含有采购人不能接受的附加条件的；</w:t>
      </w:r>
    </w:p>
    <w:p w14:paraId="7D66799F">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30.12</w:t>
      </w:r>
      <w:r>
        <w:rPr>
          <w:rFonts w:asciiTheme="minorEastAsia" w:hAnsiTheme="minorEastAsia" w:eastAsiaTheme="minorEastAsia" w:cstheme="minorEastAsia"/>
          <w:bCs/>
          <w:szCs w:val="21"/>
        </w:rPr>
        <w:t>法律、法规和</w:t>
      </w:r>
      <w:r>
        <w:rPr>
          <w:rFonts w:hint="eastAsia" w:asciiTheme="minorEastAsia" w:hAnsiTheme="minorEastAsia" w:eastAsiaTheme="minorEastAsia" w:cstheme="minorEastAsia"/>
          <w:bCs/>
          <w:szCs w:val="21"/>
        </w:rPr>
        <w:t>采购</w:t>
      </w:r>
      <w:r>
        <w:rPr>
          <w:rFonts w:asciiTheme="minorEastAsia" w:hAnsiTheme="minorEastAsia" w:eastAsiaTheme="minorEastAsia" w:cstheme="minorEastAsia"/>
          <w:bCs/>
          <w:szCs w:val="21"/>
        </w:rPr>
        <w:t>文件规定的其他无效情形。</w:t>
      </w:r>
    </w:p>
    <w:p w14:paraId="2E03252D">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31、其他法律法规及规章制度认定参加政府采购无效的情形等。</w:t>
      </w:r>
    </w:p>
    <w:p w14:paraId="55EAB487">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31.1存在恶意串通响应行为的；</w:t>
      </w:r>
    </w:p>
    <w:p w14:paraId="0A31DB0B">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31.2参与政府采购活动有不良行为记录且正处于处罚期内并适用于海口行政区域的；</w:t>
      </w:r>
    </w:p>
    <w:p w14:paraId="28193566">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31.3企业在经营活动中存在不诚信记录且正处于处罚期内并适用于海口行政区域政府采购领域的；</w:t>
      </w:r>
    </w:p>
    <w:p w14:paraId="531D34F0">
      <w:pPr>
        <w:tabs>
          <w:tab w:val="left" w:pos="540"/>
        </w:tabs>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rPr>
        <w:t>31.4其他法律法规及规章制度认定参加政府采购活动无效并适用海口行政区域的情形等。</w:t>
      </w:r>
    </w:p>
    <w:p w14:paraId="0502AC08"/>
    <w:p w14:paraId="0ED00FC0">
      <w:pPr>
        <w:pStyle w:val="5"/>
        <w:adjustRightInd w:val="0"/>
        <w:snapToGrid w:val="0"/>
        <w:spacing w:line="360" w:lineRule="auto"/>
        <w:ind w:firstLine="0"/>
        <w:jc w:val="center"/>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第四章  </w:t>
      </w:r>
      <w:bookmarkEnd w:id="33"/>
      <w:r>
        <w:rPr>
          <w:rFonts w:hint="eastAsia" w:asciiTheme="minorEastAsia" w:hAnsiTheme="minorEastAsia" w:eastAsiaTheme="minorEastAsia" w:cstheme="minorEastAsia"/>
          <w:b/>
          <w:szCs w:val="21"/>
        </w:rPr>
        <w:t>审查标准和评审标准</w:t>
      </w:r>
      <w:bookmarkStart w:id="95" w:name="_Toc246826116"/>
    </w:p>
    <w:bookmarkEnd w:id="95"/>
    <w:p w14:paraId="15C87C3A">
      <w:pPr>
        <w:spacing w:line="360" w:lineRule="auto"/>
        <w:ind w:firstLine="422" w:firstLineChars="200"/>
        <w:outlineLvl w:val="0"/>
        <w:rPr>
          <w:rFonts w:hint="eastAsia" w:ascii="宋体" w:hAnsi="宋体" w:cs="宋体"/>
          <w:b/>
          <w:szCs w:val="21"/>
        </w:rPr>
      </w:pPr>
      <w:bookmarkStart w:id="96" w:name="_Toc246826117"/>
      <w:r>
        <w:rPr>
          <w:rFonts w:hint="eastAsia" w:ascii="宋体" w:hAnsi="宋体" w:cs="宋体"/>
          <w:b/>
          <w:szCs w:val="21"/>
        </w:rPr>
        <w:t>一、基本要求：</w:t>
      </w:r>
    </w:p>
    <w:p w14:paraId="637D1CB8">
      <w:pPr>
        <w:pStyle w:val="5"/>
        <w:snapToGrid w:val="0"/>
        <w:spacing w:line="360" w:lineRule="auto"/>
        <w:ind w:firstLineChars="200"/>
        <w:outlineLvl w:val="0"/>
        <w:rPr>
          <w:rFonts w:hint="eastAsia" w:ascii="宋体" w:hAnsi="宋体" w:cs="宋体"/>
          <w:bCs/>
          <w:szCs w:val="21"/>
        </w:rPr>
      </w:pPr>
      <w:r>
        <w:rPr>
          <w:rFonts w:hint="eastAsia" w:ascii="宋体" w:hAnsi="宋体" w:cs="宋体"/>
          <w:bCs/>
          <w:szCs w:val="21"/>
        </w:rPr>
        <w:t>（一）资格审查、符合性审查或评审标准中凡涉及到提供针对本项目授权书、承诺书的，均须以原件为准，否则不予认可。</w:t>
      </w:r>
    </w:p>
    <w:p w14:paraId="68C36F63">
      <w:pPr>
        <w:pStyle w:val="5"/>
        <w:snapToGrid w:val="0"/>
        <w:spacing w:line="360" w:lineRule="auto"/>
        <w:ind w:firstLineChars="200"/>
        <w:outlineLvl w:val="0"/>
        <w:rPr>
          <w:rFonts w:hint="eastAsia" w:ascii="宋体" w:hAnsi="宋体" w:cs="宋体"/>
          <w:bCs/>
          <w:szCs w:val="21"/>
        </w:rPr>
      </w:pPr>
      <w:r>
        <w:rPr>
          <w:rFonts w:hint="eastAsia" w:ascii="宋体" w:hAnsi="宋体" w:cs="宋体"/>
          <w:bCs/>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将以无效响应或取消成交资格论处，并上报政府采购监督管理部门。</w:t>
      </w:r>
    </w:p>
    <w:p w14:paraId="1DE25C55">
      <w:pPr>
        <w:snapToGrid w:val="0"/>
        <w:spacing w:line="360" w:lineRule="auto"/>
        <w:ind w:firstLine="420" w:firstLineChars="200"/>
        <w:outlineLvl w:val="0"/>
        <w:rPr>
          <w:rFonts w:hint="eastAsia" w:ascii="宋体" w:hAnsi="宋体" w:cs="宋体"/>
          <w:b/>
          <w:color w:val="0000FF"/>
          <w:szCs w:val="21"/>
        </w:rPr>
      </w:pPr>
      <w:r>
        <w:rPr>
          <w:rFonts w:hint="eastAsia" w:ascii="宋体" w:hAnsi="宋体" w:cs="宋体"/>
          <w:bCs/>
          <w:szCs w:val="21"/>
        </w:rPr>
        <w:t>（三）凡小微型企业或视同小微企业参与响应的，依照第三章5.1款规定执行。</w:t>
      </w:r>
    </w:p>
    <w:p w14:paraId="6C2BB1ED">
      <w:pPr>
        <w:pStyle w:val="5"/>
        <w:snapToGrid w:val="0"/>
        <w:spacing w:line="360" w:lineRule="auto"/>
        <w:ind w:firstLine="422" w:firstLineChars="200"/>
        <w:outlineLvl w:val="1"/>
        <w:rPr>
          <w:rFonts w:hint="eastAsia" w:ascii="宋体" w:hAnsi="宋体" w:cs="宋体"/>
          <w:b/>
          <w:szCs w:val="21"/>
        </w:rPr>
      </w:pPr>
      <w:r>
        <w:rPr>
          <w:rFonts w:hint="eastAsia" w:ascii="宋体" w:hAnsi="宋体" w:cs="宋体"/>
          <w:b/>
          <w:szCs w:val="21"/>
        </w:rPr>
        <w:t>二、审查标准</w:t>
      </w:r>
    </w:p>
    <w:p w14:paraId="5F7AAE84">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1、资格审查表和符合性审查表中所列内容全部审查意见为“合格”，方视为“合格”，其中有一项不合格，将视为不合格供应商。</w:t>
      </w:r>
    </w:p>
    <w:p w14:paraId="57EC0652">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2、在审查意见汇总的过程中，如存在不同审查意见，则按照少数服从多数的原则做出结论。</w:t>
      </w:r>
    </w:p>
    <w:p w14:paraId="6E5242EC">
      <w:pPr>
        <w:snapToGrid w:val="0"/>
        <w:spacing w:line="360" w:lineRule="auto"/>
        <w:ind w:firstLine="420" w:firstLineChars="200"/>
        <w:outlineLvl w:val="0"/>
        <w:rPr>
          <w:rFonts w:hint="eastAsia" w:ascii="宋体" w:hAnsi="宋体" w:cs="宋体"/>
          <w:bCs/>
          <w:szCs w:val="21"/>
        </w:rPr>
      </w:pPr>
      <w:r>
        <w:rPr>
          <w:rFonts w:hint="eastAsia" w:ascii="宋体" w:hAnsi="宋体" w:cs="宋体"/>
          <w:bCs/>
          <w:szCs w:val="21"/>
        </w:rPr>
        <w:t>3、本表格“审查意见”栏默认“√”视为合格标示，“×”视为不合格标示。</w:t>
      </w:r>
    </w:p>
    <w:p w14:paraId="5C395C77">
      <w:pPr>
        <w:snapToGrid w:val="0"/>
        <w:spacing w:line="360" w:lineRule="auto"/>
        <w:ind w:firstLine="211" w:firstLineChars="100"/>
        <w:jc w:val="left"/>
        <w:rPr>
          <w:rFonts w:hint="eastAsia" w:ascii="宋体" w:hAnsi="宋体" w:cs="宋体"/>
          <w:b/>
          <w:szCs w:val="21"/>
        </w:rPr>
      </w:pPr>
      <w:r>
        <w:rPr>
          <w:rFonts w:hint="eastAsia" w:ascii="宋体" w:hAnsi="宋体" w:cs="宋体"/>
          <w:b/>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4EAB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1A4CA941">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4AFEE88E">
            <w:pPr>
              <w:snapToGrid w:val="0"/>
              <w:spacing w:line="360" w:lineRule="auto"/>
              <w:jc w:val="center"/>
              <w:rPr>
                <w:rFonts w:hint="eastAsia" w:ascii="宋体" w:hAnsi="宋体" w:cs="宋体"/>
                <w:b/>
                <w:szCs w:val="21"/>
              </w:rPr>
            </w:pPr>
            <w:r>
              <w:rPr>
                <w:rFonts w:hint="eastAsia" w:ascii="宋体" w:hAnsi="宋体" w:cs="宋体"/>
                <w:b/>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0C89BA8B">
            <w:pPr>
              <w:snapToGrid w:val="0"/>
              <w:spacing w:line="360" w:lineRule="auto"/>
              <w:jc w:val="center"/>
              <w:rPr>
                <w:rFonts w:hint="eastAsia" w:ascii="宋体" w:hAnsi="宋体" w:cs="宋体"/>
                <w:b/>
                <w:szCs w:val="21"/>
              </w:rPr>
            </w:pPr>
            <w:r>
              <w:rPr>
                <w:rFonts w:hint="eastAsia" w:ascii="宋体" w:hAnsi="宋体" w:cs="宋体"/>
                <w:b/>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3B1D6529">
            <w:pPr>
              <w:snapToGrid w:val="0"/>
              <w:spacing w:line="360" w:lineRule="auto"/>
              <w:jc w:val="center"/>
              <w:rPr>
                <w:rFonts w:hint="eastAsia" w:ascii="宋体" w:hAnsi="宋体" w:cs="宋体"/>
                <w:b/>
                <w:szCs w:val="21"/>
              </w:rPr>
            </w:pPr>
            <w:r>
              <w:rPr>
                <w:rFonts w:hint="eastAsia" w:ascii="宋体" w:hAnsi="宋体" w:cs="宋体"/>
                <w:b/>
                <w:szCs w:val="21"/>
              </w:rPr>
              <w:t>审查意见</w:t>
            </w:r>
          </w:p>
        </w:tc>
      </w:tr>
      <w:tr w14:paraId="1FB5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9731300">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42E21253">
            <w:pPr>
              <w:snapToGrid w:val="0"/>
              <w:spacing w:line="360" w:lineRule="auto"/>
              <w:jc w:val="left"/>
              <w:rPr>
                <w:rFonts w:hint="eastAsia" w:ascii="宋体" w:hAnsi="宋体" w:cs="宋体"/>
                <w:bCs/>
                <w:szCs w:val="21"/>
              </w:rPr>
            </w:pPr>
            <w:r>
              <w:rPr>
                <w:rFonts w:hint="eastAsia" w:ascii="宋体" w:hAnsi="宋体" w:cs="宋体"/>
                <w:bCs/>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009D13D0">
            <w:pPr>
              <w:widowControl/>
              <w:snapToGrid w:val="0"/>
              <w:spacing w:line="360" w:lineRule="auto"/>
              <w:jc w:val="left"/>
              <w:rPr>
                <w:rFonts w:hint="eastAsia" w:ascii="宋体" w:hAnsi="宋体" w:cs="宋体"/>
                <w:bCs/>
                <w:szCs w:val="21"/>
              </w:rPr>
            </w:pPr>
            <w:r>
              <w:rPr>
                <w:rFonts w:hint="eastAsia" w:ascii="宋体" w:hAnsi="宋体" w:cs="宋体"/>
                <w:bCs/>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67892FC7">
            <w:pPr>
              <w:snapToGrid w:val="0"/>
              <w:spacing w:line="360" w:lineRule="auto"/>
              <w:ind w:firstLine="420" w:firstLineChars="200"/>
              <w:jc w:val="center"/>
              <w:rPr>
                <w:rFonts w:hint="eastAsia" w:ascii="宋体" w:hAnsi="宋体" w:cs="宋体"/>
                <w:bCs/>
                <w:szCs w:val="21"/>
              </w:rPr>
            </w:pPr>
          </w:p>
        </w:tc>
      </w:tr>
      <w:tr w14:paraId="65DC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31A53269">
            <w:pPr>
              <w:snapToGrid w:val="0"/>
              <w:spacing w:line="360" w:lineRule="auto"/>
              <w:jc w:val="center"/>
              <w:rPr>
                <w:rFonts w:hint="eastAsia" w:ascii="宋体" w:hAnsi="宋体" w:cs="宋体"/>
                <w:bCs/>
                <w:kern w:val="0"/>
                <w:szCs w:val="21"/>
              </w:rPr>
            </w:pPr>
            <w:r>
              <w:rPr>
                <w:rFonts w:hint="eastAsia" w:ascii="宋体" w:hAnsi="宋体" w:cs="宋体"/>
                <w:bCs/>
                <w:kern w:val="0"/>
                <w:szCs w:val="21"/>
              </w:rPr>
              <w:t>2</w:t>
            </w:r>
          </w:p>
        </w:tc>
        <w:tc>
          <w:tcPr>
            <w:tcW w:w="4650" w:type="dxa"/>
            <w:tcBorders>
              <w:top w:val="single" w:color="auto" w:sz="4" w:space="0"/>
              <w:left w:val="single" w:color="auto" w:sz="4" w:space="0"/>
              <w:right w:val="single" w:color="auto" w:sz="4" w:space="0"/>
            </w:tcBorders>
            <w:noWrap/>
            <w:vAlign w:val="center"/>
          </w:tcPr>
          <w:p w14:paraId="046F2473">
            <w:pPr>
              <w:snapToGrid w:val="0"/>
              <w:spacing w:line="360" w:lineRule="auto"/>
              <w:jc w:val="left"/>
              <w:rPr>
                <w:rFonts w:hint="eastAsia" w:ascii="宋体" w:hAnsi="宋体" w:cs="宋体"/>
                <w:bCs/>
                <w:kern w:val="0"/>
                <w:szCs w:val="21"/>
                <w:lang w:val="zh-CN"/>
              </w:rPr>
            </w:pPr>
            <w:r>
              <w:rPr>
                <w:rFonts w:hint="eastAsia" w:ascii="宋体" w:hAnsi="宋体" w:cs="宋体"/>
                <w:bCs/>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722140C2">
            <w:pPr>
              <w:snapToGrid w:val="0"/>
              <w:spacing w:line="360" w:lineRule="auto"/>
              <w:jc w:val="left"/>
              <w:rPr>
                <w:rFonts w:hint="eastAsia" w:ascii="宋体" w:hAnsi="宋体" w:cs="宋体"/>
                <w:bCs/>
                <w:kern w:val="0"/>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52B74208">
            <w:pPr>
              <w:snapToGrid w:val="0"/>
              <w:spacing w:line="360" w:lineRule="auto"/>
              <w:ind w:firstLine="420" w:firstLineChars="200"/>
              <w:jc w:val="center"/>
              <w:rPr>
                <w:rFonts w:hint="eastAsia" w:ascii="宋体" w:hAnsi="宋体" w:cs="宋体"/>
                <w:bCs/>
                <w:szCs w:val="21"/>
              </w:rPr>
            </w:pPr>
          </w:p>
        </w:tc>
      </w:tr>
      <w:tr w14:paraId="44C7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4A6DAD2">
            <w:pPr>
              <w:snapToGrid w:val="0"/>
              <w:spacing w:line="360" w:lineRule="auto"/>
              <w:jc w:val="center"/>
              <w:rPr>
                <w:rFonts w:hint="eastAsia" w:ascii="宋体" w:hAnsi="宋体" w:cs="宋体"/>
                <w:bCs/>
                <w:szCs w:val="21"/>
              </w:rPr>
            </w:pPr>
            <w:r>
              <w:rPr>
                <w:rFonts w:hint="eastAsia" w:ascii="宋体" w:hAnsi="宋体" w:cs="宋体"/>
                <w:bCs/>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645E6AA9">
            <w:pPr>
              <w:pStyle w:val="6"/>
              <w:spacing w:line="360" w:lineRule="auto"/>
              <w:rPr>
                <w:rFonts w:hint="eastAsia" w:ascii="宋体" w:hAnsi="宋体" w:cs="宋体"/>
                <w:bCs/>
                <w:szCs w:val="21"/>
                <w:lang w:val="zh-CN"/>
              </w:rPr>
            </w:pPr>
            <w:r>
              <w:rPr>
                <w:rFonts w:hint="eastAsia" w:ascii="宋体" w:hAnsi="宋体" w:cs="宋体"/>
                <w:bCs/>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1F13420D">
            <w:pPr>
              <w:pStyle w:val="6"/>
              <w:spacing w:line="360" w:lineRule="auto"/>
              <w:rPr>
                <w:rFonts w:hint="eastAsia" w:ascii="宋体" w:hAnsi="宋体" w:cs="宋体"/>
                <w:bCs/>
                <w:szCs w:val="21"/>
                <w:lang w:val="zh-CN"/>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4779ABA8">
            <w:pPr>
              <w:snapToGrid w:val="0"/>
              <w:spacing w:line="360" w:lineRule="auto"/>
              <w:ind w:firstLine="420" w:firstLineChars="200"/>
              <w:jc w:val="center"/>
              <w:rPr>
                <w:rFonts w:hint="eastAsia" w:ascii="宋体" w:hAnsi="宋体" w:cs="宋体"/>
                <w:bCs/>
                <w:szCs w:val="21"/>
              </w:rPr>
            </w:pPr>
          </w:p>
        </w:tc>
      </w:tr>
      <w:tr w14:paraId="0F0E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10FC429">
            <w:pPr>
              <w:snapToGrid w:val="0"/>
              <w:spacing w:line="360" w:lineRule="auto"/>
              <w:jc w:val="center"/>
              <w:rPr>
                <w:rFonts w:hint="eastAsia" w:ascii="宋体" w:hAnsi="宋体" w:cs="宋体"/>
                <w:bCs/>
                <w:szCs w:val="21"/>
              </w:rPr>
            </w:pPr>
            <w:r>
              <w:rPr>
                <w:rFonts w:hint="eastAsia" w:ascii="宋体" w:hAnsi="宋体" w:cs="宋体"/>
                <w:bCs/>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6DAF3804">
            <w:pPr>
              <w:pStyle w:val="6"/>
              <w:snapToGrid w:val="0"/>
              <w:spacing w:line="360" w:lineRule="auto"/>
              <w:jc w:val="both"/>
              <w:rPr>
                <w:rFonts w:hint="eastAsia" w:ascii="宋体" w:hAnsi="宋体" w:cs="宋体"/>
                <w:bCs/>
                <w:szCs w:val="21"/>
              </w:rPr>
            </w:pPr>
            <w:r>
              <w:rPr>
                <w:rFonts w:hint="eastAsia" w:ascii="宋体" w:hAnsi="宋体" w:cs="宋体"/>
                <w:bCs/>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12526289">
            <w:pPr>
              <w:pStyle w:val="6"/>
              <w:snapToGrid w:val="0"/>
              <w:spacing w:line="360" w:lineRule="auto"/>
              <w:rPr>
                <w:rFonts w:hint="eastAsia" w:ascii="宋体" w:hAnsi="宋体" w:cs="宋体"/>
                <w:bCs/>
                <w:szCs w:val="21"/>
              </w:rPr>
            </w:pPr>
            <w:r>
              <w:rPr>
                <w:rFonts w:hint="eastAsia" w:ascii="宋体" w:hAnsi="宋体" w:cs="宋体"/>
                <w:bCs/>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4BDB869">
            <w:pPr>
              <w:snapToGrid w:val="0"/>
              <w:spacing w:line="360" w:lineRule="auto"/>
              <w:ind w:firstLine="420" w:firstLineChars="200"/>
              <w:jc w:val="center"/>
              <w:rPr>
                <w:rFonts w:hint="eastAsia" w:ascii="宋体" w:hAnsi="宋体" w:cs="宋体"/>
                <w:bCs/>
                <w:szCs w:val="21"/>
              </w:rPr>
            </w:pPr>
          </w:p>
        </w:tc>
      </w:tr>
      <w:tr w14:paraId="3E3E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648073D">
            <w:pPr>
              <w:snapToGrid w:val="0"/>
              <w:spacing w:line="360" w:lineRule="auto"/>
              <w:jc w:val="center"/>
              <w:rPr>
                <w:rFonts w:hint="eastAsia" w:ascii="宋体" w:hAnsi="宋体" w:cs="宋体"/>
                <w:bCs/>
                <w:szCs w:val="21"/>
              </w:rPr>
            </w:pPr>
            <w:r>
              <w:rPr>
                <w:rFonts w:hint="eastAsia" w:ascii="宋体" w:hAnsi="宋体" w:cs="宋体"/>
                <w:bCs/>
                <w:szCs w:val="21"/>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1B5B5F4E">
            <w:pPr>
              <w:pStyle w:val="6"/>
              <w:snapToGrid w:val="0"/>
              <w:spacing w:line="360" w:lineRule="auto"/>
              <w:jc w:val="both"/>
              <w:rPr>
                <w:rFonts w:hint="eastAsia" w:ascii="宋体" w:hAnsi="宋体" w:cs="宋体"/>
                <w:bCs/>
                <w:szCs w:val="21"/>
              </w:rPr>
            </w:pPr>
            <w:r>
              <w:rPr>
                <w:rFonts w:hint="eastAsia" w:ascii="宋体" w:hAnsi="宋体" w:cs="宋体"/>
                <w:bCs/>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14:paraId="6B6EA8C1">
            <w:pPr>
              <w:pStyle w:val="6"/>
              <w:snapToGrid w:val="0"/>
              <w:spacing w:line="360" w:lineRule="auto"/>
              <w:rPr>
                <w:rFonts w:hint="eastAsia" w:ascii="宋体" w:hAnsi="宋体" w:cs="宋体"/>
                <w:bCs/>
                <w:szCs w:val="21"/>
              </w:rPr>
            </w:pPr>
            <w:r>
              <w:rPr>
                <w:rFonts w:hint="eastAsia" w:ascii="宋体" w:hAnsi="宋体" w:cs="宋体"/>
                <w:bCs/>
                <w:kern w:val="0"/>
                <w:szCs w:val="21"/>
                <w:lang w:val="zh-CN"/>
              </w:rPr>
              <w:t>提供</w:t>
            </w:r>
            <w:r>
              <w:rPr>
                <w:rFonts w:hint="eastAsia" w:ascii="宋体" w:hAnsi="宋体" w:cs="宋体"/>
                <w:bCs/>
                <w:kern w:val="0"/>
                <w:szCs w:val="21"/>
              </w:rPr>
              <w:t>比选公告发布时间后</w:t>
            </w:r>
            <w:r>
              <w:rPr>
                <w:rFonts w:hint="eastAsia" w:ascii="宋体" w:hAnsi="宋体" w:cs="宋体"/>
                <w:bCs/>
                <w:kern w:val="0"/>
                <w:szCs w:val="21"/>
                <w:lang w:val="zh-CN"/>
              </w:rPr>
              <w:t>“信用中国”、“中国政府采购网网站”截图。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7A7CBBF6">
            <w:pPr>
              <w:snapToGrid w:val="0"/>
              <w:spacing w:line="360" w:lineRule="auto"/>
              <w:ind w:firstLine="420" w:firstLineChars="200"/>
              <w:jc w:val="center"/>
              <w:rPr>
                <w:rFonts w:hint="eastAsia" w:ascii="宋体" w:hAnsi="宋体" w:cs="宋体"/>
                <w:bCs/>
                <w:szCs w:val="21"/>
              </w:rPr>
            </w:pPr>
          </w:p>
        </w:tc>
      </w:tr>
      <w:tr w14:paraId="4246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FDB2C23">
            <w:pPr>
              <w:snapToGrid w:val="0"/>
              <w:spacing w:line="360" w:lineRule="auto"/>
              <w:jc w:val="center"/>
              <w:rPr>
                <w:rFonts w:hint="eastAsia" w:ascii="宋体" w:hAnsi="宋体" w:cs="宋体"/>
                <w:bCs/>
                <w:szCs w:val="21"/>
              </w:rPr>
            </w:pPr>
            <w:r>
              <w:rPr>
                <w:rFonts w:hint="eastAsia" w:ascii="宋体" w:hAnsi="宋体" w:cs="宋体"/>
                <w:bCs/>
                <w:szCs w:val="21"/>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4AB59E91">
            <w:pPr>
              <w:pStyle w:val="6"/>
              <w:snapToGrid w:val="0"/>
              <w:spacing w:line="360" w:lineRule="auto"/>
              <w:jc w:val="both"/>
              <w:rPr>
                <w:rFonts w:hint="eastAsia" w:ascii="宋体" w:hAnsi="宋体" w:cs="宋体"/>
                <w:bCs/>
                <w:szCs w:val="21"/>
              </w:rPr>
            </w:pPr>
            <w:r>
              <w:rPr>
                <w:rFonts w:hint="eastAsia" w:ascii="宋体" w:hAnsi="宋体" w:cs="宋体"/>
                <w:bCs/>
                <w:szCs w:val="21"/>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14:paraId="5DE7B70C">
            <w:pPr>
              <w:pStyle w:val="6"/>
              <w:snapToGrid w:val="0"/>
              <w:spacing w:line="360" w:lineRule="auto"/>
              <w:rPr>
                <w:rFonts w:hint="eastAsia" w:ascii="宋体" w:hAnsi="宋体" w:cs="宋体"/>
                <w:bCs/>
                <w:kern w:val="0"/>
                <w:szCs w:val="21"/>
              </w:rPr>
            </w:pPr>
            <w:r>
              <w:rPr>
                <w:rFonts w:hint="eastAsia" w:ascii="宋体" w:hAnsi="宋体" w:cs="宋体"/>
                <w:bCs/>
                <w:kern w:val="0"/>
                <w:szCs w:val="21"/>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14:paraId="646AFCC1">
            <w:pPr>
              <w:snapToGrid w:val="0"/>
              <w:spacing w:line="360" w:lineRule="auto"/>
              <w:ind w:firstLine="420" w:firstLineChars="200"/>
              <w:jc w:val="center"/>
              <w:rPr>
                <w:rFonts w:hint="eastAsia" w:ascii="宋体" w:hAnsi="宋体" w:cs="宋体"/>
                <w:bCs/>
                <w:szCs w:val="21"/>
              </w:rPr>
            </w:pPr>
          </w:p>
        </w:tc>
      </w:tr>
    </w:tbl>
    <w:p w14:paraId="637BE2DF">
      <w:pPr>
        <w:snapToGrid w:val="0"/>
        <w:spacing w:line="360" w:lineRule="auto"/>
        <w:ind w:firstLine="211" w:firstLineChars="100"/>
        <w:jc w:val="left"/>
        <w:rPr>
          <w:rFonts w:hint="eastAsia" w:ascii="宋体" w:hAnsi="宋体" w:cs="宋体"/>
          <w:b/>
          <w:szCs w:val="21"/>
        </w:rPr>
      </w:pPr>
    </w:p>
    <w:p w14:paraId="6978F472">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431C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31E8D09">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7C626CFF">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5D8479DD">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103F4C25">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审查意见</w:t>
            </w:r>
          </w:p>
        </w:tc>
      </w:tr>
      <w:tr w14:paraId="0599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72E0755">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0DC0F2A8">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78C7DB02">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4F5677CE">
            <w:pPr>
              <w:adjustRightInd w:val="0"/>
              <w:snapToGrid w:val="0"/>
              <w:spacing w:line="360" w:lineRule="auto"/>
              <w:jc w:val="center"/>
              <w:rPr>
                <w:rFonts w:hint="eastAsia" w:asciiTheme="minorEastAsia" w:hAnsiTheme="minorEastAsia" w:eastAsiaTheme="minorEastAsia" w:cstheme="minorEastAsia"/>
                <w:bCs/>
                <w:szCs w:val="21"/>
              </w:rPr>
            </w:pPr>
          </w:p>
        </w:tc>
      </w:tr>
      <w:tr w14:paraId="567E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C864F2F">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0B2EF56A">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14:paraId="09B2F76F">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56026F4C">
            <w:pPr>
              <w:adjustRightInd w:val="0"/>
              <w:snapToGrid w:val="0"/>
              <w:spacing w:line="360" w:lineRule="auto"/>
              <w:jc w:val="center"/>
              <w:rPr>
                <w:rFonts w:hint="eastAsia" w:asciiTheme="minorEastAsia" w:hAnsiTheme="minorEastAsia" w:eastAsiaTheme="minorEastAsia" w:cstheme="minorEastAsia"/>
                <w:bCs/>
                <w:szCs w:val="21"/>
              </w:rPr>
            </w:pPr>
          </w:p>
        </w:tc>
      </w:tr>
      <w:tr w14:paraId="7FD4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9F401E3">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4958F89F">
            <w:pPr>
              <w:adjustRightInd w:val="0"/>
              <w:snapToGrid w:val="0"/>
              <w:spacing w:line="360" w:lineRule="auto"/>
              <w:rPr>
                <w:rFonts w:hint="eastAsia" w:asciiTheme="minorEastAsia" w:hAnsiTheme="minorEastAsia" w:cstheme="minorEastAsia"/>
                <w:bCs/>
                <w:szCs w:val="21"/>
              </w:rPr>
            </w:pPr>
            <w:r>
              <w:rPr>
                <w:rFonts w:hint="eastAsia" w:asciiTheme="minorEastAsia" w:hAnsiTheme="minorEastAsia" w:cstheme="minorEastAsia"/>
                <w:bCs/>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6F30FCC4">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0EE253CF">
            <w:pPr>
              <w:adjustRightInd w:val="0"/>
              <w:snapToGrid w:val="0"/>
              <w:spacing w:line="360" w:lineRule="auto"/>
              <w:jc w:val="center"/>
              <w:rPr>
                <w:rFonts w:hint="eastAsia" w:asciiTheme="minorEastAsia" w:hAnsiTheme="minorEastAsia" w:eastAsiaTheme="minorEastAsia" w:cstheme="minorEastAsia"/>
                <w:bCs/>
                <w:szCs w:val="21"/>
              </w:rPr>
            </w:pPr>
          </w:p>
        </w:tc>
      </w:tr>
      <w:tr w14:paraId="402F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1BEBA44">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0853593D">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w:t>
            </w:r>
          </w:p>
        </w:tc>
        <w:tc>
          <w:tcPr>
            <w:tcW w:w="2535" w:type="dxa"/>
            <w:tcBorders>
              <w:top w:val="single" w:color="auto" w:sz="4" w:space="0"/>
              <w:left w:val="single" w:color="auto" w:sz="4" w:space="0"/>
              <w:bottom w:val="single" w:color="auto" w:sz="4" w:space="0"/>
              <w:right w:val="single" w:color="auto" w:sz="4" w:space="0"/>
            </w:tcBorders>
            <w:noWrap/>
          </w:tcPr>
          <w:p w14:paraId="6D8E14F6">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28D0BFFA">
            <w:pPr>
              <w:adjustRightInd w:val="0"/>
              <w:snapToGrid w:val="0"/>
              <w:spacing w:line="360" w:lineRule="auto"/>
              <w:jc w:val="center"/>
              <w:rPr>
                <w:rFonts w:hint="eastAsia" w:asciiTheme="minorEastAsia" w:hAnsiTheme="minorEastAsia" w:eastAsiaTheme="minorEastAsia" w:cstheme="minorEastAsia"/>
                <w:bCs/>
                <w:szCs w:val="21"/>
              </w:rPr>
            </w:pPr>
          </w:p>
        </w:tc>
      </w:tr>
      <w:tr w14:paraId="58E1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1864DE0">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115734D0">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w:t>
            </w:r>
          </w:p>
        </w:tc>
        <w:tc>
          <w:tcPr>
            <w:tcW w:w="2535" w:type="dxa"/>
            <w:tcBorders>
              <w:top w:val="single" w:color="auto" w:sz="4" w:space="0"/>
              <w:left w:val="single" w:color="auto" w:sz="4" w:space="0"/>
              <w:bottom w:val="single" w:color="auto" w:sz="4" w:space="0"/>
              <w:right w:val="single" w:color="auto" w:sz="4" w:space="0"/>
            </w:tcBorders>
            <w:noWrap/>
          </w:tcPr>
          <w:p w14:paraId="5135335C">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341A6987">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r w14:paraId="6F6A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850093B">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65CDA108">
            <w:pPr>
              <w:adjustRightInd w:val="0"/>
              <w:snapToGrid w:val="0"/>
              <w:spacing w:line="360" w:lineRule="auto"/>
              <w:rPr>
                <w:rFonts w:hint="eastAsia" w:asciiTheme="minorEastAsia" w:hAnsiTheme="minorEastAsia" w:cstheme="minorEastAsia"/>
                <w:bCs/>
                <w:szCs w:val="21"/>
              </w:rPr>
            </w:pPr>
            <w:r>
              <w:rPr>
                <w:rFonts w:hint="eastAsia" w:asciiTheme="minorEastAsia" w:hAnsiTheme="minorEastAsia" w:cstheme="minorEastAsia"/>
                <w:bCs/>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29D78240">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599F0848">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r w14:paraId="0668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217781E">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45A96B99">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14:paraId="379BC488">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4790C7C0">
            <w:pPr>
              <w:adjustRightInd w:val="0"/>
              <w:snapToGrid w:val="0"/>
              <w:spacing w:line="360" w:lineRule="auto"/>
              <w:ind w:firstLine="420" w:firstLineChars="200"/>
              <w:rPr>
                <w:rFonts w:hint="eastAsia" w:asciiTheme="minorEastAsia" w:hAnsiTheme="minorEastAsia" w:eastAsiaTheme="minorEastAsia" w:cstheme="minorEastAsia"/>
                <w:bCs/>
                <w:szCs w:val="21"/>
              </w:rPr>
            </w:pPr>
          </w:p>
        </w:tc>
      </w:tr>
    </w:tbl>
    <w:p w14:paraId="79E1D2A5">
      <w:pPr>
        <w:pStyle w:val="9"/>
        <w:ind w:left="0" w:leftChars="0" w:firstLine="0" w:firstLineChars="0"/>
      </w:pPr>
    </w:p>
    <w:p w14:paraId="33614E30">
      <w:pPr>
        <w:adjustRightInd w:val="0"/>
        <w:snapToGrid w:val="0"/>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三、评审标准</w:t>
      </w:r>
    </w:p>
    <w:p w14:paraId="00BDE4C8">
      <w:pPr>
        <w:adjustRightInd w:val="0"/>
        <w:snapToGrid w:val="0"/>
        <w:spacing w:line="360" w:lineRule="auto"/>
        <w:ind w:firstLine="422" w:firstLineChars="200"/>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（一）评审方法及评审结果排列顺序规定如下：</w:t>
      </w:r>
    </w:p>
    <w:p w14:paraId="79139DD4">
      <w:pPr>
        <w:pStyle w:val="6"/>
        <w:spacing w:line="360" w:lineRule="auto"/>
        <w:ind w:firstLine="420" w:firstLineChars="200"/>
        <w:jc w:val="both"/>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采用综合评分法的，评审结果按评审后得分由高到低顺序排列。得分相同的，按响应报价由低到高顺序排列。得分且响应报价相同的并列或者评审委员会根据响应情况推荐评审结果排列顺序或予以授标建议。</w:t>
      </w:r>
    </w:p>
    <w:p w14:paraId="1C223A1D">
      <w:pPr>
        <w:numPr>
          <w:ilvl w:val="0"/>
          <w:numId w:val="3"/>
        </w:numPr>
        <w:adjustRightInd w:val="0"/>
        <w:snapToGrid w:val="0"/>
        <w:spacing w:line="360" w:lineRule="auto"/>
        <w:ind w:firstLine="422"/>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28EA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7BD4C86D">
            <w:pPr>
              <w:spacing w:line="360" w:lineRule="auto"/>
              <w:jc w:val="center"/>
              <w:rPr>
                <w:rFonts w:hint="eastAsia"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14:paraId="39837835">
            <w:pPr>
              <w:spacing w:line="360" w:lineRule="auto"/>
              <w:jc w:val="center"/>
              <w:rPr>
                <w:rFonts w:hint="eastAsia"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14:paraId="5001C1EF">
            <w:pPr>
              <w:spacing w:line="360" w:lineRule="auto"/>
              <w:jc w:val="center"/>
              <w:rPr>
                <w:rFonts w:hint="eastAsia" w:ascii="宋体" w:hAnsi="宋体" w:cs="宋体"/>
                <w:bCs/>
                <w:szCs w:val="21"/>
              </w:rPr>
            </w:pPr>
            <w:r>
              <w:rPr>
                <w:rFonts w:hint="eastAsia" w:ascii="宋体" w:hAnsi="宋体" w:cs="宋体"/>
                <w:bCs/>
                <w:szCs w:val="21"/>
              </w:rPr>
              <w:t>价格</w:t>
            </w:r>
          </w:p>
        </w:tc>
      </w:tr>
      <w:tr w14:paraId="7846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5C0C7CEA">
            <w:pPr>
              <w:spacing w:line="360" w:lineRule="auto"/>
              <w:jc w:val="center"/>
              <w:rPr>
                <w:rFonts w:hint="eastAsia" w:ascii="宋体" w:hAnsi="宋体" w:cs="宋体"/>
                <w:bCs/>
                <w:szCs w:val="21"/>
              </w:rPr>
            </w:pPr>
            <w:r>
              <w:rPr>
                <w:rFonts w:hint="eastAsia" w:ascii="宋体" w:hAnsi="宋体" w:cs="宋体"/>
                <w:bCs/>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14:paraId="5CE839D4">
            <w:pPr>
              <w:spacing w:line="360" w:lineRule="auto"/>
              <w:jc w:val="center"/>
              <w:rPr>
                <w:rFonts w:hint="eastAsia" w:ascii="宋体" w:hAnsi="宋体" w:cs="宋体"/>
                <w:bCs/>
                <w:szCs w:val="21"/>
              </w:rPr>
            </w:pPr>
            <w:r>
              <w:rPr>
                <w:rFonts w:hint="eastAsia" w:ascii="宋体" w:hAnsi="宋体" w:cs="宋体"/>
                <w:bCs/>
                <w:szCs w:val="21"/>
              </w:rPr>
              <w:t>80分</w:t>
            </w:r>
          </w:p>
        </w:tc>
        <w:tc>
          <w:tcPr>
            <w:tcW w:w="2911" w:type="dxa"/>
            <w:tcBorders>
              <w:top w:val="single" w:color="auto" w:sz="6" w:space="0"/>
              <w:left w:val="single" w:color="auto" w:sz="6" w:space="0"/>
              <w:bottom w:val="single" w:color="auto" w:sz="6" w:space="0"/>
              <w:right w:val="single" w:color="auto" w:sz="6" w:space="0"/>
            </w:tcBorders>
            <w:vAlign w:val="center"/>
          </w:tcPr>
          <w:p w14:paraId="13735876">
            <w:pPr>
              <w:spacing w:line="360" w:lineRule="auto"/>
              <w:jc w:val="center"/>
              <w:rPr>
                <w:rFonts w:hint="eastAsia" w:ascii="宋体" w:hAnsi="宋体" w:cs="宋体"/>
                <w:bCs/>
                <w:szCs w:val="21"/>
              </w:rPr>
            </w:pPr>
            <w:r>
              <w:rPr>
                <w:rFonts w:hint="eastAsia" w:ascii="宋体" w:hAnsi="宋体" w:cs="宋体"/>
                <w:bCs/>
                <w:szCs w:val="21"/>
              </w:rPr>
              <w:t>20分</w:t>
            </w:r>
          </w:p>
        </w:tc>
      </w:tr>
      <w:bookmarkEnd w:id="96"/>
    </w:tbl>
    <w:p w14:paraId="3DF688A0">
      <w:pPr>
        <w:adjustRightInd w:val="0"/>
        <w:snapToGrid w:val="0"/>
        <w:spacing w:line="360" w:lineRule="auto"/>
        <w:ind w:firstLine="422" w:firstLineChars="200"/>
        <w:outlineLvl w:val="1"/>
        <w:rPr>
          <w:rFonts w:hint="eastAsia" w:asciiTheme="minorEastAsia" w:hAnsiTheme="minorEastAsia" w:eastAsiaTheme="minorEastAsia" w:cstheme="minorEastAsia"/>
          <w:b/>
          <w:szCs w:val="21"/>
        </w:rPr>
      </w:pPr>
      <w:bookmarkStart w:id="97" w:name="_Toc246826118"/>
      <w:r>
        <w:rPr>
          <w:rFonts w:hint="eastAsia" w:asciiTheme="minorEastAsia" w:hAnsiTheme="minorEastAsia" w:eastAsiaTheme="minorEastAsia" w:cstheme="minorEastAsia"/>
          <w:b/>
          <w:szCs w:val="21"/>
        </w:rPr>
        <w:t>（三）响应报价的评审要求</w:t>
      </w:r>
    </w:p>
    <w:p w14:paraId="0FD0E63D">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1、价格核准：评审委员会对符合性审查合格的供应商的响应报价明细进行复核，看其是否有计算错误，如有则按供应商须知有关规定修正或澄清。</w:t>
      </w:r>
    </w:p>
    <w:p w14:paraId="1593FF2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2、价格评审：</w:t>
      </w:r>
    </w:p>
    <w:p w14:paraId="72F8E27B">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评分法，价格分统一采用低价优先法计算，即满足采购文件要求（通过资格审查和符合性审查）且评审价(指修正及价格扣除后的价格，下同)最低的为评审基准价，其价格分为满分。其他供应商的价格分统一按照下列公式计算：</w:t>
      </w:r>
    </w:p>
    <w:p w14:paraId="69FCAD33">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价格评分=（评审基准价／评审价）×价格分值</w:t>
      </w:r>
    </w:p>
    <w:p w14:paraId="0AB62C54">
      <w:pPr>
        <w:snapToGrid w:val="0"/>
        <w:spacing w:line="360" w:lineRule="auto"/>
        <w:ind w:firstLine="420" w:firstLineChars="200"/>
        <w:outlineLvl w:val="0"/>
        <w:rPr>
          <w:rFonts w:hint="eastAsia" w:ascii="宋体" w:hAnsi="宋体" w:cs="宋体"/>
          <w:b/>
          <w:color w:val="0000FF"/>
          <w:szCs w:val="21"/>
        </w:rPr>
      </w:pPr>
      <w:r>
        <w:rPr>
          <w:rFonts w:hint="eastAsia" w:asciiTheme="minorEastAsia" w:hAnsiTheme="minorEastAsia" w:eastAsiaTheme="minorEastAsia" w:cstheme="minorEastAsia"/>
          <w:bCs/>
          <w:szCs w:val="21"/>
        </w:rPr>
        <w:t>3、响应报价对小型、微型企业或者视同小型、微企业参与响应的参照第三章5.1款的规定以扣除后的价格参与评审。</w:t>
      </w:r>
    </w:p>
    <w:p w14:paraId="179649F7">
      <w:pPr>
        <w:adjustRightInd w:val="0"/>
        <w:snapToGrid w:val="0"/>
        <w:spacing w:line="360" w:lineRule="auto"/>
        <w:ind w:firstLine="420" w:firstLineChars="200"/>
        <w:outlineLvl w:val="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4、在评审过程中，不得去掉报价中的最高报价和最低报价。</w:t>
      </w:r>
    </w:p>
    <w:p w14:paraId="5F01F975">
      <w:pPr>
        <w:adjustRightInd w:val="0"/>
        <w:snapToGrid w:val="0"/>
        <w:spacing w:line="360" w:lineRule="auto"/>
        <w:ind w:firstLine="561"/>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（四）评审细则</w:t>
      </w:r>
    </w:p>
    <w:tbl>
      <w:tblPr>
        <w:tblStyle w:val="18"/>
        <w:tblW w:w="10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923"/>
        <w:gridCol w:w="7576"/>
      </w:tblGrid>
      <w:tr w14:paraId="34B8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Borders>
              <w:top w:val="single" w:color="auto" w:sz="4" w:space="0"/>
              <w:left w:val="single" w:color="auto" w:sz="4" w:space="0"/>
              <w:bottom w:val="single" w:color="auto" w:sz="4" w:space="0"/>
              <w:right w:val="single" w:color="auto" w:sz="4" w:space="0"/>
            </w:tcBorders>
            <w:noWrap/>
            <w:vAlign w:val="center"/>
          </w:tcPr>
          <w:p w14:paraId="1137A1E1">
            <w:pPr>
              <w:jc w:val="center"/>
              <w:rPr>
                <w:rFonts w:hint="eastAsia"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条款号</w:t>
            </w:r>
          </w:p>
        </w:tc>
        <w:tc>
          <w:tcPr>
            <w:tcW w:w="1923" w:type="dxa"/>
            <w:tcBorders>
              <w:top w:val="single" w:color="auto" w:sz="4" w:space="0"/>
              <w:left w:val="single" w:color="auto" w:sz="4" w:space="0"/>
              <w:bottom w:val="single" w:color="auto" w:sz="4" w:space="0"/>
              <w:right w:val="single" w:color="auto" w:sz="4" w:space="0"/>
            </w:tcBorders>
            <w:noWrap/>
            <w:vAlign w:val="center"/>
          </w:tcPr>
          <w:p w14:paraId="45810195">
            <w:pPr>
              <w:jc w:val="center"/>
              <w:rPr>
                <w:rFonts w:hint="eastAsia"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评审因素</w:t>
            </w:r>
          </w:p>
        </w:tc>
        <w:tc>
          <w:tcPr>
            <w:tcW w:w="7576" w:type="dxa"/>
            <w:tcBorders>
              <w:top w:val="single" w:color="auto" w:sz="4" w:space="0"/>
              <w:left w:val="single" w:color="auto" w:sz="4" w:space="0"/>
              <w:bottom w:val="single" w:color="auto" w:sz="4" w:space="0"/>
              <w:right w:val="single" w:color="auto" w:sz="4" w:space="0"/>
            </w:tcBorders>
            <w:noWrap/>
            <w:vAlign w:val="center"/>
          </w:tcPr>
          <w:p w14:paraId="0114A27B">
            <w:pPr>
              <w:jc w:val="center"/>
              <w:rPr>
                <w:rFonts w:hint="eastAsia"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评审标准</w:t>
            </w:r>
          </w:p>
        </w:tc>
      </w:tr>
      <w:tr w14:paraId="6EA0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9" w:type="dxa"/>
            <w:gridSpan w:val="2"/>
            <w:tcBorders>
              <w:top w:val="single" w:color="auto" w:sz="4" w:space="0"/>
              <w:left w:val="single" w:color="auto" w:sz="4" w:space="0"/>
              <w:bottom w:val="single" w:color="auto" w:sz="4" w:space="0"/>
              <w:right w:val="single" w:color="auto" w:sz="4" w:space="0"/>
            </w:tcBorders>
            <w:noWrap/>
            <w:vAlign w:val="center"/>
          </w:tcPr>
          <w:p w14:paraId="650918C9">
            <w:pPr>
              <w:jc w:val="cente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分值构成</w:t>
            </w:r>
          </w:p>
          <w:p w14:paraId="27B7BAAD">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(总分100分)</w:t>
            </w:r>
          </w:p>
        </w:tc>
        <w:tc>
          <w:tcPr>
            <w:tcW w:w="7576" w:type="dxa"/>
            <w:tcBorders>
              <w:top w:val="single" w:color="auto" w:sz="4" w:space="0"/>
              <w:left w:val="single" w:color="auto" w:sz="4" w:space="0"/>
              <w:bottom w:val="single" w:color="auto" w:sz="4" w:space="0"/>
              <w:right w:val="single" w:color="auto" w:sz="4" w:space="0"/>
            </w:tcBorders>
            <w:noWrap/>
            <w:vAlign w:val="center"/>
          </w:tcPr>
          <w:p w14:paraId="271B4540">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价格评审</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20</w:t>
            </w:r>
            <w:r>
              <w:rPr>
                <w:rFonts w:hint="eastAsia" w:asciiTheme="minorEastAsia" w:hAnsiTheme="minorEastAsia" w:eastAsiaTheme="minorEastAsia" w:cstheme="minorEastAsia"/>
                <w:color w:val="000000" w:themeColor="text1"/>
                <w:sz w:val="18"/>
                <w:szCs w:val="18"/>
                <w14:textFill>
                  <w14:solidFill>
                    <w14:schemeClr w14:val="tx1"/>
                  </w14:solidFill>
                </w14:textFill>
              </w:rPr>
              <w:t>分</w:t>
            </w:r>
          </w:p>
          <w:p w14:paraId="1D79DEAF">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技术部分80分</w:t>
            </w:r>
          </w:p>
        </w:tc>
      </w:tr>
      <w:tr w14:paraId="5099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9" w:type="dxa"/>
            <w:gridSpan w:val="2"/>
            <w:tcBorders>
              <w:top w:val="single" w:color="auto" w:sz="4" w:space="0"/>
              <w:left w:val="single" w:color="auto" w:sz="4" w:space="0"/>
              <w:bottom w:val="single" w:color="auto" w:sz="4" w:space="0"/>
              <w:right w:val="single" w:color="auto" w:sz="4" w:space="0"/>
            </w:tcBorders>
            <w:noWrap/>
            <w:vAlign w:val="center"/>
          </w:tcPr>
          <w:p w14:paraId="7B23E7F9">
            <w:pPr>
              <w:jc w:val="cente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价格评审</w:t>
            </w:r>
          </w:p>
          <w:p w14:paraId="27C5CB00">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（20分）</w:t>
            </w:r>
          </w:p>
        </w:tc>
        <w:tc>
          <w:tcPr>
            <w:tcW w:w="7576" w:type="dxa"/>
            <w:tcBorders>
              <w:top w:val="single" w:color="auto" w:sz="4" w:space="0"/>
              <w:left w:val="single" w:color="auto" w:sz="4" w:space="0"/>
              <w:bottom w:val="single" w:color="auto" w:sz="4" w:space="0"/>
              <w:right w:val="single" w:color="auto" w:sz="4" w:space="0"/>
            </w:tcBorders>
            <w:noWrap/>
            <w:vAlign w:val="center"/>
          </w:tcPr>
          <w:p w14:paraId="43A982C2">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响应报价得分以满分</w:t>
            </w:r>
            <w:r>
              <w:rPr>
                <w:rFonts w:hint="eastAsia" w:asciiTheme="minorEastAsia" w:hAnsiTheme="minorEastAsia" w:eastAsiaTheme="minorEastAsia" w:cstheme="minorEastAsia"/>
                <w:color w:val="000000" w:themeColor="text1"/>
                <w:sz w:val="18"/>
                <w:szCs w:val="18"/>
                <w:u w:val="single"/>
                <w14:textFill>
                  <w14:solidFill>
                    <w14:schemeClr w14:val="tx1"/>
                  </w14:solidFill>
                </w14:textFill>
              </w:rPr>
              <w:t>20分</w:t>
            </w:r>
            <w:r>
              <w:rPr>
                <w:rFonts w:hint="eastAsia" w:asciiTheme="minorEastAsia" w:hAnsiTheme="minorEastAsia" w:eastAsiaTheme="minorEastAsia" w:cstheme="minorEastAsia"/>
                <w:color w:val="000000" w:themeColor="text1"/>
                <w:sz w:val="18"/>
                <w:szCs w:val="18"/>
                <w14:textFill>
                  <w14:solidFill>
                    <w14:schemeClr w14:val="tx1"/>
                  </w14:solidFill>
                </w14:textFill>
              </w:rPr>
              <w:t>计算。满足比选文件要求且响应报价最低的响应报价为评审基准价，其价格分为满分。其他供应商的价格分统一按照下列公式计算：</w:t>
            </w:r>
          </w:p>
          <w:p w14:paraId="67F93774">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响应报价得分=（评审基准价/响应报价）×20</w:t>
            </w:r>
          </w:p>
          <w:p w14:paraId="22A22BCF">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14:paraId="5D4D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6" w:type="dxa"/>
            <w:vMerge w:val="restart"/>
            <w:tcBorders>
              <w:top w:val="single" w:color="auto" w:sz="4" w:space="0"/>
              <w:left w:val="single" w:color="auto" w:sz="4" w:space="0"/>
              <w:right w:val="single" w:color="auto" w:sz="4" w:space="0"/>
            </w:tcBorders>
            <w:noWrap/>
            <w:vAlign w:val="center"/>
          </w:tcPr>
          <w:p w14:paraId="5E6995AC">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技术部分</w:t>
            </w:r>
          </w:p>
          <w:p w14:paraId="3866E68E">
            <w:pPr>
              <w:jc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（80分）</w:t>
            </w:r>
          </w:p>
          <w:p w14:paraId="4274E6F1">
            <w:pPr>
              <w:jc w:val="center"/>
              <w:rPr>
                <w:rFonts w:hint="eastAsia" w:ascii="宋体" w:hAnsi="宋体" w:cs="宋体"/>
                <w:color w:val="000000" w:themeColor="text1"/>
                <w:sz w:val="20"/>
                <w:szCs w:val="20"/>
                <w14:textFill>
                  <w14:solidFill>
                    <w14:schemeClr w14:val="tx1"/>
                  </w14:solidFill>
                </w14:textFill>
              </w:rPr>
            </w:pPr>
          </w:p>
          <w:p w14:paraId="2508850D">
            <w:pPr>
              <w:jc w:val="center"/>
              <w:rPr>
                <w:rFonts w:hint="eastAsia" w:ascii="宋体" w:hAnsi="宋体" w:cs="宋体"/>
                <w:color w:val="000000" w:themeColor="text1"/>
                <w:sz w:val="20"/>
                <w:szCs w:val="20"/>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noWrap/>
            <w:vAlign w:val="center"/>
          </w:tcPr>
          <w:p w14:paraId="5D658FCE">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项目需求理解（15分）</w:t>
            </w:r>
          </w:p>
        </w:tc>
        <w:tc>
          <w:tcPr>
            <w:tcW w:w="7576" w:type="dxa"/>
            <w:tcBorders>
              <w:top w:val="single" w:color="auto" w:sz="4" w:space="0"/>
              <w:left w:val="single" w:color="auto" w:sz="4" w:space="0"/>
              <w:bottom w:val="single" w:color="auto" w:sz="4" w:space="0"/>
              <w:right w:val="single" w:color="auto" w:sz="4" w:space="0"/>
            </w:tcBorders>
            <w:noWrap/>
            <w:vAlign w:val="center"/>
          </w:tcPr>
          <w:p w14:paraId="176D6304">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根据供应商对本项目需求理解情况（包括具体工作要求、现状分析等内容）进行综合评审：</w:t>
            </w:r>
          </w:p>
          <w:p w14:paraId="5727E346">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1.对项目需求理解准确，优于本项目采购需求，实用性、针对性强的，得10-15分； </w:t>
            </w:r>
          </w:p>
          <w:p w14:paraId="1C0CFCB3">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2.对项目需求理解基本准确，适合本项目采购需求，具有实用性、针对性的，得5-9分； </w:t>
            </w:r>
          </w:p>
          <w:p w14:paraId="0ADB5138">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3.对项目需求理解有待提升，基本适合本项目采购需求，实用性、针对性有待改善的，得1-4分； </w:t>
            </w:r>
          </w:p>
          <w:p w14:paraId="78DE3113">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4.对项目需求理解不可行或未提供相关内容的，本项不得分。 </w:t>
            </w:r>
          </w:p>
        </w:tc>
      </w:tr>
      <w:tr w14:paraId="57C1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6" w:type="dxa"/>
            <w:vMerge w:val="continue"/>
            <w:tcBorders>
              <w:left w:val="single" w:color="auto" w:sz="4" w:space="0"/>
              <w:right w:val="single" w:color="auto" w:sz="4" w:space="0"/>
            </w:tcBorders>
            <w:noWrap/>
            <w:vAlign w:val="center"/>
          </w:tcPr>
          <w:p w14:paraId="00490C04">
            <w:pPr>
              <w:jc w:val="center"/>
              <w:rPr>
                <w:rFonts w:hint="eastAsia" w:ascii="宋体" w:hAnsi="宋体" w:cs="宋体"/>
                <w:color w:val="000000" w:themeColor="text1"/>
                <w:sz w:val="20"/>
                <w:szCs w:val="20"/>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noWrap/>
            <w:vAlign w:val="center"/>
          </w:tcPr>
          <w:p w14:paraId="6C8A0027">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项目工作方案（50分）</w:t>
            </w:r>
          </w:p>
        </w:tc>
        <w:tc>
          <w:tcPr>
            <w:tcW w:w="7576" w:type="dxa"/>
            <w:tcBorders>
              <w:top w:val="single" w:color="auto" w:sz="4" w:space="0"/>
              <w:left w:val="single" w:color="auto" w:sz="4" w:space="0"/>
              <w:bottom w:val="single" w:color="auto" w:sz="4" w:space="0"/>
              <w:right w:val="single" w:color="auto" w:sz="4" w:space="0"/>
            </w:tcBorders>
            <w:noWrap/>
            <w:vAlign w:val="center"/>
          </w:tcPr>
          <w:p w14:paraId="677044E4">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供应商需提供完整工作方案，包括但不限于进度计划方案、研究方法、成果质量保障、人员配备等，针对供应商对采购人要求开展调研、评估、研究以各项工作，提出合理安排和建议进行评分。应包括但不限于工作思路及方法、工作进度计划、质量保障措施等。</w:t>
            </w:r>
          </w:p>
          <w:p w14:paraId="758E7867">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（1）工作方案内容完整详细，可行性、实用性、针对性强，得40-50分；</w:t>
            </w:r>
          </w:p>
          <w:p w14:paraId="5280E1E9">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（2）工作方案内容完整详细，适合本项目采购需求，具有可行性、实用性和针对性，得20-39分；</w:t>
            </w:r>
          </w:p>
          <w:p w14:paraId="2DE52BAF">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（3）工作方案内容有待提升，基本适合本项目采购需求，可行性、实用性、针对性有待改善，得1-19分；</w:t>
            </w:r>
          </w:p>
          <w:p w14:paraId="2A56A697">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（4）未提供不得分。</w:t>
            </w:r>
          </w:p>
        </w:tc>
      </w:tr>
      <w:tr w14:paraId="29D1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6" w:type="dxa"/>
            <w:tcBorders>
              <w:left w:val="single" w:color="auto" w:sz="4" w:space="0"/>
              <w:right w:val="single" w:color="auto" w:sz="4" w:space="0"/>
            </w:tcBorders>
            <w:noWrap/>
            <w:vAlign w:val="center"/>
          </w:tcPr>
          <w:p w14:paraId="0823986E">
            <w:pPr>
              <w:jc w:val="center"/>
              <w:rPr>
                <w:rFonts w:hint="eastAsia" w:ascii="宋体" w:hAnsi="宋体" w:cs="宋体"/>
                <w:color w:val="000000" w:themeColor="text1"/>
                <w:sz w:val="20"/>
                <w:szCs w:val="20"/>
                <w14:textFill>
                  <w14:solidFill>
                    <w14:schemeClr w14:val="tx1"/>
                  </w14:solidFill>
                </w14:textFill>
              </w:rPr>
            </w:pPr>
          </w:p>
        </w:tc>
        <w:tc>
          <w:tcPr>
            <w:tcW w:w="1923" w:type="dxa"/>
            <w:tcBorders>
              <w:top w:val="single" w:color="auto" w:sz="4" w:space="0"/>
              <w:left w:val="single" w:color="auto" w:sz="4" w:space="0"/>
              <w:bottom w:val="single" w:color="auto" w:sz="4" w:space="0"/>
              <w:right w:val="single" w:color="auto" w:sz="4" w:space="0"/>
            </w:tcBorders>
            <w:noWrap/>
            <w:vAlign w:val="center"/>
          </w:tcPr>
          <w:p w14:paraId="24E89D40">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业绩（15分）</w:t>
            </w:r>
          </w:p>
        </w:tc>
        <w:tc>
          <w:tcPr>
            <w:tcW w:w="7576" w:type="dxa"/>
            <w:tcBorders>
              <w:top w:val="single" w:color="auto" w:sz="4" w:space="0"/>
              <w:left w:val="single" w:color="auto" w:sz="4" w:space="0"/>
              <w:bottom w:val="single" w:color="auto" w:sz="4" w:space="0"/>
              <w:right w:val="single" w:color="auto" w:sz="4" w:space="0"/>
            </w:tcBorders>
            <w:noWrap/>
            <w:vAlign w:val="center"/>
          </w:tcPr>
          <w:p w14:paraId="2601CDDB">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自2020年1月1日以来（以合同签订时间为准），供应商具有承接过类似项目业绩，每提供一个得5分，最高得15分。</w:t>
            </w:r>
          </w:p>
          <w:p w14:paraId="019A3CE7">
            <w:pPr>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证明材料：响应文件中提供业绩合同关键页扫描件，需体现合同内容、项目时间、项目类型等主要评审要素，提交业绩合同需有双方签章页。</w:t>
            </w:r>
          </w:p>
        </w:tc>
      </w:tr>
    </w:tbl>
    <w:p w14:paraId="5B9D69D8">
      <w:pPr>
        <w:pStyle w:val="9"/>
        <w:ind w:left="0" w:leftChars="0" w:firstLine="0" w:firstLineChars="0"/>
        <w:rPr>
          <w:rFonts w:hint="eastAsia" w:asciiTheme="minorEastAsia" w:hAnsiTheme="minorEastAsia" w:eastAsiaTheme="minorEastAsia" w:cstheme="minorEastAsia"/>
          <w:b/>
          <w:color w:val="000000" w:themeColor="text1"/>
          <w14:textFill>
            <w14:solidFill>
              <w14:schemeClr w14:val="tx1"/>
            </w14:solidFill>
          </w14:textFill>
        </w:rPr>
      </w:pPr>
    </w:p>
    <w:p w14:paraId="7D4B4756">
      <w:pPr>
        <w:sectPr>
          <w:pgSz w:w="11906" w:h="16838"/>
          <w:pgMar w:top="1440" w:right="1800" w:bottom="1440" w:left="1800" w:header="794" w:footer="992" w:gutter="0"/>
          <w:cols w:space="425" w:num="1"/>
          <w:docGrid w:type="lines" w:linePitch="312" w:charSpace="0"/>
        </w:sectPr>
      </w:pPr>
    </w:p>
    <w:p w14:paraId="7EA08E89">
      <w:pPr>
        <w:pStyle w:val="9"/>
      </w:pPr>
    </w:p>
    <w:p w14:paraId="2BEA8265">
      <w:pPr>
        <w:adjustRightInd w:val="0"/>
        <w:snapToGrid w:val="0"/>
        <w:spacing w:line="360" w:lineRule="auto"/>
        <w:outlineLvl w:val="1"/>
        <w:rPr>
          <w:rFonts w:hint="eastAsia" w:asciiTheme="minorEastAsia" w:hAnsiTheme="minorEastAsia" w:eastAsiaTheme="minorEastAsia" w:cstheme="minorEastAsia"/>
          <w:b/>
          <w:szCs w:val="21"/>
        </w:rPr>
      </w:pPr>
    </w:p>
    <w:p w14:paraId="06C709B5">
      <w:pPr>
        <w:adjustRightInd w:val="0"/>
        <w:snapToGrid w:val="0"/>
        <w:spacing w:line="360" w:lineRule="auto"/>
        <w:jc w:val="center"/>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第五章  采购合同</w:t>
      </w:r>
      <w:bookmarkEnd w:id="97"/>
      <w:r>
        <w:rPr>
          <w:rFonts w:hint="eastAsia" w:asciiTheme="minorEastAsia" w:hAnsiTheme="minorEastAsia" w:eastAsiaTheme="minorEastAsia" w:cstheme="minorEastAsia"/>
          <w:b/>
          <w:szCs w:val="21"/>
        </w:rPr>
        <w:t>格式</w:t>
      </w:r>
    </w:p>
    <w:p w14:paraId="0AE7AB11">
      <w:pPr>
        <w:adjustRightInd w:val="0"/>
        <w:snapToGrid w:val="0"/>
        <w:spacing w:line="360" w:lineRule="auto"/>
        <w:outlineLvl w:val="1"/>
        <w:rPr>
          <w:rFonts w:hint="eastAsia" w:asciiTheme="minorEastAsia" w:hAnsiTheme="minorEastAsia" w:eastAsiaTheme="minorEastAsia" w:cstheme="minorEastAsia"/>
          <w:bCs/>
          <w:szCs w:val="21"/>
        </w:rPr>
      </w:pPr>
    </w:p>
    <w:p w14:paraId="74191E51">
      <w:pPr>
        <w:snapToGrid w:val="0"/>
        <w:spacing w:after="480" w:line="240" w:lineRule="atLeast"/>
        <w:jc w:val="center"/>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合同编号：</w:t>
      </w:r>
    </w:p>
    <w:p w14:paraId="02AD055C">
      <w:pPr>
        <w:snapToGrid w:val="0"/>
        <w:spacing w:after="480" w:line="240" w:lineRule="atLeast"/>
        <w:jc w:val="center"/>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项目编号：</w:t>
      </w:r>
    </w:p>
    <w:p w14:paraId="42B35EAF">
      <w:pPr>
        <w:spacing w:before="300" w:line="360" w:lineRule="auto"/>
        <w:jc w:val="center"/>
        <w:rPr>
          <w:rFonts w:hint="eastAsia" w:asciiTheme="minorEastAsia" w:hAnsiTheme="minorEastAsia" w:eastAsiaTheme="minorEastAsia" w:cstheme="minorEastAsia"/>
          <w:b/>
          <w:bCs/>
          <w:spacing w:val="180"/>
          <w:szCs w:val="21"/>
        </w:rPr>
      </w:pPr>
    </w:p>
    <w:p w14:paraId="76442542">
      <w:pPr>
        <w:spacing w:before="300" w:line="360" w:lineRule="auto"/>
        <w:jc w:val="center"/>
        <w:rPr>
          <w:rFonts w:hint="eastAsia" w:asciiTheme="minorEastAsia" w:hAnsiTheme="minorEastAsia" w:eastAsiaTheme="minorEastAsia" w:cstheme="minorEastAsia"/>
          <w:b/>
          <w:bCs/>
          <w:spacing w:val="180"/>
          <w:szCs w:val="21"/>
        </w:rPr>
      </w:pPr>
      <w:r>
        <w:rPr>
          <w:rFonts w:hint="eastAsia" w:asciiTheme="minorEastAsia" w:hAnsiTheme="minorEastAsia" w:eastAsiaTheme="minorEastAsia" w:cstheme="minorEastAsia"/>
          <w:b/>
          <w:bCs/>
          <w:spacing w:val="180"/>
          <w:szCs w:val="21"/>
        </w:rPr>
        <w:t>技术咨询合同</w:t>
      </w:r>
    </w:p>
    <w:p w14:paraId="2F5642F9">
      <w:pPr>
        <w:spacing w:before="300" w:line="360" w:lineRule="auto"/>
        <w:jc w:val="center"/>
        <w:rPr>
          <w:rFonts w:hint="eastAsia" w:asciiTheme="minorEastAsia" w:hAnsiTheme="minorEastAsia" w:eastAsiaTheme="minorEastAsia" w:cstheme="minorEastAsia"/>
          <w:b/>
          <w:bCs/>
          <w:spacing w:val="180"/>
          <w:szCs w:val="21"/>
        </w:rPr>
      </w:pPr>
    </w:p>
    <w:p w14:paraId="1B5416D0">
      <w:pPr>
        <w:spacing w:line="360" w:lineRule="auto"/>
        <w:rPr>
          <w:rFonts w:hint="eastAsia" w:asciiTheme="minorEastAsia" w:hAnsiTheme="minorEastAsia" w:eastAsiaTheme="minorEastAsia" w:cstheme="minorEastAsia"/>
          <w:szCs w:val="21"/>
        </w:rPr>
      </w:pPr>
    </w:p>
    <w:p w14:paraId="03FBE090">
      <w:pPr>
        <w:ind w:firstLine="422"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项目名称：</w:t>
      </w:r>
      <w:r>
        <w:rPr>
          <w:rFonts w:hint="eastAsia" w:asciiTheme="minorEastAsia" w:hAnsiTheme="minorEastAsia" w:eastAsiaTheme="minorEastAsia" w:cstheme="minorEastAsia"/>
          <w:b/>
          <w:bCs/>
          <w:szCs w:val="21"/>
          <w:u w:val="single"/>
        </w:rPr>
        <w:t>全球消费精品博览园短展项目前期研究工作</w:t>
      </w:r>
    </w:p>
    <w:p w14:paraId="70E2B439">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4428EC96">
      <w:pPr>
        <w:spacing w:line="360" w:lineRule="auto"/>
        <w:ind w:firstLine="422" w:firstLineChars="2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
          <w:bCs/>
          <w:szCs w:val="21"/>
        </w:rPr>
        <w:t>委 托 方（甲方）：</w:t>
      </w:r>
      <w:r>
        <w:rPr>
          <w:rFonts w:hint="eastAsia" w:asciiTheme="minorEastAsia" w:hAnsiTheme="minorEastAsia" w:eastAsiaTheme="minorEastAsia" w:cstheme="minorEastAsia"/>
          <w:szCs w:val="21"/>
          <w:u w:val="single"/>
        </w:rPr>
        <w:t xml:space="preserve">                           </w:t>
      </w:r>
    </w:p>
    <w:p w14:paraId="71091653">
      <w:pPr>
        <w:spacing w:line="360" w:lineRule="auto"/>
        <w:ind w:firstLine="420" w:firstLineChars="2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p>
    <w:p w14:paraId="04AA5435">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14:paraId="156D3805">
      <w:pPr>
        <w:spacing w:line="360" w:lineRule="auto"/>
        <w:ind w:firstLine="422" w:firstLineChars="20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b/>
          <w:bCs/>
          <w:szCs w:val="21"/>
        </w:rPr>
        <w:t>受 托 方（乙方）：</w:t>
      </w:r>
      <w:r>
        <w:rPr>
          <w:rFonts w:hint="eastAsia" w:asciiTheme="minorEastAsia" w:hAnsiTheme="minorEastAsia" w:eastAsiaTheme="minorEastAsia" w:cstheme="minorEastAsia"/>
          <w:szCs w:val="21"/>
          <w:u w:val="single"/>
        </w:rPr>
        <w:t xml:space="preserve">                            </w:t>
      </w:r>
    </w:p>
    <w:p w14:paraId="1A0AC53A">
      <w:pPr>
        <w:spacing w:line="360" w:lineRule="auto"/>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 xml:space="preserve"> </w:t>
      </w:r>
    </w:p>
    <w:p w14:paraId="2A3CF865">
      <w:pPr>
        <w:spacing w:line="360" w:lineRule="auto"/>
        <w:rPr>
          <w:rFonts w:hint="eastAsia" w:asciiTheme="minorEastAsia" w:hAnsiTheme="minorEastAsia" w:eastAsiaTheme="minorEastAsia" w:cstheme="minorEastAsia"/>
          <w:szCs w:val="21"/>
        </w:rPr>
      </w:pPr>
    </w:p>
    <w:p w14:paraId="0012089F">
      <w:pPr>
        <w:spacing w:line="360" w:lineRule="auto"/>
        <w:rPr>
          <w:rFonts w:hint="eastAsia" w:asciiTheme="minorEastAsia" w:hAnsiTheme="minorEastAsia" w:eastAsiaTheme="minorEastAsia" w:cstheme="minorEastAsia"/>
          <w:szCs w:val="21"/>
        </w:rPr>
      </w:pPr>
    </w:p>
    <w:p w14:paraId="4EE16BA4">
      <w:pPr>
        <w:spacing w:line="360" w:lineRule="auto"/>
        <w:rPr>
          <w:rFonts w:hint="eastAsia" w:asciiTheme="minorEastAsia" w:hAnsiTheme="minorEastAsia" w:eastAsiaTheme="minorEastAsia" w:cstheme="minorEastAsia"/>
          <w:szCs w:val="21"/>
        </w:rPr>
      </w:pPr>
    </w:p>
    <w:p w14:paraId="38EB4F0B">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签订地点：</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Cs/>
          <w:szCs w:val="21"/>
          <w:u w:val="single"/>
        </w:rPr>
        <w:t xml:space="preserve">                </w:t>
      </w:r>
    </w:p>
    <w:p w14:paraId="36441FA8">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      签订日期：</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 xml:space="preserve">         </w:t>
      </w:r>
    </w:p>
    <w:p w14:paraId="6E7F2E85">
      <w:pPr>
        <w:spacing w:line="360" w:lineRule="auto"/>
        <w:jc w:val="center"/>
        <w:rPr>
          <w:rFonts w:hint="eastAsia" w:asciiTheme="minorEastAsia" w:hAnsiTheme="minorEastAsia" w:eastAsiaTheme="minorEastAsia" w:cstheme="minorEastAsia"/>
          <w:b/>
          <w:szCs w:val="21"/>
        </w:rPr>
      </w:pPr>
    </w:p>
    <w:p w14:paraId="5C846ECF">
      <w:pPr>
        <w:pStyle w:val="15"/>
        <w:rPr>
          <w:rFonts w:hint="eastAsia" w:asciiTheme="minorEastAsia" w:hAnsiTheme="minorEastAsia" w:eastAsiaTheme="minorEastAsia" w:cstheme="minorEastAsia"/>
          <w:b/>
          <w:sz w:val="21"/>
          <w:szCs w:val="21"/>
        </w:rPr>
      </w:pPr>
    </w:p>
    <w:p w14:paraId="4EDA99ED">
      <w:pPr>
        <w:pStyle w:val="15"/>
        <w:rPr>
          <w:rFonts w:hint="eastAsia" w:asciiTheme="minorEastAsia" w:hAnsiTheme="minorEastAsia" w:eastAsiaTheme="minorEastAsia" w:cstheme="minorEastAsia"/>
          <w:b/>
          <w:sz w:val="21"/>
          <w:szCs w:val="21"/>
        </w:rPr>
      </w:pPr>
    </w:p>
    <w:p w14:paraId="293347CB">
      <w:pPr>
        <w:pStyle w:val="15"/>
        <w:rPr>
          <w:rFonts w:hint="eastAsia" w:asciiTheme="minorEastAsia" w:hAnsiTheme="minorEastAsia" w:eastAsiaTheme="minorEastAsia" w:cstheme="minorEastAsia"/>
          <w:b/>
          <w:sz w:val="21"/>
          <w:szCs w:val="21"/>
        </w:rPr>
      </w:pPr>
    </w:p>
    <w:p w14:paraId="5F623AA6">
      <w:pPr>
        <w:pStyle w:val="15"/>
        <w:rPr>
          <w:rFonts w:hint="eastAsia" w:asciiTheme="minorEastAsia" w:hAnsiTheme="minorEastAsia" w:eastAsiaTheme="minorEastAsia" w:cstheme="minorEastAsia"/>
          <w:b/>
          <w:sz w:val="21"/>
          <w:szCs w:val="21"/>
        </w:rPr>
      </w:pPr>
    </w:p>
    <w:p w14:paraId="0B28CD68">
      <w:pPr>
        <w:pStyle w:val="15"/>
        <w:rPr>
          <w:rFonts w:hint="eastAsia" w:asciiTheme="minorEastAsia" w:hAnsiTheme="minorEastAsia" w:eastAsiaTheme="minorEastAsia" w:cstheme="minorEastAsia"/>
          <w:b/>
          <w:sz w:val="21"/>
          <w:szCs w:val="21"/>
        </w:rPr>
      </w:pPr>
    </w:p>
    <w:p w14:paraId="5E969991">
      <w:pPr>
        <w:pStyle w:val="15"/>
        <w:rPr>
          <w:rFonts w:hint="eastAsia" w:asciiTheme="minorEastAsia" w:hAnsiTheme="minorEastAsia" w:eastAsiaTheme="minorEastAsia" w:cstheme="minorEastAsia"/>
          <w:b/>
          <w:sz w:val="21"/>
          <w:szCs w:val="21"/>
        </w:rPr>
      </w:pPr>
    </w:p>
    <w:p w14:paraId="03656535">
      <w:pPr>
        <w:pStyle w:val="15"/>
        <w:rPr>
          <w:rFonts w:hint="eastAsia" w:asciiTheme="minorEastAsia" w:hAnsiTheme="minorEastAsia" w:eastAsiaTheme="minorEastAsia" w:cstheme="minorEastAsia"/>
          <w:b/>
          <w:sz w:val="21"/>
          <w:szCs w:val="21"/>
        </w:rPr>
      </w:pPr>
    </w:p>
    <w:p w14:paraId="4F0F0809">
      <w:pPr>
        <w:pStyle w:val="15"/>
        <w:rPr>
          <w:rFonts w:hint="eastAsia" w:asciiTheme="minorEastAsia" w:hAnsiTheme="minorEastAsia" w:eastAsiaTheme="minorEastAsia" w:cstheme="minorEastAsia"/>
          <w:b/>
          <w:sz w:val="21"/>
          <w:szCs w:val="21"/>
        </w:rPr>
      </w:pPr>
    </w:p>
    <w:p w14:paraId="202890E4">
      <w:pPr>
        <w:spacing w:line="360" w:lineRule="auto"/>
        <w:jc w:val="center"/>
        <w:rPr>
          <w:rFonts w:hint="eastAsia" w:asciiTheme="minorEastAsia" w:hAnsiTheme="minorEastAsia" w:eastAsiaTheme="minorEastAsia" w:cstheme="minorEastAsia"/>
          <w:b/>
          <w:szCs w:val="21"/>
        </w:rPr>
      </w:pPr>
    </w:p>
    <w:p w14:paraId="07F6C78A">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委托方（甲方）：</w:t>
      </w:r>
      <w:r>
        <w:rPr>
          <w:rFonts w:hint="eastAsia" w:asciiTheme="minorEastAsia" w:hAnsiTheme="minorEastAsia" w:eastAsiaTheme="minorEastAsia" w:cstheme="minorEastAsia"/>
          <w:szCs w:val="21"/>
          <w:u w:val="single"/>
        </w:rPr>
        <w:t xml:space="preserve">                                       </w:t>
      </w:r>
    </w:p>
    <w:p w14:paraId="2151ABB6">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住 所 地：</w:t>
      </w:r>
      <w:r>
        <w:rPr>
          <w:rFonts w:hint="eastAsia" w:asciiTheme="minorEastAsia" w:hAnsiTheme="minorEastAsia" w:eastAsiaTheme="minorEastAsia" w:cstheme="minorEastAsia"/>
          <w:szCs w:val="21"/>
          <w:u w:val="single"/>
        </w:rPr>
        <w:t xml:space="preserve">                                         </w:t>
      </w:r>
    </w:p>
    <w:p w14:paraId="55352FE5">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法定代表人：</w:t>
      </w:r>
      <w:r>
        <w:rPr>
          <w:rFonts w:hint="eastAsia" w:asciiTheme="minorEastAsia" w:hAnsiTheme="minorEastAsia" w:eastAsiaTheme="minorEastAsia" w:cstheme="minorEastAsia"/>
          <w:szCs w:val="21"/>
          <w:u w:val="single"/>
        </w:rPr>
        <w:t xml:space="preserve">                                       </w:t>
      </w:r>
    </w:p>
    <w:p w14:paraId="747B48AB">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项目联系人：</w:t>
      </w:r>
      <w:r>
        <w:rPr>
          <w:rFonts w:hint="eastAsia" w:asciiTheme="minorEastAsia" w:hAnsiTheme="minorEastAsia" w:eastAsiaTheme="minorEastAsia" w:cstheme="minorEastAsia"/>
          <w:szCs w:val="21"/>
          <w:u w:val="single"/>
        </w:rPr>
        <w:t xml:space="preserve">                                        </w:t>
      </w:r>
    </w:p>
    <w:p w14:paraId="389FB837">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通讯地址：</w:t>
      </w:r>
      <w:r>
        <w:rPr>
          <w:rFonts w:hint="eastAsia" w:asciiTheme="minorEastAsia" w:hAnsiTheme="minorEastAsia" w:eastAsiaTheme="minorEastAsia" w:cstheme="minorEastAsia"/>
          <w:szCs w:val="21"/>
          <w:u w:val="single"/>
        </w:rPr>
        <w:t xml:space="preserve">                                           </w:t>
      </w:r>
    </w:p>
    <w:p w14:paraId="626AE5A1">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14:paraId="39F82E8D">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电子信箱：</w:t>
      </w:r>
      <w:r>
        <w:rPr>
          <w:rFonts w:hint="eastAsia" w:asciiTheme="minorEastAsia" w:hAnsiTheme="minorEastAsia" w:eastAsiaTheme="minorEastAsia" w:cstheme="minorEastAsia"/>
          <w:szCs w:val="21"/>
          <w:u w:val="single"/>
        </w:rPr>
        <w:t xml:space="preserve">                                          </w:t>
      </w:r>
    </w:p>
    <w:p w14:paraId="011EA1A1">
      <w:pPr>
        <w:spacing w:line="360" w:lineRule="auto"/>
        <w:rPr>
          <w:rFonts w:hint="eastAsia" w:asciiTheme="minorEastAsia" w:hAnsiTheme="minorEastAsia" w:eastAsiaTheme="minorEastAsia" w:cstheme="minorEastAsia"/>
          <w:szCs w:val="21"/>
          <w:u w:val="single"/>
        </w:rPr>
      </w:pPr>
    </w:p>
    <w:p w14:paraId="0F2B5F21">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受托方（乙方）：</w:t>
      </w:r>
      <w:r>
        <w:rPr>
          <w:rFonts w:hint="eastAsia" w:asciiTheme="minorEastAsia" w:hAnsiTheme="minorEastAsia" w:eastAsiaTheme="minorEastAsia" w:cstheme="minorEastAsia"/>
          <w:szCs w:val="21"/>
          <w:u w:val="single"/>
        </w:rPr>
        <w:t xml:space="preserve">                                  </w:t>
      </w:r>
    </w:p>
    <w:p w14:paraId="0DED2CF7">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住 所 地：</w:t>
      </w:r>
      <w:r>
        <w:rPr>
          <w:rFonts w:hint="eastAsia" w:asciiTheme="minorEastAsia" w:hAnsiTheme="minorEastAsia" w:eastAsiaTheme="minorEastAsia" w:cstheme="minorEastAsia"/>
          <w:szCs w:val="21"/>
          <w:u w:val="single"/>
        </w:rPr>
        <w:t xml:space="preserve">                                      </w:t>
      </w:r>
    </w:p>
    <w:p w14:paraId="5EE2B2A5">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法定代表人：</w:t>
      </w:r>
      <w:r>
        <w:rPr>
          <w:rFonts w:hint="eastAsia" w:asciiTheme="minorEastAsia" w:hAnsiTheme="minorEastAsia" w:eastAsiaTheme="minorEastAsia" w:cstheme="minorEastAsia"/>
          <w:szCs w:val="21"/>
          <w:u w:val="single"/>
        </w:rPr>
        <w:t xml:space="preserve">                                   </w:t>
      </w:r>
    </w:p>
    <w:p w14:paraId="39EC3AE5">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项目联系人：</w:t>
      </w:r>
      <w:r>
        <w:rPr>
          <w:rFonts w:hint="eastAsia" w:asciiTheme="minorEastAsia" w:hAnsiTheme="minorEastAsia" w:eastAsiaTheme="minorEastAsia" w:cstheme="minorEastAsia"/>
          <w:szCs w:val="21"/>
          <w:u w:val="single"/>
        </w:rPr>
        <w:t xml:space="preserve">                                    </w:t>
      </w:r>
    </w:p>
    <w:p w14:paraId="369C485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通讯地址：</w:t>
      </w:r>
      <w:r>
        <w:rPr>
          <w:rFonts w:hint="eastAsia" w:asciiTheme="minorEastAsia" w:hAnsiTheme="minorEastAsia" w:eastAsiaTheme="minorEastAsia" w:cstheme="minorEastAsia"/>
          <w:szCs w:val="21"/>
          <w:u w:val="single"/>
        </w:rPr>
        <w:t xml:space="preserve">                               </w:t>
      </w:r>
    </w:p>
    <w:p w14:paraId="24903A0D">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  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  真：</w:t>
      </w:r>
      <w:r>
        <w:rPr>
          <w:rFonts w:hint="eastAsia" w:asciiTheme="minorEastAsia" w:hAnsiTheme="minorEastAsia" w:eastAsiaTheme="minorEastAsia" w:cstheme="minorEastAsia"/>
          <w:szCs w:val="21"/>
          <w:u w:val="single"/>
        </w:rPr>
        <w:t xml:space="preserve"> /                </w:t>
      </w:r>
    </w:p>
    <w:p w14:paraId="4C0FD5A5">
      <w:pPr>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电子信箱：</w:t>
      </w:r>
      <w:r>
        <w:rPr>
          <w:rFonts w:hint="eastAsia" w:asciiTheme="minorEastAsia" w:hAnsiTheme="minorEastAsia" w:eastAsiaTheme="minorEastAsia" w:cstheme="minorEastAsia"/>
          <w:szCs w:val="21"/>
          <w:u w:val="single"/>
        </w:rPr>
        <w:t xml:space="preserve">                                      </w:t>
      </w:r>
    </w:p>
    <w:p w14:paraId="1683FB61">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开户银行：</w:t>
      </w:r>
      <w:r>
        <w:rPr>
          <w:rFonts w:hint="eastAsia" w:asciiTheme="minorEastAsia" w:hAnsiTheme="minorEastAsia" w:eastAsiaTheme="minorEastAsia" w:cstheme="minorEastAsia"/>
          <w:szCs w:val="21"/>
          <w:u w:val="single"/>
        </w:rPr>
        <w:t xml:space="preserve">                                      </w:t>
      </w:r>
    </w:p>
    <w:p w14:paraId="604F62F2">
      <w:pPr>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账户名：</w:t>
      </w:r>
      <w:r>
        <w:rPr>
          <w:rFonts w:hint="eastAsia" w:asciiTheme="minorEastAsia" w:hAnsiTheme="minorEastAsia" w:eastAsiaTheme="minorEastAsia" w:cstheme="minorEastAsia"/>
          <w:szCs w:val="21"/>
          <w:u w:val="single"/>
        </w:rPr>
        <w:t xml:space="preserve">                                        </w:t>
      </w:r>
    </w:p>
    <w:p w14:paraId="6093CC48">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账  号：</w:t>
      </w:r>
      <w:r>
        <w:rPr>
          <w:rFonts w:hint="eastAsia" w:asciiTheme="minorEastAsia" w:hAnsiTheme="minorEastAsia" w:eastAsiaTheme="minorEastAsia" w:cstheme="minorEastAsia"/>
          <w:szCs w:val="21"/>
          <w:u w:val="single"/>
        </w:rPr>
        <w:t xml:space="preserve">                                       </w:t>
      </w:r>
    </w:p>
    <w:p w14:paraId="2110D55A">
      <w:pPr>
        <w:rPr>
          <w:rFonts w:hint="eastAsia" w:asciiTheme="minorEastAsia" w:hAnsiTheme="minorEastAsia" w:eastAsiaTheme="minorEastAsia" w:cstheme="minorEastAsia"/>
          <w:szCs w:val="21"/>
        </w:rPr>
      </w:pPr>
    </w:p>
    <w:p w14:paraId="1DD5A674">
      <w:pPr>
        <w:rPr>
          <w:rFonts w:hint="eastAsia" w:asciiTheme="minorEastAsia" w:hAnsiTheme="minorEastAsia" w:eastAsiaTheme="minorEastAsia" w:cstheme="minorEastAsia"/>
          <w:szCs w:val="21"/>
        </w:rPr>
      </w:pPr>
    </w:p>
    <w:p w14:paraId="285F71EE">
      <w:pPr>
        <w:rPr>
          <w:rFonts w:hint="eastAsia" w:asciiTheme="minorEastAsia" w:hAnsiTheme="minorEastAsia" w:eastAsiaTheme="minorEastAsia" w:cstheme="minorEastAsia"/>
          <w:szCs w:val="21"/>
        </w:rPr>
      </w:pPr>
    </w:p>
    <w:p w14:paraId="70A27D5E">
      <w:pPr>
        <w:rPr>
          <w:rFonts w:hint="eastAsia" w:asciiTheme="minorEastAsia" w:hAnsiTheme="minorEastAsia" w:eastAsiaTheme="minorEastAsia" w:cstheme="minorEastAsia"/>
          <w:szCs w:val="21"/>
        </w:rPr>
      </w:pPr>
    </w:p>
    <w:p w14:paraId="24B06B0C">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Cs w:val="21"/>
        </w:rPr>
        <w:t xml:space="preserve">    依据《中华人民共和国民法典》的规定，甲乙双方就 全球消费精品博览园短展项目前期研究工作（以下简称“项目”）的内容，经协商一致，签订本合同。</w:t>
      </w:r>
    </w:p>
    <w:p w14:paraId="1F07746B">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采购的服务内容与要求</w:t>
      </w:r>
    </w:p>
    <w:p w14:paraId="7A1E350F">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（一）采购服务内容：贯彻落实海南自由贸易港建设战略部署，推动江东新区打造国际旅游消费中心的标杆项目，围绕项目进行研究分析提供技术咨询服务，编制提交《全球消费精品博览园短展项目研究报告》。</w:t>
      </w:r>
    </w:p>
    <w:p w14:paraId="6D3B5DA4">
      <w:pPr>
        <w:spacing w:line="5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1.总体要求</w:t>
      </w:r>
    </w:p>
    <w:p w14:paraId="031A267E">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围绕项目整体概述、项目必要性、市场情况、项目建设方案、项目要点进行分析研究，编制提交《全球消费精品博览园短展项目研究报告》，为决策提供依据。</w:t>
      </w:r>
    </w:p>
    <w:p w14:paraId="6120E5A2">
      <w:pPr>
        <w:spacing w:line="5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2.成果形式</w:t>
      </w:r>
    </w:p>
    <w:p w14:paraId="397916E9">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《全球消费精品博览园短展项目研究报告》。</w:t>
      </w:r>
    </w:p>
    <w:p w14:paraId="123EE7C7">
      <w:pPr>
        <w:spacing w:line="5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3.工作组织</w:t>
      </w:r>
    </w:p>
    <w:p w14:paraId="6D130A2A">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采取“实地调研+咨询公司研究+专家论证”的专项工作组织模式，推进项目研究论证工作。</w:t>
      </w:r>
    </w:p>
    <w:p w14:paraId="64030EDF">
      <w:pPr>
        <w:spacing w:line="5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4.工作形式</w:t>
      </w:r>
    </w:p>
    <w:p w14:paraId="653C97CE">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（1）基本情况摸排：通过工作研讨、实地踏勘、座谈调研、资料收集分析等方式，深入、细致、全面掌握基础情况；</w:t>
      </w:r>
    </w:p>
    <w:p w14:paraId="1EA58A4A">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（2）项目背景研究：结合海南会展行业发展现状，深入分析发展现状和存在问题，与海南省、海口市相关部门和外部专家及时开展专题研讨，结合海南自由贸易港建设战略部署，研究分析本项目；</w:t>
      </w:r>
    </w:p>
    <w:p w14:paraId="1BC50960">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进度与质量管理：受托方应建立严格的进度管理和质量控制体系，以确保方案科学性、可行性和前瞻性，为项目的顺利实施提供有力支撑，并定期汇报工作进度，及时识别并应对可能影响项目进度的风险因素；</w:t>
      </w:r>
    </w:p>
    <w:p w14:paraId="517B3DCF">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（4）项目验收：受托方应协助完成谋划项目的专家验收工作，确保项目成果符合江东新区管理局的项目验收标准。</w:t>
      </w:r>
    </w:p>
    <w:p w14:paraId="55B52A67">
      <w:pPr>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沟通与协作：在项目执行过程中，受托方应与委托方、项目团队及其他利益相关方保持密切沟通，确保信息的及时传递和问题的有效解决。同时，受托方应发挥桥梁作用，促进各方之间的有效协作，共同推动项目的顺利实施。</w:t>
      </w:r>
    </w:p>
    <w:p w14:paraId="786BA7D4">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履行期限、地点和方式</w:t>
      </w:r>
    </w:p>
    <w:p w14:paraId="5512602F">
      <w:pPr>
        <w:spacing w:line="360" w:lineRule="auto"/>
        <w:ind w:firstLine="62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本合同自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履行。</w:t>
      </w:r>
    </w:p>
    <w:p w14:paraId="3D00C1C4">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双方权利义务</w:t>
      </w:r>
    </w:p>
    <w:p w14:paraId="61165C1C">
      <w:pPr>
        <w:tabs>
          <w:tab w:val="left" w:pos="110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1.在本合同生效后，甲方应向乙方提供的工作条件是：指定专门负责人协调督促相关部门及负责人配合提供资料、说明问题。</w:t>
      </w:r>
    </w:p>
    <w:p w14:paraId="31D88B32">
      <w:pPr>
        <w:tabs>
          <w:tab w:val="left" w:pos="110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2.甲方应向乙方提供的资料和数据：根据乙方对咨询服务工作的要求和建议，提供有关技术资料和其它相关资料，资料的内容和深度应尽量满足编制项目的要求。</w:t>
      </w:r>
    </w:p>
    <w:p w14:paraId="5B60BBA7">
      <w:pPr>
        <w:tabs>
          <w:tab w:val="left" w:pos="110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3.乙方应尽职尽责、高质高效地完成相应工作并按本合同第一条要求提交咨询成果。</w:t>
      </w:r>
    </w:p>
    <w:p w14:paraId="290BE23E">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技术情报和资料的保密</w:t>
      </w:r>
    </w:p>
    <w:p w14:paraId="47F31F91">
      <w:pPr>
        <w:spacing w:line="6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乙方应对甲方在本合同履行过程中向乙方提供或披露的相关资料、数据及其它信息履行保密义务，未经甲方书面同意，不得向任何第三方泄露。</w:t>
      </w:r>
    </w:p>
    <w:p w14:paraId="550EDC9C">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验收、评价方法</w:t>
      </w:r>
    </w:p>
    <w:p w14:paraId="36322BD5">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咨询报告达到了本合同第一条所列要求，提供符合双方约定内容的服务。</w:t>
      </w:r>
    </w:p>
    <w:p w14:paraId="3DC85814">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报酬及其支付方式</w:t>
      </w:r>
    </w:p>
    <w:p w14:paraId="49E7DEF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1．本项目咨询报酬总额为(大写)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万元（含税，增值税税率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），该费用包含乙方为履行本合同义务而发生的全部费用，包括但不限于资料费、组织专家评审费、差旅费、税费等，甲方不再另行支付其他费用。</w:t>
      </w:r>
    </w:p>
    <w:p w14:paraId="5F61928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2．咨询报酬由甲方</w:t>
      </w:r>
      <w:r>
        <w:rPr>
          <w:rFonts w:hint="eastAsia" w:asciiTheme="minorEastAsia" w:hAnsiTheme="minorEastAsia" w:eastAsiaTheme="minorEastAsia" w:cstheme="minorEastAsia"/>
          <w:szCs w:val="21"/>
          <w:u w:val="single"/>
        </w:rPr>
        <w:t xml:space="preserve"> 分二期  </w:t>
      </w:r>
      <w:r>
        <w:rPr>
          <w:rFonts w:hint="eastAsia" w:asciiTheme="minorEastAsia" w:hAnsiTheme="minorEastAsia" w:eastAsiaTheme="minorEastAsia" w:cstheme="minorEastAsia"/>
          <w:szCs w:val="21"/>
        </w:rPr>
        <w:t>支付给乙方，具体支付方式和时间如下：</w:t>
      </w:r>
    </w:p>
    <w:p w14:paraId="3D402FD9">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（1）在本合同签署生效并收到乙方开具的合法有效发票后的5个工作日内，甲方向乙方支付咨询报酬总额的50%，即：大写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元整（小写¥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62785EA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（2）乙方提交咨询成果经甲方验收通过后的5个工作日内，甲方向乙方支付咨询报酬总额的50%，即：大写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元整（小写¥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3ED38601">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违约责任</w:t>
      </w:r>
    </w:p>
    <w:p w14:paraId="53C8B8B1">
      <w:pPr>
        <w:adjustRightInd w:val="0"/>
        <w:snapToGrid w:val="0"/>
        <w:spacing w:line="360" w:lineRule="auto"/>
        <w:ind w:firstLine="5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违反本合同约定，违约方应当按照《中华人民共和国民法典》有关条款的规定承担违约责任。</w:t>
      </w:r>
    </w:p>
    <w:p w14:paraId="56624075">
      <w:pPr>
        <w:adjustRightInd w:val="0"/>
        <w:snapToGrid w:val="0"/>
        <w:spacing w:line="360" w:lineRule="auto"/>
        <w:ind w:firstLine="58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1．违约责任</w:t>
      </w:r>
    </w:p>
    <w:p w14:paraId="124FA066">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（1）甲方在规定的支付期限内未支付报酬，除仍应支付相应报酬外，还应向乙方支付违约金。违约金每日按迟延支付金额的</w:t>
      </w:r>
      <w:r>
        <w:rPr>
          <w:rFonts w:hint="eastAsia" w:asciiTheme="minorEastAsia" w:hAnsiTheme="minorEastAsia" w:eastAsiaTheme="minorEastAsia" w:cstheme="minorEastAsia"/>
          <w:szCs w:val="21"/>
          <w:u w:val="single"/>
        </w:rPr>
        <w:t xml:space="preserve"> 0.03% </w:t>
      </w:r>
      <w:r>
        <w:rPr>
          <w:rFonts w:hint="eastAsia" w:asciiTheme="minorEastAsia" w:hAnsiTheme="minorEastAsia" w:eastAsiaTheme="minorEastAsia" w:cstheme="minorEastAsia"/>
          <w:szCs w:val="21"/>
        </w:rPr>
        <w:t>计取，从规定支付期限届满次日起计算，延迟付款违约金不超过合同金额5%。</w:t>
      </w:r>
    </w:p>
    <w:p w14:paraId="13C91F02">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（2）甲方未按照合同约定提供必要的资料和数据，影响工作进度和质量，工期相应顺延。</w:t>
      </w:r>
    </w:p>
    <w:p w14:paraId="25B73AD0">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（3）乙方若未按约定时间提交咨询报告，每逾期一日，按合同总金额的 0.05%向甲方支付违约金，逾期30日以上的，甲方有权解除合同，要求乙方退还已收取费用并按合同总额的20%支付违约金。造成甲方损失的，应予以赔偿。</w:t>
      </w:r>
    </w:p>
    <w:p w14:paraId="74C9DD3E">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（4）乙方出现下列情形之一的，甲方有权单方解除本合同，要求乙方退还已收取费用并按合同总额的20%支付违约金。造成甲方损失的，应予以赔偿：</w:t>
      </w:r>
    </w:p>
    <w:p w14:paraId="7F398171">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A.乙方对于甲方或市政府提出的意见拒绝在规定时限内修改或贰次修改未满足要求的；</w:t>
      </w:r>
    </w:p>
    <w:p w14:paraId="5C27B7DF">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B.乙方未经甲方同意部分或全部转让合同权利义务或委托其他第三方代为或参与履行本合同的；</w:t>
      </w:r>
    </w:p>
    <w:p w14:paraId="7AC5CE89">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C.与甲方或项目关联方等单位发生不正当利益输送的；</w:t>
      </w:r>
    </w:p>
    <w:p w14:paraId="11914686">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D.乙方违反保密义务的；</w:t>
      </w:r>
    </w:p>
    <w:p w14:paraId="0D4B33C3">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E.乙方提交的工作成果违反法律、法规及现行国家、地区及行业有关规范和标准或侵犯任何第三方权利的；</w:t>
      </w:r>
    </w:p>
    <w:p w14:paraId="5F9317CD">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F.</w:t>
      </w:r>
      <w:r>
        <w:rPr>
          <w:rFonts w:hint="eastAsia" w:asciiTheme="minorEastAsia" w:hAnsiTheme="minorEastAsia" w:eastAsiaTheme="minorEastAsia" w:cstheme="minorEastAsia"/>
          <w:bCs/>
          <w:color w:val="000000" w:themeColor="text1"/>
          <w:szCs w:val="21"/>
          <w14:textFill>
            <w14:solidFill>
              <w14:schemeClr w14:val="tx1"/>
            </w14:solidFill>
          </w14:textFill>
        </w:rPr>
        <w:t>乙方明确表示或者以其行为表明不履行合同主要义务的.</w:t>
      </w:r>
    </w:p>
    <w:p w14:paraId="21BB14E9">
      <w:pPr>
        <w:adjustRightInd w:val="0"/>
        <w:snapToGrid w:val="0"/>
        <w:spacing w:line="360" w:lineRule="auto"/>
        <w:ind w:firstLine="420" w:firstLineChars="200"/>
        <w:rPr>
          <w:rFonts w:hint="eastAsia"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szCs w:val="21"/>
        </w:rPr>
        <w:t>3. 由于甲方原因造成合同不能如期履行的，不视为乙方违约。双方可根据具体情况顺延合同的履行期。</w:t>
      </w:r>
    </w:p>
    <w:p w14:paraId="211DEA54">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知识产权归属</w:t>
      </w:r>
    </w:p>
    <w:p w14:paraId="13B352C7">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技术咨询工作成果及在本合同有效期内，甲方利用乙方提交的技术咨询工作成果所完成的新的技术成果的所有权、知识产权及其他一切权利，归</w:t>
      </w:r>
      <w:r>
        <w:rPr>
          <w:rFonts w:hint="eastAsia" w:asciiTheme="minorEastAsia" w:hAnsiTheme="minorEastAsia" w:eastAsiaTheme="minorEastAsia" w:cstheme="minorEastAsia"/>
          <w:szCs w:val="21"/>
          <w:u w:val="single"/>
        </w:rPr>
        <w:t xml:space="preserve">  双方  </w:t>
      </w:r>
      <w:r>
        <w:rPr>
          <w:rFonts w:hint="eastAsia" w:asciiTheme="minorEastAsia" w:hAnsiTheme="minorEastAsia" w:eastAsiaTheme="minorEastAsia" w:cstheme="minorEastAsia"/>
          <w:szCs w:val="21"/>
        </w:rPr>
        <w:t>所有。未经对方许可，任何一方不得转让或允许第三人商业使用。</w:t>
      </w:r>
    </w:p>
    <w:p w14:paraId="617B453D">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项目联系人</w:t>
      </w:r>
    </w:p>
    <w:p w14:paraId="511C2C6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双方确定，在本合同有效期内，</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为甲方项目联系人；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为乙方项目联系人。</w:t>
      </w:r>
    </w:p>
    <w:p w14:paraId="40E081E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项目联系人承担以下责任：</w:t>
      </w:r>
      <w:r>
        <w:rPr>
          <w:rFonts w:hint="eastAsia" w:asciiTheme="minorEastAsia" w:hAnsiTheme="minorEastAsia" w:eastAsiaTheme="minorEastAsia" w:cstheme="minorEastAsia"/>
          <w:szCs w:val="21"/>
          <w:u w:val="single"/>
        </w:rPr>
        <w:t xml:space="preserve"> 就项目进展情况进行沟通，监督各自责任的落实与执行，若合同涉及内容或成果需要变更，协调变更事宜，并负责保管书面调整申请意见等相关材料。</w:t>
      </w:r>
    </w:p>
    <w:p w14:paraId="7FE33E05">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一方变更项目联系人的，应当及时以书面形式通知另一方。未及时通知并影响本合同履行或造成损失的，应承担相应的责任。</w:t>
      </w:r>
    </w:p>
    <w:p w14:paraId="4BCF493E">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合同的解除</w:t>
      </w:r>
    </w:p>
    <w:p w14:paraId="6A399A13">
      <w:pPr>
        <w:tabs>
          <w:tab w:val="left" w:pos="40"/>
        </w:tabs>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双方确定，因发生政策变更或不可抗力，致使本合同的履行成为不必要或不可能的，可以解除本合同,双方互不承担违约责任。</w:t>
      </w:r>
    </w:p>
    <w:p w14:paraId="3ED8C0D7">
      <w:pPr>
        <w:numPr>
          <w:ilvl w:val="0"/>
          <w:numId w:val="4"/>
        </w:num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解决合同纠纷的方式</w:t>
      </w:r>
    </w:p>
    <w:p w14:paraId="1C6ACE33">
      <w:pPr>
        <w:spacing w:line="360" w:lineRule="auto"/>
        <w:ind w:left="21" w:leftChars="1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双方因履行本合同而发生的争议，应协商、调解解决。协商、调解不成的，应提交</w:t>
      </w:r>
      <w:r>
        <w:rPr>
          <w:rFonts w:hint="eastAsia" w:asciiTheme="minorEastAsia" w:hAnsiTheme="minorEastAsia" w:eastAsiaTheme="minorEastAsia" w:cstheme="minorEastAsia"/>
          <w:szCs w:val="21"/>
          <w:u w:val="single"/>
        </w:rPr>
        <w:t>甲方所在地有管辖权的人民法院诉讼</w:t>
      </w:r>
      <w:r>
        <w:rPr>
          <w:rFonts w:hint="eastAsia" w:asciiTheme="minorEastAsia" w:hAnsiTheme="minorEastAsia" w:eastAsiaTheme="minorEastAsia" w:cstheme="minorEastAsia"/>
          <w:szCs w:val="21"/>
        </w:rPr>
        <w:t>解决。</w:t>
      </w:r>
    </w:p>
    <w:p w14:paraId="46DAF3CD">
      <w:pPr>
        <w:numPr>
          <w:ilvl w:val="0"/>
          <w:numId w:val="4"/>
        </w:numPr>
        <w:spacing w:line="360" w:lineRule="auto"/>
        <w:ind w:left="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对本合同作出任何修订、修改与补充，必须经双方签署书面协议方可生效。经过双方签署的有关本合同的修改协议、补充协议及本合同附件是本合同组成部分，具有与本合同同等的法律效力。</w:t>
      </w:r>
    </w:p>
    <w:p w14:paraId="4875490D">
      <w:pPr>
        <w:numPr>
          <w:ilvl w:val="0"/>
          <w:numId w:val="4"/>
        </w:numPr>
        <w:spacing w:line="360" w:lineRule="auto"/>
        <w:ind w:hanging="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本合同一式</w:t>
      </w:r>
      <w:r>
        <w:rPr>
          <w:rFonts w:hint="eastAsia" w:asciiTheme="minorEastAsia" w:hAnsiTheme="minorEastAsia" w:eastAsiaTheme="minorEastAsia" w:cstheme="minorEastAsia"/>
          <w:szCs w:val="21"/>
          <w:u w:val="single"/>
        </w:rPr>
        <w:t xml:space="preserve"> 8 </w:t>
      </w:r>
      <w:r>
        <w:rPr>
          <w:rFonts w:hint="eastAsia" w:asciiTheme="minorEastAsia" w:hAnsiTheme="minorEastAsia" w:eastAsiaTheme="minorEastAsia" w:cstheme="minorEastAsia"/>
          <w:szCs w:val="21"/>
        </w:rPr>
        <w:t>份，双方各执</w:t>
      </w:r>
      <w:r>
        <w:rPr>
          <w:rFonts w:hint="eastAsia" w:asciiTheme="minorEastAsia" w:hAnsiTheme="minorEastAsia" w:eastAsiaTheme="minorEastAsia" w:cstheme="minorEastAsia"/>
          <w:szCs w:val="21"/>
          <w:u w:val="single"/>
        </w:rPr>
        <w:t xml:space="preserve"> 4 </w:t>
      </w:r>
      <w:r>
        <w:rPr>
          <w:rFonts w:hint="eastAsia" w:asciiTheme="minorEastAsia" w:hAnsiTheme="minorEastAsia" w:eastAsiaTheme="minorEastAsia" w:cstheme="minorEastAsia"/>
          <w:szCs w:val="21"/>
        </w:rPr>
        <w:t>份，具有同等法律效力。</w:t>
      </w:r>
    </w:p>
    <w:p w14:paraId="56805F59">
      <w:pPr>
        <w:numPr>
          <w:ilvl w:val="0"/>
          <w:numId w:val="4"/>
        </w:num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本合同经双方法定代表人／委托代理人签字并加盖公章后生效。</w:t>
      </w:r>
    </w:p>
    <w:p w14:paraId="15D6BB31">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本合同附件均为本合同的有效组成部分。</w:t>
      </w:r>
    </w:p>
    <w:p w14:paraId="69D802D1">
      <w:pPr>
        <w:adjustRightInd w:val="0"/>
        <w:snapToGrid w:val="0"/>
        <w:spacing w:line="360" w:lineRule="auto"/>
        <w:jc w:val="left"/>
        <w:rPr>
          <w:rFonts w:hint="eastAsia" w:asciiTheme="minorEastAsia" w:hAnsiTheme="minorEastAsia" w:eastAsiaTheme="minorEastAsia" w:cstheme="minorEastAsia"/>
          <w:bCs/>
          <w:szCs w:val="21"/>
        </w:rPr>
      </w:pPr>
    </w:p>
    <w:p w14:paraId="1EF0F8B9">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甲方：                               （盖章）</w:t>
      </w:r>
    </w:p>
    <w:p w14:paraId="1D82A128">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法定代表人／委托代理人：                        （签名）</w:t>
      </w:r>
    </w:p>
    <w:p w14:paraId="376D4E1A">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p w14:paraId="775A1BBA">
      <w:pPr>
        <w:adjustRightInd w:val="0"/>
        <w:snapToGrid w:val="0"/>
        <w:spacing w:line="360" w:lineRule="auto"/>
        <w:jc w:val="left"/>
        <w:rPr>
          <w:rFonts w:hint="eastAsia" w:asciiTheme="minorEastAsia" w:hAnsiTheme="minorEastAsia" w:eastAsiaTheme="minorEastAsia" w:cstheme="minorEastAsia"/>
          <w:bCs/>
          <w:szCs w:val="21"/>
        </w:rPr>
      </w:pPr>
    </w:p>
    <w:p w14:paraId="56E69811">
      <w:pPr>
        <w:adjustRightInd w:val="0"/>
        <w:snapToGrid w:val="0"/>
        <w:spacing w:line="360" w:lineRule="auto"/>
        <w:jc w:val="left"/>
        <w:rPr>
          <w:rFonts w:hint="eastAsia" w:asciiTheme="minorEastAsia" w:hAnsiTheme="minorEastAsia" w:eastAsiaTheme="minorEastAsia" w:cstheme="minorEastAsia"/>
          <w:bCs/>
          <w:szCs w:val="21"/>
        </w:rPr>
      </w:pPr>
    </w:p>
    <w:p w14:paraId="6764BAC9">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乙方：                   （盖章）</w:t>
      </w:r>
    </w:p>
    <w:p w14:paraId="1E5E9F77">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法定代表人／委托代理人：                        （签名）</w:t>
      </w:r>
    </w:p>
    <w:p w14:paraId="6877FDFA">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年     月     日</w:t>
      </w:r>
    </w:p>
    <w:p w14:paraId="504272D8">
      <w:pPr>
        <w:adjustRightInd w:val="0"/>
        <w:snapToGrid w:val="0"/>
        <w:spacing w:line="360" w:lineRule="auto"/>
        <w:rPr>
          <w:rFonts w:hint="eastAsia" w:asciiTheme="minorEastAsia" w:hAnsiTheme="minorEastAsia" w:eastAsiaTheme="minorEastAsia" w:cstheme="minorEastAsia"/>
          <w:b/>
          <w:szCs w:val="21"/>
        </w:rPr>
      </w:pPr>
    </w:p>
    <w:p w14:paraId="33B7D3BF">
      <w:pPr>
        <w:pStyle w:val="15"/>
      </w:pPr>
    </w:p>
    <w:p w14:paraId="2A33F6CD">
      <w:pPr>
        <w:pStyle w:val="15"/>
      </w:pPr>
    </w:p>
    <w:p w14:paraId="6507B1CE">
      <w:pPr>
        <w:pStyle w:val="15"/>
      </w:pPr>
    </w:p>
    <w:p w14:paraId="5AC83371">
      <w:pPr>
        <w:pStyle w:val="15"/>
      </w:pPr>
    </w:p>
    <w:p w14:paraId="35FCBE70">
      <w:pPr>
        <w:pStyle w:val="15"/>
      </w:pPr>
    </w:p>
    <w:p w14:paraId="72CD27DA">
      <w:pPr>
        <w:pStyle w:val="15"/>
      </w:pPr>
    </w:p>
    <w:p w14:paraId="66EC1E5D">
      <w:pPr>
        <w:pStyle w:val="15"/>
      </w:pPr>
    </w:p>
    <w:p w14:paraId="434B5736">
      <w:pPr>
        <w:pStyle w:val="15"/>
      </w:pPr>
    </w:p>
    <w:p w14:paraId="5D1A0DC6">
      <w:pPr>
        <w:pStyle w:val="15"/>
      </w:pPr>
    </w:p>
    <w:p w14:paraId="40A69B7F">
      <w:pPr>
        <w:pStyle w:val="15"/>
      </w:pPr>
    </w:p>
    <w:p w14:paraId="2C3990D8">
      <w:pPr>
        <w:pStyle w:val="15"/>
      </w:pPr>
    </w:p>
    <w:p w14:paraId="65AA1982">
      <w:pPr>
        <w:pStyle w:val="15"/>
      </w:pPr>
    </w:p>
    <w:p w14:paraId="29971378">
      <w:pPr>
        <w:pStyle w:val="15"/>
      </w:pPr>
    </w:p>
    <w:p w14:paraId="066C6126">
      <w:pPr>
        <w:pStyle w:val="15"/>
      </w:pPr>
    </w:p>
    <w:p w14:paraId="6B39047A">
      <w:pPr>
        <w:pStyle w:val="15"/>
      </w:pPr>
    </w:p>
    <w:p w14:paraId="3959F485">
      <w:pPr>
        <w:pStyle w:val="15"/>
      </w:pPr>
    </w:p>
    <w:p w14:paraId="7CEB29D7">
      <w:pPr>
        <w:pStyle w:val="15"/>
      </w:pPr>
    </w:p>
    <w:p w14:paraId="02ECC13B">
      <w:pPr>
        <w:pStyle w:val="15"/>
      </w:pPr>
    </w:p>
    <w:p w14:paraId="234F1FDD">
      <w:pPr>
        <w:pStyle w:val="15"/>
      </w:pPr>
    </w:p>
    <w:p w14:paraId="4FD4995B">
      <w:pPr>
        <w:pStyle w:val="15"/>
      </w:pPr>
    </w:p>
    <w:p w14:paraId="7ED2043E">
      <w:pPr>
        <w:pStyle w:val="15"/>
      </w:pPr>
    </w:p>
    <w:p w14:paraId="768E3D26">
      <w:pPr>
        <w:pStyle w:val="15"/>
      </w:pPr>
    </w:p>
    <w:p w14:paraId="50BED362">
      <w:pPr>
        <w:pStyle w:val="15"/>
      </w:pPr>
    </w:p>
    <w:p w14:paraId="6D3D677C">
      <w:pPr>
        <w:pStyle w:val="15"/>
      </w:pPr>
    </w:p>
    <w:p w14:paraId="7E1AC08B">
      <w:pPr>
        <w:pStyle w:val="15"/>
      </w:pPr>
    </w:p>
    <w:p w14:paraId="069B2F17">
      <w:pPr>
        <w:pStyle w:val="15"/>
      </w:pPr>
    </w:p>
    <w:p w14:paraId="4ADE3185">
      <w:pPr>
        <w:pStyle w:val="15"/>
      </w:pPr>
    </w:p>
    <w:p w14:paraId="5E599405">
      <w:pPr>
        <w:pStyle w:val="15"/>
      </w:pPr>
    </w:p>
    <w:p w14:paraId="5D6109FB">
      <w:pPr>
        <w:pStyle w:val="15"/>
      </w:pPr>
    </w:p>
    <w:p w14:paraId="39FBD0EB">
      <w:pPr>
        <w:pStyle w:val="15"/>
      </w:pPr>
    </w:p>
    <w:p w14:paraId="4E220D33">
      <w:pPr>
        <w:pStyle w:val="15"/>
      </w:pPr>
    </w:p>
    <w:p w14:paraId="0003827A">
      <w:pPr>
        <w:pStyle w:val="15"/>
      </w:pPr>
    </w:p>
    <w:p w14:paraId="2824F21B">
      <w:pPr>
        <w:pStyle w:val="15"/>
      </w:pPr>
    </w:p>
    <w:p w14:paraId="3ED96A89">
      <w:pPr>
        <w:pStyle w:val="15"/>
      </w:pPr>
    </w:p>
    <w:p w14:paraId="2644DA8D">
      <w:pPr>
        <w:pStyle w:val="15"/>
      </w:pPr>
    </w:p>
    <w:p w14:paraId="36845012">
      <w:pPr>
        <w:pStyle w:val="15"/>
      </w:pPr>
    </w:p>
    <w:p w14:paraId="008B8B31">
      <w:pPr>
        <w:pStyle w:val="15"/>
      </w:pPr>
    </w:p>
    <w:p w14:paraId="23C9E321">
      <w:pPr>
        <w:pStyle w:val="15"/>
      </w:pPr>
    </w:p>
    <w:p w14:paraId="1E59DE2A">
      <w:pPr>
        <w:pStyle w:val="15"/>
      </w:pPr>
    </w:p>
    <w:p w14:paraId="68C5B8D5">
      <w:pPr>
        <w:pStyle w:val="15"/>
      </w:pPr>
    </w:p>
    <w:p w14:paraId="33241595">
      <w:pPr>
        <w:pStyle w:val="15"/>
      </w:pPr>
    </w:p>
    <w:p w14:paraId="6B8B6A10">
      <w:pPr>
        <w:pStyle w:val="15"/>
      </w:pPr>
    </w:p>
    <w:p w14:paraId="17F2F676">
      <w:pPr>
        <w:pStyle w:val="15"/>
      </w:pPr>
    </w:p>
    <w:p w14:paraId="6B38D52D">
      <w:pPr>
        <w:pStyle w:val="15"/>
      </w:pPr>
    </w:p>
    <w:p w14:paraId="7D359302">
      <w:pPr>
        <w:pStyle w:val="15"/>
      </w:pPr>
    </w:p>
    <w:p w14:paraId="545789FC">
      <w:pPr>
        <w:pStyle w:val="15"/>
      </w:pPr>
    </w:p>
    <w:p w14:paraId="3BFCD019">
      <w:pPr>
        <w:pStyle w:val="15"/>
      </w:pPr>
    </w:p>
    <w:p w14:paraId="4701A891">
      <w:pPr>
        <w:pStyle w:val="15"/>
      </w:pPr>
    </w:p>
    <w:p w14:paraId="3A5A9BEA">
      <w:pPr>
        <w:pStyle w:val="15"/>
      </w:pPr>
    </w:p>
    <w:p w14:paraId="6D54ACE6">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格式2:                         开标一览表</w:t>
      </w:r>
    </w:p>
    <w:p w14:paraId="5A22DE63">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项目名称：                             项目编号：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450"/>
        <w:gridCol w:w="1450"/>
        <w:gridCol w:w="1450"/>
      </w:tblGrid>
      <w:tr w14:paraId="77EB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518FEE0C">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响应总价(小写)（元）</w:t>
            </w:r>
          </w:p>
        </w:tc>
        <w:tc>
          <w:tcPr>
            <w:tcW w:w="1450" w:type="dxa"/>
            <w:noWrap/>
            <w:vAlign w:val="center"/>
          </w:tcPr>
          <w:p w14:paraId="4B979B0D">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服务期限</w:t>
            </w:r>
          </w:p>
        </w:tc>
        <w:tc>
          <w:tcPr>
            <w:tcW w:w="1450" w:type="dxa"/>
            <w:noWrap/>
            <w:vAlign w:val="center"/>
          </w:tcPr>
          <w:p w14:paraId="220D6F7B">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质量标准</w:t>
            </w:r>
          </w:p>
        </w:tc>
        <w:tc>
          <w:tcPr>
            <w:tcW w:w="1450" w:type="dxa"/>
            <w:noWrap/>
            <w:vAlign w:val="center"/>
          </w:tcPr>
          <w:p w14:paraId="0E0B569B">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响应有效期</w:t>
            </w:r>
          </w:p>
        </w:tc>
      </w:tr>
      <w:tr w14:paraId="446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093FC078">
            <w:pPr>
              <w:adjustRightInd w:val="0"/>
              <w:snapToGrid w:val="0"/>
              <w:spacing w:line="360" w:lineRule="auto"/>
              <w:jc w:val="center"/>
              <w:rPr>
                <w:rFonts w:hint="eastAsia" w:asciiTheme="minorEastAsia" w:hAnsiTheme="minorEastAsia" w:eastAsiaTheme="minorEastAsia" w:cstheme="minorEastAsia"/>
                <w:bCs/>
                <w:szCs w:val="21"/>
              </w:rPr>
            </w:pPr>
          </w:p>
        </w:tc>
        <w:tc>
          <w:tcPr>
            <w:tcW w:w="1450" w:type="dxa"/>
            <w:noWrap/>
          </w:tcPr>
          <w:p w14:paraId="46BBF6B3">
            <w:pPr>
              <w:adjustRightInd w:val="0"/>
              <w:snapToGrid w:val="0"/>
              <w:spacing w:line="360" w:lineRule="auto"/>
              <w:jc w:val="center"/>
              <w:rPr>
                <w:rFonts w:hint="eastAsia" w:asciiTheme="minorEastAsia" w:hAnsiTheme="minorEastAsia" w:eastAsiaTheme="minorEastAsia" w:cstheme="minorEastAsia"/>
                <w:bCs/>
                <w:szCs w:val="21"/>
              </w:rPr>
            </w:pPr>
          </w:p>
        </w:tc>
        <w:tc>
          <w:tcPr>
            <w:tcW w:w="1450" w:type="dxa"/>
            <w:noWrap/>
          </w:tcPr>
          <w:p w14:paraId="45A2322F">
            <w:pPr>
              <w:adjustRightInd w:val="0"/>
              <w:snapToGrid w:val="0"/>
              <w:spacing w:line="360" w:lineRule="auto"/>
              <w:jc w:val="center"/>
              <w:rPr>
                <w:rFonts w:hint="eastAsia" w:asciiTheme="minorEastAsia" w:hAnsiTheme="minorEastAsia" w:eastAsiaTheme="minorEastAsia" w:cstheme="minorEastAsia"/>
                <w:bCs/>
                <w:szCs w:val="21"/>
              </w:rPr>
            </w:pPr>
          </w:p>
        </w:tc>
        <w:tc>
          <w:tcPr>
            <w:tcW w:w="1450" w:type="dxa"/>
            <w:noWrap/>
          </w:tcPr>
          <w:p w14:paraId="12DFCACC">
            <w:pPr>
              <w:adjustRightInd w:val="0"/>
              <w:snapToGrid w:val="0"/>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90天</w:t>
            </w:r>
          </w:p>
        </w:tc>
      </w:tr>
      <w:tr w14:paraId="6EAE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4"/>
            <w:noWrap/>
            <w:vAlign w:val="bottom"/>
          </w:tcPr>
          <w:p w14:paraId="45BB9EFF">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响应总价（大写）：</w:t>
            </w:r>
          </w:p>
        </w:tc>
      </w:tr>
      <w:tr w14:paraId="2C1D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4"/>
            <w:noWrap/>
            <w:vAlign w:val="bottom"/>
          </w:tcPr>
          <w:p w14:paraId="1E5DF3AC">
            <w:pPr>
              <w:pStyle w:val="6"/>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是否为符合条件的中小微型企业:是（   ）；否（   ）</w:t>
            </w:r>
          </w:p>
        </w:tc>
      </w:tr>
      <w:tr w14:paraId="355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4"/>
            <w:noWrap/>
            <w:vAlign w:val="bottom"/>
          </w:tcPr>
          <w:p w14:paraId="654D4FF7">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是否监狱企业参加采购活动：是（   ）；否（   ）</w:t>
            </w:r>
          </w:p>
        </w:tc>
      </w:tr>
      <w:tr w14:paraId="054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4"/>
            <w:noWrap/>
            <w:vAlign w:val="bottom"/>
          </w:tcPr>
          <w:p w14:paraId="74419FC6">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是否为符合条件的残疾人福利性单位：是（   ）；否（   ）</w:t>
            </w:r>
          </w:p>
        </w:tc>
      </w:tr>
      <w:tr w14:paraId="158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4"/>
            <w:noWrap/>
            <w:vAlign w:val="bottom"/>
          </w:tcPr>
          <w:p w14:paraId="0DF955CA">
            <w:pPr>
              <w:adjustRightInd w:val="0"/>
              <w:snapToGrid w:val="0"/>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备注：（其他需要说明的情形）</w:t>
            </w:r>
          </w:p>
        </w:tc>
      </w:tr>
    </w:tbl>
    <w:p w14:paraId="7AA58A98">
      <w:pPr>
        <w:adjustRightInd w:val="0"/>
        <w:snapToGrid w:val="0"/>
        <w:spacing w:line="360" w:lineRule="auto"/>
        <w:ind w:firstLine="560"/>
        <w:rPr>
          <w:rFonts w:hint="eastAsia" w:asciiTheme="minorEastAsia" w:hAnsiTheme="minorEastAsia" w:eastAsiaTheme="minorEastAsia" w:cstheme="minorEastAsia"/>
          <w:bCs/>
          <w:szCs w:val="21"/>
        </w:rPr>
      </w:pPr>
    </w:p>
    <w:p w14:paraId="332BCB81">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14:paraId="73D183E3">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p>
    <w:p w14:paraId="286059EE">
      <w:pPr>
        <w:pStyle w:val="6"/>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供应商代表签名：                日期：  </w:t>
      </w:r>
    </w:p>
    <w:p w14:paraId="3C3F9E92">
      <w:pPr>
        <w:adjustRightInd w:val="0"/>
        <w:snapToGrid w:val="0"/>
        <w:spacing w:line="360" w:lineRule="auto"/>
        <w:ind w:firstLine="420" w:firstLineChars="200"/>
        <w:rPr>
          <w:rFonts w:hint="eastAsia" w:asciiTheme="minorEastAsia" w:hAnsiTheme="minorEastAsia" w:eastAsiaTheme="minorEastAsia" w:cstheme="minorEastAsia"/>
          <w:bCs/>
          <w:szCs w:val="21"/>
        </w:rPr>
        <w:sectPr>
          <w:headerReference r:id="rId8" w:type="default"/>
          <w:footerReference r:id="rId9" w:type="default"/>
          <w:pgSz w:w="11906" w:h="16838"/>
          <w:pgMar w:top="1440" w:right="1800" w:bottom="1440" w:left="1800" w:header="794" w:footer="992" w:gutter="0"/>
          <w:cols w:space="425" w:num="1"/>
          <w:docGrid w:type="lines" w:linePitch="312" w:charSpace="0"/>
        </w:sectPr>
      </w:pPr>
    </w:p>
    <w:p w14:paraId="61069AD6">
      <w:pPr>
        <w:pStyle w:val="9"/>
        <w:rPr>
          <w:rFonts w:hint="eastAsia" w:ascii="宋体" w:hAnsi="宋体" w:eastAsia="宋体" w:cs="宋体"/>
        </w:rPr>
      </w:pPr>
    </w:p>
    <w:p w14:paraId="0825BCCA">
      <w:pPr>
        <w:adjustRightInd w:val="0"/>
        <w:snapToGrid w:val="0"/>
        <w:spacing w:line="360" w:lineRule="auto"/>
        <w:rPr>
          <w:rFonts w:hint="eastAsia" w:ascii="宋体" w:hAnsi="宋体" w:cs="宋体"/>
          <w:b/>
          <w:szCs w:val="21"/>
        </w:rPr>
      </w:pPr>
      <w:r>
        <w:rPr>
          <w:rFonts w:hint="eastAsia" w:ascii="宋体" w:hAnsi="宋体" w:cs="宋体"/>
          <w:b/>
          <w:szCs w:val="21"/>
        </w:rPr>
        <w:t>格式3:</w:t>
      </w:r>
      <w:r>
        <w:rPr>
          <w:rFonts w:hint="eastAsia" w:ascii="宋体" w:hAnsi="宋体" w:cs="宋体"/>
          <w:bCs/>
          <w:szCs w:val="21"/>
        </w:rPr>
        <w:t xml:space="preserve">                            </w:t>
      </w:r>
      <w:r>
        <w:rPr>
          <w:rFonts w:hint="eastAsia" w:ascii="宋体" w:hAnsi="宋体" w:cs="宋体"/>
          <w:b/>
          <w:szCs w:val="21"/>
        </w:rPr>
        <w:t>响应报价明细表</w:t>
      </w:r>
    </w:p>
    <w:p w14:paraId="351957FF">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项目名称：                         项目编号∶ </w:t>
      </w:r>
    </w:p>
    <w:tbl>
      <w:tblPr>
        <w:tblStyle w:val="18"/>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14:paraId="0B5A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520A68">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729103CC">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宋体" w:hAnsi="宋体" w:cs="宋体"/>
                <w:bCs/>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3B26CA30">
            <w:pPr>
              <w:adjustRightInd w:val="0"/>
              <w:snapToGrid w:val="0"/>
              <w:spacing w:line="240" w:lineRule="exact"/>
              <w:jc w:val="left"/>
              <w:rPr>
                <w:rFonts w:hint="eastAsia" w:ascii="宋体" w:hAnsi="宋体" w:cs="宋体"/>
                <w:bCs/>
                <w:szCs w:val="21"/>
              </w:rPr>
            </w:pPr>
            <w:r>
              <w:rPr>
                <w:rFonts w:hint="eastAsia" w:ascii="宋体" w:hAnsi="宋体" w:cs="宋体"/>
                <w:bCs/>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10871361">
            <w:pPr>
              <w:adjustRightInd w:val="0"/>
              <w:snapToGrid w:val="0"/>
              <w:spacing w:line="240" w:lineRule="exact"/>
              <w:jc w:val="left"/>
              <w:rPr>
                <w:rFonts w:hint="eastAsia" w:ascii="宋体" w:hAnsi="宋体" w:cs="宋体"/>
                <w:bCs/>
                <w:szCs w:val="21"/>
              </w:rPr>
            </w:pPr>
            <w:r>
              <w:rPr>
                <w:rFonts w:hint="eastAsia" w:ascii="宋体" w:hAnsi="宋体" w:cs="宋体"/>
                <w:bCs/>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0770F519">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14:paraId="3857DE9E">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22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A35571F">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173A406D">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20A610E0">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873903E">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5191561">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3B85854D">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773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2823E1E">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40071487">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1913A1F">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22C448C">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1CC29EFA">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5CF91234">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661D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9091876">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2FF460F1">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196A42B">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42EC76E">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0FC2CB01">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6F7D669E">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26C1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B2A9325">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4C7B16EF">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FCD124A">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00E1850">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7560550">
            <w:pPr>
              <w:adjustRightInd w:val="0"/>
              <w:snapToGrid w:val="0"/>
              <w:spacing w:line="240" w:lineRule="exact"/>
              <w:ind w:firstLine="561"/>
              <w:jc w:val="left"/>
              <w:rPr>
                <w:rFonts w:hint="eastAsia" w:asciiTheme="minorEastAsia" w:hAnsiTheme="minorEastAsia" w:eastAsiaTheme="minorEastAsia" w:cstheme="minorEastAsia"/>
                <w:bCs/>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3B6A3800">
            <w:pPr>
              <w:adjustRightInd w:val="0"/>
              <w:snapToGrid w:val="0"/>
              <w:spacing w:line="240" w:lineRule="exact"/>
              <w:ind w:firstLine="561"/>
              <w:jc w:val="left"/>
              <w:rPr>
                <w:rFonts w:hint="eastAsia" w:asciiTheme="minorEastAsia" w:hAnsiTheme="minorEastAsia" w:eastAsiaTheme="minorEastAsia" w:cstheme="minorEastAsia"/>
                <w:bCs/>
                <w:szCs w:val="21"/>
              </w:rPr>
            </w:pPr>
          </w:p>
        </w:tc>
      </w:tr>
      <w:tr w14:paraId="7DB9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14:paraId="72448797">
            <w:pPr>
              <w:adjustRightInd w:val="0"/>
              <w:snapToGrid w:val="0"/>
              <w:spacing w:line="240" w:lineRule="exact"/>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总价（大小写）：</w:t>
            </w:r>
          </w:p>
        </w:tc>
      </w:tr>
    </w:tbl>
    <w:p w14:paraId="12A38CD4">
      <w:pPr>
        <w:adjustRightInd w:val="0"/>
        <w:snapToGrid w:val="0"/>
        <w:spacing w:line="360" w:lineRule="auto"/>
        <w:ind w:firstLine="561"/>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w:t>
      </w:r>
    </w:p>
    <w:p w14:paraId="66DD59A6">
      <w:pPr>
        <w:pStyle w:val="6"/>
        <w:adjustRightInd w:val="0"/>
        <w:snapToGrid w:val="0"/>
        <w:spacing w:line="360" w:lineRule="auto"/>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                 （公章）</w:t>
      </w:r>
    </w:p>
    <w:p w14:paraId="6542B1EE">
      <w:pPr>
        <w:pStyle w:val="6"/>
        <w:adjustRightInd w:val="0"/>
        <w:snapToGrid w:val="0"/>
        <w:spacing w:line="360" w:lineRule="auto"/>
        <w:rPr>
          <w:rFonts w:hint="eastAsia" w:asciiTheme="minorEastAsia" w:hAnsiTheme="minorEastAsia" w:eastAsiaTheme="minorEastAsia" w:cstheme="minorEastAsia"/>
          <w:bCs/>
          <w:szCs w:val="21"/>
        </w:rPr>
      </w:pPr>
    </w:p>
    <w:p w14:paraId="1A3503B1">
      <w:pPr>
        <w:pStyle w:val="6"/>
        <w:adjustRightInd w:val="0"/>
        <w:snapToGrid w:val="0"/>
        <w:spacing w:line="360" w:lineRule="auto"/>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供应商代表签名：                日期：</w:t>
      </w:r>
    </w:p>
    <w:p w14:paraId="2450988B">
      <w:pPr>
        <w:pStyle w:val="9"/>
        <w:sectPr>
          <w:pgSz w:w="11906" w:h="16838"/>
          <w:pgMar w:top="1440" w:right="1800" w:bottom="1440" w:left="1800" w:header="794" w:footer="992" w:gutter="0"/>
          <w:cols w:space="425" w:num="1"/>
          <w:docGrid w:type="lines" w:linePitch="312" w:charSpace="0"/>
        </w:sectPr>
      </w:pPr>
    </w:p>
    <w:p w14:paraId="7A50B5DF"/>
    <w:p w14:paraId="148E7D14">
      <w:pPr>
        <w:adjustRightInd w:val="0"/>
        <w:snapToGrid w:val="0"/>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格式4：                       法定代表人授权委托书</w:t>
      </w:r>
    </w:p>
    <w:p w14:paraId="454480CD">
      <w:pPr>
        <w:pStyle w:val="15"/>
        <w:rPr>
          <w:rFonts w:hint="eastAsia" w:asciiTheme="minorEastAsia" w:hAnsiTheme="minorEastAsia" w:eastAsiaTheme="minorEastAsia" w:cstheme="minorEastAsia"/>
          <w:b/>
          <w:sz w:val="21"/>
          <w:szCs w:val="21"/>
        </w:rPr>
      </w:pPr>
    </w:p>
    <w:p w14:paraId="0B386BC8">
      <w:pPr>
        <w:spacing w:line="560" w:lineRule="exact"/>
        <w:jc w:val="center"/>
      </w:pPr>
      <w:r>
        <w:rPr>
          <w:rFonts w:hint="eastAsia"/>
        </w:rPr>
        <w:t>法定代表人授权委托书</w:t>
      </w:r>
    </w:p>
    <w:p w14:paraId="5BD5EA2D">
      <w:pPr>
        <w:spacing w:line="560" w:lineRule="exact"/>
      </w:pPr>
    </w:p>
    <w:p w14:paraId="6789A54A">
      <w:pPr>
        <w:spacing w:line="560" w:lineRule="exact"/>
      </w:pPr>
      <w:r>
        <w:rPr>
          <w:rFonts w:hint="eastAsia"/>
          <w:u w:val="single"/>
        </w:rPr>
        <w:t xml:space="preserve">     （供应商名称）     </w:t>
      </w:r>
      <w:r>
        <w:rPr>
          <w:rFonts w:hint="eastAsia"/>
        </w:rPr>
        <w:t>法定代表人授权我司员工</w:t>
      </w:r>
      <w:r>
        <w:rPr>
          <w:rFonts w:hint="eastAsia"/>
          <w:u w:val="single"/>
        </w:rPr>
        <w:t xml:space="preserve">      </w:t>
      </w:r>
      <w:r>
        <w:rPr>
          <w:rFonts w:hint="eastAsia"/>
        </w:rPr>
        <w:t>全权负责</w:t>
      </w:r>
      <w:r>
        <w:rPr>
          <w:rFonts w:hint="eastAsia"/>
          <w:u w:val="single"/>
        </w:rPr>
        <w:t xml:space="preserve">（项目名称）   </w:t>
      </w:r>
      <w:r>
        <w:rPr>
          <w:rFonts w:hint="eastAsia"/>
        </w:rPr>
        <w:t>的一切相关事宜。本授权书于_______年_____月_____日签字生效，特此声明。</w:t>
      </w:r>
    </w:p>
    <w:p w14:paraId="202B98A6">
      <w:pPr>
        <w:spacing w:line="560" w:lineRule="exact"/>
      </w:pPr>
    </w:p>
    <w:p w14:paraId="3B5787D4">
      <w:pPr>
        <w:spacing w:line="560" w:lineRule="exact"/>
      </w:pPr>
    </w:p>
    <w:p w14:paraId="0EF753FF">
      <w:pPr>
        <w:spacing w:line="560" w:lineRule="exact"/>
      </w:pPr>
    </w:p>
    <w:p w14:paraId="3B2929F4">
      <w:pPr>
        <w:spacing w:line="560" w:lineRule="exact"/>
      </w:pPr>
      <w:r>
        <w:rPr>
          <w:rFonts w:hint="eastAsia"/>
        </w:rPr>
        <w:t xml:space="preserve">供应商（公章）：                                                         </w:t>
      </w:r>
    </w:p>
    <w:p w14:paraId="14DED131">
      <w:pPr>
        <w:spacing w:line="560" w:lineRule="exact"/>
      </w:pPr>
      <w:r>
        <w:rPr>
          <w:rFonts w:hint="eastAsia"/>
        </w:rPr>
        <w:t>法定代表人签字：（或法人章）</w:t>
      </w:r>
    </w:p>
    <w:p w14:paraId="0222D368">
      <w:pPr>
        <w:spacing w:line="560" w:lineRule="exact"/>
      </w:pPr>
      <w:r>
        <w:rPr>
          <w:rFonts w:hint="eastAsia"/>
        </w:rPr>
        <w:t>被授权人签字：</w:t>
      </w:r>
    </w:p>
    <w:p w14:paraId="16DE82F9">
      <w:pPr>
        <w:pStyle w:val="9"/>
        <w:spacing w:after="0" w:line="560" w:lineRule="exact"/>
        <w:ind w:left="0" w:leftChars="0" w:firstLine="0" w:firstLineChars="0"/>
      </w:pPr>
    </w:p>
    <w:p w14:paraId="108F2B89">
      <w:pPr>
        <w:pStyle w:val="9"/>
        <w:spacing w:after="0" w:line="560" w:lineRule="exact"/>
        <w:ind w:left="0" w:leftChars="0" w:firstLine="0" w:firstLineChars="0"/>
      </w:pPr>
    </w:p>
    <w:p w14:paraId="09409C28">
      <w:pPr>
        <w:pStyle w:val="9"/>
        <w:spacing w:after="0" w:line="560" w:lineRule="exact"/>
        <w:ind w:left="0" w:leftChars="0" w:firstLine="0" w:firstLineChars="0"/>
        <w:rPr>
          <w:rFonts w:hint="eastAsia" w:ascii="宋体" w:hAnsi="宋体" w:eastAsia="宋体" w:cs="宋体"/>
        </w:rPr>
      </w:pPr>
      <w:r>
        <w:rPr>
          <w:rFonts w:hint="eastAsia" w:ascii="宋体" w:hAnsi="宋体" w:eastAsia="宋体" w:cs="宋体"/>
        </w:rPr>
        <w:t>附：法定代表人身份证复印件</w:t>
      </w:r>
    </w:p>
    <w:p w14:paraId="7DD6774C">
      <w:pPr>
        <w:pStyle w:val="9"/>
        <w:spacing w:after="0" w:line="560" w:lineRule="exact"/>
        <w:ind w:left="0" w:leftChars="0" w:firstLine="0" w:firstLineChars="0"/>
        <w:rPr>
          <w:rFonts w:ascii="Times New Roman" w:eastAsia="宋体"/>
          <w:szCs w:val="24"/>
        </w:rPr>
      </w:pPr>
      <w:r>
        <w:rPr>
          <w:rFonts w:hint="eastAsia" w:ascii="Times New Roman" w:eastAsia="宋体"/>
          <w:szCs w:val="24"/>
        </w:rPr>
        <w:t>授权委托人身份证复印件</w:t>
      </w:r>
    </w:p>
    <w:p w14:paraId="6BEAF9C8">
      <w:pPr>
        <w:pStyle w:val="15"/>
        <w:rPr>
          <w:rFonts w:hint="eastAsia" w:asciiTheme="minorEastAsia" w:hAnsiTheme="minorEastAsia" w:eastAsiaTheme="minorEastAsia" w:cstheme="minorEastAsia"/>
          <w:b/>
          <w:sz w:val="21"/>
          <w:szCs w:val="21"/>
        </w:rPr>
        <w:sectPr>
          <w:pgSz w:w="11906" w:h="16838"/>
          <w:pgMar w:top="1440" w:right="1800" w:bottom="1440" w:left="1800" w:header="794" w:footer="992" w:gutter="0"/>
          <w:cols w:space="425" w:num="1"/>
          <w:docGrid w:type="lines" w:linePitch="312" w:charSpace="0"/>
        </w:sectPr>
      </w:pPr>
    </w:p>
    <w:p w14:paraId="4C200670">
      <w:pPr>
        <w:pStyle w:val="9"/>
        <w:ind w:left="0" w:leftChars="0" w:firstLine="0" w:firstLineChars="0"/>
      </w:pPr>
    </w:p>
    <w:p w14:paraId="0606378E">
      <w:pPr>
        <w:adjustRightInd w:val="0"/>
        <w:snapToGrid w:val="0"/>
        <w:spacing w:line="360" w:lineRule="auto"/>
        <w:rPr>
          <w:rFonts w:hint="eastAsia" w:asciiTheme="minorEastAsia" w:hAnsiTheme="minorEastAsia" w:eastAsiaTheme="minorEastAsia" w:cstheme="minorEastAsia"/>
          <w:bCs/>
          <w:szCs w:val="21"/>
        </w:rPr>
      </w:pPr>
    </w:p>
    <w:p w14:paraId="33487CE1">
      <w:pPr>
        <w:pStyle w:val="33"/>
        <w:adjustRightInd w:val="0"/>
        <w:snapToGrid w:val="0"/>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格式5：                       法定代表人身份证明书</w:t>
      </w:r>
    </w:p>
    <w:p w14:paraId="44AA0D24">
      <w:pPr>
        <w:adjustRightInd w:val="0"/>
        <w:snapToGrid w:val="0"/>
        <w:spacing w:line="56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法定代表人身份证明书</w:t>
      </w:r>
    </w:p>
    <w:p w14:paraId="65317CB0">
      <w:pPr>
        <w:adjustRightInd w:val="0"/>
        <w:snapToGrid w:val="0"/>
        <w:spacing w:line="560" w:lineRule="exact"/>
        <w:rPr>
          <w:rFonts w:hint="eastAsia" w:asciiTheme="minorEastAsia" w:hAnsiTheme="minorEastAsia" w:eastAsiaTheme="minorEastAsia" w:cstheme="minorEastAsia"/>
          <w:bCs/>
          <w:szCs w:val="21"/>
        </w:rPr>
      </w:pPr>
    </w:p>
    <w:p w14:paraId="735CEF4B">
      <w:pPr>
        <w:adjustRightInd w:val="0"/>
        <w:snapToGrid w:val="0"/>
        <w:spacing w:line="560" w:lineRule="exact"/>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Cs/>
          <w:szCs w:val="21"/>
        </w:rPr>
        <w:t xml:space="preserve">姓    名：   性别：    年龄：    职务：    </w:t>
      </w:r>
    </w:p>
    <w:p w14:paraId="664596E9">
      <w:pPr>
        <w:adjustRightInd w:val="0"/>
        <w:snapToGrid w:val="0"/>
        <w:spacing w:line="5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系</w:t>
      </w:r>
      <w:r>
        <w:rPr>
          <w:rFonts w:hint="eastAsia" w:asciiTheme="minorEastAsia" w:hAnsiTheme="minorEastAsia" w:eastAsiaTheme="minorEastAsia" w:cstheme="minorEastAsia"/>
          <w:bCs/>
          <w:szCs w:val="21"/>
          <w:u w:val="single"/>
        </w:rPr>
        <w:t xml:space="preserve">    （供应商名称）   </w:t>
      </w:r>
      <w:r>
        <w:rPr>
          <w:rFonts w:hint="eastAsia" w:asciiTheme="minorEastAsia" w:hAnsiTheme="minorEastAsia" w:eastAsiaTheme="minorEastAsia" w:cstheme="minorEastAsia"/>
          <w:bCs/>
          <w:szCs w:val="21"/>
        </w:rPr>
        <w:t>的法定代表人。</w:t>
      </w:r>
    </w:p>
    <w:p w14:paraId="4C47725A">
      <w:pPr>
        <w:adjustRightInd w:val="0"/>
        <w:snapToGrid w:val="0"/>
        <w:spacing w:line="560" w:lineRule="exact"/>
        <w:rPr>
          <w:rFonts w:hint="eastAsia" w:asciiTheme="minorEastAsia" w:hAnsiTheme="minorEastAsia" w:eastAsiaTheme="minorEastAsia" w:cstheme="minorEastAsia"/>
          <w:bCs/>
          <w:szCs w:val="21"/>
        </w:rPr>
      </w:pPr>
    </w:p>
    <w:p w14:paraId="32475F09">
      <w:pPr>
        <w:adjustRightInd w:val="0"/>
        <w:snapToGrid w:val="0"/>
        <w:spacing w:line="5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特此证明。</w:t>
      </w:r>
    </w:p>
    <w:p w14:paraId="127B7B4F">
      <w:pPr>
        <w:adjustRightInd w:val="0"/>
        <w:snapToGrid w:val="0"/>
        <w:spacing w:line="560" w:lineRule="exact"/>
        <w:rPr>
          <w:rFonts w:hint="eastAsia" w:asciiTheme="minorEastAsia" w:hAnsiTheme="minorEastAsia" w:eastAsiaTheme="minorEastAsia" w:cstheme="minorEastAsia"/>
          <w:bCs/>
          <w:szCs w:val="21"/>
        </w:rPr>
      </w:pPr>
    </w:p>
    <w:p w14:paraId="3B4219D4">
      <w:pPr>
        <w:adjustRightInd w:val="0"/>
        <w:snapToGrid w:val="0"/>
        <w:spacing w:line="560" w:lineRule="exact"/>
        <w:rPr>
          <w:rFonts w:hint="eastAsia" w:asciiTheme="minorEastAsia" w:hAnsiTheme="minorEastAsia" w:eastAsiaTheme="minorEastAsia" w:cstheme="minorEastAsia"/>
          <w:bCs/>
          <w:szCs w:val="21"/>
        </w:rPr>
      </w:pPr>
    </w:p>
    <w:p w14:paraId="448BF8E9">
      <w:pPr>
        <w:adjustRightInd w:val="0"/>
        <w:snapToGrid w:val="0"/>
        <w:spacing w:line="560" w:lineRule="exact"/>
        <w:rPr>
          <w:rFonts w:hint="eastAsia" w:asciiTheme="minorEastAsia" w:hAnsiTheme="minorEastAsia" w:eastAsiaTheme="minorEastAsia" w:cstheme="minorEastAsia"/>
          <w:bCs/>
          <w:szCs w:val="21"/>
        </w:rPr>
      </w:pPr>
    </w:p>
    <w:p w14:paraId="1FD2DCB0">
      <w:pPr>
        <w:adjustRightInd w:val="0"/>
        <w:snapToGrid w:val="0"/>
        <w:spacing w:line="560" w:lineRule="exact"/>
        <w:rPr>
          <w:rFonts w:hint="eastAsia" w:asciiTheme="minorEastAsia" w:hAnsiTheme="minorEastAsia" w:eastAsiaTheme="minorEastAsia" w:cstheme="minorEastAsia"/>
          <w:bCs/>
          <w:szCs w:val="21"/>
        </w:rPr>
      </w:pPr>
    </w:p>
    <w:p w14:paraId="330A3BEC">
      <w:pPr>
        <w:adjustRightInd w:val="0"/>
        <w:snapToGrid w:val="0"/>
        <w:spacing w:line="560" w:lineRule="exact"/>
        <w:rPr>
          <w:rFonts w:hint="eastAsia" w:asciiTheme="minorEastAsia" w:hAnsiTheme="minorEastAsia" w:eastAsiaTheme="minorEastAsia" w:cstheme="minorEastAsia"/>
          <w:bCs/>
          <w:szCs w:val="21"/>
        </w:rPr>
      </w:pPr>
    </w:p>
    <w:p w14:paraId="5FDC7EC9">
      <w:pPr>
        <w:adjustRightInd w:val="0"/>
        <w:snapToGrid w:val="0"/>
        <w:spacing w:line="560" w:lineRule="exact"/>
        <w:rPr>
          <w:rFonts w:hint="eastAsia" w:asciiTheme="minorEastAsia" w:hAnsiTheme="minorEastAsia" w:eastAsiaTheme="minorEastAsia" w:cstheme="minorEastAsia"/>
          <w:bCs/>
          <w:szCs w:val="21"/>
        </w:rPr>
      </w:pPr>
    </w:p>
    <w:p w14:paraId="7F911FAF">
      <w:pPr>
        <w:adjustRightInd w:val="0"/>
        <w:snapToGrid w:val="0"/>
        <w:spacing w:line="560" w:lineRule="exact"/>
        <w:rPr>
          <w:rFonts w:hint="eastAsia" w:asciiTheme="minorEastAsia" w:hAnsiTheme="minorEastAsia" w:eastAsiaTheme="minorEastAsia" w:cstheme="minorEastAsia"/>
          <w:bCs/>
          <w:szCs w:val="21"/>
        </w:rPr>
      </w:pPr>
    </w:p>
    <w:p w14:paraId="13A2704B">
      <w:pPr>
        <w:adjustRightInd w:val="0"/>
        <w:snapToGrid w:val="0"/>
        <w:spacing w:line="560" w:lineRule="exact"/>
        <w:rPr>
          <w:rFonts w:hint="eastAsia" w:asciiTheme="minorEastAsia" w:hAnsiTheme="minorEastAsia" w:eastAsiaTheme="minorEastAsia" w:cstheme="minorEastAsia"/>
          <w:bCs/>
          <w:szCs w:val="21"/>
        </w:rPr>
      </w:pPr>
    </w:p>
    <w:p w14:paraId="6B4AFC72">
      <w:pPr>
        <w:adjustRightInd w:val="0"/>
        <w:snapToGrid w:val="0"/>
        <w:spacing w:line="560" w:lineRule="exac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供应商（公章）：                </w:t>
      </w:r>
    </w:p>
    <w:p w14:paraId="7F9B427F">
      <w:pPr>
        <w:adjustRightInd w:val="0"/>
        <w:snapToGrid w:val="0"/>
        <w:spacing w:line="560" w:lineRule="exact"/>
        <w:rPr>
          <w:rFonts w:hint="eastAsia" w:asciiTheme="minorEastAsia" w:hAnsiTheme="minorEastAsia" w:eastAsiaTheme="minorEastAsia" w:cstheme="minorEastAsia"/>
          <w:bCs/>
          <w:szCs w:val="21"/>
        </w:rPr>
      </w:pPr>
    </w:p>
    <w:p w14:paraId="302FCA4F">
      <w:pPr>
        <w:adjustRightInd w:val="0"/>
        <w:snapToGrid w:val="0"/>
        <w:spacing w:line="560" w:lineRule="exac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 xml:space="preserve">日期： </w:t>
      </w:r>
    </w:p>
    <w:p w14:paraId="1DC70E36">
      <w:pPr>
        <w:pStyle w:val="33"/>
        <w:adjustRightInd w:val="0"/>
        <w:snapToGrid w:val="0"/>
        <w:spacing w:line="360" w:lineRule="auto"/>
        <w:rPr>
          <w:rFonts w:hint="eastAsia" w:asciiTheme="minorEastAsia" w:hAnsiTheme="minorEastAsia" w:eastAsiaTheme="minorEastAsia" w:cstheme="minorEastAsia"/>
          <w:b/>
          <w:sz w:val="21"/>
          <w:szCs w:val="21"/>
        </w:rPr>
      </w:pPr>
    </w:p>
    <w:p w14:paraId="0CF5F1DE">
      <w:pPr>
        <w:pStyle w:val="33"/>
        <w:adjustRightInd w:val="0"/>
        <w:snapToGrid w:val="0"/>
        <w:spacing w:line="360" w:lineRule="auto"/>
        <w:rPr>
          <w:rFonts w:hint="eastAsia" w:asciiTheme="minorEastAsia" w:hAnsiTheme="minorEastAsia" w:eastAsiaTheme="minorEastAsia" w:cstheme="minorEastAsia"/>
          <w:b/>
          <w:sz w:val="21"/>
          <w:szCs w:val="21"/>
        </w:rPr>
        <w:sectPr>
          <w:pgSz w:w="11906" w:h="16838"/>
          <w:pgMar w:top="1440" w:right="1800" w:bottom="1440" w:left="1800" w:header="794" w:footer="992" w:gutter="0"/>
          <w:cols w:space="425" w:num="1"/>
          <w:docGrid w:type="lines" w:linePitch="312" w:charSpace="0"/>
        </w:sectPr>
      </w:pPr>
    </w:p>
    <w:p w14:paraId="7F9458D1">
      <w:pPr>
        <w:adjustRightInd w:val="0"/>
        <w:snapToGrid w:val="0"/>
        <w:spacing w:line="360" w:lineRule="auto"/>
        <w:rPr>
          <w:rFonts w:hint="eastAsia" w:asciiTheme="minorEastAsia" w:hAnsiTheme="minorEastAsia" w:eastAsiaTheme="minorEastAsia" w:cstheme="minorEastAsia"/>
          <w:b/>
          <w:szCs w:val="21"/>
        </w:rPr>
      </w:pPr>
    </w:p>
    <w:p w14:paraId="60BF4457">
      <w:pPr>
        <w:spacing w:line="360" w:lineRule="auto"/>
        <w:rPr>
          <w:rFonts w:hint="eastAsia" w:ascii="宋体" w:hAnsi="宋体" w:cs="宋体"/>
          <w:b/>
          <w:bCs/>
          <w:szCs w:val="21"/>
        </w:rPr>
      </w:pPr>
      <w:r>
        <w:rPr>
          <w:rFonts w:hint="eastAsia" w:ascii="宋体" w:hAnsi="宋体" w:cs="宋体"/>
          <w:b/>
          <w:szCs w:val="21"/>
        </w:rPr>
        <w:t xml:space="preserve">格式6：                    </w:t>
      </w:r>
      <w:r>
        <w:rPr>
          <w:rFonts w:hint="eastAsia" w:ascii="宋体" w:hAnsi="宋体" w:cs="宋体"/>
          <w:b/>
          <w:bCs/>
          <w:szCs w:val="21"/>
        </w:rPr>
        <w:t>资格承诺函</w:t>
      </w:r>
    </w:p>
    <w:p w14:paraId="36BB6613">
      <w:pPr>
        <w:spacing w:line="360" w:lineRule="auto"/>
        <w:jc w:val="left"/>
        <w:rPr>
          <w:rFonts w:hint="eastAsia" w:ascii="宋体" w:hAnsi="宋体" w:cs="宋体"/>
          <w:szCs w:val="21"/>
        </w:rPr>
      </w:pPr>
    </w:p>
    <w:p w14:paraId="7602A21B">
      <w:pPr>
        <w:spacing w:line="360" w:lineRule="auto"/>
        <w:jc w:val="lef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（采购人）</w:t>
      </w:r>
    </w:p>
    <w:p w14:paraId="3BFB5C1C">
      <w:pPr>
        <w:spacing w:line="360" w:lineRule="auto"/>
        <w:ind w:firstLine="420" w:firstLineChars="200"/>
        <w:jc w:val="left"/>
        <w:rPr>
          <w:rFonts w:hint="eastAsia" w:ascii="宋体" w:hAnsi="宋体" w:cs="宋体"/>
          <w:szCs w:val="21"/>
        </w:rPr>
      </w:pPr>
      <w:r>
        <w:rPr>
          <w:rFonts w:hint="eastAsia" w:ascii="宋体" w:hAnsi="宋体" w:cs="宋体"/>
          <w:szCs w:val="21"/>
        </w:rPr>
        <w:t>我单位参与</w:t>
      </w:r>
      <w:r>
        <w:rPr>
          <w:rFonts w:hint="eastAsia" w:ascii="宋体" w:hAnsi="宋体" w:cs="宋体"/>
          <w:szCs w:val="21"/>
          <w:u w:val="single"/>
        </w:rPr>
        <w:t>（项目名称）（项目编号： ）</w:t>
      </w:r>
      <w:r>
        <w:rPr>
          <w:rFonts w:hint="eastAsia" w:ascii="宋体" w:hAnsi="宋体" w:cs="宋体"/>
          <w:szCs w:val="21"/>
        </w:rPr>
        <w:t>项目的政府采购活动，现承诺如下：</w:t>
      </w:r>
    </w:p>
    <w:p w14:paraId="47F02076">
      <w:pPr>
        <w:spacing w:line="360" w:lineRule="auto"/>
        <w:ind w:firstLine="420" w:firstLineChars="200"/>
        <w:jc w:val="left"/>
        <w:rPr>
          <w:rFonts w:hint="eastAsia" w:ascii="宋体" w:hAnsi="宋体" w:cs="宋体"/>
          <w:szCs w:val="21"/>
        </w:rPr>
      </w:pPr>
      <w:r>
        <w:rPr>
          <w:rFonts w:hint="eastAsia" w:ascii="宋体" w:hAnsi="宋体" w:cs="宋体"/>
          <w:szCs w:val="21"/>
        </w:rPr>
        <w:t>1.我单位具有符合《中华人民共和国政府采购法》《中华人民共和国政府采购法实施条例》及采购文件资格要求规定的良好的商业信誉和健全的财务会计制度。</w:t>
      </w:r>
    </w:p>
    <w:p w14:paraId="3111CDB7">
      <w:pPr>
        <w:spacing w:line="360" w:lineRule="auto"/>
        <w:ind w:firstLine="420" w:firstLineChars="200"/>
        <w:jc w:val="left"/>
        <w:rPr>
          <w:rFonts w:hint="eastAsia" w:ascii="宋体" w:hAnsi="宋体" w:cs="宋体"/>
          <w:szCs w:val="21"/>
        </w:rPr>
      </w:pPr>
      <w:r>
        <w:rPr>
          <w:rFonts w:hint="eastAsia" w:ascii="宋体" w:hAnsi="宋体" w:cs="宋体"/>
          <w:szCs w:val="21"/>
        </w:rPr>
        <w:t>2.我单位具有符合《中华人民共和国政府采购法》《中华人民共和国政府采购法实施条例》及采购文件资格要求规定的履行合同所必需的设备和专业技术能力。</w:t>
      </w:r>
    </w:p>
    <w:p w14:paraId="47E8D84B">
      <w:pPr>
        <w:spacing w:line="360" w:lineRule="auto"/>
        <w:ind w:firstLine="420" w:firstLineChars="200"/>
        <w:jc w:val="left"/>
        <w:rPr>
          <w:rFonts w:hint="eastAsia" w:ascii="宋体" w:hAnsi="宋体" w:cs="宋体"/>
          <w:szCs w:val="21"/>
        </w:rPr>
      </w:pPr>
      <w:r>
        <w:rPr>
          <w:rFonts w:hint="eastAsia" w:ascii="宋体" w:hAnsi="宋体" w:cs="宋体"/>
          <w:szCs w:val="21"/>
        </w:rPr>
        <w:t>3.我单位具有符合《中华人民共和国政府采购法》《中华人民共和国政府采购法实施条例》及采购文件资格要求规定的依法缴纳税收和社会保障资金的相关证明材料。</w:t>
      </w:r>
    </w:p>
    <w:p w14:paraId="4DEB73C3">
      <w:pPr>
        <w:spacing w:line="360" w:lineRule="auto"/>
        <w:ind w:firstLine="420" w:firstLineChars="200"/>
        <w:jc w:val="left"/>
        <w:rPr>
          <w:rFonts w:hint="eastAsia" w:ascii="宋体" w:hAnsi="宋体" w:cs="宋体"/>
          <w:szCs w:val="21"/>
        </w:rPr>
      </w:pPr>
      <w:r>
        <w:rPr>
          <w:rFonts w:hint="eastAsia" w:ascii="宋体" w:hAnsi="宋体" w:cs="宋体"/>
          <w:szCs w:val="21"/>
        </w:rPr>
        <w:t>4.我单位符合《中华人民共和国政府采购法》《中华人民共和国政府采购法实施条例》及采购文件资格要求规定的在参加政府采购活动前三年内，在经营活动中没有重大违法记录。</w:t>
      </w:r>
    </w:p>
    <w:p w14:paraId="697F5776">
      <w:pPr>
        <w:spacing w:line="360" w:lineRule="auto"/>
        <w:ind w:firstLine="420" w:firstLineChars="200"/>
        <w:jc w:val="left"/>
        <w:rPr>
          <w:rFonts w:hint="eastAsia" w:ascii="宋体" w:hAnsi="宋体" w:cs="宋体"/>
          <w:szCs w:val="21"/>
        </w:rPr>
      </w:pPr>
      <w:r>
        <w:rPr>
          <w:rFonts w:hint="eastAsia" w:ascii="宋体" w:hAnsi="宋体" w:cs="宋体"/>
          <w:szCs w:val="21"/>
        </w:rPr>
        <w:t>5.如违反上述承诺，同意将相关失信行为纳入海口市信用信息共享平台。</w:t>
      </w:r>
    </w:p>
    <w:p w14:paraId="445492AA">
      <w:pPr>
        <w:spacing w:line="360" w:lineRule="auto"/>
        <w:ind w:firstLine="420" w:firstLineChars="200"/>
        <w:jc w:val="left"/>
        <w:rPr>
          <w:rFonts w:hint="eastAsia" w:ascii="宋体" w:hAnsi="宋体" w:cs="宋体"/>
          <w:szCs w:val="21"/>
        </w:rPr>
      </w:pPr>
      <w:r>
        <w:rPr>
          <w:rFonts w:hint="eastAsia" w:ascii="宋体" w:hAnsi="宋体" w:cs="宋体"/>
          <w:szCs w:val="21"/>
        </w:rPr>
        <w:t>6.同意此承诺书在市公共资源中心的政府采购信息发布平台公示，接受社会各界监督。</w:t>
      </w:r>
    </w:p>
    <w:p w14:paraId="6A5965F3">
      <w:pPr>
        <w:spacing w:line="360" w:lineRule="auto"/>
        <w:ind w:firstLine="420" w:firstLineChars="200"/>
        <w:jc w:val="left"/>
        <w:rPr>
          <w:rFonts w:hint="eastAsia" w:ascii="宋体" w:hAnsi="宋体" w:cs="宋体"/>
          <w:szCs w:val="21"/>
        </w:rPr>
      </w:pPr>
      <w:r>
        <w:rPr>
          <w:rFonts w:hint="eastAsia" w:ascii="宋体" w:hAnsi="宋体" w:cs="宋体"/>
          <w:szCs w:val="21"/>
        </w:rPr>
        <w:t>若我单位以上承诺不实，自愿承担提供虚假材料谋取成交、成交的法律责任。</w:t>
      </w:r>
    </w:p>
    <w:p w14:paraId="19636716">
      <w:pPr>
        <w:spacing w:line="360" w:lineRule="auto"/>
        <w:rPr>
          <w:rFonts w:hint="eastAsia" w:ascii="宋体" w:hAnsi="宋体" w:cs="宋体"/>
          <w:szCs w:val="21"/>
        </w:rPr>
      </w:pPr>
    </w:p>
    <w:p w14:paraId="13B27DFC">
      <w:pPr>
        <w:spacing w:line="360" w:lineRule="auto"/>
        <w:ind w:firstLine="420" w:firstLineChars="200"/>
        <w:jc w:val="left"/>
        <w:rPr>
          <w:rFonts w:hint="eastAsia" w:ascii="宋体" w:hAnsi="宋体" w:cs="宋体"/>
          <w:szCs w:val="21"/>
        </w:rPr>
      </w:pPr>
      <w:r>
        <w:rPr>
          <w:rFonts w:hint="eastAsia" w:ascii="宋体" w:hAnsi="宋体" w:cs="宋体"/>
          <w:szCs w:val="21"/>
        </w:rPr>
        <w:t>承诺供应商（全称并加盖公章）：</w:t>
      </w:r>
    </w:p>
    <w:p w14:paraId="597FB7B0">
      <w:pPr>
        <w:spacing w:line="360" w:lineRule="auto"/>
        <w:ind w:firstLine="420" w:firstLineChars="200"/>
        <w:jc w:val="left"/>
        <w:rPr>
          <w:rFonts w:hint="eastAsia" w:ascii="宋体" w:hAnsi="宋体" w:cs="宋体"/>
          <w:szCs w:val="21"/>
        </w:rPr>
      </w:pPr>
      <w:r>
        <w:rPr>
          <w:rFonts w:hint="eastAsia" w:ascii="宋体" w:hAnsi="宋体" w:cs="宋体"/>
          <w:szCs w:val="21"/>
        </w:rPr>
        <w:t>单位负责人或授权代表（签字）：</w:t>
      </w:r>
    </w:p>
    <w:p w14:paraId="40E09C91">
      <w:pPr>
        <w:spacing w:line="360" w:lineRule="auto"/>
        <w:ind w:firstLine="420" w:firstLineChars="200"/>
        <w:jc w:val="left"/>
        <w:rPr>
          <w:rFonts w:hint="eastAsia" w:ascii="宋体" w:hAnsi="宋体" w:cs="宋体"/>
          <w:szCs w:val="21"/>
        </w:rPr>
      </w:pPr>
      <w:r>
        <w:rPr>
          <w:rFonts w:hint="eastAsia" w:ascii="宋体" w:hAnsi="宋体" w:cs="宋体"/>
          <w:szCs w:val="21"/>
        </w:rPr>
        <w:t>日期：</w:t>
      </w:r>
    </w:p>
    <w:p w14:paraId="681E1566">
      <w:pPr>
        <w:adjustRightInd w:val="0"/>
        <w:snapToGrid w:val="0"/>
        <w:spacing w:line="360" w:lineRule="auto"/>
        <w:ind w:firstLine="420" w:firstLineChars="200"/>
        <w:rPr>
          <w:rFonts w:hint="eastAsia" w:ascii="宋体" w:hAnsi="宋体" w:cs="宋体"/>
          <w:szCs w:val="21"/>
        </w:rPr>
        <w:sectPr>
          <w:pgSz w:w="11906" w:h="16838"/>
          <w:pgMar w:top="1440" w:right="1800" w:bottom="1440" w:left="1800" w:header="794" w:footer="992" w:gutter="0"/>
          <w:cols w:space="425" w:num="1"/>
          <w:docGrid w:type="lines" w:linePitch="312" w:charSpace="0"/>
        </w:sectPr>
      </w:pPr>
    </w:p>
    <w:p w14:paraId="4503F190">
      <w:pPr>
        <w:adjustRightInd w:val="0"/>
        <w:snapToGrid w:val="0"/>
        <w:spacing w:line="360" w:lineRule="auto"/>
        <w:rPr>
          <w:rFonts w:hint="eastAsia" w:asciiTheme="minorEastAsia" w:hAnsiTheme="minorEastAsia" w:eastAsiaTheme="minorEastAsia" w:cstheme="minorEastAsia"/>
          <w:b/>
          <w:szCs w:val="21"/>
        </w:rPr>
      </w:pPr>
    </w:p>
    <w:p w14:paraId="5043629A">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附件1：                     中小企业声明函（服务类）</w:t>
      </w:r>
    </w:p>
    <w:p w14:paraId="558598F4">
      <w:pPr>
        <w:adjustRightInd w:val="0"/>
        <w:snapToGrid w:val="0"/>
        <w:spacing w:line="360" w:lineRule="auto"/>
        <w:ind w:firstLine="630" w:firstLineChars="300"/>
        <w:rPr>
          <w:rFonts w:hint="eastAsia" w:asciiTheme="minorEastAsia" w:hAnsiTheme="minorEastAsia" w:eastAsiaTheme="minorEastAsia" w:cstheme="minorEastAsia"/>
          <w:bCs/>
          <w:szCs w:val="21"/>
        </w:rPr>
      </w:pPr>
    </w:p>
    <w:p w14:paraId="6E9588A4">
      <w:pPr>
        <w:adjustRightInd w:val="0"/>
        <w:snapToGrid w:val="0"/>
        <w:spacing w:line="360" w:lineRule="auto"/>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本公司（联合体）郑重声明，根据《政府采购促进中小企业发展管理办法》（财库﹝2020﹞46 号）的规定，本公司参加</w:t>
      </w:r>
      <w:r>
        <w:rPr>
          <w:rFonts w:hint="eastAsia" w:asciiTheme="minorEastAsia" w:hAnsiTheme="minorEastAsia" w:eastAsiaTheme="minorEastAsia" w:cstheme="minorEastAsia"/>
          <w:bCs/>
          <w:szCs w:val="21"/>
          <w:u w:val="single"/>
        </w:rPr>
        <w:t>（单位名称）</w:t>
      </w:r>
      <w:r>
        <w:rPr>
          <w:rFonts w:hint="eastAsia" w:asciiTheme="minorEastAsia" w:hAnsiTheme="minorEastAsia" w:eastAsiaTheme="minorEastAsia" w:cstheme="minorEastAsia"/>
          <w:bCs/>
          <w:szCs w:val="21"/>
        </w:rPr>
        <w:t>的</w:t>
      </w:r>
      <w:r>
        <w:rPr>
          <w:rFonts w:hint="eastAsia" w:asciiTheme="minorEastAsia" w:hAnsiTheme="minorEastAsia" w:eastAsiaTheme="minorEastAsia" w:cstheme="minorEastAsia"/>
          <w:bCs/>
          <w:szCs w:val="21"/>
          <w:u w:val="single"/>
        </w:rPr>
        <w:t>（项目名称、项目编号、包号）</w:t>
      </w:r>
      <w:r>
        <w:rPr>
          <w:rFonts w:hint="eastAsia" w:asciiTheme="minorEastAsia" w:hAnsiTheme="minorEastAsia" w:eastAsiaTheme="minorEastAsia" w:cstheme="minorEastAsia"/>
          <w:bCs/>
          <w:szCs w:val="21"/>
        </w:rPr>
        <w:t>采购活动，服务全部由符合政策要求的中小企业承接。相关企业（含联合体中的中小企业、签订分包意向协议的中小企业）的具体情况如下：</w:t>
      </w:r>
    </w:p>
    <w:p w14:paraId="79D5BBE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人，营业收入为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万元，资产总额为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14:paraId="53AC6379">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 </w:t>
      </w:r>
      <w:r>
        <w:rPr>
          <w:rFonts w:hint="eastAsia" w:asciiTheme="minorEastAsia" w:hAnsiTheme="minorEastAsia" w:eastAsiaTheme="minorEastAsia" w:cstheme="minorEastAsia"/>
          <w:bCs/>
          <w:szCs w:val="21"/>
          <w:u w:val="single"/>
        </w:rPr>
        <w:t>（标的名称）</w:t>
      </w:r>
      <w:r>
        <w:rPr>
          <w:rFonts w:hint="eastAsia" w:asciiTheme="minorEastAsia" w:hAnsiTheme="minorEastAsia" w:eastAsiaTheme="minorEastAsia" w:cstheme="minorEastAsia"/>
          <w:bCs/>
          <w:szCs w:val="21"/>
        </w:rPr>
        <w:t>，属于</w:t>
      </w:r>
      <w:r>
        <w:rPr>
          <w:rFonts w:hint="eastAsia" w:asciiTheme="minorEastAsia" w:hAnsiTheme="minorEastAsia" w:eastAsiaTheme="minorEastAsia" w:cstheme="minorEastAsia"/>
          <w:bCs/>
          <w:szCs w:val="21"/>
          <w:u w:val="single"/>
        </w:rPr>
        <w:t>（采购文件中明确的所属行业）</w:t>
      </w:r>
      <w:r>
        <w:rPr>
          <w:rFonts w:hint="eastAsia" w:asciiTheme="minorEastAsia" w:hAnsiTheme="minorEastAsia" w:eastAsiaTheme="minorEastAsia" w:cstheme="minorEastAsia"/>
          <w:bCs/>
          <w:szCs w:val="21"/>
        </w:rPr>
        <w:t>；承接企业为</w:t>
      </w:r>
      <w:r>
        <w:rPr>
          <w:rFonts w:hint="eastAsia" w:asciiTheme="minorEastAsia" w:hAnsiTheme="minorEastAsia" w:eastAsiaTheme="minorEastAsia" w:cstheme="minorEastAsia"/>
          <w:bCs/>
          <w:szCs w:val="21"/>
          <w:u w:val="single"/>
        </w:rPr>
        <w:t>（企业名称）</w:t>
      </w:r>
      <w:r>
        <w:rPr>
          <w:rFonts w:hint="eastAsia" w:asciiTheme="minorEastAsia" w:hAnsiTheme="minorEastAsia" w:eastAsiaTheme="minorEastAsia" w:cstheme="minorEastAsia"/>
          <w:bCs/>
          <w:szCs w:val="21"/>
        </w:rPr>
        <w:t>，从业人员</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人，营业收入为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万元，资产总额为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万元，属于</w:t>
      </w:r>
      <w:r>
        <w:rPr>
          <w:rFonts w:hint="eastAsia" w:asciiTheme="minorEastAsia" w:hAnsiTheme="minorEastAsia" w:eastAsiaTheme="minorEastAsia" w:cstheme="minorEastAsia"/>
          <w:bCs/>
          <w:szCs w:val="21"/>
          <w:u w:val="single"/>
        </w:rPr>
        <w:t>（中型企业、小型企业、微型企业）</w:t>
      </w:r>
      <w:r>
        <w:rPr>
          <w:rFonts w:hint="eastAsia" w:asciiTheme="minorEastAsia" w:hAnsiTheme="minorEastAsia" w:eastAsiaTheme="minorEastAsia" w:cstheme="minorEastAsia"/>
          <w:bCs/>
          <w:szCs w:val="21"/>
        </w:rPr>
        <w:t>；</w:t>
      </w:r>
    </w:p>
    <w:p w14:paraId="76EEDD2D">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p w14:paraId="7661C554">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以上企业，不属于大企业的分支机构，不存在控股股东为大企业的情形，也不存在与大企业的负责人为同一人的情形。</w:t>
      </w:r>
    </w:p>
    <w:p w14:paraId="0D17D7AE">
      <w:pPr>
        <w:adjustRightInd w:val="0"/>
        <w:snapToGrid w:val="0"/>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本企业对上述声明内容的真实性负责。如有虚假，将依法承担相应责任。</w:t>
      </w:r>
    </w:p>
    <w:p w14:paraId="58060A9E">
      <w:pPr>
        <w:adjustRightInd w:val="0"/>
        <w:snapToGrid w:val="0"/>
        <w:spacing w:line="360" w:lineRule="auto"/>
        <w:ind w:firstLine="2940" w:firstLineChars="1400"/>
        <w:rPr>
          <w:rFonts w:hint="eastAsia" w:asciiTheme="minorEastAsia" w:hAnsiTheme="minorEastAsia" w:eastAsiaTheme="minorEastAsia" w:cstheme="minorEastAsia"/>
          <w:bCs/>
          <w:szCs w:val="21"/>
        </w:rPr>
      </w:pPr>
    </w:p>
    <w:p w14:paraId="489FE7C8">
      <w:pPr>
        <w:pStyle w:val="6"/>
        <w:adjustRightInd w:val="0"/>
        <w:snapToGrid w:val="0"/>
        <w:spacing w:line="360" w:lineRule="auto"/>
        <w:ind w:firstLine="3990" w:firstLineChars="19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供应商名称（盖章）：</w:t>
      </w:r>
    </w:p>
    <w:p w14:paraId="2F99D856">
      <w:pPr>
        <w:adjustRightInd w:val="0"/>
        <w:snapToGrid w:val="0"/>
        <w:spacing w:line="360" w:lineRule="auto"/>
        <w:ind w:firstLine="3990" w:firstLineChars="19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日期：</w:t>
      </w:r>
    </w:p>
    <w:p w14:paraId="1702F17C">
      <w:pPr>
        <w:adjustRightInd w:val="0"/>
        <w:snapToGrid w:val="0"/>
        <w:spacing w:line="360" w:lineRule="auto"/>
        <w:rPr>
          <w:rFonts w:hint="eastAsia" w:asciiTheme="minorEastAsia" w:hAnsiTheme="minorEastAsia" w:eastAsiaTheme="minorEastAsia" w:cstheme="minorEastAsia"/>
          <w:bCs/>
          <w:szCs w:val="21"/>
        </w:rPr>
      </w:pPr>
    </w:p>
    <w:p w14:paraId="3601A8DD">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p w14:paraId="5C1E2701">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①从业人员、营业收入、资产总额填报上一年度数据，无上一年度数据的新成立企业可不填报。</w:t>
      </w:r>
    </w:p>
    <w:p w14:paraId="68482E0D">
      <w:pPr>
        <w:adjustRightInd w:val="0"/>
        <w:snapToGrid w:val="0"/>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②供应商提供《中小企业声明函》内容不实的，属于“隐瞒真实情况，提供虚假资料的” 情形，依照有关规定追究相应责任。</w:t>
      </w:r>
    </w:p>
    <w:p w14:paraId="29EC8A16">
      <w:pPr>
        <w:adjustRightInd w:val="0"/>
        <w:snapToGrid w:val="0"/>
        <w:spacing w:line="360" w:lineRule="auto"/>
        <w:jc w:val="center"/>
        <w:rPr>
          <w:rFonts w:hint="eastAsia" w:asciiTheme="minorEastAsia" w:hAnsiTheme="minorEastAsia" w:eastAsiaTheme="minorEastAsia" w:cstheme="minorEastAsia"/>
          <w:bCs/>
          <w:szCs w:val="21"/>
        </w:rPr>
      </w:pPr>
    </w:p>
    <w:p w14:paraId="4451A38E">
      <w:pPr>
        <w:adjustRightInd w:val="0"/>
        <w:snapToGrid w:val="0"/>
        <w:spacing w:line="360" w:lineRule="auto"/>
        <w:jc w:val="center"/>
        <w:rPr>
          <w:rFonts w:hint="eastAsia" w:asciiTheme="minorEastAsia" w:hAnsiTheme="minorEastAsia" w:eastAsiaTheme="minorEastAsia" w:cstheme="minorEastAsia"/>
          <w:bCs/>
          <w:szCs w:val="21"/>
        </w:rPr>
      </w:pPr>
    </w:p>
    <w:p w14:paraId="386363BF">
      <w:pPr>
        <w:adjustRightInd w:val="0"/>
        <w:snapToGrid w:val="0"/>
        <w:spacing w:line="360" w:lineRule="auto"/>
        <w:jc w:val="center"/>
        <w:rPr>
          <w:rFonts w:hint="eastAsia" w:asciiTheme="minorEastAsia" w:hAnsiTheme="minorEastAsia" w:eastAsiaTheme="minorEastAsia" w:cstheme="minorEastAsia"/>
          <w:bCs/>
          <w:szCs w:val="21"/>
        </w:rPr>
      </w:pPr>
    </w:p>
    <w:p w14:paraId="682D1FE4">
      <w:pPr>
        <w:adjustRightInd w:val="0"/>
        <w:snapToGrid w:val="0"/>
        <w:spacing w:line="360" w:lineRule="auto"/>
        <w:jc w:val="center"/>
        <w:rPr>
          <w:rFonts w:hint="eastAsia" w:asciiTheme="minorEastAsia" w:hAnsiTheme="minorEastAsia" w:eastAsiaTheme="minorEastAsia" w:cstheme="minorEastAsia"/>
          <w:bCs/>
          <w:szCs w:val="21"/>
        </w:rPr>
      </w:pPr>
    </w:p>
    <w:p w14:paraId="1BADF07A">
      <w:pPr>
        <w:adjustRightInd w:val="0"/>
        <w:snapToGrid w:val="0"/>
        <w:spacing w:line="360" w:lineRule="auto"/>
        <w:rPr>
          <w:rFonts w:hint="eastAsia" w:asciiTheme="minorEastAsia" w:hAnsiTheme="minorEastAsia" w:eastAsiaTheme="minorEastAsia" w:cstheme="minorEastAsia"/>
          <w:bCs/>
          <w:szCs w:val="21"/>
          <w:lang w:val="zh-CN"/>
        </w:rPr>
      </w:pPr>
    </w:p>
    <w:p w14:paraId="16D29B5D">
      <w:pPr>
        <w:adjustRightInd w:val="0"/>
        <w:snapToGrid w:val="0"/>
        <w:spacing w:line="360" w:lineRule="auto"/>
        <w:rPr>
          <w:rFonts w:hint="eastAsia" w:asciiTheme="minorEastAsia" w:hAnsiTheme="minorEastAsia" w:eastAsiaTheme="minorEastAsia" w:cstheme="minorEastAsia"/>
          <w:bCs/>
          <w:szCs w:val="21"/>
          <w:lang w:val="zh-CN"/>
        </w:rPr>
      </w:pPr>
    </w:p>
    <w:p w14:paraId="275CCD3E">
      <w:pPr>
        <w:adjustRightInd w:val="0"/>
        <w:snapToGrid w:val="0"/>
        <w:spacing w:line="360" w:lineRule="auto"/>
        <w:rPr>
          <w:rFonts w:hint="eastAsia" w:asciiTheme="minorEastAsia" w:hAnsiTheme="minorEastAsia" w:eastAsiaTheme="minorEastAsia" w:cstheme="minorEastAsia"/>
          <w:b/>
          <w:szCs w:val="21"/>
          <w:lang w:val="zh-CN"/>
        </w:rPr>
      </w:pPr>
    </w:p>
    <w:p w14:paraId="03CD83B2">
      <w:pPr>
        <w:adjustRightInd w:val="0"/>
        <w:snapToGrid w:val="0"/>
        <w:spacing w:line="360" w:lineRule="auto"/>
        <w:rPr>
          <w:rFonts w:hint="eastAsia" w:asciiTheme="minorEastAsia" w:hAnsiTheme="minorEastAsia" w:eastAsiaTheme="minorEastAsia" w:cstheme="minorEastAsia"/>
          <w:b/>
          <w:szCs w:val="21"/>
          <w:lang w:val="zh-CN"/>
        </w:rPr>
      </w:pPr>
    </w:p>
    <w:p w14:paraId="080FC341">
      <w:pPr>
        <w:adjustRightInd w:val="0"/>
        <w:snapToGrid w:val="0"/>
        <w:spacing w:line="360" w:lineRule="auto"/>
        <w:rPr>
          <w:rFonts w:hint="eastAsia" w:asciiTheme="minorEastAsia" w:hAnsiTheme="minorEastAsia" w:eastAsiaTheme="minorEastAsia" w:cstheme="minorEastAsia"/>
          <w:b/>
          <w:szCs w:val="21"/>
          <w:lang w:val="zh-CN"/>
        </w:rPr>
      </w:pPr>
    </w:p>
    <w:p w14:paraId="7D8010F4">
      <w:pPr>
        <w:adjustRightInd w:val="0"/>
        <w:snapToGrid w:val="0"/>
        <w:spacing w:line="360" w:lineRule="auto"/>
        <w:rPr>
          <w:rFonts w:hint="eastAsia" w:asciiTheme="minorEastAsia" w:hAnsiTheme="minorEastAsia" w:eastAsiaTheme="minorEastAsia" w:cstheme="minorEastAsia"/>
          <w:b/>
          <w:szCs w:val="21"/>
          <w:lang w:val="zh-CN"/>
        </w:rPr>
      </w:pPr>
    </w:p>
    <w:p w14:paraId="3D17EF53">
      <w:pPr>
        <w:adjustRightInd w:val="0"/>
        <w:snapToGrid w:val="0"/>
        <w:spacing w:line="360" w:lineRule="auto"/>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附件</w:t>
      </w: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Cs w:val="21"/>
          <w:lang w:val="zh-CN"/>
        </w:rPr>
        <w:t>：监狱企业证明文件</w:t>
      </w:r>
    </w:p>
    <w:p w14:paraId="74A46BE2">
      <w:pPr>
        <w:adjustRightInd w:val="0"/>
        <w:snapToGrid w:val="0"/>
        <w:spacing w:line="360" w:lineRule="auto"/>
        <w:rPr>
          <w:szCs w:val="21"/>
          <w:lang w:val="zh-CN"/>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szCs w:val="21"/>
          <w:lang w:val="zh-CN"/>
        </w:rPr>
        <w:t>享受</w:t>
      </w:r>
      <w:r>
        <w:rPr>
          <w:rFonts w:hint="eastAsia"/>
          <w:szCs w:val="21"/>
          <w:lang w:val="zh-CN"/>
        </w:rPr>
        <w:t>政策优惠的监狱企业须提供由省级以上监狱管理局、戒毒管理局（含新疆生产建设兵团）出具的属于监狱企业的证明文件。</w:t>
      </w:r>
    </w:p>
    <w:p w14:paraId="65EF4239">
      <w:pPr>
        <w:adjustRightInd w:val="0"/>
        <w:snapToGrid w:val="0"/>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附件4 ：残疾人福利性单位声明函</w:t>
      </w:r>
    </w:p>
    <w:p w14:paraId="17D684C6">
      <w:pPr>
        <w:adjustRightInd w:val="0"/>
        <w:snapToGrid w:val="0"/>
        <w:spacing w:line="560" w:lineRule="exact"/>
        <w:ind w:firstLine="420" w:firstLineChars="200"/>
        <w:rPr>
          <w:rFonts w:hint="eastAsia" w:asciiTheme="minorEastAsia" w:hAnsiTheme="minorEastAsia" w:eastAsiaTheme="minorEastAsia" w:cstheme="minorEastAsia"/>
          <w:szCs w:val="21"/>
        </w:rPr>
      </w:pPr>
    </w:p>
    <w:p w14:paraId="7562F69B">
      <w:pPr>
        <w:adjustRightInd w:val="0"/>
        <w:snapToGrid w:val="0"/>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Cs/>
          <w:szCs w:val="21"/>
          <w:u w:val="single"/>
        </w:rPr>
        <w:t>（项目名称、项目编号、包号）</w:t>
      </w:r>
      <w:r>
        <w:rPr>
          <w:rFonts w:hint="eastAsia" w:asciiTheme="minorEastAsia" w:hAnsiTheme="minorEastAsia" w:eastAsiaTheme="minorEastAsia" w:cstheme="minorEastAsia"/>
          <w:szCs w:val="21"/>
        </w:rPr>
        <w:t>项目采购活动提供本单位制造的货物（由本单位承担工程/提供服务），或者提供其他残疾人福利性单位制造的货物（不包括使用非残疾人福利性单位注册商标的货物）。 </w:t>
      </w:r>
    </w:p>
    <w:p w14:paraId="43E95323">
      <w:pPr>
        <w:adjustRightInd w:val="0"/>
        <w:snapToGrid w:val="0"/>
        <w:spacing w:line="5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3A1875F5">
      <w:pPr>
        <w:adjustRightInd w:val="0"/>
        <w:snapToGrid w:val="0"/>
        <w:spacing w:line="360" w:lineRule="auto"/>
        <w:ind w:firstLine="3570" w:firstLineChars="1700"/>
        <w:rPr>
          <w:rFonts w:hint="eastAsia" w:asciiTheme="minorEastAsia" w:hAnsiTheme="minorEastAsia" w:eastAsiaTheme="minorEastAsia" w:cstheme="minorEastAsia"/>
          <w:szCs w:val="21"/>
        </w:rPr>
      </w:pPr>
    </w:p>
    <w:p w14:paraId="4A638F63">
      <w:pPr>
        <w:adjustRightInd w:val="0"/>
        <w:snapToGrid w:val="0"/>
        <w:spacing w:line="360" w:lineRule="auto"/>
        <w:ind w:firstLine="3570" w:firstLineChars="1700"/>
        <w:rPr>
          <w:rFonts w:hint="eastAsia" w:asciiTheme="minorEastAsia" w:hAnsiTheme="minorEastAsia" w:eastAsiaTheme="minorEastAsia" w:cstheme="minorEastAsia"/>
          <w:szCs w:val="21"/>
        </w:rPr>
      </w:pPr>
    </w:p>
    <w:p w14:paraId="166D400B">
      <w:pPr>
        <w:spacing w:line="360" w:lineRule="auto"/>
        <w:ind w:firstLine="3570" w:firstLineChars="1700"/>
        <w:rPr>
          <w:rFonts w:hint="eastAsia" w:ascii="宋体" w:hAnsi="宋体" w:cs="宋体"/>
          <w:bCs/>
          <w:szCs w:val="21"/>
        </w:rPr>
      </w:pPr>
      <w:r>
        <w:rPr>
          <w:rFonts w:hint="eastAsia" w:ascii="宋体" w:hAnsi="宋体" w:cs="宋体"/>
          <w:bCs/>
          <w:szCs w:val="21"/>
        </w:rPr>
        <w:t>单位名称（盖章）：</w:t>
      </w:r>
    </w:p>
    <w:p w14:paraId="653E59D0">
      <w:pPr>
        <w:spacing w:line="360" w:lineRule="auto"/>
        <w:ind w:firstLine="3570" w:firstLineChars="1700"/>
        <w:rPr>
          <w:rFonts w:hint="eastAsia" w:ascii="宋体" w:hAnsi="宋体" w:cs="宋体"/>
          <w:bCs/>
          <w:szCs w:val="21"/>
        </w:rPr>
      </w:pPr>
      <w:r>
        <w:rPr>
          <w:rFonts w:hint="eastAsia" w:ascii="宋体" w:hAnsi="宋体" w:cs="宋体"/>
          <w:bCs/>
          <w:szCs w:val="21"/>
        </w:rPr>
        <w:t>日期：</w:t>
      </w:r>
    </w:p>
    <w:p w14:paraId="6282F9B9">
      <w:pPr>
        <w:spacing w:line="360" w:lineRule="auto"/>
        <w:ind w:firstLine="561"/>
        <w:rPr>
          <w:rFonts w:hint="eastAsia" w:ascii="宋体" w:hAnsi="宋体" w:cs="宋体"/>
          <w:bCs/>
          <w:szCs w:val="21"/>
        </w:rPr>
      </w:pPr>
    </w:p>
    <w:p w14:paraId="170784D7">
      <w:pPr>
        <w:adjustRightInd w:val="0"/>
        <w:snapToGrid w:val="0"/>
        <w:spacing w:line="360" w:lineRule="auto"/>
        <w:ind w:firstLine="3570" w:firstLineChars="1700"/>
        <w:rPr>
          <w:rFonts w:hint="eastAsia" w:asciiTheme="minorEastAsia" w:hAnsiTheme="minorEastAsia" w:eastAsiaTheme="minorEastAsia" w:cstheme="minorEastAsia"/>
          <w:szCs w:val="21"/>
        </w:rPr>
      </w:pPr>
    </w:p>
    <w:p w14:paraId="23B8360A">
      <w:pPr>
        <w:adjustRightInd w:val="0"/>
        <w:snapToGrid w:val="0"/>
        <w:spacing w:line="360" w:lineRule="auto"/>
        <w:rPr>
          <w:rFonts w:hint="eastAsia" w:asciiTheme="minorEastAsia" w:hAnsiTheme="minorEastAsia" w:eastAsiaTheme="minorEastAsia" w:cstheme="minorEastAsia"/>
          <w:szCs w:val="21"/>
        </w:rPr>
      </w:pP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2ED1">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DD31">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1BDDD31">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742618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2F1F">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BC71">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E31BC71">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14:paraId="6C51D52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3C4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C44B8">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1C44B8">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288D">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D654">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1E89">
    <w:pPr>
      <w:pStyle w:val="10"/>
      <w:outlineLvl w:val="0"/>
      <w:rPr>
        <w:rFonts w:hint="eastAsia"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5440F482">
    <w:pPr>
      <w:pStyle w:val="10"/>
      <w:ind w:left="3975" w:leftChars="1893" w:firstLine="2741" w:firstLineChars="1300"/>
      <w:outlineLvl w:val="0"/>
      <w:rPr>
        <w:rFonts w:hint="eastAsia" w:hAnsi="宋体"/>
        <w:b/>
        <w:bCs/>
        <w:szCs w:val="21"/>
      </w:rPr>
    </w:pPr>
    <w:r>
      <w:rPr>
        <w:rFonts w:hint="eastAsia" w:hAnsi="宋体"/>
        <w:b/>
        <w:bCs/>
        <w:szCs w:val="21"/>
      </w:rPr>
      <w:t>/HKGP-2021-0038</w:t>
    </w:r>
  </w:p>
  <w:p w14:paraId="4A408909">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2D9F">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0F74F"/>
    <w:multiLevelType w:val="singleLevel"/>
    <w:tmpl w:val="86D0F74F"/>
    <w:lvl w:ilvl="0" w:tentative="0">
      <w:start w:val="1"/>
      <w:numFmt w:val="chineseCounting"/>
      <w:suff w:val="nothing"/>
      <w:lvlText w:val="%1、"/>
      <w:lvlJc w:val="left"/>
      <w:rPr>
        <w:rFonts w:hint="eastAsia"/>
      </w:rPr>
    </w:lvl>
  </w:abstractNum>
  <w:abstractNum w:abstractNumId="1">
    <w:nsid w:val="BCCEEAF6"/>
    <w:multiLevelType w:val="singleLevel"/>
    <w:tmpl w:val="BCCEEAF6"/>
    <w:lvl w:ilvl="0" w:tentative="0">
      <w:start w:val="1"/>
      <w:numFmt w:val="decimal"/>
      <w:suff w:val="nothing"/>
      <w:lvlText w:val="%1、"/>
      <w:lvlJc w:val="left"/>
    </w:lvl>
  </w:abstractNum>
  <w:abstractNum w:abstractNumId="2">
    <w:nsid w:val="0000000A"/>
    <w:multiLevelType w:val="multilevel"/>
    <w:tmpl w:val="0000000A"/>
    <w:lvl w:ilvl="0" w:tentative="0">
      <w:start w:val="1"/>
      <w:numFmt w:val="chineseCountingThousand"/>
      <w:lvlText w:val="%1、"/>
      <w:lvlJc w:val="left"/>
      <w:pPr>
        <w:tabs>
          <w:tab w:val="left" w:pos="1000"/>
        </w:tabs>
        <w:ind w:left="1000" w:hanging="420"/>
      </w:pPr>
      <w:rPr>
        <w:rFonts w:hint="eastAsia" w:eastAsia="黑体"/>
        <w:b w:val="0"/>
      </w:rPr>
    </w:lvl>
    <w:lvl w:ilvl="1" w:tentative="0">
      <w:start w:val="1"/>
      <w:numFmt w:val="chineseCountingThousand"/>
      <w:lvlText w:val="（%2）"/>
      <w:lvlJc w:val="right"/>
      <w:pPr>
        <w:tabs>
          <w:tab w:val="left" w:pos="1170"/>
        </w:tabs>
        <w:ind w:left="1170" w:hanging="170"/>
      </w:pPr>
      <w:rPr>
        <w:rFonts w:hint="eastAsia"/>
      </w:rPr>
    </w:lvl>
    <w:lvl w:ilvl="2" w:tentative="0">
      <w:start w:val="1"/>
      <w:numFmt w:val="decimal"/>
      <w:lvlText w:val="%3．"/>
      <w:lvlJc w:val="left"/>
      <w:pPr>
        <w:tabs>
          <w:tab w:val="left" w:pos="2140"/>
        </w:tabs>
        <w:ind w:left="2140" w:hanging="720"/>
      </w:pPr>
      <w:rPr>
        <w:rFonts w:hint="default"/>
        <w:b/>
      </w:rPr>
    </w:lvl>
    <w:lvl w:ilvl="3" w:tentative="0">
      <w:start w:val="1"/>
      <w:numFmt w:val="decimal"/>
      <w:lvlText w:val="%4."/>
      <w:lvlJc w:val="left"/>
      <w:pPr>
        <w:tabs>
          <w:tab w:val="left" w:pos="2260"/>
        </w:tabs>
        <w:ind w:left="2260" w:hanging="420"/>
      </w:pPr>
    </w:lvl>
    <w:lvl w:ilvl="4" w:tentative="0">
      <w:start w:val="1"/>
      <w:numFmt w:val="lowerLetter"/>
      <w:lvlText w:val="%5)"/>
      <w:lvlJc w:val="left"/>
      <w:pPr>
        <w:tabs>
          <w:tab w:val="left" w:pos="2680"/>
        </w:tabs>
        <w:ind w:left="2680" w:hanging="420"/>
      </w:pPr>
    </w:lvl>
    <w:lvl w:ilvl="5" w:tentative="0">
      <w:start w:val="1"/>
      <w:numFmt w:val="lowerRoman"/>
      <w:lvlText w:val="%6."/>
      <w:lvlJc w:val="right"/>
      <w:pPr>
        <w:tabs>
          <w:tab w:val="left" w:pos="3100"/>
        </w:tabs>
        <w:ind w:left="3100" w:hanging="420"/>
      </w:pPr>
    </w:lvl>
    <w:lvl w:ilvl="6" w:tentative="0">
      <w:start w:val="1"/>
      <w:numFmt w:val="decimal"/>
      <w:lvlText w:val="%7."/>
      <w:lvlJc w:val="left"/>
      <w:pPr>
        <w:tabs>
          <w:tab w:val="left" w:pos="3520"/>
        </w:tabs>
        <w:ind w:left="3520" w:hanging="420"/>
      </w:pPr>
    </w:lvl>
    <w:lvl w:ilvl="7" w:tentative="0">
      <w:start w:val="1"/>
      <w:numFmt w:val="lowerLetter"/>
      <w:lvlText w:val="%8)"/>
      <w:lvlJc w:val="left"/>
      <w:pPr>
        <w:tabs>
          <w:tab w:val="left" w:pos="3940"/>
        </w:tabs>
        <w:ind w:left="3940" w:hanging="420"/>
      </w:pPr>
    </w:lvl>
    <w:lvl w:ilvl="8" w:tentative="0">
      <w:start w:val="1"/>
      <w:numFmt w:val="lowerRoman"/>
      <w:lvlText w:val="%9."/>
      <w:lvlJc w:val="right"/>
      <w:pPr>
        <w:tabs>
          <w:tab w:val="left" w:pos="4360"/>
        </w:tabs>
        <w:ind w:left="4360" w:hanging="420"/>
      </w:pPr>
    </w:lvl>
  </w:abstractNum>
  <w:abstractNum w:abstractNumId="3">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73F9D"/>
    <w:rsid w:val="001232AA"/>
    <w:rsid w:val="00252777"/>
    <w:rsid w:val="003216DB"/>
    <w:rsid w:val="00372CE9"/>
    <w:rsid w:val="00407E90"/>
    <w:rsid w:val="005D103E"/>
    <w:rsid w:val="005F4489"/>
    <w:rsid w:val="007F0A6B"/>
    <w:rsid w:val="007F2405"/>
    <w:rsid w:val="00801901"/>
    <w:rsid w:val="00847139"/>
    <w:rsid w:val="009A1606"/>
    <w:rsid w:val="009B4088"/>
    <w:rsid w:val="009C5FE5"/>
    <w:rsid w:val="00A63F7E"/>
    <w:rsid w:val="00AB7237"/>
    <w:rsid w:val="00AE4CC8"/>
    <w:rsid w:val="00B97FC7"/>
    <w:rsid w:val="00BD2CD2"/>
    <w:rsid w:val="00BE2049"/>
    <w:rsid w:val="00C16E29"/>
    <w:rsid w:val="00CF3B3E"/>
    <w:rsid w:val="00E737BD"/>
    <w:rsid w:val="00F235E2"/>
    <w:rsid w:val="012F0CEC"/>
    <w:rsid w:val="0159347F"/>
    <w:rsid w:val="01816A09"/>
    <w:rsid w:val="02213014"/>
    <w:rsid w:val="022D30DA"/>
    <w:rsid w:val="02455925"/>
    <w:rsid w:val="02D219C4"/>
    <w:rsid w:val="03231259"/>
    <w:rsid w:val="033B0CFE"/>
    <w:rsid w:val="034F7EF4"/>
    <w:rsid w:val="03854560"/>
    <w:rsid w:val="03BF4CCA"/>
    <w:rsid w:val="03C14561"/>
    <w:rsid w:val="040D3C69"/>
    <w:rsid w:val="04261197"/>
    <w:rsid w:val="04567564"/>
    <w:rsid w:val="04630F4A"/>
    <w:rsid w:val="049B5476"/>
    <w:rsid w:val="04E03371"/>
    <w:rsid w:val="052D4ADE"/>
    <w:rsid w:val="055E210C"/>
    <w:rsid w:val="056A57F8"/>
    <w:rsid w:val="05F21DE6"/>
    <w:rsid w:val="06473D8B"/>
    <w:rsid w:val="064E6865"/>
    <w:rsid w:val="06984B35"/>
    <w:rsid w:val="06EC4087"/>
    <w:rsid w:val="07050876"/>
    <w:rsid w:val="071D0355"/>
    <w:rsid w:val="073851BD"/>
    <w:rsid w:val="079916A9"/>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2F7010"/>
    <w:rsid w:val="0A586351"/>
    <w:rsid w:val="0A6C5BDB"/>
    <w:rsid w:val="0A7B7C6C"/>
    <w:rsid w:val="0A89454C"/>
    <w:rsid w:val="0AA52631"/>
    <w:rsid w:val="0AD87214"/>
    <w:rsid w:val="0AF21923"/>
    <w:rsid w:val="0AFD710E"/>
    <w:rsid w:val="0BB7140A"/>
    <w:rsid w:val="0BBC0022"/>
    <w:rsid w:val="0BD90EE9"/>
    <w:rsid w:val="0C234952"/>
    <w:rsid w:val="0C282C80"/>
    <w:rsid w:val="0C747BE1"/>
    <w:rsid w:val="0C796895"/>
    <w:rsid w:val="0C8D7232"/>
    <w:rsid w:val="0C956CDB"/>
    <w:rsid w:val="0C9E593E"/>
    <w:rsid w:val="0CC95340"/>
    <w:rsid w:val="0CE06855"/>
    <w:rsid w:val="0CF271BF"/>
    <w:rsid w:val="0D3A63F7"/>
    <w:rsid w:val="0D5F1E64"/>
    <w:rsid w:val="0DB27913"/>
    <w:rsid w:val="0DFD1228"/>
    <w:rsid w:val="0E2B535C"/>
    <w:rsid w:val="0E603E62"/>
    <w:rsid w:val="0E9D6C3E"/>
    <w:rsid w:val="0F3B3D47"/>
    <w:rsid w:val="0F4814BC"/>
    <w:rsid w:val="100B407B"/>
    <w:rsid w:val="103711EE"/>
    <w:rsid w:val="104E667B"/>
    <w:rsid w:val="10575E20"/>
    <w:rsid w:val="105A2DDD"/>
    <w:rsid w:val="10621B90"/>
    <w:rsid w:val="106611CB"/>
    <w:rsid w:val="113722BE"/>
    <w:rsid w:val="113F685C"/>
    <w:rsid w:val="11601AD6"/>
    <w:rsid w:val="11E76422"/>
    <w:rsid w:val="11F823DD"/>
    <w:rsid w:val="12175E0F"/>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AC1CA7"/>
    <w:rsid w:val="14B33330"/>
    <w:rsid w:val="14E24257"/>
    <w:rsid w:val="14E71F9E"/>
    <w:rsid w:val="14F364DD"/>
    <w:rsid w:val="150D5D06"/>
    <w:rsid w:val="157F1A78"/>
    <w:rsid w:val="15D078F9"/>
    <w:rsid w:val="15DA2C5A"/>
    <w:rsid w:val="1605187F"/>
    <w:rsid w:val="16154877"/>
    <w:rsid w:val="16AD37FE"/>
    <w:rsid w:val="16C0190D"/>
    <w:rsid w:val="170F0CDD"/>
    <w:rsid w:val="17137D16"/>
    <w:rsid w:val="17B77DC6"/>
    <w:rsid w:val="186A144F"/>
    <w:rsid w:val="18812024"/>
    <w:rsid w:val="18DA1062"/>
    <w:rsid w:val="18DF750D"/>
    <w:rsid w:val="19057B47"/>
    <w:rsid w:val="192E465C"/>
    <w:rsid w:val="194A7C8B"/>
    <w:rsid w:val="195A634B"/>
    <w:rsid w:val="199C16E9"/>
    <w:rsid w:val="199D5F29"/>
    <w:rsid w:val="19CA20B2"/>
    <w:rsid w:val="1A5202FA"/>
    <w:rsid w:val="1AAC33FA"/>
    <w:rsid w:val="1AD63DE3"/>
    <w:rsid w:val="1AED0A61"/>
    <w:rsid w:val="1B056327"/>
    <w:rsid w:val="1B4B4FB2"/>
    <w:rsid w:val="1B4D5548"/>
    <w:rsid w:val="1B4E010B"/>
    <w:rsid w:val="1B7A723A"/>
    <w:rsid w:val="1B8D3B96"/>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E08698F"/>
    <w:rsid w:val="1E1A6270"/>
    <w:rsid w:val="1E66393B"/>
    <w:rsid w:val="1EB83740"/>
    <w:rsid w:val="1EC56452"/>
    <w:rsid w:val="1EED5392"/>
    <w:rsid w:val="1F9D2223"/>
    <w:rsid w:val="1FC96AD8"/>
    <w:rsid w:val="1FE15F3B"/>
    <w:rsid w:val="203E5DA7"/>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A1358A"/>
    <w:rsid w:val="26F02B5B"/>
    <w:rsid w:val="273F0DA8"/>
    <w:rsid w:val="27460791"/>
    <w:rsid w:val="274F678B"/>
    <w:rsid w:val="275318CF"/>
    <w:rsid w:val="27D44B1C"/>
    <w:rsid w:val="282A6111"/>
    <w:rsid w:val="28777AD4"/>
    <w:rsid w:val="287D015D"/>
    <w:rsid w:val="288B7471"/>
    <w:rsid w:val="28A92BCF"/>
    <w:rsid w:val="28B078C0"/>
    <w:rsid w:val="29335621"/>
    <w:rsid w:val="293755EF"/>
    <w:rsid w:val="295406B1"/>
    <w:rsid w:val="297213A4"/>
    <w:rsid w:val="298A5CE1"/>
    <w:rsid w:val="29935745"/>
    <w:rsid w:val="299E0C30"/>
    <w:rsid w:val="29AF73CD"/>
    <w:rsid w:val="29CD3833"/>
    <w:rsid w:val="29CF2C9E"/>
    <w:rsid w:val="2A1525B3"/>
    <w:rsid w:val="2A1F3C77"/>
    <w:rsid w:val="2A420242"/>
    <w:rsid w:val="2A770325"/>
    <w:rsid w:val="2B577739"/>
    <w:rsid w:val="2B82420A"/>
    <w:rsid w:val="2BC32FA6"/>
    <w:rsid w:val="2BDE0F2A"/>
    <w:rsid w:val="2BFC138A"/>
    <w:rsid w:val="2C1F0ECB"/>
    <w:rsid w:val="2C2F0132"/>
    <w:rsid w:val="2C5B48B1"/>
    <w:rsid w:val="2C635A6B"/>
    <w:rsid w:val="2C9C63F2"/>
    <w:rsid w:val="2CE95AE3"/>
    <w:rsid w:val="2CEE3181"/>
    <w:rsid w:val="2D056A81"/>
    <w:rsid w:val="2D0D1210"/>
    <w:rsid w:val="2D1333D6"/>
    <w:rsid w:val="2D205DF5"/>
    <w:rsid w:val="2D6F2A08"/>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F4525E"/>
    <w:rsid w:val="300D602F"/>
    <w:rsid w:val="30434F34"/>
    <w:rsid w:val="30551C7E"/>
    <w:rsid w:val="305C1DF5"/>
    <w:rsid w:val="30C330A2"/>
    <w:rsid w:val="31032820"/>
    <w:rsid w:val="31847465"/>
    <w:rsid w:val="31AD1CF3"/>
    <w:rsid w:val="31DE379A"/>
    <w:rsid w:val="3260573D"/>
    <w:rsid w:val="327D0402"/>
    <w:rsid w:val="32A61FCC"/>
    <w:rsid w:val="32C0465B"/>
    <w:rsid w:val="32CE6B16"/>
    <w:rsid w:val="33000244"/>
    <w:rsid w:val="3319111C"/>
    <w:rsid w:val="33366578"/>
    <w:rsid w:val="33A63D3F"/>
    <w:rsid w:val="33AA7583"/>
    <w:rsid w:val="33CA31F7"/>
    <w:rsid w:val="33D41912"/>
    <w:rsid w:val="33F61B9F"/>
    <w:rsid w:val="344D0FB5"/>
    <w:rsid w:val="346F039A"/>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4C3EDE"/>
    <w:rsid w:val="375D7E76"/>
    <w:rsid w:val="37807888"/>
    <w:rsid w:val="37B17BB1"/>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67EE1"/>
    <w:rsid w:val="47F05DF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CC2191"/>
    <w:rsid w:val="4B967555"/>
    <w:rsid w:val="4BA41081"/>
    <w:rsid w:val="4BAE7BD6"/>
    <w:rsid w:val="4C624E51"/>
    <w:rsid w:val="4C6F5D75"/>
    <w:rsid w:val="4C8614A0"/>
    <w:rsid w:val="4CB90B4A"/>
    <w:rsid w:val="4D011E35"/>
    <w:rsid w:val="4D1A70AD"/>
    <w:rsid w:val="4D4D66ED"/>
    <w:rsid w:val="4D896AAF"/>
    <w:rsid w:val="4D927727"/>
    <w:rsid w:val="4DBA3D68"/>
    <w:rsid w:val="4DCE7CC5"/>
    <w:rsid w:val="4DDF58BD"/>
    <w:rsid w:val="4E0A0B66"/>
    <w:rsid w:val="4E295649"/>
    <w:rsid w:val="4E434405"/>
    <w:rsid w:val="4E47350C"/>
    <w:rsid w:val="4E6D51A2"/>
    <w:rsid w:val="4E8B3BC1"/>
    <w:rsid w:val="4F203050"/>
    <w:rsid w:val="4F330037"/>
    <w:rsid w:val="4F6B7B7D"/>
    <w:rsid w:val="4F792DB0"/>
    <w:rsid w:val="4F840FDE"/>
    <w:rsid w:val="4F8A0ABB"/>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A673BE"/>
    <w:rsid w:val="59D251A4"/>
    <w:rsid w:val="5A16575C"/>
    <w:rsid w:val="5A175510"/>
    <w:rsid w:val="5A5F15A1"/>
    <w:rsid w:val="5A954EAF"/>
    <w:rsid w:val="5ABB4A59"/>
    <w:rsid w:val="5AC230A5"/>
    <w:rsid w:val="5B070F30"/>
    <w:rsid w:val="5B1D06EE"/>
    <w:rsid w:val="5B3E7A46"/>
    <w:rsid w:val="5B7A692A"/>
    <w:rsid w:val="5B907B59"/>
    <w:rsid w:val="5BAB5771"/>
    <w:rsid w:val="5BFB5EB2"/>
    <w:rsid w:val="5C495DD3"/>
    <w:rsid w:val="5C4E06E7"/>
    <w:rsid w:val="5C593A80"/>
    <w:rsid w:val="5CE72C0F"/>
    <w:rsid w:val="5D041CF2"/>
    <w:rsid w:val="5D272928"/>
    <w:rsid w:val="5D2B2C34"/>
    <w:rsid w:val="5D4F03EF"/>
    <w:rsid w:val="5D905C05"/>
    <w:rsid w:val="5DCD0AC1"/>
    <w:rsid w:val="5E02038B"/>
    <w:rsid w:val="5E3E0FB2"/>
    <w:rsid w:val="5EE67330"/>
    <w:rsid w:val="5F212FF8"/>
    <w:rsid w:val="5F8B27B8"/>
    <w:rsid w:val="5FB72636"/>
    <w:rsid w:val="600B3636"/>
    <w:rsid w:val="6060486B"/>
    <w:rsid w:val="60DE7CF2"/>
    <w:rsid w:val="60F80248"/>
    <w:rsid w:val="611E2E9B"/>
    <w:rsid w:val="612B0E8B"/>
    <w:rsid w:val="619D6AD3"/>
    <w:rsid w:val="619D7131"/>
    <w:rsid w:val="61B56F70"/>
    <w:rsid w:val="61DE071F"/>
    <w:rsid w:val="6218157F"/>
    <w:rsid w:val="62204E98"/>
    <w:rsid w:val="62553AB2"/>
    <w:rsid w:val="62956105"/>
    <w:rsid w:val="62997C74"/>
    <w:rsid w:val="62E55633"/>
    <w:rsid w:val="634041A9"/>
    <w:rsid w:val="63547088"/>
    <w:rsid w:val="63805167"/>
    <w:rsid w:val="63832876"/>
    <w:rsid w:val="640929F0"/>
    <w:rsid w:val="647C3D75"/>
    <w:rsid w:val="64B905C0"/>
    <w:rsid w:val="64CF7BEB"/>
    <w:rsid w:val="65187528"/>
    <w:rsid w:val="651F3A59"/>
    <w:rsid w:val="656C147B"/>
    <w:rsid w:val="65832223"/>
    <w:rsid w:val="664A7A0D"/>
    <w:rsid w:val="671A190B"/>
    <w:rsid w:val="6731767E"/>
    <w:rsid w:val="67335956"/>
    <w:rsid w:val="68016B77"/>
    <w:rsid w:val="68307014"/>
    <w:rsid w:val="687047EC"/>
    <w:rsid w:val="690C2F01"/>
    <w:rsid w:val="692A3B68"/>
    <w:rsid w:val="693A4663"/>
    <w:rsid w:val="699B0FA7"/>
    <w:rsid w:val="699F0403"/>
    <w:rsid w:val="6A257C7E"/>
    <w:rsid w:val="6A4F2472"/>
    <w:rsid w:val="6AAD2156"/>
    <w:rsid w:val="6AD039C1"/>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65867"/>
    <w:rsid w:val="6E5246F3"/>
    <w:rsid w:val="6F3326BD"/>
    <w:rsid w:val="6F5B19D4"/>
    <w:rsid w:val="6FBD5643"/>
    <w:rsid w:val="6FC50CC6"/>
    <w:rsid w:val="6FDF215C"/>
    <w:rsid w:val="6FF979C2"/>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2A09A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53F7B"/>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EA78A4"/>
    <w:rsid w:val="7E454CA6"/>
    <w:rsid w:val="7E8B0CEF"/>
    <w:rsid w:val="7EA93097"/>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link w:val="64"/>
    <w:qFormat/>
    <w:uiPriority w:val="0"/>
    <w:pPr>
      <w:jc w:val="left"/>
    </w:pPr>
  </w:style>
  <w:style w:type="paragraph" w:styleId="7">
    <w:name w:val="Body Text"/>
    <w:basedOn w:val="1"/>
    <w:next w:val="1"/>
    <w:qFormat/>
    <w:uiPriority w:val="99"/>
    <w:pPr>
      <w:spacing w:after="120"/>
    </w:pPr>
  </w:style>
  <w:style w:type="paragraph" w:styleId="8">
    <w:name w:val="Body Text Indent"/>
    <w:basedOn w:val="1"/>
    <w:next w:val="9"/>
    <w:qFormat/>
    <w:uiPriority w:val="0"/>
    <w:pPr>
      <w:snapToGrid w:val="0"/>
      <w:spacing w:line="360" w:lineRule="auto"/>
      <w:ind w:firstLine="538" w:firstLineChars="192"/>
    </w:pPr>
    <w:rPr>
      <w:rFonts w:ascii="仿宋_GB2312" w:eastAsia="仿宋_GB2312"/>
      <w:bCs/>
      <w:sz w:val="28"/>
      <w:szCs w:val="28"/>
    </w:rPr>
  </w:style>
  <w:style w:type="paragraph" w:styleId="9">
    <w:name w:val="Body Text First Indent 2"/>
    <w:basedOn w:val="8"/>
    <w:next w:val="1"/>
    <w:unhideWhenUsed/>
    <w:qFormat/>
    <w:uiPriority w:val="0"/>
    <w:pPr>
      <w:spacing w:after="120" w:line="240" w:lineRule="auto"/>
      <w:ind w:left="420" w:leftChars="200" w:firstLine="420" w:firstLineChars="200"/>
    </w:pPr>
    <w:rPr>
      <w:sz w:val="21"/>
      <w:szCs w:val="21"/>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65"/>
    <w:semiHidden/>
    <w:unhideWhenUsed/>
    <w:qFormat/>
    <w:uiPriority w:val="0"/>
    <w:rPr>
      <w:b/>
      <w:bCs/>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color="auto" w:fill="F9F2F4"/>
    </w:rPr>
  </w:style>
  <w:style w:type="character" w:styleId="27">
    <w:name w:val="annotation reference"/>
    <w:basedOn w:val="20"/>
    <w:semiHidden/>
    <w:unhideWhenUsed/>
    <w:qFormat/>
    <w:uiPriority w:val="0"/>
    <w:rPr>
      <w:sz w:val="21"/>
      <w:szCs w:val="21"/>
    </w:rPr>
  </w:style>
  <w:style w:type="character" w:styleId="28">
    <w:name w:val="HTML Cite"/>
    <w:basedOn w:val="20"/>
    <w:semiHidden/>
    <w:unhideWhenUsed/>
    <w:qFormat/>
    <w:uiPriority w:val="0"/>
  </w:style>
  <w:style w:type="character" w:styleId="29">
    <w:name w:val="HTML Keyboard"/>
    <w:basedOn w:val="20"/>
    <w:semiHidden/>
    <w:unhideWhenUsed/>
    <w:qFormat/>
    <w:uiPriority w:val="0"/>
    <w:rPr>
      <w:rFonts w:hint="default" w:ascii="Consolas" w:hAnsi="Consolas" w:eastAsia="Consolas" w:cs="Consolas"/>
      <w:color w:val="FFFFFF"/>
      <w:sz w:val="21"/>
      <w:szCs w:val="21"/>
      <w:shd w:val="clear" w:color="auto" w:fill="333333"/>
    </w:rPr>
  </w:style>
  <w:style w:type="character" w:styleId="30">
    <w:name w:val="HTML Sample"/>
    <w:basedOn w:val="20"/>
    <w:semiHidden/>
    <w:unhideWhenUsed/>
    <w:qFormat/>
    <w:uiPriority w:val="0"/>
    <w:rPr>
      <w:rFonts w:ascii="Consolas" w:hAnsi="Consolas" w:eastAsia="Consolas" w:cs="Consolas"/>
      <w:sz w:val="21"/>
      <w:szCs w:val="21"/>
    </w:rPr>
  </w:style>
  <w:style w:type="paragraph" w:customStyle="1" w:styleId="31">
    <w:name w:val="引用1"/>
    <w:basedOn w:val="1"/>
    <w:next w:val="1"/>
    <w:qFormat/>
    <w:uiPriority w:val="99"/>
    <w:rPr>
      <w:rFonts w:ascii="Calibri" w:hAnsi="Calibri" w:cs="Calibri"/>
      <w:i/>
      <w:iCs/>
      <w:color w:val="000000"/>
      <w:sz w:val="22"/>
      <w:szCs w:val="2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3"/>
    <w:basedOn w:val="10"/>
    <w:qFormat/>
    <w:uiPriority w:val="0"/>
    <w:pPr>
      <w:spacing w:line="0" w:lineRule="atLeast"/>
      <w:outlineLvl w:val="0"/>
    </w:pPr>
    <w:rPr>
      <w:sz w:val="28"/>
      <w:szCs w:val="24"/>
    </w:rPr>
  </w:style>
  <w:style w:type="paragraph" w:customStyle="1" w:styleId="34">
    <w:name w:val="正文1"/>
    <w:qFormat/>
    <w:uiPriority w:val="0"/>
    <w:pPr>
      <w:jc w:val="both"/>
    </w:pPr>
    <w:rPr>
      <w:rFonts w:ascii="Calibri" w:hAnsi="Calibri" w:eastAsia="宋体" w:cs="宋体"/>
      <w:kern w:val="2"/>
      <w:sz w:val="21"/>
      <w:szCs w:val="21"/>
      <w:lang w:val="en-US" w:eastAsia="zh-CN" w:bidi="ar-SA"/>
    </w:rPr>
  </w:style>
  <w:style w:type="paragraph" w:customStyle="1" w:styleId="35">
    <w:name w:val="Normal_18"/>
    <w:qFormat/>
    <w:uiPriority w:val="0"/>
    <w:rPr>
      <w:rFonts w:ascii="Times New Roman" w:hAnsi="Times New Roman" w:eastAsia="宋体" w:cs="Times New Roman"/>
      <w:sz w:val="21"/>
      <w:lang w:val="en-US" w:eastAsia="zh-CN" w:bidi="ar-SA"/>
    </w:rPr>
  </w:style>
  <w:style w:type="character" w:customStyle="1" w:styleId="36">
    <w:name w:val="ndata"/>
    <w:basedOn w:val="20"/>
    <w:qFormat/>
    <w:uiPriority w:val="0"/>
    <w:rPr>
      <w:color w:val="AAAAAA"/>
    </w:rPr>
  </w:style>
  <w:style w:type="character" w:customStyle="1" w:styleId="37">
    <w:name w:val="NormalCharacter"/>
    <w:qFormat/>
    <w:uiPriority w:val="0"/>
    <w:rPr>
      <w:sz w:val="21"/>
      <w:lang w:val="en-US" w:eastAsia="zh-CN" w:bidi="ar-SA"/>
    </w:rPr>
  </w:style>
  <w:style w:type="paragraph" w:customStyle="1" w:styleId="38">
    <w:name w:val="正文2"/>
    <w:basedOn w:val="1"/>
    <w:qFormat/>
    <w:uiPriority w:val="0"/>
    <w:pPr>
      <w:spacing w:before="156" w:line="360" w:lineRule="auto"/>
      <w:ind w:firstLine="510" w:firstLineChars="200"/>
    </w:pPr>
    <w:rPr>
      <w:sz w:val="24"/>
    </w:rPr>
  </w:style>
  <w:style w:type="paragraph" w:customStyle="1" w:styleId="39">
    <w:name w:val="NormalIndent"/>
    <w:basedOn w:val="1"/>
    <w:qFormat/>
    <w:uiPriority w:val="0"/>
    <w:pPr>
      <w:widowControl/>
      <w:ind w:firstLine="200" w:firstLineChars="200"/>
      <w:textAlignment w:val="baseline"/>
    </w:pPr>
    <w:rPr>
      <w:rFonts w:ascii="Calibri" w:hAnsi="Calibri"/>
    </w:rPr>
  </w:style>
  <w:style w:type="paragraph" w:styleId="40">
    <w:name w:val="List Paragraph"/>
    <w:basedOn w:val="1"/>
    <w:qFormat/>
    <w:uiPriority w:val="34"/>
    <w:pPr>
      <w:ind w:firstLine="420" w:firstLineChars="200"/>
    </w:p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
    <w:name w:val="active5"/>
    <w:basedOn w:val="20"/>
    <w:qFormat/>
    <w:uiPriority w:val="0"/>
    <w:rPr>
      <w:color w:val="FFFFFF"/>
      <w:shd w:val="clear" w:color="auto" w:fill="428BCA"/>
    </w:rPr>
  </w:style>
  <w:style w:type="character" w:customStyle="1" w:styleId="43">
    <w:name w:val="ui-jqgrid-resize"/>
    <w:basedOn w:val="20"/>
    <w:qFormat/>
    <w:uiPriority w:val="0"/>
  </w:style>
  <w:style w:type="character" w:customStyle="1" w:styleId="44">
    <w:name w:val="ui-icon37"/>
    <w:basedOn w:val="20"/>
    <w:qFormat/>
    <w:uiPriority w:val="0"/>
  </w:style>
  <w:style w:type="character" w:customStyle="1" w:styleId="45">
    <w:name w:val="ui-icon38"/>
    <w:basedOn w:val="20"/>
    <w:qFormat/>
    <w:uiPriority w:val="0"/>
  </w:style>
  <w:style w:type="character" w:customStyle="1" w:styleId="46">
    <w:name w:val="ui-icon39"/>
    <w:basedOn w:val="20"/>
    <w:qFormat/>
    <w:uiPriority w:val="0"/>
  </w:style>
  <w:style w:type="character" w:customStyle="1" w:styleId="47">
    <w:name w:val="input-icon2"/>
    <w:basedOn w:val="20"/>
    <w:qFormat/>
    <w:uiPriority w:val="0"/>
  </w:style>
  <w:style w:type="character" w:customStyle="1" w:styleId="48">
    <w:name w:val="before"/>
    <w:basedOn w:val="20"/>
    <w:qFormat/>
    <w:uiPriority w:val="0"/>
    <w:rPr>
      <w:rFonts w:hint="default" w:ascii="FontAwesome" w:hAnsi="FontAwesome" w:eastAsia="FontAwesome" w:cs="FontAwesome"/>
      <w:color w:val="888888"/>
    </w:rPr>
  </w:style>
  <w:style w:type="character" w:customStyle="1" w:styleId="49">
    <w:name w:val="before1"/>
    <w:basedOn w:val="20"/>
    <w:qFormat/>
    <w:uiPriority w:val="0"/>
    <w:rPr>
      <w:rFonts w:hint="default" w:ascii="FontAwesome" w:hAnsi="FontAwesome" w:eastAsia="FontAwesome" w:cs="FontAwesome"/>
      <w:color w:val="888888"/>
    </w:rPr>
  </w:style>
  <w:style w:type="character" w:customStyle="1" w:styleId="50">
    <w:name w:val="hover6"/>
    <w:basedOn w:val="20"/>
    <w:qFormat/>
    <w:uiPriority w:val="0"/>
    <w:rPr>
      <w:shd w:val="clear" w:color="auto" w:fill="EEEEEE"/>
    </w:rPr>
  </w:style>
  <w:style w:type="character" w:customStyle="1" w:styleId="51">
    <w:name w:val="old"/>
    <w:basedOn w:val="20"/>
    <w:qFormat/>
    <w:uiPriority w:val="0"/>
    <w:rPr>
      <w:color w:val="999999"/>
    </w:rPr>
  </w:style>
  <w:style w:type="character" w:customStyle="1" w:styleId="52">
    <w:name w:val="ui-icon40"/>
    <w:basedOn w:val="20"/>
    <w:qFormat/>
    <w:uiPriority w:val="0"/>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4">
    <w:name w:val="font31"/>
    <w:basedOn w:val="20"/>
    <w:qFormat/>
    <w:uiPriority w:val="0"/>
    <w:rPr>
      <w:rFonts w:hint="default" w:ascii="Arial" w:hAnsi="Arial" w:cs="Arial"/>
      <w:b/>
      <w:color w:val="000000"/>
      <w:sz w:val="24"/>
      <w:szCs w:val="24"/>
      <w:u w:val="none"/>
    </w:rPr>
  </w:style>
  <w:style w:type="character" w:customStyle="1" w:styleId="55">
    <w:name w:val="font81"/>
    <w:basedOn w:val="20"/>
    <w:qFormat/>
    <w:uiPriority w:val="0"/>
    <w:rPr>
      <w:rFonts w:ascii="新宋体" w:hAnsi="新宋体" w:eastAsia="新宋体" w:cs="新宋体"/>
      <w:color w:val="000000"/>
      <w:sz w:val="21"/>
      <w:szCs w:val="21"/>
      <w:u w:val="none"/>
    </w:rPr>
  </w:style>
  <w:style w:type="character" w:customStyle="1" w:styleId="56">
    <w:name w:val="font41"/>
    <w:basedOn w:val="20"/>
    <w:qFormat/>
    <w:uiPriority w:val="0"/>
    <w:rPr>
      <w:rFonts w:hint="default" w:ascii="Times New Roman" w:hAnsi="Times New Roman" w:cs="Times New Roman"/>
      <w:color w:val="000000"/>
      <w:sz w:val="18"/>
      <w:szCs w:val="18"/>
      <w:u w:val="none"/>
    </w:rPr>
  </w:style>
  <w:style w:type="character" w:customStyle="1" w:styleId="57">
    <w:name w:val="font51"/>
    <w:basedOn w:val="20"/>
    <w:qFormat/>
    <w:uiPriority w:val="0"/>
    <w:rPr>
      <w:rFonts w:hint="eastAsia" w:ascii="宋体" w:hAnsi="宋体" w:eastAsia="宋体" w:cs="宋体"/>
      <w:b/>
      <w:color w:val="000000"/>
      <w:sz w:val="32"/>
      <w:szCs w:val="32"/>
      <w:u w:val="none"/>
    </w:rPr>
  </w:style>
  <w:style w:type="character" w:customStyle="1" w:styleId="58">
    <w:name w:val="font01"/>
    <w:basedOn w:val="20"/>
    <w:qFormat/>
    <w:uiPriority w:val="0"/>
    <w:rPr>
      <w:rFonts w:hint="eastAsia" w:ascii="宋体" w:hAnsi="宋体" w:eastAsia="宋体" w:cs="宋体"/>
      <w:color w:val="000000"/>
      <w:sz w:val="24"/>
      <w:szCs w:val="24"/>
      <w:u w:val="none"/>
    </w:rPr>
  </w:style>
  <w:style w:type="character" w:customStyle="1" w:styleId="59">
    <w:name w:val="font71"/>
    <w:basedOn w:val="20"/>
    <w:qFormat/>
    <w:uiPriority w:val="0"/>
    <w:rPr>
      <w:rFonts w:hint="default" w:ascii="仿宋_GB2312" w:eastAsia="仿宋_GB2312" w:cs="仿宋_GB2312"/>
      <w:b/>
      <w:bCs/>
      <w:color w:val="000000"/>
      <w:sz w:val="32"/>
      <w:szCs w:val="32"/>
      <w:u w:val="none"/>
    </w:rPr>
  </w:style>
  <w:style w:type="character" w:customStyle="1" w:styleId="60">
    <w:name w:val="active1"/>
    <w:basedOn w:val="20"/>
    <w:qFormat/>
    <w:uiPriority w:val="0"/>
    <w:rPr>
      <w:color w:val="FFFFFF"/>
      <w:shd w:val="clear" w:color="auto" w:fill="428BCA"/>
    </w:rPr>
  </w:style>
  <w:style w:type="character" w:customStyle="1" w:styleId="61">
    <w:name w:val="hover5"/>
    <w:basedOn w:val="20"/>
    <w:qFormat/>
    <w:uiPriority w:val="0"/>
    <w:rPr>
      <w:shd w:val="clear" w:color="auto" w:fill="EEEEEE"/>
    </w:rPr>
  </w:style>
  <w:style w:type="character" w:customStyle="1" w:styleId="62">
    <w:name w:val="ui-jqgrid-resize2"/>
    <w:basedOn w:val="20"/>
    <w:qFormat/>
    <w:uiPriority w:val="0"/>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批注文字 字符"/>
    <w:basedOn w:val="20"/>
    <w:link w:val="6"/>
    <w:qFormat/>
    <w:uiPriority w:val="0"/>
    <w:rPr>
      <w:kern w:val="2"/>
      <w:sz w:val="21"/>
      <w:szCs w:val="24"/>
    </w:rPr>
  </w:style>
  <w:style w:type="character" w:customStyle="1" w:styleId="65">
    <w:name w:val="批注主题 字符"/>
    <w:basedOn w:val="64"/>
    <w:link w:val="17"/>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39</Pages>
  <Words>19126</Words>
  <Characters>20012</Characters>
  <Lines>733</Lines>
  <Paragraphs>764</Paragraphs>
  <TotalTime>81</TotalTime>
  <ScaleCrop>false</ScaleCrop>
  <LinksUpToDate>false</LinksUpToDate>
  <CharactersWithSpaces>21569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木子</cp:lastModifiedBy>
  <cp:lastPrinted>2021-11-04T02:19:00Z</cp:lastPrinted>
  <dcterms:modified xsi:type="dcterms:W3CDTF">2025-08-08T08:34:05Z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959CDA3F2B1E4B689A15CD80BC36D454_13</vt:lpwstr>
  </property>
  <property fmtid="{D5CDD505-2E9C-101B-9397-08002B2CF9AE}" pid="4" name="KSOTemplateDocerSaveRecord">
    <vt:lpwstr>eyJoZGlkIjoiMTAyYzA1ZDIzNGYyOGJkMzFhZDdjOWRjMTkzMjk5OTQiLCJ1c2VySWQiOiIzODUwNjQzNjkifQ==</vt:lpwstr>
  </property>
</Properties>
</file>