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91191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jc w:val="center"/>
        <w:rPr>
          <w:rFonts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海口江东新区管理局</w:t>
      </w:r>
    </w:p>
    <w:p w14:paraId="4771734F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rPr>
          <w:rFonts w:ascii="方正小标宋简体" w:eastAsia="方正小标宋简体"/>
          <w:sz w:val="40"/>
          <w:szCs w:val="40"/>
          <w:highlight w:val="none"/>
        </w:rPr>
      </w:pPr>
      <w:r>
        <w:rPr>
          <w:rFonts w:hint="eastAsia" w:ascii="宋体" w:hAnsi="宋体" w:eastAsia="宋体" w:cs="宋体"/>
          <w:sz w:val="44"/>
          <w:szCs w:val="44"/>
          <w:highlight w:val="none"/>
          <w:lang w:eastAsia="zh-CN"/>
        </w:rPr>
        <w:t>202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年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府越路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项目</w:t>
      </w:r>
    </w:p>
    <w:p w14:paraId="3DEE98B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jc w:val="center"/>
        <w:rPr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支出绩效评价报告</w:t>
      </w:r>
    </w:p>
    <w:p w14:paraId="1D986E0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</w:p>
    <w:p w14:paraId="4EF8059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一、基本情况</w:t>
      </w:r>
    </w:p>
    <w:p w14:paraId="7615A24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（一）项目概况</w:t>
      </w:r>
    </w:p>
    <w:p w14:paraId="066BA1ED">
      <w:pPr>
        <w:keepNext w:val="0"/>
        <w:keepLines w:val="0"/>
        <w:widowControl/>
        <w:suppressLineNumbers w:val="0"/>
        <w:spacing w:line="560" w:lineRule="exact"/>
        <w:ind w:firstLine="640" w:firstLineChars="200"/>
        <w:jc w:val="both"/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bidi="ar"/>
        </w:rPr>
      </w:pP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val="en-US" w:eastAsia="zh-CN" w:bidi="ar"/>
        </w:rPr>
        <w:t>府越路项目业主为海口市恒慧基础建设有限公司（变更前名称：海口江东新区基础建设有限公司），项目西起滨江东路，东至海文北路，道路全长3031.44米，沿线与规划2号路（仁爱路北段）、琼山大道、规划6号路、规划3号路、顺达路、规划9号路等相交，三幅路形式，（K0+000~K0+848.709（滨江东路~琼山大道段））采用双向八车道，红线宽度50米；（K0+848.709~K3+006.940（琼山大道~海文北路段））采用双向六车道，红线宽度为40米；道路等级为城市主干路，设计速度50千米/小时。主要建设内容包括：道路工程、交通工程、桥梁工程、管廊工程、电气工程、景观工程、给排水工程等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bidi="ar"/>
        </w:rPr>
        <w:t>。项目总投资198355.71 万元，其中工程费用 29445.97 万元，工程建设其他费用 166788.25 万元（其中土地房屋征收补偿费 163883.04 万元，该费用以市政府批复为准，资金使用以市财政局意见为准），预备费 1641.56 万元，建设单位管理费 479.93 万元。该项目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val="en-US" w:eastAsia="zh-CN" w:bidi="ar"/>
        </w:rPr>
        <w:t>2024年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bidi="ar"/>
        </w:rPr>
        <w:t>共计获得资金62629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val="en-US" w:eastAsia="zh-CN" w:bidi="ar"/>
        </w:rPr>
        <w:t>.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bidi="ar"/>
        </w:rPr>
        <w:t>1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val="en-US" w:eastAsia="zh-CN" w:bidi="ar"/>
        </w:rPr>
        <w:t>3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bidi="ar"/>
        </w:rPr>
        <w:t>万元，其中202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val="en-US" w:eastAsia="zh-CN" w:bidi="ar"/>
        </w:rPr>
        <w:t>4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bidi="ar"/>
        </w:rPr>
        <w:t>年地债资金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val="en-US" w:eastAsia="zh-CN" w:bidi="ar"/>
        </w:rPr>
        <w:t>62600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bidi="ar"/>
        </w:rPr>
        <w:t>万元，202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val="en-US" w:eastAsia="zh-CN" w:bidi="ar"/>
        </w:rPr>
        <w:t>4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bidi="ar"/>
        </w:rPr>
        <w:t>年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val="en-US" w:eastAsia="zh-CN" w:bidi="ar"/>
        </w:rPr>
        <w:t>市级财政资金29.13万元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eastAsia="zh-CN" w:bidi="ar"/>
        </w:rPr>
        <w:t>。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val="en-US" w:eastAsia="zh-CN" w:bidi="ar"/>
        </w:rPr>
        <w:t>截至目前，均已支出完毕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bidi="ar"/>
        </w:rPr>
        <w:t>。</w:t>
      </w:r>
    </w:p>
    <w:p w14:paraId="0F75D70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（二）项目绩效目标</w:t>
      </w:r>
    </w:p>
    <w:p w14:paraId="07C64E46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该项目总体目标:项目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年的目标是提交施工工作面3000米，完成给排水工程，道路路基工程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年度绩效目标如下：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4483"/>
        <w:gridCol w:w="2018"/>
      </w:tblGrid>
      <w:tr w14:paraId="30D8D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restart"/>
            <w:vAlign w:val="center"/>
          </w:tcPr>
          <w:p w14:paraId="1BA80705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指标类型</w:t>
            </w:r>
          </w:p>
        </w:tc>
        <w:tc>
          <w:tcPr>
            <w:tcW w:w="2630" w:type="pct"/>
            <w:vMerge w:val="restart"/>
            <w:vAlign w:val="center"/>
          </w:tcPr>
          <w:p w14:paraId="7C6729B7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指标名称</w:t>
            </w:r>
          </w:p>
        </w:tc>
        <w:tc>
          <w:tcPr>
            <w:tcW w:w="1184" w:type="pct"/>
            <w:vMerge w:val="restart"/>
            <w:vAlign w:val="center"/>
          </w:tcPr>
          <w:p w14:paraId="33EDFAC7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绩效目标</w:t>
            </w:r>
          </w:p>
        </w:tc>
      </w:tr>
      <w:tr w14:paraId="26D57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continue"/>
          </w:tcPr>
          <w:p w14:paraId="5CAF9A9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2630" w:type="pct"/>
            <w:vMerge w:val="continue"/>
          </w:tcPr>
          <w:p w14:paraId="5029B1D2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1184" w:type="pct"/>
            <w:vMerge w:val="continue"/>
          </w:tcPr>
          <w:p w14:paraId="29118291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</w:tr>
      <w:tr w14:paraId="6BA0E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Align w:val="center"/>
          </w:tcPr>
          <w:p w14:paraId="5B32F8D6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产出指标</w:t>
            </w:r>
          </w:p>
        </w:tc>
        <w:tc>
          <w:tcPr>
            <w:tcW w:w="2630" w:type="pct"/>
            <w:vAlign w:val="center"/>
          </w:tcPr>
          <w:p w14:paraId="399F4088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  <w:lang w:val="en-US" w:eastAsia="zh-CN"/>
              </w:rPr>
              <w:t>提交施工工作面</w:t>
            </w:r>
          </w:p>
        </w:tc>
        <w:tc>
          <w:tcPr>
            <w:tcW w:w="1184" w:type="pct"/>
            <w:vAlign w:val="center"/>
          </w:tcPr>
          <w:p w14:paraId="48CAC2D6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3000米</w:t>
            </w:r>
          </w:p>
        </w:tc>
      </w:tr>
      <w:tr w14:paraId="79131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5DFD9AB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效益指标</w:t>
            </w:r>
          </w:p>
        </w:tc>
        <w:tc>
          <w:tcPr>
            <w:tcW w:w="2630" w:type="pct"/>
            <w:vAlign w:val="center"/>
          </w:tcPr>
          <w:p w14:paraId="37CB32F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项目受益人数</w:t>
            </w:r>
          </w:p>
        </w:tc>
        <w:tc>
          <w:tcPr>
            <w:tcW w:w="1184" w:type="pct"/>
            <w:vAlign w:val="center"/>
          </w:tcPr>
          <w:p w14:paraId="7F5474A2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3000</w:t>
            </w:r>
            <w:r>
              <w:rPr>
                <w:rFonts w:hint="eastAsia" w:ascii="宋体" w:hAnsi="宋体"/>
                <w:sz w:val="24"/>
                <w:highlight w:val="none"/>
              </w:rPr>
              <w:t>人</w:t>
            </w:r>
          </w:p>
        </w:tc>
      </w:tr>
      <w:tr w14:paraId="710AA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1CEA3DFF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效益指标</w:t>
            </w:r>
          </w:p>
        </w:tc>
        <w:tc>
          <w:tcPr>
            <w:tcW w:w="2630" w:type="pct"/>
            <w:vAlign w:val="center"/>
          </w:tcPr>
          <w:p w14:paraId="7EC5770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/>
              </w:rPr>
              <w:t>安全事故发生数</w:t>
            </w:r>
          </w:p>
        </w:tc>
        <w:tc>
          <w:tcPr>
            <w:tcW w:w="1184" w:type="pct"/>
            <w:vAlign w:val="center"/>
          </w:tcPr>
          <w:p w14:paraId="170995C4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=0起</w:t>
            </w:r>
          </w:p>
        </w:tc>
      </w:tr>
      <w:tr w14:paraId="59DCE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05695B2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成本指标</w:t>
            </w:r>
          </w:p>
        </w:tc>
        <w:tc>
          <w:tcPr>
            <w:tcW w:w="2630" w:type="pct"/>
            <w:vAlign w:val="center"/>
          </w:tcPr>
          <w:p w14:paraId="0C42DA11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超概算比例</w:t>
            </w:r>
          </w:p>
        </w:tc>
        <w:tc>
          <w:tcPr>
            <w:tcW w:w="1184" w:type="pct"/>
            <w:vAlign w:val="center"/>
          </w:tcPr>
          <w:p w14:paraId="504D48A8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≤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24"/>
                <w:highlight w:val="none"/>
              </w:rPr>
              <w:t>%</w:t>
            </w:r>
          </w:p>
        </w:tc>
      </w:tr>
    </w:tbl>
    <w:p w14:paraId="427D3F8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二、绩效评价工作开展情况</w:t>
      </w:r>
    </w:p>
    <w:p w14:paraId="23775A9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（一）绩效评价目的、对象、范围</w:t>
      </w:r>
    </w:p>
    <w:p w14:paraId="5C5EA7B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府越路项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开展部门评价，促进部门提升预算绩效管理工作水平，强化部门支出责任，规范资金管理行为，提高财政资金使用效益。</w:t>
      </w:r>
    </w:p>
    <w:p w14:paraId="53744A5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（二）绩效评价原则、评价指标体系、评价方法、评价标准</w:t>
      </w:r>
    </w:p>
    <w:p w14:paraId="093D550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1.绩效评价原则</w:t>
      </w:r>
    </w:p>
    <w:p w14:paraId="416C9DF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本次部门评价坚持运用科学合理的方法，按照规范的程序，对项目绩效进行客观、公正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地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反映。</w:t>
      </w:r>
    </w:p>
    <w:p w14:paraId="50B5F378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评价指标体系</w:t>
      </w:r>
    </w:p>
    <w:p w14:paraId="01AB51F4">
      <w:pPr>
        <w:keepNext w:val="0"/>
        <w:keepLines w:val="0"/>
        <w:widowControl w:val="0"/>
        <w:suppressLineNumbers w:val="0"/>
        <w:autoSpaceDE/>
        <w:autoSpaceDN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从项目决策、过程、产出等指标开展部门评价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。</w:t>
      </w:r>
    </w:p>
    <w:tbl>
      <w:tblPr>
        <w:tblStyle w:val="9"/>
        <w:tblW w:w="42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2"/>
        <w:gridCol w:w="2577"/>
        <w:gridCol w:w="1385"/>
      </w:tblGrid>
      <w:tr w14:paraId="0BDEB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1012" w:type="pct"/>
            <w:vAlign w:val="center"/>
          </w:tcPr>
          <w:p w14:paraId="5AA82E4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270" w:type="pct"/>
            <w:vAlign w:val="center"/>
          </w:tcPr>
          <w:p w14:paraId="3FD52AC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766" w:type="pct"/>
            <w:vAlign w:val="center"/>
          </w:tcPr>
          <w:p w14:paraId="58F961E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950" w:type="pct"/>
            <w:vAlign w:val="center"/>
          </w:tcPr>
          <w:p w14:paraId="7A1C11A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</w:tr>
      <w:tr w14:paraId="2606A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4895CB5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270" w:type="pct"/>
            <w:vMerge w:val="restart"/>
            <w:vAlign w:val="center"/>
          </w:tcPr>
          <w:p w14:paraId="08D9445F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766" w:type="pct"/>
            <w:vAlign w:val="center"/>
          </w:tcPr>
          <w:p w14:paraId="7A62B9DA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950" w:type="pct"/>
            <w:vAlign w:val="center"/>
          </w:tcPr>
          <w:p w14:paraId="6FA61FD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7E464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4FD7BF5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7E71979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 w14:paraId="172C2CA1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950" w:type="pct"/>
            <w:vAlign w:val="center"/>
          </w:tcPr>
          <w:p w14:paraId="18AA731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2FD66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604B51D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3F33289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766" w:type="pct"/>
            <w:vAlign w:val="center"/>
          </w:tcPr>
          <w:p w14:paraId="7C3F6DE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950" w:type="pct"/>
            <w:vAlign w:val="center"/>
          </w:tcPr>
          <w:p w14:paraId="2D0869A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03AA9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4765D71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227BEBB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 w14:paraId="48C6B70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950" w:type="pct"/>
            <w:vAlign w:val="center"/>
          </w:tcPr>
          <w:p w14:paraId="5A4111D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6B0B5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0E51919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2EC02B42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766" w:type="pct"/>
            <w:vAlign w:val="center"/>
          </w:tcPr>
          <w:p w14:paraId="0CB83AE4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950" w:type="pct"/>
            <w:vAlign w:val="center"/>
          </w:tcPr>
          <w:p w14:paraId="20F63B0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2AB93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0B227FC0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4C8A41E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4B19E457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950" w:type="pct"/>
            <w:vAlign w:val="center"/>
          </w:tcPr>
          <w:p w14:paraId="5456042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25E05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4459FDB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270" w:type="pct"/>
            <w:vMerge w:val="restart"/>
            <w:vAlign w:val="center"/>
          </w:tcPr>
          <w:p w14:paraId="715F85D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766" w:type="pct"/>
            <w:vAlign w:val="center"/>
          </w:tcPr>
          <w:p w14:paraId="1140102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950" w:type="pct"/>
            <w:vAlign w:val="center"/>
          </w:tcPr>
          <w:p w14:paraId="6A40BBC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60F6A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7217E9D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63B6B33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67E247DD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950" w:type="pct"/>
            <w:vAlign w:val="center"/>
          </w:tcPr>
          <w:p w14:paraId="53475DD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486A3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7EEE34F7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3D08961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3E32F830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950" w:type="pct"/>
            <w:vAlign w:val="center"/>
          </w:tcPr>
          <w:p w14:paraId="7D8EDFD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7343A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4DCFF8BD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085E782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766" w:type="pct"/>
            <w:vAlign w:val="center"/>
          </w:tcPr>
          <w:p w14:paraId="4A76BE2A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950" w:type="pct"/>
            <w:vAlign w:val="center"/>
          </w:tcPr>
          <w:p w14:paraId="30BA8A3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789CD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23D1C38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29FC47C0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077F6EC1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950" w:type="pct"/>
            <w:vAlign w:val="center"/>
          </w:tcPr>
          <w:p w14:paraId="0BCF646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1755B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25747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270" w:type="pct"/>
            <w:vAlign w:val="center"/>
          </w:tcPr>
          <w:p w14:paraId="0AF79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766" w:type="pct"/>
            <w:vAlign w:val="center"/>
          </w:tcPr>
          <w:p w14:paraId="02458153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工作面长度</w:t>
            </w:r>
          </w:p>
        </w:tc>
        <w:tc>
          <w:tcPr>
            <w:tcW w:w="950" w:type="pct"/>
            <w:vAlign w:val="center"/>
          </w:tcPr>
          <w:p w14:paraId="25E8B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313E2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2F687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0" w:type="pct"/>
            <w:vAlign w:val="center"/>
          </w:tcPr>
          <w:p w14:paraId="16C1D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766" w:type="pct"/>
            <w:vAlign w:val="center"/>
          </w:tcPr>
          <w:p w14:paraId="132A248A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950" w:type="pct"/>
            <w:vAlign w:val="center"/>
          </w:tcPr>
          <w:p w14:paraId="079D8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6A1E6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Align w:val="center"/>
          </w:tcPr>
          <w:p w14:paraId="1C4CE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270" w:type="pct"/>
            <w:vAlign w:val="center"/>
          </w:tcPr>
          <w:p w14:paraId="48E84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766" w:type="pct"/>
            <w:vAlign w:val="center"/>
          </w:tcPr>
          <w:p w14:paraId="35A67AF4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950" w:type="pct"/>
            <w:vAlign w:val="center"/>
          </w:tcPr>
          <w:p w14:paraId="75087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06A07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049" w:type="pct"/>
            <w:gridSpan w:val="3"/>
            <w:vAlign w:val="center"/>
          </w:tcPr>
          <w:p w14:paraId="38DD30A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950" w:type="pct"/>
            <w:vAlign w:val="center"/>
          </w:tcPr>
          <w:p w14:paraId="6C6EE00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</w:tbl>
    <w:p w14:paraId="2BB5F19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</w:p>
    <w:p w14:paraId="1137574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3.评价方法</w:t>
      </w:r>
    </w:p>
    <w:p w14:paraId="065AC94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本次部门评价采用比较法，将项目实施情况与绩效目标情况进行比较。</w:t>
      </w:r>
    </w:p>
    <w:p w14:paraId="14E4E4C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4.评价标准</w:t>
      </w:r>
    </w:p>
    <w:p w14:paraId="74E3378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本次部门评价以年初的目标、计划、预算、定额等作为评价标准</w:t>
      </w:r>
    </w:p>
    <w:p w14:paraId="44CE292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（三）绩效评价工作过程</w:t>
      </w:r>
    </w:p>
    <w:p w14:paraId="5ECB882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评价小组对评价资料进行认真梳理，测算分析各项指标，汇总评分并形成评价报告。</w:t>
      </w:r>
    </w:p>
    <w:p w14:paraId="4229551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1.对《项目支出绩效评价管理办法》（财预〔2020〕10号）进行研读，对部门评价有基本的把握和了解，归纳出进一步评价所需的信息。</w:t>
      </w:r>
    </w:p>
    <w:p w14:paraId="6765D23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2.集中对各个评价指标逐一进行分析。</w:t>
      </w:r>
    </w:p>
    <w:p w14:paraId="0C9A850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3.评价小组汇总分析评价过程中发现的问题并对存在问题进行讨论，分别计算各评价指标所得分数，形成评价结果。</w:t>
      </w:r>
    </w:p>
    <w:p w14:paraId="63994CF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4.根据评价结果，撰写评价报告。</w:t>
      </w:r>
    </w:p>
    <w:p w14:paraId="50BD980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三、综合评价情况及评价结论</w:t>
      </w:r>
    </w:p>
    <w:p w14:paraId="5540393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项目绩效评价工作小组从项目决策、过程管理、产出等方面分别对该项目进行评价，项目目标设定、决策过程、资金管理、组织实施、项目效果等方面落实情况较好，评价得分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分，评价等次为优，达到了预期设定的项目绩效目标。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451E1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6970BC8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3E98116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2B12EB1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51FA401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2E7165E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40735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21CB559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11F3052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512D35D6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3F6FB29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2E3A5EC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23BB5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DB0067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312F435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28912B5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1AE26400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4423984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5E73E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3B2757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23998C1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4F7979E6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7D00B9F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7290FC6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455ED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740095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DADB8F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6231AE4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64C6D29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330C481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7C0CA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E4A6C5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5970F25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0A30150F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09196C9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0878818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279A4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0A2EBC8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7A597FF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1ABA02B7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2D2FCF2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25F0484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3DC76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02C6562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2043ED9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423D8F7C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5439DCE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6FC8412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2D4EA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3586198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9C5DE60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5C32DA8C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3238ECAF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557338F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6BD0E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AFF413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7F8CF85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779F0094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4DC5A67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0F48AC6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4EEC2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3A7B3148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7CC7258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38CE66FA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480D366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4B00861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468FF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0137633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4CB87C3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3D3127BA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2DCA0CA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4FC445B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2DB42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6FAD7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 w14:paraId="6D385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 w14:paraId="3DB2D0BB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工作面长度</w:t>
            </w:r>
          </w:p>
        </w:tc>
        <w:tc>
          <w:tcPr>
            <w:tcW w:w="813" w:type="pct"/>
            <w:vAlign w:val="center"/>
          </w:tcPr>
          <w:p w14:paraId="02816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 w14:paraId="4826B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768D6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216B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42462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 w14:paraId="07D2B4A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 w14:paraId="5B59B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65D29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6B1A3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 w14:paraId="064A0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 w14:paraId="1C753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0FD2E88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5FC9C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168BE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7D0B6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433E5AA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49A411B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7FE7524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45A1C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57ECBE2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7AB8294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4BFB7C2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125BCC2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highlight w:val="none"/>
        </w:rPr>
      </w:pPr>
    </w:p>
    <w:p w14:paraId="4389190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四、绩效评价指标分析</w:t>
      </w:r>
    </w:p>
    <w:p w14:paraId="0BF8B9F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（一）项目决策情况</w:t>
      </w:r>
    </w:p>
    <w:p w14:paraId="6981090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根据已批复实施的《海口江东新区总体规划（2018-2035）》及《海口江东三组团（国际综合服务组团、国际文化交往组团、国际高教科研组团）控制性详细规划》（中间成果），文化交往组团定位为“地区国家交往平台、海南国际新客厅”。随着江东新区如火如荼地持续开发建设，本项目拟建道路作为贯穿文化交往组团的主干路，其建设将为片区后续开发建设提供基础条件及保障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。该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项目列入海口市政府投资项目计划。项目设定了绩效目标，绩效目标与实际工作内容具有相关性。项目预算编制科学合理，预算资金分配依据充分。</w:t>
      </w:r>
    </w:p>
    <w:p w14:paraId="6FC1DEE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（二）项目过程情况</w:t>
      </w:r>
    </w:p>
    <w:p w14:paraId="7844B2B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2020年我局制定并印发了《政府投资项目管理办法（试行）》，建立了有效的项目管理制度，保证了项目安全有效运行，确保了项目顺利实施，取得明显成效。项目资金支付严格履行审批程序，使用规范，会计核算结果真实、准确。此次绩效评价过程中未发现挤占或挪用项目资金的情况。</w:t>
      </w:r>
    </w:p>
    <w:p w14:paraId="4518261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年共到位资金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62629.13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，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截至2024.12.31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支出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100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%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</w:p>
    <w:p w14:paraId="3745375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（三）项目产出情况</w:t>
      </w:r>
    </w:p>
    <w:p w14:paraId="00F200E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该项目资金到位及时，项目顺利实施，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2024年年底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已完成项目总体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75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%的形象进度。项目完成程度较好，实现了预定预算目标。</w:t>
      </w:r>
    </w:p>
    <w:p w14:paraId="07D8908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（四）项目效益情况</w:t>
      </w:r>
    </w:p>
    <w:p w14:paraId="3773288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kern w:val="2"/>
          <w:sz w:val="32"/>
          <w:szCs w:val="32"/>
          <w:highlight w:val="none"/>
          <w:shd w:val="clear" w:fill="auto"/>
          <w:lang w:val="en-US" w:eastAsia="zh-CN" w:bidi="ar"/>
        </w:rPr>
        <w:t>道路位于海口江东新区文化交往组团内，是该组团北部的一条重要东西向主干路。本项目的建成将联通越江通道与海文北路，分流白驹大道及周边路网交通流量，完善路网结构，增加道路通行能力。工程投入运营后，将改善片区的交通条件，加速该区域的社会发展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项目现阶段正在进行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管廊工程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施工。</w:t>
      </w:r>
    </w:p>
    <w:p w14:paraId="5E4F460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五、主要经验及做法、存在的问题及原因分析</w:t>
      </w:r>
    </w:p>
    <w:p w14:paraId="037972E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796E244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六、有关建议</w:t>
      </w:r>
    </w:p>
    <w:p w14:paraId="23BFF8B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0A5C87B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七、其他需要说明的问题</w:t>
      </w:r>
    </w:p>
    <w:p w14:paraId="1990A8E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98F3B9F-8428-433F-B901-33FCB31132A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288A8458-E5E0-4C16-8434-A66298B8A8CD}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B94462CD-9282-4A91-8F78-40568C2E4D76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19AE9F7A-D65D-4812-9BF2-05404F6613CB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68CD90E1-F0C2-43BE-9B7A-BD9A1C6F5EC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FD1122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5529055">
                          <w:pPr>
                            <w:pStyle w:val="5"/>
                            <w:rPr>
                              <w:rFonts w:ascii="宋体" w:hAnsi="宋体" w:eastAsia="宋体" w:cs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5529055">
                    <w:pPr>
                      <w:pStyle w:val="5"/>
                      <w:rPr>
                        <w:rFonts w:ascii="宋体" w:hAnsi="宋体" w:eastAsia="宋体" w:cs="宋体"/>
                        <w:sz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1FC66C"/>
    <w:multiLevelType w:val="singleLevel"/>
    <w:tmpl w:val="A91FC66C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TrueTypeFonts/>
  <w:saveSubset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435E1F18"/>
    <w:rsid w:val="003B3E31"/>
    <w:rsid w:val="006D65BE"/>
    <w:rsid w:val="00BE4EB8"/>
    <w:rsid w:val="00D4065E"/>
    <w:rsid w:val="00D57EB4"/>
    <w:rsid w:val="02233DF4"/>
    <w:rsid w:val="023A5912"/>
    <w:rsid w:val="024012D0"/>
    <w:rsid w:val="02CB6390"/>
    <w:rsid w:val="040B460D"/>
    <w:rsid w:val="04621786"/>
    <w:rsid w:val="046643CE"/>
    <w:rsid w:val="05787E8E"/>
    <w:rsid w:val="0626600A"/>
    <w:rsid w:val="06F95DEE"/>
    <w:rsid w:val="08093106"/>
    <w:rsid w:val="08AB5F34"/>
    <w:rsid w:val="08AF5C9C"/>
    <w:rsid w:val="09CA4EA0"/>
    <w:rsid w:val="0A092149"/>
    <w:rsid w:val="0A787E3B"/>
    <w:rsid w:val="0AC273C6"/>
    <w:rsid w:val="0AC94BD1"/>
    <w:rsid w:val="0B6727D9"/>
    <w:rsid w:val="0BD17C84"/>
    <w:rsid w:val="0BDE5F87"/>
    <w:rsid w:val="0CED2255"/>
    <w:rsid w:val="0DB61183"/>
    <w:rsid w:val="0DBB40F2"/>
    <w:rsid w:val="0DE47EA0"/>
    <w:rsid w:val="0E015633"/>
    <w:rsid w:val="0E9A79D6"/>
    <w:rsid w:val="0F5C4C96"/>
    <w:rsid w:val="109B1E27"/>
    <w:rsid w:val="1119059B"/>
    <w:rsid w:val="111C1707"/>
    <w:rsid w:val="11FB7553"/>
    <w:rsid w:val="126332E8"/>
    <w:rsid w:val="12AB34F1"/>
    <w:rsid w:val="135734FF"/>
    <w:rsid w:val="14B51D19"/>
    <w:rsid w:val="14FA1115"/>
    <w:rsid w:val="154455E1"/>
    <w:rsid w:val="15481788"/>
    <w:rsid w:val="1652225F"/>
    <w:rsid w:val="16630DA5"/>
    <w:rsid w:val="1682257B"/>
    <w:rsid w:val="180C39B2"/>
    <w:rsid w:val="19005526"/>
    <w:rsid w:val="190A44B1"/>
    <w:rsid w:val="19263C3A"/>
    <w:rsid w:val="19316574"/>
    <w:rsid w:val="19795372"/>
    <w:rsid w:val="197F4ADC"/>
    <w:rsid w:val="19AA72EE"/>
    <w:rsid w:val="1A766595"/>
    <w:rsid w:val="1AC1553C"/>
    <w:rsid w:val="1B007691"/>
    <w:rsid w:val="1CB1400C"/>
    <w:rsid w:val="1DBB2B25"/>
    <w:rsid w:val="1E122B23"/>
    <w:rsid w:val="1E1C324A"/>
    <w:rsid w:val="1E312225"/>
    <w:rsid w:val="1E5510E3"/>
    <w:rsid w:val="1F25228A"/>
    <w:rsid w:val="20281024"/>
    <w:rsid w:val="20B5758E"/>
    <w:rsid w:val="2101016E"/>
    <w:rsid w:val="23335B9D"/>
    <w:rsid w:val="23EF1B0E"/>
    <w:rsid w:val="247A1B51"/>
    <w:rsid w:val="257428D1"/>
    <w:rsid w:val="257D2F38"/>
    <w:rsid w:val="25900E53"/>
    <w:rsid w:val="27E81586"/>
    <w:rsid w:val="28B735AC"/>
    <w:rsid w:val="28D74D77"/>
    <w:rsid w:val="29B57C78"/>
    <w:rsid w:val="2A580161"/>
    <w:rsid w:val="2AB57C33"/>
    <w:rsid w:val="2AE457DA"/>
    <w:rsid w:val="2B336677"/>
    <w:rsid w:val="2C192B4A"/>
    <w:rsid w:val="2C6C75EA"/>
    <w:rsid w:val="2C8221BC"/>
    <w:rsid w:val="2D7160E8"/>
    <w:rsid w:val="2D9F1EA3"/>
    <w:rsid w:val="2DA417DD"/>
    <w:rsid w:val="2E9826F7"/>
    <w:rsid w:val="30483FA0"/>
    <w:rsid w:val="30BB4EA6"/>
    <w:rsid w:val="31072BFB"/>
    <w:rsid w:val="31437427"/>
    <w:rsid w:val="326C58E4"/>
    <w:rsid w:val="340F7934"/>
    <w:rsid w:val="34C8661B"/>
    <w:rsid w:val="35EC6776"/>
    <w:rsid w:val="35F47B9E"/>
    <w:rsid w:val="35F728BC"/>
    <w:rsid w:val="3627310D"/>
    <w:rsid w:val="3714005C"/>
    <w:rsid w:val="37372992"/>
    <w:rsid w:val="37C51992"/>
    <w:rsid w:val="38042CB3"/>
    <w:rsid w:val="38B37090"/>
    <w:rsid w:val="390C1A27"/>
    <w:rsid w:val="3ABA6910"/>
    <w:rsid w:val="3ACE5687"/>
    <w:rsid w:val="3B0A2EB0"/>
    <w:rsid w:val="3B500164"/>
    <w:rsid w:val="3B59178B"/>
    <w:rsid w:val="3C444B0B"/>
    <w:rsid w:val="3D061D55"/>
    <w:rsid w:val="3E4B066F"/>
    <w:rsid w:val="3FBB4BCB"/>
    <w:rsid w:val="405D14CB"/>
    <w:rsid w:val="41253788"/>
    <w:rsid w:val="418D0587"/>
    <w:rsid w:val="41B37671"/>
    <w:rsid w:val="41D43D0C"/>
    <w:rsid w:val="41D473A2"/>
    <w:rsid w:val="423D4F9C"/>
    <w:rsid w:val="431E4E21"/>
    <w:rsid w:val="435E1F18"/>
    <w:rsid w:val="437C46E2"/>
    <w:rsid w:val="44273DE2"/>
    <w:rsid w:val="445E6CC2"/>
    <w:rsid w:val="449F4DAD"/>
    <w:rsid w:val="44B278BB"/>
    <w:rsid w:val="44B939E4"/>
    <w:rsid w:val="44CB55AC"/>
    <w:rsid w:val="461E0D18"/>
    <w:rsid w:val="464F2DD5"/>
    <w:rsid w:val="465C46B6"/>
    <w:rsid w:val="467C5C77"/>
    <w:rsid w:val="46AE61A9"/>
    <w:rsid w:val="47C55320"/>
    <w:rsid w:val="49B72F9D"/>
    <w:rsid w:val="49C0331C"/>
    <w:rsid w:val="4AA6125F"/>
    <w:rsid w:val="4B5A13DB"/>
    <w:rsid w:val="4B820499"/>
    <w:rsid w:val="4C1448F5"/>
    <w:rsid w:val="4C625BDA"/>
    <w:rsid w:val="4D2F07A0"/>
    <w:rsid w:val="4D650FE4"/>
    <w:rsid w:val="4DF033CB"/>
    <w:rsid w:val="4DFF0279"/>
    <w:rsid w:val="4E414DDC"/>
    <w:rsid w:val="4E583744"/>
    <w:rsid w:val="4F574F3D"/>
    <w:rsid w:val="4FB54242"/>
    <w:rsid w:val="52C426C7"/>
    <w:rsid w:val="53AA3676"/>
    <w:rsid w:val="54D85B6D"/>
    <w:rsid w:val="54E47B8F"/>
    <w:rsid w:val="54FE4F3A"/>
    <w:rsid w:val="55545149"/>
    <w:rsid w:val="55A57892"/>
    <w:rsid w:val="55C41C86"/>
    <w:rsid w:val="578A390E"/>
    <w:rsid w:val="57D636C9"/>
    <w:rsid w:val="589231D3"/>
    <w:rsid w:val="59D74C62"/>
    <w:rsid w:val="59E1651D"/>
    <w:rsid w:val="5A3B0856"/>
    <w:rsid w:val="5A4B6F13"/>
    <w:rsid w:val="5A6A79F7"/>
    <w:rsid w:val="5A9E38CD"/>
    <w:rsid w:val="5AC40FFA"/>
    <w:rsid w:val="5BA47F10"/>
    <w:rsid w:val="5BF510A0"/>
    <w:rsid w:val="5D045BCA"/>
    <w:rsid w:val="5F367622"/>
    <w:rsid w:val="5F3F3404"/>
    <w:rsid w:val="5F905550"/>
    <w:rsid w:val="61394EFD"/>
    <w:rsid w:val="617F6B7B"/>
    <w:rsid w:val="61AB5485"/>
    <w:rsid w:val="62092C5D"/>
    <w:rsid w:val="62806640"/>
    <w:rsid w:val="63636628"/>
    <w:rsid w:val="65411CA7"/>
    <w:rsid w:val="65694914"/>
    <w:rsid w:val="67B21E4C"/>
    <w:rsid w:val="68024B96"/>
    <w:rsid w:val="68576AE7"/>
    <w:rsid w:val="68903265"/>
    <w:rsid w:val="69C434E2"/>
    <w:rsid w:val="6A893A8D"/>
    <w:rsid w:val="6B657B2B"/>
    <w:rsid w:val="6C02565A"/>
    <w:rsid w:val="6C8B5B44"/>
    <w:rsid w:val="6E6E68A0"/>
    <w:rsid w:val="6EB377AA"/>
    <w:rsid w:val="6FB6700B"/>
    <w:rsid w:val="701D3C49"/>
    <w:rsid w:val="710022AC"/>
    <w:rsid w:val="725E09BE"/>
    <w:rsid w:val="727437E0"/>
    <w:rsid w:val="74C3652D"/>
    <w:rsid w:val="757F5777"/>
    <w:rsid w:val="764C182F"/>
    <w:rsid w:val="7654409C"/>
    <w:rsid w:val="7704672F"/>
    <w:rsid w:val="77175582"/>
    <w:rsid w:val="791F742A"/>
    <w:rsid w:val="798D72F1"/>
    <w:rsid w:val="7A513882"/>
    <w:rsid w:val="7B2F66D1"/>
    <w:rsid w:val="7B76655D"/>
    <w:rsid w:val="7BBF5BC9"/>
    <w:rsid w:val="7CE205E6"/>
    <w:rsid w:val="7D1D1C9F"/>
    <w:rsid w:val="7DCA5CC5"/>
    <w:rsid w:val="7EDF397E"/>
    <w:rsid w:val="7FAF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964"/>
    </w:pPr>
  </w:style>
  <w:style w:type="paragraph" w:styleId="3">
    <w:name w:val="annotation text"/>
    <w:basedOn w:val="1"/>
    <w:autoRedefine/>
    <w:qFormat/>
    <w:uiPriority w:val="0"/>
    <w:pPr>
      <w:jc w:val="left"/>
    </w:pPr>
  </w:style>
  <w:style w:type="paragraph" w:styleId="4">
    <w:name w:val="Body Text Indent"/>
    <w:basedOn w:val="1"/>
    <w:autoRedefine/>
    <w:unhideWhenUsed/>
    <w:qFormat/>
    <w:uiPriority w:val="99"/>
    <w:pPr>
      <w:spacing w:after="120"/>
      <w:ind w:left="420" w:leftChars="200"/>
    </w:p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itle"/>
    <w:basedOn w:val="1"/>
    <w:next w:val="1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paragraph" w:styleId="8">
    <w:name w:val="Body Text First Indent 2"/>
    <w:basedOn w:val="4"/>
    <w:autoRedefine/>
    <w:unhideWhenUsed/>
    <w:qFormat/>
    <w:uiPriority w:val="99"/>
    <w:pPr>
      <w:ind w:firstLine="420" w:firstLineChars="200"/>
    </w:pPr>
  </w:style>
  <w:style w:type="character" w:styleId="11">
    <w:name w:val="annotation reference"/>
    <w:basedOn w:val="10"/>
    <w:autoRedefine/>
    <w:qFormat/>
    <w:uiPriority w:val="0"/>
    <w:rPr>
      <w:sz w:val="21"/>
      <w:szCs w:val="21"/>
    </w:rPr>
  </w:style>
  <w:style w:type="character" w:customStyle="1" w:styleId="12">
    <w:name w:val="页眉 字符"/>
    <w:basedOn w:val="10"/>
    <w:link w:val="6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1304</Words>
  <Characters>1451</Characters>
  <Lines>1</Lines>
  <Paragraphs>1</Paragraphs>
  <TotalTime>18</TotalTime>
  <ScaleCrop>false</ScaleCrop>
  <LinksUpToDate>false</LinksUpToDate>
  <CharactersWithSpaces>1462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2021-09-30T09:36:00Z</dcterms:created>
  <dc:creator>恋</dc:creator>
  <cp:lastModifiedBy>杨阳</cp:lastModifiedBy>
  <dcterms:modified xsi:type="dcterms:W3CDTF">2025-04-07T08:12:04Z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233A69E4CD0A42CA9A878C1EDA670DEE</vt:lpwstr>
  </property>
  <property fmtid="{D5CDD505-2E9C-101B-9397-08002B2CF9AE}" pid="4" name="KSOTemplateDocerSaveRecord">
    <vt:lpwstr>eyJoZGlkIjoiN2YzNjBkOTgyNWQ1YTMxYzM3MzMwNWFiODNmOWIzYWMiLCJ1c2VySWQiOiIyNjU3MTAyMTEifQ==</vt:lpwstr>
  </property>
</Properties>
</file>