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nts/font5.odttf" ContentType="application/vnd.openxmlformats-officedocument.obfuscatedFont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E827ED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rFonts w:ascii="宋体" w:hAnsi="宋体" w:eastAsia="宋体" w:cs="宋体"/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海口江东新区管理局</w:t>
      </w:r>
    </w:p>
    <w:p w14:paraId="759F3E30">
      <w:pPr>
        <w:pStyle w:val="6"/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before="0" w:after="0" w:line="240" w:lineRule="auto"/>
        <w:rPr>
          <w:rFonts w:ascii="方正小标宋简体" w:eastAsia="方正小标宋简体"/>
          <w:sz w:val="40"/>
          <w:szCs w:val="40"/>
          <w:highlight w:val="none"/>
        </w:rPr>
      </w:pPr>
      <w:r>
        <w:rPr>
          <w:rFonts w:hint="eastAsia" w:ascii="宋体" w:hAnsi="宋体" w:eastAsia="宋体" w:cs="宋体"/>
          <w:sz w:val="44"/>
          <w:szCs w:val="44"/>
          <w:highlight w:val="none"/>
          <w:lang w:eastAsia="zh-CN"/>
        </w:rPr>
        <w:t>202</w:t>
      </w:r>
      <w:r>
        <w:rPr>
          <w:rFonts w:hint="eastAsia" w:ascii="宋体" w:hAnsi="宋体" w:eastAsia="宋体" w:cs="宋体"/>
          <w:sz w:val="44"/>
          <w:szCs w:val="4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年</w:t>
      </w:r>
      <w:r>
        <w:rPr>
          <w:rFonts w:hint="eastAsia" w:ascii="宋体" w:hAnsi="宋体" w:eastAsia="宋体" w:cs="宋体"/>
          <w:b/>
          <w:bCs/>
          <w:kern w:val="2"/>
          <w:sz w:val="44"/>
          <w:szCs w:val="44"/>
          <w:highlight w:val="none"/>
          <w:lang w:val="en-US" w:eastAsia="zh-CN" w:bidi="ar-SA"/>
        </w:rPr>
        <w:t>兴洋三横路项</w:t>
      </w:r>
      <w:r>
        <w:rPr>
          <w:rFonts w:hint="eastAsia" w:ascii="宋体" w:hAnsi="宋体" w:eastAsia="宋体" w:cs="宋体"/>
          <w:sz w:val="44"/>
          <w:szCs w:val="44"/>
          <w:highlight w:val="none"/>
        </w:rPr>
        <w:t>目</w:t>
      </w:r>
    </w:p>
    <w:p w14:paraId="79E0D89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 w:val="0"/>
        <w:spacing w:line="240" w:lineRule="auto"/>
        <w:jc w:val="center"/>
        <w:rPr>
          <w:b/>
          <w:bCs/>
          <w:sz w:val="44"/>
          <w:szCs w:val="44"/>
          <w:highlight w:val="none"/>
        </w:rPr>
      </w:pPr>
      <w:r>
        <w:rPr>
          <w:rFonts w:hint="eastAsia" w:ascii="宋体" w:hAnsi="宋体" w:eastAsia="宋体" w:cs="宋体"/>
          <w:b/>
          <w:bCs/>
          <w:sz w:val="44"/>
          <w:szCs w:val="44"/>
          <w:highlight w:val="none"/>
        </w:rPr>
        <w:t>支出绩效评价报告</w:t>
      </w:r>
    </w:p>
    <w:p w14:paraId="3E5E418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</w:p>
    <w:p w14:paraId="44BC219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一、基本情况</w:t>
      </w:r>
    </w:p>
    <w:p w14:paraId="569949B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（一）项目概况</w:t>
      </w:r>
    </w:p>
    <w:p w14:paraId="1258A328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jc w:val="both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eastAsia="zh-CN" w:bidi="ar"/>
        </w:rPr>
        <w:t>兴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洋三横路项目业主为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val="en-US" w:eastAsia="zh-CN" w:bidi="ar"/>
        </w:rPr>
        <w:t>海口市恒慧基础建设有限公司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，项目道路起点与桂高路三横路相交，终点至东寨港大道，拟建道路设计总长为4045.206m（其中桂高路三横路~桂林洋大道段长 596.64m，红线宽度为 20m， 桂林洋大道~东寨港大道段长 3448.566m，红线宽度 24m）。道路等级为城市次干路，设计速度 30km/h。具体建设内容包括道路工程、交通工程、桥涵工程、</w:t>
      </w:r>
      <w:bookmarkStart w:id="0" w:name="_GoBack"/>
      <w:bookmarkEnd w:id="0"/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给排水工程、电气工程（含多 杆）、综合管廊工程、绿化工程等。并预留再生水、通讯、燃气等管道管位。项目总投资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val="en-US" w:eastAsia="zh-CN" w:bidi="ar"/>
        </w:rPr>
        <w:t>52059.12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万元，其中建安费 26457.40 万元，其他费 23766.67 万元（其中征拆费 20905.48 万元，该项费用具体以辖区政府批复为准），预备费 1483.51 万元，建设单位管理费 351.54 万元。该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项目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2024年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共计获得资金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12904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万元，其中202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4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年地债资金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12500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市财政资金404万元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截至目前，均已支出完毕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0AE178C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（二）项目绩效目标</w:t>
      </w:r>
    </w:p>
    <w:p w14:paraId="7E02E30F">
      <w:pPr>
        <w:keepNext w:val="0"/>
        <w:keepLines w:val="0"/>
        <w:widowControl w:val="0"/>
        <w:suppressLineNumbers w:val="0"/>
        <w:autoSpaceDE w:val="0"/>
        <w:autoSpaceDN/>
        <w:adjustRightInd w:val="0"/>
        <w:snapToGrid w:val="0"/>
        <w:spacing w:before="0" w:beforeAutospacing="0" w:after="0" w:afterAutospacing="0" w:line="576" w:lineRule="exact"/>
        <w:ind w:left="0" w:leftChars="0" w:right="0" w:rightChars="0" w:firstLine="640" w:firstLineChars="200"/>
        <w:jc w:val="both"/>
        <w:rPr>
          <w:rFonts w:hint="eastAsia"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该项目总体目标:完成级配碎石3800米。年度绩效目标如下：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18"/>
        <w:gridCol w:w="4483"/>
        <w:gridCol w:w="2018"/>
      </w:tblGrid>
      <w:tr w14:paraId="5D2125A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Merge w:val="restart"/>
            <w:vAlign w:val="center"/>
          </w:tcPr>
          <w:p w14:paraId="0BAC56C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指标类型</w:t>
            </w:r>
          </w:p>
        </w:tc>
        <w:tc>
          <w:tcPr>
            <w:tcW w:w="2630" w:type="pct"/>
            <w:vMerge w:val="restart"/>
            <w:vAlign w:val="center"/>
          </w:tcPr>
          <w:p w14:paraId="7169FFA6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指标名称</w:t>
            </w:r>
          </w:p>
        </w:tc>
        <w:tc>
          <w:tcPr>
            <w:tcW w:w="1184" w:type="pct"/>
            <w:vMerge w:val="restart"/>
            <w:vAlign w:val="center"/>
          </w:tcPr>
          <w:p w14:paraId="77E49350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b/>
                <w:sz w:val="24"/>
                <w:highlight w:val="none"/>
              </w:rPr>
              <w:t>绩效目标</w:t>
            </w:r>
          </w:p>
        </w:tc>
      </w:tr>
      <w:tr w14:paraId="09698B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1184" w:type="pct"/>
            <w:vMerge w:val="continue"/>
          </w:tcPr>
          <w:p w14:paraId="37C0A7DE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2630" w:type="pct"/>
            <w:vMerge w:val="continue"/>
          </w:tcPr>
          <w:p w14:paraId="2CA46B77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  <w:tc>
          <w:tcPr>
            <w:tcW w:w="1184" w:type="pct"/>
            <w:vMerge w:val="continue"/>
          </w:tcPr>
          <w:p w14:paraId="6278B72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b/>
                <w:sz w:val="24"/>
                <w:highlight w:val="none"/>
              </w:rPr>
            </w:pPr>
          </w:p>
        </w:tc>
      </w:tr>
      <w:tr w14:paraId="2B4D6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  <w:vAlign w:val="center"/>
          </w:tcPr>
          <w:p w14:paraId="41FC0531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产出指标</w:t>
            </w:r>
          </w:p>
        </w:tc>
        <w:tc>
          <w:tcPr>
            <w:tcW w:w="2630" w:type="pct"/>
            <w:vAlign w:val="center"/>
          </w:tcPr>
          <w:p w14:paraId="360E435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已提交工作面</w:t>
            </w:r>
          </w:p>
        </w:tc>
        <w:tc>
          <w:tcPr>
            <w:tcW w:w="1184" w:type="pct"/>
            <w:vAlign w:val="center"/>
          </w:tcPr>
          <w:p w14:paraId="4751A38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default" w:ascii="宋体" w:hAnsi="宋体" w:eastAsiaTheme="minorEastAsia"/>
                <w:sz w:val="24"/>
                <w:highlight w:val="none"/>
                <w:lang w:val="en-US" w:eastAsia="zh-CN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3800米</w:t>
            </w:r>
          </w:p>
        </w:tc>
      </w:tr>
      <w:tr w14:paraId="202FD3F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30745199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12CB2ADB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项目受益人数</w:t>
            </w:r>
          </w:p>
        </w:tc>
        <w:tc>
          <w:tcPr>
            <w:tcW w:w="1184" w:type="pct"/>
            <w:vAlign w:val="center"/>
          </w:tcPr>
          <w:p w14:paraId="131BD6E5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≥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3000</w:t>
            </w:r>
            <w:r>
              <w:rPr>
                <w:rFonts w:hint="eastAsia" w:ascii="宋体" w:hAnsi="宋体"/>
                <w:sz w:val="24"/>
                <w:highlight w:val="none"/>
              </w:rPr>
              <w:t>人</w:t>
            </w:r>
          </w:p>
        </w:tc>
      </w:tr>
      <w:tr w14:paraId="62FA99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D82B6E2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效益指标</w:t>
            </w:r>
          </w:p>
        </w:tc>
        <w:tc>
          <w:tcPr>
            <w:tcW w:w="2630" w:type="pct"/>
            <w:vAlign w:val="center"/>
          </w:tcPr>
          <w:p w14:paraId="709C4C7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安全事故发生数</w:t>
            </w:r>
          </w:p>
        </w:tc>
        <w:tc>
          <w:tcPr>
            <w:tcW w:w="1184" w:type="pct"/>
            <w:vAlign w:val="center"/>
          </w:tcPr>
          <w:p w14:paraId="072DD633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hint="eastAsia" w:ascii="宋体" w:hAnsi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  <w:lang w:val="en-US" w:eastAsia="zh-CN"/>
              </w:rPr>
              <w:t>=</w:t>
            </w:r>
            <w:r>
              <w:rPr>
                <w:rFonts w:hint="eastAsia" w:ascii="宋体" w:hAnsi="宋体" w:eastAsia="宋体"/>
                <w:sz w:val="24"/>
                <w:highlight w:val="none"/>
              </w:rPr>
              <w:t>0起</w:t>
            </w:r>
          </w:p>
        </w:tc>
      </w:tr>
      <w:tr w14:paraId="1A3932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184" w:type="pct"/>
          </w:tcPr>
          <w:p w14:paraId="1EE938FA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成本指标</w:t>
            </w:r>
          </w:p>
        </w:tc>
        <w:tc>
          <w:tcPr>
            <w:tcW w:w="2630" w:type="pct"/>
            <w:vAlign w:val="center"/>
          </w:tcPr>
          <w:p w14:paraId="78C291BC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highlight w:val="none"/>
              </w:rPr>
            </w:pPr>
            <w:r>
              <w:rPr>
                <w:rFonts w:hint="eastAsia" w:ascii="宋体" w:hAnsi="宋体" w:eastAsia="宋体"/>
                <w:sz w:val="24"/>
                <w:highlight w:val="none"/>
              </w:rPr>
              <w:t>超概算比例</w:t>
            </w:r>
          </w:p>
        </w:tc>
        <w:tc>
          <w:tcPr>
            <w:tcW w:w="1184" w:type="pct"/>
            <w:vAlign w:val="center"/>
          </w:tcPr>
          <w:p w14:paraId="3974A68F">
            <w:pPr>
              <w:keepNext w:val="0"/>
              <w:keepLines w:val="0"/>
              <w:pageBreakBefore w:val="0"/>
              <w:tabs>
                <w:tab w:val="left" w:pos="720"/>
                <w:tab w:val="left" w:pos="3600"/>
              </w:tabs>
              <w:kinsoku/>
              <w:wordWrap/>
              <w:overflowPunct/>
              <w:topLinePunct w:val="0"/>
              <w:autoSpaceDE/>
              <w:bidi w:val="0"/>
              <w:adjustRightInd/>
              <w:snapToGrid/>
              <w:spacing w:line="560" w:lineRule="exact"/>
              <w:jc w:val="center"/>
              <w:rPr>
                <w:rFonts w:ascii="宋体" w:hAnsi="宋体" w:eastAsia="宋体"/>
                <w:sz w:val="24"/>
                <w:szCs w:val="22"/>
                <w:highlight w:val="none"/>
              </w:rPr>
            </w:pPr>
            <w:r>
              <w:rPr>
                <w:rFonts w:hint="eastAsia" w:ascii="宋体" w:hAnsi="宋体"/>
                <w:sz w:val="24"/>
                <w:highlight w:val="none"/>
              </w:rPr>
              <w:t>≤</w:t>
            </w:r>
            <w:r>
              <w:rPr>
                <w:rFonts w:hint="eastAsia" w:ascii="宋体" w:hAnsi="宋体"/>
                <w:sz w:val="24"/>
                <w:highlight w:val="none"/>
                <w:lang w:val="en-US" w:eastAsia="zh-CN"/>
              </w:rPr>
              <w:t>0</w:t>
            </w:r>
            <w:r>
              <w:rPr>
                <w:rFonts w:hint="eastAsia" w:ascii="宋体" w:hAnsi="宋体"/>
                <w:sz w:val="24"/>
                <w:highlight w:val="none"/>
              </w:rPr>
              <w:t>%</w:t>
            </w:r>
          </w:p>
        </w:tc>
      </w:tr>
    </w:tbl>
    <w:p w14:paraId="51332A04">
      <w:pPr>
        <w:pStyle w:val="2"/>
      </w:pPr>
    </w:p>
    <w:p w14:paraId="7F2A3F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二、绩效评价工作开展情况</w:t>
      </w:r>
    </w:p>
    <w:p w14:paraId="4BEADB5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（一）绩效评价目的、对象、范围</w:t>
      </w:r>
    </w:p>
    <w:p w14:paraId="6D3AABA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对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兴</w:t>
      </w:r>
      <w:r>
        <w:rPr>
          <w:rFonts w:hint="eastAsia" w:ascii="仿宋_GB2312" w:hAnsi="Times New Roman" w:eastAsia="仿宋_GB2312" w:cs="仿宋_GB2312"/>
          <w:color w:val="auto"/>
          <w:sz w:val="32"/>
          <w:szCs w:val="32"/>
          <w:highlight w:val="none"/>
          <w:lang w:bidi="ar"/>
        </w:rPr>
        <w:t>洋三横路项目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开展部门评价，促进部门提升预算绩效管理工作水平，强化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部门支出责任，规范资金管理行为，提高财政资金使用效益。</w:t>
      </w:r>
    </w:p>
    <w:p w14:paraId="4D59F11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（二）绩效评价原则、评价指标体系、评价方法、评价标准</w:t>
      </w:r>
    </w:p>
    <w:p w14:paraId="5A0AC82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1.绩效评价原则</w:t>
      </w:r>
    </w:p>
    <w:p w14:paraId="6F6EB92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本次部门评价坚持运用科学合理的方法，按照规范的程序，对项目绩效进行客观、公正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地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反映。</w:t>
      </w:r>
    </w:p>
    <w:p w14:paraId="224C4E47">
      <w:pPr>
        <w:keepNext w:val="0"/>
        <w:keepLines w:val="0"/>
        <w:pageBreakBefore w:val="0"/>
        <w:numPr>
          <w:ilvl w:val="0"/>
          <w:numId w:val="1"/>
        </w:numPr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评价指标体系</w:t>
      </w:r>
    </w:p>
    <w:p w14:paraId="035D0254">
      <w:pPr>
        <w:keepNext w:val="0"/>
        <w:keepLines w:val="0"/>
        <w:widowControl w:val="0"/>
        <w:suppressLineNumbers w:val="0"/>
        <w:autoSpaceDE/>
        <w:autoSpaceDN w:val="0"/>
        <w:spacing w:before="0" w:beforeAutospacing="0" w:after="0" w:afterAutospacing="0" w:line="560" w:lineRule="exact"/>
        <w:ind w:left="0" w:right="0" w:firstLine="640" w:firstLineChars="200"/>
        <w:jc w:val="both"/>
        <w:rPr>
          <w:rFonts w:hint="eastAsia" w:ascii="仿宋_GB2312" w:eastAsia="仿宋_GB2312" w:cs="仿宋_GB2312"/>
          <w:b/>
          <w:bCs/>
          <w:kern w:val="2"/>
          <w:sz w:val="32"/>
          <w:szCs w:val="32"/>
        </w:rPr>
      </w:pPr>
      <w:r>
        <w:rPr>
          <w:rFonts w:hint="eastAsia" w:ascii="仿宋_GB2312" w:hAnsi="Calibri" w:eastAsia="仿宋_GB2312" w:cs="仿宋_GB2312"/>
          <w:kern w:val="2"/>
          <w:sz w:val="32"/>
          <w:szCs w:val="32"/>
          <w:lang w:val="en-US" w:eastAsia="zh-CN" w:bidi="ar"/>
        </w:rPr>
        <w:t>从项目决策、过程、产出等指标开展部门评价。</w:t>
      </w:r>
    </w:p>
    <w:tbl>
      <w:tblPr>
        <w:tblStyle w:val="7"/>
        <w:tblW w:w="427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2"/>
        <w:gridCol w:w="2577"/>
        <w:gridCol w:w="1385"/>
      </w:tblGrid>
      <w:tr w14:paraId="7AB0F40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1012" w:type="pct"/>
            <w:vAlign w:val="center"/>
          </w:tcPr>
          <w:p w14:paraId="0220377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270" w:type="pct"/>
            <w:vAlign w:val="center"/>
          </w:tcPr>
          <w:p w14:paraId="5B4AB14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766" w:type="pct"/>
            <w:vAlign w:val="center"/>
          </w:tcPr>
          <w:p w14:paraId="41B8F39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950" w:type="pct"/>
            <w:vAlign w:val="center"/>
          </w:tcPr>
          <w:p w14:paraId="2FBDC5F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</w:tr>
      <w:tr w14:paraId="6D9EB04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57A0E2B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270" w:type="pct"/>
            <w:vMerge w:val="restart"/>
            <w:vAlign w:val="center"/>
          </w:tcPr>
          <w:p w14:paraId="485EF550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766" w:type="pct"/>
            <w:vAlign w:val="center"/>
          </w:tcPr>
          <w:p w14:paraId="442CB91F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950" w:type="pct"/>
            <w:vAlign w:val="center"/>
          </w:tcPr>
          <w:p w14:paraId="0A11680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74CED0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E083CF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21CFEBFB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2FB65C3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950" w:type="pct"/>
            <w:vAlign w:val="center"/>
          </w:tcPr>
          <w:p w14:paraId="7B20E0A7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628919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2F4DC79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2F10AD7F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766" w:type="pct"/>
            <w:vAlign w:val="center"/>
          </w:tcPr>
          <w:p w14:paraId="6DBD37F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950" w:type="pct"/>
            <w:vAlign w:val="center"/>
          </w:tcPr>
          <w:p w14:paraId="17A67A9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B234C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FE073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79F34DA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766" w:type="pct"/>
            <w:vAlign w:val="center"/>
          </w:tcPr>
          <w:p w14:paraId="180F45C8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950" w:type="pct"/>
            <w:vAlign w:val="center"/>
          </w:tcPr>
          <w:p w14:paraId="50D18A5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514C51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1A77B85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019A231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766" w:type="pct"/>
            <w:vAlign w:val="center"/>
          </w:tcPr>
          <w:p w14:paraId="33B2A9CD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950" w:type="pct"/>
            <w:vAlign w:val="center"/>
          </w:tcPr>
          <w:p w14:paraId="58A49152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39B1BA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445C80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6C7BA6DE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6446BB76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950" w:type="pct"/>
            <w:vAlign w:val="center"/>
          </w:tcPr>
          <w:p w14:paraId="71DBEF5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071EAF5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16C94F3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270" w:type="pct"/>
            <w:vMerge w:val="restart"/>
            <w:vAlign w:val="center"/>
          </w:tcPr>
          <w:p w14:paraId="1E81DAD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766" w:type="pct"/>
            <w:vAlign w:val="center"/>
          </w:tcPr>
          <w:p w14:paraId="07165218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950" w:type="pct"/>
            <w:vAlign w:val="center"/>
          </w:tcPr>
          <w:p w14:paraId="6C31376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68A248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372CD186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412C531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4170575A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950" w:type="pct"/>
            <w:vAlign w:val="center"/>
          </w:tcPr>
          <w:p w14:paraId="0E72AA2C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6C11B00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9744ABB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60F73DA3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5A10358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950" w:type="pct"/>
            <w:vAlign w:val="center"/>
          </w:tcPr>
          <w:p w14:paraId="2E3F480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C94E4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6C82FD0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restart"/>
            <w:vAlign w:val="center"/>
          </w:tcPr>
          <w:p w14:paraId="6D7427E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766" w:type="pct"/>
            <w:vAlign w:val="center"/>
          </w:tcPr>
          <w:p w14:paraId="264AA94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950" w:type="pct"/>
            <w:vAlign w:val="center"/>
          </w:tcPr>
          <w:p w14:paraId="03898E7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4C3FE1C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41539A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270" w:type="pct"/>
            <w:vMerge w:val="continue"/>
            <w:vAlign w:val="center"/>
          </w:tcPr>
          <w:p w14:paraId="7E87BDC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766" w:type="pct"/>
            <w:vAlign w:val="center"/>
          </w:tcPr>
          <w:p w14:paraId="2700F39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950" w:type="pct"/>
            <w:vAlign w:val="center"/>
          </w:tcPr>
          <w:p w14:paraId="2A8B61F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5463D3E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restart"/>
            <w:vAlign w:val="center"/>
          </w:tcPr>
          <w:p w14:paraId="062EFC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270" w:type="pct"/>
            <w:vAlign w:val="center"/>
          </w:tcPr>
          <w:p w14:paraId="3E04B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766" w:type="pct"/>
            <w:vAlign w:val="center"/>
          </w:tcPr>
          <w:p w14:paraId="78093BE5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950" w:type="pct"/>
            <w:vAlign w:val="center"/>
          </w:tcPr>
          <w:p w14:paraId="66473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09A5950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Merge w:val="continue"/>
            <w:vAlign w:val="center"/>
          </w:tcPr>
          <w:p w14:paraId="50C6D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270" w:type="pct"/>
            <w:vAlign w:val="center"/>
          </w:tcPr>
          <w:p w14:paraId="67E06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766" w:type="pct"/>
            <w:vAlign w:val="center"/>
          </w:tcPr>
          <w:p w14:paraId="6E71462A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950" w:type="pct"/>
            <w:vAlign w:val="center"/>
          </w:tcPr>
          <w:p w14:paraId="573C0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672AB69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1012" w:type="pct"/>
            <w:vAlign w:val="center"/>
          </w:tcPr>
          <w:p w14:paraId="1F29E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270" w:type="pct"/>
            <w:vAlign w:val="center"/>
          </w:tcPr>
          <w:p w14:paraId="3A0B17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766" w:type="pct"/>
            <w:vAlign w:val="center"/>
          </w:tcPr>
          <w:p w14:paraId="7209CEA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950" w:type="pct"/>
            <w:vAlign w:val="center"/>
          </w:tcPr>
          <w:p w14:paraId="6154E0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2C487A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4049" w:type="pct"/>
            <w:gridSpan w:val="3"/>
            <w:vAlign w:val="center"/>
          </w:tcPr>
          <w:p w14:paraId="7FE0881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950" w:type="pct"/>
            <w:vAlign w:val="center"/>
          </w:tcPr>
          <w:p w14:paraId="6D9DEC5D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</w:tbl>
    <w:p w14:paraId="562ED28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</w:p>
    <w:p w14:paraId="7ACE7E6A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3.评价方法</w:t>
      </w:r>
    </w:p>
    <w:p w14:paraId="4B246436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本次部门评价采用比较法，将项目实施情况与绩效目标情况进行比较。</w:t>
      </w:r>
    </w:p>
    <w:p w14:paraId="3A55BA0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b w:val="0"/>
          <w:bCs w:val="0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b w:val="0"/>
          <w:bCs w:val="0"/>
          <w:sz w:val="32"/>
          <w:szCs w:val="32"/>
          <w:highlight w:val="none"/>
        </w:rPr>
        <w:t>4.评价标准</w:t>
      </w:r>
    </w:p>
    <w:p w14:paraId="23D1373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本次部门评价以年初的目标、计划、预算、定额等作为评价标准</w:t>
      </w:r>
    </w:p>
    <w:p w14:paraId="229DFEA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（三）绩效评价工作过程</w:t>
      </w:r>
    </w:p>
    <w:p w14:paraId="3DE5E14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评价小组对评价资料进行认真梳理，测算分析各项指标，汇总评分并形成评价报告。</w:t>
      </w:r>
    </w:p>
    <w:p w14:paraId="310590D9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1.对《项目支出绩效评价管理办法》（财预〔2020〕10号）进行研读，对部门评价有基本的把握和了解，归纳出进一步评价所需的信息。</w:t>
      </w:r>
    </w:p>
    <w:p w14:paraId="4F2000C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2.集中对各个评价指标逐一进行分析。</w:t>
      </w:r>
    </w:p>
    <w:p w14:paraId="4C76179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3.评价小组汇总分析评价过程中发现的问题并对存在问题进行讨论，分别计算各评价指标所得分数，形成评价结果。</w:t>
      </w:r>
    </w:p>
    <w:p w14:paraId="02CB2FF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4.根据评价结果，撰写评价报告。</w:t>
      </w:r>
    </w:p>
    <w:p w14:paraId="06F96FA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三、综合评价情况及评价结论</w:t>
      </w:r>
    </w:p>
    <w:p w14:paraId="384EE4E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项目绩效评价工作小组从项目决策、过程管理、产出等方面分别对该项目进行评价，项目目标设定、决策过程、资金管理、组织实施、项目效果等方面落实情况较好，评价得分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分，评价等次为优，达到了预期设定的项目绩效目标。</w:t>
      </w:r>
    </w:p>
    <w:tbl>
      <w:tblPr>
        <w:tblStyle w:val="7"/>
        <w:tblW w:w="499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76"/>
        <w:gridCol w:w="1854"/>
        <w:gridCol w:w="2575"/>
        <w:gridCol w:w="1386"/>
        <w:gridCol w:w="1228"/>
      </w:tblGrid>
      <w:tr w14:paraId="74BCF2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7" w:hRule="exact"/>
          <w:jc w:val="center"/>
        </w:trPr>
        <w:tc>
          <w:tcPr>
            <w:tcW w:w="866" w:type="pct"/>
            <w:vAlign w:val="center"/>
          </w:tcPr>
          <w:p w14:paraId="344E645E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一级指标</w:t>
            </w:r>
          </w:p>
        </w:tc>
        <w:tc>
          <w:tcPr>
            <w:tcW w:w="1088" w:type="pct"/>
            <w:vAlign w:val="center"/>
          </w:tcPr>
          <w:p w14:paraId="23600E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二级指标</w:t>
            </w:r>
          </w:p>
        </w:tc>
        <w:tc>
          <w:tcPr>
            <w:tcW w:w="1511" w:type="pct"/>
            <w:vAlign w:val="center"/>
          </w:tcPr>
          <w:p w14:paraId="560DC6E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三级指标</w:t>
            </w:r>
          </w:p>
        </w:tc>
        <w:tc>
          <w:tcPr>
            <w:tcW w:w="813" w:type="pct"/>
            <w:vAlign w:val="center"/>
          </w:tcPr>
          <w:p w14:paraId="49C8683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</w:rPr>
              <w:t>分值</w:t>
            </w:r>
          </w:p>
        </w:tc>
        <w:tc>
          <w:tcPr>
            <w:tcW w:w="720" w:type="pct"/>
            <w:vAlign w:val="center"/>
          </w:tcPr>
          <w:p w14:paraId="1E8B0490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 w:val="0"/>
                <w:color w:val="auto"/>
                <w:sz w:val="21"/>
                <w:szCs w:val="21"/>
                <w:lang w:val="en-US" w:eastAsia="zh-CN"/>
              </w:rPr>
              <w:t>得分</w:t>
            </w:r>
          </w:p>
        </w:tc>
      </w:tr>
      <w:tr w14:paraId="453E942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7F06CF8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</w:rPr>
              <w:t>决策</w:t>
            </w:r>
          </w:p>
        </w:tc>
        <w:tc>
          <w:tcPr>
            <w:tcW w:w="1088" w:type="pct"/>
            <w:vMerge w:val="restart"/>
            <w:vAlign w:val="center"/>
          </w:tcPr>
          <w:p w14:paraId="4D85459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项目立项</w:t>
            </w:r>
          </w:p>
        </w:tc>
        <w:tc>
          <w:tcPr>
            <w:tcW w:w="1511" w:type="pct"/>
            <w:vAlign w:val="center"/>
          </w:tcPr>
          <w:p w14:paraId="0D59EFE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立项依据充分性</w:t>
            </w:r>
          </w:p>
        </w:tc>
        <w:tc>
          <w:tcPr>
            <w:tcW w:w="813" w:type="pct"/>
            <w:vAlign w:val="center"/>
          </w:tcPr>
          <w:p w14:paraId="0A38BEF8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14A09B1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4298DC7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F0139B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2F2A9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6B5AED3D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立项程序规范性</w:t>
            </w:r>
          </w:p>
        </w:tc>
        <w:tc>
          <w:tcPr>
            <w:tcW w:w="813" w:type="pct"/>
            <w:vAlign w:val="center"/>
          </w:tcPr>
          <w:p w14:paraId="78535D8B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8C5CE6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827C6C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F723CB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9A1CA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</w:t>
            </w:r>
          </w:p>
        </w:tc>
        <w:tc>
          <w:tcPr>
            <w:tcW w:w="1511" w:type="pct"/>
            <w:vAlign w:val="center"/>
          </w:tcPr>
          <w:p w14:paraId="466E38CE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绩效目标合理性</w:t>
            </w:r>
          </w:p>
        </w:tc>
        <w:tc>
          <w:tcPr>
            <w:tcW w:w="813" w:type="pct"/>
            <w:vAlign w:val="center"/>
          </w:tcPr>
          <w:p w14:paraId="19D6AE9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37EE869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33379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2C5762E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2844ABA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511" w:type="pct"/>
            <w:vAlign w:val="center"/>
          </w:tcPr>
          <w:p w14:paraId="4E345BF9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绩效目标明确性</w:t>
            </w:r>
          </w:p>
        </w:tc>
        <w:tc>
          <w:tcPr>
            <w:tcW w:w="813" w:type="pct"/>
            <w:vAlign w:val="center"/>
          </w:tcPr>
          <w:p w14:paraId="5963EC92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  <w:tc>
          <w:tcPr>
            <w:tcW w:w="720" w:type="pct"/>
            <w:vAlign w:val="center"/>
          </w:tcPr>
          <w:p w14:paraId="1586CFFC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2</w:t>
            </w:r>
          </w:p>
        </w:tc>
      </w:tr>
      <w:tr w14:paraId="74328DB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6429771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508A943E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资金投入</w:t>
            </w:r>
          </w:p>
        </w:tc>
        <w:tc>
          <w:tcPr>
            <w:tcW w:w="1511" w:type="pct"/>
            <w:vAlign w:val="center"/>
          </w:tcPr>
          <w:p w14:paraId="54C282F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预算编制科学性</w:t>
            </w:r>
          </w:p>
        </w:tc>
        <w:tc>
          <w:tcPr>
            <w:tcW w:w="813" w:type="pct"/>
            <w:vAlign w:val="center"/>
          </w:tcPr>
          <w:p w14:paraId="1A3F042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12044AC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1D7FFEF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78CEDA14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4C834289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1F048DE7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资金分配合理性</w:t>
            </w:r>
          </w:p>
        </w:tc>
        <w:tc>
          <w:tcPr>
            <w:tcW w:w="813" w:type="pct"/>
            <w:vAlign w:val="center"/>
          </w:tcPr>
          <w:p w14:paraId="276A794D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  <w:tc>
          <w:tcPr>
            <w:tcW w:w="720" w:type="pct"/>
            <w:vAlign w:val="center"/>
          </w:tcPr>
          <w:p w14:paraId="5495F2AA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3</w:t>
            </w:r>
          </w:p>
        </w:tc>
      </w:tr>
      <w:tr w14:paraId="4B7EC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29A1C6E7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过程</w:t>
            </w:r>
          </w:p>
        </w:tc>
        <w:tc>
          <w:tcPr>
            <w:tcW w:w="1088" w:type="pct"/>
            <w:vMerge w:val="restart"/>
            <w:vAlign w:val="center"/>
          </w:tcPr>
          <w:p w14:paraId="453318B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资金管理</w:t>
            </w:r>
          </w:p>
        </w:tc>
        <w:tc>
          <w:tcPr>
            <w:tcW w:w="1511" w:type="pct"/>
            <w:vAlign w:val="center"/>
          </w:tcPr>
          <w:p w14:paraId="3F50041C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预算执行率</w:t>
            </w:r>
          </w:p>
        </w:tc>
        <w:tc>
          <w:tcPr>
            <w:tcW w:w="813" w:type="pct"/>
            <w:vAlign w:val="center"/>
          </w:tcPr>
          <w:p w14:paraId="32886961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  <w:tc>
          <w:tcPr>
            <w:tcW w:w="720" w:type="pct"/>
            <w:vAlign w:val="center"/>
          </w:tcPr>
          <w:p w14:paraId="36A41E79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10</w:t>
            </w:r>
          </w:p>
        </w:tc>
      </w:tr>
      <w:tr w14:paraId="265EC9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DCEDD4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777406D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D9B818E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资金到位率</w:t>
            </w:r>
          </w:p>
        </w:tc>
        <w:tc>
          <w:tcPr>
            <w:tcW w:w="813" w:type="pct"/>
            <w:vAlign w:val="center"/>
          </w:tcPr>
          <w:p w14:paraId="0F5633A3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  <w:tc>
          <w:tcPr>
            <w:tcW w:w="720" w:type="pct"/>
            <w:vAlign w:val="center"/>
          </w:tcPr>
          <w:p w14:paraId="2E885D64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  <w:t>5</w:t>
            </w:r>
          </w:p>
        </w:tc>
      </w:tr>
      <w:tr w14:paraId="486456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05C09C18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06707D11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866209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资金使用合规性</w:t>
            </w:r>
          </w:p>
        </w:tc>
        <w:tc>
          <w:tcPr>
            <w:tcW w:w="813" w:type="pct"/>
            <w:vAlign w:val="center"/>
          </w:tcPr>
          <w:p w14:paraId="0CF2878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  <w:tc>
          <w:tcPr>
            <w:tcW w:w="720" w:type="pct"/>
            <w:vAlign w:val="center"/>
          </w:tcPr>
          <w:p w14:paraId="3FC812C6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5</w:t>
            </w:r>
          </w:p>
        </w:tc>
      </w:tr>
      <w:tr w14:paraId="1FF69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14FA4390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restart"/>
            <w:vAlign w:val="center"/>
          </w:tcPr>
          <w:p w14:paraId="6D41E60C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组织实施</w:t>
            </w:r>
          </w:p>
        </w:tc>
        <w:tc>
          <w:tcPr>
            <w:tcW w:w="1511" w:type="pct"/>
            <w:vAlign w:val="center"/>
          </w:tcPr>
          <w:p w14:paraId="5770EFFC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管理制度健全性</w:t>
            </w:r>
          </w:p>
        </w:tc>
        <w:tc>
          <w:tcPr>
            <w:tcW w:w="813" w:type="pct"/>
            <w:vAlign w:val="center"/>
          </w:tcPr>
          <w:p w14:paraId="60E0FA51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  <w:tc>
          <w:tcPr>
            <w:tcW w:w="720" w:type="pct"/>
            <w:vAlign w:val="center"/>
          </w:tcPr>
          <w:p w14:paraId="662CE76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4</w:t>
            </w:r>
          </w:p>
        </w:tc>
      </w:tr>
      <w:tr w14:paraId="541F4E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3F144D0D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088" w:type="pct"/>
            <w:vMerge w:val="continue"/>
            <w:vAlign w:val="center"/>
          </w:tcPr>
          <w:p w14:paraId="106F80AA">
            <w:pPr>
              <w:spacing w:line="300" w:lineRule="exact"/>
              <w:jc w:val="center"/>
              <w:rPr>
                <w:rFonts w:hint="eastAsia" w:ascii="宋体" w:hAnsi="宋体" w:eastAsia="宋体"/>
                <w:color w:val="auto"/>
                <w:sz w:val="21"/>
                <w:szCs w:val="21"/>
              </w:rPr>
            </w:pPr>
          </w:p>
        </w:tc>
        <w:tc>
          <w:tcPr>
            <w:tcW w:w="1511" w:type="pct"/>
            <w:vAlign w:val="center"/>
          </w:tcPr>
          <w:p w14:paraId="260F11F0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制度执行有效性</w:t>
            </w:r>
          </w:p>
        </w:tc>
        <w:tc>
          <w:tcPr>
            <w:tcW w:w="813" w:type="pct"/>
            <w:vAlign w:val="center"/>
          </w:tcPr>
          <w:p w14:paraId="6E240F48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  <w:tc>
          <w:tcPr>
            <w:tcW w:w="720" w:type="pct"/>
            <w:vAlign w:val="center"/>
          </w:tcPr>
          <w:p w14:paraId="50225A7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6</w:t>
            </w:r>
          </w:p>
        </w:tc>
      </w:tr>
      <w:tr w14:paraId="7805D7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restart"/>
            <w:vAlign w:val="center"/>
          </w:tcPr>
          <w:p w14:paraId="43F9DF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产出</w:t>
            </w:r>
          </w:p>
        </w:tc>
        <w:tc>
          <w:tcPr>
            <w:tcW w:w="1088" w:type="pct"/>
            <w:vAlign w:val="center"/>
          </w:tcPr>
          <w:p w14:paraId="3E3C12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数量</w:t>
            </w:r>
          </w:p>
        </w:tc>
        <w:tc>
          <w:tcPr>
            <w:tcW w:w="1511" w:type="pct"/>
            <w:vAlign w:val="center"/>
          </w:tcPr>
          <w:p w14:paraId="0408F6C4">
            <w:pPr>
              <w:autoSpaceDN w:val="0"/>
              <w:spacing w:line="300" w:lineRule="exact"/>
              <w:jc w:val="left"/>
              <w:textAlignment w:val="center"/>
              <w:rPr>
                <w:rFonts w:hint="default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建设(改造、修缮)工程量</w:t>
            </w:r>
          </w:p>
        </w:tc>
        <w:tc>
          <w:tcPr>
            <w:tcW w:w="813" w:type="pct"/>
            <w:vAlign w:val="center"/>
          </w:tcPr>
          <w:p w14:paraId="481BB0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  <w:tc>
          <w:tcPr>
            <w:tcW w:w="720" w:type="pct"/>
            <w:vAlign w:val="center"/>
          </w:tcPr>
          <w:p w14:paraId="68ACCF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30</w:t>
            </w:r>
          </w:p>
        </w:tc>
      </w:tr>
      <w:tr w14:paraId="43967FB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Merge w:val="continue"/>
            <w:vAlign w:val="center"/>
          </w:tcPr>
          <w:p w14:paraId="548A3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088" w:type="pct"/>
            <w:vAlign w:val="center"/>
          </w:tcPr>
          <w:p w14:paraId="70840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</w:rPr>
              <w:t>产出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0"/>
                <w:szCs w:val="20"/>
                <w:lang w:val="en-US" w:eastAsia="zh-CN"/>
              </w:rPr>
              <w:t>成本</w:t>
            </w:r>
          </w:p>
        </w:tc>
        <w:tc>
          <w:tcPr>
            <w:tcW w:w="1511" w:type="pct"/>
            <w:vAlign w:val="center"/>
          </w:tcPr>
          <w:p w14:paraId="36D11D34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超概算项目比例</w:t>
            </w:r>
          </w:p>
        </w:tc>
        <w:tc>
          <w:tcPr>
            <w:tcW w:w="813" w:type="pct"/>
            <w:vAlign w:val="center"/>
          </w:tcPr>
          <w:p w14:paraId="5B4044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6BE587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50B699F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866" w:type="pct"/>
            <w:vAlign w:val="center"/>
          </w:tcPr>
          <w:p w14:paraId="58C7A1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效益</w:t>
            </w:r>
          </w:p>
        </w:tc>
        <w:tc>
          <w:tcPr>
            <w:tcW w:w="1088" w:type="pct"/>
            <w:vAlign w:val="center"/>
          </w:tcPr>
          <w:p w14:paraId="39F3A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21"/>
                <w:szCs w:val="21"/>
                <w:u w:val="none"/>
                <w:lang w:val="en-US" w:eastAsia="zh-CN" w:bidi="ar"/>
              </w:rPr>
              <w:t>项目效益</w:t>
            </w:r>
          </w:p>
        </w:tc>
        <w:tc>
          <w:tcPr>
            <w:tcW w:w="1511" w:type="pct"/>
            <w:vAlign w:val="center"/>
          </w:tcPr>
          <w:p w14:paraId="779B6877">
            <w:pPr>
              <w:autoSpaceDN w:val="0"/>
              <w:spacing w:line="300" w:lineRule="exact"/>
              <w:jc w:val="left"/>
              <w:textAlignment w:val="center"/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color w:val="auto"/>
                <w:sz w:val="21"/>
                <w:szCs w:val="21"/>
                <w:lang w:val="en-US" w:eastAsia="zh-CN"/>
              </w:rPr>
              <w:t>项目受益人数</w:t>
            </w:r>
          </w:p>
        </w:tc>
        <w:tc>
          <w:tcPr>
            <w:tcW w:w="813" w:type="pct"/>
            <w:vAlign w:val="center"/>
          </w:tcPr>
          <w:p w14:paraId="7BC6DE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  <w:tc>
          <w:tcPr>
            <w:tcW w:w="720" w:type="pct"/>
            <w:vAlign w:val="center"/>
          </w:tcPr>
          <w:p w14:paraId="0DB48E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eastAsia="宋体" w:cstheme="minorBidi"/>
                <w:b w:val="0"/>
                <w:bCs w:val="0"/>
                <w:color w:val="auto"/>
                <w:kern w:val="2"/>
                <w:sz w:val="21"/>
                <w:szCs w:val="21"/>
                <w:lang w:val="en-US" w:eastAsia="zh-CN" w:bidi="ar-SA"/>
              </w:rPr>
              <w:t>10</w:t>
            </w:r>
          </w:p>
        </w:tc>
      </w:tr>
      <w:tr w14:paraId="14D510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07C69C7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总分</w:t>
            </w:r>
          </w:p>
        </w:tc>
        <w:tc>
          <w:tcPr>
            <w:tcW w:w="813" w:type="pct"/>
            <w:vAlign w:val="center"/>
          </w:tcPr>
          <w:p w14:paraId="71AEBBA6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  <w:tc>
          <w:tcPr>
            <w:tcW w:w="720" w:type="pct"/>
            <w:vAlign w:val="center"/>
          </w:tcPr>
          <w:p w14:paraId="3007183F">
            <w:pPr>
              <w:autoSpaceDN w:val="0"/>
              <w:spacing w:line="300" w:lineRule="exact"/>
              <w:jc w:val="center"/>
              <w:textAlignment w:val="center"/>
              <w:rPr>
                <w:rFonts w:hint="default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100</w:t>
            </w:r>
          </w:p>
        </w:tc>
      </w:tr>
      <w:tr w14:paraId="2049E70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  <w:jc w:val="center"/>
        </w:trPr>
        <w:tc>
          <w:tcPr>
            <w:tcW w:w="3465" w:type="pct"/>
            <w:gridSpan w:val="3"/>
            <w:vAlign w:val="center"/>
          </w:tcPr>
          <w:p w14:paraId="56817469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</w:rPr>
              <w:t>评价等次</w:t>
            </w:r>
          </w:p>
        </w:tc>
        <w:tc>
          <w:tcPr>
            <w:tcW w:w="813" w:type="pct"/>
            <w:vAlign w:val="center"/>
          </w:tcPr>
          <w:p w14:paraId="71206C43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</w:p>
        </w:tc>
        <w:tc>
          <w:tcPr>
            <w:tcW w:w="720" w:type="pct"/>
            <w:vAlign w:val="center"/>
          </w:tcPr>
          <w:p w14:paraId="6B757CF5">
            <w:pPr>
              <w:autoSpaceDN w:val="0"/>
              <w:spacing w:line="300" w:lineRule="exact"/>
              <w:jc w:val="center"/>
              <w:textAlignment w:val="center"/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/>
                <w:b/>
                <w:bCs/>
                <w:color w:val="auto"/>
                <w:sz w:val="21"/>
                <w:szCs w:val="21"/>
                <w:lang w:val="en-US" w:eastAsia="zh-CN"/>
              </w:rPr>
              <w:t>优</w:t>
            </w:r>
          </w:p>
        </w:tc>
      </w:tr>
    </w:tbl>
    <w:p w14:paraId="19808E9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rPr>
          <w:rFonts w:hint="eastAsia" w:ascii="黑体" w:hAnsi="黑体" w:eastAsia="黑体" w:cs="黑体"/>
          <w:sz w:val="32"/>
          <w:szCs w:val="32"/>
          <w:highlight w:val="none"/>
        </w:rPr>
      </w:pPr>
    </w:p>
    <w:p w14:paraId="3280533B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四、绩效评价指标分析</w:t>
      </w:r>
    </w:p>
    <w:p w14:paraId="619E59A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（一）项目决策情况</w:t>
      </w:r>
    </w:p>
    <w:p w14:paraId="4C87EC84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兴洋三横路为城市次干路，是江东离岸创新创业组团与高教组团路网格局的重要组成部分，西至桂秀路，南接东寨港大道，是离岸创新创业组团与高教组团对外联系的横向通道之一。兴洋三横路沿线与6条纵向主干路相交，承担重要的集散功能，为离岸创新创业组团与高教组团联系的重要通道。因此，兴洋三横路在一定程度上对海涛大道进行补充和分流，并服务于区域。该项目列入海口市政府投资项目计划。项目设定了绩效目标，绩效目标与实际工作内容具有相关性。项目预算编制科学合理，预算资金分配依据充分。</w:t>
      </w:r>
    </w:p>
    <w:p w14:paraId="034AA918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（二）项目过程情况</w:t>
      </w:r>
    </w:p>
    <w:p w14:paraId="7EDA1F1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2020年我局制定并印发了《政府投资项目管理办法（试行）》，建立了有效的项目管理制度，保证了项目安全有效运行，确保了项目顺利实施，取得明显成效。项目资金支付严格履行审批程序，使用规范，会计核算结果真实、准确。此次绩效评价过程中未发现挤占或挪用项目资金的情况。</w:t>
      </w:r>
    </w:p>
    <w:p w14:paraId="5080ED37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202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年共到位资金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12904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万元，其中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2024年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地债资金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12500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万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eastAsia="zh-CN"/>
        </w:rPr>
        <w:t>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市财政资金404万元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，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截至2024.12.31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支出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val="en-US" w:eastAsia="zh-CN" w:bidi="ar"/>
        </w:rPr>
        <w:t>100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bidi="ar"/>
        </w:rPr>
        <w:t>%</w:t>
      </w:r>
      <w:r>
        <w:rPr>
          <w:rFonts w:hint="eastAsia" w:ascii="仿宋_GB2312" w:hAnsi="Times New Roman" w:eastAsia="仿宋_GB2312" w:cs="仿宋_GB2312"/>
          <w:sz w:val="32"/>
          <w:szCs w:val="32"/>
          <w:highlight w:val="none"/>
          <w:lang w:eastAsia="zh-CN" w:bidi="ar"/>
        </w:rPr>
        <w:t>。</w:t>
      </w:r>
    </w:p>
    <w:p w14:paraId="38EAC095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（三）项目产出情况</w:t>
      </w:r>
    </w:p>
    <w:p w14:paraId="171FD47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该项目资金到位及时，项目顺利实施，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2024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年年底已完成项目总体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90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%的形象进度。项目完成程度较好，实现了预定预算目标。</w:t>
      </w:r>
    </w:p>
    <w:p w14:paraId="17F569B2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楷体_GB2312" w:hAnsi="楷体_GB2312" w:eastAsia="楷体_GB2312" w:cs="楷体_GB2312"/>
          <w:sz w:val="32"/>
          <w:szCs w:val="32"/>
          <w:highlight w:val="none"/>
        </w:rPr>
      </w:pPr>
      <w:r>
        <w:rPr>
          <w:rFonts w:hint="eastAsia" w:ascii="楷体_GB2312" w:hAnsi="楷体_GB2312" w:eastAsia="楷体_GB2312" w:cs="楷体_GB2312"/>
          <w:sz w:val="32"/>
          <w:szCs w:val="32"/>
          <w:highlight w:val="none"/>
        </w:rPr>
        <w:t>（四）项目效益情况</w:t>
      </w:r>
    </w:p>
    <w:p w14:paraId="0291D4E1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兴洋三横路位于江东新区离岸创新创业组团与高教组团，是江东离岸创新创业组团与高教组团路网格局的重要组成部分，西至桂秀路，南接东寨港大道，是离岸创新创业组团与高教组团对外联系的横向通道之一。本项目为打通高教科研组团及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离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岸创新创业组团的通道，保障沿路的电力、通信、排水需求，满足海经院等高校的配套出行服务。</w:t>
      </w:r>
    </w:p>
    <w:p w14:paraId="47ED194F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五、主要经验及做法、存在的问题及原因分析</w:t>
      </w:r>
    </w:p>
    <w:p w14:paraId="79C89D83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134AFEC1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六、有关建议</w:t>
      </w:r>
    </w:p>
    <w:p w14:paraId="7D41914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p w14:paraId="5137C60C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黑体" w:hAnsi="黑体" w:eastAsia="黑体" w:cs="黑体"/>
          <w:sz w:val="32"/>
          <w:szCs w:val="32"/>
          <w:highlight w:val="none"/>
        </w:rPr>
        <w:t>七、其他需要说明的问题</w:t>
      </w:r>
    </w:p>
    <w:p w14:paraId="7AC398E0">
      <w:pPr>
        <w:keepNext w:val="0"/>
        <w:keepLines w:val="0"/>
        <w:pageBreakBefore w:val="0"/>
        <w:kinsoku/>
        <w:wordWrap/>
        <w:overflowPunct/>
        <w:topLinePunct w:val="0"/>
        <w:autoSpaceDE/>
        <w:bidi w:val="0"/>
        <w:adjustRightInd/>
        <w:snapToGrid/>
        <w:spacing w:line="560" w:lineRule="exact"/>
        <w:ind w:firstLine="640" w:firstLineChars="200"/>
        <w:rPr>
          <w:rFonts w:ascii="黑体" w:hAnsi="黑体" w:eastAsia="黑体" w:cs="黑体"/>
          <w:sz w:val="32"/>
          <w:szCs w:val="32"/>
          <w:highlight w:val="none"/>
        </w:rPr>
      </w:pPr>
      <w:r>
        <w:rPr>
          <w:rFonts w:hint="eastAsia" w:ascii="仿宋_GB2312" w:hAnsi="仿宋_GB2312" w:eastAsia="仿宋_GB2312" w:cs="仿宋_GB2312"/>
          <w:sz w:val="32"/>
          <w:szCs w:val="32"/>
          <w:highlight w:val="none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34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A3D6D403-9986-496D-BA87-989D69F4DF56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2" w:fontKey="{B5968809-FCF7-4009-AE7D-FEE96F99B93D}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3000509000000000000"/>
    <w:charset w:val="86"/>
    <w:family w:val="script"/>
    <w:pitch w:val="default"/>
    <w:sig w:usb0="00000001" w:usb1="080E0000" w:usb2="00000000" w:usb3="00000000" w:csb0="00040000" w:csb1="00000000"/>
    <w:embedRegular r:id="rId3" w:fontKey="{89401130-6CDE-4487-82B6-F9113B0E7449}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4" w:fontKey="{F1174374-B0A4-4FDD-9075-F2A121B58466}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  <w:embedRegular r:id="rId5" w:fontKey="{6703C483-B5C5-4EB5-B0B2-C0C3A3990FDB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36C259">
    <w:pPr>
      <w:pStyle w:val="4"/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0F95A036">
                          <w:pPr>
                            <w:pStyle w:val="4"/>
                            <w:rPr>
                              <w:rFonts w:ascii="宋体" w:hAnsi="宋体" w:eastAsia="宋体" w:cs="宋体"/>
                              <w:sz w:val="2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rd1wwqAgAAVwQAAA4AAABkcnMvZTJvRG9jLnhtbK1UzY7TMBC+I/EO&#10;lu80bRGrqmq6KlsVIVXsSgVxdh2nieQ/2W6T8gDwBpy4cOe5+hx8dpIuWjjsgYsz9oy/8ffNTBa3&#10;rZLkJJyvjc7pZDSmRGhuilofcvrp4+bVjBIfmC6YNFrk9Cw8vV2+fLFo7FxMTWVkIRwBiPbzxua0&#10;CsHOs8zzSijmR8YKDWdpnGIBW3fICscaoCuZTcfjm6wxrrDOcOE9Ttedk/aI7jmApixrLtaGH5XQ&#10;oUN1QrIASr6qrafL9NqyFDzcl6UXgcicgmlIK5LA3sc1Wy7Y/OCYrWreP4E95wlPOClWayS9Qq1Z&#10;YOTo6r+gVM2d8aYMI25U1hFJioDFZPxEm13FrEhcILW3V9H9/4PlH04PjtQFOgGSaKZQ8cv3b5cf&#10;vy4/vxKcQaDG+jnidhaRoX1rWgQP5x6HkXdbOhW/YETgB9b5Kq9oA+Hx0mw6m43h4vANG+Bnj9et&#10;8+GdMIpEI6cO9UuystPWhy50CInZtNnUUqYaSk2anN68fjNOF64egEuNHJFE99hohXbf9sz2pjiD&#10;mDNdb3jLNzWSb5kPD8yhGfBgjEu4x1JKgySmtyipjPvyr/MYjxrBS0mD5sqpxixRIt9r1A6AYTDc&#10;YOwHQx/VnUG3TjCGlicTF1yQg1k6oz5jhlYxB1xMc2TKaRjMu9A1OGaQi9UqBaHbLAtbvbM8Qkfx&#10;vF0dAwRMukZROiV6rdBvqTL9bMSG/nOfoh7/B8v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kwQAAFtDb250ZW50X1R5cGVzXS54bWxQSwECFAAK&#10;AAAAAACHTuJAAAAAAAAAAAAAAAAABgAAAAAAAAAAABAAAAB1AwAAX3JlbHMvUEsBAhQAFAAAAAgA&#10;h07iQIoUZjzRAAAAlAEAAAsAAAAAAAAAAQAgAAAAmQMAAF9yZWxzLy5yZWxzUEsBAhQACgAAAAAA&#10;h07iQAAAAAAAAAAAAAAAAAQAAAAAAAAAAAAQAAAAAAAAAGRycy9QSwECFAAUAAAACACHTuJAs0lY&#10;7tAAAAAFAQAADwAAAAAAAAABACAAAAAiAAAAZHJzL2Rvd25yZXYueG1sUEsBAhQAFAAAAAgAh07i&#10;QMrd1wwqAgAAVwQAAA4AAAAAAAAAAQAgAAAAHwEAAGRycy9lMm9Eb2MueG1sUEsFBgAAAAAGAAYA&#10;WQEAALs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0F95A036">
                    <w:pPr>
                      <w:pStyle w:val="4"/>
                      <w:rPr>
                        <w:rFonts w:ascii="宋体" w:hAnsi="宋体" w:eastAsia="宋体" w:cs="宋体"/>
                        <w:sz w:val="2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2F846F7"/>
    <w:multiLevelType w:val="singleLevel"/>
    <w:tmpl w:val="62F846F7"/>
    <w:lvl w:ilvl="0" w:tentative="0">
      <w:start w:val="2"/>
      <w:numFmt w:val="decimal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2"/>
  <w:embedTrueTypeFonts/>
  <w:saveSubsetFonts/>
  <w:bordersDoNotSurroundHeader w:val="0"/>
  <w:bordersDoNotSurroundFooter w:val="0"/>
  <w:revisionView w:markup="0"/>
  <w:trackRevisions w:val="1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DhiYzkyMzRiM2UzM2VhZTBkNzAzYmRlODMyNzQ0ZTMifQ=="/>
  </w:docVars>
  <w:rsids>
    <w:rsidRoot w:val="435E1F18"/>
    <w:rsid w:val="003B3E31"/>
    <w:rsid w:val="006D65BE"/>
    <w:rsid w:val="00BE4EB8"/>
    <w:rsid w:val="00D4065E"/>
    <w:rsid w:val="00D57EB4"/>
    <w:rsid w:val="02233DF4"/>
    <w:rsid w:val="023A5912"/>
    <w:rsid w:val="02CB6390"/>
    <w:rsid w:val="02ED42F7"/>
    <w:rsid w:val="040B460D"/>
    <w:rsid w:val="040D045B"/>
    <w:rsid w:val="045C395B"/>
    <w:rsid w:val="04621786"/>
    <w:rsid w:val="05787E8E"/>
    <w:rsid w:val="0626600A"/>
    <w:rsid w:val="06F95DEE"/>
    <w:rsid w:val="08093106"/>
    <w:rsid w:val="08AF5C9C"/>
    <w:rsid w:val="0A092149"/>
    <w:rsid w:val="0A787E3B"/>
    <w:rsid w:val="0AC273C6"/>
    <w:rsid w:val="0AC94BD1"/>
    <w:rsid w:val="0B773066"/>
    <w:rsid w:val="0BD17C84"/>
    <w:rsid w:val="0BDE5F87"/>
    <w:rsid w:val="0D780CCE"/>
    <w:rsid w:val="0DBB40F2"/>
    <w:rsid w:val="0DE47EA0"/>
    <w:rsid w:val="0E9A79D6"/>
    <w:rsid w:val="0EC8398B"/>
    <w:rsid w:val="111C1707"/>
    <w:rsid w:val="11A46B93"/>
    <w:rsid w:val="11FB7553"/>
    <w:rsid w:val="126332E8"/>
    <w:rsid w:val="12AB34F1"/>
    <w:rsid w:val="135734FF"/>
    <w:rsid w:val="137539AD"/>
    <w:rsid w:val="14B51D19"/>
    <w:rsid w:val="14FA1115"/>
    <w:rsid w:val="154455E1"/>
    <w:rsid w:val="15481788"/>
    <w:rsid w:val="15B375F2"/>
    <w:rsid w:val="160A413E"/>
    <w:rsid w:val="1652225F"/>
    <w:rsid w:val="16630DA5"/>
    <w:rsid w:val="1682257B"/>
    <w:rsid w:val="180C39B2"/>
    <w:rsid w:val="190A44B1"/>
    <w:rsid w:val="19263C3A"/>
    <w:rsid w:val="19316574"/>
    <w:rsid w:val="19795372"/>
    <w:rsid w:val="19AA72EE"/>
    <w:rsid w:val="1AC1553C"/>
    <w:rsid w:val="1B007691"/>
    <w:rsid w:val="1CB1400C"/>
    <w:rsid w:val="1DBB2B25"/>
    <w:rsid w:val="1E122B23"/>
    <w:rsid w:val="1E312225"/>
    <w:rsid w:val="1E5510E3"/>
    <w:rsid w:val="1F25228A"/>
    <w:rsid w:val="20281024"/>
    <w:rsid w:val="20B5758E"/>
    <w:rsid w:val="23335B9D"/>
    <w:rsid w:val="23EF1B0E"/>
    <w:rsid w:val="247A1B51"/>
    <w:rsid w:val="25900E53"/>
    <w:rsid w:val="26313F0D"/>
    <w:rsid w:val="27E81586"/>
    <w:rsid w:val="28B735AC"/>
    <w:rsid w:val="29B57C78"/>
    <w:rsid w:val="2A765633"/>
    <w:rsid w:val="2AB57C33"/>
    <w:rsid w:val="2AE457DA"/>
    <w:rsid w:val="2B336677"/>
    <w:rsid w:val="2C192B4A"/>
    <w:rsid w:val="2C8221BC"/>
    <w:rsid w:val="2D7160E8"/>
    <w:rsid w:val="2D9F1EA3"/>
    <w:rsid w:val="2DA417DD"/>
    <w:rsid w:val="2DDD4C32"/>
    <w:rsid w:val="2E9826F7"/>
    <w:rsid w:val="301B76E9"/>
    <w:rsid w:val="30483FA0"/>
    <w:rsid w:val="30BB4EA6"/>
    <w:rsid w:val="31437427"/>
    <w:rsid w:val="326C58E4"/>
    <w:rsid w:val="340F7934"/>
    <w:rsid w:val="34C8661B"/>
    <w:rsid w:val="35F728BC"/>
    <w:rsid w:val="3714005C"/>
    <w:rsid w:val="37372992"/>
    <w:rsid w:val="37C51992"/>
    <w:rsid w:val="38042CB3"/>
    <w:rsid w:val="38B37090"/>
    <w:rsid w:val="390C1A27"/>
    <w:rsid w:val="3ABA6910"/>
    <w:rsid w:val="3B0A2EB0"/>
    <w:rsid w:val="3B500164"/>
    <w:rsid w:val="3B59178B"/>
    <w:rsid w:val="3C444B0B"/>
    <w:rsid w:val="3E4B066F"/>
    <w:rsid w:val="3FBB4BCB"/>
    <w:rsid w:val="405D14CB"/>
    <w:rsid w:val="41253788"/>
    <w:rsid w:val="418D0587"/>
    <w:rsid w:val="41B37671"/>
    <w:rsid w:val="42DC043F"/>
    <w:rsid w:val="435E1F18"/>
    <w:rsid w:val="437C46E2"/>
    <w:rsid w:val="43A0472F"/>
    <w:rsid w:val="44273DE2"/>
    <w:rsid w:val="44890E2A"/>
    <w:rsid w:val="449F4DAD"/>
    <w:rsid w:val="44B278BB"/>
    <w:rsid w:val="44B939E4"/>
    <w:rsid w:val="44EC3F37"/>
    <w:rsid w:val="461E0D18"/>
    <w:rsid w:val="464F2DD5"/>
    <w:rsid w:val="467C5C77"/>
    <w:rsid w:val="46CB3490"/>
    <w:rsid w:val="47C55320"/>
    <w:rsid w:val="49B72F9D"/>
    <w:rsid w:val="49C0331C"/>
    <w:rsid w:val="49ED2797"/>
    <w:rsid w:val="4AA6125F"/>
    <w:rsid w:val="4B5A13DB"/>
    <w:rsid w:val="4B820499"/>
    <w:rsid w:val="4C1448F5"/>
    <w:rsid w:val="4C625BDA"/>
    <w:rsid w:val="4D2F07A0"/>
    <w:rsid w:val="4D650FE4"/>
    <w:rsid w:val="4DF033CB"/>
    <w:rsid w:val="4DFF0279"/>
    <w:rsid w:val="4E414DDC"/>
    <w:rsid w:val="4E583744"/>
    <w:rsid w:val="4FB54242"/>
    <w:rsid w:val="50123D4F"/>
    <w:rsid w:val="52C426C7"/>
    <w:rsid w:val="54D85B6D"/>
    <w:rsid w:val="54E47B8F"/>
    <w:rsid w:val="54FE4F3A"/>
    <w:rsid w:val="55A57892"/>
    <w:rsid w:val="57122ECF"/>
    <w:rsid w:val="572A75DD"/>
    <w:rsid w:val="578A390E"/>
    <w:rsid w:val="57D636C9"/>
    <w:rsid w:val="59D74C62"/>
    <w:rsid w:val="59E1651D"/>
    <w:rsid w:val="5A3B0856"/>
    <w:rsid w:val="5A4B6F13"/>
    <w:rsid w:val="5A6A79F7"/>
    <w:rsid w:val="5BB871D5"/>
    <w:rsid w:val="5BF510A0"/>
    <w:rsid w:val="5F367622"/>
    <w:rsid w:val="5F3F3404"/>
    <w:rsid w:val="5F905550"/>
    <w:rsid w:val="61394EFD"/>
    <w:rsid w:val="617F6B7B"/>
    <w:rsid w:val="61AB5485"/>
    <w:rsid w:val="62806640"/>
    <w:rsid w:val="63636628"/>
    <w:rsid w:val="65411CA7"/>
    <w:rsid w:val="65694914"/>
    <w:rsid w:val="67B21E4C"/>
    <w:rsid w:val="68024B96"/>
    <w:rsid w:val="68903265"/>
    <w:rsid w:val="6A893A8D"/>
    <w:rsid w:val="6B657B2B"/>
    <w:rsid w:val="6C02565A"/>
    <w:rsid w:val="6C8B5B44"/>
    <w:rsid w:val="6E6E68A0"/>
    <w:rsid w:val="6EB377AA"/>
    <w:rsid w:val="6F5C6C7D"/>
    <w:rsid w:val="6F9958B7"/>
    <w:rsid w:val="6FB6700B"/>
    <w:rsid w:val="701D3C49"/>
    <w:rsid w:val="710022AC"/>
    <w:rsid w:val="725E09BE"/>
    <w:rsid w:val="727437E0"/>
    <w:rsid w:val="7379288E"/>
    <w:rsid w:val="742B1F13"/>
    <w:rsid w:val="74C3652D"/>
    <w:rsid w:val="757F5777"/>
    <w:rsid w:val="764C182F"/>
    <w:rsid w:val="7654409C"/>
    <w:rsid w:val="7704672F"/>
    <w:rsid w:val="77175582"/>
    <w:rsid w:val="783E4E56"/>
    <w:rsid w:val="791F742A"/>
    <w:rsid w:val="7B2F66D1"/>
    <w:rsid w:val="7B76655D"/>
    <w:rsid w:val="7BBF5BC9"/>
    <w:rsid w:val="7BDB7F12"/>
    <w:rsid w:val="7CE205E6"/>
    <w:rsid w:val="7D1D1C9F"/>
    <w:rsid w:val="7EDF397E"/>
    <w:rsid w:val="7FAF3E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7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autoRedefine/>
    <w:qFormat/>
    <w:uiPriority w:val="0"/>
    <w:pPr>
      <w:ind w:firstLine="964"/>
    </w:pPr>
  </w:style>
  <w:style w:type="paragraph" w:styleId="3">
    <w:name w:val="annotation text"/>
    <w:basedOn w:val="1"/>
    <w:autoRedefine/>
    <w:qFormat/>
    <w:uiPriority w:val="0"/>
    <w:pPr>
      <w:jc w:val="left"/>
    </w:pPr>
  </w:style>
  <w:style w:type="paragraph" w:styleId="4">
    <w:name w:val="footer"/>
    <w:basedOn w:val="1"/>
    <w:autoRedefine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link w:val="10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Title"/>
    <w:basedOn w:val="1"/>
    <w:next w:val="1"/>
    <w:autoRedefine/>
    <w:qFormat/>
    <w:uiPriority w:val="0"/>
    <w:pPr>
      <w:spacing w:before="240" w:after="60"/>
      <w:jc w:val="center"/>
    </w:pPr>
    <w:rPr>
      <w:rFonts w:asciiTheme="majorHAnsi" w:hAnsiTheme="majorHAnsi" w:eastAsiaTheme="majorEastAsia" w:cstheme="majorBidi"/>
      <w:b/>
      <w:bCs/>
      <w:szCs w:val="32"/>
    </w:rPr>
  </w:style>
  <w:style w:type="character" w:styleId="9">
    <w:name w:val="annotation reference"/>
    <w:basedOn w:val="8"/>
    <w:autoRedefine/>
    <w:qFormat/>
    <w:uiPriority w:val="0"/>
    <w:rPr>
      <w:sz w:val="21"/>
      <w:szCs w:val="21"/>
    </w:rPr>
  </w:style>
  <w:style w:type="character" w:customStyle="1" w:styleId="10">
    <w:name w:val="页眉 字符"/>
    <w:basedOn w:val="8"/>
    <w:link w:val="5"/>
    <w:autoRedefine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5" Type="http://schemas.openxmlformats.org/officeDocument/2006/relationships/font" Target="fonts/font5.odttf"/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1212</Words>
  <Characters>1331</Characters>
  <Lines>1</Lines>
  <Paragraphs>1</Paragraphs>
  <TotalTime>20</TotalTime>
  <ScaleCrop>false</ScaleCrop>
  <LinksUpToDate>false</LinksUpToDate>
  <CharactersWithSpaces>1348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2021-09-30T09:36:00Z</dcterms:created>
  <dc:creator>恋</dc:creator>
  <cp:lastModifiedBy>杨阳</cp:lastModifiedBy>
  <dcterms:modified xsi:type="dcterms:W3CDTF">2025-04-07T08:24:24Z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B12F92F164C241A2A680ED00EB041315</vt:lpwstr>
  </property>
  <property fmtid="{D5CDD505-2E9C-101B-9397-08002B2CF9AE}" pid="4" name="KSOTemplateDocerSaveRecord">
    <vt:lpwstr>eyJoZGlkIjoiN2YzNjBkOTgyNWQ1YTMxYzM3MzMwNWFiODNmOWIzYWMiLCJ1c2VySWQiOiIyNjU3MTAyMTEifQ==</vt:lpwstr>
  </property>
</Properties>
</file>