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9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海口江东新区管理局</w:t>
      </w:r>
    </w:p>
    <w:p w14:paraId="7694A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2024年综合事务支</w:t>
      </w:r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出绩效评价报告</w:t>
      </w:r>
    </w:p>
    <w:p w14:paraId="5EAF84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 w14:paraId="1BF410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一、基本情况</w:t>
      </w:r>
    </w:p>
    <w:p w14:paraId="386C01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（一）项目概况</w:t>
      </w:r>
    </w:p>
    <w:p w14:paraId="094635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1.项目背景</w:t>
      </w:r>
    </w:p>
    <w:p w14:paraId="27B33E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省委、省政府印发的《关于完善十一个重点园区管理体制的实施方案》（琼办发〔2020〕9号）及《海南自由贸易港海口江东新区条例》，海口江东新区采取“领导小组+法定机构+平台公司”管理体制，具体负责江东新区的综合协调、开发建设、运营管理、招商引资、产业发展、制度创新、投资促进、企业服务等工作，依照授权或者委托行使相应的行政审批权和公共服务职能。</w:t>
      </w:r>
    </w:p>
    <w:p w14:paraId="603BDD8D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 w:cs="仿宋_GB2312"/>
          <w:color w:val="auto"/>
          <w:sz w:val="32"/>
          <w:szCs w:val="32"/>
          <w:highlight w:val="none"/>
          <w:lang w:val="en-US" w:eastAsia="zh-CN"/>
        </w:rPr>
        <w:t>海口江东新区管理局设有综合管理部、规划统筹部、建设统筹部、战略发展部、临空经济部、公共事业部、营商环境部等7个部门。</w:t>
      </w:r>
    </w:p>
    <w:p w14:paraId="09EA3D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2.项目主要内容</w:t>
      </w:r>
    </w:p>
    <w:p w14:paraId="1A31BD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该项目为“综合事务”，主要用于单位日常运转的保障性综合事务支出，包括人员工资及社保费用、日常水电及物业等办公经费、其他商品和服务支出等支出。</w:t>
      </w:r>
    </w:p>
    <w:p w14:paraId="3E614E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3.资金投入和使用情况</w:t>
      </w:r>
    </w:p>
    <w:p w14:paraId="31CDD0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根据2024年初部门预算安排情况，下达我局综合事务项目7904万元，全年已支出7729万元，支出完成率97.8%。</w:t>
      </w:r>
    </w:p>
    <w:p w14:paraId="3D7E4B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（二）项目绩效目标</w:t>
      </w:r>
    </w:p>
    <w:p w14:paraId="6053B4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该项目属于非跨年度经常性项目，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2024年年度目标是保障单位正常运转，各项工作有序开展。具体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绩效目标如下：</w:t>
      </w:r>
    </w:p>
    <w:tbl>
      <w:tblPr>
        <w:tblStyle w:val="5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787"/>
        <w:gridCol w:w="2450"/>
        <w:gridCol w:w="1063"/>
        <w:gridCol w:w="1087"/>
        <w:gridCol w:w="1277"/>
      </w:tblGrid>
      <w:tr w14:paraId="0DC31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280" w:type="dxa"/>
            <w:vAlign w:val="center"/>
          </w:tcPr>
          <w:p w14:paraId="71CF13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787" w:type="dxa"/>
            <w:vAlign w:val="center"/>
          </w:tcPr>
          <w:p w14:paraId="4035CF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2450" w:type="dxa"/>
            <w:vAlign w:val="center"/>
          </w:tcPr>
          <w:p w14:paraId="53E2F0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063" w:type="dxa"/>
            <w:vAlign w:val="center"/>
          </w:tcPr>
          <w:p w14:paraId="445F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  <w:lang w:val="en-US" w:eastAsia="zh-CN"/>
              </w:rPr>
              <w:t>指标性质</w:t>
            </w:r>
          </w:p>
        </w:tc>
        <w:tc>
          <w:tcPr>
            <w:tcW w:w="1087" w:type="dxa"/>
            <w:vAlign w:val="center"/>
          </w:tcPr>
          <w:p w14:paraId="6B738C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度量单位</w:t>
            </w:r>
          </w:p>
        </w:tc>
        <w:tc>
          <w:tcPr>
            <w:tcW w:w="1277" w:type="dxa"/>
            <w:vAlign w:val="center"/>
          </w:tcPr>
          <w:p w14:paraId="56FD0F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1"/>
                <w:szCs w:val="21"/>
              </w:rPr>
              <w:t>年度指标值</w:t>
            </w:r>
          </w:p>
        </w:tc>
      </w:tr>
      <w:tr w14:paraId="31E3F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80" w:type="dxa"/>
            <w:vAlign w:val="center"/>
          </w:tcPr>
          <w:p w14:paraId="6B159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61EB2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35AAA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办公楼物业管理面积</w:t>
            </w:r>
          </w:p>
        </w:tc>
        <w:tc>
          <w:tcPr>
            <w:tcW w:w="1063" w:type="dxa"/>
            <w:vAlign w:val="center"/>
          </w:tcPr>
          <w:p w14:paraId="61019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3EAE6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1277" w:type="dxa"/>
            <w:vAlign w:val="center"/>
          </w:tcPr>
          <w:p w14:paraId="76390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6500</w:t>
            </w:r>
          </w:p>
        </w:tc>
      </w:tr>
      <w:tr w14:paraId="7FA22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153B5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04834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158FF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参与或举办培训场次</w:t>
            </w:r>
          </w:p>
        </w:tc>
        <w:tc>
          <w:tcPr>
            <w:tcW w:w="1063" w:type="dxa"/>
            <w:vAlign w:val="center"/>
          </w:tcPr>
          <w:p w14:paraId="24E8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7F5A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场</w:t>
            </w:r>
          </w:p>
        </w:tc>
        <w:tc>
          <w:tcPr>
            <w:tcW w:w="1277" w:type="dxa"/>
            <w:vAlign w:val="center"/>
          </w:tcPr>
          <w:p w14:paraId="7CE86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 w14:paraId="3900D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62DF92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54262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143BD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发放聘用人员工资福利</w:t>
            </w:r>
          </w:p>
        </w:tc>
        <w:tc>
          <w:tcPr>
            <w:tcW w:w="1063" w:type="dxa"/>
            <w:vAlign w:val="center"/>
          </w:tcPr>
          <w:p w14:paraId="75539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＝</w:t>
            </w:r>
          </w:p>
        </w:tc>
        <w:tc>
          <w:tcPr>
            <w:tcW w:w="1087" w:type="dxa"/>
            <w:vAlign w:val="center"/>
          </w:tcPr>
          <w:p w14:paraId="45607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人/月</w:t>
            </w:r>
          </w:p>
        </w:tc>
        <w:tc>
          <w:tcPr>
            <w:tcW w:w="1277" w:type="dxa"/>
            <w:vAlign w:val="center"/>
          </w:tcPr>
          <w:p w14:paraId="5A31D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 w14:paraId="7F78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3F13B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7BB36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42662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举办文体活动数量</w:t>
            </w:r>
          </w:p>
        </w:tc>
        <w:tc>
          <w:tcPr>
            <w:tcW w:w="1063" w:type="dxa"/>
            <w:vAlign w:val="center"/>
          </w:tcPr>
          <w:p w14:paraId="3ADD3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2075D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277" w:type="dxa"/>
            <w:vAlign w:val="center"/>
          </w:tcPr>
          <w:p w14:paraId="4153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159F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3A95A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110D0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10AA1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微信公众号关注量</w:t>
            </w:r>
          </w:p>
        </w:tc>
        <w:tc>
          <w:tcPr>
            <w:tcW w:w="1063" w:type="dxa"/>
            <w:vAlign w:val="center"/>
          </w:tcPr>
          <w:p w14:paraId="4AFCE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7B622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万人</w:t>
            </w:r>
          </w:p>
        </w:tc>
        <w:tc>
          <w:tcPr>
            <w:tcW w:w="1277" w:type="dxa"/>
            <w:vAlign w:val="center"/>
          </w:tcPr>
          <w:p w14:paraId="406D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 w14:paraId="35E7A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47370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751F1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5FE25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信息系统正常运转天数</w:t>
            </w:r>
          </w:p>
        </w:tc>
        <w:tc>
          <w:tcPr>
            <w:tcW w:w="1063" w:type="dxa"/>
            <w:vAlign w:val="center"/>
          </w:tcPr>
          <w:p w14:paraId="02636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＝</w:t>
            </w:r>
          </w:p>
        </w:tc>
        <w:tc>
          <w:tcPr>
            <w:tcW w:w="1087" w:type="dxa"/>
            <w:vAlign w:val="center"/>
          </w:tcPr>
          <w:p w14:paraId="7B1DC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</w:t>
            </w:r>
          </w:p>
        </w:tc>
        <w:tc>
          <w:tcPr>
            <w:tcW w:w="1277" w:type="dxa"/>
            <w:vAlign w:val="center"/>
          </w:tcPr>
          <w:p w14:paraId="7CCDD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365</w:t>
            </w:r>
          </w:p>
        </w:tc>
      </w:tr>
      <w:tr w14:paraId="1F7E9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2ACA4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6FC13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3DED4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展示中心物业管理面积</w:t>
            </w:r>
          </w:p>
        </w:tc>
        <w:tc>
          <w:tcPr>
            <w:tcW w:w="1063" w:type="dxa"/>
            <w:vAlign w:val="center"/>
          </w:tcPr>
          <w:p w14:paraId="14942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2AC43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1277" w:type="dxa"/>
            <w:vAlign w:val="center"/>
          </w:tcPr>
          <w:p w14:paraId="359C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</w:t>
            </w:r>
          </w:p>
        </w:tc>
      </w:tr>
      <w:tr w14:paraId="5A797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46B7F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676E2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0" w:type="dxa"/>
            <w:vAlign w:val="center"/>
          </w:tcPr>
          <w:p w14:paraId="3CFC0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组织参加招商推介会数量</w:t>
            </w:r>
          </w:p>
        </w:tc>
        <w:tc>
          <w:tcPr>
            <w:tcW w:w="1063" w:type="dxa"/>
            <w:vAlign w:val="center"/>
          </w:tcPr>
          <w:p w14:paraId="6393C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3DA22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场</w:t>
            </w:r>
          </w:p>
        </w:tc>
        <w:tc>
          <w:tcPr>
            <w:tcW w:w="1277" w:type="dxa"/>
            <w:vAlign w:val="center"/>
          </w:tcPr>
          <w:p w14:paraId="6990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 w14:paraId="6DFCA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07A32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49BF89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50" w:type="dxa"/>
            <w:vAlign w:val="center"/>
          </w:tcPr>
          <w:p w14:paraId="0FD3F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岗位考核合格率</w:t>
            </w:r>
          </w:p>
        </w:tc>
        <w:tc>
          <w:tcPr>
            <w:tcW w:w="1063" w:type="dxa"/>
            <w:vAlign w:val="center"/>
          </w:tcPr>
          <w:p w14:paraId="04E1E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＝</w:t>
            </w:r>
          </w:p>
        </w:tc>
        <w:tc>
          <w:tcPr>
            <w:tcW w:w="1087" w:type="dxa"/>
            <w:vAlign w:val="center"/>
          </w:tcPr>
          <w:p w14:paraId="6F87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06B6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03CCF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47C85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787" w:type="dxa"/>
            <w:vAlign w:val="center"/>
          </w:tcPr>
          <w:p w14:paraId="6517C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50" w:type="dxa"/>
            <w:vAlign w:val="center"/>
          </w:tcPr>
          <w:p w14:paraId="05274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工资福利发放及时率</w:t>
            </w:r>
          </w:p>
        </w:tc>
        <w:tc>
          <w:tcPr>
            <w:tcW w:w="1063" w:type="dxa"/>
            <w:vAlign w:val="center"/>
          </w:tcPr>
          <w:p w14:paraId="6039D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＝</w:t>
            </w:r>
          </w:p>
        </w:tc>
        <w:tc>
          <w:tcPr>
            <w:tcW w:w="1087" w:type="dxa"/>
            <w:vAlign w:val="center"/>
          </w:tcPr>
          <w:p w14:paraId="36E88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783B0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01C56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586EE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87" w:type="dxa"/>
            <w:vAlign w:val="center"/>
          </w:tcPr>
          <w:p w14:paraId="10442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50" w:type="dxa"/>
            <w:vAlign w:val="center"/>
          </w:tcPr>
          <w:p w14:paraId="74541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办公场地利用率</w:t>
            </w:r>
          </w:p>
        </w:tc>
        <w:tc>
          <w:tcPr>
            <w:tcW w:w="1063" w:type="dxa"/>
            <w:vAlign w:val="center"/>
          </w:tcPr>
          <w:p w14:paraId="6CF61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55A1C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04D79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</w:tr>
      <w:tr w14:paraId="4DD5F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7CF66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87" w:type="dxa"/>
            <w:vAlign w:val="center"/>
          </w:tcPr>
          <w:p w14:paraId="36293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50" w:type="dxa"/>
            <w:vAlign w:val="center"/>
          </w:tcPr>
          <w:p w14:paraId="0B377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地区税收收入</w:t>
            </w:r>
          </w:p>
        </w:tc>
        <w:tc>
          <w:tcPr>
            <w:tcW w:w="1063" w:type="dxa"/>
            <w:vAlign w:val="center"/>
          </w:tcPr>
          <w:p w14:paraId="2DD70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1087" w:type="dxa"/>
            <w:vAlign w:val="center"/>
          </w:tcPr>
          <w:p w14:paraId="63F87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万元</w:t>
            </w:r>
          </w:p>
        </w:tc>
        <w:tc>
          <w:tcPr>
            <w:tcW w:w="1277" w:type="dxa"/>
            <w:vAlign w:val="center"/>
          </w:tcPr>
          <w:p w14:paraId="0B47D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增加</w:t>
            </w:r>
          </w:p>
        </w:tc>
      </w:tr>
      <w:tr w14:paraId="5D34B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72785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87" w:type="dxa"/>
            <w:vAlign w:val="center"/>
          </w:tcPr>
          <w:p w14:paraId="4812F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50" w:type="dxa"/>
            <w:vAlign w:val="center"/>
          </w:tcPr>
          <w:p w14:paraId="4675D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新入驻企业数量</w:t>
            </w:r>
          </w:p>
        </w:tc>
        <w:tc>
          <w:tcPr>
            <w:tcW w:w="1063" w:type="dxa"/>
            <w:vAlign w:val="center"/>
          </w:tcPr>
          <w:p w14:paraId="08ECE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1087" w:type="dxa"/>
            <w:vAlign w:val="center"/>
          </w:tcPr>
          <w:p w14:paraId="6827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</w:t>
            </w:r>
          </w:p>
        </w:tc>
        <w:tc>
          <w:tcPr>
            <w:tcW w:w="1277" w:type="dxa"/>
            <w:vAlign w:val="center"/>
          </w:tcPr>
          <w:p w14:paraId="037E6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增加</w:t>
            </w:r>
          </w:p>
        </w:tc>
      </w:tr>
      <w:tr w14:paraId="46ACB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1F9BA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87" w:type="dxa"/>
            <w:vAlign w:val="center"/>
          </w:tcPr>
          <w:p w14:paraId="4E379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450" w:type="dxa"/>
            <w:vAlign w:val="center"/>
          </w:tcPr>
          <w:p w14:paraId="31131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园区企业满意度</w:t>
            </w:r>
          </w:p>
        </w:tc>
        <w:tc>
          <w:tcPr>
            <w:tcW w:w="1063" w:type="dxa"/>
            <w:vAlign w:val="center"/>
          </w:tcPr>
          <w:p w14:paraId="2C52D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087" w:type="dxa"/>
            <w:vAlign w:val="center"/>
          </w:tcPr>
          <w:p w14:paraId="06E9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1277" w:type="dxa"/>
            <w:vAlign w:val="center"/>
          </w:tcPr>
          <w:p w14:paraId="43DD5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</w:tr>
      <w:tr w14:paraId="08F0E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13ACE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87" w:type="dxa"/>
            <w:vAlign w:val="center"/>
          </w:tcPr>
          <w:p w14:paraId="596B2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50" w:type="dxa"/>
            <w:vAlign w:val="center"/>
          </w:tcPr>
          <w:p w14:paraId="134F1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办公楼电费</w:t>
            </w:r>
          </w:p>
        </w:tc>
        <w:tc>
          <w:tcPr>
            <w:tcW w:w="1063" w:type="dxa"/>
            <w:vAlign w:val="center"/>
          </w:tcPr>
          <w:p w14:paraId="2644F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</w:t>
            </w:r>
          </w:p>
        </w:tc>
        <w:tc>
          <w:tcPr>
            <w:tcW w:w="1087" w:type="dxa"/>
            <w:vAlign w:val="center"/>
          </w:tcPr>
          <w:p w14:paraId="12594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元/千瓦时</w:t>
            </w:r>
          </w:p>
        </w:tc>
        <w:tc>
          <w:tcPr>
            <w:tcW w:w="1277" w:type="dxa"/>
            <w:vAlign w:val="center"/>
          </w:tcPr>
          <w:p w14:paraId="2AA94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</w:tr>
      <w:tr w14:paraId="3D099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20FBB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87" w:type="dxa"/>
            <w:vAlign w:val="center"/>
          </w:tcPr>
          <w:p w14:paraId="50D52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50" w:type="dxa"/>
            <w:vAlign w:val="center"/>
          </w:tcPr>
          <w:p w14:paraId="2C55D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办公楼空调费</w:t>
            </w:r>
          </w:p>
        </w:tc>
        <w:tc>
          <w:tcPr>
            <w:tcW w:w="1063" w:type="dxa"/>
            <w:vAlign w:val="center"/>
          </w:tcPr>
          <w:p w14:paraId="29826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</w:t>
            </w:r>
          </w:p>
        </w:tc>
        <w:tc>
          <w:tcPr>
            <w:tcW w:w="1087" w:type="dxa"/>
            <w:vAlign w:val="center"/>
          </w:tcPr>
          <w:p w14:paraId="1E572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元/月</w:t>
            </w:r>
          </w:p>
        </w:tc>
        <w:tc>
          <w:tcPr>
            <w:tcW w:w="1277" w:type="dxa"/>
            <w:vAlign w:val="center"/>
          </w:tcPr>
          <w:p w14:paraId="5F094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60000</w:t>
            </w:r>
          </w:p>
        </w:tc>
      </w:tr>
      <w:tr w14:paraId="1BB86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0599D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87" w:type="dxa"/>
            <w:vAlign w:val="center"/>
          </w:tcPr>
          <w:p w14:paraId="20598B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50" w:type="dxa"/>
            <w:vAlign w:val="center"/>
          </w:tcPr>
          <w:p w14:paraId="741A5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缴纳办公楼物业费</w:t>
            </w:r>
          </w:p>
        </w:tc>
        <w:tc>
          <w:tcPr>
            <w:tcW w:w="1063" w:type="dxa"/>
            <w:vAlign w:val="center"/>
          </w:tcPr>
          <w:p w14:paraId="1E549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</w:t>
            </w:r>
          </w:p>
        </w:tc>
        <w:tc>
          <w:tcPr>
            <w:tcW w:w="1087" w:type="dxa"/>
            <w:vAlign w:val="center"/>
          </w:tcPr>
          <w:p w14:paraId="7BD67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元/平方米</w:t>
            </w:r>
          </w:p>
        </w:tc>
        <w:tc>
          <w:tcPr>
            <w:tcW w:w="1277" w:type="dxa"/>
            <w:vAlign w:val="center"/>
          </w:tcPr>
          <w:p w14:paraId="3681B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 w14:paraId="78F55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07A52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87" w:type="dxa"/>
            <w:vAlign w:val="center"/>
          </w:tcPr>
          <w:p w14:paraId="7B371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50" w:type="dxa"/>
            <w:vAlign w:val="center"/>
          </w:tcPr>
          <w:p w14:paraId="13BC22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缴纳展示中心物业费</w:t>
            </w:r>
          </w:p>
        </w:tc>
        <w:tc>
          <w:tcPr>
            <w:tcW w:w="1063" w:type="dxa"/>
            <w:vAlign w:val="center"/>
          </w:tcPr>
          <w:p w14:paraId="79D4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</w:t>
            </w:r>
          </w:p>
        </w:tc>
        <w:tc>
          <w:tcPr>
            <w:tcW w:w="1087" w:type="dxa"/>
            <w:vAlign w:val="center"/>
          </w:tcPr>
          <w:p w14:paraId="5718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元/平方米</w:t>
            </w:r>
          </w:p>
        </w:tc>
        <w:tc>
          <w:tcPr>
            <w:tcW w:w="1277" w:type="dxa"/>
            <w:vAlign w:val="center"/>
          </w:tcPr>
          <w:p w14:paraId="226F8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</w:t>
            </w:r>
          </w:p>
        </w:tc>
      </w:tr>
      <w:tr w14:paraId="76B20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80" w:type="dxa"/>
            <w:vAlign w:val="center"/>
          </w:tcPr>
          <w:p w14:paraId="7050E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87" w:type="dxa"/>
            <w:vAlign w:val="center"/>
          </w:tcPr>
          <w:p w14:paraId="61BE1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450" w:type="dxa"/>
            <w:vAlign w:val="center"/>
          </w:tcPr>
          <w:p w14:paraId="6CACA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展示中心电费</w:t>
            </w:r>
          </w:p>
        </w:tc>
        <w:tc>
          <w:tcPr>
            <w:tcW w:w="1063" w:type="dxa"/>
            <w:vAlign w:val="center"/>
          </w:tcPr>
          <w:p w14:paraId="3493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</w:t>
            </w:r>
          </w:p>
        </w:tc>
        <w:tc>
          <w:tcPr>
            <w:tcW w:w="1087" w:type="dxa"/>
            <w:vAlign w:val="center"/>
          </w:tcPr>
          <w:p w14:paraId="1DCB5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元/千瓦时</w:t>
            </w:r>
          </w:p>
        </w:tc>
        <w:tc>
          <w:tcPr>
            <w:tcW w:w="1277" w:type="dxa"/>
            <w:vAlign w:val="center"/>
          </w:tcPr>
          <w:p w14:paraId="77CF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</w:t>
            </w:r>
          </w:p>
        </w:tc>
      </w:tr>
    </w:tbl>
    <w:p w14:paraId="4D6792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二、绩效评价工作开展情况</w:t>
      </w:r>
    </w:p>
    <w:p w14:paraId="7F376E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（一）绩效评价目的、对象、范围</w:t>
      </w:r>
    </w:p>
    <w:p w14:paraId="26F613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对“综合事务”项目开展部门评价，促进部门提升预算绩效管理工作水平，强化部门支出责任，规范资金管理行为，提高财政资金使用效益，保障部门更好地履行职责。</w:t>
      </w:r>
    </w:p>
    <w:p w14:paraId="3B4F86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（二）绩效评价原则、评价指标体系、评价方法、评价标准</w:t>
      </w:r>
      <w:bookmarkStart w:id="0" w:name="_GoBack"/>
      <w:bookmarkEnd w:id="0"/>
    </w:p>
    <w:p w14:paraId="15A24F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1.绩效评价原则</w:t>
      </w:r>
    </w:p>
    <w:p w14:paraId="656552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本次部门评价坚持运用科学合理的方法，按照规范的程序，对项目绩效进行客观、公正地反映。</w:t>
      </w:r>
    </w:p>
    <w:p w14:paraId="534D7F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2.评价指标体系</w:t>
      </w:r>
    </w:p>
    <w:p w14:paraId="6CE142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从项目决策、过程、年度绩效目标开展部门评价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tbl>
      <w:tblPr>
        <w:tblStyle w:val="4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185"/>
        <w:gridCol w:w="2706"/>
        <w:gridCol w:w="1786"/>
      </w:tblGrid>
      <w:tr w14:paraId="5094A5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08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F7B1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8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59BE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236E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DD0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1FC577C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8C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93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1511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8922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A52CFC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12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3A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698B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A5E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AA9DC5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F9D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484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0750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BA12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97284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5B4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9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EDB9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92D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0F5823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41E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843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5CFF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8A6F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AEE395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D48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FAC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074C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FA5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49585A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152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6E7C5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C3D4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6AA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BE9C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40E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14D1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291E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8AC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1011E3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291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8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8565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FB3F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876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648CF0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D2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BDC0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6E72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6A07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CEEB7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3C70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8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1AE9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2449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9B68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7D97A1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5A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5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08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举办培训班次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FF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6C513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8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8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92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举办招商推介会数量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9B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5D7494F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E0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E4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研究成果数量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E4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43109EE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F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F2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D2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政府投资项目评审数量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D1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3FF857D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01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E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C8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人才住房补贴发放及时率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4C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D61E5F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13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70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BA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薪酬支付及时率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3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8B057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9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B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88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园区固定资产投资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5C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78F2F94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D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FB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满意度</w:t>
            </w:r>
          </w:p>
        </w:tc>
        <w:tc>
          <w:tcPr>
            <w:tcW w:w="158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3E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园区企业满意度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45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24E5B4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9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2C8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1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2372D62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9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BE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5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F0765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3.评价方法</w:t>
      </w:r>
    </w:p>
    <w:p w14:paraId="6C7F2F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本次部门评价采用比较法，将项目实施情况与绩效目标情况进行比较。</w:t>
      </w:r>
    </w:p>
    <w:p w14:paraId="7F19FA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4.评价标准</w:t>
      </w:r>
    </w:p>
    <w:p w14:paraId="0A7EAA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本次部门评价以年初的目标、计划、预算、定额等作为评价标准。</w:t>
      </w:r>
    </w:p>
    <w:p w14:paraId="159E3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（三）绩效评价工作过程</w:t>
      </w:r>
    </w:p>
    <w:p w14:paraId="6D4C39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评价小组对评价资料进行认真梳理，测算分析各项指标，汇总评分并形成评价报告。</w:t>
      </w:r>
    </w:p>
    <w:p w14:paraId="18F4C0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1.对《项目支出绩效评价管理办法》（财预〔2020〕10号）、《海南省项目支出绩效评价管理实施办法》（琼财绩〔2020〕594号）进行研读，对部门评价有基本的把握和了解，归纳出进一步评价所需的信息。</w:t>
      </w:r>
    </w:p>
    <w:p w14:paraId="0B8AFC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2.集中对各个评价指标逐一进行分析。</w:t>
      </w:r>
    </w:p>
    <w:p w14:paraId="2BD540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3.评价小组汇总分析评价过程中发现的问题，并对存在问题进行讨论，分别计算各评价指标所得分数，形成评价结果。</w:t>
      </w:r>
    </w:p>
    <w:p w14:paraId="5533F6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4.根据评价结果，撰写评价报告。</w:t>
      </w:r>
    </w:p>
    <w:p w14:paraId="2C888B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三、综合评价情况及评价结论</w:t>
      </w:r>
    </w:p>
    <w:p w14:paraId="6509AA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目绩效评价工作小组通过多项指标对该项目进行评价，绩效目标设定、项目立项、资金投入、组织实施、资金管理、绩效目标完成等方面落实情况较好，评价得分99分，评价等次为优，达到了预期设定的项目绩效目标。</w:t>
      </w:r>
    </w:p>
    <w:tbl>
      <w:tblPr>
        <w:tblStyle w:val="4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803"/>
        <w:gridCol w:w="2229"/>
        <w:gridCol w:w="1474"/>
        <w:gridCol w:w="1491"/>
      </w:tblGrid>
      <w:tr w14:paraId="592BCF8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A8C9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EC167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F58D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3925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785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7BEFDFF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BA82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3A0D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9590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A946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768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382412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C7A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D76A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2087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104E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94E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72C62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D9A8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615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02A2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6D67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98C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FF2B57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340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D485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0E33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B64B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5D17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7B9824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5701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F3FC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9B9B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3515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8BD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66935C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30F8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439C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6782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518B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CF5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9D167F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289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23E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95CB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09AB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4D67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9.8</w:t>
            </w:r>
          </w:p>
        </w:tc>
      </w:tr>
      <w:tr w14:paraId="088F0C8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86E1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C1778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ABE0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C7FF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A13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181ADD1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BB6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0276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0626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471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812F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BE01BF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EE1E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C8886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8C25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2550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1619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0C0CCA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985EE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3A4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DF29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1024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32D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8482BC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46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56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10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举办培训班次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01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B8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4CF20AB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BE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45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85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举办招商推介会数量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A7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6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1F65AC9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6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AA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36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研究成果数量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B0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89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03DDA83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8A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A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90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政府投资项目评审数量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58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D1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5CA273B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1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5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94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人才住房补贴发放及时率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6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FAF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AF8B69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BD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4AD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薪酬支付及时率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131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7C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5A0A8FE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04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8D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00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园区固定资产投资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B7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D9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2F9963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E0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10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满意度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11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园区企业满意度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2B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5D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1C927BB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33E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B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2C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</w:tr>
      <w:tr w14:paraId="55E5196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E8D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5D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2D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</w:t>
            </w:r>
          </w:p>
        </w:tc>
      </w:tr>
    </w:tbl>
    <w:p w14:paraId="1FBF20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四、绩效评价指标分析</w:t>
      </w:r>
    </w:p>
    <w:p w14:paraId="106FF9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（一）项目决策情况</w:t>
      </w:r>
    </w:p>
    <w:p w14:paraId="6CE89D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该项目经海口江东新区管理局局党委会审批同意实施，与部门职责范围相符，属于部门履职所需。项目设定了绩效目标，绩效目标与实际工作内容具有相关性。项目预算编制科学合理，预算资金分配依据充分。</w:t>
      </w:r>
    </w:p>
    <w:p w14:paraId="1D0581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（二）项目过程情况</w:t>
      </w:r>
    </w:p>
    <w:p w14:paraId="3893EF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，江东管理局对《财务管理办法（试行）》进行修订并予以印发，进一步加强财务管理和监督，确保项目顺利实施，取得明显成效。项目资金支付严格履行审批程序，使用规范，会计核算结果真实、准确。此次绩效评价过程中未发现挤占或挪用项目资金的情况。</w:t>
      </w:r>
    </w:p>
    <w:p w14:paraId="1E333C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该项目2024年经费预算7904万元，全年已支出7729万元，支出完成率97.8%</w:t>
      </w:r>
    </w:p>
    <w:p w14:paraId="423771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（三）项目产出情况</w:t>
      </w:r>
    </w:p>
    <w:p w14:paraId="66C788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该项目资金到位及时，项目顺利实施，单位的基本运行得到保障，职能作用得到充分发挥，高质量推动了江东新区建设发展。</w:t>
      </w:r>
    </w:p>
    <w:p w14:paraId="363AB1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（四）项目效益情况</w:t>
      </w:r>
    </w:p>
    <w:p w14:paraId="1AD539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2024年，全年按计划完成办公设备采购、组织各类会议培训、发放人员工资福利、日常运营经费等，保证全局各项业务有效、高质量推进。总体来看，项目产出与成效目标完成度较好。</w:t>
      </w:r>
    </w:p>
    <w:p w14:paraId="5880A4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五、主要经验及做法、存在的问题及原因分析</w:t>
      </w:r>
    </w:p>
    <w:p w14:paraId="5DD79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持续深化预算管理，及时跟踪预算执行情况，提高了2024年资金支出效率。</w:t>
      </w:r>
    </w:p>
    <w:p w14:paraId="04C5B4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六、有关建议</w:t>
      </w:r>
    </w:p>
    <w:p w14:paraId="5A5FCC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无。</w:t>
      </w:r>
    </w:p>
    <w:p w14:paraId="33D086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七、其他需要说明的问题</w:t>
      </w:r>
    </w:p>
    <w:p w14:paraId="7AC68B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33E8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B47F3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B47F31"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3YzMyNzYzMjVjMWJmOGE2MDgxZTQ4ZDk2NzAxNzYifQ=="/>
  </w:docVars>
  <w:rsids>
    <w:rsidRoot w:val="435E1F18"/>
    <w:rsid w:val="00DA0933"/>
    <w:rsid w:val="02233DF4"/>
    <w:rsid w:val="023A5912"/>
    <w:rsid w:val="038A1BDD"/>
    <w:rsid w:val="04621786"/>
    <w:rsid w:val="04A10F62"/>
    <w:rsid w:val="05665D07"/>
    <w:rsid w:val="0626600A"/>
    <w:rsid w:val="068B7C0B"/>
    <w:rsid w:val="06F95DEE"/>
    <w:rsid w:val="077566D6"/>
    <w:rsid w:val="079374AA"/>
    <w:rsid w:val="07DB47E0"/>
    <w:rsid w:val="096D3B08"/>
    <w:rsid w:val="097D074F"/>
    <w:rsid w:val="0A787E3B"/>
    <w:rsid w:val="0AA96DC2"/>
    <w:rsid w:val="0AC273C6"/>
    <w:rsid w:val="0BBE064B"/>
    <w:rsid w:val="0BDE5F87"/>
    <w:rsid w:val="0DE47EA0"/>
    <w:rsid w:val="0E7A7F46"/>
    <w:rsid w:val="0E9A79D6"/>
    <w:rsid w:val="0F3D5D2B"/>
    <w:rsid w:val="0F580DB7"/>
    <w:rsid w:val="0F8A3CBD"/>
    <w:rsid w:val="0FE72674"/>
    <w:rsid w:val="110361E1"/>
    <w:rsid w:val="12580ADD"/>
    <w:rsid w:val="126332E8"/>
    <w:rsid w:val="135734FF"/>
    <w:rsid w:val="14B51D19"/>
    <w:rsid w:val="14B8039B"/>
    <w:rsid w:val="14FA1115"/>
    <w:rsid w:val="15481788"/>
    <w:rsid w:val="16351E52"/>
    <w:rsid w:val="165D4F05"/>
    <w:rsid w:val="16630DA5"/>
    <w:rsid w:val="1682257B"/>
    <w:rsid w:val="180C39B2"/>
    <w:rsid w:val="18F922C4"/>
    <w:rsid w:val="190A44B1"/>
    <w:rsid w:val="19131E26"/>
    <w:rsid w:val="19263C3A"/>
    <w:rsid w:val="19316574"/>
    <w:rsid w:val="19566367"/>
    <w:rsid w:val="19AA72EE"/>
    <w:rsid w:val="1AC1553C"/>
    <w:rsid w:val="1B007691"/>
    <w:rsid w:val="1B22257E"/>
    <w:rsid w:val="1BA72E6B"/>
    <w:rsid w:val="1C4306F9"/>
    <w:rsid w:val="1CB1400C"/>
    <w:rsid w:val="1D620857"/>
    <w:rsid w:val="1D6A0633"/>
    <w:rsid w:val="1D864D41"/>
    <w:rsid w:val="1D927B8A"/>
    <w:rsid w:val="1DBB2B25"/>
    <w:rsid w:val="1DDE4B7D"/>
    <w:rsid w:val="1E122B23"/>
    <w:rsid w:val="1E312225"/>
    <w:rsid w:val="1E5510E3"/>
    <w:rsid w:val="1E8E20FF"/>
    <w:rsid w:val="1E8F7C25"/>
    <w:rsid w:val="1EC73863"/>
    <w:rsid w:val="20281024"/>
    <w:rsid w:val="208E288A"/>
    <w:rsid w:val="20B5758E"/>
    <w:rsid w:val="218B430E"/>
    <w:rsid w:val="22DB168B"/>
    <w:rsid w:val="23EF1B0E"/>
    <w:rsid w:val="244E07EA"/>
    <w:rsid w:val="247A1B51"/>
    <w:rsid w:val="27E81586"/>
    <w:rsid w:val="2856314B"/>
    <w:rsid w:val="28D01566"/>
    <w:rsid w:val="29B57C78"/>
    <w:rsid w:val="2A2F344C"/>
    <w:rsid w:val="2A492B66"/>
    <w:rsid w:val="2A6D3510"/>
    <w:rsid w:val="2B336677"/>
    <w:rsid w:val="2B4D16E3"/>
    <w:rsid w:val="2B626DED"/>
    <w:rsid w:val="2C02412C"/>
    <w:rsid w:val="2CD05FD9"/>
    <w:rsid w:val="2CEA2186"/>
    <w:rsid w:val="2CF0296B"/>
    <w:rsid w:val="2D7160E8"/>
    <w:rsid w:val="2DA417DD"/>
    <w:rsid w:val="2E141A23"/>
    <w:rsid w:val="2E4B2323"/>
    <w:rsid w:val="2F6F6199"/>
    <w:rsid w:val="2FB00977"/>
    <w:rsid w:val="30483FA0"/>
    <w:rsid w:val="306B6744"/>
    <w:rsid w:val="30D81900"/>
    <w:rsid w:val="31437427"/>
    <w:rsid w:val="3175173C"/>
    <w:rsid w:val="326C58E4"/>
    <w:rsid w:val="33080494"/>
    <w:rsid w:val="33851615"/>
    <w:rsid w:val="340F7934"/>
    <w:rsid w:val="34C8661B"/>
    <w:rsid w:val="35F728BC"/>
    <w:rsid w:val="36372C24"/>
    <w:rsid w:val="368F6941"/>
    <w:rsid w:val="369E56BC"/>
    <w:rsid w:val="3714005C"/>
    <w:rsid w:val="37AB3C68"/>
    <w:rsid w:val="38042CB3"/>
    <w:rsid w:val="383F038F"/>
    <w:rsid w:val="38A5656B"/>
    <w:rsid w:val="3ABA6910"/>
    <w:rsid w:val="3B0A2EB0"/>
    <w:rsid w:val="3B500164"/>
    <w:rsid w:val="3B712389"/>
    <w:rsid w:val="3B994239"/>
    <w:rsid w:val="3CD236A7"/>
    <w:rsid w:val="3DA9265A"/>
    <w:rsid w:val="3E4B066F"/>
    <w:rsid w:val="3FBB4BCB"/>
    <w:rsid w:val="40512B35"/>
    <w:rsid w:val="41253788"/>
    <w:rsid w:val="41B37671"/>
    <w:rsid w:val="42F02AD9"/>
    <w:rsid w:val="435E1F18"/>
    <w:rsid w:val="44B278BB"/>
    <w:rsid w:val="44B939E4"/>
    <w:rsid w:val="461E0D18"/>
    <w:rsid w:val="464C55F4"/>
    <w:rsid w:val="464F2DD5"/>
    <w:rsid w:val="467C5C77"/>
    <w:rsid w:val="46D53BDF"/>
    <w:rsid w:val="47C55320"/>
    <w:rsid w:val="47F44E19"/>
    <w:rsid w:val="48493247"/>
    <w:rsid w:val="49B72F9D"/>
    <w:rsid w:val="49D8222E"/>
    <w:rsid w:val="4AA6125F"/>
    <w:rsid w:val="4B6127C6"/>
    <w:rsid w:val="4B820499"/>
    <w:rsid w:val="4C625BDA"/>
    <w:rsid w:val="4C710CFF"/>
    <w:rsid w:val="4D650FE4"/>
    <w:rsid w:val="4DE4272E"/>
    <w:rsid w:val="4E296E9F"/>
    <w:rsid w:val="4E414DDC"/>
    <w:rsid w:val="4E583744"/>
    <w:rsid w:val="4F384153"/>
    <w:rsid w:val="4F390D1C"/>
    <w:rsid w:val="4FB54242"/>
    <w:rsid w:val="52434EB9"/>
    <w:rsid w:val="52816A7D"/>
    <w:rsid w:val="541C372E"/>
    <w:rsid w:val="54901EB7"/>
    <w:rsid w:val="549D4E7C"/>
    <w:rsid w:val="54D67D81"/>
    <w:rsid w:val="54D85B6D"/>
    <w:rsid w:val="54E47B8F"/>
    <w:rsid w:val="54FE4F3A"/>
    <w:rsid w:val="55A57892"/>
    <w:rsid w:val="55BE25C3"/>
    <w:rsid w:val="56BC4D54"/>
    <w:rsid w:val="56EC64AE"/>
    <w:rsid w:val="57071EFB"/>
    <w:rsid w:val="57250B4B"/>
    <w:rsid w:val="578A390E"/>
    <w:rsid w:val="59D74C62"/>
    <w:rsid w:val="59F36CDF"/>
    <w:rsid w:val="5A3B0856"/>
    <w:rsid w:val="5A6A79F7"/>
    <w:rsid w:val="5A9C0987"/>
    <w:rsid w:val="5B0B1E06"/>
    <w:rsid w:val="5CA11AC7"/>
    <w:rsid w:val="5CC76201"/>
    <w:rsid w:val="5CF7049E"/>
    <w:rsid w:val="5D4048FC"/>
    <w:rsid w:val="5E4F40A2"/>
    <w:rsid w:val="5EAC1B52"/>
    <w:rsid w:val="5F367622"/>
    <w:rsid w:val="5F3F3404"/>
    <w:rsid w:val="5F905550"/>
    <w:rsid w:val="617F6B7B"/>
    <w:rsid w:val="61C86032"/>
    <w:rsid w:val="62173786"/>
    <w:rsid w:val="622F287E"/>
    <w:rsid w:val="627C0B43"/>
    <w:rsid w:val="627E3805"/>
    <w:rsid w:val="63636628"/>
    <w:rsid w:val="65607D06"/>
    <w:rsid w:val="6A2D1D20"/>
    <w:rsid w:val="6A7554EE"/>
    <w:rsid w:val="6A893A8D"/>
    <w:rsid w:val="6C02565A"/>
    <w:rsid w:val="6C8B5B44"/>
    <w:rsid w:val="6DBE53FE"/>
    <w:rsid w:val="6E6E68A0"/>
    <w:rsid w:val="6EA463A2"/>
    <w:rsid w:val="6EB377AA"/>
    <w:rsid w:val="6FB6700B"/>
    <w:rsid w:val="6FC52A74"/>
    <w:rsid w:val="6FCB3EA6"/>
    <w:rsid w:val="701D3C49"/>
    <w:rsid w:val="708148A6"/>
    <w:rsid w:val="709020CD"/>
    <w:rsid w:val="70B12FF8"/>
    <w:rsid w:val="70C04FE9"/>
    <w:rsid w:val="70F73101"/>
    <w:rsid w:val="710022AC"/>
    <w:rsid w:val="7169292B"/>
    <w:rsid w:val="725E09BE"/>
    <w:rsid w:val="727437E0"/>
    <w:rsid w:val="72A5093A"/>
    <w:rsid w:val="72F13B80"/>
    <w:rsid w:val="74E26E5B"/>
    <w:rsid w:val="76852F5D"/>
    <w:rsid w:val="7704672F"/>
    <w:rsid w:val="77175582"/>
    <w:rsid w:val="77A15B74"/>
    <w:rsid w:val="78612371"/>
    <w:rsid w:val="786A41B8"/>
    <w:rsid w:val="78E26444"/>
    <w:rsid w:val="791F742A"/>
    <w:rsid w:val="79EA2E23"/>
    <w:rsid w:val="7A7E137E"/>
    <w:rsid w:val="7B2F66D1"/>
    <w:rsid w:val="7B494559"/>
    <w:rsid w:val="7B76655D"/>
    <w:rsid w:val="7C2E19A1"/>
    <w:rsid w:val="7CE205E6"/>
    <w:rsid w:val="7F7E49ED"/>
    <w:rsid w:val="7F840255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1123</Words>
  <Characters>1179</Characters>
  <Lines>0</Lines>
  <Paragraphs>0</Paragraphs>
  <TotalTime>1</TotalTime>
  <ScaleCrop>false</ScaleCrop>
  <LinksUpToDate>false</LinksUpToDate>
  <CharactersWithSpaces>1179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cp:lastPrinted>2022-10-09T03:14:00Z</cp:lastPrinted>
  <dcterms:modified xsi:type="dcterms:W3CDTF">2025-04-07T08:31:47Z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67D667D787194D899510614B79B1D606_13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