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5888257"/>
      <w:bookmarkStart w:id="1" w:name="_Toc246826091"/>
      <w:bookmarkStart w:id="2" w:name="_Toc245887524"/>
      <w:bookmarkStart w:id="3" w:name="_Toc246825786"/>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5888258"/>
      <w:bookmarkStart w:id="5" w:name="_Toc246826092"/>
      <w:bookmarkStart w:id="6" w:name="_Toc245887525"/>
      <w:bookmarkStart w:id="7" w:name="_Toc246825787"/>
      <w:r>
        <w:rPr>
          <w:rFonts w:hint="eastAsia" w:asciiTheme="minorEastAsia" w:hAnsiTheme="minorEastAsia" w:eastAsiaTheme="minorEastAsia" w:cstheme="minorEastAsia"/>
          <w:b/>
          <w:bCs w:val="0"/>
          <w:color w:val="auto"/>
          <w:sz w:val="28"/>
          <w:szCs w:val="28"/>
          <w:lang w:val="en-US" w:eastAsia="zh-CN"/>
        </w:rPr>
        <w:t>JDCG-YSB-2025-004</w:t>
      </w:r>
    </w:p>
    <w:p w14:paraId="62D8FDA5">
      <w:pPr>
        <w:pStyle w:val="9"/>
        <w:pageBreakBefore w:val="0"/>
        <w:wordWrap/>
        <w:topLinePunct w:val="0"/>
        <w:bidi w:val="0"/>
        <w:spacing w:line="360" w:lineRule="auto"/>
        <w:ind w:left="3360" w:leftChars="931" w:hanging="1405" w:hangingChars="500"/>
        <w:jc w:val="left"/>
        <w:textAlignment w:val="auto"/>
        <w:outlineLvl w:val="0"/>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5789"/>
      <w:bookmarkStart w:id="9" w:name="_Toc245887527"/>
      <w:bookmarkStart w:id="10" w:name="_Toc245888260"/>
      <w:bookmarkStart w:id="11" w:name="_Toc246826094"/>
      <w:r>
        <w:rPr>
          <w:rFonts w:hint="eastAsia" w:asciiTheme="minorEastAsia" w:hAnsiTheme="minorEastAsia" w:eastAsiaTheme="minorEastAsia" w:cstheme="minorEastAsia"/>
          <w:b/>
          <w:bCs w:val="0"/>
          <w:color w:val="auto"/>
          <w:sz w:val="28"/>
          <w:szCs w:val="28"/>
        </w:rPr>
        <w:t>知识产权公共服务窗口功能拓展延伸及服务能力提升</w:t>
      </w:r>
    </w:p>
    <w:p w14:paraId="73209A7F">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9"/>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30"/>
        <w:pageBreakBefore w:val="0"/>
        <w:wordWrap/>
        <w:topLinePunct w:val="0"/>
        <w:bidi w:val="0"/>
        <w:spacing w:line="360" w:lineRule="auto"/>
        <w:textAlignment w:val="auto"/>
        <w:rPr>
          <w:rFonts w:hint="eastAsia"/>
          <w:color w:val="auto"/>
          <w:sz w:val="21"/>
          <w:szCs w:val="21"/>
        </w:rPr>
      </w:pPr>
    </w:p>
    <w:p w14:paraId="356E7A59">
      <w:pPr>
        <w:pStyle w:val="16"/>
        <w:ind w:left="0" w:leftChars="0" w:firstLine="0" w:firstLineChars="0"/>
        <w:rPr>
          <w:rFonts w:hint="eastAsia"/>
          <w:color w:val="auto"/>
          <w:sz w:val="21"/>
          <w:szCs w:val="21"/>
        </w:rPr>
      </w:pPr>
    </w:p>
    <w:p w14:paraId="3FF695FA">
      <w:pPr>
        <w:pStyle w:val="16"/>
        <w:rPr>
          <w:rFonts w:hint="eastAsia"/>
          <w:color w:val="auto"/>
          <w:sz w:val="21"/>
          <w:szCs w:val="21"/>
        </w:rPr>
      </w:pPr>
    </w:p>
    <w:p w14:paraId="3A401298">
      <w:pPr>
        <w:pStyle w:val="16"/>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9"/>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 xml:space="preserve">    2025</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10</w:t>
      </w:r>
      <w:r>
        <w:rPr>
          <w:rFonts w:hint="eastAsia" w:asciiTheme="minorEastAsia" w:hAnsiTheme="minorEastAsia" w:eastAsiaTheme="minorEastAsia" w:cstheme="minorEastAsia"/>
          <w:b/>
          <w:color w:val="auto"/>
          <w:spacing w:val="40"/>
          <w:sz w:val="28"/>
          <w:szCs w:val="28"/>
        </w:rPr>
        <w:t xml:space="preserve">月  </w:t>
      </w:r>
    </w:p>
    <w:p w14:paraId="603292AB">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6" w:type="first"/>
          <w:headerReference r:id="rId4" w:type="default"/>
          <w:footerReference r:id="rId7" w:type="default"/>
          <w:headerReference r:id="rId5" w:type="even"/>
          <w:footerReference r:id="rId8" w:type="even"/>
          <w:pgSz w:w="11906" w:h="16838"/>
          <w:pgMar w:top="1440" w:right="1800" w:bottom="1440" w:left="1800" w:header="851" w:footer="992" w:gutter="0"/>
          <w:pgNumType w:fmt="decimal"/>
          <w:cols w:space="425" w:num="1"/>
          <w:docGrid w:type="lines" w:linePitch="312" w:charSpace="0"/>
        </w:sectPr>
      </w:pPr>
    </w:p>
    <w:p w14:paraId="26B02E0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9"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1、项目编号：JDCG-YSB-2025-004</w:t>
      </w:r>
    </w:p>
    <w:p w14:paraId="43F5A20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2、项目名称：</w:t>
      </w:r>
      <w:r>
        <w:rPr>
          <w:rFonts w:hint="eastAsia" w:asciiTheme="minorEastAsia" w:hAnsiTheme="minorEastAsia" w:eastAsiaTheme="minorEastAsia" w:cstheme="minorEastAsia"/>
          <w:b w:val="0"/>
          <w:bCs/>
          <w:color w:val="auto"/>
          <w:sz w:val="21"/>
          <w:szCs w:val="21"/>
          <w:lang w:val="en-US" w:eastAsia="zh-CN"/>
        </w:rPr>
        <w:t xml:space="preserve"> 知识产权公共服务窗口功能拓展延伸及服务能力提升</w:t>
      </w:r>
    </w:p>
    <w:p w14:paraId="0880858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rPr>
        <w:t>3、预算金额：</w:t>
      </w:r>
      <w:r>
        <w:rPr>
          <w:rFonts w:hint="eastAsia" w:asciiTheme="minorEastAsia" w:hAnsiTheme="minorEastAsia" w:eastAsiaTheme="minorEastAsia" w:cstheme="minorEastAsia"/>
          <w:b w:val="0"/>
          <w:bCs/>
          <w:color w:val="auto"/>
          <w:sz w:val="21"/>
          <w:szCs w:val="21"/>
          <w:lang w:val="en-US" w:eastAsia="zh-CN"/>
        </w:rPr>
        <w:t>320000元</w:t>
      </w:r>
    </w:p>
    <w:p w14:paraId="3901E42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
      </w:pPr>
      <w:r>
        <w:rPr>
          <w:rFonts w:hint="eastAsia" w:hAnsi="宋体" w:cs="宋体"/>
          <w:kern w:val="28"/>
          <w:sz w:val="21"/>
          <w:szCs w:val="21"/>
          <w:lang w:val="en-US" w:eastAsia="zh-CN"/>
        </w:rPr>
        <w:t xml:space="preserve">  </w:t>
      </w:r>
      <w:r>
        <w:rPr>
          <w:rFonts w:hint="eastAsia" w:asciiTheme="minorEastAsia" w:hAnsiTheme="minorEastAsia" w:eastAsiaTheme="minorEastAsia" w:cstheme="minorEastAsia"/>
          <w:b w:val="0"/>
          <w:bCs/>
          <w:color w:val="auto"/>
          <w:sz w:val="21"/>
          <w:szCs w:val="21"/>
          <w:lang w:eastAsia="zh-CN"/>
        </w:rPr>
        <w:t>最高限价（如有）：</w:t>
      </w:r>
      <w:r>
        <w:rPr>
          <w:rFonts w:hint="eastAsia" w:asciiTheme="minorEastAsia" w:hAnsiTheme="minorEastAsia" w:eastAsiaTheme="minorEastAsia" w:cstheme="minorEastAsia"/>
          <w:b w:val="0"/>
          <w:bCs/>
          <w:color w:val="auto"/>
          <w:sz w:val="21"/>
          <w:szCs w:val="21"/>
          <w:lang w:val="en-US" w:eastAsia="zh-CN"/>
        </w:rPr>
        <w:t>320000元，供应商报价不得超出最高限价。</w:t>
      </w:r>
    </w:p>
    <w:p w14:paraId="787E227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w:t>
      </w:r>
      <w:r>
        <w:rPr>
          <w:rFonts w:hint="eastAsia" w:asciiTheme="minorEastAsia" w:hAnsiTheme="minorEastAsia" w:eastAsiaTheme="minorEastAsia" w:cstheme="minorEastAsia"/>
          <w:b w:val="0"/>
          <w:bCs/>
          <w:color w:val="auto"/>
          <w:kern w:val="2"/>
          <w:sz w:val="21"/>
          <w:szCs w:val="21"/>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35393791"/>
      <w:bookmarkStart w:id="13" w:name="_Toc28359080"/>
      <w:bookmarkStart w:id="14" w:name="_Toc28359003"/>
      <w:bookmarkStart w:id="15" w:name="_Toc35393622"/>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FF0000"/>
          <w:sz w:val="21"/>
          <w:szCs w:val="21"/>
          <w:lang w:val="en-US" w:eastAsia="zh-CN"/>
        </w:rPr>
        <w:t>自合同签订起至2026年12月31日</w:t>
      </w:r>
    </w:p>
    <w:p w14:paraId="2E4CA81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bookmarkStart w:id="98" w:name="_GoBack"/>
      <w:bookmarkEnd w:id="98"/>
    </w:p>
    <w:p w14:paraId="5CEA8270">
      <w:pPr>
        <w:pStyle w:val="9"/>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191105A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28359081"/>
      <w:bookmarkStart w:id="17" w:name="_Toc28359004"/>
      <w:bookmarkStart w:id="18" w:name="_Toc35393623"/>
      <w:bookmarkStart w:id="19" w:name="_Toc35393792"/>
      <w:r>
        <w:rPr>
          <w:rFonts w:hint="eastAsia" w:ascii="宋体" w:hAnsi="宋体" w:eastAsia="宋体" w:cs="宋体"/>
          <w:b w:val="0"/>
          <w:bCs/>
          <w:color w:val="auto"/>
          <w:sz w:val="21"/>
          <w:szCs w:val="21"/>
        </w:rPr>
        <w:t>1、满足《中华人民共和国政府采购法》第二十二条规定；</w:t>
      </w:r>
    </w:p>
    <w:p w14:paraId="5D60D0AC">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0000FF"/>
          <w:sz w:val="21"/>
          <w:szCs w:val="21"/>
          <w:lang w:eastAsia="zh-CN"/>
        </w:rPr>
      </w:pPr>
      <w:r>
        <w:rPr>
          <w:rFonts w:hint="eastAsia" w:ascii="宋体" w:hAnsi="宋体" w:eastAsia="宋体" w:cs="宋体"/>
          <w:b w:val="0"/>
          <w:bCs/>
          <w:color w:val="auto"/>
          <w:sz w:val="21"/>
          <w:szCs w:val="21"/>
        </w:rPr>
        <w:t>2、落实政府采购政策需满足的资格要求：</w:t>
      </w:r>
      <w:r>
        <w:rPr>
          <w:rFonts w:hint="eastAsia" w:hAnsi="宋体" w:cs="宋体"/>
          <w:b w:val="0"/>
          <w:bCs/>
          <w:i w:val="0"/>
          <w:iCs w:val="0"/>
          <w:color w:val="0000FF"/>
          <w:sz w:val="21"/>
          <w:szCs w:val="21"/>
          <w:lang w:val="en-US" w:eastAsia="zh-CN"/>
        </w:rPr>
        <w:t>本项目</w:t>
      </w:r>
      <w:r>
        <w:rPr>
          <w:rFonts w:hint="eastAsia" w:ascii="宋体" w:hAnsi="宋体" w:eastAsia="宋体" w:cs="宋体"/>
          <w:b w:val="0"/>
          <w:bCs/>
          <w:i w:val="0"/>
          <w:iCs w:val="0"/>
          <w:color w:val="0000FF"/>
          <w:sz w:val="21"/>
          <w:szCs w:val="21"/>
          <w:u w:val="single"/>
        </w:rPr>
        <w:t>属于专门面向中小企业采购的项目,供应商应为中小微企业、监狱企业、残疾人福利性单位</w:t>
      </w:r>
      <w:r>
        <w:rPr>
          <w:rFonts w:hint="eastAsia" w:hAnsi="宋体" w:cs="宋体"/>
          <w:b w:val="0"/>
          <w:bCs/>
          <w:i w:val="0"/>
          <w:iCs w:val="0"/>
          <w:color w:val="0000FF"/>
          <w:sz w:val="21"/>
          <w:szCs w:val="21"/>
          <w:u w:val="single"/>
          <w:lang w:eastAsia="zh-CN"/>
        </w:rPr>
        <w:t>；</w:t>
      </w:r>
    </w:p>
    <w:p w14:paraId="2D736F4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3、符合采购人根据采购项目实际情况要求的特定资格条件和其他法律法规规定的条件，具体如下：</w:t>
      </w:r>
    </w:p>
    <w:p w14:paraId="1E8C6EC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7C8AE46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3.2本项目不接受联合体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627"/>
      <w:bookmarkStart w:id="21" w:name="_Toc28359008"/>
      <w:bookmarkStart w:id="22" w:name="_Toc35393796"/>
      <w:bookmarkStart w:id="23" w:name="_Toc28359085"/>
      <w:r>
        <w:rPr>
          <w:rFonts w:hint="eastAsia" w:asciiTheme="minorEastAsia" w:hAnsiTheme="minorEastAsia" w:eastAsiaTheme="minorEastAsia" w:cstheme="minorEastAsia"/>
          <w:b w:val="0"/>
          <w:bCs/>
          <w:color w:val="auto"/>
          <w:sz w:val="21"/>
          <w:szCs w:val="21"/>
        </w:rPr>
        <w:t>1、采购比选文件获取时间： 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10</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23</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10</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29</w:t>
      </w:r>
      <w:r>
        <w:rPr>
          <w:rFonts w:hint="eastAsia" w:asciiTheme="minorEastAsia" w:hAnsiTheme="minorEastAsia" w:eastAsiaTheme="minorEastAsia" w:cstheme="minorEastAsia"/>
          <w:b w:val="0"/>
          <w:bCs/>
          <w:color w:val="auto"/>
          <w:sz w:val="21"/>
          <w:szCs w:val="21"/>
        </w:rPr>
        <w:t>日23点59分（北京时间）；</w:t>
      </w:r>
    </w:p>
    <w:p w14:paraId="05E27D5F">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p>
    <w:p w14:paraId="12AEEE0C">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28359084"/>
      <w:bookmarkStart w:id="25" w:name="_Toc35393794"/>
      <w:bookmarkStart w:id="26" w:name="_Toc35393625"/>
      <w:bookmarkStart w:id="27" w:name="_Toc28359007"/>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val="en-US" w:eastAsia="zh-CN"/>
        </w:rPr>
        <w:t>响应文件递交截止时间:2025年10月30日上午9:00（北京时间）；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val="en-US" w:eastAsia="zh-CN"/>
        </w:rPr>
        <w:t>;</w:t>
      </w:r>
    </w:p>
    <w:p w14:paraId="325A18A1">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rPr>
        <w:t>。</w:t>
      </w:r>
    </w:p>
    <w:p w14:paraId="2E04DDC6">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10</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23</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2025</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10</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29</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联系人：</w:t>
      </w:r>
      <w:r>
        <w:rPr>
          <w:rFonts w:hint="eastAsia" w:asciiTheme="minorEastAsia" w:hAnsiTheme="minorEastAsia" w:eastAsiaTheme="minorEastAsia" w:cstheme="minorEastAsia"/>
          <w:bCs/>
          <w:color w:val="auto"/>
          <w:sz w:val="21"/>
          <w:szCs w:val="21"/>
          <w:lang w:val="en-US" w:eastAsia="zh-CN"/>
        </w:rPr>
        <w:t>周女士</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联系方式：</w:t>
      </w:r>
      <w:bookmarkStart w:id="30" w:name="_Toc28359009"/>
      <w:bookmarkStart w:id="31" w:name="_Toc28359086"/>
      <w:r>
        <w:rPr>
          <w:rFonts w:hint="eastAsia" w:asciiTheme="minorEastAsia" w:hAnsiTheme="minorEastAsia" w:eastAsiaTheme="minorEastAsia" w:cstheme="minorEastAsia"/>
          <w:bCs/>
          <w:color w:val="auto"/>
          <w:sz w:val="21"/>
          <w:szCs w:val="21"/>
          <w:lang w:val="en-US" w:eastAsia="zh-CN"/>
        </w:rPr>
        <w:t>65686592</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1"/>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val="en-US" w:eastAsia="zh-CN"/>
        </w:rPr>
        <w:t xml:space="preserve"> 采购需求</w:t>
      </w:r>
    </w:p>
    <w:p w14:paraId="5FD0E75B">
      <w:pPr>
        <w:pStyle w:val="9"/>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一、项目背景</w:t>
      </w:r>
    </w:p>
    <w:p w14:paraId="3D30BF85">
      <w:pPr>
        <w:pStyle w:val="16"/>
        <w:keepNext w:val="0"/>
        <w:keepLines w:val="0"/>
        <w:pageBreakBefore w:val="0"/>
        <w:widowControl w:val="0"/>
        <w:kinsoku/>
        <w:wordWrap/>
        <w:overflowPunct/>
        <w:topLinePunct w:val="0"/>
        <w:autoSpaceDE/>
        <w:autoSpaceDN/>
        <w:bidi w:val="0"/>
        <w:adjustRightInd/>
        <w:snapToGrid w:val="0"/>
        <w:spacing w:line="560" w:lineRule="exact"/>
        <w:ind w:left="0" w:leftChars="0"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海口江东新区管理局已设立省级知识产权公共服务窗口，当前窗口服务聚焦基础咨询与培训，尚未形成企业知识产权“需求调研—能力提升—成果转化—保护布局—市场推广”全链条服务体系，需拓展窗口功能、提升服务能力以契合国家知识产权强国战略及江东新区“4+X”产业定位。</w:t>
      </w:r>
    </w:p>
    <w:p w14:paraId="20B6A075">
      <w:pPr>
        <w:pStyle w:val="9"/>
        <w:keepNext w:val="0"/>
        <w:keepLines w:val="0"/>
        <w:pageBreakBefore w:val="0"/>
        <w:widowControl w:val="0"/>
        <w:kinsoku/>
        <w:wordWrap/>
        <w:overflowPunct/>
        <w:topLinePunct w:val="0"/>
        <w:autoSpaceDE/>
        <w:autoSpaceDN/>
        <w:bidi w:val="0"/>
        <w:adjustRightInd w:val="0"/>
        <w:snapToGrid w:val="0"/>
        <w:spacing w:line="56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二、项目概况</w:t>
      </w:r>
    </w:p>
    <w:p w14:paraId="6697B9BF">
      <w:pPr>
        <w:pStyle w:val="16"/>
        <w:keepNext w:val="0"/>
        <w:keepLines w:val="0"/>
        <w:pageBreakBefore w:val="0"/>
        <w:widowControl w:val="0"/>
        <w:kinsoku/>
        <w:wordWrap/>
        <w:overflowPunct/>
        <w:topLinePunct w:val="0"/>
        <w:autoSpaceDE/>
        <w:autoSpaceDN/>
        <w:bidi w:val="0"/>
        <w:adjustRightInd/>
        <w:snapToGrid w:val="0"/>
        <w:spacing w:line="560" w:lineRule="exact"/>
        <w:ind w:left="0" w:leftChars="0" w:firstLine="420" w:firstLineChars="200"/>
        <w:textAlignment w:val="auto"/>
        <w:rPr>
          <w:rFonts w:hint="default"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（一）服务时间：</w:t>
      </w:r>
      <w:r>
        <w:rPr>
          <w:rFonts w:hint="eastAsia" w:asciiTheme="minorEastAsia" w:hAnsiTheme="minorEastAsia" w:eastAsiaTheme="minorEastAsia" w:cstheme="minorEastAsia"/>
          <w:bCs/>
          <w:color w:val="FF0000"/>
          <w:kern w:val="2"/>
          <w:sz w:val="21"/>
          <w:szCs w:val="21"/>
          <w:highlight w:val="none"/>
          <w:lang w:val="en-US" w:eastAsia="zh-CN" w:bidi="ar-SA"/>
        </w:rPr>
        <w:t>自合同签订起至2026年12月31日</w:t>
      </w:r>
    </w:p>
    <w:p w14:paraId="6C49BBB5">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（二）工作任务：</w:t>
      </w:r>
    </w:p>
    <w:p w14:paraId="248E678C">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供应商</w:t>
      </w:r>
      <w:r>
        <w:rPr>
          <w:rFonts w:hint="default" w:asciiTheme="minorEastAsia" w:hAnsiTheme="minorEastAsia" w:eastAsiaTheme="minorEastAsia" w:cstheme="minorEastAsia"/>
          <w:bCs/>
          <w:color w:val="auto"/>
          <w:szCs w:val="21"/>
          <w:highlight w:val="none"/>
        </w:rPr>
        <w:t>应</w:t>
      </w:r>
      <w:r>
        <w:rPr>
          <w:rFonts w:hint="eastAsia" w:asciiTheme="minorEastAsia" w:hAnsiTheme="minorEastAsia" w:eastAsiaTheme="minorEastAsia" w:cstheme="minorEastAsia"/>
          <w:bCs/>
          <w:color w:val="auto"/>
          <w:szCs w:val="21"/>
          <w:highlight w:val="none"/>
          <w:lang w:val="en-US" w:eastAsia="zh-CN"/>
        </w:rPr>
        <w:t>须</w:t>
      </w:r>
      <w:r>
        <w:rPr>
          <w:rFonts w:hint="default" w:asciiTheme="minorEastAsia" w:hAnsiTheme="minorEastAsia" w:eastAsiaTheme="minorEastAsia" w:cstheme="minorEastAsia"/>
          <w:bCs/>
          <w:color w:val="auto"/>
          <w:szCs w:val="21"/>
          <w:highlight w:val="none"/>
        </w:rPr>
        <w:t>围绕</w:t>
      </w:r>
      <w:r>
        <w:rPr>
          <w:rFonts w:hint="eastAsia" w:asciiTheme="minorEastAsia" w:hAnsiTheme="minorEastAsia" w:eastAsiaTheme="minorEastAsia" w:cstheme="minorEastAsia"/>
          <w:bCs/>
          <w:color w:val="auto"/>
          <w:szCs w:val="21"/>
          <w:highlight w:val="none"/>
          <w:lang w:val="en-US" w:eastAsia="zh-CN"/>
        </w:rPr>
        <w:t>采购</w:t>
      </w:r>
      <w:r>
        <w:rPr>
          <w:rFonts w:hint="default" w:asciiTheme="minorEastAsia" w:hAnsiTheme="minorEastAsia" w:eastAsiaTheme="minorEastAsia" w:cstheme="minorEastAsia"/>
          <w:bCs/>
          <w:color w:val="auto"/>
          <w:szCs w:val="21"/>
          <w:highlight w:val="none"/>
        </w:rPr>
        <w:t>需求，以构建闭环式服务体系为核心，助力</w:t>
      </w:r>
      <w:r>
        <w:rPr>
          <w:rFonts w:hint="eastAsia" w:asciiTheme="minorEastAsia" w:hAnsiTheme="minorEastAsia" w:eastAsiaTheme="minorEastAsia" w:cstheme="minorEastAsia"/>
          <w:bCs/>
          <w:color w:val="auto"/>
          <w:szCs w:val="21"/>
          <w:highlight w:val="none"/>
          <w:lang w:val="en-US" w:eastAsia="zh-CN"/>
        </w:rPr>
        <w:t>采购人</w:t>
      </w:r>
      <w:r>
        <w:rPr>
          <w:rFonts w:hint="default" w:asciiTheme="minorEastAsia" w:hAnsiTheme="minorEastAsia" w:eastAsiaTheme="minorEastAsia" w:cstheme="minorEastAsia"/>
          <w:bCs/>
          <w:color w:val="auto"/>
          <w:szCs w:val="21"/>
          <w:highlight w:val="none"/>
        </w:rPr>
        <w:t>提升区域知识产权服务能级，打造具有江东新区特色的知识产权营商环境品牌。</w:t>
      </w:r>
      <w:r>
        <w:rPr>
          <w:rFonts w:hint="eastAsia" w:asciiTheme="minorEastAsia" w:hAnsiTheme="minorEastAsia" w:eastAsiaTheme="minorEastAsia" w:cstheme="minorEastAsia"/>
          <w:bCs/>
          <w:color w:val="auto"/>
          <w:szCs w:val="21"/>
          <w:highlight w:val="none"/>
          <w:lang w:val="en-US" w:eastAsia="zh-CN"/>
        </w:rPr>
        <w:t>供应商</w:t>
      </w:r>
      <w:r>
        <w:rPr>
          <w:rFonts w:hint="default" w:asciiTheme="minorEastAsia" w:hAnsiTheme="minorEastAsia" w:eastAsiaTheme="minorEastAsia" w:cstheme="minorEastAsia"/>
          <w:bCs/>
          <w:color w:val="auto"/>
          <w:szCs w:val="21"/>
          <w:highlight w:val="none"/>
        </w:rPr>
        <w:t>应为</w:t>
      </w:r>
      <w:r>
        <w:rPr>
          <w:rFonts w:hint="eastAsia" w:asciiTheme="minorEastAsia" w:hAnsiTheme="minorEastAsia" w:eastAsiaTheme="minorEastAsia" w:cstheme="minorEastAsia"/>
          <w:bCs/>
          <w:color w:val="auto"/>
          <w:szCs w:val="21"/>
          <w:highlight w:val="none"/>
          <w:lang w:val="en-US" w:eastAsia="zh-CN"/>
        </w:rPr>
        <w:t>采购人</w:t>
      </w:r>
      <w:r>
        <w:rPr>
          <w:rFonts w:hint="default" w:asciiTheme="minorEastAsia" w:hAnsiTheme="minorEastAsia" w:eastAsiaTheme="minorEastAsia" w:cstheme="minorEastAsia"/>
          <w:bCs/>
          <w:color w:val="auto"/>
          <w:szCs w:val="21"/>
          <w:highlight w:val="none"/>
        </w:rPr>
        <w:t>提供知识产权公共服务窗口功能拓展服务，具体内容如下：</w:t>
      </w:r>
    </w:p>
    <w:p w14:paraId="0AED1127">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1.</w:t>
      </w:r>
      <w:r>
        <w:rPr>
          <w:rFonts w:hint="default" w:asciiTheme="minorEastAsia" w:hAnsiTheme="minorEastAsia" w:eastAsiaTheme="minorEastAsia" w:cstheme="minorEastAsia"/>
          <w:bCs/>
          <w:color w:val="auto"/>
          <w:szCs w:val="21"/>
          <w:highlight w:val="none"/>
        </w:rPr>
        <w:t>江东新区重点产业知识产权信息分析服务</w:t>
      </w:r>
    </w:p>
    <w:p w14:paraId="2414A86F">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1</w:t>
      </w:r>
      <w:r>
        <w:rPr>
          <w:rFonts w:hint="eastAsia"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rPr>
        <w:t>形成服务报告。乙方基于甲方提供的知识产权检索平台工具以及江东新区知识产权相关数据，结合江东新区“4+X”重点产业</w:t>
      </w:r>
      <w:r>
        <w:rPr>
          <w:rFonts w:hint="default" w:asciiTheme="minorEastAsia" w:hAnsiTheme="minorEastAsia" w:eastAsiaTheme="minorEastAsia" w:cstheme="minorEastAsia"/>
          <w:bCs/>
          <w:color w:val="auto"/>
          <w:szCs w:val="21"/>
          <w:highlight w:val="none"/>
        </w:rPr>
        <w:footnoteReference w:id="0"/>
      </w:r>
      <w:r>
        <w:rPr>
          <w:rFonts w:hint="default" w:asciiTheme="minorEastAsia" w:hAnsiTheme="minorEastAsia" w:eastAsiaTheme="minorEastAsia" w:cstheme="minorEastAsia"/>
          <w:bCs/>
          <w:color w:val="auto"/>
          <w:szCs w:val="21"/>
          <w:highlight w:val="none"/>
        </w:rPr>
        <w:t>发展需求，开展产业检索分析、产业发展态势研究以及产业发展路径分析等知识产权信息分析服务，根据数据分析实际情况，选择江东新区“4+X”产业中现阶段具有重点发展潜力的产业形成《江东新区重点产业专利导航报告》（以下简称“《报告》”），助力江东新区原创性、颠覆性科技创新，促进产业发展强链增效，为区域产业发展提供服务支撑。</w:t>
      </w:r>
      <w:r>
        <w:rPr>
          <w:rFonts w:hint="default"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lang w:val="en-US" w:eastAsia="zh-CN"/>
        </w:rPr>
        <w:t>完成时间：2025年11月30日前完成初稿；2026年4月40日前完成终稿。）</w:t>
      </w:r>
    </w:p>
    <w:p w14:paraId="67DE2713">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rPr>
        <w:t>《报告》核心内容包括但不限于以下：</w:t>
      </w:r>
    </w:p>
    <w:p w14:paraId="52687D32">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rPr>
        <w:t>a.</w:t>
      </w:r>
      <w:r>
        <w:rPr>
          <w:rFonts w:hint="default" w:asciiTheme="minorEastAsia" w:hAnsiTheme="minorEastAsia" w:eastAsiaTheme="minorEastAsia" w:cstheme="minorEastAsia"/>
          <w:bCs/>
          <w:color w:val="auto"/>
          <w:szCs w:val="21"/>
          <w:highlight w:val="none"/>
        </w:rPr>
        <w:t>数据梳理。一是梳理当前江东新区“4+X”重点产业中，各产业已拥有的知识产权类型、数量、分布领域等核心信息，精准反映4+X重点产业现有知识产权储备情况；二是走访摸底江东新区企业成果转化情况并形成数据台账。</w:t>
      </w:r>
    </w:p>
    <w:p w14:paraId="78C28BD1">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rPr>
        <w:t>b.</w:t>
      </w:r>
      <w:r>
        <w:rPr>
          <w:rFonts w:hint="default" w:asciiTheme="minorEastAsia" w:hAnsiTheme="minorEastAsia" w:eastAsiaTheme="minorEastAsia" w:cstheme="minorEastAsia"/>
          <w:bCs/>
          <w:color w:val="auto"/>
          <w:szCs w:val="21"/>
          <w:highlight w:val="none"/>
        </w:rPr>
        <w:t>重点产业潜力挖掘。根据数据梳理情况选择“4+X”产业中的一个重点产业，根据该产业前沿的知识产权配置与江东新区的资源禀赋，分析并列举产业中尚未在江东落地、但具备落地价值的知识产权方向——包括江东新区该产业的企业知识产权布局方向以及通过招商引资可引入的外部企业所携带的核心知识产权方向（需明确此类知识产权对应的企业类型、技术优势及与江东新区重点产业的匹配度），为产业发展、知识产权布局拓展与集聚提供方向指引；</w:t>
      </w:r>
    </w:p>
    <w:p w14:paraId="5EFF59F6">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rPr>
        <w:t>c.</w:t>
      </w:r>
      <w:r>
        <w:rPr>
          <w:rFonts w:hint="default" w:asciiTheme="minorEastAsia" w:hAnsiTheme="minorEastAsia" w:eastAsiaTheme="minorEastAsia" w:cstheme="minorEastAsia"/>
          <w:bCs/>
          <w:color w:val="auto"/>
          <w:szCs w:val="21"/>
          <w:highlight w:val="none"/>
        </w:rPr>
        <w:t>知识产权服务提升建议。一是需求导向的配套服务提升，以“支撑现有重点产业知识产权优化布局”与“吸引拥有目标知识产权的企业落地江东”为双需求导向，在现有知识产权服务基础上，提出具体可行的提升建议；二是聚焦知识产权维权、风险防范、成果转移转化三大核心场景以及江东新区的资源配置情况（如江东法务等）提出深化服务建议。</w:t>
      </w:r>
    </w:p>
    <w:p w14:paraId="74FB80CD">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未在本条明确的核心内容，以专业专利导航报告结构内容为准。</w:t>
      </w:r>
    </w:p>
    <w:p w14:paraId="05FCD91E">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rPr>
        <w:t>2.</w:t>
      </w:r>
      <w:r>
        <w:rPr>
          <w:rFonts w:hint="default" w:asciiTheme="minorEastAsia" w:hAnsiTheme="minorEastAsia" w:eastAsiaTheme="minorEastAsia" w:cstheme="minorEastAsia"/>
          <w:bCs/>
          <w:color w:val="auto"/>
          <w:szCs w:val="21"/>
          <w:highlight w:val="none"/>
        </w:rPr>
        <w:t>中小微企业知识产权及成果转化特色服务</w:t>
      </w:r>
    </w:p>
    <w:p w14:paraId="154FC36D">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通过走访调研，围绕江东新区4+X重点产业（优先已形成《报告》的产业）的中小微企业提供知识产权特色服务，以构建“需求调研—能力提升—成果转化—保护布局—市场推广”闭环式服务体系为核心，助力甲方提升园区知识产权服务能级，打造具有江东新区特色的知识产权营商环境品牌。</w:t>
      </w:r>
    </w:p>
    <w:p w14:paraId="4E7E61A3">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rPr>
        <w:t>(</w:t>
      </w:r>
      <w:r>
        <w:rPr>
          <w:rFonts w:hint="default" w:asciiTheme="minorEastAsia" w:hAnsiTheme="minorEastAsia" w:eastAsiaTheme="minorEastAsia" w:cstheme="minorEastAsia"/>
          <w:bCs/>
          <w:color w:val="auto"/>
          <w:szCs w:val="21"/>
          <w:highlight w:val="none"/>
        </w:rPr>
        <w:t>1</w:t>
      </w:r>
      <w:r>
        <w:rPr>
          <w:rFonts w:hint="default" w:asciiTheme="minorEastAsia" w:hAnsiTheme="minorEastAsia" w:eastAsiaTheme="minorEastAsia" w:cstheme="minorEastAsia"/>
          <w:bCs/>
          <w:color w:val="auto"/>
          <w:szCs w:val="21"/>
          <w:highlight w:val="none"/>
          <w:lang w:val="en-US"/>
        </w:rPr>
        <w:t>)</w:t>
      </w:r>
      <w:r>
        <w:rPr>
          <w:rFonts w:hint="default" w:asciiTheme="minorEastAsia" w:hAnsiTheme="minorEastAsia" w:eastAsiaTheme="minorEastAsia" w:cstheme="minorEastAsia"/>
          <w:bCs/>
          <w:color w:val="auto"/>
          <w:szCs w:val="21"/>
          <w:highlight w:val="none"/>
        </w:rPr>
        <w:t>提升企业知识产权创新能力。开展知识产权战略咨询服务，为中小微企业出具不少于20份《企业知识产权密集型产品及成果转化情况专项调研简报》（以下简称“《简报》”）（含主导产品清单、知识产权权属 / 有效期、未布局原因、技术转化需求、调研成果转移转化情况）。</w:t>
      </w:r>
      <w:r>
        <w:rPr>
          <w:rFonts w:hint="default"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lang w:val="en-US" w:eastAsia="zh-CN"/>
        </w:rPr>
        <w:t>完成时间：2025年11月30日前为不少于6家企业出具《简报》；2026年4月30日前为不少于20家企业出具《简报》）</w:t>
      </w:r>
    </w:p>
    <w:p w14:paraId="572FAE10">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rPr>
        <w:t>(</w:t>
      </w:r>
      <w:r>
        <w:rPr>
          <w:rFonts w:hint="default" w:asciiTheme="minorEastAsia" w:hAnsiTheme="minorEastAsia" w:eastAsiaTheme="minorEastAsia" w:cstheme="minorEastAsia"/>
          <w:bCs/>
          <w:color w:val="auto"/>
          <w:szCs w:val="21"/>
          <w:highlight w:val="none"/>
        </w:rPr>
        <w:t>2</w:t>
      </w:r>
      <w:r>
        <w:rPr>
          <w:rFonts w:hint="default" w:asciiTheme="minorEastAsia" w:hAnsiTheme="minorEastAsia" w:eastAsiaTheme="minorEastAsia" w:cstheme="minorEastAsia"/>
          <w:bCs/>
          <w:color w:val="auto"/>
          <w:szCs w:val="21"/>
          <w:highlight w:val="none"/>
          <w:lang w:val="en-US"/>
        </w:rPr>
        <w:t>)</w:t>
      </w:r>
      <w:r>
        <w:rPr>
          <w:rFonts w:hint="default" w:asciiTheme="minorEastAsia" w:hAnsiTheme="minorEastAsia" w:eastAsiaTheme="minorEastAsia" w:cstheme="minorEastAsia"/>
          <w:bCs/>
          <w:color w:val="auto"/>
          <w:szCs w:val="21"/>
          <w:highlight w:val="none"/>
        </w:rPr>
        <w:t>知识产权布局服务。根据现有重点产业企业需求以及招商引资需要，协助企业开展知识产权布局，提供专利申请服务≥10 次。</w:t>
      </w:r>
      <w:r>
        <w:rPr>
          <w:rFonts w:hint="default"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lang w:val="en-US" w:eastAsia="zh-CN"/>
        </w:rPr>
        <w:t>完成时间：2026年11月30日前）</w:t>
      </w:r>
    </w:p>
    <w:p w14:paraId="65F88A44">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rPr>
        <w:t>(3)</w:t>
      </w:r>
      <w:r>
        <w:rPr>
          <w:rFonts w:hint="default" w:asciiTheme="minorEastAsia" w:hAnsiTheme="minorEastAsia" w:eastAsiaTheme="minorEastAsia" w:cstheme="minorEastAsia"/>
          <w:bCs/>
          <w:color w:val="auto"/>
          <w:szCs w:val="21"/>
          <w:highlight w:val="none"/>
        </w:rPr>
        <w:t>成果转化服务。基于20份《简报》，对不少于20家企业以知识产权产品推广形式开展成果转化服务，联合抖音或TikTok线上推广平台，实现重点产业企业产品曝光量≥500 万次，收集市场反馈并给予企业改进指导</w:t>
      </w:r>
      <w:r>
        <w:rPr>
          <w:rFonts w:hint="default"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lang w:val="en-US" w:eastAsia="zh-CN"/>
        </w:rPr>
        <w:t>完成时间：2026年5月31日前）</w:t>
      </w:r>
      <w:r>
        <w:rPr>
          <w:rFonts w:hint="default" w:asciiTheme="minorEastAsia" w:hAnsiTheme="minorEastAsia" w:eastAsiaTheme="minorEastAsia" w:cstheme="minorEastAsia"/>
          <w:bCs/>
          <w:color w:val="auto"/>
          <w:szCs w:val="21"/>
          <w:highlight w:val="none"/>
        </w:rPr>
        <w:t>；推动“研发 - 转化 - 市场验证 - 改进 - 再研发”良性循环，实现1-2个成果转化取得实际成效（成效具体定义为：依据市场反馈促成企业研发新产品并完成市场验证，或推动企业现有知识产权产品落地市场且实现销量提升），形成可复制的知识产权服务案例，打造江东新区特色知识产权营商环境品牌。</w:t>
      </w:r>
      <w:r>
        <w:rPr>
          <w:rFonts w:hint="default"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lang w:val="en-US" w:eastAsia="zh-CN"/>
        </w:rPr>
        <w:t>完成时间：2026年9月30日前</w:t>
      </w:r>
      <w:r>
        <w:rPr>
          <w:rFonts w:hint="default" w:asciiTheme="minorEastAsia" w:hAnsiTheme="minorEastAsia" w:eastAsiaTheme="minorEastAsia" w:cstheme="minorEastAsia"/>
          <w:bCs/>
          <w:color w:val="auto"/>
          <w:szCs w:val="21"/>
          <w:highlight w:val="none"/>
          <w:lang w:eastAsia="zh-CN"/>
        </w:rPr>
        <w:t>）</w:t>
      </w:r>
    </w:p>
    <w:p w14:paraId="4966C501">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rPr>
        <w:t>3.</w:t>
      </w:r>
      <w:r>
        <w:rPr>
          <w:rFonts w:hint="default" w:asciiTheme="minorEastAsia" w:hAnsiTheme="minorEastAsia" w:eastAsiaTheme="minorEastAsia" w:cstheme="minorEastAsia"/>
          <w:bCs/>
          <w:color w:val="auto"/>
          <w:szCs w:val="21"/>
          <w:highlight w:val="none"/>
        </w:rPr>
        <w:t>搭建重点产业数据库</w:t>
      </w:r>
    </w:p>
    <w:p w14:paraId="1AB68E90">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为支撑江东新区“4+X”重点产业高质量发展与知识产权精准布局，重点推进两类数据库建设。</w:t>
      </w:r>
    </w:p>
    <w:p w14:paraId="419D5D25">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lang w:eastAsia="zh-CN"/>
        </w:rPr>
      </w:pPr>
      <w:r>
        <w:rPr>
          <w:rFonts w:hint="default" w:asciiTheme="minorEastAsia" w:hAnsiTheme="minorEastAsia" w:eastAsiaTheme="minorEastAsia" w:cstheme="minorEastAsia"/>
          <w:bCs/>
          <w:color w:val="auto"/>
          <w:szCs w:val="21"/>
          <w:highlight w:val="none"/>
          <w:lang w:val="en-US"/>
        </w:rPr>
        <w:t>(</w:t>
      </w:r>
      <w:r>
        <w:rPr>
          <w:rFonts w:hint="default" w:asciiTheme="minorEastAsia" w:hAnsiTheme="minorEastAsia" w:eastAsiaTheme="minorEastAsia" w:cstheme="minorEastAsia"/>
          <w:bCs/>
          <w:color w:val="auto"/>
          <w:szCs w:val="21"/>
          <w:highlight w:val="none"/>
        </w:rPr>
        <w:t>1</w:t>
      </w:r>
      <w:r>
        <w:rPr>
          <w:rFonts w:hint="default" w:asciiTheme="minorEastAsia" w:hAnsiTheme="minorEastAsia" w:eastAsiaTheme="minorEastAsia" w:cstheme="minorEastAsia"/>
          <w:bCs/>
          <w:color w:val="auto"/>
          <w:szCs w:val="21"/>
          <w:highlight w:val="none"/>
          <w:lang w:val="en-US"/>
        </w:rPr>
        <w:t>)</w:t>
      </w:r>
      <w:r>
        <w:rPr>
          <w:rFonts w:hint="default" w:asciiTheme="minorEastAsia" w:hAnsiTheme="minorEastAsia" w:eastAsiaTheme="minorEastAsia" w:cstheme="minorEastAsia"/>
          <w:bCs/>
          <w:color w:val="auto"/>
          <w:szCs w:val="21"/>
          <w:highlight w:val="none"/>
        </w:rPr>
        <w:t>专利导航数据库建设。依托甲方提供的知识产权平台服务工具，完成覆盖“4+X”全产业领域的专利导航数据库搭建及定期维护，整合各产业领域的全球专利数据、法律状态信息、技术趋势图谱、竞争环境分析等核心内容，具备检索分析、趋势研判、技术监控等的专利信息服务功能，为企业精准把握技术方向、规避侵权风险提供数据支撑。</w:t>
      </w:r>
      <w:r>
        <w:rPr>
          <w:rFonts w:hint="default"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lang w:val="en-US" w:eastAsia="zh-CN"/>
        </w:rPr>
        <w:t>完成时间：2025年11月30日前搭建不少于2个重点产业的专利导航数据库；2026年4月30日前搭建完成</w:t>
      </w:r>
      <w:r>
        <w:rPr>
          <w:rFonts w:hint="default" w:asciiTheme="minorEastAsia" w:hAnsiTheme="minorEastAsia" w:eastAsiaTheme="minorEastAsia" w:cstheme="minorEastAsia"/>
          <w:bCs/>
          <w:color w:val="auto"/>
          <w:szCs w:val="21"/>
          <w:highlight w:val="none"/>
        </w:rPr>
        <w:t>“4+X”全产业领域的专利导航数据库</w:t>
      </w:r>
      <w:r>
        <w:rPr>
          <w:rFonts w:hint="default" w:asciiTheme="minorEastAsia" w:hAnsiTheme="minorEastAsia" w:eastAsiaTheme="minorEastAsia" w:cstheme="minorEastAsia"/>
          <w:bCs/>
          <w:color w:val="auto"/>
          <w:szCs w:val="21"/>
          <w:highlight w:val="none"/>
          <w:lang w:eastAsia="zh-CN"/>
        </w:rPr>
        <w:t>）</w:t>
      </w:r>
    </w:p>
    <w:p w14:paraId="6A1B8BB8">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lang w:eastAsia="zh-CN"/>
        </w:rPr>
      </w:pP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rPr>
        <w:t>产业专家库建设。优先聚焦已形成《报告》的重点产业领域，筛选组建产业专家库——入库专家涵盖知识产权领域资深顾问、产业技术研发带头人、政策研究专家等。便于后续为重点产业企业提供“点对点”定制化服务。</w:t>
      </w:r>
      <w:r>
        <w:rPr>
          <w:rFonts w:hint="default"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lang w:val="en-US" w:eastAsia="zh-CN"/>
        </w:rPr>
        <w:t>完成时间：2026年4月30日前</w:t>
      </w:r>
      <w:r>
        <w:rPr>
          <w:rFonts w:hint="default" w:asciiTheme="minorEastAsia" w:hAnsiTheme="minorEastAsia" w:eastAsiaTheme="minorEastAsia" w:cstheme="minorEastAsia"/>
          <w:bCs/>
          <w:color w:val="auto"/>
          <w:szCs w:val="21"/>
          <w:highlight w:val="none"/>
          <w:lang w:eastAsia="zh-CN"/>
        </w:rPr>
        <w:t>）</w:t>
      </w:r>
    </w:p>
    <w:p w14:paraId="7505482D">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4.</w:t>
      </w:r>
      <w:r>
        <w:rPr>
          <w:rFonts w:hint="default" w:asciiTheme="minorEastAsia" w:hAnsiTheme="minorEastAsia" w:eastAsiaTheme="minorEastAsia" w:cstheme="minorEastAsia"/>
          <w:bCs/>
          <w:color w:val="auto"/>
          <w:szCs w:val="21"/>
          <w:highlight w:val="none"/>
        </w:rPr>
        <w:t>培训与活动</w:t>
      </w:r>
    </w:p>
    <w:p w14:paraId="169F785C">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合作期内邀请具有正高级技术职称专家、高层次人才或行业内专家开展各类惠企培训不少于10场（含知识产权专题培训3场，自贸港政策解读、企业技能培训等其他惠企培训7场），组织成果转化对接会、产学研对接会等对接交流活动不少于6场，同时做好活动前后期宣传工作。</w:t>
      </w:r>
    </w:p>
    <w:p w14:paraId="75451F64">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rPr>
        <w:t>知识产权培训与活动。一是组织不少于3场知识产权专题培训（聚焦高价值专利培育、风险防范、运营能力及专利导航实操）。其中2025年不少于1场，2026年不少于2场；二是依据调研结果征集企业需求，组织不少于3场线上线下“一对一”成果转化对接交流活动，推动技术供需对接。其中2025年不少于1场，2026年不少于2场；三是组织产学研对接会不少于3场，其中2025年不少于1场，2026年不少于2场。</w:t>
      </w:r>
    </w:p>
    <w:p w14:paraId="16361E47">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lang w:eastAsia="zh-CN"/>
        </w:rPr>
        <w:t>）</w:t>
      </w:r>
      <w:r>
        <w:rPr>
          <w:rFonts w:hint="default" w:asciiTheme="minorEastAsia" w:hAnsiTheme="minorEastAsia" w:eastAsiaTheme="minorEastAsia" w:cstheme="minorEastAsia"/>
          <w:bCs/>
          <w:color w:val="auto"/>
          <w:szCs w:val="21"/>
          <w:highlight w:val="none"/>
        </w:rPr>
        <w:t>其他惠企培训。组织开展不少于7场惠企培训。其中，2025年不少于1场，2026年不少于6场。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443"/>
        <w:gridCol w:w="1282"/>
        <w:gridCol w:w="4113"/>
      </w:tblGrid>
      <w:tr w14:paraId="4B04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42" w:type="dxa"/>
            <w:gridSpan w:val="4"/>
            <w:vAlign w:val="center"/>
          </w:tcPr>
          <w:p w14:paraId="22271D56">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培训安排表</w:t>
            </w:r>
          </w:p>
        </w:tc>
      </w:tr>
      <w:tr w14:paraId="6625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235854AF">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培训类型</w:t>
            </w:r>
          </w:p>
        </w:tc>
        <w:tc>
          <w:tcPr>
            <w:tcW w:w="1540" w:type="dxa"/>
            <w:vAlign w:val="center"/>
          </w:tcPr>
          <w:p w14:paraId="2285D08C">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2025年（场次）</w:t>
            </w:r>
          </w:p>
        </w:tc>
        <w:tc>
          <w:tcPr>
            <w:tcW w:w="1360" w:type="dxa"/>
            <w:vAlign w:val="center"/>
          </w:tcPr>
          <w:p w14:paraId="5159225D">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2026年（场次）</w:t>
            </w:r>
          </w:p>
        </w:tc>
        <w:tc>
          <w:tcPr>
            <w:tcW w:w="4506" w:type="dxa"/>
            <w:vAlign w:val="center"/>
          </w:tcPr>
          <w:p w14:paraId="68A392CE">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eastAsia="zh-CN"/>
              </w:rPr>
              <w:t>完成时间</w:t>
            </w:r>
          </w:p>
        </w:tc>
      </w:tr>
      <w:tr w14:paraId="0894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0EB42A02">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知识产权专题培训</w:t>
            </w:r>
          </w:p>
        </w:tc>
        <w:tc>
          <w:tcPr>
            <w:tcW w:w="1540" w:type="dxa"/>
            <w:vAlign w:val="center"/>
          </w:tcPr>
          <w:p w14:paraId="6F78CA9F">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1</w:t>
            </w:r>
          </w:p>
        </w:tc>
        <w:tc>
          <w:tcPr>
            <w:tcW w:w="1360" w:type="dxa"/>
            <w:vAlign w:val="center"/>
          </w:tcPr>
          <w:p w14:paraId="6EF3BC82">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w:t>
            </w:r>
          </w:p>
        </w:tc>
        <w:tc>
          <w:tcPr>
            <w:tcW w:w="4506" w:type="dxa"/>
            <w:vAlign w:val="center"/>
          </w:tcPr>
          <w:p w14:paraId="3781086D">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eastAsia="zh-CN"/>
              </w:rPr>
              <w:t>2025年：11月30日前；</w:t>
            </w:r>
          </w:p>
          <w:p w14:paraId="7DBDEFD0">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eastAsia="zh-CN"/>
              </w:rPr>
              <w:t>2026年：上半年至少1场（6月30日前）；下半年至少1场（11月30日前）。</w:t>
            </w:r>
          </w:p>
        </w:tc>
      </w:tr>
      <w:tr w14:paraId="4926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10521264">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其他惠企培训</w:t>
            </w:r>
          </w:p>
        </w:tc>
        <w:tc>
          <w:tcPr>
            <w:tcW w:w="1540" w:type="dxa"/>
            <w:vAlign w:val="center"/>
          </w:tcPr>
          <w:p w14:paraId="3F57ACEB">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1</w:t>
            </w:r>
          </w:p>
        </w:tc>
        <w:tc>
          <w:tcPr>
            <w:tcW w:w="1360" w:type="dxa"/>
            <w:vAlign w:val="center"/>
          </w:tcPr>
          <w:p w14:paraId="00CCFC08">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6</w:t>
            </w:r>
          </w:p>
        </w:tc>
        <w:tc>
          <w:tcPr>
            <w:tcW w:w="4506" w:type="dxa"/>
            <w:vAlign w:val="center"/>
          </w:tcPr>
          <w:p w14:paraId="6B6E5A33">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eastAsia="zh-CN"/>
              </w:rPr>
              <w:t>2025年：11月30日前；</w:t>
            </w:r>
          </w:p>
          <w:p w14:paraId="6C50CBB1">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eastAsia="zh-CN"/>
              </w:rPr>
              <w:t>2026年：上半年至少3场（6月30日前）；下半年至少3场（11月30日前）。</w:t>
            </w:r>
          </w:p>
        </w:tc>
      </w:tr>
      <w:tr w14:paraId="6D91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1CB397A9">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合计</w:t>
            </w:r>
          </w:p>
        </w:tc>
        <w:tc>
          <w:tcPr>
            <w:tcW w:w="1540" w:type="dxa"/>
            <w:vAlign w:val="center"/>
          </w:tcPr>
          <w:p w14:paraId="02D5D839">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w:t>
            </w:r>
          </w:p>
        </w:tc>
        <w:tc>
          <w:tcPr>
            <w:tcW w:w="1360" w:type="dxa"/>
            <w:vAlign w:val="center"/>
          </w:tcPr>
          <w:p w14:paraId="743E981D">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8</w:t>
            </w:r>
          </w:p>
        </w:tc>
        <w:tc>
          <w:tcPr>
            <w:tcW w:w="4506" w:type="dxa"/>
            <w:vAlign w:val="center"/>
          </w:tcPr>
          <w:p w14:paraId="2D85E9A5">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p>
        </w:tc>
      </w:tr>
      <w:tr w14:paraId="3665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vAlign w:val="center"/>
          </w:tcPr>
          <w:p w14:paraId="2BCE8EB9">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活动安排表</w:t>
            </w:r>
          </w:p>
        </w:tc>
      </w:tr>
      <w:tr w14:paraId="1271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32674D3F">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活动类型</w:t>
            </w:r>
          </w:p>
        </w:tc>
        <w:tc>
          <w:tcPr>
            <w:tcW w:w="1540" w:type="dxa"/>
            <w:vAlign w:val="center"/>
          </w:tcPr>
          <w:p w14:paraId="21FB4D0E">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2025年（场次）</w:t>
            </w:r>
          </w:p>
        </w:tc>
        <w:tc>
          <w:tcPr>
            <w:tcW w:w="1360" w:type="dxa"/>
            <w:vAlign w:val="center"/>
          </w:tcPr>
          <w:p w14:paraId="2B0FAC07">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2026年（场次）</w:t>
            </w:r>
          </w:p>
        </w:tc>
        <w:tc>
          <w:tcPr>
            <w:tcW w:w="4506" w:type="dxa"/>
            <w:vAlign w:val="center"/>
          </w:tcPr>
          <w:p w14:paraId="6BBE3AD3">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eastAsia="zh-CN"/>
              </w:rPr>
              <w:t>完成时间</w:t>
            </w:r>
          </w:p>
        </w:tc>
      </w:tr>
      <w:tr w14:paraId="6AAC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2B56B0F1">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成果转化对接交流活动</w:t>
            </w:r>
          </w:p>
        </w:tc>
        <w:tc>
          <w:tcPr>
            <w:tcW w:w="1540" w:type="dxa"/>
            <w:vAlign w:val="center"/>
          </w:tcPr>
          <w:p w14:paraId="1BC772CC">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1</w:t>
            </w:r>
          </w:p>
        </w:tc>
        <w:tc>
          <w:tcPr>
            <w:tcW w:w="1360" w:type="dxa"/>
            <w:vAlign w:val="center"/>
          </w:tcPr>
          <w:p w14:paraId="37429899">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w:t>
            </w:r>
          </w:p>
        </w:tc>
        <w:tc>
          <w:tcPr>
            <w:tcW w:w="4506" w:type="dxa"/>
            <w:vMerge w:val="restart"/>
            <w:vAlign w:val="center"/>
          </w:tcPr>
          <w:p w14:paraId="20C6C57B">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lang w:val="en-US" w:eastAsia="zh-CN"/>
              </w:rPr>
            </w:pPr>
            <w:r>
              <w:rPr>
                <w:rFonts w:hint="default" w:asciiTheme="minorEastAsia" w:hAnsiTheme="minorEastAsia" w:eastAsiaTheme="minorEastAsia" w:cstheme="minorEastAsia"/>
                <w:bCs/>
                <w:color w:val="auto"/>
                <w:szCs w:val="21"/>
                <w:highlight w:val="none"/>
                <w:lang w:val="en-US" w:eastAsia="zh-CN"/>
              </w:rPr>
              <w:t>2025年：11月30日前；</w:t>
            </w:r>
          </w:p>
          <w:p w14:paraId="79775614">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lang w:val="en-US" w:eastAsia="zh-CN"/>
              </w:rPr>
              <w:t>2026年：上半年至少各1场（6月30日前）；下半年至少各1场（11月30日前）。</w:t>
            </w:r>
          </w:p>
        </w:tc>
      </w:tr>
      <w:tr w14:paraId="4535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75DBD8C7">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产学研对接会</w:t>
            </w:r>
          </w:p>
        </w:tc>
        <w:tc>
          <w:tcPr>
            <w:tcW w:w="1540" w:type="dxa"/>
            <w:vAlign w:val="center"/>
          </w:tcPr>
          <w:p w14:paraId="1667C280">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1</w:t>
            </w:r>
          </w:p>
        </w:tc>
        <w:tc>
          <w:tcPr>
            <w:tcW w:w="1360" w:type="dxa"/>
            <w:vAlign w:val="center"/>
          </w:tcPr>
          <w:p w14:paraId="252E317D">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w:t>
            </w:r>
          </w:p>
        </w:tc>
        <w:tc>
          <w:tcPr>
            <w:tcW w:w="4506" w:type="dxa"/>
            <w:vMerge w:val="continue"/>
            <w:vAlign w:val="center"/>
          </w:tcPr>
          <w:p w14:paraId="3FC535D4">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p>
        </w:tc>
      </w:tr>
      <w:tr w14:paraId="452D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6" w:type="dxa"/>
            <w:vAlign w:val="center"/>
          </w:tcPr>
          <w:p w14:paraId="1826B8CA">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合计</w:t>
            </w:r>
          </w:p>
        </w:tc>
        <w:tc>
          <w:tcPr>
            <w:tcW w:w="1540" w:type="dxa"/>
            <w:vAlign w:val="center"/>
          </w:tcPr>
          <w:p w14:paraId="6155B409">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2</w:t>
            </w:r>
          </w:p>
        </w:tc>
        <w:tc>
          <w:tcPr>
            <w:tcW w:w="1360" w:type="dxa"/>
            <w:vAlign w:val="center"/>
          </w:tcPr>
          <w:p w14:paraId="086AF30E">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r>
              <w:rPr>
                <w:rFonts w:hint="default" w:asciiTheme="minorEastAsia" w:hAnsiTheme="minorEastAsia" w:eastAsiaTheme="minorEastAsia" w:cstheme="minorEastAsia"/>
                <w:bCs/>
                <w:color w:val="auto"/>
                <w:szCs w:val="21"/>
                <w:highlight w:val="none"/>
              </w:rPr>
              <w:t>4</w:t>
            </w:r>
          </w:p>
        </w:tc>
        <w:tc>
          <w:tcPr>
            <w:tcW w:w="4506" w:type="dxa"/>
            <w:vAlign w:val="center"/>
          </w:tcPr>
          <w:p w14:paraId="24148F40">
            <w:pPr>
              <w:pStyle w:val="9"/>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0"/>
              <w:rPr>
                <w:rFonts w:hint="default" w:asciiTheme="minorEastAsia" w:hAnsiTheme="minorEastAsia" w:eastAsiaTheme="minorEastAsia" w:cstheme="minorEastAsia"/>
                <w:bCs/>
                <w:color w:val="auto"/>
                <w:szCs w:val="21"/>
                <w:highlight w:val="none"/>
              </w:rPr>
            </w:pPr>
          </w:p>
        </w:tc>
      </w:tr>
    </w:tbl>
    <w:p w14:paraId="4432D408">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default" w:asciiTheme="minorEastAsia" w:hAnsiTheme="minorEastAsia" w:eastAsiaTheme="minorEastAsia" w:cstheme="minorEastAsia"/>
          <w:bCs/>
          <w:color w:val="auto"/>
          <w:szCs w:val="21"/>
          <w:highlight w:val="none"/>
        </w:rPr>
      </w:pPr>
    </w:p>
    <w:p w14:paraId="33E246D2">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lang w:val="en-US" w:eastAsia="zh-CN"/>
        </w:rPr>
        <w:t>三</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工作要求：</w:t>
      </w:r>
    </w:p>
    <w:p w14:paraId="02A8945F">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1. 目标任务落地：供应商按要求完成全部服务，核心指标达标（调研覆盖、培训场次、对接场次、知识产权申请、推广曝光量）；</w:t>
      </w:r>
    </w:p>
    <w:p w14:paraId="30FD7AC7">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2. 窗口升级：服务功能从 “基础咨询” 拓展为 “调研 - 培训 - 对接 - 申请 - 推广” 闭环体系，新增线上推广公共服务模块；</w:t>
      </w:r>
    </w:p>
    <w:p w14:paraId="52587376">
      <w:pPr>
        <w:pStyle w:val="9"/>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outlineLvl w:val="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3. 形成可复制模式：供应商总结的服务模式成为基层窗口升级的典型案例，打造全省首个提供线上知识产权密集型产品推广公共服务的案例，为其他区域提供借鉴。</w:t>
      </w:r>
    </w:p>
    <w:p w14:paraId="266169D0">
      <w:pPr>
        <w:pStyle w:val="16"/>
        <w:keepNext w:val="0"/>
        <w:keepLines w:val="0"/>
        <w:pageBreakBefore w:val="0"/>
        <w:widowControl w:val="0"/>
        <w:kinsoku/>
        <w:wordWrap/>
        <w:overflowPunct/>
        <w:topLinePunct w:val="0"/>
        <w:autoSpaceDE/>
        <w:autoSpaceDN/>
        <w:bidi w:val="0"/>
        <w:adjustRightInd/>
        <w:snapToGrid w:val="0"/>
        <w:spacing w:line="560" w:lineRule="exact"/>
        <w:ind w:left="0" w:leftChars="0" w:firstLine="420" w:firstLineChars="200"/>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（四）费用预算</w:t>
      </w:r>
    </w:p>
    <w:p w14:paraId="39FE9253">
      <w:pPr>
        <w:pStyle w:val="16"/>
        <w:keepNext w:val="0"/>
        <w:keepLines w:val="0"/>
        <w:pageBreakBefore w:val="0"/>
        <w:widowControl w:val="0"/>
        <w:kinsoku/>
        <w:wordWrap/>
        <w:overflowPunct/>
        <w:topLinePunct w:val="0"/>
        <w:autoSpaceDE/>
        <w:autoSpaceDN/>
        <w:bidi w:val="0"/>
        <w:adjustRightInd/>
        <w:snapToGrid w:val="0"/>
        <w:spacing w:line="560" w:lineRule="exact"/>
        <w:ind w:left="0" w:leftChars="0" w:firstLine="420" w:firstLineChars="200"/>
        <w:textAlignment w:val="auto"/>
        <w:rPr>
          <w:rFonts w:hint="default"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kern w:val="2"/>
          <w:sz w:val="21"/>
          <w:szCs w:val="21"/>
          <w:highlight w:val="none"/>
          <w:lang w:val="en-US" w:eastAsia="zh-CN" w:bidi="ar-SA"/>
        </w:rPr>
        <w:t>本项目预算为 32万元，供应商最高报价不得超出32万。</w:t>
      </w:r>
    </w:p>
    <w:p w14:paraId="5BF58E6C">
      <w:pPr>
        <w:pStyle w:val="4"/>
        <w:ind w:firstLine="422" w:firstLineChars="200"/>
        <w:rPr>
          <w:rFonts w:hint="eastAsia" w:ascii="仿宋_GB2312" w:hAnsi="仿宋_GB2312" w:eastAsia="仿宋_GB2312" w:cs="仿宋_GB2312"/>
          <w:sz w:val="21"/>
          <w:szCs w:val="21"/>
        </w:rPr>
      </w:pPr>
      <w:r>
        <w:rPr>
          <w:rFonts w:hint="eastAsia" w:asciiTheme="minorEastAsia" w:hAnsiTheme="minorEastAsia" w:eastAsiaTheme="minorEastAsia" w:cstheme="minorEastAsia"/>
          <w:b/>
          <w:bCs w:val="0"/>
          <w:color w:val="auto"/>
          <w:sz w:val="21"/>
          <w:szCs w:val="21"/>
          <w:highlight w:val="none"/>
          <w:lang w:val="en-US" w:eastAsia="zh-CN"/>
        </w:rPr>
        <w:t>三、</w:t>
      </w:r>
      <w:r>
        <w:rPr>
          <w:rFonts w:hint="eastAsia" w:ascii="仿宋_GB2312" w:hAnsi="仿宋_GB2312" w:eastAsia="仿宋_GB2312" w:cs="仿宋_GB2312"/>
          <w:sz w:val="21"/>
          <w:szCs w:val="21"/>
        </w:rPr>
        <w:t>验收标准及流程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77"/>
        <w:gridCol w:w="4500"/>
        <w:gridCol w:w="2169"/>
      </w:tblGrid>
      <w:tr w14:paraId="1295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7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339BDD">
            <w:pPr>
              <w:pStyle w:val="62"/>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验收内容</w:t>
            </w:r>
          </w:p>
        </w:tc>
        <w:tc>
          <w:tcPr>
            <w:tcW w:w="45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E722A95">
            <w:pPr>
              <w:pStyle w:val="62"/>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验收标准</w:t>
            </w:r>
          </w:p>
        </w:tc>
        <w:tc>
          <w:tcPr>
            <w:tcW w:w="2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D898C3">
            <w:pPr>
              <w:pStyle w:val="62"/>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验收材料要求</w:t>
            </w:r>
          </w:p>
        </w:tc>
      </w:tr>
      <w:tr w14:paraId="3EF1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7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F9A57B">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调研报告</w:t>
            </w:r>
          </w:p>
        </w:tc>
        <w:tc>
          <w:tcPr>
            <w:tcW w:w="45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2296C6">
            <w:pPr>
              <w:pStyle w:val="62"/>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总报告覆盖≥100 家企业，专项报告≥20 家，数据真实、分析详实</w:t>
            </w:r>
          </w:p>
        </w:tc>
        <w:tc>
          <w:tcPr>
            <w:tcW w:w="2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12A8D2">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纸质版报告</w:t>
            </w:r>
          </w:p>
        </w:tc>
      </w:tr>
      <w:tr w14:paraId="5C5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7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CE6ED7">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培训服务</w:t>
            </w:r>
          </w:p>
        </w:tc>
        <w:tc>
          <w:tcPr>
            <w:tcW w:w="45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79C263">
            <w:pPr>
              <w:pStyle w:val="62"/>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举办2场培训，</w:t>
            </w:r>
            <w:r>
              <w:rPr>
                <w:rFonts w:hint="eastAsia" w:ascii="仿宋_GB2312" w:hAnsi="仿宋_GB2312" w:eastAsia="仿宋_GB2312" w:cs="仿宋_GB2312"/>
                <w:sz w:val="21"/>
                <w:szCs w:val="21"/>
              </w:rPr>
              <w:t>累计覆盖≥80 人次，材料完整（签到表、</w:t>
            </w:r>
            <w:r>
              <w:rPr>
                <w:rFonts w:hint="eastAsia" w:ascii="仿宋_GB2312" w:hAnsi="仿宋_GB2312" w:eastAsia="仿宋_GB2312" w:cs="仿宋_GB2312"/>
                <w:sz w:val="21"/>
                <w:szCs w:val="21"/>
                <w:lang w:val="en-US" w:eastAsia="zh-CN"/>
              </w:rPr>
              <w:t>培训照片</w:t>
            </w:r>
            <w:r>
              <w:rPr>
                <w:rFonts w:hint="eastAsia" w:ascii="仿宋_GB2312" w:hAnsi="仿宋_GB2312" w:eastAsia="仿宋_GB2312" w:cs="仿宋_GB2312"/>
                <w:sz w:val="21"/>
                <w:szCs w:val="21"/>
              </w:rPr>
              <w:t>）</w:t>
            </w:r>
          </w:p>
        </w:tc>
        <w:tc>
          <w:tcPr>
            <w:tcW w:w="2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20A1EA">
            <w:pPr>
              <w:pStyle w:val="62"/>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培训材料汇编</w:t>
            </w:r>
          </w:p>
        </w:tc>
      </w:tr>
      <w:tr w14:paraId="78DA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5" w:hRule="atLeast"/>
          <w:jc w:val="center"/>
        </w:trPr>
        <w:tc>
          <w:tcPr>
            <w:tcW w:w="187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E3950F">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对接活动</w:t>
            </w:r>
          </w:p>
        </w:tc>
        <w:tc>
          <w:tcPr>
            <w:tcW w:w="45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B4630E">
            <w:pPr>
              <w:pStyle w:val="62"/>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场</w:t>
            </w:r>
            <w:r>
              <w:rPr>
                <w:rFonts w:hint="eastAsia" w:ascii="仿宋_GB2312" w:hAnsi="仿宋_GB2312" w:eastAsia="仿宋_GB2312" w:cs="仿宋_GB2312"/>
                <w:b w:val="0"/>
                <w:bCs w:val="0"/>
                <w:sz w:val="21"/>
                <w:szCs w:val="21"/>
                <w:lang w:val="en-US" w:eastAsia="zh-CN"/>
              </w:rPr>
              <w:t>线上线下“一对一”成果转化对接交流</w:t>
            </w:r>
            <w:r>
              <w:rPr>
                <w:rFonts w:hint="eastAsia" w:ascii="仿宋_GB2312" w:hAnsi="仿宋_GB2312" w:eastAsia="仿宋_GB2312" w:cs="仿宋_GB2312"/>
                <w:sz w:val="21"/>
                <w:szCs w:val="21"/>
              </w:rPr>
              <w:t>活动，记录完整</w:t>
            </w:r>
          </w:p>
        </w:tc>
        <w:tc>
          <w:tcPr>
            <w:tcW w:w="2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C5D79C">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活动资料汇编</w:t>
            </w:r>
          </w:p>
        </w:tc>
      </w:tr>
      <w:tr w14:paraId="47DE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7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6B5A8D">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知识产权服务</w:t>
            </w:r>
          </w:p>
        </w:tc>
        <w:tc>
          <w:tcPr>
            <w:tcW w:w="45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F29432">
            <w:pPr>
              <w:pStyle w:val="62"/>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 件以上知识产权《受理通知书》，材料齐全</w:t>
            </w:r>
          </w:p>
        </w:tc>
        <w:tc>
          <w:tcPr>
            <w:tcW w:w="2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298043">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受理通知书复印件+ 申请材料清单</w:t>
            </w:r>
          </w:p>
        </w:tc>
      </w:tr>
      <w:tr w14:paraId="2A6A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87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EFA3F60">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推广服务</w:t>
            </w:r>
          </w:p>
        </w:tc>
        <w:tc>
          <w:tcPr>
            <w:tcW w:w="450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C4E5BC">
            <w:pPr>
              <w:pStyle w:val="62"/>
              <w:numPr>
                <w:ilvl w:val="0"/>
                <w:numId w:val="0"/>
              </w:numPr>
              <w:spacing w:line="360" w:lineRule="auto"/>
              <w:ind w:firstLine="0" w:firstLineChars="0"/>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曝光量≥</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00万次</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b w:val="0"/>
                <w:bCs w:val="0"/>
                <w:sz w:val="21"/>
                <w:szCs w:val="21"/>
                <w:lang w:val="en-US" w:eastAsia="zh-CN"/>
              </w:rPr>
              <w:t>市场反馈信息，推动企业产品持续改进相关证明文件等。</w:t>
            </w:r>
          </w:p>
        </w:tc>
        <w:tc>
          <w:tcPr>
            <w:tcW w:w="216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12A68C">
            <w:pPr>
              <w:pStyle w:val="62"/>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推广数据截图（平台官方 ）</w:t>
            </w:r>
          </w:p>
        </w:tc>
      </w:tr>
    </w:tbl>
    <w:p w14:paraId="496C8F21">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p>
    <w:p w14:paraId="01CD1A34">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p>
    <w:p w14:paraId="4C50E160">
      <w:pPr>
        <w:pStyle w:val="16"/>
        <w:rPr>
          <w:rFonts w:hint="eastAsia"/>
          <w:lang w:eastAsia="zh-CN"/>
        </w:rPr>
      </w:pPr>
    </w:p>
    <w:p w14:paraId="580B3615">
      <w:pPr>
        <w:pStyle w:val="16"/>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1"/>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1"/>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1"/>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zh-CN"/>
              </w:rPr>
              <w:t>有无带</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kern w:val="0"/>
                <w:sz w:val="21"/>
                <w:szCs w:val="21"/>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sz w:val="21"/>
                <w:szCs w:val="21"/>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有，</w:t>
            </w:r>
            <w:r>
              <w:rPr>
                <w:rFonts w:hint="eastAsia" w:asciiTheme="minorEastAsia" w:hAnsiTheme="minorEastAsia" w:eastAsiaTheme="minorEastAsia" w:cstheme="minorEastAsia"/>
                <w:bCs/>
                <w:color w:val="auto"/>
                <w:sz w:val="21"/>
                <w:szCs w:val="21"/>
                <w:lang w:val="en-US" w:eastAsia="zh-CN"/>
              </w:rPr>
              <w:t>带</w:t>
            </w:r>
            <w:r>
              <w:rPr>
                <w:rFonts w:hint="eastAsia" w:asciiTheme="minorEastAsia" w:hAnsiTheme="minorEastAsia" w:eastAsiaTheme="minorEastAsia" w:cstheme="minorEastAsia"/>
                <w:bCs/>
                <w:color w:val="auto"/>
                <w:sz w:val="21"/>
                <w:szCs w:val="21"/>
                <w:lang w:val="zh-CN" w:eastAsia="zh-CN"/>
              </w:rPr>
              <w:t>★</w:t>
            </w:r>
            <w:r>
              <w:rPr>
                <w:rFonts w:hint="eastAsia" w:asciiTheme="minorEastAsia" w:hAnsiTheme="minorEastAsia" w:eastAsiaTheme="minorEastAsia" w:cstheme="minorEastAsia"/>
                <w:bCs/>
                <w:color w:val="auto"/>
                <w:sz w:val="21"/>
                <w:szCs w:val="21"/>
                <w:lang w:val="en-US" w:eastAsia="zh-CN"/>
              </w:rPr>
              <w:t>的是实质性要求，供应商</w:t>
            </w:r>
            <w:r>
              <w:rPr>
                <w:rFonts w:hint="eastAsia" w:asciiTheme="minorEastAsia" w:hAnsiTheme="minorEastAsia" w:eastAsiaTheme="minorEastAsia" w:cstheme="minorEastAsia"/>
                <w:bCs/>
                <w:color w:val="auto"/>
                <w:sz w:val="21"/>
                <w:szCs w:val="21"/>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1"/>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1"/>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1"/>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lang w:val="zh-CN"/>
              </w:rPr>
            </w:pPr>
            <w:r>
              <w:rPr>
                <w:rFonts w:hint="eastAsia" w:asciiTheme="minorEastAsia" w:hAnsiTheme="minorEastAsia" w:eastAsiaTheme="minorEastAsia" w:cstheme="minorEastAsia"/>
                <w:bCs/>
                <w:color w:val="auto"/>
                <w:kern w:val="0"/>
                <w:sz w:val="21"/>
                <w:szCs w:val="21"/>
                <w:lang w:val="en-US" w:eastAsia="zh-CN"/>
              </w:rPr>
              <w:t>1、</w:t>
            </w:r>
            <w:r>
              <w:rPr>
                <w:rFonts w:hint="eastAsia" w:asciiTheme="minorEastAsia" w:hAnsiTheme="minorEastAsia" w:eastAsiaTheme="minorEastAsia" w:cstheme="minorEastAsia"/>
                <w:bCs/>
                <w:color w:val="auto"/>
                <w:kern w:val="0"/>
                <w:sz w:val="21"/>
                <w:szCs w:val="21"/>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1"/>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1"/>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1"/>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1"/>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1"/>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1"/>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1"/>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1"/>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1"/>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1"/>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1"/>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在2025</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10</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30</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1"/>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1"/>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16"/>
              <w:ind w:left="0" w:leftChars="0" w:firstLine="0" w:firstLineChars="0"/>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w:t>
            </w:r>
          </w:p>
        </w:tc>
        <w:tc>
          <w:tcPr>
            <w:tcW w:w="2435" w:type="dxa"/>
            <w:vAlign w:val="center"/>
          </w:tcPr>
          <w:p w14:paraId="7A201147">
            <w:pPr>
              <w:pStyle w:val="31"/>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1"/>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19</w:t>
            </w:r>
          </w:p>
        </w:tc>
        <w:tc>
          <w:tcPr>
            <w:tcW w:w="7655" w:type="dxa"/>
            <w:gridSpan w:val="2"/>
            <w:vAlign w:val="center"/>
          </w:tcPr>
          <w:p w14:paraId="2A3B5F61">
            <w:pPr>
              <w:pStyle w:val="31"/>
              <w:keepNext w:val="0"/>
              <w:keepLines w:val="0"/>
              <w:pageBreakBefore w:val="0"/>
              <w:kinsoku/>
              <w:wordWrap/>
              <w:overflowPunct/>
              <w:topLinePunct w:val="0"/>
              <w:bidi w:val="0"/>
              <w:adjustRightInd w:val="0"/>
              <w:snapToGrid w:val="0"/>
              <w:spacing w:line="360" w:lineRule="auto"/>
              <w:ind w:left="105" w:leftChars="50"/>
              <w:textAlignment w:val="auto"/>
              <w:rPr>
                <w:rFonts w:hint="eastAsia" w:eastAsia="宋体" w:asciiTheme="minorEastAsia" w:hAnsiTheme="minorEastAsia" w:cstheme="minorEastAsia"/>
                <w:bCs/>
                <w:color w:val="auto"/>
                <w:sz w:val="21"/>
                <w:szCs w:val="21"/>
                <w:lang w:val="zh-CN" w:eastAsia="zh-CN"/>
              </w:rPr>
            </w:pPr>
            <w:r>
              <w:rPr>
                <w:rFonts w:hint="eastAsia" w:asciiTheme="minorEastAsia" w:hAnsiTheme="minorEastAsia" w:eastAsiaTheme="minorEastAsia" w:cstheme="minorEastAsia"/>
                <w:bCs/>
                <w:color w:val="0000FF"/>
                <w:sz w:val="21"/>
                <w:szCs w:val="21"/>
              </w:rPr>
              <w:t>本项目</w:t>
            </w:r>
            <w:r>
              <w:rPr>
                <w:rFonts w:hint="eastAsia"/>
                <w:b w:val="0"/>
                <w:bCs w:val="0"/>
                <w:color w:val="0000FF"/>
                <w:sz w:val="21"/>
                <w:szCs w:val="21"/>
              </w:rPr>
              <w:t>对应的中小企业划分标准所属行业</w:t>
            </w:r>
            <w:r>
              <w:rPr>
                <w:rFonts w:hint="eastAsia" w:ascii="宋体" w:hAnsi="宋体" w:eastAsia="宋体" w:cs="宋体"/>
                <w:b w:val="0"/>
                <w:bCs w:val="0"/>
                <w:color w:val="0000FF"/>
                <w:sz w:val="21"/>
                <w:szCs w:val="21"/>
              </w:rPr>
              <w:t>：</w:t>
            </w:r>
            <w:r>
              <w:rPr>
                <w:rFonts w:hint="eastAsia" w:cs="宋体"/>
                <w:b w:val="0"/>
                <w:bCs w:val="0"/>
                <w:color w:val="0000FF"/>
                <w:sz w:val="21"/>
                <w:szCs w:val="21"/>
                <w:lang w:val="en-US" w:eastAsia="zh-CN"/>
              </w:rPr>
              <w:t>租赁和商务服务业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eastAsia="zh-CN"/>
        </w:rPr>
        <w:t>采购人</w:t>
      </w:r>
      <w:r>
        <w:rPr>
          <w:rFonts w:hint="eastAsia" w:asciiTheme="minorEastAsia" w:hAnsiTheme="minorEastAsia" w:eastAsiaTheme="minorEastAsia" w:cstheme="minorEastAsia"/>
          <w:bCs/>
          <w:color w:val="auto"/>
          <w:kern w:val="0"/>
          <w:sz w:val="21"/>
          <w:szCs w:val="21"/>
        </w:rPr>
        <w:t>”系指组织本次采购活动的</w:t>
      </w:r>
      <w:r>
        <w:rPr>
          <w:rFonts w:hint="eastAsia" w:asciiTheme="minorEastAsia" w:hAnsiTheme="minorEastAsia" w:eastAsiaTheme="minorEastAsia" w:cstheme="minorEastAsia"/>
          <w:bCs/>
          <w:color w:val="auto"/>
          <w:kern w:val="0"/>
          <w:sz w:val="21"/>
          <w:szCs w:val="21"/>
          <w:lang w:val="en-US" w:eastAsia="zh-CN"/>
        </w:rPr>
        <w:t>海口江东新区管理局</w:t>
      </w:r>
      <w:r>
        <w:rPr>
          <w:rFonts w:hint="eastAsia" w:asciiTheme="minorEastAsia" w:hAnsiTheme="minorEastAsia" w:eastAsiaTheme="minorEastAsia" w:cstheme="minorEastAsia"/>
          <w:bCs/>
          <w:color w:val="auto"/>
          <w:kern w:val="0"/>
          <w:sz w:val="21"/>
          <w:szCs w:val="21"/>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0000FF"/>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0000FF"/>
          <w:sz w:val="21"/>
          <w:szCs w:val="21"/>
          <w:lang w:eastAsia="zh-CN"/>
        </w:rPr>
        <w:t>（</w:t>
      </w:r>
      <w:r>
        <w:rPr>
          <w:rFonts w:hint="eastAsia" w:asciiTheme="minorEastAsia" w:hAnsiTheme="minorEastAsia" w:eastAsiaTheme="minorEastAsia" w:cstheme="minorEastAsia"/>
          <w:bCs/>
          <w:color w:val="0000FF"/>
          <w:sz w:val="21"/>
          <w:szCs w:val="21"/>
          <w:lang w:val="en-US" w:eastAsia="zh-CN"/>
        </w:rPr>
        <w:t>本项目专门面对中小企业，不再执行小微企业价格评审优惠。</w:t>
      </w:r>
      <w:r>
        <w:rPr>
          <w:rFonts w:hint="eastAsia" w:asciiTheme="minorEastAsia" w:hAnsiTheme="minorEastAsia" w:eastAsiaTheme="minorEastAsia" w:cstheme="minorEastAsia"/>
          <w:bCs/>
          <w:color w:val="0000FF"/>
          <w:sz w:val="21"/>
          <w:szCs w:val="21"/>
          <w:lang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rPr>
      </w:pPr>
      <w:r>
        <w:rPr>
          <w:rFonts w:hint="eastAsia" w:asciiTheme="minorEastAsia" w:hAnsiTheme="minorEastAsia" w:eastAsiaTheme="minorEastAsia" w:cstheme="minorEastAsia"/>
          <w:bCs/>
          <w:color w:val="auto"/>
          <w:sz w:val="21"/>
          <w:szCs w:val="21"/>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Cs/>
          <w:color w:val="0000FF"/>
          <w:sz w:val="21"/>
          <w:szCs w:val="21"/>
        </w:rPr>
        <w:t>6.1如果没有特别声明或要求，</w:t>
      </w:r>
      <w:r>
        <w:rPr>
          <w:rFonts w:hint="eastAsia" w:asciiTheme="minorEastAsia" w:hAnsiTheme="minorEastAsia" w:eastAsiaTheme="minorEastAsia" w:cstheme="minorEastAsia"/>
          <w:bCs/>
          <w:color w:val="0000FF"/>
          <w:sz w:val="21"/>
          <w:szCs w:val="21"/>
          <w:lang w:eastAsia="zh-CN"/>
        </w:rPr>
        <w:t>供应商</w:t>
      </w:r>
      <w:r>
        <w:rPr>
          <w:rFonts w:hint="eastAsia" w:asciiTheme="minorEastAsia" w:hAnsiTheme="minorEastAsia" w:eastAsiaTheme="minorEastAsia" w:cstheme="minorEastAsia"/>
          <w:bCs/>
          <w:color w:val="0000FF"/>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89120"/>
      <w:bookmarkStart w:id="40" w:name="_Toc430422414"/>
      <w:bookmarkStart w:id="41" w:name="_Toc430492127"/>
      <w:bookmarkStart w:id="42" w:name="_Toc415567498"/>
      <w:bookmarkStart w:id="43" w:name="_Toc430488852"/>
      <w:bookmarkStart w:id="44" w:name="_Toc430490613"/>
      <w:bookmarkStart w:id="45" w:name="_Toc430488645"/>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6825804"/>
      <w:bookmarkStart w:id="47" w:name="_Toc245888275"/>
      <w:bookmarkStart w:id="48" w:name="_Toc245887536"/>
      <w:bookmarkStart w:id="49" w:name="_Toc246826109"/>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08848971"/>
      <w:bookmarkStart w:id="51" w:name="_Toc217446041"/>
    </w:p>
    <w:p w14:paraId="3BA45443">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延长的供应商不足三家的，予以废标。不同意延长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16"/>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682365"/>
      <w:bookmarkStart w:id="56" w:name="_Toc183582228"/>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的供应商（以开标会场签到为准）不足三家的，予以废标，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数量满足三家或以上的，同一时间予以开标，开标后，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不足3家的，不得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（1）符合专业条件的供应商或者对采购文件作实质响应的供应商不足三家的；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152042351"/>
      <w:bookmarkStart w:id="61" w:name="_Toc152045575"/>
      <w:bookmarkStart w:id="62" w:name="_Toc247085733"/>
      <w:bookmarkStart w:id="63" w:name="_Toc246996219"/>
      <w:bookmarkStart w:id="64" w:name="_Toc246996962"/>
      <w:bookmarkStart w:id="65" w:name="_Toc296602462"/>
      <w:bookmarkStart w:id="66" w:name="_Toc179632593"/>
      <w:bookmarkStart w:id="67" w:name="_Toc296590983"/>
      <w:bookmarkStart w:id="68" w:name="_Toc144974543"/>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不得泄漏招标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46996963"/>
      <w:bookmarkStart w:id="70" w:name="_Toc152045576"/>
      <w:bookmarkStart w:id="71" w:name="_Toc296602463"/>
      <w:bookmarkStart w:id="72" w:name="_Toc247085734"/>
      <w:bookmarkStart w:id="73" w:name="_Toc152042352"/>
      <w:bookmarkStart w:id="74" w:name="_Toc144974544"/>
      <w:bookmarkStart w:id="75" w:name="_Toc179632594"/>
      <w:bookmarkStart w:id="76" w:name="_Toc246996220"/>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52042353"/>
      <w:bookmarkStart w:id="78" w:name="_Toc246996221"/>
      <w:bookmarkStart w:id="79" w:name="_Toc296602464"/>
      <w:bookmarkStart w:id="80" w:name="_Toc247085735"/>
      <w:bookmarkStart w:id="81" w:name="_Toc179632595"/>
      <w:bookmarkStart w:id="82" w:name="_Toc144974545"/>
      <w:bookmarkStart w:id="83" w:name="_Toc246996964"/>
      <w:bookmarkStart w:id="84" w:name="_Toc152045577"/>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247085736"/>
      <w:bookmarkStart w:id="86" w:name="_Toc152042354"/>
      <w:bookmarkStart w:id="87" w:name="_Toc246996222"/>
      <w:bookmarkStart w:id="88" w:name="_Toc152045578"/>
      <w:bookmarkStart w:id="89" w:name="_Toc296602465"/>
      <w:bookmarkStart w:id="90" w:name="_Toc246996965"/>
      <w:bookmarkStart w:id="91" w:name="_Toc179632596"/>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推荐排名第一且经采购人确认的供应商即为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第一章比选公告发布媒介</w:t>
      </w:r>
      <w:r>
        <w:rPr>
          <w:rFonts w:hint="eastAsia" w:asciiTheme="minorEastAsia" w:hAnsiTheme="minorEastAsia" w:eastAsiaTheme="minorEastAsia" w:cstheme="minorEastAsia"/>
          <w:bCs/>
          <w:color w:val="auto"/>
          <w:sz w:val="21"/>
          <w:szCs w:val="21"/>
        </w:rPr>
        <w:t>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的，依照第三章5.1款规定执行。</w:t>
      </w:r>
      <w:r>
        <w:rPr>
          <w:rFonts w:hint="eastAsia" w:ascii="宋体" w:hAnsi="宋体" w:cs="宋体"/>
          <w:bCs/>
          <w:color w:val="0000FF"/>
          <w:sz w:val="21"/>
          <w:szCs w:val="21"/>
          <w:lang w:eastAsia="zh-CN"/>
        </w:rPr>
        <w:t>（</w:t>
      </w:r>
      <w:r>
        <w:rPr>
          <w:rFonts w:hint="eastAsia" w:ascii="宋体" w:hAnsi="宋体" w:cs="宋体"/>
          <w:bCs/>
          <w:color w:val="0000FF"/>
          <w:sz w:val="21"/>
          <w:szCs w:val="21"/>
          <w:lang w:val="en-US" w:eastAsia="zh-CN"/>
        </w:rPr>
        <w:t>本项目专门面对中小企业，不再执行小微企业价格评审优惠政策</w:t>
      </w:r>
      <w:r>
        <w:rPr>
          <w:rFonts w:hint="eastAsia" w:ascii="宋体" w:hAnsi="宋体" w:cs="宋体"/>
          <w:bCs/>
          <w:color w:val="0000FF"/>
          <w:sz w:val="21"/>
          <w:szCs w:val="21"/>
          <w:lang w:eastAsia="zh-CN"/>
        </w:rPr>
        <w:t>）</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szCs w:val="21"/>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lang w:val="zh-CN"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lang w:val="en-US" w:eastAsia="zh-CN" w:bidi="ar-SA"/>
              </w:rPr>
            </w:pPr>
            <w:r>
              <w:rPr>
                <w:rFonts w:hint="eastAsia" w:ascii="宋体" w:hAnsi="宋体" w:cs="宋体"/>
                <w:bCs/>
                <w:color w:val="auto"/>
                <w:szCs w:val="21"/>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lang w:val="en-US" w:eastAsia="zh-CN" w:bidi="ar-SA"/>
              </w:rPr>
            </w:pPr>
            <w:r>
              <w:rPr>
                <w:rFonts w:hint="eastAsia" w:ascii="宋体" w:hAnsi="宋体" w:cs="宋体"/>
                <w:bCs/>
                <w:color w:val="auto"/>
                <w:szCs w:val="21"/>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lang w:val="en-US" w:eastAsia="zh-CN" w:bidi="ar-SA"/>
              </w:rPr>
            </w:pPr>
            <w:r>
              <w:rPr>
                <w:rFonts w:hint="eastAsia" w:ascii="宋体" w:hAnsi="宋体" w:cs="宋体"/>
                <w:bCs/>
                <w:color w:val="auto"/>
                <w:kern w:val="0"/>
                <w:szCs w:val="21"/>
                <w:lang w:val="zh-CN"/>
              </w:rPr>
              <w:t>提供</w:t>
            </w:r>
            <w:r>
              <w:rPr>
                <w:rFonts w:hint="eastAsia" w:ascii="宋体" w:hAnsi="宋体" w:cs="宋体"/>
                <w:bCs/>
                <w:color w:val="auto"/>
                <w:kern w:val="0"/>
                <w:szCs w:val="21"/>
                <w:lang w:val="en-US" w:eastAsia="zh-CN"/>
              </w:rPr>
              <w:t>比选公告发布时间后</w:t>
            </w:r>
            <w:r>
              <w:rPr>
                <w:rFonts w:hint="eastAsia" w:ascii="宋体" w:hAnsi="宋体" w:cs="宋体"/>
                <w:bCs/>
                <w:color w:val="auto"/>
                <w:kern w:val="0"/>
                <w:szCs w:val="21"/>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r w14:paraId="4246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FDB2C23">
            <w:pPr>
              <w:pageBreakBefore w:val="0"/>
              <w:wordWrap/>
              <w:topLinePunct w:val="0"/>
              <w:bidi w:val="0"/>
              <w:snapToGrid w:val="0"/>
              <w:spacing w:line="360" w:lineRule="auto"/>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4AB59E91">
            <w:pPr>
              <w:pStyle w:val="6"/>
              <w:snapToGrid w:val="0"/>
              <w:spacing w:line="360" w:lineRule="auto"/>
              <w:jc w:val="both"/>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中小企业</w:t>
            </w:r>
          </w:p>
        </w:tc>
        <w:tc>
          <w:tcPr>
            <w:tcW w:w="2130" w:type="dxa"/>
            <w:tcBorders>
              <w:top w:val="single" w:color="auto" w:sz="4" w:space="0"/>
              <w:left w:val="single" w:color="auto" w:sz="4" w:space="0"/>
              <w:bottom w:val="single" w:color="auto" w:sz="4" w:space="0"/>
              <w:right w:val="single" w:color="auto" w:sz="4" w:space="0"/>
            </w:tcBorders>
            <w:noWrap/>
            <w:vAlign w:val="center"/>
          </w:tcPr>
          <w:p w14:paraId="5DE7B70C">
            <w:pPr>
              <w:pStyle w:val="6"/>
              <w:snapToGrid w:val="0"/>
              <w:spacing w:line="360" w:lineRule="auto"/>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提供中小企业声明函</w:t>
            </w:r>
          </w:p>
        </w:tc>
        <w:tc>
          <w:tcPr>
            <w:tcW w:w="975" w:type="dxa"/>
            <w:tcBorders>
              <w:top w:val="single" w:color="auto" w:sz="4" w:space="0"/>
              <w:left w:val="single" w:color="auto" w:sz="4" w:space="0"/>
              <w:bottom w:val="single" w:color="auto" w:sz="4" w:space="0"/>
              <w:right w:val="single" w:color="auto" w:sz="4" w:space="0"/>
            </w:tcBorders>
            <w:noWrap/>
            <w:vAlign w:val="center"/>
          </w:tcPr>
          <w:p w14:paraId="646AFCC1">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rPr>
            </w:pPr>
          </w:p>
        </w:tc>
      </w:tr>
    </w:tbl>
    <w:p w14:paraId="6AF80D44">
      <w:pPr>
        <w:pStyle w:val="14"/>
        <w:rPr>
          <w:rFonts w:hint="eastAsia"/>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二</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lang w:val="en-US" w:eastAsia="zh-CN" w:bidi="ar-SA"/>
              </w:rPr>
            </w:pPr>
            <w:r>
              <w:rPr>
                <w:rFonts w:hint="eastAsia" w:asciiTheme="minorEastAsia" w:hAnsiTheme="minorEastAsia" w:cstheme="minorEastAsia"/>
                <w:bCs/>
                <w:color w:val="auto"/>
                <w:szCs w:val="21"/>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Cs w:val="21"/>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p>
        </w:tc>
      </w:tr>
    </w:tbl>
    <w:p w14:paraId="23A92507">
      <w:pPr>
        <w:pStyle w:val="16"/>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并列或者评审委员会</w:t>
      </w:r>
      <w:r>
        <w:rPr>
          <w:rFonts w:hint="eastAsia" w:asciiTheme="minorEastAsia" w:hAnsiTheme="minorEastAsia" w:eastAsiaTheme="minorEastAsia" w:cstheme="minorEastAsia"/>
          <w:bCs/>
          <w:color w:val="auto"/>
          <w:sz w:val="21"/>
          <w:szCs w:val="21"/>
        </w:rPr>
        <w:t>根据</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情况推荐</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排列顺序或予以授标建议。</w:t>
      </w:r>
    </w:p>
    <w:p w14:paraId="1C223A1D">
      <w:pPr>
        <w:pageBreakBefore w:val="0"/>
        <w:numPr>
          <w:ilvl w:val="0"/>
          <w:numId w:val="2"/>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80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rPr>
              <w:t>分</w:t>
            </w:r>
          </w:p>
        </w:tc>
      </w:tr>
      <w:bookmarkEnd w:id="96"/>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响应报价</w:t>
      </w:r>
      <w:r>
        <w:rPr>
          <w:rFonts w:hint="eastAsia" w:asciiTheme="minorEastAsia" w:hAnsiTheme="minorEastAsia" w:eastAsiaTheme="minorEastAsia" w:cstheme="minorEastAsia"/>
          <w:b/>
          <w:color w:val="auto"/>
          <w:sz w:val="21"/>
          <w:szCs w:val="21"/>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价格核准：</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对符合性审查合格的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明细进行复核，看其是否有计算错误，如有则按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价(指修正及价格扣除后的价格，下同)最低的为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价格评分=（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对小型、微型企业或者视同小型、微企业参与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的参照第三章5.1款的规定以扣除后的价格参与评审。</w:t>
      </w:r>
      <w:r>
        <w:rPr>
          <w:rFonts w:hint="eastAsia" w:ascii="宋体" w:hAnsi="宋体" w:cs="宋体"/>
          <w:bCs/>
          <w:color w:val="0000FF"/>
          <w:sz w:val="21"/>
          <w:szCs w:val="21"/>
          <w:lang w:eastAsia="zh-CN"/>
        </w:rPr>
        <w:t>（</w:t>
      </w:r>
      <w:r>
        <w:rPr>
          <w:rFonts w:hint="eastAsia" w:ascii="宋体" w:hAnsi="宋体" w:cs="宋体"/>
          <w:bCs/>
          <w:color w:val="0000FF"/>
          <w:sz w:val="21"/>
          <w:szCs w:val="21"/>
          <w:lang w:val="en-US" w:eastAsia="zh-CN"/>
        </w:rPr>
        <w:t>本项目专门面对中小企业，不再执行小微企业价格评审优惠政策</w:t>
      </w:r>
      <w:r>
        <w:rPr>
          <w:rFonts w:hint="eastAsia" w:ascii="宋体" w:hAnsi="宋体" w:cs="宋体"/>
          <w:bCs/>
          <w:color w:val="0000FF"/>
          <w:sz w:val="21"/>
          <w:szCs w:val="21"/>
          <w:lang w:eastAsia="zh-CN"/>
        </w:rPr>
        <w:t>）</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四）</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65F1149E">
            <w:pPr>
              <w:spacing w:line="240" w:lineRule="auto"/>
              <w:jc w:val="center"/>
              <w:rPr>
                <w:rFonts w:ascii="宋体" w:hAnsi="宋体" w:cs="宋体"/>
                <w:b/>
                <w:sz w:val="20"/>
                <w:szCs w:val="20"/>
              </w:rPr>
            </w:pPr>
            <w:r>
              <w:rPr>
                <w:rFonts w:hint="eastAsia" w:ascii="宋体" w:hAnsi="宋体" w:cs="宋体"/>
                <w:b/>
                <w:sz w:val="20"/>
                <w:szCs w:val="20"/>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7FC2E23">
            <w:pPr>
              <w:spacing w:line="240" w:lineRule="auto"/>
              <w:jc w:val="center"/>
              <w:rPr>
                <w:rFonts w:ascii="宋体" w:hAnsi="宋体" w:cs="宋体"/>
                <w:b/>
                <w:sz w:val="20"/>
                <w:szCs w:val="20"/>
              </w:rPr>
            </w:pPr>
            <w:r>
              <w:rPr>
                <w:rFonts w:hint="eastAsia" w:ascii="宋体" w:hAnsi="宋体" w:cs="宋体"/>
                <w:b/>
                <w:sz w:val="20"/>
                <w:szCs w:val="20"/>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EB24A20">
            <w:pPr>
              <w:spacing w:line="240" w:lineRule="auto"/>
              <w:jc w:val="center"/>
              <w:rPr>
                <w:rFonts w:ascii="宋体" w:hAnsi="宋体" w:cs="宋体"/>
                <w:b/>
                <w:sz w:val="20"/>
                <w:szCs w:val="20"/>
              </w:rPr>
            </w:pPr>
            <w:r>
              <w:rPr>
                <w:rFonts w:hint="eastAsia" w:ascii="宋体" w:hAnsi="宋体" w:cs="宋体"/>
                <w:b/>
                <w:sz w:val="20"/>
                <w:szCs w:val="20"/>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C8DA8BF">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分值构成</w:t>
            </w:r>
          </w:p>
          <w:p w14:paraId="5C5B0CA7">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0"/>
                <w:szCs w:val="20"/>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39E44A0">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价格评审</w:t>
            </w:r>
            <w:r>
              <w:rPr>
                <w:rFonts w:hint="eastAsia" w:asciiTheme="minorEastAsia" w:hAnsiTheme="minorEastAsia" w:eastAsiaTheme="minorEastAsia" w:cstheme="minorEastAsia"/>
                <w:sz w:val="18"/>
                <w:szCs w:val="18"/>
                <w:u w:val="single"/>
                <w:lang w:val="en-US" w:eastAsia="zh-CN"/>
              </w:rPr>
              <w:t>20</w:t>
            </w:r>
            <w:r>
              <w:rPr>
                <w:rFonts w:hint="eastAsia" w:asciiTheme="minorEastAsia" w:hAnsiTheme="minorEastAsia" w:eastAsiaTheme="minorEastAsia" w:cstheme="minorEastAsia"/>
                <w:sz w:val="18"/>
                <w:szCs w:val="18"/>
              </w:rPr>
              <w:t>分</w:t>
            </w:r>
          </w:p>
          <w:p w14:paraId="312F446C">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技术部分</w:t>
            </w:r>
            <w:r>
              <w:rPr>
                <w:rFonts w:hint="eastAsia" w:asciiTheme="minorEastAsia" w:hAnsiTheme="minorEastAsia" w:eastAsiaTheme="minorEastAsia" w:cstheme="minorEastAsia"/>
                <w:sz w:val="18"/>
                <w:szCs w:val="18"/>
                <w:u w:val="single"/>
                <w:lang w:val="en-US" w:eastAsia="zh-CN"/>
              </w:rPr>
              <w:t>60</w:t>
            </w:r>
            <w:r>
              <w:rPr>
                <w:rFonts w:hint="eastAsia" w:asciiTheme="minorEastAsia" w:hAnsiTheme="minorEastAsia" w:eastAsiaTheme="minorEastAsia" w:cstheme="minorEastAsia"/>
                <w:sz w:val="18"/>
                <w:szCs w:val="18"/>
              </w:rPr>
              <w:t>分</w:t>
            </w:r>
          </w:p>
          <w:p w14:paraId="2F7D6D29">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rPr>
              <w:t>商务部分</w:t>
            </w:r>
            <w:r>
              <w:rPr>
                <w:rFonts w:hint="eastAsia" w:asciiTheme="minorEastAsia" w:hAnsiTheme="minorEastAsia" w:eastAsiaTheme="minorEastAsia" w:cstheme="minorEastAsia"/>
                <w:sz w:val="18"/>
                <w:szCs w:val="18"/>
                <w:u w:val="single"/>
                <w:lang w:val="en-US" w:eastAsia="zh-CN"/>
              </w:rPr>
              <w:t>20</w:t>
            </w:r>
            <w:r>
              <w:rPr>
                <w:rFonts w:hint="eastAsia" w:asciiTheme="minorEastAsia" w:hAnsiTheme="minorEastAsia" w:eastAsiaTheme="minorEastAsia" w:cstheme="minorEastAsia"/>
                <w:sz w:val="18"/>
                <w:szCs w:val="18"/>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4878D48B">
            <w:pPr>
              <w:spacing w:line="240"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价格评审</w:t>
            </w:r>
          </w:p>
          <w:p w14:paraId="525D2805">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20</w:t>
            </w:r>
            <w:r>
              <w:rPr>
                <w:rFonts w:hint="eastAsia" w:asciiTheme="minorEastAsia" w:hAnsiTheme="minorEastAsia" w:eastAsiaTheme="minorEastAsia" w:cstheme="minorEastAsia"/>
                <w:sz w:val="20"/>
                <w:szCs w:val="20"/>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2B8F411">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得分以满分</w:t>
            </w:r>
            <w:r>
              <w:rPr>
                <w:rFonts w:hint="eastAsia" w:asciiTheme="minorEastAsia" w:hAnsiTheme="minorEastAsia" w:eastAsiaTheme="minorEastAsia" w:cstheme="minorEastAsia"/>
                <w:sz w:val="18"/>
                <w:szCs w:val="18"/>
                <w:u w:val="single"/>
                <w:lang w:val="en-US" w:eastAsia="zh-CN"/>
              </w:rPr>
              <w:t>XX</w:t>
            </w:r>
            <w:r>
              <w:rPr>
                <w:rFonts w:hint="eastAsia" w:asciiTheme="minorEastAsia" w:hAnsiTheme="minorEastAsia" w:eastAsiaTheme="minorEastAsia" w:cstheme="minorEastAsia"/>
                <w:sz w:val="18"/>
                <w:szCs w:val="18"/>
                <w:u w:val="single"/>
              </w:rPr>
              <w:t>分</w:t>
            </w:r>
            <w:r>
              <w:rPr>
                <w:rFonts w:hint="eastAsia" w:asciiTheme="minorEastAsia" w:hAnsiTheme="minorEastAsia" w:eastAsiaTheme="minorEastAsia" w:cstheme="minorEastAsia"/>
                <w:sz w:val="18"/>
                <w:szCs w:val="18"/>
              </w:rPr>
              <w:t>计算。满足招标文件要求且</w:t>
            </w: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最低的</w:t>
            </w: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为</w:t>
            </w:r>
            <w:r>
              <w:rPr>
                <w:rFonts w:hint="eastAsia" w:asciiTheme="minorEastAsia" w:hAnsiTheme="minorEastAsia" w:eastAsiaTheme="minorEastAsia" w:cstheme="minorEastAsia"/>
                <w:sz w:val="18"/>
                <w:szCs w:val="18"/>
                <w:lang w:eastAsia="zh-CN"/>
              </w:rPr>
              <w:t>评审</w:t>
            </w:r>
            <w:r>
              <w:rPr>
                <w:rFonts w:hint="eastAsia" w:asciiTheme="minorEastAsia" w:hAnsiTheme="minorEastAsia" w:eastAsiaTheme="minorEastAsia" w:cstheme="minorEastAsia"/>
                <w:sz w:val="18"/>
                <w:szCs w:val="18"/>
              </w:rPr>
              <w:t>基准价，其价格分为满分。其他</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的价格分统一按照下列公式计算：</w:t>
            </w:r>
          </w:p>
          <w:p w14:paraId="71A04C37">
            <w:pPr>
              <w:spacing w:line="240" w:lineRule="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得分=（</w:t>
            </w:r>
            <w:r>
              <w:rPr>
                <w:rFonts w:hint="eastAsia" w:asciiTheme="minorEastAsia" w:hAnsiTheme="minorEastAsia" w:eastAsiaTheme="minorEastAsia" w:cstheme="minorEastAsia"/>
                <w:sz w:val="18"/>
                <w:szCs w:val="18"/>
                <w:lang w:eastAsia="zh-CN"/>
              </w:rPr>
              <w:t>评审</w:t>
            </w:r>
            <w:r>
              <w:rPr>
                <w:rFonts w:hint="eastAsia" w:asciiTheme="minorEastAsia" w:hAnsiTheme="minorEastAsia" w:eastAsiaTheme="minorEastAsia" w:cstheme="minorEastAsia"/>
                <w:sz w:val="18"/>
                <w:szCs w:val="18"/>
              </w:rPr>
              <w:t>基准价/</w:t>
            </w:r>
            <w:r>
              <w:rPr>
                <w:rFonts w:hint="eastAsia" w:asciiTheme="minorEastAsia" w:hAnsiTheme="minorEastAsia" w:eastAsiaTheme="minorEastAsia" w:cstheme="minorEastAsia"/>
                <w:sz w:val="18"/>
                <w:szCs w:val="18"/>
                <w:lang w:eastAsia="zh-CN"/>
              </w:rPr>
              <w:t>响应报价</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XX</w:t>
            </w:r>
          </w:p>
          <w:p w14:paraId="003B06E9">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18"/>
                <w:szCs w:val="18"/>
              </w:rPr>
              <w:t>财政部印发财政部令87号《政府采购货物和服务招标投标管理办法》</w:t>
            </w:r>
            <w:r>
              <w:rPr>
                <w:rFonts w:hint="eastAsia" w:asciiTheme="minorEastAsia" w:hAnsiTheme="minorEastAsia" w:eastAsiaTheme="minorEastAsia" w:cstheme="minorEastAsia"/>
                <w:sz w:val="18"/>
                <w:szCs w:val="18"/>
                <w:lang w:val="en-US" w:eastAsia="zh-CN"/>
              </w:rPr>
              <w:t>第六十条</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评审委员会</w:t>
            </w:r>
            <w:r>
              <w:rPr>
                <w:rFonts w:hint="eastAsia" w:asciiTheme="minorEastAsia" w:hAnsiTheme="minorEastAsia" w:eastAsiaTheme="minorEastAsia" w:cstheme="minorEastAsia"/>
                <w:sz w:val="18"/>
                <w:szCs w:val="18"/>
              </w:rPr>
              <w:t>认为</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的报价明显低于其他通过符合性审查</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的报价，有可能影响服务质量或者不能诚信履约的，应当要求其在</w:t>
            </w:r>
            <w:r>
              <w:rPr>
                <w:rFonts w:hint="eastAsia" w:asciiTheme="minorEastAsia" w:hAnsiTheme="minorEastAsia" w:eastAsiaTheme="minorEastAsia" w:cstheme="minorEastAsia"/>
                <w:sz w:val="18"/>
                <w:szCs w:val="18"/>
                <w:lang w:eastAsia="zh-CN"/>
              </w:rPr>
              <w:t>评审</w:t>
            </w:r>
            <w:r>
              <w:rPr>
                <w:rFonts w:hint="eastAsia" w:asciiTheme="minorEastAsia" w:hAnsiTheme="minorEastAsia" w:eastAsiaTheme="minorEastAsia" w:cstheme="minorEastAsia"/>
                <w:sz w:val="18"/>
                <w:szCs w:val="18"/>
              </w:rPr>
              <w:t>现场合理的时间内提供书面说明，必要时提交相关证明材料；</w:t>
            </w:r>
            <w:r>
              <w:rPr>
                <w:rFonts w:hint="eastAsia" w:asciiTheme="minorEastAsia" w:hAnsiTheme="minorEastAsia" w:eastAsiaTheme="minorEastAsia" w:cstheme="minorEastAsia"/>
                <w:sz w:val="18"/>
                <w:szCs w:val="18"/>
                <w:lang w:eastAsia="zh-CN"/>
              </w:rPr>
              <w:t>供应商</w:t>
            </w:r>
            <w:r>
              <w:rPr>
                <w:rFonts w:hint="eastAsia" w:asciiTheme="minorEastAsia" w:hAnsiTheme="minorEastAsia" w:eastAsiaTheme="minorEastAsia" w:cstheme="minorEastAsia"/>
                <w:sz w:val="18"/>
                <w:szCs w:val="18"/>
              </w:rPr>
              <w:t>不能证明其报价合理性的，</w:t>
            </w:r>
            <w:r>
              <w:rPr>
                <w:rFonts w:hint="eastAsia" w:asciiTheme="minorEastAsia" w:hAnsiTheme="minorEastAsia" w:eastAsiaTheme="minorEastAsia" w:cstheme="minorEastAsia"/>
                <w:sz w:val="18"/>
                <w:szCs w:val="18"/>
                <w:lang w:eastAsia="zh-CN"/>
              </w:rPr>
              <w:t>评审委员会</w:t>
            </w:r>
            <w:r>
              <w:rPr>
                <w:rFonts w:hint="eastAsia" w:asciiTheme="minorEastAsia" w:hAnsiTheme="minorEastAsia" w:eastAsiaTheme="minorEastAsia" w:cstheme="minorEastAsia"/>
                <w:sz w:val="18"/>
                <w:szCs w:val="18"/>
              </w:rPr>
              <w:t>应当将其作为</w:t>
            </w:r>
            <w:r>
              <w:rPr>
                <w:rFonts w:hint="eastAsia" w:asciiTheme="minorEastAsia" w:hAnsiTheme="minorEastAsia" w:eastAsiaTheme="minorEastAsia" w:cstheme="minorEastAsia"/>
                <w:sz w:val="18"/>
                <w:szCs w:val="18"/>
                <w:lang w:eastAsia="zh-CN"/>
              </w:rPr>
              <w:t>无效响应</w:t>
            </w:r>
            <w:r>
              <w:rPr>
                <w:rFonts w:hint="eastAsia" w:asciiTheme="minorEastAsia" w:hAnsiTheme="minorEastAsia" w:eastAsiaTheme="minorEastAsia" w:cstheme="minorEastAsia"/>
                <w:sz w:val="18"/>
                <w:szCs w:val="18"/>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tcBorders>
              <w:top w:val="single" w:color="auto" w:sz="4" w:space="0"/>
              <w:left w:val="single" w:color="auto" w:sz="4" w:space="0"/>
              <w:right w:val="single" w:color="auto" w:sz="4" w:space="0"/>
            </w:tcBorders>
            <w:noWrap/>
            <w:vAlign w:val="center"/>
          </w:tcPr>
          <w:p w14:paraId="20E7F52D">
            <w:pPr>
              <w:spacing w:line="240" w:lineRule="auto"/>
              <w:jc w:val="center"/>
              <w:rPr>
                <w:rFonts w:ascii="宋体" w:hAnsi="宋体" w:cs="宋体"/>
                <w:sz w:val="20"/>
                <w:szCs w:val="20"/>
              </w:rPr>
            </w:pPr>
            <w:r>
              <w:rPr>
                <w:rFonts w:hint="eastAsia" w:ascii="宋体" w:hAnsi="宋体" w:cs="宋体"/>
                <w:sz w:val="20"/>
                <w:szCs w:val="20"/>
              </w:rPr>
              <w:t>技术部分</w:t>
            </w:r>
          </w:p>
          <w:p w14:paraId="04FEA14E">
            <w:pPr>
              <w:spacing w:line="240" w:lineRule="auto"/>
              <w:jc w:val="center"/>
              <w:rPr>
                <w:rFonts w:ascii="宋体" w:hAnsi="宋体" w:cs="宋体"/>
                <w:sz w:val="20"/>
                <w:szCs w:val="20"/>
              </w:rPr>
            </w:pPr>
            <w:r>
              <w:rPr>
                <w:rFonts w:hint="eastAsia" w:ascii="宋体" w:hAnsi="宋体" w:cs="宋体"/>
                <w:sz w:val="20"/>
                <w:szCs w:val="20"/>
              </w:rPr>
              <w:t>（</w:t>
            </w:r>
            <w:r>
              <w:rPr>
                <w:rFonts w:hint="eastAsia" w:ascii="宋体" w:hAnsi="宋体" w:cs="宋体"/>
                <w:sz w:val="20"/>
                <w:szCs w:val="20"/>
                <w:lang w:val="en-US" w:eastAsia="zh-CN"/>
              </w:rPr>
              <w:t>60</w:t>
            </w:r>
            <w:r>
              <w:rPr>
                <w:rFonts w:hint="eastAsia" w:ascii="宋体" w:hAnsi="宋体" w:cs="宋体"/>
                <w:sz w:val="20"/>
                <w:szCs w:val="20"/>
              </w:rPr>
              <w:t>分）</w:t>
            </w:r>
          </w:p>
          <w:p w14:paraId="5660CE8B">
            <w:pPr>
              <w:spacing w:line="240" w:lineRule="auto"/>
              <w:jc w:val="center"/>
              <w:rPr>
                <w:rFonts w:ascii="宋体" w:hAnsi="宋体" w:cs="宋体"/>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690D3B4B">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项目的理解（10分）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1B8F219">
            <w:p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供应商对本项目的理解应包括但不限于对江东新区知识产权服务现状的了解，以及结合区域产业特色，说明项目实施的必要性：</w:t>
            </w:r>
          </w:p>
          <w:p w14:paraId="256444C8">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kern w:val="0"/>
                <w:sz w:val="21"/>
                <w:szCs w:val="21"/>
                <w:lang w:val="en-US" w:eastAsia="zh-CN"/>
              </w:rPr>
              <w:t>对项目理解全面、深刻，很好的阐述了项目实施的必要性，得8-10分；</w:t>
            </w:r>
          </w:p>
          <w:p w14:paraId="21A2A4A5">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2、对项目理解较为全面、深刻，较好阐述了项目实施的必要性，得4-7分；</w:t>
            </w:r>
          </w:p>
          <w:p w14:paraId="1920087D">
            <w:pPr>
              <w:numPr>
                <w:ilvl w:val="0"/>
                <w:numId w:val="0"/>
              </w:numPr>
              <w:spacing w:line="240" w:lineRule="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3、对项目理解不全面、不到位，没有阐述项目实施的必要性，得0-3分</w:t>
            </w:r>
          </w:p>
        </w:tc>
      </w:tr>
      <w:tr w14:paraId="77E3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noWrap/>
            <w:vAlign w:val="center"/>
          </w:tcPr>
          <w:p w14:paraId="14EEBC3A">
            <w:pPr>
              <w:spacing w:line="240" w:lineRule="auto"/>
              <w:jc w:val="center"/>
              <w:rPr>
                <w:rFonts w:ascii="宋体" w:hAnsi="宋体" w:cs="宋体"/>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02D333EA">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服务方案（40分）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DE9D97B">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供应商应编制符合本项目采购需求的服务方案，包括但是不限于服务内容、工作方法、工作计划安排、团队人员配置、创新与增值服务等：</w:t>
            </w:r>
          </w:p>
          <w:p w14:paraId="0695F702">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kern w:val="0"/>
                <w:sz w:val="21"/>
                <w:szCs w:val="21"/>
                <w:lang w:val="en-US" w:eastAsia="zh-CN"/>
              </w:rPr>
              <w:t>服务内容全面、工作方法科学且可行性高、工作计划安排合理、团队人员配置完全符合采购人要求，提供创新与增值服务，得31-40分；</w:t>
            </w:r>
          </w:p>
          <w:p w14:paraId="02602629">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2、服务内容较为全面、工作方法较科学且可行性较高、工作计划安排较为合理、团队人员配置符合采购人要求，提供创新与增值服务，得16-30分；</w:t>
            </w:r>
          </w:p>
          <w:p w14:paraId="56381C7D">
            <w:pPr>
              <w:numPr>
                <w:ilvl w:val="0"/>
                <w:numId w:val="0"/>
              </w:numPr>
              <w:spacing w:line="240" w:lineRule="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3、服务内容有缺失、工作方法不科学且可行性较差、工作计划安排不合理、团队人员配置无法采购人要求，无法提供创新与增值服务，得0-15分</w:t>
            </w:r>
          </w:p>
        </w:tc>
      </w:tr>
      <w:tr w14:paraId="36AC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bottom w:val="single" w:color="auto" w:sz="4" w:space="0"/>
              <w:right w:val="single" w:color="auto" w:sz="4" w:space="0"/>
            </w:tcBorders>
            <w:noWrap/>
            <w:vAlign w:val="center"/>
          </w:tcPr>
          <w:p w14:paraId="79754DE7">
            <w:pPr>
              <w:spacing w:line="240" w:lineRule="auto"/>
              <w:jc w:val="center"/>
              <w:rPr>
                <w:rFonts w:ascii="宋体" w:hAnsi="宋体" w:cs="宋体"/>
                <w:sz w:val="20"/>
                <w:szCs w:val="20"/>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1F2712F0">
            <w:pPr>
              <w:spacing w:line="24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服务质量保障措施（10分）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4CF8D8A2">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供应商应编制符合本项目的质量保障措施措施，包括但不限于质量目标、质量保障体系、质量控制措施、质量监测及反馈机制、质量风险控制等：</w:t>
            </w:r>
          </w:p>
          <w:p w14:paraId="64D6390B">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bidi="ar-SA"/>
              </w:rPr>
              <w:t>1、</w:t>
            </w:r>
            <w:r>
              <w:rPr>
                <w:rFonts w:hint="eastAsia" w:asciiTheme="minorEastAsia" w:hAnsiTheme="minorEastAsia" w:eastAsiaTheme="minorEastAsia" w:cstheme="minorEastAsia"/>
                <w:kern w:val="0"/>
                <w:sz w:val="21"/>
                <w:szCs w:val="21"/>
                <w:lang w:val="en-US" w:eastAsia="zh-CN"/>
              </w:rPr>
              <w:t>质量保障措施全面、科学合理且可操作性高，得8-10分；</w:t>
            </w:r>
          </w:p>
          <w:p w14:paraId="4C5CB256">
            <w:pPr>
              <w:numPr>
                <w:ilvl w:val="0"/>
                <w:numId w:val="0"/>
              </w:numPr>
              <w:spacing w:line="240" w:lineRule="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2、质量保障措施较为全面、科学合理且可操作性较高，得4-7分；</w:t>
            </w:r>
          </w:p>
          <w:p w14:paraId="4D55A661">
            <w:pPr>
              <w:numPr>
                <w:ilvl w:val="0"/>
                <w:numId w:val="0"/>
              </w:numPr>
              <w:spacing w:line="240" w:lineRule="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3、质量保障措施缺失，不合理且可操作性较差，得0-3分。</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63" w:type="dxa"/>
            <w:tcBorders>
              <w:top w:val="single" w:color="auto" w:sz="4" w:space="0"/>
              <w:left w:val="single" w:color="auto" w:sz="4" w:space="0"/>
              <w:right w:val="single" w:color="auto" w:sz="4" w:space="0"/>
            </w:tcBorders>
            <w:noWrap/>
            <w:vAlign w:val="center"/>
          </w:tcPr>
          <w:p w14:paraId="257BF93D">
            <w:pPr>
              <w:spacing w:line="240" w:lineRule="auto"/>
              <w:jc w:val="center"/>
              <w:rPr>
                <w:rFonts w:ascii="宋体" w:hAnsi="宋体" w:cs="宋体"/>
                <w:sz w:val="20"/>
                <w:szCs w:val="20"/>
              </w:rPr>
            </w:pPr>
            <w:r>
              <w:rPr>
                <w:rFonts w:hint="eastAsia" w:ascii="宋体" w:hAnsi="宋体" w:cs="宋体"/>
                <w:sz w:val="20"/>
                <w:szCs w:val="20"/>
              </w:rPr>
              <w:t>商务部分</w:t>
            </w:r>
          </w:p>
          <w:p w14:paraId="329428E2">
            <w:pPr>
              <w:spacing w:line="240" w:lineRule="auto"/>
              <w:jc w:val="center"/>
              <w:rPr>
                <w:rFonts w:ascii="宋体" w:hAnsi="宋体" w:cs="宋体"/>
                <w:sz w:val="20"/>
                <w:szCs w:val="20"/>
              </w:rPr>
            </w:pPr>
            <w:r>
              <w:rPr>
                <w:rFonts w:hint="eastAsia" w:ascii="宋体" w:hAnsi="宋体" w:cs="宋体"/>
                <w:sz w:val="20"/>
                <w:szCs w:val="20"/>
              </w:rPr>
              <w:t>（</w:t>
            </w:r>
            <w:r>
              <w:rPr>
                <w:rFonts w:hint="eastAsia" w:ascii="宋体" w:hAnsi="宋体" w:cs="宋体"/>
                <w:sz w:val="20"/>
                <w:szCs w:val="20"/>
                <w:lang w:val="en-US" w:eastAsia="zh-CN"/>
              </w:rPr>
              <w:t>20</w:t>
            </w:r>
            <w:r>
              <w:rPr>
                <w:rFonts w:hint="eastAsia" w:ascii="宋体" w:hAnsi="宋体" w:cs="宋体"/>
                <w:sz w:val="20"/>
                <w:szCs w:val="20"/>
              </w:rPr>
              <w:t>分）</w:t>
            </w:r>
          </w:p>
        </w:tc>
        <w:tc>
          <w:tcPr>
            <w:tcW w:w="2300" w:type="dxa"/>
            <w:tcBorders>
              <w:top w:val="single" w:color="auto" w:sz="4" w:space="0"/>
              <w:left w:val="single" w:color="auto" w:sz="4" w:space="0"/>
              <w:right w:val="single" w:color="auto" w:sz="4" w:space="0"/>
            </w:tcBorders>
            <w:noWrap/>
            <w:vAlign w:val="center"/>
          </w:tcPr>
          <w:p w14:paraId="2D5A1B10">
            <w:pPr>
              <w:spacing w:line="240" w:lineRule="auto"/>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项目经验（20分）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6BC314AC">
            <w:p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供应商自2020年1月1日起，具有相关知识产权服务经验，提供一个业绩得5分，本小项最高得20分。</w:t>
            </w:r>
          </w:p>
          <w:p w14:paraId="7454F97C">
            <w:pPr>
              <w:spacing w:line="24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证明材料：提供合同关键页或中标通知书复印件加盖公章。</w:t>
            </w:r>
          </w:p>
        </w:tc>
      </w:tr>
    </w:tbl>
    <w:p w14:paraId="0005F4CF">
      <w:pPr>
        <w:pStyle w:val="16"/>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rPr>
        <w:sectPr>
          <w:pgSz w:w="11906" w:h="16838"/>
          <w:pgMar w:top="1440" w:right="1800" w:bottom="1440" w:left="1800" w:header="794" w:footer="992" w:gutter="0"/>
          <w:pgNumType w:fmt="decimal"/>
          <w:cols w:space="425" w:num="1"/>
          <w:docGrid w:type="lines" w:linePitch="312" w:charSpace="0"/>
        </w:sectPr>
      </w:pPr>
    </w:p>
    <w:p w14:paraId="7EA08E89">
      <w:pPr>
        <w:pStyle w:val="16"/>
        <w:rPr>
          <w:rFonts w:hint="eastAsia"/>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06C709B5">
      <w:pPr>
        <w:pageBreakBefore w:val="0"/>
        <w:wordWrap/>
        <w:topLinePunct w:val="0"/>
        <w:bidi w:val="0"/>
        <w:adjustRightInd w:val="0"/>
        <w:snapToGrid w:val="0"/>
        <w:spacing w:line="360" w:lineRule="auto"/>
        <w:jc w:val="center"/>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0AE7AB11">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Cs/>
          <w:color w:val="auto"/>
          <w:sz w:val="21"/>
          <w:szCs w:val="21"/>
        </w:rPr>
      </w:pPr>
    </w:p>
    <w:p w14:paraId="4BDB3E07">
      <w:pPr>
        <w:pStyle w:val="3"/>
        <w:keepNext w:val="0"/>
        <w:keepLines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江东新区知识产权公共服务窗口</w:t>
      </w:r>
    </w:p>
    <w:p w14:paraId="3DBC3D5F">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p>
    <w:p w14:paraId="572EF6CF">
      <w:pPr>
        <w:pStyle w:val="3"/>
        <w:keepNext w:val="0"/>
        <w:keepLines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val="0"/>
          <w:bCs w:val="0"/>
          <w:kern w:val="2"/>
          <w:sz w:val="21"/>
          <w:szCs w:val="21"/>
        </w:rPr>
      </w:pPr>
      <w:r>
        <w:rPr>
          <w:rFonts w:hint="eastAsia" w:ascii="宋体" w:hAnsi="宋体" w:eastAsia="宋体" w:cs="宋体"/>
          <w:sz w:val="21"/>
          <w:szCs w:val="21"/>
        </w:rPr>
        <w:t>功能拓展延伸及服务能力提升合作协议</w:t>
      </w:r>
    </w:p>
    <w:p w14:paraId="42E3FDA5">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p>
    <w:p w14:paraId="58B470F1">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kern w:val="2"/>
          <w:sz w:val="21"/>
          <w:szCs w:val="21"/>
        </w:rPr>
      </w:pPr>
    </w:p>
    <w:p w14:paraId="2B912BA1">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kern w:val="2"/>
          <w:sz w:val="21"/>
          <w:szCs w:val="21"/>
        </w:rPr>
      </w:pPr>
    </w:p>
    <w:p w14:paraId="7638D7FF">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kern w:val="2"/>
          <w:sz w:val="21"/>
          <w:szCs w:val="21"/>
        </w:rPr>
      </w:pPr>
    </w:p>
    <w:p w14:paraId="0D5969C5">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kern w:val="2"/>
          <w:sz w:val="21"/>
          <w:szCs w:val="21"/>
        </w:rPr>
      </w:pPr>
    </w:p>
    <w:p w14:paraId="4C223A81">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kern w:val="2"/>
          <w:sz w:val="21"/>
          <w:szCs w:val="21"/>
        </w:rPr>
      </w:pPr>
    </w:p>
    <w:p w14:paraId="590494EF">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kern w:val="2"/>
          <w:sz w:val="21"/>
          <w:szCs w:val="21"/>
        </w:rPr>
      </w:pPr>
    </w:p>
    <w:p w14:paraId="378450F5">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二0二五年制</w:t>
      </w:r>
    </w:p>
    <w:p w14:paraId="0197A445">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rPr>
      </w:pPr>
    </w:p>
    <w:p w14:paraId="70CA31BA">
      <w:pPr>
        <w:keepNext w:val="0"/>
        <w:keepLines w:val="0"/>
        <w:pageBreakBefore/>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rPr>
        <w:sectPr>
          <w:footerReference r:id="rId10" w:type="default"/>
          <w:pgSz w:w="11906" w:h="16838"/>
          <w:pgMar w:top="1440" w:right="1440" w:bottom="1440" w:left="1440" w:header="708" w:footer="708" w:gutter="0"/>
          <w:pgNumType w:fmt="decimal" w:start="1"/>
          <w:cols w:space="720" w:num="1"/>
          <w:docGrid w:linePitch="360" w:charSpace="0"/>
        </w:sectPr>
      </w:pPr>
    </w:p>
    <w:p w14:paraId="01281135">
      <w:pPr>
        <w:keepNext w:val="0"/>
        <w:keepLines w:val="0"/>
        <w:pageBreakBefore/>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甲方：</w:t>
      </w:r>
      <w:r>
        <w:rPr>
          <w:rFonts w:hint="eastAsia" w:ascii="宋体" w:hAnsi="宋体" w:eastAsia="宋体" w:cs="宋体"/>
          <w:sz w:val="21"/>
          <w:szCs w:val="21"/>
          <w:u w:val="single"/>
        </w:rPr>
        <w:t>海口江东新区管理局</w:t>
      </w:r>
    </w:p>
    <w:p w14:paraId="4D22111C">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地 址：</w:t>
      </w:r>
      <w:r>
        <w:rPr>
          <w:rFonts w:hint="eastAsia" w:ascii="宋体" w:hAnsi="宋体" w:eastAsia="宋体" w:cs="宋体"/>
          <w:sz w:val="21"/>
          <w:szCs w:val="21"/>
          <w:u w:val="single"/>
        </w:rPr>
        <w:t>海南省海口市美兰区江东大道202号江东发展大厦B座5层</w:t>
      </w:r>
    </w:p>
    <w:p w14:paraId="19785438">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授权代表：汪岩</w:t>
      </w:r>
    </w:p>
    <w:p w14:paraId="7C912589">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p>
    <w:p w14:paraId="278E0580">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乙方：</w:t>
      </w:r>
    </w:p>
    <w:p w14:paraId="4D62AB30">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地 址：</w:t>
      </w:r>
    </w:p>
    <w:p w14:paraId="025C6B1F">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授权代表：</w:t>
      </w:r>
    </w:p>
    <w:p w14:paraId="4528EA04">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p>
    <w:p w14:paraId="485E7618">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鉴于：</w:t>
      </w:r>
    </w:p>
    <w:p w14:paraId="353710A6">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为海口江东新区管理局，已设立省级知识产权公共服务窗口，窗口现正围绕“国家级知识产权公共服务网点”及“专利导航服务基地”的建设目标推进知识产权相关工作，当前窗口服务主要聚焦基础咨询与培训，尚未形成企业知识产权“需求调研—能力提升—成果转化—保护布局—市场推广”全链条服务体系，需拓展窗口功能、提升服务能力以契合国家知识产权强国战略及江东新区“4+X”产业定位。</w:t>
      </w:r>
    </w:p>
    <w:p w14:paraId="6C07D361">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乙方为（根据乙方实际情况补充乙方基本信息）</w:t>
      </w:r>
    </w:p>
    <w:p w14:paraId="5F274F26">
      <w:pPr>
        <w:keepNext w:val="0"/>
        <w:keepLines w:val="0"/>
        <w:wordWrap/>
        <w:overflowPunct/>
        <w:topLinePunct w:val="0"/>
        <w:bidi w:val="0"/>
        <w:spacing w:beforeAutospacing="0" w:afterAutospacing="0" w:line="56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 xml:space="preserve">双方本着平等自愿、诚实信用、互利共赢的原则，就乙方为甲方提供江东新区知识产权公共服务窗口功能拓展延伸及服务能力提升服务事宜，经协商一致，签订本协议。     </w:t>
      </w:r>
    </w:p>
    <w:p w14:paraId="728D4EF9">
      <w:pPr>
        <w:pStyle w:val="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Cs w:val="0"/>
          <w:kern w:val="2"/>
          <w:sz w:val="21"/>
          <w:szCs w:val="21"/>
        </w:rPr>
      </w:pPr>
      <w:r>
        <w:rPr>
          <w:rFonts w:hint="eastAsia" w:ascii="宋体" w:hAnsi="宋体" w:eastAsia="宋体" w:cs="宋体"/>
          <w:bCs w:val="0"/>
          <w:kern w:val="2"/>
          <w:sz w:val="21"/>
          <w:szCs w:val="21"/>
        </w:rPr>
        <w:t>第一条 服务内容</w:t>
      </w:r>
    </w:p>
    <w:p w14:paraId="6CB95CCD">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乙方应围绕世行营商环境创新发展指标及国家级知识产权公共服务网点建设需要为核心任务，助力甲方提升区域知识产权服务能级，构建具有江东新区特色的知识产权服务能力，具体内容如下：</w:t>
      </w:r>
    </w:p>
    <w:p w14:paraId="72648A38">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（一）江东新区重点产业知识产权信息分析服务</w:t>
      </w:r>
    </w:p>
    <w:p w14:paraId="2AD5D678">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1.形成服务报告。</w:t>
      </w:r>
      <w:r>
        <w:rPr>
          <w:rFonts w:hint="eastAsia" w:ascii="宋体" w:hAnsi="宋体" w:eastAsia="宋体" w:cs="宋体"/>
          <w:sz w:val="21"/>
          <w:szCs w:val="21"/>
        </w:rPr>
        <w:t>乙方基于甲方提供的知识产权检索平台工具以及江东新区知识产权相关数据，结合江东新区“4+X”重点产业</w:t>
      </w:r>
      <w:r>
        <w:rPr>
          <w:rStyle w:val="27"/>
          <w:rFonts w:hint="eastAsia" w:ascii="宋体" w:hAnsi="宋体" w:eastAsia="宋体" w:cs="宋体"/>
          <w:sz w:val="21"/>
          <w:szCs w:val="21"/>
        </w:rPr>
        <w:footnoteReference w:id="1"/>
      </w:r>
      <w:r>
        <w:rPr>
          <w:rFonts w:hint="eastAsia" w:ascii="宋体" w:hAnsi="宋体" w:eastAsia="宋体" w:cs="宋体"/>
          <w:sz w:val="21"/>
          <w:szCs w:val="21"/>
        </w:rPr>
        <w:t>发展需求，开展产业检索分析、产业发展态势研究以及产业发展路径分析等知识产权信息分析服务，根据数据分析实际情况，选择江东新区“4+X”产业中现阶段具有重点发展潜力的产业形成《江东新区重点产业专利导航报告》（以下简称“《报告》”），助力江东新区原创性、颠覆性科技创新，促进产业发展强链增效，为区域产业发展提供服务支撑。</w:t>
      </w:r>
    </w:p>
    <w:p w14:paraId="6B243791">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2.《报告》核心内容包括但不限于以下：</w:t>
      </w:r>
    </w:p>
    <w:p w14:paraId="65B0CC9B">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（1）数据梳理。</w:t>
      </w:r>
      <w:r>
        <w:rPr>
          <w:rFonts w:hint="eastAsia" w:ascii="宋体" w:hAnsi="宋体" w:eastAsia="宋体" w:cs="宋体"/>
          <w:sz w:val="21"/>
          <w:szCs w:val="21"/>
        </w:rPr>
        <w:t>一是梳理当前江东新区“4+X”重点产业中，各产业已拥有的知识产权类型、数量、分布领域等核心信息，精准反映4+X重点产业现有知识产权储备情况；二是走访摸底江东新区企业成果转化情况并形成数据台账。</w:t>
      </w:r>
    </w:p>
    <w:p w14:paraId="015A732D">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（2）重点产业潜力挖掘。</w:t>
      </w:r>
      <w:r>
        <w:rPr>
          <w:rFonts w:hint="eastAsia" w:ascii="宋体" w:hAnsi="宋体" w:eastAsia="宋体" w:cs="宋体"/>
          <w:sz w:val="21"/>
          <w:szCs w:val="21"/>
        </w:rPr>
        <w:t>根据数据梳理情况选择“4+X”产业中的一个重点产业，根据该产业前沿的知识产权配置与江东新区的资源禀赋，分析并列举产业中尚未在江东落地、但具备落地价值的知识产权方向——包括江东新区该产业的企业知识产权布局方向以及通过招商引资可引入的外部企业所携带的核心知识产权方向（需明确此类知识产权对应的企业类型、技术优势及与江东新区重点产业的匹配度），为产业发展、知识产权布局拓展与集聚提供方向指引；</w:t>
      </w:r>
    </w:p>
    <w:p w14:paraId="478517DF">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（3）知识产权服务提升建议。</w:t>
      </w:r>
      <w:r>
        <w:rPr>
          <w:rFonts w:hint="eastAsia" w:ascii="宋体" w:hAnsi="宋体" w:eastAsia="宋体" w:cs="宋体"/>
          <w:sz w:val="21"/>
          <w:szCs w:val="21"/>
        </w:rPr>
        <w:t>一是需求导向的配套服务提升，以“支撑现有重点产业知识产权优化布局”与“吸引拥有目标知识产权的企业落地江东”为双需求导向，在现有知识产权服务基础上，提出具体可行的提升建议；二是聚焦知识产权维权、风险防范、成果转移转化三大核心场景以及江东新区的资源配置情况（如江东法务等）提出深化服务建议。</w:t>
      </w:r>
    </w:p>
    <w:p w14:paraId="35D8B089">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未在本条明确的核心内容，以专业专利导航报告结构内容为准。</w:t>
      </w:r>
    </w:p>
    <w:p w14:paraId="02EB9CB5">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（二）中小微企业知识产权及成果转化特色服务</w:t>
      </w:r>
    </w:p>
    <w:p w14:paraId="05C32D70">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通过走访调研，围绕江东新区4+X重点产业（优先已形成《报告》的产业）的中小微企业提供知识产权特色服务，以构建“需求调研—能力提升—成果转化—保护布局—市场推广”闭环式服务体系为核心，助力甲方提升园区知识产权服务能级，打造具有江东新区特色的知识产权营商环境品牌。</w:t>
      </w:r>
    </w:p>
    <w:p w14:paraId="618CA2E5">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1.提升企业知识产权创新能力。</w:t>
      </w:r>
      <w:r>
        <w:rPr>
          <w:rFonts w:hint="eastAsia" w:ascii="宋体" w:hAnsi="宋体" w:eastAsia="宋体" w:cs="宋体"/>
          <w:sz w:val="21"/>
          <w:szCs w:val="21"/>
        </w:rPr>
        <w:t>开展知识产权战略咨询服务，为中小微企业出具不少于20份《企业知识产权密集型产品及成果转化情况专项调研简报》（以下简称“《简报》”）（含主导产品清单、知识产权权属 / 有效期、未布局原因、技术转化需求、调研成果转移转化情况）。</w:t>
      </w:r>
    </w:p>
    <w:p w14:paraId="72D96289">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2.知识产权布局服务。</w:t>
      </w:r>
      <w:r>
        <w:rPr>
          <w:rFonts w:hint="eastAsia" w:ascii="宋体" w:hAnsi="宋体" w:eastAsia="宋体" w:cs="宋体"/>
          <w:sz w:val="21"/>
          <w:szCs w:val="21"/>
        </w:rPr>
        <w:t>根据现有重点产业企业需求以及招商引资需要，协助企业开展知识产权布局，提供专利申请服务≥10 次。</w:t>
      </w:r>
    </w:p>
    <w:p w14:paraId="59E06195">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3.成果转化服务。基于20份《简报》，对不少于20家企业</w:t>
      </w:r>
      <w:r>
        <w:rPr>
          <w:rFonts w:hint="eastAsia" w:ascii="宋体" w:hAnsi="宋体" w:eastAsia="宋体" w:cs="宋体"/>
          <w:sz w:val="21"/>
          <w:szCs w:val="21"/>
        </w:rPr>
        <w:t>以知识产权产品推广形式开展成果转化服务，联合抖音或TikTok线上推广平台，实现重点产业企业产品曝光量≥500 万次，收集市场反馈并给予企业改进指导；推动“研发 - 转化 - 市场验证 - 改进 - 再研发”良性循环，实现1-2个成果转化取得实际成效（成效具体定义为：依据市场反馈促成企业研发新产品并完成市场验证，或推动企业现有知识产权产品落地市场且实现销量提升），形成可复制的知识产权服务案例，打造江东新区特色知识产权营商环境品牌。</w:t>
      </w:r>
    </w:p>
    <w:p w14:paraId="060F2C94">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（三）搭建重点产业数据库</w:t>
      </w:r>
    </w:p>
    <w:p w14:paraId="4B470C16">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为支撑江东新区“4+X”重点产业高质量发展与知识产权精准布局，重点推进两类数据库建设。</w:t>
      </w:r>
    </w:p>
    <w:p w14:paraId="2E2A0506">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1.专利导航数据库建设。</w:t>
      </w:r>
      <w:r>
        <w:rPr>
          <w:rFonts w:hint="eastAsia" w:ascii="宋体" w:hAnsi="宋体" w:eastAsia="宋体" w:cs="宋体"/>
          <w:sz w:val="21"/>
          <w:szCs w:val="21"/>
        </w:rPr>
        <w:t>依托甲方提供的知识产权平台服务工具，完成覆盖“4+X”全产业领域的专利导航数据库搭建及定期维护，整合各产业领域的全球专利数据、法律状态信息、技术趋势图谱、竞争环境分析等核心内容，具备检索分析、趋势研判、技术监控等的专利信息服务功能，为企业精准把握技术方向、规避侵权风险提供数据支撑。</w:t>
      </w:r>
    </w:p>
    <w:p w14:paraId="3DD6C2E6">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2.产业专家库建设。</w:t>
      </w:r>
      <w:r>
        <w:rPr>
          <w:rFonts w:hint="eastAsia" w:ascii="宋体" w:hAnsi="宋体" w:eastAsia="宋体" w:cs="宋体"/>
          <w:sz w:val="21"/>
          <w:szCs w:val="21"/>
        </w:rPr>
        <w:t>优先聚焦已形成《报告》的重点产业领域，筛选组建产业专家库——入库专家涵盖知识产权领域资深顾问、产业技术研发带头人、政策研究专家等。便于后续为重点产业企业提供“点对点”定制化服务。</w:t>
      </w:r>
    </w:p>
    <w:p w14:paraId="2292455B">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（四）培训与活动</w:t>
      </w:r>
    </w:p>
    <w:p w14:paraId="1A2329EE">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作期内邀请具有正高级技术职称专家、高层次人才或行业内专家开展各类惠企培训不少于10场（含知识产权专题培训3场，自贸港政策解读、企业技能培训等其他惠企培训7场），组织成果转化对接会、产学研对接会等对接交流活动不少于6场，同时做好活动前后期宣传工作。</w:t>
      </w:r>
    </w:p>
    <w:p w14:paraId="0CBC0C6B">
      <w:pPr>
        <w:pStyle w:val="62"/>
        <w:keepNext w:val="0"/>
        <w:keepLines w:val="0"/>
        <w:numPr>
          <w:ilvl w:val="255"/>
          <w:numId w:val="0"/>
        </w:numPr>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1.知识产权培训与活动。</w:t>
      </w:r>
      <w:r>
        <w:rPr>
          <w:rFonts w:hint="eastAsia" w:ascii="宋体" w:hAnsi="宋体" w:eastAsia="宋体" w:cs="宋体"/>
          <w:sz w:val="21"/>
          <w:szCs w:val="21"/>
        </w:rPr>
        <w:t>一是组织不少于3场知识产权专题培训（聚焦高价值专利培育、风险防范、运营能力及专利导航实操）。其中2025年不少于1场，2026年不少于2场；二是依据调研结果征集企业需求，组织不少于3场线上线下“一对一”成果转化对接交流活动，推动技术供需对接。其中2025年不少于1场，2026年不少于2场；三是组织产学研对接会不少于3场，其中2025年不少于1场，2026年不少于2场。</w:t>
      </w:r>
    </w:p>
    <w:p w14:paraId="5BA93A61">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2.其他惠企培训。</w:t>
      </w:r>
      <w:r>
        <w:rPr>
          <w:rFonts w:hint="eastAsia" w:ascii="宋体" w:hAnsi="宋体" w:eastAsia="宋体" w:cs="宋体"/>
          <w:sz w:val="21"/>
          <w:szCs w:val="21"/>
        </w:rPr>
        <w:t>组织开展不少于7场惠企培训。其中，2025年不少于1场，2026年不少于6场。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4"/>
        <w:gridCol w:w="2849"/>
        <w:gridCol w:w="2849"/>
      </w:tblGrid>
      <w:tr w14:paraId="0BB5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242" w:type="dxa"/>
            <w:gridSpan w:val="3"/>
            <w:vAlign w:val="center"/>
          </w:tcPr>
          <w:p w14:paraId="59D5A206">
            <w:pPr>
              <w:keepNext w:val="0"/>
              <w:keepLines w:val="0"/>
              <w:wordWrap/>
              <w:overflowPunct/>
              <w:topLinePunct w:val="0"/>
              <w:bidi w:val="0"/>
              <w:spacing w:beforeAutospacing="0" w:afterAutospacing="0" w:line="560" w:lineRule="exact"/>
              <w:ind w:firstLine="422" w:firstLineChars="200"/>
              <w:jc w:val="center"/>
              <w:textAlignment w:val="auto"/>
              <w:rPr>
                <w:rFonts w:hint="eastAsia" w:ascii="宋体" w:hAnsi="宋体" w:eastAsia="宋体" w:cs="宋体"/>
                <w:sz w:val="21"/>
                <w:szCs w:val="21"/>
              </w:rPr>
            </w:pPr>
            <w:r>
              <w:rPr>
                <w:rFonts w:hint="eastAsia" w:ascii="宋体" w:hAnsi="宋体" w:eastAsia="宋体" w:cs="宋体"/>
                <w:b/>
                <w:bCs/>
                <w:sz w:val="21"/>
                <w:szCs w:val="21"/>
              </w:rPr>
              <w:t>培训安排表</w:t>
            </w:r>
          </w:p>
        </w:tc>
      </w:tr>
      <w:tr w14:paraId="6EE2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121A4336">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培训类型</w:t>
            </w:r>
          </w:p>
        </w:tc>
        <w:tc>
          <w:tcPr>
            <w:tcW w:w="3081" w:type="dxa"/>
            <w:vAlign w:val="center"/>
          </w:tcPr>
          <w:p w14:paraId="6A11E6AA">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2025年（场次）</w:t>
            </w:r>
          </w:p>
        </w:tc>
        <w:tc>
          <w:tcPr>
            <w:tcW w:w="3081" w:type="dxa"/>
            <w:vAlign w:val="center"/>
          </w:tcPr>
          <w:p w14:paraId="68A9BD02">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2026年（场次）</w:t>
            </w:r>
          </w:p>
        </w:tc>
      </w:tr>
      <w:tr w14:paraId="0E68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6FEEB64A">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知识产权专题培训</w:t>
            </w:r>
          </w:p>
        </w:tc>
        <w:tc>
          <w:tcPr>
            <w:tcW w:w="3081" w:type="dxa"/>
            <w:vAlign w:val="center"/>
          </w:tcPr>
          <w:p w14:paraId="6FFDB606">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081" w:type="dxa"/>
            <w:vAlign w:val="center"/>
          </w:tcPr>
          <w:p w14:paraId="65348225">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2050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24B64C48">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其他惠企培训</w:t>
            </w:r>
          </w:p>
        </w:tc>
        <w:tc>
          <w:tcPr>
            <w:tcW w:w="3081" w:type="dxa"/>
            <w:vAlign w:val="center"/>
          </w:tcPr>
          <w:p w14:paraId="1331A55F">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081" w:type="dxa"/>
            <w:vAlign w:val="center"/>
          </w:tcPr>
          <w:p w14:paraId="75E2C068">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r>
      <w:tr w14:paraId="06DC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10CAA216">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3081" w:type="dxa"/>
            <w:vAlign w:val="center"/>
          </w:tcPr>
          <w:p w14:paraId="2227A404">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081" w:type="dxa"/>
            <w:vAlign w:val="center"/>
          </w:tcPr>
          <w:p w14:paraId="0207C50B">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r>
      <w:tr w14:paraId="343A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3"/>
            <w:vAlign w:val="center"/>
          </w:tcPr>
          <w:p w14:paraId="29465C57">
            <w:pPr>
              <w:keepNext w:val="0"/>
              <w:keepLines w:val="0"/>
              <w:wordWrap/>
              <w:overflowPunct/>
              <w:topLinePunct w:val="0"/>
              <w:bidi w:val="0"/>
              <w:spacing w:beforeAutospacing="0" w:afterAutospacing="0" w:line="560" w:lineRule="exact"/>
              <w:ind w:firstLine="422" w:firstLineChars="200"/>
              <w:jc w:val="center"/>
              <w:textAlignment w:val="auto"/>
              <w:rPr>
                <w:rFonts w:hint="eastAsia" w:ascii="宋体" w:hAnsi="宋体" w:eastAsia="宋体" w:cs="宋体"/>
                <w:sz w:val="21"/>
                <w:szCs w:val="21"/>
              </w:rPr>
            </w:pPr>
            <w:r>
              <w:rPr>
                <w:rFonts w:hint="eastAsia" w:ascii="宋体" w:hAnsi="宋体" w:eastAsia="宋体" w:cs="宋体"/>
                <w:b/>
                <w:bCs/>
                <w:sz w:val="21"/>
                <w:szCs w:val="21"/>
              </w:rPr>
              <w:t>活动安排表</w:t>
            </w:r>
          </w:p>
        </w:tc>
      </w:tr>
      <w:tr w14:paraId="2F92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7A757C26">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活动类型</w:t>
            </w:r>
          </w:p>
        </w:tc>
        <w:tc>
          <w:tcPr>
            <w:tcW w:w="3081" w:type="dxa"/>
            <w:vAlign w:val="center"/>
          </w:tcPr>
          <w:p w14:paraId="5FD356FE">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2025年（场次）</w:t>
            </w:r>
          </w:p>
        </w:tc>
        <w:tc>
          <w:tcPr>
            <w:tcW w:w="3081" w:type="dxa"/>
            <w:vAlign w:val="center"/>
          </w:tcPr>
          <w:p w14:paraId="078A589B">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2026年（场次）</w:t>
            </w:r>
          </w:p>
        </w:tc>
      </w:tr>
      <w:tr w14:paraId="02CD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03343FA8">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成果转化对接交流活动</w:t>
            </w:r>
          </w:p>
        </w:tc>
        <w:tc>
          <w:tcPr>
            <w:tcW w:w="3081" w:type="dxa"/>
            <w:vAlign w:val="center"/>
          </w:tcPr>
          <w:p w14:paraId="4C05F40A">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081" w:type="dxa"/>
            <w:vAlign w:val="center"/>
          </w:tcPr>
          <w:p w14:paraId="12D8A906">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74CA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7543FA76">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产学研对接会</w:t>
            </w:r>
          </w:p>
        </w:tc>
        <w:tc>
          <w:tcPr>
            <w:tcW w:w="3081" w:type="dxa"/>
            <w:vAlign w:val="center"/>
          </w:tcPr>
          <w:p w14:paraId="3879F3B9">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081" w:type="dxa"/>
            <w:vAlign w:val="center"/>
          </w:tcPr>
          <w:p w14:paraId="056F71A0">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14:paraId="1084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54AFB762">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3081" w:type="dxa"/>
            <w:vAlign w:val="center"/>
          </w:tcPr>
          <w:p w14:paraId="35E20937">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081" w:type="dxa"/>
            <w:vAlign w:val="center"/>
          </w:tcPr>
          <w:p w14:paraId="28412C2A">
            <w:pPr>
              <w:keepNext w:val="0"/>
              <w:keepLines w:val="0"/>
              <w:wordWrap/>
              <w:overflowPunct/>
              <w:topLinePunct w:val="0"/>
              <w:bidi w:val="0"/>
              <w:spacing w:beforeAutospacing="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r>
    </w:tbl>
    <w:p w14:paraId="4F0AB7EB">
      <w:pPr>
        <w:pStyle w:val="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Cs w:val="0"/>
          <w:kern w:val="2"/>
          <w:sz w:val="21"/>
          <w:szCs w:val="21"/>
        </w:rPr>
      </w:pPr>
      <w:r>
        <w:rPr>
          <w:rFonts w:hint="eastAsia" w:ascii="宋体" w:hAnsi="宋体" w:eastAsia="宋体" w:cs="宋体"/>
          <w:bCs w:val="0"/>
          <w:kern w:val="2"/>
          <w:sz w:val="21"/>
          <w:szCs w:val="21"/>
        </w:rPr>
        <w:t xml:space="preserve">第二条 </w:t>
      </w:r>
      <w:r>
        <w:rPr>
          <w:rFonts w:hint="eastAsia" w:ascii="宋体" w:hAnsi="宋体" w:eastAsia="宋体" w:cs="宋体"/>
          <w:sz w:val="21"/>
          <w:szCs w:val="21"/>
        </w:rPr>
        <w:t>合作期限</w:t>
      </w:r>
    </w:p>
    <w:p w14:paraId="646BEE9F">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u w:val="single"/>
        </w:rPr>
        <w:t>自2025年9月30日起至2026年12月31日止</w:t>
      </w:r>
      <w:r>
        <w:rPr>
          <w:rFonts w:hint="eastAsia" w:ascii="宋体" w:hAnsi="宋体" w:eastAsia="宋体" w:cs="宋体"/>
          <w:sz w:val="21"/>
          <w:szCs w:val="21"/>
        </w:rPr>
        <w:t>；若因不可抗力或双方协商需延期，双方另行签订补充协议。</w:t>
      </w:r>
    </w:p>
    <w:p w14:paraId="7F6CD3D6">
      <w:pPr>
        <w:pStyle w:val="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Cs w:val="0"/>
          <w:kern w:val="2"/>
          <w:sz w:val="21"/>
          <w:szCs w:val="21"/>
        </w:rPr>
        <w:t>第三条 项目经费</w:t>
      </w:r>
    </w:p>
    <w:p w14:paraId="3B9E158F">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本项目总金额人民币xxx</w:t>
      </w:r>
      <w:r>
        <w:rPr>
          <w:rFonts w:hint="eastAsia" w:ascii="宋体" w:hAnsi="宋体" w:eastAsia="宋体" w:cs="宋体"/>
          <w:b/>
          <w:bCs/>
          <w:sz w:val="21"/>
          <w:szCs w:val="21"/>
          <w:u w:val="single"/>
        </w:rPr>
        <w:t>元</w:t>
      </w:r>
      <w:r>
        <w:rPr>
          <w:rFonts w:hint="eastAsia" w:ascii="宋体" w:hAnsi="宋体" w:eastAsia="宋体" w:cs="宋体"/>
          <w:sz w:val="21"/>
          <w:szCs w:val="21"/>
        </w:rPr>
        <w:t>（大写：xxx）（含税），费用明细如下：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059"/>
        <w:gridCol w:w="1126"/>
        <w:gridCol w:w="2677"/>
        <w:gridCol w:w="1459"/>
        <w:gridCol w:w="1354"/>
      </w:tblGrid>
      <w:tr w14:paraId="1231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3082F3CB">
            <w:pPr>
              <w:pStyle w:val="62"/>
              <w:keepNext w:val="0"/>
              <w:keepLines w:val="0"/>
              <w:widowControl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325" w:type="dxa"/>
            <w:gridSpan w:val="2"/>
            <w:vAlign w:val="center"/>
          </w:tcPr>
          <w:p w14:paraId="16102B3B">
            <w:pPr>
              <w:pStyle w:val="62"/>
              <w:keepNext w:val="0"/>
              <w:keepLines w:val="0"/>
              <w:widowControl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费用类别</w:t>
            </w:r>
          </w:p>
        </w:tc>
        <w:tc>
          <w:tcPr>
            <w:tcW w:w="3047" w:type="dxa"/>
            <w:vAlign w:val="center"/>
          </w:tcPr>
          <w:p w14:paraId="4C1E79B6">
            <w:pPr>
              <w:pStyle w:val="62"/>
              <w:keepNext w:val="0"/>
              <w:keepLines w:val="0"/>
              <w:widowControl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包含内容</w:t>
            </w:r>
          </w:p>
        </w:tc>
        <w:tc>
          <w:tcPr>
            <w:tcW w:w="1572" w:type="dxa"/>
            <w:vAlign w:val="center"/>
          </w:tcPr>
          <w:p w14:paraId="4E505C55">
            <w:pPr>
              <w:pStyle w:val="62"/>
              <w:keepNext w:val="0"/>
              <w:keepLines w:val="0"/>
              <w:widowControl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金额</w:t>
            </w:r>
          </w:p>
          <w:p w14:paraId="316B7CC6">
            <w:pPr>
              <w:pStyle w:val="62"/>
              <w:keepNext w:val="0"/>
              <w:keepLines w:val="0"/>
              <w:widowControl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497" w:type="dxa"/>
            <w:vAlign w:val="center"/>
          </w:tcPr>
          <w:p w14:paraId="65353215">
            <w:pPr>
              <w:pStyle w:val="62"/>
              <w:keepNext w:val="0"/>
              <w:keepLines w:val="0"/>
              <w:widowControl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4413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3FF8A76B">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25" w:type="dxa"/>
            <w:gridSpan w:val="2"/>
            <w:vAlign w:val="center"/>
          </w:tcPr>
          <w:p w14:paraId="1260D548">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开展重点产业知识产权信息分析服务，形成《江东新区重点产业专利导航报告》</w:t>
            </w:r>
          </w:p>
        </w:tc>
        <w:tc>
          <w:tcPr>
            <w:tcW w:w="3047" w:type="dxa"/>
            <w:vAlign w:val="center"/>
          </w:tcPr>
          <w:p w14:paraId="44C66FE8">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调研团队报酬、交通、资料印刷、调研报告编制费</w:t>
            </w:r>
          </w:p>
        </w:tc>
        <w:tc>
          <w:tcPr>
            <w:tcW w:w="1572" w:type="dxa"/>
            <w:vAlign w:val="center"/>
          </w:tcPr>
          <w:p w14:paraId="006C0B41">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400674F3">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tc>
      </w:tr>
      <w:tr w14:paraId="5EBA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30596E7A">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120" w:type="dxa"/>
            <w:vMerge w:val="restart"/>
            <w:vAlign w:val="center"/>
          </w:tcPr>
          <w:p w14:paraId="2F595AB5">
            <w:pPr>
              <w:pStyle w:val="62"/>
              <w:keepNext w:val="0"/>
              <w:keepLines w:val="0"/>
              <w:widowControl w:val="0"/>
              <w:numPr>
                <w:ilvl w:val="255"/>
                <w:numId w:val="0"/>
              </w:numPr>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中小微企业知识产权及成果转化特色服务</w:t>
            </w:r>
          </w:p>
        </w:tc>
        <w:tc>
          <w:tcPr>
            <w:tcW w:w="1205" w:type="dxa"/>
            <w:vAlign w:val="center"/>
          </w:tcPr>
          <w:p w14:paraId="510E8C61">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提升企业知识产权创新能力</w:t>
            </w:r>
          </w:p>
        </w:tc>
        <w:tc>
          <w:tcPr>
            <w:tcW w:w="3047" w:type="dxa"/>
            <w:vAlign w:val="center"/>
          </w:tcPr>
          <w:p w14:paraId="3FAF2CA6">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lang w:eastAsia="zh-Hans"/>
              </w:rPr>
              <w:t>完成</w:t>
            </w:r>
            <w:r>
              <w:rPr>
                <w:rFonts w:hint="eastAsia" w:ascii="宋体" w:hAnsi="宋体" w:eastAsia="宋体" w:cs="宋体"/>
                <w:sz w:val="21"/>
                <w:szCs w:val="21"/>
              </w:rPr>
              <w:t>20</w:t>
            </w:r>
            <w:r>
              <w:rPr>
                <w:rFonts w:hint="eastAsia" w:ascii="宋体" w:hAnsi="宋体" w:eastAsia="宋体" w:cs="宋体"/>
                <w:sz w:val="21"/>
                <w:szCs w:val="21"/>
                <w:lang w:eastAsia="zh-Hans"/>
              </w:rPr>
              <w:t>家重点企业调研，出具《企业知识产权密集型产品及成果转化情况专项调研简报》</w:t>
            </w:r>
          </w:p>
        </w:tc>
        <w:tc>
          <w:tcPr>
            <w:tcW w:w="1572" w:type="dxa"/>
            <w:vAlign w:val="center"/>
          </w:tcPr>
          <w:p w14:paraId="45933579">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5211B211">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tc>
      </w:tr>
      <w:tr w14:paraId="2E5E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760408CC">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20" w:type="dxa"/>
            <w:vMerge w:val="continue"/>
            <w:vAlign w:val="center"/>
          </w:tcPr>
          <w:p w14:paraId="7112AF21">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205" w:type="dxa"/>
            <w:vAlign w:val="center"/>
          </w:tcPr>
          <w:p w14:paraId="3C89C178">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知识产权保护布局服务</w:t>
            </w:r>
          </w:p>
        </w:tc>
        <w:tc>
          <w:tcPr>
            <w:tcW w:w="3047" w:type="dxa"/>
            <w:vAlign w:val="center"/>
          </w:tcPr>
          <w:p w14:paraId="23451EDB">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lang w:eastAsia="zh-Hans"/>
              </w:rPr>
              <w:t>开展知识产权布局，提供专利服务</w:t>
            </w:r>
            <w:r>
              <w:rPr>
                <w:rFonts w:hint="eastAsia" w:ascii="宋体" w:hAnsi="宋体" w:eastAsia="宋体" w:cs="宋体"/>
                <w:sz w:val="21"/>
                <w:szCs w:val="21"/>
              </w:rPr>
              <w:t>，取得≥10 件知识产权《受理通知书》，材料齐全。</w:t>
            </w:r>
          </w:p>
        </w:tc>
        <w:tc>
          <w:tcPr>
            <w:tcW w:w="1572" w:type="dxa"/>
            <w:vAlign w:val="center"/>
          </w:tcPr>
          <w:p w14:paraId="1391CDA4">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16C04633">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r>
      <w:tr w14:paraId="6B98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601B697D">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120" w:type="dxa"/>
            <w:vMerge w:val="continue"/>
            <w:vAlign w:val="center"/>
          </w:tcPr>
          <w:p w14:paraId="6B71F0B2">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205" w:type="dxa"/>
            <w:vAlign w:val="center"/>
          </w:tcPr>
          <w:p w14:paraId="21228920">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成果转化服务</w:t>
            </w:r>
          </w:p>
        </w:tc>
        <w:tc>
          <w:tcPr>
            <w:tcW w:w="3047" w:type="dxa"/>
            <w:vAlign w:val="center"/>
          </w:tcPr>
          <w:p w14:paraId="7DD16417">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产品曝光量累计≥500 万次；提供市场反馈信息及企业产品改进证明</w:t>
            </w:r>
          </w:p>
        </w:tc>
        <w:tc>
          <w:tcPr>
            <w:tcW w:w="1572" w:type="dxa"/>
            <w:vAlign w:val="center"/>
          </w:tcPr>
          <w:p w14:paraId="35D75707">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4DF7B276">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7A2EB4AD">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r>
      <w:tr w14:paraId="63C1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6BD48E18">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325" w:type="dxa"/>
            <w:gridSpan w:val="2"/>
            <w:vAlign w:val="center"/>
          </w:tcPr>
          <w:p w14:paraId="33932E57">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搭建重点产业数据库</w:t>
            </w:r>
          </w:p>
        </w:tc>
        <w:tc>
          <w:tcPr>
            <w:tcW w:w="3047" w:type="dxa"/>
            <w:vAlign w:val="center"/>
          </w:tcPr>
          <w:p w14:paraId="1B0B3B0F">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“4+X”全产业领域的专利导航数据库及产业专家库</w:t>
            </w:r>
          </w:p>
        </w:tc>
        <w:tc>
          <w:tcPr>
            <w:tcW w:w="1572" w:type="dxa"/>
            <w:vAlign w:val="center"/>
          </w:tcPr>
          <w:p w14:paraId="4F044436">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20F43E6A">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r>
      <w:tr w14:paraId="051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76188D1D">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120" w:type="dxa"/>
            <w:vMerge w:val="restart"/>
            <w:vAlign w:val="center"/>
          </w:tcPr>
          <w:p w14:paraId="11D3A86B">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p w14:paraId="17F4E4B1">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p w14:paraId="5FF487E5">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p w14:paraId="1B6C02AC">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p w14:paraId="568FB28B">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p w14:paraId="0C23DD1A">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p w14:paraId="17794A75">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p>
          <w:p w14:paraId="0664CD45">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培训与活动</w:t>
            </w:r>
          </w:p>
        </w:tc>
        <w:tc>
          <w:tcPr>
            <w:tcW w:w="1205" w:type="dxa"/>
            <w:vAlign w:val="center"/>
          </w:tcPr>
          <w:p w14:paraId="4C205F3F">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惠企培训</w:t>
            </w:r>
          </w:p>
        </w:tc>
        <w:tc>
          <w:tcPr>
            <w:tcW w:w="3047" w:type="dxa"/>
            <w:vAlign w:val="center"/>
          </w:tcPr>
          <w:p w14:paraId="2D82AF87">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合作期限内组织开展不少于10场次惠企培训，均须由具有正高级技术职称专家、高层次人才或行业内专家</w:t>
            </w:r>
          </w:p>
        </w:tc>
        <w:tc>
          <w:tcPr>
            <w:tcW w:w="1572" w:type="dxa"/>
            <w:vMerge w:val="restart"/>
            <w:vAlign w:val="center"/>
          </w:tcPr>
          <w:p w14:paraId="07F48B44">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48C6EC81">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158A3195">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3268186D">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25E068C0">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090AD950">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30241DB8">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262C6DDD">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785C081E">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1790DDC3">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r>
      <w:tr w14:paraId="219F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dxa"/>
            <w:vAlign w:val="center"/>
          </w:tcPr>
          <w:p w14:paraId="4396EBD8">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120" w:type="dxa"/>
            <w:vMerge w:val="continue"/>
            <w:vAlign w:val="center"/>
          </w:tcPr>
          <w:p w14:paraId="25359774">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205" w:type="dxa"/>
            <w:vAlign w:val="center"/>
          </w:tcPr>
          <w:p w14:paraId="5E0FB323">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p w14:paraId="2A9642D4">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对接交流活动</w:t>
            </w:r>
          </w:p>
        </w:tc>
        <w:tc>
          <w:tcPr>
            <w:tcW w:w="3047" w:type="dxa"/>
            <w:vAlign w:val="center"/>
          </w:tcPr>
          <w:p w14:paraId="779EB296">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合作期限内组织开展不少于6场次，其中</w:t>
            </w:r>
            <w:r>
              <w:rPr>
                <w:rFonts w:hint="eastAsia" w:ascii="宋体" w:hAnsi="宋体" w:eastAsia="宋体" w:cs="宋体"/>
                <w:bCs/>
                <w:kern w:val="2"/>
                <w:sz w:val="21"/>
                <w:szCs w:val="21"/>
              </w:rPr>
              <w:t>成果转化对接交流活动不少于3场次，产学研对接活动不少于3场次。</w:t>
            </w:r>
          </w:p>
        </w:tc>
        <w:tc>
          <w:tcPr>
            <w:tcW w:w="1572" w:type="dxa"/>
            <w:vMerge w:val="continue"/>
            <w:vAlign w:val="center"/>
          </w:tcPr>
          <w:p w14:paraId="3EEA18C5">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7A1D517F">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r>
      <w:tr w14:paraId="4AB5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3" w:type="dxa"/>
            <w:gridSpan w:val="4"/>
            <w:vAlign w:val="center"/>
          </w:tcPr>
          <w:p w14:paraId="3FB86D12">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1572" w:type="dxa"/>
            <w:vAlign w:val="center"/>
          </w:tcPr>
          <w:p w14:paraId="527224A8">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c>
          <w:tcPr>
            <w:tcW w:w="1497" w:type="dxa"/>
            <w:vAlign w:val="center"/>
          </w:tcPr>
          <w:p w14:paraId="1AE9A9C9">
            <w:pPr>
              <w:pStyle w:val="62"/>
              <w:keepNext w:val="0"/>
              <w:keepLines w:val="0"/>
              <w:widowControl w:val="0"/>
              <w:wordWrap/>
              <w:overflowPunct/>
              <w:topLinePunct w:val="0"/>
              <w:bidi w:val="0"/>
              <w:spacing w:before="0" w:beforeAutospacing="0" w:after="0" w:afterAutospacing="0" w:line="560" w:lineRule="exact"/>
              <w:ind w:firstLine="420" w:firstLineChars="200"/>
              <w:jc w:val="center"/>
              <w:textAlignment w:val="auto"/>
              <w:rPr>
                <w:rFonts w:hint="eastAsia" w:ascii="宋体" w:hAnsi="宋体" w:eastAsia="宋体" w:cs="宋体"/>
                <w:sz w:val="21"/>
                <w:szCs w:val="21"/>
              </w:rPr>
            </w:pPr>
          </w:p>
        </w:tc>
      </w:tr>
    </w:tbl>
    <w:p w14:paraId="45681CD7">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第四条 服务进度及费用支付</w:t>
      </w:r>
    </w:p>
    <w:p w14:paraId="515B2402">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（一）服务进度及支付方式</w:t>
      </w:r>
    </w:p>
    <w:p w14:paraId="5A7032A4">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本协议费用分4笔进行支付。</w:t>
      </w:r>
    </w:p>
    <w:p w14:paraId="059C90E2">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1.第一笔：</w:t>
      </w:r>
      <w:r>
        <w:rPr>
          <w:rFonts w:hint="eastAsia" w:ascii="宋体" w:hAnsi="宋体" w:eastAsia="宋体" w:cs="宋体"/>
          <w:sz w:val="21"/>
          <w:szCs w:val="21"/>
        </w:rPr>
        <w:t>本协议生效后且乙方开具增值税专用发票之日起10个工作日内，甲方向乙方支付本协议总费用的20%，即人民币xxx元（大写：xxx）。</w:t>
      </w:r>
    </w:p>
    <w:p w14:paraId="6296F7B9">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2.第二笔：</w:t>
      </w:r>
      <w:r>
        <w:rPr>
          <w:rFonts w:hint="eastAsia" w:ascii="宋体" w:hAnsi="宋体" w:eastAsia="宋体" w:cs="宋体"/>
          <w:sz w:val="21"/>
          <w:szCs w:val="21"/>
        </w:rPr>
        <w:t>在乙方完成本协议项下服务内容达以下进度后支付，即：</w:t>
      </w:r>
    </w:p>
    <w:p w14:paraId="310518CE">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（1）乙方于2025年11月30日前按照本协议合作内容，完成《江东新区重点产业专利导航报告》初稿；</w:t>
      </w:r>
    </w:p>
    <w:p w14:paraId="1E4509AC">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（2）为不少于6家企业出具《企业知识产权密集型产品及成果转化情况专项调研简报》；</w:t>
      </w:r>
    </w:p>
    <w:p w14:paraId="042CE84C">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（3）搭建不少于2个重点产业的专利导航数据库；</w:t>
      </w:r>
    </w:p>
    <w:p w14:paraId="64A685E2">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（4）按照本协议第一条第（四）款约定，完成2025年培训与活动场次。</w:t>
      </w:r>
    </w:p>
    <w:p w14:paraId="21961937">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向甲方提供约定服务内容对应的成果验收材料，待材料通过甲方验收后，乙方需在5个工作日内开具增值税专用发票；甲方自收到乙方开具的合规增值税专用发票之日起，向乙方支付本协议总费用的30%，即人民币xxx元（大写xxx）。</w:t>
      </w:r>
    </w:p>
    <w:p w14:paraId="1699718F">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
          <w:bCs/>
          <w:sz w:val="21"/>
          <w:szCs w:val="21"/>
        </w:rPr>
        <w:t>第三笔：</w:t>
      </w:r>
      <w:r>
        <w:rPr>
          <w:rFonts w:hint="eastAsia" w:ascii="宋体" w:hAnsi="宋体" w:eastAsia="宋体" w:cs="宋体"/>
          <w:sz w:val="21"/>
          <w:szCs w:val="21"/>
        </w:rPr>
        <w:t>在乙方完成本协议项下服务内容达以下进度后支付，即：</w:t>
      </w:r>
    </w:p>
    <w:p w14:paraId="584204EC">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bCs/>
          <w:sz w:val="21"/>
          <w:szCs w:val="21"/>
        </w:rPr>
        <w:t>乙方于</w:t>
      </w:r>
      <w:r>
        <w:rPr>
          <w:rFonts w:hint="eastAsia" w:ascii="宋体" w:hAnsi="宋体" w:eastAsia="宋体" w:cs="宋体"/>
          <w:sz w:val="21"/>
          <w:szCs w:val="21"/>
        </w:rPr>
        <w:t>2026年4月30日前按照本协议合作内容，提交《江东新区重点产业专利导航报告》终稿；</w:t>
      </w:r>
    </w:p>
    <w:p w14:paraId="3BCF3688">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（2）累计为不少于20家企业出具《企业知识产权密集型产品及成果转化情况专项调研简报》；</w:t>
      </w:r>
    </w:p>
    <w:p w14:paraId="319C4F40">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（3）搭建完成“4+X”全产业领域的专利导航数据库及产业专家库；</w:t>
      </w:r>
    </w:p>
    <w:p w14:paraId="4BFF7308">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（4）于2026年5月31日前为不少于20家企业产品累计完成500万次曝光量；</w:t>
      </w:r>
    </w:p>
    <w:p w14:paraId="7246A033">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（5）于2026年6月30日前按照本协议第一条第（四）款约定，完成2026年上半年培训与活动场次。</w:t>
      </w:r>
    </w:p>
    <w:p w14:paraId="54D56203">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乙方向甲方提供约定服务内容对应的成果验收材料，待材料通过甲方验收后，乙方需在5个工作日内开具增值税专用发票；甲方自收到乙方开具的合规增值税专用发票之日起，向乙方支付本协议总费用的30%，即人民币xxx元（大写xxx）。</w:t>
      </w:r>
    </w:p>
    <w:p w14:paraId="2AD33CDB">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b/>
          <w:bCs/>
          <w:sz w:val="21"/>
          <w:szCs w:val="21"/>
        </w:rPr>
        <w:t>第四笔：</w:t>
      </w:r>
      <w:r>
        <w:rPr>
          <w:rFonts w:hint="eastAsia" w:ascii="宋体" w:hAnsi="宋体" w:eastAsia="宋体" w:cs="宋体"/>
          <w:sz w:val="21"/>
          <w:szCs w:val="21"/>
        </w:rPr>
        <w:t>在乙方完成本协议项下服务内容达以下进度后支付，即：</w:t>
      </w:r>
    </w:p>
    <w:p w14:paraId="18E4EE68">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于2026年9月30日前须根据不少于20家企业产品曝光后的市场反馈信息指导企业完成产品改进（新品研发）并通过市场验证，或推动企业现有知识产权产品落地市场且实现销量提升，有实际成果转化助推成效企业不少于2家；</w:t>
      </w:r>
    </w:p>
    <w:p w14:paraId="0C9F0A24">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（2）于2026年11月30日完成不少于10次专利申请服务、按照本协议第一条第（四）款约定，完成2026年下半年培训与活动场次。</w:t>
      </w:r>
    </w:p>
    <w:p w14:paraId="3A962D95">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向甲方提供约定服务内容对应的成果验收材料，待材料通过甲方验收后，乙方需在5个工作日内开具增值税专用发票；甲方自收到乙方开具的合规增值税专用发票之日起，向乙方支付本协议总费用的20%，即人民币xxx元（大写xxx）。</w:t>
      </w:r>
    </w:p>
    <w:p w14:paraId="539A544F">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（二）乙方指定账户信息</w:t>
      </w:r>
    </w:p>
    <w:p w14:paraId="2220220C">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开户单位：</w:t>
      </w:r>
    </w:p>
    <w:p w14:paraId="1A435673">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开户银行：</w:t>
      </w:r>
    </w:p>
    <w:p w14:paraId="246EAEE3">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bCs/>
          <w:sz w:val="21"/>
          <w:szCs w:val="21"/>
          <w:lang w:eastAsia="zh-Hans"/>
        </w:rPr>
      </w:pPr>
      <w:r>
        <w:rPr>
          <w:rFonts w:hint="eastAsia" w:ascii="宋体" w:hAnsi="宋体" w:eastAsia="宋体" w:cs="宋体"/>
          <w:sz w:val="21"/>
          <w:szCs w:val="21"/>
        </w:rPr>
        <w:t>账    号：</w:t>
      </w:r>
      <w:r>
        <w:rPr>
          <w:rFonts w:hint="eastAsia" w:ascii="宋体" w:hAnsi="宋体" w:eastAsia="宋体" w:cs="宋体"/>
          <w:bCs/>
          <w:sz w:val="21"/>
          <w:szCs w:val="21"/>
          <w:lang w:eastAsia="zh-Hans"/>
        </w:rPr>
        <w:br w:type="textWrapping"/>
      </w:r>
      <w:r>
        <w:rPr>
          <w:rFonts w:hint="eastAsia" w:ascii="宋体" w:hAnsi="宋体" w:eastAsia="宋体" w:cs="宋体"/>
          <w:bCs/>
          <w:sz w:val="21"/>
          <w:szCs w:val="21"/>
        </w:rPr>
        <w:t xml:space="preserve">    </w:t>
      </w:r>
      <w:r>
        <w:rPr>
          <w:rFonts w:hint="eastAsia" w:ascii="宋体" w:hAnsi="宋体" w:eastAsia="宋体" w:cs="宋体"/>
          <w:bCs/>
          <w:sz w:val="21"/>
          <w:szCs w:val="21"/>
          <w:lang w:eastAsia="zh-Hans"/>
        </w:rPr>
        <w:t>如本</w:t>
      </w:r>
      <w:r>
        <w:rPr>
          <w:rFonts w:hint="eastAsia" w:ascii="宋体" w:hAnsi="宋体" w:eastAsia="宋体" w:cs="宋体"/>
          <w:bCs/>
          <w:sz w:val="21"/>
          <w:szCs w:val="21"/>
        </w:rPr>
        <w:t>协议</w:t>
      </w:r>
      <w:r>
        <w:rPr>
          <w:rFonts w:hint="eastAsia" w:ascii="宋体" w:hAnsi="宋体" w:eastAsia="宋体" w:cs="宋体"/>
          <w:bCs/>
          <w:sz w:val="21"/>
          <w:szCs w:val="21"/>
          <w:lang w:eastAsia="zh-Hans"/>
        </w:rPr>
        <w:t>约定的乙方收款账户信息有变更，乙方需以书面形式通知甲方。乙方对提供的账户的合法性、真实性负责，甲方没有义务核对，如印章、账户不真实，责任由乙方自行承担。如甲方按照乙方提供的账户付款的，乙方不得以账户不真实等为由否认收到款项。</w:t>
      </w:r>
    </w:p>
    <w:p w14:paraId="31B73349">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bCs/>
          <w:sz w:val="21"/>
          <w:szCs w:val="21"/>
          <w:lang w:eastAsia="zh-Hans"/>
        </w:rPr>
      </w:pPr>
      <w:r>
        <w:rPr>
          <w:rFonts w:hint="eastAsia" w:ascii="宋体" w:hAnsi="宋体" w:eastAsia="宋体" w:cs="宋体"/>
          <w:bCs/>
          <w:sz w:val="21"/>
          <w:szCs w:val="21"/>
          <w:lang w:eastAsia="zh-Hans"/>
        </w:rPr>
        <w:t>（三）乙方要求甲方付款时，应按照甲方要求开具合法、有效、足额的增值税发票，否则甲方有权拒绝付款，且不承担任何违约责任。甲方支付本协议价款，因相关部门必要的审批程序和拨款程序造成支付迟延的，不计取任何利息、滞纳金，也不视同违约支付违约金。</w:t>
      </w:r>
    </w:p>
    <w:p w14:paraId="20DC3EBB">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第五条 双方权利与义务</w:t>
      </w:r>
    </w:p>
    <w:p w14:paraId="461428A8">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（一）甲方权利与义务</w:t>
      </w:r>
    </w:p>
    <w:p w14:paraId="57D76C64">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甲方的权利：</w:t>
      </w:r>
    </w:p>
    <w:p w14:paraId="3B55C213">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（1）有权对乙方的项目执行进度、服务质量进行监督；</w:t>
      </w:r>
    </w:p>
    <w:p w14:paraId="53991135">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（2）有权要求乙方整改不符合约定的成果；</w:t>
      </w:r>
    </w:p>
    <w:p w14:paraId="0F2766F3">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（3）有权按本协议约定验收成果。</w:t>
      </w:r>
    </w:p>
    <w:p w14:paraId="2A25D764">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甲方的义务：</w:t>
      </w:r>
    </w:p>
    <w:p w14:paraId="67B527F5">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（1）向乙方提供项目所需的江东新区企业名单、相关政策文件等基础资料；</w:t>
      </w:r>
    </w:p>
    <w:p w14:paraId="6F94508C">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（2）及时审核乙方提交的方案、报告及成果材料；</w:t>
      </w:r>
    </w:p>
    <w:p w14:paraId="14EBC599">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（3）协调江东新区企业配合乙方开展调研、并采取措施鼓励企业开展知识产权申报、参加培训及对接活动；</w:t>
      </w:r>
    </w:p>
    <w:p w14:paraId="07228981">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（4）按本协议第三条、第四条约定支付费用。</w:t>
      </w:r>
    </w:p>
    <w:p w14:paraId="1F4E305D">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（二）乙方权利与义务</w:t>
      </w:r>
    </w:p>
    <w:p w14:paraId="2D538B2D">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 乙方的权利：</w:t>
      </w:r>
    </w:p>
    <w:p w14:paraId="4BA1D63B">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（1）有权要求甲方提供必要的基础资料；</w:t>
      </w:r>
    </w:p>
    <w:p w14:paraId="0D71EFAF">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（2）有权按本协议约定收取服务费用。</w:t>
      </w:r>
    </w:p>
    <w:p w14:paraId="086D06FC">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 乙方的义务：</w:t>
      </w:r>
    </w:p>
    <w:p w14:paraId="1D58E1B6">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（1）乙方提供本协议约定的服务，按本协议约定的时间、标准完成项目服务；</w:t>
      </w:r>
    </w:p>
    <w:p w14:paraId="60558694">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（2）保守调研过程中获取的企业商业秘密及甲方涉密信息，并确保</w:t>
      </w:r>
      <w:r>
        <w:rPr>
          <w:rFonts w:hint="eastAsia" w:ascii="宋体" w:hAnsi="宋体" w:eastAsia="宋体" w:cs="宋体"/>
          <w:sz w:val="21"/>
          <w:szCs w:val="21"/>
          <w:lang w:val="en-US" w:eastAsia="zh-CN"/>
        </w:rPr>
        <w:t>xxxxx</w:t>
      </w:r>
      <w:r>
        <w:rPr>
          <w:rFonts w:hint="eastAsia" w:ascii="宋体" w:hAnsi="宋体" w:eastAsia="宋体" w:cs="宋体"/>
          <w:sz w:val="21"/>
          <w:szCs w:val="21"/>
        </w:rPr>
        <w:t>公司遵守本协议中关于保密、服务标准等相关约定；</w:t>
      </w:r>
    </w:p>
    <w:p w14:paraId="4814D938">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（3）不得擅自变更项目目标、执行方案，确需变更的，需经甲方书面同意。</w:t>
      </w:r>
    </w:p>
    <w:p w14:paraId="7A659A01">
      <w:pPr>
        <w:pStyle w:val="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第六条 项目成果验收</w:t>
      </w:r>
    </w:p>
    <w:p w14:paraId="6A20CEF7">
      <w:pPr>
        <w:pStyle w:val="4"/>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（一）验收标准及流程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00"/>
        <w:gridCol w:w="4620"/>
        <w:gridCol w:w="2426"/>
      </w:tblGrid>
      <w:tr w14:paraId="35F6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034757">
            <w:pPr>
              <w:pStyle w:val="62"/>
              <w:keepNext w:val="0"/>
              <w:keepLines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验收内容</w:t>
            </w:r>
          </w:p>
        </w:tc>
        <w:tc>
          <w:tcPr>
            <w:tcW w:w="4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5C5831">
            <w:pPr>
              <w:pStyle w:val="62"/>
              <w:keepNext w:val="0"/>
              <w:keepLines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验收标准</w:t>
            </w:r>
          </w:p>
        </w:tc>
        <w:tc>
          <w:tcPr>
            <w:tcW w:w="25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4BBCEA2">
            <w:pPr>
              <w:pStyle w:val="62"/>
              <w:keepNext w:val="0"/>
              <w:keepLines w:val="0"/>
              <w:wordWrap/>
              <w:overflowPunct/>
              <w:topLinePunct w:val="0"/>
              <w:bidi w:val="0"/>
              <w:spacing w:before="0" w:beforeAutospacing="0" w:after="0" w:afterAutospacing="0" w:line="560" w:lineRule="exact"/>
              <w:ind w:firstLine="422" w:firstLineChars="20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验收材料要求</w:t>
            </w:r>
          </w:p>
        </w:tc>
      </w:tr>
      <w:tr w14:paraId="7DA6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FB7AAB">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《江东新区重点产业专利导航报告》</w:t>
            </w:r>
          </w:p>
        </w:tc>
        <w:tc>
          <w:tcPr>
            <w:tcW w:w="4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68796A">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符合国家专利导航指南标准，涵盖本协议第一条第（一）款 2 项全部核心内容，数据真实准确，建议具备可操作性。</w:t>
            </w:r>
          </w:p>
        </w:tc>
        <w:tc>
          <w:tcPr>
            <w:tcW w:w="25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6867883">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《江东新区重点产业专利导航报告》正本（含电子版）</w:t>
            </w:r>
          </w:p>
        </w:tc>
      </w:tr>
      <w:tr w14:paraId="483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7BF02C">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《企业知识产权密集型产品及成果转化情况专项调研简报》</w:t>
            </w:r>
          </w:p>
        </w:tc>
        <w:tc>
          <w:tcPr>
            <w:tcW w:w="4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DD1360">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不少于 20 份，每份涵盖主导产品清单、知识产权权属 / 有效期、未布局原因、技术转化需求、调研成果转移转化情况，内容详实、数据准确。</w:t>
            </w:r>
          </w:p>
        </w:tc>
        <w:tc>
          <w:tcPr>
            <w:tcW w:w="25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EA918C">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1.《简报》正本（含电子版）；2. 企业调研访谈记录</w:t>
            </w:r>
          </w:p>
        </w:tc>
      </w:tr>
      <w:tr w14:paraId="43EB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FD605B">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知识产权布局服务</w:t>
            </w:r>
          </w:p>
        </w:tc>
        <w:tc>
          <w:tcPr>
            <w:tcW w:w="4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F3B5E3">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 件以上专利《受理通知书》，材料齐全</w:t>
            </w:r>
          </w:p>
        </w:tc>
        <w:tc>
          <w:tcPr>
            <w:tcW w:w="25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0B7C15">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受理通知书</w:t>
            </w:r>
          </w:p>
        </w:tc>
      </w:tr>
      <w:tr w14:paraId="42E8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F944E1">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成果转化推广服务</w:t>
            </w:r>
          </w:p>
        </w:tc>
        <w:tc>
          <w:tcPr>
            <w:tcW w:w="4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2B0CF0F">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bidi="ar"/>
              </w:rPr>
              <w:t>曝光量≥500万次（以抖音 / TikTok 官方后台数据为准），</w:t>
            </w:r>
            <w:r>
              <w:rPr>
                <w:rFonts w:hint="eastAsia" w:ascii="宋体" w:hAnsi="宋体" w:eastAsia="宋体" w:cs="宋体"/>
                <w:sz w:val="21"/>
                <w:szCs w:val="21"/>
              </w:rPr>
              <w:t>提供市场反馈信息及企业产品改进证明</w:t>
            </w:r>
            <w:r>
              <w:rPr>
                <w:rFonts w:hint="eastAsia" w:ascii="宋体" w:hAnsi="宋体" w:eastAsia="宋体" w:cs="宋体"/>
                <w:sz w:val="21"/>
                <w:szCs w:val="21"/>
                <w:lang w:bidi="ar"/>
              </w:rPr>
              <w:t>，企业产品改进证明文件不少于2份。</w:t>
            </w:r>
          </w:p>
        </w:tc>
        <w:tc>
          <w:tcPr>
            <w:tcW w:w="25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2E9367">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 推广平台官方数据截图；2. 市场反馈信息汇总表；3. 企业产品改进证明（含企业盖章）</w:t>
            </w:r>
          </w:p>
        </w:tc>
      </w:tr>
      <w:tr w14:paraId="19DF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5D4A19">
            <w:pPr>
              <w:pStyle w:val="62"/>
              <w:keepNext w:val="0"/>
              <w:keepLines w:val="0"/>
              <w:wordWrap/>
              <w:overflowPunct/>
              <w:topLinePunct w:val="0"/>
              <w:bidi w:val="0"/>
              <w:spacing w:before="0" w:beforeAutospacing="0" w:after="0" w:afterAutospacing="0" w:line="560" w:lineRule="exact"/>
              <w:ind w:firstLine="422" w:firstLineChars="200"/>
              <w:jc w:val="both"/>
              <w:textAlignment w:val="auto"/>
              <w:rPr>
                <w:rFonts w:hint="eastAsia" w:ascii="宋体" w:hAnsi="宋体" w:eastAsia="宋体" w:cs="宋体"/>
                <w:sz w:val="21"/>
                <w:szCs w:val="21"/>
              </w:rPr>
            </w:pPr>
            <w:r>
              <w:rPr>
                <w:rFonts w:hint="eastAsia" w:ascii="宋体" w:hAnsi="宋体" w:eastAsia="宋体" w:cs="宋体"/>
                <w:b/>
                <w:bCs/>
                <w:sz w:val="21"/>
                <w:szCs w:val="21"/>
              </w:rPr>
              <w:t>重点产业数据库</w:t>
            </w:r>
          </w:p>
        </w:tc>
        <w:tc>
          <w:tcPr>
            <w:tcW w:w="4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B37E04">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1.在甲方提供的系统上建立维护专利导航数据库，内容覆盖 “4+X” 产业领域，具备检索分析、趋势研判、技术监控功能；</w:t>
            </w:r>
          </w:p>
          <w:p w14:paraId="2AA38955">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 产业专家库入库专家≥10 人。</w:t>
            </w:r>
          </w:p>
        </w:tc>
        <w:tc>
          <w:tcPr>
            <w:tcW w:w="25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801A18">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 数据库截图；2. 专家库名单及简介</w:t>
            </w:r>
          </w:p>
        </w:tc>
      </w:tr>
      <w:tr w14:paraId="4476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2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19868E">
            <w:pPr>
              <w:pStyle w:val="62"/>
              <w:keepNext w:val="0"/>
              <w:keepLines w:val="0"/>
              <w:wordWrap/>
              <w:overflowPunct/>
              <w:topLinePunct w:val="0"/>
              <w:bidi w:val="0"/>
              <w:spacing w:before="0" w:beforeAutospacing="0" w:after="0" w:afterAutospacing="0" w:line="56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培训与活动</w:t>
            </w:r>
          </w:p>
        </w:tc>
        <w:tc>
          <w:tcPr>
            <w:tcW w:w="48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1CD17A">
            <w:pPr>
              <w:pStyle w:val="62"/>
              <w:keepNext w:val="0"/>
              <w:keepLines w:val="0"/>
              <w:numPr>
                <w:ilvl w:val="255"/>
                <w:numId w:val="0"/>
              </w:numPr>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 惠企培训≥10 场（知识产权专题培训 3 场、其他惠企培训 7 场）；2. 对接交流活动≥6 场（成果转化对接 3 场、产学研对接 3 场）</w:t>
            </w:r>
          </w:p>
        </w:tc>
        <w:tc>
          <w:tcPr>
            <w:tcW w:w="250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C4AE76">
            <w:pPr>
              <w:pStyle w:val="62"/>
              <w:keepNext w:val="0"/>
              <w:keepLines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 培训材料汇编（含课件、现场记录、活动宣传稿）；2. 活动资料汇编（含议程、现场记录、宣传稿）</w:t>
            </w:r>
          </w:p>
        </w:tc>
      </w:tr>
    </w:tbl>
    <w:p w14:paraId="3D71D231">
      <w:pPr>
        <w:pStyle w:val="4"/>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（二）验收结果</w:t>
      </w:r>
    </w:p>
    <w:p w14:paraId="2C780822">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1.验收合格：甲方在验收通过后 5 个工作日内出具《验收合格确认书》；</w:t>
      </w:r>
    </w:p>
    <w:p w14:paraId="7E5E7625">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2.验收不合格：乙方需在 15 个工作日内提交书面整改方案（明确整改内容、整改时限等核心内容），经甲方书面同意后按方案实施整改，整改完成后重新申请验收，期间产生的整改费用（含人力、物料、时间成本等）均由乙方自行承担；若二次验收仍未达到合格标准，甲方有权根据未达标服务占比，按对应比例扣减本协议约定的服务费用（扣减金额 = 未达标服务对应协议金额 × 未达标服务占比，未达标服务占比按单项未达标服务数量 / 该类服务总约定数量计算）。</w:t>
      </w:r>
    </w:p>
    <w:p w14:paraId="717EFB18">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第七条 违约责任</w:t>
      </w:r>
    </w:p>
    <w:p w14:paraId="6574781E">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（一）甲方未按本协议约定期限支付款项，并经乙方书面催告后仍逾期的，自催告期限届满之日起，每日按逾期未付款0.5‰的数额向乙方支付违约金，但违约金额不超过本协议总价10%；</w:t>
      </w:r>
    </w:p>
    <w:p w14:paraId="130D7CF0">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（二）乙方未经甲方</w:t>
      </w:r>
      <w:r>
        <w:rPr>
          <w:rFonts w:hint="eastAsia" w:ascii="宋体" w:hAnsi="宋体" w:eastAsia="宋体" w:cs="宋体"/>
          <w:sz w:val="21"/>
          <w:szCs w:val="21"/>
          <w:lang w:val="en-US" w:eastAsia="zh-CN"/>
        </w:rPr>
        <w:t>书面</w:t>
      </w:r>
      <w:r>
        <w:rPr>
          <w:rFonts w:hint="eastAsia" w:ascii="宋体" w:hAnsi="宋体" w:eastAsia="宋体" w:cs="宋体"/>
          <w:sz w:val="21"/>
          <w:szCs w:val="21"/>
        </w:rPr>
        <w:t>同意擅自变更项目目标、执行方案的，甲方有权单方解除本协议，乙方须向甲方支付本协议总价20%的违约金,并退还甲方已支付的全部费用；</w:t>
      </w:r>
    </w:p>
    <w:p w14:paraId="52190FC4">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乙方未能按本协议约定的项目完成进度提交服务成果的，从逾期之日起每日按本协议总价0.5‰的数额向甲方支付违约金；逾期15日以上的，甲方有权单方解除本协议，乙方须退还甲方已支付的全部费用,并向甲方支付协议总价20%的违约金，违约金不足以弥补由此造成的甲方损失的，甲方有权要求乙方继续承担赔偿义务；</w:t>
      </w:r>
    </w:p>
    <w:p w14:paraId="14DC9A88">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未经甲方书面许可，乙方不得将相关资料泄漏给第三方，也不得用作除本协议约定外的其他用途，否则，应承担由此给甲方造成的损失。乙方违反本协议约定的保密或知识产权相关义务的，须按本协议约定总价款的20%向甲方支付违约金；违约金不足以弥补损失的，甲方有权要求乙方继续承担赔偿义务；</w:t>
      </w:r>
    </w:p>
    <w:p w14:paraId="211AC3F7">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（五）如双方因本协议或在履行本协议过程中产生的任何纠纷，违约方应承担守约方因此所支出的合理维权费用（包括但不限于公告费、诉讼费、保全费、维权差旅费等）。</w:t>
      </w:r>
    </w:p>
    <w:p w14:paraId="0E693491">
      <w:pPr>
        <w:pStyle w:val="62"/>
        <w:keepNext w:val="0"/>
        <w:keepLines w:val="0"/>
        <w:wordWrap/>
        <w:overflowPunct/>
        <w:topLinePunct w:val="0"/>
        <w:bidi w:val="0"/>
        <w:spacing w:before="0" w:beforeAutospacing="0" w:after="0" w:afterAutospacing="0" w:line="560" w:lineRule="exact"/>
        <w:ind w:firstLine="422" w:firstLineChars="200"/>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第八条 协议生效及其他</w:t>
      </w:r>
    </w:p>
    <w:p w14:paraId="7EB8F851">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 本协议自双方签字盖章之日起生效，有效期至项目整体验收合格且甲方支付全部费用之日止。</w:t>
      </w:r>
    </w:p>
    <w:p w14:paraId="67D248CF">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（二） 因不可抗力（如地震、战争、政策调整等）导致协议无法履行的，双方可协商延长履行协议的期限。</w:t>
      </w:r>
    </w:p>
    <w:p w14:paraId="1DACFE02">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（三） 本协议未尽事宜，双方可签订补充协议，补充协议与本协议具有同等法律效力。</w:t>
      </w:r>
    </w:p>
    <w:p w14:paraId="117B5CC1">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 因本协议产生的争议，双方应协商解决；协商不成的，任一方均可提交甲方所在地有管辖权的人民法院诉讼解决。</w:t>
      </w:r>
    </w:p>
    <w:p w14:paraId="615B5C73">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（五）本协议一式肆份，甲方执贰份，乙方执贰份，具有同等法律效力。</w:t>
      </w:r>
    </w:p>
    <w:p w14:paraId="61DA0014">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（以下无主文，为本协议签署页）</w:t>
      </w:r>
    </w:p>
    <w:p w14:paraId="17DC3FD8">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p>
    <w:p w14:paraId="4F75AC2B">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p>
    <w:p w14:paraId="2430E849">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p>
    <w:p w14:paraId="08E770CB">
      <w:pPr>
        <w:pStyle w:val="62"/>
        <w:keepNext w:val="0"/>
        <w:keepLines w:val="0"/>
        <w:wordWrap/>
        <w:overflowPunct/>
        <w:topLinePunct w:val="0"/>
        <w:bidi w:val="0"/>
        <w:spacing w:before="0" w:beforeAutospacing="0" w:after="0" w:afterAutospacing="0" w:line="560" w:lineRule="exact"/>
        <w:ind w:firstLine="420" w:firstLineChars="200"/>
        <w:textAlignment w:val="auto"/>
        <w:rPr>
          <w:rFonts w:hint="eastAsia" w:ascii="宋体" w:hAnsi="宋体" w:eastAsia="宋体" w:cs="宋体"/>
          <w:sz w:val="21"/>
          <w:szCs w:val="21"/>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0"/>
        <w:gridCol w:w="4322"/>
      </w:tblGrid>
      <w:tr w14:paraId="32DE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0" w:type="dxa"/>
          </w:tcPr>
          <w:p w14:paraId="7F5AACB6">
            <w:pPr>
              <w:keepNext w:val="0"/>
              <w:keepLines w:val="0"/>
              <w:wordWrap/>
              <w:overflowPunct/>
              <w:topLinePunct w:val="0"/>
              <w:bidi w:val="0"/>
              <w:spacing w:beforeAutospacing="0" w:afterAutospacing="0" w:line="560" w:lineRule="exact"/>
              <w:ind w:firstLine="500" w:firstLineChars="200"/>
              <w:textAlignment w:val="auto"/>
              <w:rPr>
                <w:rFonts w:hint="eastAsia" w:ascii="宋体" w:hAnsi="宋体" w:eastAsia="宋体" w:cs="宋体"/>
                <w:sz w:val="21"/>
                <w:szCs w:val="21"/>
              </w:rPr>
            </w:pPr>
            <w:r>
              <w:rPr>
                <w:rFonts w:hint="eastAsia" w:ascii="宋体" w:hAnsi="宋体" w:eastAsia="宋体" w:cs="宋体"/>
                <w:spacing w:val="20"/>
                <w:sz w:val="21"/>
                <w:szCs w:val="21"/>
              </w:rPr>
              <w:t>甲方(签章):</w:t>
            </w:r>
          </w:p>
          <w:p w14:paraId="41C89374">
            <w:pPr>
              <w:keepNext w:val="0"/>
              <w:keepLines w:val="0"/>
              <w:widowControl/>
              <w:kinsoku w:val="0"/>
              <w:wordWrap/>
              <w:overflowPunct/>
              <w:topLinePunct w:val="0"/>
              <w:autoSpaceDE w:val="0"/>
              <w:autoSpaceDN w:val="0"/>
              <w:bidi w:val="0"/>
              <w:adjustRightInd w:val="0"/>
              <w:snapToGrid w:val="0"/>
              <w:spacing w:beforeAutospacing="0" w:afterAutospacing="0" w:line="560" w:lineRule="exact"/>
              <w:ind w:firstLine="386" w:firstLineChars="200"/>
              <w:textAlignment w:val="auto"/>
              <w:rPr>
                <w:rFonts w:hint="eastAsia" w:ascii="宋体" w:hAnsi="宋体" w:eastAsia="宋体" w:cs="宋体"/>
                <w:spacing w:val="2"/>
                <w:w w:val="90"/>
                <w:sz w:val="21"/>
                <w:szCs w:val="21"/>
                <w:lang w:bidi="ar"/>
              </w:rPr>
            </w:pPr>
          </w:p>
        </w:tc>
        <w:tc>
          <w:tcPr>
            <w:tcW w:w="4322" w:type="dxa"/>
          </w:tcPr>
          <w:p w14:paraId="66B06BF9">
            <w:pPr>
              <w:keepNext w:val="0"/>
              <w:keepLines w:val="0"/>
              <w:widowControl/>
              <w:kinsoku w:val="0"/>
              <w:wordWrap/>
              <w:overflowPunct/>
              <w:topLinePunct w:val="0"/>
              <w:autoSpaceDE w:val="0"/>
              <w:autoSpaceDN w:val="0"/>
              <w:bidi w:val="0"/>
              <w:adjustRightInd w:val="0"/>
              <w:snapToGrid w:val="0"/>
              <w:spacing w:beforeAutospacing="0" w:afterAutospacing="0" w:line="560" w:lineRule="exact"/>
              <w:ind w:firstLine="386" w:firstLineChars="200"/>
              <w:textAlignment w:val="auto"/>
              <w:rPr>
                <w:rFonts w:hint="eastAsia" w:ascii="宋体" w:hAnsi="宋体" w:eastAsia="宋体" w:cs="宋体"/>
                <w:spacing w:val="2"/>
                <w:sz w:val="21"/>
                <w:szCs w:val="21"/>
                <w:lang w:bidi="ar"/>
              </w:rPr>
            </w:pPr>
            <w:r>
              <w:rPr>
                <w:rFonts w:hint="eastAsia" w:ascii="宋体" w:hAnsi="宋体" w:eastAsia="宋体" w:cs="宋体"/>
                <w:spacing w:val="2"/>
                <w:w w:val="90"/>
                <w:sz w:val="21"/>
                <w:szCs w:val="21"/>
                <w:lang w:bidi="ar"/>
              </w:rPr>
              <w:t>乙方（签章）：</w:t>
            </w:r>
          </w:p>
        </w:tc>
      </w:tr>
      <w:tr w14:paraId="5236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200" w:type="dxa"/>
          </w:tcPr>
          <w:p w14:paraId="4038F3EA">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法定代表人（或授权）代表（签名）：</w:t>
            </w:r>
          </w:p>
          <w:p w14:paraId="23EAD908">
            <w:pPr>
              <w:keepNext w:val="0"/>
              <w:keepLines w:val="0"/>
              <w:widowControl/>
              <w:kinsoku w:val="0"/>
              <w:wordWrap/>
              <w:overflowPunct/>
              <w:topLinePunct w:val="0"/>
              <w:autoSpaceDE w:val="0"/>
              <w:autoSpaceDN w:val="0"/>
              <w:bidi w:val="0"/>
              <w:adjustRightInd w:val="0"/>
              <w:snapToGrid w:val="0"/>
              <w:spacing w:beforeAutospacing="0" w:afterAutospacing="0" w:line="560" w:lineRule="exact"/>
              <w:ind w:firstLine="428" w:firstLineChars="200"/>
              <w:textAlignment w:val="auto"/>
              <w:rPr>
                <w:rFonts w:hint="eastAsia" w:ascii="宋体" w:hAnsi="宋体" w:eastAsia="宋体" w:cs="宋体"/>
                <w:spacing w:val="2"/>
                <w:sz w:val="21"/>
                <w:szCs w:val="21"/>
                <w:lang w:bidi="ar"/>
              </w:rPr>
            </w:pPr>
          </w:p>
        </w:tc>
        <w:tc>
          <w:tcPr>
            <w:tcW w:w="4322" w:type="dxa"/>
          </w:tcPr>
          <w:p w14:paraId="5DFD9516">
            <w:pPr>
              <w:pStyle w:val="62"/>
              <w:keepNext w:val="0"/>
              <w:keepLines w:val="0"/>
              <w:widowControl w:val="0"/>
              <w:wordWrap/>
              <w:overflowPunct/>
              <w:topLinePunct w:val="0"/>
              <w:bidi w:val="0"/>
              <w:spacing w:before="0" w:beforeAutospacing="0" w:after="0" w:afterAutospacing="0" w:line="560" w:lineRule="exact"/>
              <w:ind w:firstLine="420" w:firstLineChars="200"/>
              <w:jc w:val="both"/>
              <w:textAlignment w:val="auto"/>
              <w:rPr>
                <w:rFonts w:hint="eastAsia" w:ascii="宋体" w:hAnsi="宋体" w:eastAsia="宋体" w:cs="宋体"/>
                <w:spacing w:val="2"/>
                <w:sz w:val="21"/>
                <w:szCs w:val="21"/>
                <w:lang w:bidi="ar"/>
              </w:rPr>
            </w:pPr>
            <w:r>
              <w:rPr>
                <w:rFonts w:hint="eastAsia" w:ascii="宋体" w:hAnsi="宋体" w:eastAsia="宋体" w:cs="宋体"/>
                <w:sz w:val="21"/>
                <w:szCs w:val="21"/>
              </w:rPr>
              <w:t>法定代表人（或授权）代表（签名）：</w:t>
            </w:r>
          </w:p>
        </w:tc>
      </w:tr>
      <w:tr w14:paraId="15C3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0" w:type="dxa"/>
          </w:tcPr>
          <w:p w14:paraId="4725236C">
            <w:pPr>
              <w:keepNext w:val="0"/>
              <w:keepLines w:val="0"/>
              <w:widowControl/>
              <w:kinsoku w:val="0"/>
              <w:wordWrap/>
              <w:overflowPunct/>
              <w:topLinePunct w:val="0"/>
              <w:autoSpaceDE w:val="0"/>
              <w:autoSpaceDN w:val="0"/>
              <w:bidi w:val="0"/>
              <w:adjustRightInd w:val="0"/>
              <w:snapToGrid w:val="0"/>
              <w:spacing w:beforeAutospacing="0" w:afterAutospacing="0" w:line="560" w:lineRule="exact"/>
              <w:ind w:firstLine="428" w:firstLineChars="200"/>
              <w:textAlignment w:val="auto"/>
              <w:rPr>
                <w:rFonts w:hint="eastAsia" w:ascii="宋体" w:hAnsi="宋体" w:eastAsia="宋体" w:cs="宋体"/>
                <w:spacing w:val="2"/>
                <w:sz w:val="21"/>
                <w:szCs w:val="21"/>
                <w:lang w:bidi="ar"/>
              </w:rPr>
            </w:pPr>
          </w:p>
        </w:tc>
        <w:tc>
          <w:tcPr>
            <w:tcW w:w="4322" w:type="dxa"/>
          </w:tcPr>
          <w:p w14:paraId="52B0D237">
            <w:pPr>
              <w:keepNext w:val="0"/>
              <w:keepLines w:val="0"/>
              <w:widowControl/>
              <w:kinsoku w:val="0"/>
              <w:wordWrap/>
              <w:overflowPunct/>
              <w:topLinePunct w:val="0"/>
              <w:autoSpaceDE w:val="0"/>
              <w:autoSpaceDN w:val="0"/>
              <w:bidi w:val="0"/>
              <w:adjustRightInd w:val="0"/>
              <w:snapToGrid w:val="0"/>
              <w:spacing w:beforeAutospacing="0" w:afterAutospacing="0" w:line="560" w:lineRule="exact"/>
              <w:ind w:firstLine="428" w:firstLineChars="200"/>
              <w:textAlignment w:val="auto"/>
              <w:rPr>
                <w:rFonts w:hint="eastAsia" w:ascii="宋体" w:hAnsi="宋体" w:eastAsia="宋体" w:cs="宋体"/>
                <w:spacing w:val="2"/>
                <w:sz w:val="21"/>
                <w:szCs w:val="21"/>
                <w:lang w:bidi="ar"/>
              </w:rPr>
            </w:pPr>
          </w:p>
        </w:tc>
      </w:tr>
      <w:tr w14:paraId="4E4B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00" w:type="dxa"/>
          </w:tcPr>
          <w:p w14:paraId="62350F58">
            <w:pPr>
              <w:keepNext w:val="0"/>
              <w:keepLines w:val="0"/>
              <w:wordWrap/>
              <w:overflowPunct/>
              <w:topLinePunct w:val="0"/>
              <w:bidi w:val="0"/>
              <w:spacing w:beforeAutospacing="0" w:afterAutospacing="0" w:line="560" w:lineRule="exact"/>
              <w:ind w:firstLine="464" w:firstLineChars="200"/>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日期：     年    月   日</w:t>
            </w:r>
          </w:p>
          <w:p w14:paraId="4E0445B0">
            <w:pPr>
              <w:keepNext w:val="0"/>
              <w:keepLines w:val="0"/>
              <w:widowControl/>
              <w:kinsoku w:val="0"/>
              <w:wordWrap/>
              <w:overflowPunct/>
              <w:topLinePunct w:val="0"/>
              <w:autoSpaceDE w:val="0"/>
              <w:autoSpaceDN w:val="0"/>
              <w:bidi w:val="0"/>
              <w:adjustRightInd w:val="0"/>
              <w:snapToGrid w:val="0"/>
              <w:spacing w:beforeAutospacing="0" w:afterAutospacing="0" w:line="560" w:lineRule="exact"/>
              <w:ind w:firstLine="428" w:firstLineChars="200"/>
              <w:textAlignment w:val="auto"/>
              <w:rPr>
                <w:rFonts w:hint="eastAsia" w:ascii="宋体" w:hAnsi="宋体" w:eastAsia="宋体" w:cs="宋体"/>
                <w:spacing w:val="2"/>
                <w:sz w:val="21"/>
                <w:szCs w:val="21"/>
                <w:lang w:bidi="ar"/>
              </w:rPr>
            </w:pPr>
          </w:p>
        </w:tc>
        <w:tc>
          <w:tcPr>
            <w:tcW w:w="4322" w:type="dxa"/>
          </w:tcPr>
          <w:p w14:paraId="48D415B5">
            <w:pPr>
              <w:keepNext w:val="0"/>
              <w:keepLines w:val="0"/>
              <w:wordWrap/>
              <w:overflowPunct/>
              <w:topLinePunct w:val="0"/>
              <w:bidi w:val="0"/>
              <w:spacing w:beforeAutospacing="0" w:afterAutospacing="0" w:line="560" w:lineRule="exact"/>
              <w:ind w:firstLine="464" w:firstLineChars="200"/>
              <w:textAlignment w:val="auto"/>
              <w:rPr>
                <w:rFonts w:hint="eastAsia" w:ascii="宋体" w:hAnsi="宋体" w:eastAsia="宋体" w:cs="宋体"/>
                <w:spacing w:val="11"/>
                <w:sz w:val="21"/>
                <w:szCs w:val="21"/>
              </w:rPr>
            </w:pPr>
            <w:r>
              <w:rPr>
                <w:rFonts w:hint="eastAsia" w:ascii="宋体" w:hAnsi="宋体" w:eastAsia="宋体" w:cs="宋体"/>
                <w:spacing w:val="11"/>
                <w:sz w:val="21"/>
                <w:szCs w:val="21"/>
              </w:rPr>
              <w:t>日期：     年    月   日</w:t>
            </w:r>
          </w:p>
          <w:p w14:paraId="440F8A2F">
            <w:pPr>
              <w:keepNext w:val="0"/>
              <w:keepLines w:val="0"/>
              <w:widowControl/>
              <w:kinsoku w:val="0"/>
              <w:wordWrap/>
              <w:overflowPunct/>
              <w:topLinePunct w:val="0"/>
              <w:autoSpaceDE w:val="0"/>
              <w:autoSpaceDN w:val="0"/>
              <w:bidi w:val="0"/>
              <w:adjustRightInd w:val="0"/>
              <w:snapToGrid w:val="0"/>
              <w:spacing w:beforeAutospacing="0" w:afterAutospacing="0" w:line="560" w:lineRule="exact"/>
              <w:ind w:firstLine="428" w:firstLineChars="200"/>
              <w:textAlignment w:val="auto"/>
              <w:rPr>
                <w:rFonts w:hint="eastAsia" w:ascii="宋体" w:hAnsi="宋体" w:eastAsia="宋体" w:cs="宋体"/>
                <w:spacing w:val="2"/>
                <w:sz w:val="21"/>
                <w:szCs w:val="21"/>
                <w:lang w:bidi="ar"/>
              </w:rPr>
            </w:pPr>
          </w:p>
        </w:tc>
      </w:tr>
    </w:tbl>
    <w:p w14:paraId="01C2E43E">
      <w:pPr>
        <w:pageBreakBefore w:val="0"/>
        <w:wordWrap/>
        <w:topLinePunct w:val="0"/>
        <w:bidi w:val="0"/>
        <w:adjustRightInd w:val="0"/>
        <w:snapToGrid w:val="0"/>
        <w:spacing w:line="360" w:lineRule="auto"/>
        <w:ind w:firstLine="1680" w:firstLineChars="800"/>
        <w:textAlignment w:val="auto"/>
        <w:rPr>
          <w:rFonts w:asciiTheme="minorEastAsia" w:hAnsiTheme="minorEastAsia" w:eastAsiaTheme="minorEastAsia" w:cstheme="minorEastAsia"/>
          <w:bCs/>
          <w:color w:val="auto"/>
          <w:sz w:val="21"/>
          <w:szCs w:val="21"/>
        </w:rPr>
      </w:pPr>
    </w:p>
    <w:p w14:paraId="13C2E32D">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299E9000">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项目（项目编号（分包号）：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 贰 </w:t>
      </w:r>
      <w:r>
        <w:rPr>
          <w:rFonts w:hint="eastAsia" w:asciiTheme="minorEastAsia" w:hAnsiTheme="minorEastAsia" w:eastAsiaTheme="minorEastAsia" w:cstheme="minorEastAsia"/>
          <w:bCs/>
          <w:color w:val="auto"/>
          <w:sz w:val="21"/>
          <w:szCs w:val="21"/>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r>
        <w:rPr>
          <w:rFonts w:hint="eastAsia" w:asciiTheme="minorEastAsia" w:hAnsiTheme="minorEastAsia" w:eastAsiaTheme="minorEastAsia" w:cstheme="minorEastAsia"/>
          <w:bCs/>
          <w:color w:val="auto"/>
          <w:sz w:val="21"/>
          <w:szCs w:val="21"/>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服务期限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rPr>
            </w:pPr>
          </w:p>
        </w:tc>
        <w:tc>
          <w:tcPr>
            <w:tcW w:w="1450" w:type="dxa"/>
            <w:noWrap/>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w:t>
            </w:r>
            <w:r>
              <w:rPr>
                <w:rFonts w:hint="eastAsia" w:asciiTheme="minorEastAsia" w:hAnsiTheme="minorEastAsia" w:eastAsiaTheme="minorEastAsia" w:cstheme="minorEastAsia"/>
                <w:bCs/>
                <w:color w:val="0000FF"/>
                <w:sz w:val="21"/>
                <w:szCs w:val="21"/>
                <w:lang w:val="en-US" w:eastAsia="zh-CN"/>
              </w:rPr>
              <w:t>中小微</w:t>
            </w:r>
            <w:r>
              <w:rPr>
                <w:rFonts w:hint="eastAsia" w:asciiTheme="minorEastAsia" w:hAnsiTheme="minorEastAsia" w:eastAsiaTheme="minorEastAsia" w:cstheme="minorEastAsia"/>
                <w:bCs/>
                <w:color w:val="auto"/>
                <w:sz w:val="21"/>
                <w:szCs w:val="21"/>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1069AD6">
      <w:pPr>
        <w:pStyle w:val="16"/>
        <w:rPr>
          <w:rFonts w:hint="eastAsia" w:ascii="宋体" w:hAnsi="宋体" w:eastAsia="宋体" w:cs="宋体"/>
          <w:bCs/>
          <w:color w:val="auto"/>
          <w:kern w:val="2"/>
          <w:sz w:val="21"/>
          <w:szCs w:val="21"/>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lang w:val="en-US" w:eastAsia="zh-CN" w:bidi="ar-SA"/>
        </w:rPr>
      </w:pPr>
      <w:r>
        <w:rPr>
          <w:rFonts w:hint="eastAsia" w:ascii="宋体" w:hAnsi="宋体" w:eastAsia="宋体" w:cs="宋体"/>
          <w:b/>
          <w:bCs w:val="0"/>
          <w:color w:val="auto"/>
          <w:kern w:val="2"/>
          <w:sz w:val="21"/>
          <w:szCs w:val="21"/>
          <w:lang w:val="en-US" w:eastAsia="zh-CN" w:bidi="ar-SA"/>
        </w:rPr>
        <w:t>格式3:</w:t>
      </w:r>
      <w:r>
        <w:rPr>
          <w:rFonts w:hint="eastAsia" w:ascii="宋体" w:hAnsi="宋体" w:eastAsia="宋体" w:cs="宋体"/>
          <w:bCs/>
          <w:color w:val="auto"/>
          <w:kern w:val="2"/>
          <w:sz w:val="21"/>
          <w:szCs w:val="21"/>
          <w:lang w:val="en-US" w:eastAsia="zh-CN" w:bidi="ar-SA"/>
        </w:rPr>
        <w:t xml:space="preserve">                            </w:t>
      </w:r>
      <w:r>
        <w:rPr>
          <w:rFonts w:hint="eastAsia" w:ascii="宋体" w:hAnsi="宋体" w:cs="宋体"/>
          <w:b/>
          <w:bCs w:val="0"/>
          <w:color w:val="auto"/>
          <w:kern w:val="2"/>
          <w:sz w:val="21"/>
          <w:szCs w:val="21"/>
          <w:lang w:val="en-US" w:eastAsia="zh-CN" w:bidi="ar-SA"/>
        </w:rPr>
        <w:t>响应报价</w:t>
      </w:r>
      <w:r>
        <w:rPr>
          <w:rFonts w:hint="eastAsia" w:ascii="宋体" w:hAnsi="宋体" w:eastAsia="宋体" w:cs="宋体"/>
          <w:b/>
          <w:bCs w:val="0"/>
          <w:color w:val="auto"/>
          <w:kern w:val="2"/>
          <w:sz w:val="21"/>
          <w:szCs w:val="21"/>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项目名称：                         项目编号（分包号）∶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rPr>
              <w:t>服务费用明细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代表签名：                日期：</w:t>
      </w:r>
    </w:p>
    <w:p w14:paraId="2450988B">
      <w:pPr>
        <w:pStyle w:val="16"/>
        <w:rPr>
          <w:rFonts w:hint="eastAsia"/>
        </w:rPr>
        <w:sectPr>
          <w:pgSz w:w="11906" w:h="16838"/>
          <w:pgMar w:top="1440" w:right="1800" w:bottom="1440" w:left="1800" w:header="794" w:footer="992" w:gutter="0"/>
          <w:pgNumType w:fmt="decimal"/>
          <w:cols w:space="425" w:num="1"/>
          <w:docGrid w:type="lines" w:linePitch="312" w:charSpace="0"/>
        </w:sectPr>
      </w:pPr>
    </w:p>
    <w:p w14:paraId="7A50B5DF">
      <w:pPr>
        <w:rPr>
          <w:rFonts w:hint="eastAsia"/>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格式4：</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454480CD">
      <w:pPr>
        <w:pStyle w:val="14"/>
        <w:rPr>
          <w:rFonts w:hint="eastAsia" w:asciiTheme="minorEastAsia" w:hAnsiTheme="minorEastAsia" w:eastAsiaTheme="minorEastAsia" w:cstheme="minorEastAsia"/>
          <w:b/>
          <w:color w:val="auto"/>
          <w:sz w:val="21"/>
          <w:szCs w:val="21"/>
        </w:rPr>
      </w:pPr>
    </w:p>
    <w:p w14:paraId="0B386BC8">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5BD5EA2D">
      <w:pPr>
        <w:keepNext w:val="0"/>
        <w:keepLines w:val="0"/>
        <w:pageBreakBefore w:val="0"/>
        <w:widowControl w:val="0"/>
        <w:kinsoku/>
        <w:wordWrap/>
        <w:overflowPunct/>
        <w:topLinePunct w:val="0"/>
        <w:autoSpaceDE/>
        <w:autoSpaceDN/>
        <w:bidi w:val="0"/>
        <w:spacing w:line="560" w:lineRule="exact"/>
        <w:textAlignment w:val="auto"/>
        <w:rPr>
          <w:color w:val="auto"/>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16DE82F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108F2B8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9409C2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7DD6774C">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6BEAF9C8">
      <w:pPr>
        <w:pStyle w:val="14"/>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C200670">
      <w:pPr>
        <w:pStyle w:val="16"/>
        <w:ind w:left="0" w:leftChars="0" w:firstLine="0" w:firstLineChars="0"/>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33487CE1">
      <w:pPr>
        <w:pStyle w:val="32"/>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格式5：</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4AA0D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1DC70E36">
      <w:pPr>
        <w:pStyle w:val="32"/>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CF5F1DE">
      <w:pPr>
        <w:pStyle w:val="32"/>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格式6：</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r>
        <w:rPr>
          <w:rFonts w:hint="eastAsia" w:ascii="宋体" w:hAnsi="宋体" w:cs="宋体"/>
          <w:color w:val="auto"/>
          <w:spacing w:val="0"/>
          <w:w w:val="100"/>
          <w:position w:val="0"/>
          <w:sz w:val="21"/>
          <w:szCs w:val="21"/>
          <w:u w:val="single"/>
          <w:lang w:eastAsia="zh-CN"/>
        </w:rPr>
        <w:t>采购人</w:t>
      </w:r>
      <w:r>
        <w:rPr>
          <w:rFonts w:hint="eastAsia" w:ascii="宋体" w:hAnsi="宋体" w:eastAsia="宋体" w:cs="宋体"/>
          <w:color w:val="auto"/>
          <w:spacing w:val="0"/>
          <w:w w:val="100"/>
          <w:position w:val="0"/>
          <w:sz w:val="21"/>
          <w:szCs w:val="21"/>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w:t>
      </w:r>
      <w:r>
        <w:rPr>
          <w:rFonts w:hint="eastAsia" w:ascii="宋体" w:hAnsi="宋体" w:eastAsia="宋体" w:cs="宋体"/>
          <w:color w:val="auto"/>
          <w:spacing w:val="0"/>
          <w:w w:val="100"/>
          <w:position w:val="0"/>
          <w:sz w:val="21"/>
          <w:szCs w:val="21"/>
          <w:u w:val="single"/>
          <w:lang w:eastAsia="zh-CN"/>
        </w:rPr>
        <w:t>（分包号）</w:t>
      </w:r>
      <w:r>
        <w:rPr>
          <w:rFonts w:hint="eastAsia" w:ascii="宋体" w:hAnsi="宋体" w:eastAsia="宋体" w:cs="宋体"/>
          <w:color w:val="auto"/>
          <w:spacing w:val="0"/>
          <w:w w:val="100"/>
          <w:position w:val="0"/>
          <w:sz w:val="21"/>
          <w:szCs w:val="21"/>
          <w:u w:val="single"/>
        </w:rPr>
        <w:t>： ）</w:t>
      </w:r>
      <w:r>
        <w:rPr>
          <w:rFonts w:hint="eastAsia" w:ascii="宋体" w:hAnsi="宋体" w:eastAsia="宋体" w:cs="宋体"/>
          <w:color w:val="auto"/>
          <w:spacing w:val="0"/>
          <w:w w:val="100"/>
          <w:position w:val="0"/>
          <w:sz w:val="21"/>
          <w:szCs w:val="21"/>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043629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1</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中小企业声明函（服务类）</w:t>
      </w:r>
    </w:p>
    <w:p w14:paraId="0E5EC71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3D17EF5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65EF423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附件4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 xml:space="preserve">                       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6282F9B9">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Kaiti">
    <w:altName w:val="宋体"/>
    <w:panose1 w:val="02010600040101010101"/>
    <w:charset w:val="86"/>
    <w:family w:val="auto"/>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1"/>
      <w:jc w:val="center"/>
    </w:pPr>
  </w:p>
  <w:p w14:paraId="742618A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1"/>
      <w:jc w:val="center"/>
    </w:pPr>
  </w:p>
  <w:p w14:paraId="6C51D52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922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8AB22C">
      <w:pPr>
        <w:pStyle w:val="14"/>
        <w:snapToGrid w:val="0"/>
      </w:pPr>
      <w:r>
        <w:rPr>
          <w:rStyle w:val="27"/>
        </w:rPr>
        <w:footnoteRef/>
      </w:r>
      <w:r>
        <w:t xml:space="preserve"> </w:t>
      </w:r>
      <w:r>
        <w:rPr>
          <w:rFonts w:hint="eastAsia"/>
        </w:rPr>
        <w:t>4+</w:t>
      </w:r>
      <w:r>
        <w:t>X</w:t>
      </w:r>
      <w:r>
        <w:rPr>
          <w:rFonts w:hint="eastAsia"/>
        </w:rPr>
        <w:t>重点产业：临空经济、新金融、消费精品、数字智慧及出口型 / 外向型产业。</w:t>
      </w:r>
    </w:p>
  </w:footnote>
  <w:footnote w:id="1">
    <w:p w14:paraId="459E3A88">
      <w:pPr>
        <w:pStyle w:val="14"/>
        <w:snapToGrid w:val="0"/>
      </w:pPr>
      <w:r>
        <w:rPr>
          <w:rStyle w:val="27"/>
        </w:rPr>
        <w:footnoteRef/>
      </w:r>
      <w:r>
        <w:t xml:space="preserve"> </w:t>
      </w:r>
      <w:r>
        <w:rPr>
          <w:rFonts w:hint="eastAsia"/>
        </w:rPr>
        <w:t>4+</w:t>
      </w:r>
      <w:r>
        <w:t>X</w:t>
      </w:r>
      <w:r>
        <w:rPr>
          <w:rFonts w:hint="eastAsia"/>
        </w:rPr>
        <w:t>重点产业：临空经济、新金融、消费精品、数字智慧及出口型 / 外向型产业。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2"/>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9"/>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9"/>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2"/>
      <w:pBdr>
        <w:bottom w:val="none" w:color="auto" w:sz="0" w:space="1"/>
      </w:pBdr>
    </w:pPr>
    <w:r>
      <w:rPr>
        <w:sz w:val="21"/>
        <w:szCs w:val="21"/>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3F0C6C2C"/>
    <w:multiLevelType w:val="singleLevel"/>
    <w:tmpl w:val="3F0C6C2C"/>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53D9C"/>
    <w:rsid w:val="009A1606"/>
    <w:rsid w:val="009B4088"/>
    <w:rsid w:val="00A63F7E"/>
    <w:rsid w:val="00CF3B3E"/>
    <w:rsid w:val="012F0CEC"/>
    <w:rsid w:val="01527EDF"/>
    <w:rsid w:val="0159347F"/>
    <w:rsid w:val="01816A09"/>
    <w:rsid w:val="019F3AAF"/>
    <w:rsid w:val="02213014"/>
    <w:rsid w:val="022D30DA"/>
    <w:rsid w:val="02455925"/>
    <w:rsid w:val="02D219C4"/>
    <w:rsid w:val="03231259"/>
    <w:rsid w:val="033B0CFE"/>
    <w:rsid w:val="034F7EF4"/>
    <w:rsid w:val="03854560"/>
    <w:rsid w:val="03BF4CCA"/>
    <w:rsid w:val="03C14561"/>
    <w:rsid w:val="040D3C69"/>
    <w:rsid w:val="04261197"/>
    <w:rsid w:val="04630F4A"/>
    <w:rsid w:val="049B5476"/>
    <w:rsid w:val="04E03371"/>
    <w:rsid w:val="052D4ADE"/>
    <w:rsid w:val="055E210C"/>
    <w:rsid w:val="056A57F8"/>
    <w:rsid w:val="05F21DE6"/>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A774AC"/>
    <w:rsid w:val="08DB2D17"/>
    <w:rsid w:val="08DC5BCE"/>
    <w:rsid w:val="090F409F"/>
    <w:rsid w:val="09601EFA"/>
    <w:rsid w:val="09A068B5"/>
    <w:rsid w:val="09B37E23"/>
    <w:rsid w:val="09FC5A6D"/>
    <w:rsid w:val="0A586351"/>
    <w:rsid w:val="0A7B7C6C"/>
    <w:rsid w:val="0A89454C"/>
    <w:rsid w:val="0AA52631"/>
    <w:rsid w:val="0AD87214"/>
    <w:rsid w:val="0AF21923"/>
    <w:rsid w:val="0AFD710E"/>
    <w:rsid w:val="0BB7140A"/>
    <w:rsid w:val="0BBC0022"/>
    <w:rsid w:val="0BD90EE9"/>
    <w:rsid w:val="0C282C80"/>
    <w:rsid w:val="0C747BE1"/>
    <w:rsid w:val="0C796895"/>
    <w:rsid w:val="0C8D7232"/>
    <w:rsid w:val="0C956CDB"/>
    <w:rsid w:val="0C9E593E"/>
    <w:rsid w:val="0CC95340"/>
    <w:rsid w:val="0CE06855"/>
    <w:rsid w:val="0CF271BF"/>
    <w:rsid w:val="0D3A63F7"/>
    <w:rsid w:val="0D5F1E64"/>
    <w:rsid w:val="0DB27913"/>
    <w:rsid w:val="0DFD1228"/>
    <w:rsid w:val="0E2B535C"/>
    <w:rsid w:val="0E603E62"/>
    <w:rsid w:val="0F3B3D47"/>
    <w:rsid w:val="0F4814BC"/>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32D6E78"/>
    <w:rsid w:val="137C0484"/>
    <w:rsid w:val="13962132"/>
    <w:rsid w:val="1399374C"/>
    <w:rsid w:val="139C4065"/>
    <w:rsid w:val="1437327D"/>
    <w:rsid w:val="145A17F2"/>
    <w:rsid w:val="145A366F"/>
    <w:rsid w:val="14B33330"/>
    <w:rsid w:val="14E24257"/>
    <w:rsid w:val="14E71F9E"/>
    <w:rsid w:val="14F364DD"/>
    <w:rsid w:val="150D5D06"/>
    <w:rsid w:val="157F1A78"/>
    <w:rsid w:val="15D078F9"/>
    <w:rsid w:val="15DA2C5A"/>
    <w:rsid w:val="1605187F"/>
    <w:rsid w:val="16154877"/>
    <w:rsid w:val="1672108A"/>
    <w:rsid w:val="16AD37FE"/>
    <w:rsid w:val="16C0190D"/>
    <w:rsid w:val="170F0CDD"/>
    <w:rsid w:val="17137D16"/>
    <w:rsid w:val="17B77DC6"/>
    <w:rsid w:val="186A144F"/>
    <w:rsid w:val="18812024"/>
    <w:rsid w:val="18DA1062"/>
    <w:rsid w:val="18DF750D"/>
    <w:rsid w:val="19057B47"/>
    <w:rsid w:val="192E465C"/>
    <w:rsid w:val="195A634B"/>
    <w:rsid w:val="199C16E9"/>
    <w:rsid w:val="199D5F29"/>
    <w:rsid w:val="19CA20B2"/>
    <w:rsid w:val="1A5202FA"/>
    <w:rsid w:val="1AAC33FA"/>
    <w:rsid w:val="1AED0A61"/>
    <w:rsid w:val="1B056327"/>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777AD4"/>
    <w:rsid w:val="287D015D"/>
    <w:rsid w:val="288B7471"/>
    <w:rsid w:val="28A92BCF"/>
    <w:rsid w:val="28B078C0"/>
    <w:rsid w:val="29335621"/>
    <w:rsid w:val="293755EF"/>
    <w:rsid w:val="297213A4"/>
    <w:rsid w:val="298A5CE1"/>
    <w:rsid w:val="29935745"/>
    <w:rsid w:val="299E0C30"/>
    <w:rsid w:val="29AF73CD"/>
    <w:rsid w:val="29CF2C9E"/>
    <w:rsid w:val="2A1525B3"/>
    <w:rsid w:val="2A1F3C77"/>
    <w:rsid w:val="2A420242"/>
    <w:rsid w:val="2A770325"/>
    <w:rsid w:val="2B577739"/>
    <w:rsid w:val="2B82420A"/>
    <w:rsid w:val="2BC32FA6"/>
    <w:rsid w:val="2BDE0F2A"/>
    <w:rsid w:val="2C1F0ECB"/>
    <w:rsid w:val="2C2F0132"/>
    <w:rsid w:val="2C5B48B1"/>
    <w:rsid w:val="2C635A6B"/>
    <w:rsid w:val="2C9C63F2"/>
    <w:rsid w:val="2CE95AE3"/>
    <w:rsid w:val="2CEE3181"/>
    <w:rsid w:val="2D056A81"/>
    <w:rsid w:val="2D0D1210"/>
    <w:rsid w:val="2D205DF5"/>
    <w:rsid w:val="2D6F2A08"/>
    <w:rsid w:val="2D7A708A"/>
    <w:rsid w:val="2D986A7C"/>
    <w:rsid w:val="2D990460"/>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C330A2"/>
    <w:rsid w:val="31032820"/>
    <w:rsid w:val="31847465"/>
    <w:rsid w:val="31DE379A"/>
    <w:rsid w:val="327D0402"/>
    <w:rsid w:val="32A61FCC"/>
    <w:rsid w:val="32C0465B"/>
    <w:rsid w:val="32CE6B16"/>
    <w:rsid w:val="33000244"/>
    <w:rsid w:val="3319111C"/>
    <w:rsid w:val="33366578"/>
    <w:rsid w:val="33A63D3F"/>
    <w:rsid w:val="33AA7583"/>
    <w:rsid w:val="33D41912"/>
    <w:rsid w:val="33F61B9F"/>
    <w:rsid w:val="346C65E7"/>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706D2B"/>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A03C3"/>
    <w:rsid w:val="3E0C29CB"/>
    <w:rsid w:val="3E1438A5"/>
    <w:rsid w:val="3E2F3F92"/>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80392B"/>
    <w:rsid w:val="45883F8A"/>
    <w:rsid w:val="45F04858"/>
    <w:rsid w:val="4606799E"/>
    <w:rsid w:val="4629386F"/>
    <w:rsid w:val="466174A4"/>
    <w:rsid w:val="468B197E"/>
    <w:rsid w:val="46D52AA1"/>
    <w:rsid w:val="470E5183"/>
    <w:rsid w:val="471F4F7F"/>
    <w:rsid w:val="47413903"/>
    <w:rsid w:val="47501D1D"/>
    <w:rsid w:val="479B2B65"/>
    <w:rsid w:val="47E241F2"/>
    <w:rsid w:val="47E67EE1"/>
    <w:rsid w:val="47F05DF8"/>
    <w:rsid w:val="484C22AF"/>
    <w:rsid w:val="488B7FA6"/>
    <w:rsid w:val="48AC59F4"/>
    <w:rsid w:val="49057F3E"/>
    <w:rsid w:val="493D11A5"/>
    <w:rsid w:val="49497376"/>
    <w:rsid w:val="49913258"/>
    <w:rsid w:val="49AD56D2"/>
    <w:rsid w:val="49DF2FA3"/>
    <w:rsid w:val="49ED1963"/>
    <w:rsid w:val="49F41BF1"/>
    <w:rsid w:val="49FE18E4"/>
    <w:rsid w:val="4A2B6493"/>
    <w:rsid w:val="4A570B81"/>
    <w:rsid w:val="4A596A5D"/>
    <w:rsid w:val="4A7D708F"/>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E0A0B66"/>
    <w:rsid w:val="4E295649"/>
    <w:rsid w:val="4E434405"/>
    <w:rsid w:val="4E6D51A2"/>
    <w:rsid w:val="4E8B3BC1"/>
    <w:rsid w:val="4F203050"/>
    <w:rsid w:val="4F330037"/>
    <w:rsid w:val="4F6B7B7D"/>
    <w:rsid w:val="4F840FDE"/>
    <w:rsid w:val="4F8A0ABB"/>
    <w:rsid w:val="502B260A"/>
    <w:rsid w:val="5031169F"/>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19B7"/>
    <w:rsid w:val="5463665A"/>
    <w:rsid w:val="54737C15"/>
    <w:rsid w:val="5489364B"/>
    <w:rsid w:val="54D86D8D"/>
    <w:rsid w:val="554B067D"/>
    <w:rsid w:val="55583A1F"/>
    <w:rsid w:val="55705033"/>
    <w:rsid w:val="557D70BE"/>
    <w:rsid w:val="55CE4587"/>
    <w:rsid w:val="5624337B"/>
    <w:rsid w:val="56332F20"/>
    <w:rsid w:val="56E827E2"/>
    <w:rsid w:val="56E96FC6"/>
    <w:rsid w:val="57103B34"/>
    <w:rsid w:val="5714694D"/>
    <w:rsid w:val="57340E32"/>
    <w:rsid w:val="5809010E"/>
    <w:rsid w:val="58117322"/>
    <w:rsid w:val="582A0AC8"/>
    <w:rsid w:val="583525C6"/>
    <w:rsid w:val="583F79A7"/>
    <w:rsid w:val="588E0FF2"/>
    <w:rsid w:val="589932BB"/>
    <w:rsid w:val="589D7D67"/>
    <w:rsid w:val="58F5055B"/>
    <w:rsid w:val="58FC3E36"/>
    <w:rsid w:val="59264674"/>
    <w:rsid w:val="596801AA"/>
    <w:rsid w:val="596F1852"/>
    <w:rsid w:val="5992473D"/>
    <w:rsid w:val="59D251A4"/>
    <w:rsid w:val="5A16575C"/>
    <w:rsid w:val="5A175510"/>
    <w:rsid w:val="5A5F15A1"/>
    <w:rsid w:val="5A954EAF"/>
    <w:rsid w:val="5ABB4A59"/>
    <w:rsid w:val="5AC230A5"/>
    <w:rsid w:val="5B070F30"/>
    <w:rsid w:val="5B1D06EE"/>
    <w:rsid w:val="5B3E7A46"/>
    <w:rsid w:val="5B907B59"/>
    <w:rsid w:val="5BAB5771"/>
    <w:rsid w:val="5BFB5EB2"/>
    <w:rsid w:val="5C495DD3"/>
    <w:rsid w:val="5C4E06E7"/>
    <w:rsid w:val="5C593A80"/>
    <w:rsid w:val="5D041CF2"/>
    <w:rsid w:val="5D272928"/>
    <w:rsid w:val="5D2B2C34"/>
    <w:rsid w:val="5D4F03EF"/>
    <w:rsid w:val="5D905C05"/>
    <w:rsid w:val="5DCD0AC1"/>
    <w:rsid w:val="5E02038B"/>
    <w:rsid w:val="5E3E0FB2"/>
    <w:rsid w:val="5EB670F6"/>
    <w:rsid w:val="5EE67330"/>
    <w:rsid w:val="5F212FF8"/>
    <w:rsid w:val="5F8B27B8"/>
    <w:rsid w:val="5FB72636"/>
    <w:rsid w:val="5FB843DD"/>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6C147B"/>
    <w:rsid w:val="65832223"/>
    <w:rsid w:val="664A7A0D"/>
    <w:rsid w:val="671A190B"/>
    <w:rsid w:val="672D1356"/>
    <w:rsid w:val="6731767E"/>
    <w:rsid w:val="67335956"/>
    <w:rsid w:val="68016B77"/>
    <w:rsid w:val="68307014"/>
    <w:rsid w:val="687047EC"/>
    <w:rsid w:val="690C2F01"/>
    <w:rsid w:val="692A3B68"/>
    <w:rsid w:val="693A4663"/>
    <w:rsid w:val="699B0FA7"/>
    <w:rsid w:val="699F0403"/>
    <w:rsid w:val="6A257C7E"/>
    <w:rsid w:val="6AAD2156"/>
    <w:rsid w:val="6AED0C62"/>
    <w:rsid w:val="6AF66468"/>
    <w:rsid w:val="6AF86E22"/>
    <w:rsid w:val="6B276638"/>
    <w:rsid w:val="6B5F2CBB"/>
    <w:rsid w:val="6B850358"/>
    <w:rsid w:val="6BA23990"/>
    <w:rsid w:val="6BA92A8C"/>
    <w:rsid w:val="6BBF6B35"/>
    <w:rsid w:val="6BD40CFD"/>
    <w:rsid w:val="6C2271E5"/>
    <w:rsid w:val="6C6139A2"/>
    <w:rsid w:val="6C6B059F"/>
    <w:rsid w:val="6C7259E8"/>
    <w:rsid w:val="6C8C5F63"/>
    <w:rsid w:val="6CFA34DB"/>
    <w:rsid w:val="6CFD6829"/>
    <w:rsid w:val="6D0B3EE8"/>
    <w:rsid w:val="6D330230"/>
    <w:rsid w:val="6D332F6E"/>
    <w:rsid w:val="6D396B87"/>
    <w:rsid w:val="6DB265D8"/>
    <w:rsid w:val="6DB301A4"/>
    <w:rsid w:val="6DD84920"/>
    <w:rsid w:val="6DDB5D1F"/>
    <w:rsid w:val="6DE82115"/>
    <w:rsid w:val="6DF14E2F"/>
    <w:rsid w:val="6E1F4FB0"/>
    <w:rsid w:val="6E465867"/>
    <w:rsid w:val="6E5246F3"/>
    <w:rsid w:val="6F3326BD"/>
    <w:rsid w:val="6F5B19D4"/>
    <w:rsid w:val="6FBD5643"/>
    <w:rsid w:val="6FC50CC6"/>
    <w:rsid w:val="6FDF215C"/>
    <w:rsid w:val="6FF979C2"/>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511CBF"/>
    <w:rsid w:val="756E4256"/>
    <w:rsid w:val="75D723B2"/>
    <w:rsid w:val="76393941"/>
    <w:rsid w:val="76584AFD"/>
    <w:rsid w:val="76D40E9A"/>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387BE8"/>
    <w:rsid w:val="7A4D74CC"/>
    <w:rsid w:val="7A60559B"/>
    <w:rsid w:val="7AC843DE"/>
    <w:rsid w:val="7AE53F7B"/>
    <w:rsid w:val="7AE9123F"/>
    <w:rsid w:val="7AED3D24"/>
    <w:rsid w:val="7AFC3A32"/>
    <w:rsid w:val="7B237139"/>
    <w:rsid w:val="7B323F28"/>
    <w:rsid w:val="7B4D150D"/>
    <w:rsid w:val="7B504D7D"/>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style>
  <w:style w:type="paragraph" w:styleId="8">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9">
    <w:name w:val="Plain Text"/>
    <w:basedOn w:val="1"/>
    <w:qFormat/>
    <w:uiPriority w:val="0"/>
    <w:rPr>
      <w:rFonts w:ascii="宋体" w:hAnsi="Courier New"/>
      <w:szCs w:val="20"/>
    </w:rPr>
  </w:style>
  <w:style w:type="paragraph" w:styleId="10">
    <w:name w:val="Balloon Text"/>
    <w:basedOn w:val="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4">
    <w:name w:val="footnote text"/>
    <w:basedOn w:val="1"/>
    <w:qFormat/>
    <w:uiPriority w:val="0"/>
    <w:pPr>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8"/>
    <w:unhideWhenUsed/>
    <w:qFormat/>
    <w:uiPriority w:val="0"/>
    <w:pPr>
      <w:spacing w:after="120" w:line="240" w:lineRule="auto"/>
      <w:ind w:left="420" w:leftChars="200" w:firstLine="420" w:firstLineChars="200"/>
    </w:pPr>
    <w:rPr>
      <w:sz w:val="21"/>
      <w:szCs w:val="21"/>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footnote reference"/>
    <w:semiHidden/>
    <w:unhideWhenUsed/>
    <w:qFormat/>
    <w:uiPriority w:val="99"/>
    <w:rPr>
      <w:vertAlign w:val="superscript"/>
    </w:rPr>
  </w:style>
  <w:style w:type="character" w:styleId="28">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9">
    <w:name w:val="HTML Sample"/>
    <w:basedOn w:val="19"/>
    <w:semiHidden/>
    <w:unhideWhenUsed/>
    <w:qFormat/>
    <w:uiPriority w:val="0"/>
    <w:rPr>
      <w:rFonts w:ascii="Consolas" w:hAnsi="Consolas" w:eastAsia="Consolas" w:cs="Consolas"/>
      <w:sz w:val="21"/>
      <w:szCs w:val="21"/>
    </w:rPr>
  </w:style>
  <w:style w:type="paragraph" w:customStyle="1" w:styleId="30">
    <w:name w:val="Quote"/>
    <w:basedOn w:val="1"/>
    <w:next w:val="1"/>
    <w:qFormat/>
    <w:uiPriority w:val="99"/>
    <w:rPr>
      <w:rFonts w:ascii="Calibri" w:hAnsi="Calibri" w:cs="Calibri"/>
      <w:i/>
      <w:iCs/>
      <w:color w:val="000000"/>
      <w:sz w:val="22"/>
      <w:szCs w:val="22"/>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样式3"/>
    <w:basedOn w:val="9"/>
    <w:qFormat/>
    <w:uiPriority w:val="0"/>
    <w:pPr>
      <w:spacing w:line="0" w:lineRule="atLeast"/>
      <w:outlineLvl w:val="0"/>
    </w:pPr>
    <w:rPr>
      <w:sz w:val="28"/>
      <w:szCs w:val="24"/>
    </w:rPr>
  </w:style>
  <w:style w:type="paragraph" w:customStyle="1" w:styleId="33">
    <w:name w:val="正文1"/>
    <w:qFormat/>
    <w:uiPriority w:val="0"/>
    <w:pPr>
      <w:jc w:val="both"/>
    </w:pPr>
    <w:rPr>
      <w:rFonts w:ascii="Calibri" w:hAnsi="Calibri" w:eastAsia="宋体" w:cs="宋体"/>
      <w:kern w:val="2"/>
      <w:sz w:val="21"/>
      <w:szCs w:val="21"/>
      <w:lang w:val="en-US" w:eastAsia="zh-CN" w:bidi="ar-SA"/>
    </w:rPr>
  </w:style>
  <w:style w:type="paragraph" w:customStyle="1" w:styleId="34">
    <w:name w:val="Normal_18"/>
    <w:qFormat/>
    <w:uiPriority w:val="0"/>
    <w:rPr>
      <w:rFonts w:ascii="Times New Roman" w:hAnsi="Times New Roman" w:eastAsia="宋体" w:cs="Times New Roman"/>
      <w:sz w:val="21"/>
      <w:lang w:val="en-US" w:eastAsia="zh-CN" w:bidi="ar-SA"/>
    </w:rPr>
  </w:style>
  <w:style w:type="character" w:customStyle="1" w:styleId="35">
    <w:name w:val="ndata"/>
    <w:basedOn w:val="19"/>
    <w:qFormat/>
    <w:uiPriority w:val="0"/>
    <w:rPr>
      <w:color w:val="AAAAAA"/>
    </w:rPr>
  </w:style>
  <w:style w:type="character" w:customStyle="1" w:styleId="36">
    <w:name w:val="NormalCharacter"/>
    <w:qFormat/>
    <w:uiPriority w:val="0"/>
    <w:rPr>
      <w:sz w:val="21"/>
      <w:lang w:val="en-US" w:eastAsia="zh-CN" w:bidi="ar-SA"/>
    </w:rPr>
  </w:style>
  <w:style w:type="paragraph" w:customStyle="1" w:styleId="37">
    <w:name w:val="正文2"/>
    <w:basedOn w:val="1"/>
    <w:qFormat/>
    <w:uiPriority w:val="0"/>
    <w:pPr>
      <w:spacing w:before="156" w:line="360" w:lineRule="auto"/>
      <w:ind w:firstLine="510" w:firstLineChars="200"/>
    </w:pPr>
    <w:rPr>
      <w:sz w:val="24"/>
    </w:rPr>
  </w:style>
  <w:style w:type="paragraph" w:customStyle="1" w:styleId="38">
    <w:name w:val="NormalIndent"/>
    <w:basedOn w:val="1"/>
    <w:qFormat/>
    <w:uiPriority w:val="0"/>
    <w:pPr>
      <w:widowControl/>
      <w:ind w:firstLine="200" w:firstLineChars="200"/>
      <w:textAlignment w:val="baseline"/>
    </w:pPr>
    <w:rPr>
      <w:rFonts w:ascii="Calibri" w:hAnsi="Calibri"/>
    </w:rPr>
  </w:style>
  <w:style w:type="paragraph" w:styleId="39">
    <w:name w:val="List Paragraph"/>
    <w:basedOn w:val="1"/>
    <w:qFormat/>
    <w:uiPriority w:val="34"/>
    <w:pPr>
      <w:ind w:firstLine="420" w:firstLineChars="200"/>
    </w:pPr>
  </w:style>
  <w:style w:type="paragraph" w:customStyle="1" w:styleId="4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1">
    <w:name w:val="active5"/>
    <w:basedOn w:val="19"/>
    <w:qFormat/>
    <w:uiPriority w:val="0"/>
    <w:rPr>
      <w:color w:val="FFFFFF"/>
      <w:shd w:val="clear" w:fill="428BCA"/>
    </w:rPr>
  </w:style>
  <w:style w:type="character" w:customStyle="1" w:styleId="42">
    <w:name w:val="ui-jqgrid-resize"/>
    <w:basedOn w:val="19"/>
    <w:qFormat/>
    <w:uiPriority w:val="0"/>
  </w:style>
  <w:style w:type="character" w:customStyle="1" w:styleId="43">
    <w:name w:val="ui-icon37"/>
    <w:basedOn w:val="19"/>
    <w:qFormat/>
    <w:uiPriority w:val="0"/>
  </w:style>
  <w:style w:type="character" w:customStyle="1" w:styleId="44">
    <w:name w:val="ui-icon38"/>
    <w:basedOn w:val="19"/>
    <w:qFormat/>
    <w:uiPriority w:val="0"/>
  </w:style>
  <w:style w:type="character" w:customStyle="1" w:styleId="45">
    <w:name w:val="ui-icon39"/>
    <w:basedOn w:val="19"/>
    <w:qFormat/>
    <w:uiPriority w:val="0"/>
  </w:style>
  <w:style w:type="character" w:customStyle="1" w:styleId="46">
    <w:name w:val="input-icon2"/>
    <w:basedOn w:val="19"/>
    <w:qFormat/>
    <w:uiPriority w:val="0"/>
  </w:style>
  <w:style w:type="character" w:customStyle="1" w:styleId="47">
    <w:name w:val="before"/>
    <w:basedOn w:val="19"/>
    <w:qFormat/>
    <w:uiPriority w:val="0"/>
    <w:rPr>
      <w:rFonts w:hint="default" w:ascii="FontAwesome" w:hAnsi="FontAwesome" w:eastAsia="FontAwesome" w:cs="FontAwesome"/>
      <w:color w:val="888888"/>
    </w:rPr>
  </w:style>
  <w:style w:type="character" w:customStyle="1" w:styleId="48">
    <w:name w:val="before1"/>
    <w:basedOn w:val="19"/>
    <w:qFormat/>
    <w:uiPriority w:val="0"/>
    <w:rPr>
      <w:rFonts w:hint="default" w:ascii="FontAwesome" w:hAnsi="FontAwesome" w:eastAsia="FontAwesome" w:cs="FontAwesome"/>
      <w:color w:val="888888"/>
    </w:rPr>
  </w:style>
  <w:style w:type="character" w:customStyle="1" w:styleId="49">
    <w:name w:val="hover6"/>
    <w:basedOn w:val="19"/>
    <w:qFormat/>
    <w:uiPriority w:val="0"/>
    <w:rPr>
      <w:shd w:val="clear" w:fill="EEEEEE"/>
    </w:rPr>
  </w:style>
  <w:style w:type="character" w:customStyle="1" w:styleId="50">
    <w:name w:val="old"/>
    <w:basedOn w:val="19"/>
    <w:qFormat/>
    <w:uiPriority w:val="0"/>
    <w:rPr>
      <w:color w:val="999999"/>
    </w:rPr>
  </w:style>
  <w:style w:type="character" w:customStyle="1" w:styleId="51">
    <w:name w:val="ui-icon40"/>
    <w:basedOn w:val="19"/>
    <w:qFormat/>
    <w:uiPriority w:val="0"/>
  </w:style>
  <w:style w:type="paragraph" w:customStyle="1" w:styleId="52">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3">
    <w:name w:val="font31"/>
    <w:basedOn w:val="19"/>
    <w:qFormat/>
    <w:uiPriority w:val="0"/>
    <w:rPr>
      <w:rFonts w:hint="default" w:ascii="Arial" w:hAnsi="Arial" w:cs="Arial"/>
      <w:b/>
      <w:color w:val="000000"/>
      <w:sz w:val="24"/>
      <w:szCs w:val="24"/>
      <w:u w:val="none"/>
    </w:rPr>
  </w:style>
  <w:style w:type="character" w:customStyle="1" w:styleId="54">
    <w:name w:val="font81"/>
    <w:basedOn w:val="19"/>
    <w:qFormat/>
    <w:uiPriority w:val="0"/>
    <w:rPr>
      <w:rFonts w:ascii="新宋体" w:hAnsi="新宋体" w:eastAsia="新宋体" w:cs="新宋体"/>
      <w:color w:val="000000"/>
      <w:sz w:val="21"/>
      <w:szCs w:val="21"/>
      <w:u w:val="none"/>
    </w:rPr>
  </w:style>
  <w:style w:type="character" w:customStyle="1" w:styleId="55">
    <w:name w:val="font41"/>
    <w:basedOn w:val="19"/>
    <w:qFormat/>
    <w:uiPriority w:val="0"/>
    <w:rPr>
      <w:rFonts w:hint="default" w:ascii="Times New Roman" w:hAnsi="Times New Roman" w:cs="Times New Roman"/>
      <w:color w:val="000000"/>
      <w:sz w:val="18"/>
      <w:szCs w:val="18"/>
      <w:u w:val="none"/>
    </w:rPr>
  </w:style>
  <w:style w:type="character" w:customStyle="1" w:styleId="56">
    <w:name w:val="font51"/>
    <w:basedOn w:val="19"/>
    <w:qFormat/>
    <w:uiPriority w:val="0"/>
    <w:rPr>
      <w:rFonts w:hint="eastAsia" w:ascii="宋体" w:hAnsi="宋体" w:eastAsia="宋体" w:cs="宋体"/>
      <w:b/>
      <w:color w:val="000000"/>
      <w:sz w:val="32"/>
      <w:szCs w:val="32"/>
      <w:u w:val="none"/>
    </w:rPr>
  </w:style>
  <w:style w:type="character" w:customStyle="1" w:styleId="57">
    <w:name w:val="font01"/>
    <w:basedOn w:val="19"/>
    <w:qFormat/>
    <w:uiPriority w:val="0"/>
    <w:rPr>
      <w:rFonts w:hint="eastAsia" w:ascii="宋体" w:hAnsi="宋体" w:eastAsia="宋体" w:cs="宋体"/>
      <w:color w:val="000000"/>
      <w:sz w:val="24"/>
      <w:szCs w:val="24"/>
      <w:u w:val="none"/>
    </w:rPr>
  </w:style>
  <w:style w:type="character" w:customStyle="1" w:styleId="58">
    <w:name w:val="font71"/>
    <w:basedOn w:val="19"/>
    <w:qFormat/>
    <w:uiPriority w:val="0"/>
    <w:rPr>
      <w:rFonts w:hint="default" w:ascii="仿宋_GB2312" w:eastAsia="仿宋_GB2312" w:cs="仿宋_GB2312"/>
      <w:b/>
      <w:bCs/>
      <w:color w:val="000000"/>
      <w:sz w:val="32"/>
      <w:szCs w:val="32"/>
      <w:u w:val="none"/>
    </w:rPr>
  </w:style>
  <w:style w:type="character" w:customStyle="1" w:styleId="59">
    <w:name w:val="active1"/>
    <w:basedOn w:val="19"/>
    <w:qFormat/>
    <w:uiPriority w:val="0"/>
    <w:rPr>
      <w:color w:val="FFFFFF"/>
      <w:shd w:val="clear" w:fill="428BCA"/>
    </w:rPr>
  </w:style>
  <w:style w:type="character" w:customStyle="1" w:styleId="60">
    <w:name w:val="hover5"/>
    <w:basedOn w:val="19"/>
    <w:qFormat/>
    <w:uiPriority w:val="0"/>
    <w:rPr>
      <w:shd w:val="clear" w:fill="EEEEEE"/>
    </w:rPr>
  </w:style>
  <w:style w:type="character" w:customStyle="1" w:styleId="61">
    <w:name w:val="ui-jqgrid-resize2"/>
    <w:basedOn w:val="19"/>
    <w:qFormat/>
    <w:uiPriority w:val="0"/>
  </w:style>
  <w:style w:type="paragraph" w:customStyle="1" w:styleId="62">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美兰区</Company>
  <Pages>49</Pages>
  <Words>1615</Words>
  <Characters>1778</Characters>
  <Lines>701</Lines>
  <Paragraphs>197</Paragraphs>
  <TotalTime>15</TotalTime>
  <ScaleCrop>false</ScaleCrop>
  <LinksUpToDate>false</LinksUpToDate>
  <CharactersWithSpaces>1804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2020-09-02T10:13:00Z</dcterms:created>
  <dc:creator>随风</dc:creator>
  <cp:lastModifiedBy>王欣欣</cp:lastModifiedBy>
  <cp:lastPrinted>2021-11-04T10:19:00Z</cp:lastPrinted>
  <dcterms:modified xsi:type="dcterms:W3CDTF">2025-10-22T07:46:41Z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8F6BFC40EB49455A975DC06D6FBEEECD_13</vt:lpwstr>
  </property>
  <property fmtid="{D5CDD505-2E9C-101B-9397-08002B2CF9AE}" pid="4" name="KSOTemplateDocerSaveRecord">
    <vt:lpwstr>eyJoZGlkIjoiYWJmNTAxYTA0NTllZTU0OWY5NWY0MWNlMzBjNGU2OTYiLCJ1c2VySWQiOiIxMTUzNjIyOTU4In0=</vt:lpwstr>
  </property>
</Properties>
</file>