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CC9B">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115836E5">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003EA7D7">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第一批</w:t>
      </w:r>
      <w:bookmarkStart w:id="0" w:name="_GoBack"/>
      <w:bookmarkEnd w:id="0"/>
      <w:r>
        <w:rPr>
          <w:rFonts w:ascii="方正小标宋简体" w:hAnsi="方正小标宋简体" w:eastAsia="方正小标宋简体" w:cs="方正小标宋简体"/>
          <w:sz w:val="44"/>
          <w:szCs w:val="44"/>
        </w:rPr>
        <w:t>剩余房源选房方案</w:t>
      </w:r>
    </w:p>
    <w:p w14:paraId="7EB9A2DE">
      <w:pPr>
        <w:rPr>
          <w:rFonts w:hint="eastAsia"/>
        </w:rPr>
      </w:pPr>
    </w:p>
    <w:p w14:paraId="32AA0E9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40FEAD51">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054BDCF0">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A6794D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2C6CC8A">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1FA16CFA">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本批次房源为2#、3#、4#、5#共四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highlight w:val="none"/>
          <w:lang w:bidi="ar"/>
        </w:rPr>
        <w:t>合计</w:t>
      </w:r>
      <w:r>
        <w:rPr>
          <w:rFonts w:hint="eastAsia" w:ascii="仿宋_GB2312" w:hAnsi="仿宋_GB2312" w:eastAsia="仿宋_GB2312" w:cs="仿宋_GB2312"/>
          <w:color w:val="000000"/>
          <w:kern w:val="0"/>
          <w:sz w:val="32"/>
          <w:szCs w:val="32"/>
          <w:highlight w:val="none"/>
          <w:lang w:bidi="ar"/>
        </w:rPr>
        <w:t>521</w:t>
      </w:r>
      <w:r>
        <w:rPr>
          <w:rFonts w:ascii="仿宋_GB2312" w:hAnsi="仿宋_GB2312" w:eastAsia="仿宋_GB2312" w:cs="仿宋_GB2312"/>
          <w:color w:val="000000"/>
          <w:kern w:val="0"/>
          <w:sz w:val="32"/>
          <w:szCs w:val="32"/>
          <w:highlight w:val="none"/>
          <w:lang w:bidi="ar"/>
        </w:rPr>
        <w:t>套</w:t>
      </w:r>
      <w:r>
        <w:rPr>
          <w:rFonts w:hint="eastAsia" w:ascii="仿宋_GB2312" w:hAnsi="仿宋_GB2312" w:eastAsia="仿宋_GB2312" w:cs="仿宋_GB2312"/>
          <w:color w:val="000000"/>
          <w:kern w:val="0"/>
          <w:sz w:val="32"/>
          <w:szCs w:val="32"/>
          <w:highlight w:val="none"/>
          <w:lang w:bidi="ar"/>
        </w:rPr>
        <w:t>（根据销售情况更新）。</w:t>
      </w:r>
    </w:p>
    <w:p w14:paraId="0EDE780F">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（三）户型面积：约87㎡两房两厅户型75套、约100㎡三房两厅户型307套、115-118㎡四房两厅户型139套。</w:t>
      </w:r>
    </w:p>
    <w:p w14:paraId="07B09BA3">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p>
    <w:p w14:paraId="1D4F7AEF">
      <w:pPr>
        <w:widowControl/>
        <w:ind w:firstLine="640" w:firstLineChars="200"/>
        <w:jc w:val="left"/>
        <w:rPr>
          <w:rFonts w:hint="eastAsia" w:ascii="仿宋_GB2312" w:hAnsi="仿宋_GB2312" w:eastAsia="仿宋_GB2312" w:cs="仿宋_GB2312"/>
          <w:color w:val="000000"/>
          <w:kern w:val="0"/>
          <w:sz w:val="32"/>
          <w:szCs w:val="32"/>
          <w:lang w:bidi="ar"/>
        </w:rPr>
      </w:pPr>
    </w:p>
    <w:p w14:paraId="0D2BD79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65F9F772">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4196B079">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4CFCE68D">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1D258BD6">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447257B3">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719B4863">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6D35006A">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255DC57D">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196E244E">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31737A4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62713F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435D59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704F695A">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318992B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05CD407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2E2F80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6F677BEE">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700A3D9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53E8B0ED">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20D8586E">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26C52FC1">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75C5D700">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41D61DAD">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4E3D474B">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1FE4F31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2D4EBA4F">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404E3354">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38A329-F445-4438-B5A8-898C315DA6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6EA69F09-F049-4822-B359-F49DE4C9BF47}"/>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D00A716-F8E8-4054-ACDB-661E042C168D}"/>
  </w:font>
  <w:font w:name="微软雅黑">
    <w:panose1 w:val="020B0503020204020204"/>
    <w:charset w:val="86"/>
    <w:family w:val="swiss"/>
    <w:pitch w:val="default"/>
    <w:sig w:usb0="80000287" w:usb1="2ACF3C50" w:usb2="00000016" w:usb3="00000000" w:csb0="0004001F" w:csb1="00000000"/>
    <w:embedRegular r:id="rId4" w:fontKey="{DDFB817D-18E3-42D2-8566-D26163CB540C}"/>
  </w:font>
  <w:font w:name="___WRD_EMBED_SUB_45">
    <w:altName w:val="宋体"/>
    <w:panose1 w:val="00000000000000000000"/>
    <w:charset w:val="86"/>
    <w:family w:val="auto"/>
    <w:pitch w:val="default"/>
    <w:sig w:usb0="00000000" w:usb1="00000000" w:usb2="00000010" w:usb3="00000000" w:csb0="00040000" w:csb1="00000000"/>
    <w:embedRegular r:id="rId5" w:fontKey="{DC5333EC-CFD9-4A2E-BAAE-2B92872BBB68}"/>
  </w:font>
  <w:font w:name="方正楷体_GB2312">
    <w:panose1 w:val="02000000000000000000"/>
    <w:charset w:val="86"/>
    <w:family w:val="auto"/>
    <w:pitch w:val="default"/>
    <w:sig w:usb0="A00002BF" w:usb1="184F6CFA" w:usb2="00000012" w:usb3="00000000" w:csb0="00040001" w:csb1="00000000"/>
    <w:embedRegular r:id="rId6" w:fontKey="{83D54117-0052-46C3-A533-D6FBC837F1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20D7">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BCE21">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1BCE21">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286C20"/>
    <w:rsid w:val="006C2B62"/>
    <w:rsid w:val="009B755D"/>
    <w:rsid w:val="009E0173"/>
    <w:rsid w:val="00A06316"/>
    <w:rsid w:val="00B54D93"/>
    <w:rsid w:val="00BF6D2A"/>
    <w:rsid w:val="00D96D40"/>
    <w:rsid w:val="02C04560"/>
    <w:rsid w:val="0399119D"/>
    <w:rsid w:val="056718EE"/>
    <w:rsid w:val="08A74FFC"/>
    <w:rsid w:val="0DB17E48"/>
    <w:rsid w:val="10D95BF6"/>
    <w:rsid w:val="11817272"/>
    <w:rsid w:val="11866127"/>
    <w:rsid w:val="128D4874"/>
    <w:rsid w:val="15170C46"/>
    <w:rsid w:val="15264F27"/>
    <w:rsid w:val="18FE222C"/>
    <w:rsid w:val="1B217891"/>
    <w:rsid w:val="2098271C"/>
    <w:rsid w:val="25140E84"/>
    <w:rsid w:val="25D53C59"/>
    <w:rsid w:val="28AE24E5"/>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BD81A5E"/>
    <w:rsid w:val="3CF84DFE"/>
    <w:rsid w:val="40846396"/>
    <w:rsid w:val="42874E1C"/>
    <w:rsid w:val="45B27966"/>
    <w:rsid w:val="46C63281"/>
    <w:rsid w:val="487D096B"/>
    <w:rsid w:val="49EC3FFA"/>
    <w:rsid w:val="4D9720BA"/>
    <w:rsid w:val="50332A85"/>
    <w:rsid w:val="530E6399"/>
    <w:rsid w:val="5314305A"/>
    <w:rsid w:val="559C7F28"/>
    <w:rsid w:val="567710EF"/>
    <w:rsid w:val="56EC24F9"/>
    <w:rsid w:val="586170E7"/>
    <w:rsid w:val="58F65EF2"/>
    <w:rsid w:val="59CA4BDF"/>
    <w:rsid w:val="5D4C3736"/>
    <w:rsid w:val="5D8C25B8"/>
    <w:rsid w:val="5F8858A9"/>
    <w:rsid w:val="64A31301"/>
    <w:rsid w:val="64FE0348"/>
    <w:rsid w:val="6834241B"/>
    <w:rsid w:val="6FD45B5C"/>
    <w:rsid w:val="71EA0570"/>
    <w:rsid w:val="72BD5875"/>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1460</Words>
  <Characters>1495</Characters>
  <Lines>43</Lines>
  <Paragraphs>39</Paragraphs>
  <TotalTime>2</TotalTime>
  <ScaleCrop>false</ScaleCrop>
  <LinksUpToDate>false</LinksUpToDate>
  <CharactersWithSpaces>1496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2025-12-02T06:14:00Z</dcterms:created>
  <dc:creator>靖萱</dc:creator>
  <cp:lastModifiedBy>靖萱</cp:lastModifiedBy>
  <dcterms:modified xsi:type="dcterms:W3CDTF">2025-12-02T06:50:33Z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0890B408DC414774A195D4B6262E1CA4_13</vt:lpwstr>
  </property>
  <property fmtid="{D5CDD505-2E9C-101B-9397-08002B2CF9AE}" pid="4" name="KSOTemplateDocerSaveRecord">
    <vt:lpwstr>eyJoZGlkIjoiYmE4NjJhNDk4MjAwMzVjZWQ0M2YxZWJhNzAzODdmMjMiLCJ1c2VySWQiOiIyNjU4NTk2NDcifQ==</vt:lpwstr>
  </property>
</Properties>
</file>