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14:paraId="254CE3F4">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6826091"/>
      <w:bookmarkStart w:id="1" w:name="_Toc245888257"/>
      <w:bookmarkStart w:id="2" w:name="_Toc245887524"/>
      <w:bookmarkStart w:id="3" w:name="_Toc246825786"/>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5888258"/>
      <w:bookmarkStart w:id="5" w:name="_Toc245887525"/>
      <w:bookmarkStart w:id="6" w:name="_Toc246825787"/>
      <w:bookmarkStart w:id="7" w:name="_Toc246826092"/>
      <w:r>
        <w:rPr>
          <w:rFonts w:hint="eastAsia" w:asciiTheme="minorEastAsia" w:hAnsiTheme="minorEastAsia" w:eastAsiaTheme="minorEastAsia" w:cstheme="minorEastAsia"/>
          <w:b/>
          <w:bCs w:val="0"/>
          <w:color w:val="auto"/>
          <w:sz w:val="28"/>
          <w:szCs w:val="28"/>
          <w:lang w:val="en-US" w:eastAsia="zh-CN"/>
        </w:rPr>
        <w:t>JDCG-ZHB-2025-002</w:t>
      </w:r>
    </w:p>
    <w:p w14:paraId="62D8FDA5">
      <w:pPr>
        <w:pStyle w:val="10"/>
        <w:pageBreakBefore w:val="0"/>
        <w:wordWrap/>
        <w:topLinePunct w:val="0"/>
        <w:bidi w:val="0"/>
        <w:spacing w:line="360" w:lineRule="auto"/>
        <w:ind w:left="3360" w:leftChars="931" w:hanging="1405" w:hanging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6825789"/>
      <w:bookmarkStart w:id="9" w:name="_Toc246826094"/>
      <w:bookmarkStart w:id="10" w:name="_Toc245888260"/>
      <w:bookmarkStart w:id="11" w:name="_Toc245887527"/>
      <w:r>
        <w:rPr>
          <w:rFonts w:hint="eastAsia" w:asciiTheme="minorEastAsia" w:hAnsiTheme="minorEastAsia" w:eastAsiaTheme="minorEastAsia" w:cstheme="minorEastAsia"/>
          <w:b/>
          <w:bCs w:val="0"/>
          <w:color w:val="auto"/>
          <w:sz w:val="28"/>
          <w:szCs w:val="28"/>
          <w:lang w:val="en-US" w:eastAsia="zh-CN"/>
        </w:rPr>
        <w:t>海口江东新区展示中心维修工程</w:t>
      </w:r>
    </w:p>
    <w:p w14:paraId="73209A7F">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10"/>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8"/>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16"/>
        <w:ind w:left="0" w:leftChars="0" w:firstLine="0" w:firstLineChars="0"/>
        <w:rPr>
          <w:rFonts w:hint="eastAsia"/>
          <w:color w:val="auto"/>
          <w:sz w:val="21"/>
          <w:szCs w:val="21"/>
        </w:rPr>
      </w:pPr>
    </w:p>
    <w:p w14:paraId="3FF695FA">
      <w:pPr>
        <w:pStyle w:val="16"/>
        <w:rPr>
          <w:rFonts w:hint="eastAsia"/>
          <w:color w:val="auto"/>
          <w:sz w:val="21"/>
          <w:szCs w:val="21"/>
        </w:rPr>
      </w:pPr>
    </w:p>
    <w:p w14:paraId="3A401298">
      <w:pPr>
        <w:pStyle w:val="16"/>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10"/>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2025</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12</w:t>
      </w:r>
      <w:r>
        <w:rPr>
          <w:rFonts w:hint="eastAsia" w:asciiTheme="minorEastAsia" w:hAnsiTheme="minorEastAsia" w:eastAsiaTheme="minorEastAsia" w:cstheme="minorEastAsia"/>
          <w:b/>
          <w:color w:val="auto"/>
          <w:spacing w:val="40"/>
          <w:sz w:val="28"/>
          <w:szCs w:val="28"/>
        </w:rPr>
        <w:t>月</w:t>
      </w:r>
    </w:p>
    <w:p w14:paraId="603292A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78C16E5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 xml:space="preserve">第一章 </w:t>
      </w:r>
      <w:r>
        <w:rPr>
          <w:rFonts w:hint="eastAsia" w:asciiTheme="minorEastAsia" w:hAnsiTheme="minorEastAsia" w:eastAsiaTheme="minorEastAsia" w:cstheme="minorEastAsia"/>
          <w:b/>
          <w:color w:val="auto"/>
          <w:sz w:val="21"/>
          <w:szCs w:val="21"/>
          <w:lang w:val="en-US" w:eastAsia="zh-CN"/>
        </w:rPr>
        <w:t>比选公告</w:t>
      </w:r>
    </w:p>
    <w:p w14:paraId="140B06E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第二章 采购需求</w:t>
      </w:r>
    </w:p>
    <w:p w14:paraId="2394663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第三章 供应商须知</w:t>
      </w:r>
    </w:p>
    <w:p w14:paraId="27966A9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第四章 审查标准和评审标准</w:t>
      </w:r>
    </w:p>
    <w:p w14:paraId="6BDAE56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第五章 采购合同格式</w:t>
      </w:r>
    </w:p>
    <w:p w14:paraId="0315030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color w:val="auto"/>
          <w:sz w:val="21"/>
          <w:szCs w:val="21"/>
          <w:lang w:val="en-US" w:eastAsia="zh-CN"/>
        </w:rPr>
        <w:t>第六章 响应文件格式及附件</w:t>
      </w:r>
    </w:p>
    <w:p w14:paraId="0A9ABD7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0F358BF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1、项目编号：</w:t>
      </w:r>
      <w:r>
        <w:rPr>
          <w:rFonts w:hint="eastAsia" w:asciiTheme="minorEastAsia" w:hAnsiTheme="minorEastAsia" w:eastAsiaTheme="minorEastAsia" w:cstheme="minorEastAsia"/>
          <w:b w:val="0"/>
          <w:bCs/>
          <w:color w:val="auto"/>
          <w:sz w:val="21"/>
          <w:szCs w:val="21"/>
          <w:lang w:val="en-US" w:eastAsia="zh-CN"/>
        </w:rPr>
        <w:t>JDCG-ZHB-2025-002</w:t>
      </w:r>
    </w:p>
    <w:p w14:paraId="43F5A20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2、项目名称：海口江东新区展示中心</w:t>
      </w:r>
      <w:r>
        <w:rPr>
          <w:rFonts w:hint="eastAsia" w:asciiTheme="minorEastAsia" w:hAnsiTheme="minorEastAsia" w:eastAsiaTheme="minorEastAsia" w:cstheme="minorEastAsia"/>
          <w:b w:val="0"/>
          <w:bCs/>
          <w:color w:val="auto"/>
          <w:sz w:val="21"/>
          <w:szCs w:val="21"/>
          <w:lang w:val="en-US" w:eastAsia="zh-CN"/>
        </w:rPr>
        <w:t>维修工程</w:t>
      </w:r>
    </w:p>
    <w:p w14:paraId="3901E42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auto"/>
          <w:sz w:val="21"/>
          <w:szCs w:val="21"/>
          <w:lang w:val="en-US" w:eastAsia="zh-CN"/>
        </w:rPr>
      </w:pPr>
      <w:r>
        <w:rPr>
          <w:rFonts w:hint="eastAsia" w:asciiTheme="minorEastAsia" w:hAnsiTheme="minorEastAsia" w:eastAsiaTheme="minorEastAsia" w:cstheme="minorEastAsia"/>
          <w:b w:val="0"/>
          <w:bCs/>
          <w:color w:val="auto"/>
          <w:sz w:val="21"/>
          <w:szCs w:val="21"/>
        </w:rPr>
        <w:t>3、预算金额：</w:t>
      </w:r>
      <w:r>
        <w:rPr>
          <w:rFonts w:hint="eastAsia" w:asciiTheme="minorEastAsia" w:hAnsiTheme="minorEastAsia" w:eastAsiaTheme="minorEastAsia" w:cstheme="minorEastAsia"/>
          <w:b w:val="0"/>
          <w:bCs/>
          <w:color w:val="auto"/>
          <w:sz w:val="21"/>
          <w:szCs w:val="21"/>
          <w:lang w:val="en-US" w:eastAsia="zh-CN"/>
        </w:rPr>
        <w:t>492707.17元，供应商报价不得超出最高限价，</w:t>
      </w:r>
      <w:bookmarkStart w:id="252" w:name="_GoBack"/>
      <w:bookmarkEnd w:id="252"/>
      <w:r>
        <w:rPr>
          <w:rFonts w:hint="eastAsia" w:asciiTheme="minorEastAsia" w:hAnsiTheme="minorEastAsia" w:eastAsiaTheme="minorEastAsia" w:cstheme="minorEastAsia"/>
          <w:b w:val="0"/>
          <w:bCs/>
          <w:color w:val="auto"/>
          <w:sz w:val="21"/>
          <w:szCs w:val="21"/>
          <w:lang w:val="en-US" w:eastAsia="zh-CN"/>
        </w:rPr>
        <w:t>否则按废标处理。</w:t>
      </w:r>
    </w:p>
    <w:p w14:paraId="787E227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lang w:val="en-US" w:eastAsia="zh-CN" w:bidi="ar-SA"/>
        </w:rPr>
        <w:t>采购需求：详见第二章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bookmarkStart w:id="12" w:name="_Toc28359003"/>
      <w:bookmarkStart w:id="13" w:name="_Toc35393791"/>
      <w:bookmarkStart w:id="14" w:name="_Toc28359080"/>
      <w:bookmarkStart w:id="15" w:name="_Toc35393622"/>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自合同签订起30天</w:t>
      </w:r>
    </w:p>
    <w:p w14:paraId="2E4CA81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服务地点：海口江东新区展示中心</w:t>
      </w:r>
    </w:p>
    <w:p w14:paraId="5CEA8270">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宋体" w:hAnsi="宋体" w:eastAsia="宋体" w:cs="宋体"/>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质量标准：合格</w:t>
      </w:r>
    </w:p>
    <w:p w14:paraId="191105A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28359081"/>
      <w:bookmarkStart w:id="17" w:name="_Toc35393623"/>
      <w:bookmarkStart w:id="18" w:name="_Toc28359004"/>
      <w:bookmarkStart w:id="19" w:name="_Toc35393792"/>
      <w:r>
        <w:rPr>
          <w:rFonts w:hint="eastAsia" w:ascii="宋体" w:hAnsi="宋体" w:eastAsia="宋体" w:cs="宋体"/>
          <w:b w:val="0"/>
          <w:bCs/>
          <w:color w:val="auto"/>
          <w:sz w:val="21"/>
          <w:szCs w:val="21"/>
        </w:rPr>
        <w:t>1、满足《中华人民共和国政府采购法》第二十二条规定；</w:t>
      </w:r>
    </w:p>
    <w:p w14:paraId="5D60D0A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2、落实政府采购政策需满足的资格要求：</w:t>
      </w:r>
      <w:r>
        <w:rPr>
          <w:rFonts w:hint="eastAsia" w:hAnsi="宋体" w:cs="宋体"/>
          <w:b w:val="0"/>
          <w:bCs/>
          <w:i w:val="0"/>
          <w:iCs w:val="0"/>
          <w:color w:val="auto"/>
          <w:sz w:val="21"/>
          <w:szCs w:val="21"/>
          <w:lang w:val="en-US" w:eastAsia="zh-CN"/>
        </w:rPr>
        <w:t>本项目</w:t>
      </w:r>
      <w:r>
        <w:rPr>
          <w:rFonts w:hint="eastAsia" w:ascii="宋体" w:hAnsi="宋体" w:eastAsia="宋体" w:cs="宋体"/>
          <w:b w:val="0"/>
          <w:bCs/>
          <w:i w:val="0"/>
          <w:iCs w:val="0"/>
          <w:color w:val="auto"/>
          <w:sz w:val="21"/>
          <w:szCs w:val="21"/>
          <w:u w:val="single"/>
        </w:rPr>
        <w:t>属于专门面向中小企业采购的项目,供应商应为中小微企业、监狱企业、残疾人福利性单位</w:t>
      </w:r>
      <w:r>
        <w:rPr>
          <w:rFonts w:hint="eastAsia" w:hAnsi="宋体" w:cs="宋体"/>
          <w:b w:val="0"/>
          <w:bCs/>
          <w:i w:val="0"/>
          <w:iCs w:val="0"/>
          <w:color w:val="auto"/>
          <w:sz w:val="21"/>
          <w:szCs w:val="21"/>
          <w:u w:val="single"/>
          <w:lang w:eastAsia="zh-CN"/>
        </w:rPr>
        <w:t>；</w:t>
      </w:r>
    </w:p>
    <w:p w14:paraId="2D736F4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3、符合采购人根据采购项目实际情况要求的特定资格条件和其他法律法规规定的条件，具体如下：</w:t>
      </w:r>
    </w:p>
    <w:p w14:paraId="1E8C6EC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3E7ED2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b w:val="0"/>
          <w:bCs/>
          <w:color w:val="auto"/>
          <w:sz w:val="21"/>
          <w:szCs w:val="21"/>
          <w:lang w:val="en-US" w:eastAsia="zh-CN"/>
        </w:rPr>
      </w:pPr>
      <w:r>
        <w:rPr>
          <w:rFonts w:hint="eastAsia" w:hAnsi="宋体" w:cs="宋体"/>
          <w:b w:val="0"/>
          <w:bCs/>
          <w:color w:val="auto"/>
          <w:sz w:val="21"/>
          <w:szCs w:val="21"/>
          <w:lang w:val="en-US" w:eastAsia="zh-CN"/>
        </w:rPr>
        <w:t>3.2、本次招标要求供应商须具备独立法人资格以及具备有效的安全生产许可证,同时具备建设行政主管部门核发的建筑工程施工总承包三级（含以上级） 资质。</w:t>
      </w:r>
    </w:p>
    <w:p w14:paraId="7C8AE46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hAnsi="宋体" w:cs="宋体"/>
          <w:b w:val="0"/>
          <w:bCs/>
          <w:color w:val="auto"/>
          <w:sz w:val="21"/>
          <w:szCs w:val="21"/>
          <w:lang w:val="en-US" w:eastAsia="zh-CN"/>
        </w:rPr>
        <w:t>3、</w:t>
      </w:r>
      <w:r>
        <w:rPr>
          <w:rFonts w:hint="eastAsia" w:ascii="宋体" w:hAnsi="宋体" w:eastAsia="宋体" w:cs="宋体"/>
          <w:b w:val="0"/>
          <w:bCs/>
          <w:color w:val="auto"/>
          <w:sz w:val="21"/>
          <w:szCs w:val="21"/>
        </w:rPr>
        <w:t>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w:t>
      </w:r>
      <w:r>
        <w:rPr>
          <w:rFonts w:hint="eastAsia" w:asciiTheme="minorEastAsia" w:hAnsiTheme="minorEastAsia" w:eastAsiaTheme="minorEastAsia" w:cstheme="minorEastAsia"/>
          <w:b/>
          <w:bCs w:val="0"/>
          <w:color w:val="auto"/>
          <w:sz w:val="21"/>
          <w:szCs w:val="21"/>
        </w:rPr>
        <w:t>办法</w:t>
      </w:r>
    </w:p>
    <w:p w14:paraId="1AFCF71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35393627"/>
      <w:bookmarkStart w:id="21" w:name="_Toc28359008"/>
      <w:bookmarkStart w:id="22" w:name="_Toc28359085"/>
      <w:bookmarkStart w:id="23" w:name="_Toc35393796"/>
      <w:r>
        <w:rPr>
          <w:rFonts w:hint="eastAsia" w:asciiTheme="minorEastAsia" w:hAnsiTheme="minorEastAsia" w:eastAsiaTheme="minorEastAsia" w:cstheme="minorEastAsia"/>
          <w:b w:val="0"/>
          <w:bCs/>
          <w:color w:val="auto"/>
          <w:sz w:val="21"/>
          <w:szCs w:val="21"/>
        </w:rPr>
        <w:t>1、采购比选文件获取时间： 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9</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11</w:t>
      </w:r>
      <w:r>
        <w:rPr>
          <w:rFonts w:hint="eastAsia" w:asciiTheme="minorEastAsia" w:hAnsiTheme="minorEastAsia" w:eastAsiaTheme="minorEastAsia" w:cstheme="minorEastAsia"/>
          <w:b w:val="0"/>
          <w:bCs/>
          <w:color w:val="auto"/>
          <w:sz w:val="21"/>
          <w:szCs w:val="21"/>
        </w:rPr>
        <w:t>日23点59分（北京时间）；</w:t>
      </w:r>
    </w:p>
    <w:p w14:paraId="48617A6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r>
        <w:rPr>
          <w:rFonts w:hint="eastAsia" w:asciiTheme="minorEastAsia" w:hAnsiTheme="minorEastAsia" w:eastAsiaTheme="minorEastAsia" w:cstheme="minorEastAsia"/>
          <w:b w:val="0"/>
          <w:bCs/>
          <w:color w:val="auto"/>
          <w:sz w:val="21"/>
          <w:szCs w:val="21"/>
          <w:lang w:eastAsia="zh-CN"/>
        </w:rPr>
        <w:t>。</w:t>
      </w:r>
    </w:p>
    <w:p w14:paraId="12AEEE0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28359007"/>
      <w:bookmarkStart w:id="25" w:name="_Toc35393794"/>
      <w:bookmarkStart w:id="26" w:name="_Toc28359084"/>
      <w:bookmarkStart w:id="27" w:name="_Toc35393625"/>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响应文件递交截止时间:2025年12月12日上午9:00（北京时间）；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海口江东新区管理局</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val="en-US" w:eastAsia="zh-CN"/>
        </w:rPr>
        <w:t>;</w:t>
      </w:r>
    </w:p>
    <w:p w14:paraId="325A18A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2E04DDC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626"/>
      <w:bookmarkStart w:id="29" w:name="_Toc35393795"/>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9</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11</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Cs/>
          <w:color w:val="auto"/>
          <w:sz w:val="21"/>
          <w:szCs w:val="21"/>
          <w:lang w:val="en-US" w:eastAsia="zh-CN"/>
        </w:rPr>
        <w:t xml:space="preserve"> 海口市美兰区江东大道202号</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联系人：</w:t>
      </w:r>
      <w:r>
        <w:rPr>
          <w:rFonts w:hint="eastAsia" w:asciiTheme="minorEastAsia" w:hAnsiTheme="minorEastAsia" w:eastAsiaTheme="minorEastAsia" w:cstheme="minorEastAsia"/>
          <w:bCs/>
          <w:color w:val="auto"/>
          <w:sz w:val="21"/>
          <w:szCs w:val="21"/>
          <w:lang w:val="en-US" w:eastAsia="zh-CN"/>
        </w:rPr>
        <w:t xml:space="preserve"> 王工</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联系方式：</w:t>
      </w:r>
      <w:bookmarkStart w:id="30" w:name="_Toc28359009"/>
      <w:bookmarkStart w:id="31" w:name="_Toc28359086"/>
      <w:r>
        <w:rPr>
          <w:rFonts w:hint="eastAsia" w:asciiTheme="minorEastAsia" w:hAnsiTheme="minorEastAsia" w:eastAsiaTheme="minorEastAsia" w:cstheme="minorEastAsia"/>
          <w:bCs/>
          <w:color w:val="auto"/>
          <w:sz w:val="21"/>
          <w:szCs w:val="21"/>
          <w:lang w:val="en-US" w:eastAsia="zh-CN"/>
        </w:rPr>
        <w:t>65686303</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5"/>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val="en-US" w:eastAsia="zh-CN"/>
        </w:rPr>
        <w:t xml:space="preserve"> 采购需求</w:t>
      </w:r>
    </w:p>
    <w:p w14:paraId="4C50E160">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一、项目基本信息</w:t>
      </w:r>
    </w:p>
    <w:p w14:paraId="04EEB64E">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1.项目名称符合国家、省市行业标准</w:t>
      </w:r>
    </w:p>
    <w:p w14:paraId="6CEAF147">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2.项目预算：492707.17元</w:t>
      </w:r>
    </w:p>
    <w:p w14:paraId="224DF65C">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3.服务期限：自合同签订起30天</w:t>
      </w:r>
    </w:p>
    <w:p w14:paraId="1243A9D7">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4.服务地点：海口江东新区展示中心</w:t>
      </w:r>
    </w:p>
    <w:p w14:paraId="301B7B31">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5.质量要求：合格。质量标准得评定以现行的国家或行业的质量检验评定标准为依据。</w:t>
      </w:r>
    </w:p>
    <w:p w14:paraId="51DCCDFD">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二、服务内容及要求</w:t>
      </w:r>
    </w:p>
    <w:p w14:paraId="580B3615">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color w:val="auto"/>
          <w:lang w:val="en-US" w:eastAsia="zh-CN"/>
        </w:rPr>
        <w:t>受今年台风影响，江东新区展示中心（展馆）建筑顶部外幕墙铝板出现部分损坏、办公室墙面出现渗水等问题，为恢复展馆形象，拟对江东新区展示中心进行维修，包括更换外幕墙破损铝板，铝板缝胶条修补、办公室墙面防水以及玻璃门修复等。具体维修事项详见工程量清单。</w:t>
      </w:r>
    </w:p>
    <w:p w14:paraId="2F4BDECE">
      <w:pPr>
        <w:pStyle w:val="16"/>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有无带</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kern w:val="0"/>
                <w:sz w:val="21"/>
                <w:szCs w:val="21"/>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F91E67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sz w:val="21"/>
                <w:szCs w:val="21"/>
                <w:lang w:val="en-US" w:eastAsia="zh-CN"/>
              </w:rPr>
              <w:t>无)</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有，</w:t>
            </w:r>
            <w:r>
              <w:rPr>
                <w:rFonts w:hint="eastAsia" w:asciiTheme="minorEastAsia" w:hAnsiTheme="minorEastAsia" w:eastAsiaTheme="minorEastAsia" w:cstheme="minorEastAsia"/>
                <w:bCs/>
                <w:color w:val="auto"/>
                <w:sz w:val="21"/>
                <w:szCs w:val="21"/>
                <w:lang w:val="en-US" w:eastAsia="zh-CN"/>
              </w:rPr>
              <w:t>带</w:t>
            </w:r>
            <w:r>
              <w:rPr>
                <w:rFonts w:hint="eastAsia" w:asciiTheme="minorEastAsia" w:hAnsiTheme="minorEastAsia" w:eastAsiaTheme="minorEastAsia" w:cstheme="minorEastAsia"/>
                <w:bCs/>
                <w:color w:val="auto"/>
                <w:sz w:val="21"/>
                <w:szCs w:val="21"/>
                <w:lang w:val="zh-CN" w:eastAsia="zh-CN"/>
              </w:rPr>
              <w:t>★</w:t>
            </w:r>
            <w:r>
              <w:rPr>
                <w:rFonts w:hint="eastAsia" w:asciiTheme="minorEastAsia" w:hAnsiTheme="minorEastAsia" w:eastAsiaTheme="minorEastAsia" w:cstheme="minorEastAsia"/>
                <w:bCs/>
                <w:color w:val="auto"/>
                <w:sz w:val="21"/>
                <w:szCs w:val="21"/>
                <w:lang w:val="en-US" w:eastAsia="zh-CN"/>
              </w:rPr>
              <w:t>的是实质性要求，供应商</w:t>
            </w:r>
            <w:r>
              <w:rPr>
                <w:rFonts w:hint="eastAsia" w:asciiTheme="minorEastAsia" w:hAnsiTheme="minorEastAsia" w:eastAsiaTheme="minorEastAsia" w:cstheme="minorEastAsia"/>
                <w:bCs/>
                <w:color w:val="auto"/>
                <w:sz w:val="21"/>
                <w:szCs w:val="21"/>
                <w:lang w:val="zh-CN" w:eastAsia="zh-CN"/>
              </w:rPr>
              <w:t>必须作出实质性响应满足或优于采购文件的要求，否则视为无效响应。</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6"/>
              <w:ind w:left="0" w:leftChars="0" w:firstLine="210" w:firstLineChars="100"/>
              <w:rPr>
                <w:rFonts w:hint="default"/>
                <w:color w:val="auto"/>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eastAsia="宋体"/>
                <w:color w:val="auto"/>
                <w:lang w:eastAsia="zh-CN"/>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7"/>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7"/>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7"/>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在2025</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12</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12</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9</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16"/>
              <w:ind w:left="0" w:leftChars="0" w:firstLine="0" w:firstLineChars="0"/>
              <w:rPr>
                <w:color w:val="auto"/>
              </w:rPr>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19</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eastAsia" w:eastAsia="宋体" w:asciiTheme="minorEastAsia" w:hAnsi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rPr>
              <w:t>本项目</w:t>
            </w:r>
            <w:r>
              <w:rPr>
                <w:rFonts w:hint="eastAsia"/>
                <w:b w:val="0"/>
                <w:bCs w:val="0"/>
                <w:color w:val="auto"/>
                <w:sz w:val="21"/>
                <w:szCs w:val="21"/>
              </w:rPr>
              <w:t>对应的中小企业划分标准所属行业</w:t>
            </w: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建筑业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7"/>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lang w:val="en-US" w:eastAsia="zh-CN"/>
        </w:rPr>
        <w:t>本项目专门面对中小企业，不再执行小微企业价格评审优惠。</w:t>
      </w:r>
      <w:r>
        <w:rPr>
          <w:rFonts w:hint="eastAsia" w:asciiTheme="minorEastAsia" w:hAnsiTheme="minorEastAsia" w:eastAsiaTheme="minorEastAsia" w:cstheme="minorEastAsia"/>
          <w:bCs/>
          <w:color w:val="auto"/>
          <w:sz w:val="21"/>
          <w:szCs w:val="21"/>
          <w:lang w:eastAsia="zh-CN"/>
        </w:rPr>
        <w:t>）</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5.1.4本条款中两种价格扣除优惠原则不同时使用。</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p>
    <w:p w14:paraId="2E86BD5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5.1.7在货物采购项目中，供应商提供的货物既有小微企业制造货物，也有大中型企业制造货物的，不享受本办法规定的小微企业扶持政策。</w:t>
      </w:r>
    </w:p>
    <w:p w14:paraId="0F42D66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5.1.8享受扶持政策获得政府采购合同的，小微企业不得将合同分包给大中型企业，中型企业不得将合同分包给大型企业。</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0429AF2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，并提供有效的中国国家信息安全产品认证证书复印件。</w:t>
      </w:r>
    </w:p>
    <w:p w14:paraId="61A174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，并提供有效的节能产品认证证书复印件。</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rPr>
      </w:pPr>
      <w:r>
        <w:rPr>
          <w:rFonts w:hint="eastAsia" w:asciiTheme="minorEastAsia" w:hAnsiTheme="minorEastAsia" w:eastAsiaTheme="minorEastAsia" w:cstheme="minorEastAsia"/>
          <w:bCs/>
          <w:color w:val="auto"/>
          <w:sz w:val="21"/>
          <w:szCs w:val="21"/>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6.1如果没有特别声明或要求，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7、采购文件的组成</w:t>
      </w:r>
    </w:p>
    <w:p w14:paraId="47FC9E36">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6"/>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582211"/>
      <w:bookmarkStart w:id="37" w:name="_Toc183682348"/>
      <w:bookmarkStart w:id="38" w:name="_Toc217446040"/>
      <w:r>
        <w:rPr>
          <w:rFonts w:hint="eastAsia" w:asciiTheme="minorEastAsia" w:hAnsiTheme="minorEastAsia" w:eastAsiaTheme="minorEastAsia" w:cstheme="minorEastAsia"/>
          <w:bCs/>
          <w:color w:val="auto"/>
          <w:sz w:val="21"/>
          <w:szCs w:val="21"/>
        </w:rPr>
        <w:t>8、采购文件的澄清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90613"/>
      <w:bookmarkStart w:id="40" w:name="_Toc430488645"/>
      <w:bookmarkStart w:id="41" w:name="_Toc430422414"/>
      <w:bookmarkStart w:id="42" w:name="_Toc430488852"/>
      <w:bookmarkStart w:id="43" w:name="_Toc430492127"/>
      <w:bookmarkStart w:id="44" w:name="_Toc430489120"/>
      <w:bookmarkStart w:id="45" w:name="_Toc415567498"/>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6825804"/>
      <w:bookmarkStart w:id="47" w:name="_Toc246826109"/>
      <w:bookmarkStart w:id="48" w:name="_Toc245887536"/>
      <w:bookmarkStart w:id="49" w:name="_Toc245888275"/>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17446041"/>
      <w:bookmarkStart w:id="51" w:name="_Toc208848971"/>
    </w:p>
    <w:p w14:paraId="3BA45443">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7"/>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eastAsia="zh-CN"/>
        </w:rPr>
        <w:t>响应保证金</w:t>
      </w:r>
    </w:p>
    <w:p w14:paraId="680C4419">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16"/>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7"/>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682365"/>
      <w:bookmarkStart w:id="56" w:name="_Toc183582228"/>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所规定的开标时间和地点开标。开标由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主持，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或者其推选的代表检查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也可以由采购人委托的公证机构检查并公证，</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7"/>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7"/>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144974543"/>
      <w:bookmarkStart w:id="61" w:name="_Toc246996962"/>
      <w:bookmarkStart w:id="62" w:name="_Toc296602462"/>
      <w:bookmarkStart w:id="63" w:name="_Toc246996219"/>
      <w:bookmarkStart w:id="64" w:name="_Toc179632593"/>
      <w:bookmarkStart w:id="65" w:name="_Toc152045575"/>
      <w:bookmarkStart w:id="66" w:name="_Toc152042351"/>
      <w:bookmarkStart w:id="67" w:name="_Toc296590983"/>
      <w:bookmarkStart w:id="68" w:name="_Toc247085733"/>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296602463"/>
      <w:bookmarkStart w:id="70" w:name="_Toc246996963"/>
      <w:bookmarkStart w:id="71" w:name="_Toc246996220"/>
      <w:bookmarkStart w:id="72" w:name="_Toc152042352"/>
      <w:bookmarkStart w:id="73" w:name="_Toc152045576"/>
      <w:bookmarkStart w:id="74" w:name="_Toc247085734"/>
      <w:bookmarkStart w:id="75" w:name="_Toc179632594"/>
      <w:bookmarkStart w:id="76" w:name="_Toc144974544"/>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246996221"/>
      <w:bookmarkStart w:id="78" w:name="_Toc152042353"/>
      <w:bookmarkStart w:id="79" w:name="_Toc247085735"/>
      <w:bookmarkStart w:id="80" w:name="_Toc144974545"/>
      <w:bookmarkStart w:id="81" w:name="_Toc296602464"/>
      <w:bookmarkStart w:id="82" w:name="_Toc179632595"/>
      <w:bookmarkStart w:id="83" w:name="_Toc152045577"/>
      <w:bookmarkStart w:id="84" w:name="_Toc246996964"/>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247085736"/>
      <w:bookmarkStart w:id="86" w:name="_Toc246996965"/>
      <w:bookmarkStart w:id="87" w:name="_Toc296602465"/>
      <w:bookmarkStart w:id="88" w:name="_Toc246996222"/>
      <w:bookmarkStart w:id="89" w:name="_Toc179632596"/>
      <w:bookmarkStart w:id="90" w:name="_Toc152042354"/>
      <w:bookmarkStart w:id="91" w:name="_Toc152045578"/>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推荐排名第一且经采购人确认的供应商即为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第一章比选公告发布媒介</w:t>
      </w:r>
      <w:r>
        <w:rPr>
          <w:rFonts w:hint="eastAsia" w:asciiTheme="minorEastAsia" w:hAnsiTheme="minorEastAsia" w:eastAsiaTheme="minorEastAsia" w:cstheme="minorEastAsia"/>
          <w:bCs/>
          <w:color w:val="auto"/>
          <w:sz w:val="21"/>
          <w:szCs w:val="21"/>
        </w:rPr>
        <w:t>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color w:val="auto"/>
        </w:rPr>
      </w:pPr>
    </w:p>
    <w:p w14:paraId="0ED00FC0">
      <w:pPr>
        <w:pStyle w:val="6"/>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6"/>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6"/>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6C2BB1ED">
      <w:pPr>
        <w:pStyle w:val="6"/>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7"/>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7"/>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7"/>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7"/>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7"/>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7"/>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7"/>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7"/>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F82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01E9FF32">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7</w:t>
            </w:r>
          </w:p>
        </w:tc>
        <w:tc>
          <w:tcPr>
            <w:tcW w:w="4650" w:type="dxa"/>
            <w:tcBorders>
              <w:top w:val="single" w:color="auto" w:sz="4" w:space="0"/>
              <w:left w:val="single" w:color="auto" w:sz="4" w:space="0"/>
              <w:bottom w:val="single" w:color="auto" w:sz="4" w:space="0"/>
              <w:right w:val="single" w:color="auto" w:sz="4" w:space="0"/>
            </w:tcBorders>
            <w:noWrap/>
            <w:vAlign w:val="center"/>
          </w:tcPr>
          <w:p w14:paraId="0C6D9E3C">
            <w:pPr>
              <w:pStyle w:val="7"/>
              <w:snapToGrid w:val="0"/>
              <w:spacing w:line="360" w:lineRule="auto"/>
              <w:jc w:val="both"/>
              <w:rPr>
                <w:rFonts w:hint="eastAsia" w:ascii="宋体" w:hAnsi="宋体" w:cs="宋体"/>
                <w:bCs/>
                <w:color w:val="auto"/>
                <w:szCs w:val="21"/>
                <w:lang w:val="en-US" w:eastAsia="zh-CN"/>
              </w:rPr>
            </w:pPr>
            <w:r>
              <w:rPr>
                <w:rFonts w:hint="eastAsia" w:ascii="宋体" w:hAnsi="宋体" w:cs="宋体"/>
                <w:bCs/>
                <w:color w:val="auto"/>
                <w:szCs w:val="21"/>
                <w:lang w:val="en-US" w:eastAsia="zh-CN"/>
              </w:rPr>
              <w:t>建筑工程施工总承包三级（含以上级） 资质</w:t>
            </w:r>
          </w:p>
        </w:tc>
        <w:tc>
          <w:tcPr>
            <w:tcW w:w="2130" w:type="dxa"/>
            <w:tcBorders>
              <w:top w:val="single" w:color="auto" w:sz="4" w:space="0"/>
              <w:left w:val="single" w:color="auto" w:sz="4" w:space="0"/>
              <w:bottom w:val="single" w:color="auto" w:sz="4" w:space="0"/>
              <w:right w:val="single" w:color="auto" w:sz="4" w:space="0"/>
            </w:tcBorders>
            <w:noWrap/>
            <w:vAlign w:val="center"/>
          </w:tcPr>
          <w:p w14:paraId="1A6C400D">
            <w:pPr>
              <w:pStyle w:val="7"/>
              <w:snapToGrid w:val="0"/>
              <w:spacing w:line="360" w:lineRule="auto"/>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提供资质证书复印件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5C68AE">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1324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C8C580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8</w:t>
            </w:r>
          </w:p>
        </w:tc>
        <w:tc>
          <w:tcPr>
            <w:tcW w:w="4650" w:type="dxa"/>
            <w:tcBorders>
              <w:top w:val="single" w:color="auto" w:sz="4" w:space="0"/>
              <w:left w:val="single" w:color="auto" w:sz="4" w:space="0"/>
              <w:bottom w:val="single" w:color="auto" w:sz="4" w:space="0"/>
              <w:right w:val="single" w:color="auto" w:sz="4" w:space="0"/>
            </w:tcBorders>
            <w:noWrap/>
            <w:vAlign w:val="center"/>
          </w:tcPr>
          <w:p w14:paraId="560C32A2">
            <w:pPr>
              <w:pStyle w:val="7"/>
              <w:snapToGrid w:val="0"/>
              <w:spacing w:line="360" w:lineRule="auto"/>
              <w:jc w:val="both"/>
              <w:rPr>
                <w:rFonts w:hint="eastAsia" w:ascii="宋体" w:hAnsi="宋体" w:cs="宋体"/>
                <w:bCs/>
                <w:color w:val="auto"/>
                <w:szCs w:val="21"/>
                <w:lang w:val="en-US" w:eastAsia="zh-CN"/>
              </w:rPr>
            </w:pPr>
            <w:r>
              <w:rPr>
                <w:rFonts w:hint="eastAsia" w:ascii="宋体" w:hAnsi="宋体" w:cs="宋体"/>
                <w:bCs/>
                <w:color w:val="auto"/>
                <w:szCs w:val="21"/>
                <w:lang w:val="en-US" w:eastAsia="zh-CN"/>
              </w:rPr>
              <w:t>安全生产许可证</w:t>
            </w:r>
          </w:p>
        </w:tc>
        <w:tc>
          <w:tcPr>
            <w:tcW w:w="2130" w:type="dxa"/>
            <w:tcBorders>
              <w:top w:val="single" w:color="auto" w:sz="4" w:space="0"/>
              <w:left w:val="single" w:color="auto" w:sz="4" w:space="0"/>
              <w:bottom w:val="single" w:color="auto" w:sz="4" w:space="0"/>
              <w:right w:val="single" w:color="auto" w:sz="4" w:space="0"/>
            </w:tcBorders>
            <w:noWrap/>
            <w:vAlign w:val="center"/>
          </w:tcPr>
          <w:p w14:paraId="4A299F0B">
            <w:pPr>
              <w:pStyle w:val="7"/>
              <w:snapToGrid w:val="0"/>
              <w:spacing w:line="360" w:lineRule="auto"/>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提供资质证书复印件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19E7CAF0">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63CA4AE4">
      <w:pPr>
        <w:pStyle w:val="2"/>
        <w:rPr>
          <w:rFonts w:hint="eastAsia"/>
          <w:color w:val="auto"/>
        </w:rPr>
      </w:pPr>
    </w:p>
    <w:p w14:paraId="6978F472">
      <w:pPr>
        <w:pageBreakBefore w:val="0"/>
        <w:wordWrap/>
        <w:topLinePunct w:val="0"/>
        <w:bidi w:val="0"/>
        <w:adjustRightInd w:val="0"/>
        <w:snapToGrid w:val="0"/>
        <w:spacing w:line="360" w:lineRule="auto"/>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23A92507">
      <w:pPr>
        <w:pStyle w:val="16"/>
        <w:ind w:left="0" w:leftChars="0" w:firstLine="0" w:firstLineChars="0"/>
        <w:rPr>
          <w:rFonts w:hint="eastAsia"/>
          <w:color w:val="auto"/>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7"/>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并列或者评审委员会</w:t>
      </w:r>
      <w:r>
        <w:rPr>
          <w:rFonts w:hint="eastAsia" w:asciiTheme="minorEastAsia" w:hAnsiTheme="minorEastAsia" w:eastAsiaTheme="minorEastAsia" w:cstheme="minorEastAsia"/>
          <w:bCs/>
          <w:color w:val="auto"/>
          <w:sz w:val="21"/>
          <w:szCs w:val="21"/>
        </w:rPr>
        <w:t>根据</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情况推荐</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排列顺序或予以授标建议。</w:t>
      </w:r>
    </w:p>
    <w:p w14:paraId="1C223A1D">
      <w:pPr>
        <w:pageBreakBefore w:val="0"/>
        <w:numPr>
          <w:ilvl w:val="0"/>
          <w:numId w:val="6"/>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80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rPr>
              <w:t>分</w:t>
            </w:r>
          </w:p>
        </w:tc>
      </w:tr>
      <w:bookmarkEnd w:id="96"/>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响应报价</w:t>
      </w:r>
      <w:r>
        <w:rPr>
          <w:rFonts w:hint="eastAsia" w:asciiTheme="minorEastAsia" w:hAnsiTheme="minorEastAsia"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价格核准：</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对符合性审查合格的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明细进行复核，看其是否有计算错误，如有则按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价(指修正及价格扣除后的价格，下同)最低的为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价格评分=（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对小型、微型企业或者视同小型、微企业参与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的参照第三章5.1款的规定以扣除后的价格参与评审。</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四）</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5C8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65F1149E">
            <w:pPr>
              <w:spacing w:line="240" w:lineRule="auto"/>
              <w:jc w:val="center"/>
              <w:rPr>
                <w:rFonts w:ascii="宋体" w:hAnsi="宋体" w:cs="宋体"/>
                <w:b/>
                <w:color w:val="auto"/>
                <w:sz w:val="20"/>
                <w:szCs w:val="20"/>
              </w:rPr>
            </w:pPr>
            <w:r>
              <w:rPr>
                <w:rFonts w:hint="eastAsia" w:ascii="宋体" w:hAnsi="宋体" w:cs="宋体"/>
                <w:b/>
                <w:color w:val="auto"/>
                <w:sz w:val="20"/>
                <w:szCs w:val="20"/>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47FC2E23">
            <w:pPr>
              <w:spacing w:line="240" w:lineRule="auto"/>
              <w:jc w:val="center"/>
              <w:rPr>
                <w:rFonts w:ascii="宋体" w:hAnsi="宋体" w:cs="宋体"/>
                <w:b/>
                <w:color w:val="auto"/>
                <w:sz w:val="20"/>
                <w:szCs w:val="20"/>
              </w:rPr>
            </w:pPr>
            <w:r>
              <w:rPr>
                <w:rFonts w:hint="eastAsia" w:ascii="宋体" w:hAnsi="宋体" w:cs="宋体"/>
                <w:b/>
                <w:color w:val="auto"/>
                <w:sz w:val="20"/>
                <w:szCs w:val="20"/>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0EB24A20">
            <w:pPr>
              <w:spacing w:line="240" w:lineRule="auto"/>
              <w:jc w:val="center"/>
              <w:rPr>
                <w:rFonts w:ascii="宋体" w:hAnsi="宋体" w:cs="宋体"/>
                <w:b/>
                <w:color w:val="auto"/>
                <w:sz w:val="20"/>
                <w:szCs w:val="20"/>
              </w:rPr>
            </w:pPr>
            <w:r>
              <w:rPr>
                <w:rFonts w:hint="eastAsia" w:ascii="宋体" w:hAnsi="宋体" w:cs="宋体"/>
                <w:b/>
                <w:color w:val="auto"/>
                <w:sz w:val="20"/>
                <w:szCs w:val="20"/>
              </w:rPr>
              <w:t>评审标准</w:t>
            </w:r>
          </w:p>
        </w:tc>
      </w:tr>
      <w:tr w14:paraId="3D78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C8DA8BF">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分值构成</w:t>
            </w:r>
          </w:p>
          <w:p w14:paraId="5C5B0CA7">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0"/>
                <w:szCs w:val="20"/>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339E44A0">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价格评审</w:t>
            </w:r>
            <w:r>
              <w:rPr>
                <w:rFonts w:hint="eastAsia" w:asciiTheme="minorEastAsia" w:hAnsiTheme="minorEastAsia" w:eastAsiaTheme="minorEastAsia" w:cstheme="minorEastAsia"/>
                <w:color w:val="auto"/>
                <w:sz w:val="21"/>
                <w:szCs w:val="21"/>
                <w:u w:val="single"/>
                <w:lang w:val="en-US" w:eastAsia="zh-CN"/>
              </w:rPr>
              <w:t>20</w:t>
            </w:r>
            <w:r>
              <w:rPr>
                <w:rFonts w:hint="eastAsia" w:asciiTheme="minorEastAsia" w:hAnsiTheme="minorEastAsia" w:eastAsiaTheme="minorEastAsia" w:cstheme="minorEastAsia"/>
                <w:color w:val="auto"/>
                <w:sz w:val="21"/>
                <w:szCs w:val="21"/>
              </w:rPr>
              <w:t>分</w:t>
            </w:r>
          </w:p>
          <w:p w14:paraId="312F446C">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w:t>
            </w:r>
            <w:r>
              <w:rPr>
                <w:rFonts w:hint="eastAsia" w:asciiTheme="minorEastAsia" w:hAnsiTheme="minorEastAsia" w:eastAsiaTheme="minorEastAsia" w:cstheme="minorEastAsia"/>
                <w:color w:val="auto"/>
                <w:sz w:val="21"/>
                <w:szCs w:val="21"/>
                <w:u w:val="single"/>
                <w:lang w:val="en-US" w:eastAsia="zh-CN"/>
              </w:rPr>
              <w:t>60</w:t>
            </w:r>
            <w:r>
              <w:rPr>
                <w:rFonts w:hint="eastAsia" w:asciiTheme="minorEastAsia" w:hAnsiTheme="minorEastAsia" w:eastAsiaTheme="minorEastAsia" w:cstheme="minorEastAsia"/>
                <w:color w:val="auto"/>
                <w:sz w:val="21"/>
                <w:szCs w:val="21"/>
              </w:rPr>
              <w:t>分</w:t>
            </w:r>
          </w:p>
          <w:p w14:paraId="2F7D6D29">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商务部分</w:t>
            </w:r>
            <w:r>
              <w:rPr>
                <w:rFonts w:hint="eastAsia" w:asciiTheme="minorEastAsia" w:hAnsiTheme="minorEastAsia" w:eastAsiaTheme="minorEastAsia" w:cstheme="minorEastAsia"/>
                <w:color w:val="auto"/>
                <w:sz w:val="21"/>
                <w:szCs w:val="21"/>
                <w:u w:val="single"/>
                <w:lang w:val="en-US" w:eastAsia="zh-CN"/>
              </w:rPr>
              <w:t>20</w:t>
            </w:r>
            <w:r>
              <w:rPr>
                <w:rFonts w:hint="eastAsia" w:asciiTheme="minorEastAsia" w:hAnsiTheme="minorEastAsia" w:eastAsiaTheme="minorEastAsia" w:cstheme="minorEastAsia"/>
                <w:color w:val="auto"/>
                <w:sz w:val="21"/>
                <w:szCs w:val="21"/>
              </w:rPr>
              <w:t>分</w:t>
            </w:r>
          </w:p>
        </w:tc>
      </w:tr>
      <w:tr w14:paraId="2E73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4878D48B">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价格评审</w:t>
            </w:r>
          </w:p>
          <w:p w14:paraId="525D2805">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20</w:t>
            </w:r>
            <w:r>
              <w:rPr>
                <w:rFonts w:hint="eastAsia" w:asciiTheme="minorEastAsia" w:hAnsiTheme="minorEastAsia" w:eastAsiaTheme="minorEastAsia" w:cstheme="minorEastAsia"/>
                <w:color w:val="auto"/>
                <w:sz w:val="20"/>
                <w:szCs w:val="20"/>
              </w:rPr>
              <w:t>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32B8F411">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得分以满分</w:t>
            </w:r>
            <w:r>
              <w:rPr>
                <w:rFonts w:hint="eastAsia" w:asciiTheme="minorEastAsia" w:hAnsiTheme="minorEastAsia" w:eastAsiaTheme="minorEastAsia" w:cstheme="minorEastAsia"/>
                <w:color w:val="auto"/>
                <w:sz w:val="21"/>
                <w:szCs w:val="21"/>
                <w:u w:val="single"/>
                <w:lang w:val="en-US" w:eastAsia="zh-CN"/>
              </w:rPr>
              <w:t>20</w:t>
            </w:r>
            <w:r>
              <w:rPr>
                <w:rFonts w:hint="eastAsia" w:asciiTheme="minorEastAsia" w:hAnsiTheme="minorEastAsia" w:eastAsiaTheme="minorEastAsia" w:cstheme="minorEastAsia"/>
                <w:color w:val="auto"/>
                <w:sz w:val="21"/>
                <w:szCs w:val="21"/>
                <w:u w:val="single"/>
              </w:rPr>
              <w:t>分</w:t>
            </w:r>
            <w:r>
              <w:rPr>
                <w:rFonts w:hint="eastAsia" w:asciiTheme="minorEastAsia" w:hAnsiTheme="minorEastAsia" w:eastAsiaTheme="minorEastAsia" w:cstheme="minorEastAsia"/>
                <w:color w:val="auto"/>
                <w:sz w:val="21"/>
                <w:szCs w:val="21"/>
              </w:rPr>
              <w:t>计算。满足招标文件要求且</w:t>
            </w: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最低的</w:t>
            </w: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基准价，其价格分为满分。其他</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的价格分统一按照下列公式计算：</w:t>
            </w:r>
          </w:p>
          <w:p w14:paraId="71A04C37">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得分=（</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基准价/</w:t>
            </w: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20%</w:t>
            </w:r>
          </w:p>
          <w:p w14:paraId="003B06E9">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财政部印发财政部令87号《政府采购货物和服务招标投标管理办法》</w:t>
            </w:r>
            <w:r>
              <w:rPr>
                <w:rFonts w:hint="eastAsia" w:asciiTheme="minorEastAsia" w:hAnsiTheme="minorEastAsia" w:eastAsiaTheme="minorEastAsia" w:cstheme="minorEastAsia"/>
                <w:color w:val="auto"/>
                <w:sz w:val="21"/>
                <w:szCs w:val="21"/>
                <w:lang w:val="en-US" w:eastAsia="zh-CN"/>
              </w:rPr>
              <w:t>第六十条</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评审委员会</w:t>
            </w:r>
            <w:r>
              <w:rPr>
                <w:rFonts w:hint="eastAsia" w:asciiTheme="minorEastAsia" w:hAnsiTheme="minorEastAsia" w:eastAsiaTheme="minorEastAsia" w:cstheme="minorEastAsia"/>
                <w:color w:val="auto"/>
                <w:sz w:val="21"/>
                <w:szCs w:val="21"/>
              </w:rPr>
              <w:t>认为</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的报价明显低于其他通过符合性审查</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的报价，有可能影响服务质量或者不能诚信履约的，应当要求其在</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现场合理的时间内提供书面说明，必要时提交相关证明材料；</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不能证明其报价合理性的，</w:t>
            </w:r>
            <w:r>
              <w:rPr>
                <w:rFonts w:hint="eastAsia" w:asciiTheme="minorEastAsia" w:hAnsiTheme="minorEastAsia" w:eastAsiaTheme="minorEastAsia" w:cstheme="minorEastAsia"/>
                <w:color w:val="auto"/>
                <w:sz w:val="21"/>
                <w:szCs w:val="21"/>
                <w:lang w:eastAsia="zh-CN"/>
              </w:rPr>
              <w:t>评审委员会</w:t>
            </w:r>
            <w:r>
              <w:rPr>
                <w:rFonts w:hint="eastAsia" w:asciiTheme="minorEastAsia" w:hAnsiTheme="minorEastAsia" w:eastAsiaTheme="minorEastAsia" w:cstheme="minorEastAsia"/>
                <w:color w:val="auto"/>
                <w:sz w:val="21"/>
                <w:szCs w:val="21"/>
              </w:rPr>
              <w:t>应当将其作为</w:t>
            </w:r>
            <w:r>
              <w:rPr>
                <w:rFonts w:hint="eastAsia" w:asciiTheme="minorEastAsia" w:hAnsiTheme="minorEastAsia" w:eastAsiaTheme="minorEastAsia" w:cstheme="minorEastAsia"/>
                <w:color w:val="auto"/>
                <w:sz w:val="21"/>
                <w:szCs w:val="21"/>
                <w:lang w:eastAsia="zh-CN"/>
              </w:rPr>
              <w:t>无效响应</w:t>
            </w:r>
            <w:r>
              <w:rPr>
                <w:rFonts w:hint="eastAsia" w:asciiTheme="minorEastAsia" w:hAnsiTheme="minorEastAsia" w:eastAsiaTheme="minorEastAsia" w:cstheme="minorEastAsia"/>
                <w:color w:val="auto"/>
                <w:sz w:val="21"/>
                <w:szCs w:val="21"/>
              </w:rPr>
              <w:t>处理。</w:t>
            </w:r>
          </w:p>
        </w:tc>
      </w:tr>
      <w:tr w14:paraId="16F5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63" w:type="dxa"/>
            <w:vMerge w:val="restart"/>
            <w:tcBorders>
              <w:top w:val="single" w:color="auto" w:sz="4" w:space="0"/>
              <w:left w:val="single" w:color="auto" w:sz="4" w:space="0"/>
              <w:right w:val="single" w:color="auto" w:sz="4" w:space="0"/>
            </w:tcBorders>
            <w:noWrap/>
            <w:vAlign w:val="center"/>
          </w:tcPr>
          <w:p w14:paraId="20E7F52D">
            <w:pPr>
              <w:spacing w:line="240" w:lineRule="auto"/>
              <w:jc w:val="center"/>
              <w:rPr>
                <w:rFonts w:ascii="宋体" w:hAnsi="宋体" w:cs="宋体"/>
                <w:color w:val="auto"/>
                <w:sz w:val="20"/>
                <w:szCs w:val="20"/>
              </w:rPr>
            </w:pPr>
            <w:r>
              <w:rPr>
                <w:rFonts w:hint="eastAsia" w:ascii="宋体" w:hAnsi="宋体" w:cs="宋体"/>
                <w:color w:val="auto"/>
                <w:sz w:val="20"/>
                <w:szCs w:val="20"/>
              </w:rPr>
              <w:t>技术部分</w:t>
            </w:r>
          </w:p>
          <w:p w14:paraId="04FEA14E">
            <w:pPr>
              <w:spacing w:line="240" w:lineRule="auto"/>
              <w:jc w:val="center"/>
              <w:rPr>
                <w:rFonts w:ascii="宋体" w:hAnsi="宋体" w:cs="宋体"/>
                <w:color w:val="auto"/>
                <w:sz w:val="20"/>
                <w:szCs w:val="20"/>
              </w:rPr>
            </w:pPr>
            <w:r>
              <w:rPr>
                <w:rFonts w:hint="eastAsia" w:ascii="宋体" w:hAnsi="宋体" w:cs="宋体"/>
                <w:color w:val="auto"/>
                <w:sz w:val="20"/>
                <w:szCs w:val="20"/>
              </w:rPr>
              <w:t>（</w:t>
            </w:r>
            <w:r>
              <w:rPr>
                <w:rFonts w:hint="eastAsia" w:ascii="宋体" w:hAnsi="宋体" w:cs="宋体"/>
                <w:color w:val="auto"/>
                <w:sz w:val="20"/>
                <w:szCs w:val="20"/>
                <w:lang w:val="en-US" w:eastAsia="zh-CN"/>
              </w:rPr>
              <w:t>60</w:t>
            </w:r>
            <w:r>
              <w:rPr>
                <w:rFonts w:hint="eastAsia" w:ascii="宋体" w:hAnsi="宋体" w:cs="宋体"/>
                <w:color w:val="auto"/>
                <w:sz w:val="20"/>
                <w:szCs w:val="20"/>
              </w:rPr>
              <w:t>分）</w:t>
            </w:r>
          </w:p>
          <w:p w14:paraId="5660CE8B">
            <w:pPr>
              <w:spacing w:line="240" w:lineRule="auto"/>
              <w:jc w:val="center"/>
              <w:rPr>
                <w:rFonts w:ascii="宋体" w:hAnsi="宋体" w:cs="宋体"/>
                <w:color w:val="auto"/>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690D3B4B">
            <w:pPr>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施工方案及技术措施</w:t>
            </w:r>
            <w:r>
              <w:rPr>
                <w:rFonts w:hint="eastAsia" w:asciiTheme="minorEastAsia" w:hAnsiTheme="minorEastAsia" w:eastAsiaTheme="minorEastAsia" w:cstheme="minorEastAsia"/>
                <w:color w:val="auto"/>
                <w:sz w:val="21"/>
                <w:szCs w:val="21"/>
                <w:lang w:val="en-US" w:eastAsia="zh-CN"/>
              </w:rPr>
              <w:t>（15分）</w:t>
            </w:r>
          </w:p>
        </w:tc>
        <w:tc>
          <w:tcPr>
            <w:tcW w:w="6369" w:type="dxa"/>
            <w:tcBorders>
              <w:top w:val="single" w:color="auto" w:sz="4" w:space="0"/>
              <w:left w:val="single" w:color="auto" w:sz="4" w:space="0"/>
              <w:right w:val="single" w:color="auto" w:sz="4" w:space="0"/>
            </w:tcBorders>
            <w:noWrap/>
            <w:vAlign w:val="center"/>
          </w:tcPr>
          <w:p w14:paraId="38BC1761">
            <w:pPr>
              <w:numPr>
                <w:ilvl w:val="0"/>
                <w:numId w:val="0"/>
              </w:numPr>
              <w:spacing w:line="240" w:lineRule="auto"/>
              <w:rPr>
                <w:rFonts w:hint="default" w:asciiTheme="minorEastAsia" w:hAnsiTheme="minorEastAsia" w:eastAsiaTheme="minorEastAsia" w:cstheme="minorEastAsia"/>
                <w:color w:val="auto"/>
                <w:kern w:val="0"/>
                <w:sz w:val="21"/>
                <w:szCs w:val="21"/>
                <w:lang w:val="en-US" w:eastAsia="zh-CN"/>
              </w:rPr>
            </w:pPr>
            <w:r>
              <w:rPr>
                <w:rFonts w:hint="default" w:asciiTheme="minorEastAsia" w:hAnsiTheme="minorEastAsia" w:eastAsiaTheme="minorEastAsia" w:cstheme="minorEastAsia"/>
                <w:color w:val="auto"/>
                <w:kern w:val="0"/>
                <w:sz w:val="21"/>
                <w:szCs w:val="21"/>
                <w:lang w:val="en-US" w:eastAsia="zh-CN"/>
              </w:rPr>
              <w:t xml:space="preserve">根据供应商提供的施工方案与技术措施进行比较赋分： </w:t>
            </w:r>
          </w:p>
          <w:p w14:paraId="6E016596">
            <w:pPr>
              <w:numPr>
                <w:ilvl w:val="0"/>
                <w:numId w:val="0"/>
              </w:numPr>
              <w:spacing w:line="240" w:lineRule="auto"/>
              <w:rPr>
                <w:rFonts w:hint="default" w:asciiTheme="minorEastAsia" w:hAnsiTheme="minorEastAsia" w:eastAsiaTheme="minorEastAsia" w:cstheme="minorEastAsia"/>
                <w:color w:val="auto"/>
                <w:kern w:val="0"/>
                <w:sz w:val="21"/>
                <w:szCs w:val="21"/>
                <w:lang w:val="en-US" w:eastAsia="zh-CN"/>
              </w:rPr>
            </w:pPr>
            <w:r>
              <w:rPr>
                <w:rFonts w:hint="default" w:asciiTheme="minorEastAsia" w:hAnsiTheme="minorEastAsia" w:eastAsiaTheme="minorEastAsia" w:cstheme="minorEastAsia"/>
                <w:color w:val="auto"/>
                <w:kern w:val="0"/>
                <w:sz w:val="21"/>
                <w:szCs w:val="21"/>
                <w:lang w:val="en-US" w:eastAsia="zh-CN"/>
              </w:rPr>
              <w:t>A.施工方案与技术措施科学合理，适用性强，思路清晰，内容全面，能够根据实际情况制订，满足采购人的需要，考虑问题周全，实施过程务实，各项指标均能完成；</w:t>
            </w:r>
            <w:r>
              <w:rPr>
                <w:rFonts w:hint="eastAsia" w:asciiTheme="minorEastAsia" w:hAnsiTheme="minorEastAsia" w:eastAsiaTheme="minorEastAsia" w:cstheme="minorEastAsia"/>
                <w:color w:val="auto"/>
                <w:kern w:val="0"/>
                <w:sz w:val="21"/>
                <w:szCs w:val="21"/>
                <w:lang w:val="en-US" w:eastAsia="zh-CN"/>
              </w:rPr>
              <w:t>11</w:t>
            </w:r>
            <w:r>
              <w:rPr>
                <w:rFonts w:hint="default"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15</w:t>
            </w:r>
            <w:r>
              <w:rPr>
                <w:rFonts w:hint="default" w:asciiTheme="minorEastAsia" w:hAnsiTheme="minorEastAsia" w:eastAsiaTheme="minorEastAsia" w:cstheme="minorEastAsia"/>
                <w:color w:val="auto"/>
                <w:kern w:val="0"/>
                <w:sz w:val="21"/>
                <w:szCs w:val="21"/>
                <w:lang w:val="en-US" w:eastAsia="zh-CN"/>
              </w:rPr>
              <w:t xml:space="preserve">分 </w:t>
            </w:r>
          </w:p>
          <w:p w14:paraId="5A34C688">
            <w:pPr>
              <w:numPr>
                <w:ilvl w:val="0"/>
                <w:numId w:val="0"/>
              </w:numPr>
              <w:spacing w:line="240" w:lineRule="auto"/>
              <w:rPr>
                <w:rFonts w:hint="default" w:asciiTheme="minorEastAsia" w:hAnsiTheme="minorEastAsia" w:eastAsiaTheme="minorEastAsia" w:cstheme="minorEastAsia"/>
                <w:color w:val="auto"/>
                <w:kern w:val="0"/>
                <w:sz w:val="21"/>
                <w:szCs w:val="21"/>
                <w:lang w:val="en-US" w:eastAsia="zh-CN"/>
              </w:rPr>
            </w:pPr>
            <w:r>
              <w:rPr>
                <w:rFonts w:hint="default" w:asciiTheme="minorEastAsia" w:hAnsiTheme="minorEastAsia" w:eastAsiaTheme="minorEastAsia" w:cstheme="minorEastAsia"/>
                <w:color w:val="auto"/>
                <w:kern w:val="0"/>
                <w:sz w:val="21"/>
                <w:szCs w:val="21"/>
                <w:lang w:val="en-US" w:eastAsia="zh-CN"/>
              </w:rPr>
              <w:t>B.施工方案与技术措施基本能够满足采购需要，操作性不强；</w:t>
            </w:r>
            <w:r>
              <w:rPr>
                <w:rFonts w:hint="eastAsia" w:asciiTheme="minorEastAsia" w:hAnsiTheme="minorEastAsia" w:eastAsiaTheme="minorEastAsia" w:cstheme="minorEastAsia"/>
                <w:color w:val="auto"/>
                <w:kern w:val="0"/>
                <w:sz w:val="21"/>
                <w:szCs w:val="21"/>
                <w:lang w:val="en-US" w:eastAsia="zh-CN"/>
              </w:rPr>
              <w:t>5</w:t>
            </w:r>
            <w:r>
              <w:rPr>
                <w:rFonts w:hint="default"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10</w:t>
            </w:r>
            <w:r>
              <w:rPr>
                <w:rFonts w:hint="default" w:asciiTheme="minorEastAsia" w:hAnsiTheme="minorEastAsia" w:eastAsiaTheme="minorEastAsia" w:cstheme="minorEastAsia"/>
                <w:color w:val="auto"/>
                <w:kern w:val="0"/>
                <w:sz w:val="21"/>
                <w:szCs w:val="21"/>
                <w:lang w:val="en-US" w:eastAsia="zh-CN"/>
              </w:rPr>
              <w:t xml:space="preserve">分 </w:t>
            </w:r>
          </w:p>
          <w:p w14:paraId="04D3459C">
            <w:pPr>
              <w:numPr>
                <w:ilvl w:val="0"/>
                <w:numId w:val="0"/>
              </w:numPr>
              <w:spacing w:line="240" w:lineRule="auto"/>
              <w:rPr>
                <w:rFonts w:hint="default" w:asciiTheme="minorEastAsia" w:hAnsiTheme="minorEastAsia" w:eastAsiaTheme="minorEastAsia" w:cstheme="minorEastAsia"/>
                <w:color w:val="auto"/>
                <w:kern w:val="0"/>
                <w:sz w:val="21"/>
                <w:szCs w:val="21"/>
                <w:lang w:val="en-US" w:eastAsia="zh-CN"/>
              </w:rPr>
            </w:pPr>
            <w:r>
              <w:rPr>
                <w:rFonts w:hint="default" w:asciiTheme="minorEastAsia" w:hAnsiTheme="minorEastAsia" w:eastAsiaTheme="minorEastAsia" w:cstheme="minorEastAsia"/>
                <w:color w:val="auto"/>
                <w:kern w:val="0"/>
                <w:sz w:val="21"/>
                <w:szCs w:val="21"/>
                <w:lang w:val="en-US" w:eastAsia="zh-CN"/>
              </w:rPr>
              <w:t>C.施工方案与技术措施不合理；1-</w:t>
            </w:r>
            <w:r>
              <w:rPr>
                <w:rFonts w:hint="eastAsia" w:asciiTheme="minorEastAsia" w:hAnsiTheme="minorEastAsia" w:eastAsiaTheme="minorEastAsia" w:cstheme="minorEastAsia"/>
                <w:color w:val="auto"/>
                <w:kern w:val="0"/>
                <w:sz w:val="21"/>
                <w:szCs w:val="21"/>
                <w:lang w:val="en-US" w:eastAsia="zh-CN"/>
              </w:rPr>
              <w:t>4</w:t>
            </w:r>
            <w:r>
              <w:rPr>
                <w:rFonts w:hint="default" w:asciiTheme="minorEastAsia" w:hAnsiTheme="minorEastAsia" w:eastAsiaTheme="minorEastAsia" w:cstheme="minorEastAsia"/>
                <w:color w:val="auto"/>
                <w:kern w:val="0"/>
                <w:sz w:val="21"/>
                <w:szCs w:val="21"/>
                <w:lang w:val="en-US" w:eastAsia="zh-CN"/>
              </w:rPr>
              <w:t xml:space="preserve">分 </w:t>
            </w:r>
          </w:p>
          <w:p w14:paraId="533A999B">
            <w:pPr>
              <w:numPr>
                <w:ilvl w:val="0"/>
                <w:numId w:val="0"/>
              </w:numPr>
              <w:spacing w:line="240" w:lineRule="auto"/>
              <w:rPr>
                <w:rFonts w:hint="default" w:asciiTheme="minorEastAsia" w:hAnsiTheme="minorEastAsia" w:eastAsiaTheme="minorEastAsia" w:cstheme="minorEastAsia"/>
                <w:color w:val="auto"/>
                <w:kern w:val="0"/>
                <w:sz w:val="21"/>
                <w:szCs w:val="21"/>
                <w:lang w:val="en-US" w:eastAsia="zh-CN"/>
              </w:rPr>
            </w:pPr>
            <w:r>
              <w:rPr>
                <w:rFonts w:hint="default" w:asciiTheme="minorEastAsia" w:hAnsiTheme="minorEastAsia" w:eastAsiaTheme="minorEastAsia" w:cstheme="minorEastAsia"/>
                <w:color w:val="auto"/>
                <w:kern w:val="0"/>
                <w:sz w:val="21"/>
                <w:szCs w:val="21"/>
                <w:lang w:val="en-US" w:eastAsia="zh-CN"/>
              </w:rPr>
              <w:t>D.不提供者不得分</w:t>
            </w:r>
          </w:p>
        </w:tc>
      </w:tr>
      <w:tr w14:paraId="7CEF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63" w:type="dxa"/>
            <w:vMerge w:val="continue"/>
            <w:tcBorders>
              <w:left w:val="single" w:color="auto" w:sz="4" w:space="0"/>
              <w:right w:val="single" w:color="auto" w:sz="4" w:space="0"/>
            </w:tcBorders>
            <w:noWrap/>
            <w:vAlign w:val="center"/>
          </w:tcPr>
          <w:p w14:paraId="74245AAA">
            <w:pPr>
              <w:spacing w:line="240" w:lineRule="auto"/>
              <w:jc w:val="center"/>
              <w:rPr>
                <w:color w:val="auto"/>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5014D9F3">
            <w:pPr>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质量管理体系及保证措施</w:t>
            </w:r>
            <w:r>
              <w:rPr>
                <w:rFonts w:hint="eastAsia" w:asciiTheme="minorEastAsia" w:hAnsiTheme="minorEastAsia" w:eastAsiaTheme="minorEastAsia" w:cstheme="minorEastAsia"/>
                <w:color w:val="auto"/>
                <w:sz w:val="21"/>
                <w:szCs w:val="21"/>
                <w:lang w:val="en-US" w:eastAsia="zh-CN"/>
              </w:rPr>
              <w:t>（15分）</w:t>
            </w:r>
          </w:p>
        </w:tc>
        <w:tc>
          <w:tcPr>
            <w:tcW w:w="6369" w:type="dxa"/>
            <w:tcBorders>
              <w:left w:val="single" w:color="auto" w:sz="4" w:space="0"/>
              <w:right w:val="single" w:color="auto" w:sz="4" w:space="0"/>
            </w:tcBorders>
            <w:noWrap/>
            <w:vAlign w:val="center"/>
          </w:tcPr>
          <w:p w14:paraId="7066A227">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根据供应商提供的质量管理体系与措施进行比较赋分:</w:t>
            </w:r>
          </w:p>
          <w:p w14:paraId="6846F2B3">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A.质量管理体系与措施科学合理，适用性强，思路清晰，内容全面，能够根据实际情况制订，满足采购人的需要，考虑问题周全，实施过程务实，各项指标均能完成；</w:t>
            </w:r>
            <w:r>
              <w:rPr>
                <w:rFonts w:hint="eastAsia" w:asciiTheme="minorEastAsia" w:hAnsiTheme="minorEastAsia" w:eastAsiaTheme="minorEastAsia" w:cstheme="minorEastAsia"/>
                <w:color w:val="auto"/>
                <w:sz w:val="21"/>
                <w:szCs w:val="21"/>
                <w:lang w:val="en-US" w:eastAsia="zh-CN"/>
              </w:rPr>
              <w:t>11</w:t>
            </w:r>
            <w:r>
              <w:rPr>
                <w:rFonts w:hint="default"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15</w:t>
            </w:r>
            <w:r>
              <w:rPr>
                <w:rFonts w:hint="default" w:asciiTheme="minorEastAsia" w:hAnsiTheme="minorEastAsia" w:eastAsiaTheme="minorEastAsia" w:cstheme="minorEastAsia"/>
                <w:color w:val="auto"/>
                <w:sz w:val="21"/>
                <w:szCs w:val="21"/>
                <w:lang w:val="en-US" w:eastAsia="zh-CN"/>
              </w:rPr>
              <w:t>分</w:t>
            </w:r>
          </w:p>
          <w:p w14:paraId="1A246EA2">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B.质量管理体系与措施基本能够满足采购需要，操作性不强；</w:t>
            </w:r>
            <w:r>
              <w:rPr>
                <w:rFonts w:hint="eastAsia" w:asciiTheme="minorEastAsia" w:hAnsiTheme="minorEastAsia" w:eastAsiaTheme="minorEastAsia" w:cstheme="minorEastAsia"/>
                <w:color w:val="auto"/>
                <w:sz w:val="21"/>
                <w:szCs w:val="21"/>
                <w:lang w:val="en-US" w:eastAsia="zh-CN"/>
              </w:rPr>
              <w:t>5</w:t>
            </w:r>
            <w:r>
              <w:rPr>
                <w:rFonts w:hint="default"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10</w:t>
            </w:r>
            <w:r>
              <w:rPr>
                <w:rFonts w:hint="default" w:asciiTheme="minorEastAsia" w:hAnsiTheme="minorEastAsia" w:eastAsiaTheme="minorEastAsia" w:cstheme="minorEastAsia"/>
                <w:color w:val="auto"/>
                <w:sz w:val="21"/>
                <w:szCs w:val="21"/>
                <w:lang w:val="en-US" w:eastAsia="zh-CN"/>
              </w:rPr>
              <w:t>分</w:t>
            </w:r>
          </w:p>
          <w:p w14:paraId="571011EF">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C.质量管理体系与措施不合理；1-</w:t>
            </w:r>
            <w:r>
              <w:rPr>
                <w:rFonts w:hint="eastAsia" w:asciiTheme="minorEastAsia" w:hAnsiTheme="minorEastAsia" w:eastAsiaTheme="minorEastAsia" w:cstheme="minorEastAsia"/>
                <w:color w:val="auto"/>
                <w:sz w:val="21"/>
                <w:szCs w:val="21"/>
                <w:lang w:val="en-US" w:eastAsia="zh-CN"/>
              </w:rPr>
              <w:t>4</w:t>
            </w:r>
            <w:r>
              <w:rPr>
                <w:rFonts w:hint="default" w:asciiTheme="minorEastAsia" w:hAnsiTheme="minorEastAsia" w:eastAsiaTheme="minorEastAsia" w:cstheme="minorEastAsia"/>
                <w:color w:val="auto"/>
                <w:sz w:val="21"/>
                <w:szCs w:val="21"/>
                <w:lang w:val="en-US" w:eastAsia="zh-CN"/>
              </w:rPr>
              <w:t>分</w:t>
            </w:r>
          </w:p>
          <w:p w14:paraId="57D33891">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D.不提供者不得分</w:t>
            </w:r>
          </w:p>
        </w:tc>
      </w:tr>
      <w:tr w14:paraId="33BE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63" w:type="dxa"/>
            <w:vMerge w:val="continue"/>
            <w:tcBorders>
              <w:left w:val="single" w:color="auto" w:sz="4" w:space="0"/>
              <w:right w:val="single" w:color="auto" w:sz="4" w:space="0"/>
            </w:tcBorders>
            <w:noWrap/>
            <w:vAlign w:val="center"/>
          </w:tcPr>
          <w:p w14:paraId="3B0E5D71">
            <w:pPr>
              <w:spacing w:line="240" w:lineRule="auto"/>
              <w:jc w:val="center"/>
              <w:rPr>
                <w:rFonts w:hint="default" w:asciiTheme="minorEastAsia" w:hAnsiTheme="minorEastAsia" w:eastAsiaTheme="minorEastAsia" w:cstheme="minorEastAsia"/>
                <w:color w:val="auto"/>
                <w:sz w:val="21"/>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61645EC9">
            <w:pPr>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安全管理体系与措施</w:t>
            </w:r>
            <w:r>
              <w:rPr>
                <w:rFonts w:hint="eastAsia" w:asciiTheme="minorEastAsia" w:hAnsiTheme="minorEastAsia" w:eastAsiaTheme="minorEastAsia" w:cstheme="minorEastAsia"/>
                <w:color w:val="auto"/>
                <w:sz w:val="21"/>
                <w:szCs w:val="21"/>
                <w:lang w:val="en-US" w:eastAsia="zh-CN"/>
              </w:rPr>
              <w:t>（10分）</w:t>
            </w:r>
          </w:p>
        </w:tc>
        <w:tc>
          <w:tcPr>
            <w:tcW w:w="6369" w:type="dxa"/>
            <w:tcBorders>
              <w:left w:val="single" w:color="auto" w:sz="4" w:space="0"/>
              <w:right w:val="single" w:color="auto" w:sz="4" w:space="0"/>
            </w:tcBorders>
            <w:noWrap/>
            <w:vAlign w:val="center"/>
          </w:tcPr>
          <w:p w14:paraId="5B1962F0">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根据供应商提供的安全管理体系与措施进行比较赋分：</w:t>
            </w:r>
          </w:p>
          <w:p w14:paraId="77057D91">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A.安全管理体系与措施科学合理，适用性强，思路清晰，内容全面，能够根据实际情况制订，满足采购人的需要，考虑问题周全，实施过程务实，各项指标均能完成；8-10分</w:t>
            </w:r>
          </w:p>
          <w:p w14:paraId="19D7C4C6">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B.安全管理体系与措施基本能够满足采购需要，操作性不强；4-7分</w:t>
            </w:r>
          </w:p>
          <w:p w14:paraId="063A3A22">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C.安全管理体系与措施不合理；1-3分</w:t>
            </w:r>
          </w:p>
          <w:p w14:paraId="20FB11C1">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D.不提供者不得分</w:t>
            </w:r>
          </w:p>
        </w:tc>
      </w:tr>
      <w:tr w14:paraId="30BB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63" w:type="dxa"/>
            <w:vMerge w:val="continue"/>
            <w:tcBorders>
              <w:left w:val="single" w:color="auto" w:sz="4" w:space="0"/>
              <w:right w:val="single" w:color="auto" w:sz="4" w:space="0"/>
            </w:tcBorders>
            <w:noWrap/>
            <w:vAlign w:val="center"/>
          </w:tcPr>
          <w:p w14:paraId="35027923">
            <w:pPr>
              <w:spacing w:line="240" w:lineRule="auto"/>
              <w:jc w:val="center"/>
              <w:rPr>
                <w:rFonts w:hint="default" w:asciiTheme="minorEastAsia" w:hAnsiTheme="minorEastAsia" w:eastAsiaTheme="minorEastAsia" w:cstheme="minorEastAsia"/>
                <w:color w:val="auto"/>
                <w:sz w:val="21"/>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476D20DC">
            <w:pPr>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环保管理体系与措施</w:t>
            </w:r>
            <w:r>
              <w:rPr>
                <w:rFonts w:hint="eastAsia" w:asciiTheme="minorEastAsia" w:hAnsiTheme="minorEastAsia" w:eastAsiaTheme="minorEastAsia" w:cstheme="minorEastAsia"/>
                <w:color w:val="auto"/>
                <w:sz w:val="21"/>
                <w:szCs w:val="21"/>
                <w:lang w:val="en-US" w:eastAsia="zh-CN"/>
              </w:rPr>
              <w:t>（10分）</w:t>
            </w:r>
          </w:p>
        </w:tc>
        <w:tc>
          <w:tcPr>
            <w:tcW w:w="6369" w:type="dxa"/>
            <w:tcBorders>
              <w:left w:val="single" w:color="auto" w:sz="4" w:space="0"/>
              <w:right w:val="single" w:color="auto" w:sz="4" w:space="0"/>
            </w:tcBorders>
            <w:noWrap/>
            <w:vAlign w:val="center"/>
          </w:tcPr>
          <w:p w14:paraId="3A20D441">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根据供应商提供的环保管理体系与措施进行比较赋分：</w:t>
            </w:r>
          </w:p>
          <w:p w14:paraId="59CAD884">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A.环保管理体系与措施科学合理，适用性强，思路清晰，内容全面，能够根据实际情况制订，满足采购人的需要，考虑问题周全，实施过程务实，各项指标均能完成；8-10分</w:t>
            </w:r>
          </w:p>
          <w:p w14:paraId="65C841AF">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B.环保管理体系与措施基本能够满足采购需要，操作性不强；4-7分</w:t>
            </w:r>
          </w:p>
          <w:p w14:paraId="63000493">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C.环保管理体系与措施不合理；1-3分</w:t>
            </w:r>
          </w:p>
          <w:p w14:paraId="73EE9242">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D.不提供者不得分</w:t>
            </w:r>
          </w:p>
        </w:tc>
      </w:tr>
      <w:tr w14:paraId="1245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63" w:type="dxa"/>
            <w:vMerge w:val="continue"/>
            <w:tcBorders>
              <w:left w:val="single" w:color="auto" w:sz="4" w:space="0"/>
              <w:bottom w:val="single" w:color="auto" w:sz="4" w:space="0"/>
              <w:right w:val="single" w:color="auto" w:sz="4" w:space="0"/>
            </w:tcBorders>
            <w:noWrap/>
            <w:vAlign w:val="center"/>
          </w:tcPr>
          <w:p w14:paraId="2CD7410F">
            <w:pPr>
              <w:spacing w:line="240" w:lineRule="auto"/>
              <w:jc w:val="center"/>
              <w:rPr>
                <w:rFonts w:hint="default" w:asciiTheme="minorEastAsia" w:hAnsiTheme="minorEastAsia" w:eastAsiaTheme="minorEastAsia" w:cstheme="minorEastAsia"/>
                <w:color w:val="auto"/>
                <w:sz w:val="21"/>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45ED591B">
            <w:pPr>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工程进度计划与措施</w:t>
            </w:r>
            <w:r>
              <w:rPr>
                <w:rFonts w:hint="eastAsia" w:asciiTheme="minorEastAsia" w:hAnsiTheme="minorEastAsia" w:eastAsiaTheme="minorEastAsia" w:cstheme="minorEastAsia"/>
                <w:color w:val="auto"/>
                <w:sz w:val="21"/>
                <w:szCs w:val="21"/>
                <w:lang w:val="en-US" w:eastAsia="zh-CN"/>
              </w:rPr>
              <w:t>（10分）</w:t>
            </w:r>
          </w:p>
        </w:tc>
        <w:tc>
          <w:tcPr>
            <w:tcW w:w="6369" w:type="dxa"/>
            <w:tcBorders>
              <w:left w:val="single" w:color="auto" w:sz="4" w:space="0"/>
              <w:bottom w:val="single" w:color="auto" w:sz="4" w:space="0"/>
              <w:right w:val="single" w:color="auto" w:sz="4" w:space="0"/>
            </w:tcBorders>
            <w:noWrap/>
            <w:vAlign w:val="center"/>
          </w:tcPr>
          <w:p w14:paraId="29B871D1">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根据供应商提供的工程进度计划与措施进行比较赋分：</w:t>
            </w:r>
          </w:p>
          <w:p w14:paraId="567B25D9">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A.工程进度计划与措施科学合理，适用性强，思路清晰，内容全面，能够根据实际情况制订，满足采购人的需要，考虑问题周全，实施过程务实，各项指标均能完成；8-10分</w:t>
            </w:r>
          </w:p>
          <w:p w14:paraId="2DDB9959">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B.工程进度计划与措施基本能够满足采购需要，操作性不强；4-7分</w:t>
            </w:r>
          </w:p>
          <w:p w14:paraId="587B76E4">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C.工程进度计划与措施不合理；1-3分</w:t>
            </w:r>
          </w:p>
          <w:p w14:paraId="3C03F1EC">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D.不提供者不得分</w:t>
            </w:r>
          </w:p>
        </w:tc>
      </w:tr>
      <w:tr w14:paraId="7F5D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63" w:type="dxa"/>
            <w:vMerge w:val="restart"/>
            <w:tcBorders>
              <w:top w:val="single" w:color="auto" w:sz="4" w:space="0"/>
              <w:left w:val="single" w:color="auto" w:sz="4" w:space="0"/>
              <w:right w:val="single" w:color="auto" w:sz="4" w:space="0"/>
            </w:tcBorders>
            <w:noWrap/>
            <w:vAlign w:val="center"/>
          </w:tcPr>
          <w:p w14:paraId="257BF93D">
            <w:pPr>
              <w:spacing w:line="240" w:lineRule="auto"/>
              <w:jc w:val="center"/>
              <w:rPr>
                <w:rFonts w:ascii="宋体" w:hAnsi="宋体" w:cs="宋体"/>
                <w:color w:val="auto"/>
                <w:sz w:val="20"/>
                <w:szCs w:val="20"/>
              </w:rPr>
            </w:pPr>
            <w:r>
              <w:rPr>
                <w:rFonts w:hint="eastAsia" w:ascii="宋体" w:hAnsi="宋体" w:cs="宋体"/>
                <w:color w:val="auto"/>
                <w:sz w:val="20"/>
                <w:szCs w:val="20"/>
              </w:rPr>
              <w:t>商务部分</w:t>
            </w:r>
          </w:p>
          <w:p w14:paraId="329428E2">
            <w:pPr>
              <w:spacing w:line="240" w:lineRule="auto"/>
              <w:jc w:val="center"/>
              <w:rPr>
                <w:rFonts w:ascii="宋体" w:hAnsi="宋体" w:cs="宋体"/>
                <w:color w:val="auto"/>
                <w:sz w:val="20"/>
                <w:szCs w:val="20"/>
              </w:rPr>
            </w:pPr>
            <w:r>
              <w:rPr>
                <w:rFonts w:hint="eastAsia" w:ascii="宋体" w:hAnsi="宋体" w:cs="宋体"/>
                <w:color w:val="auto"/>
                <w:sz w:val="20"/>
                <w:szCs w:val="20"/>
              </w:rPr>
              <w:t>（</w:t>
            </w:r>
            <w:r>
              <w:rPr>
                <w:rFonts w:hint="eastAsia" w:ascii="宋体" w:hAnsi="宋体" w:cs="宋体"/>
                <w:color w:val="auto"/>
                <w:sz w:val="20"/>
                <w:szCs w:val="20"/>
                <w:lang w:val="en-US" w:eastAsia="zh-CN"/>
              </w:rPr>
              <w:t>20</w:t>
            </w:r>
            <w:r>
              <w:rPr>
                <w:rFonts w:hint="eastAsia" w:ascii="宋体" w:hAnsi="宋体" w:cs="宋体"/>
                <w:color w:val="auto"/>
                <w:sz w:val="20"/>
                <w:szCs w:val="20"/>
              </w:rPr>
              <w:t>分）</w:t>
            </w:r>
          </w:p>
        </w:tc>
        <w:tc>
          <w:tcPr>
            <w:tcW w:w="2300" w:type="dxa"/>
            <w:tcBorders>
              <w:top w:val="single" w:color="auto" w:sz="4" w:space="0"/>
              <w:left w:val="single" w:color="auto" w:sz="4" w:space="0"/>
              <w:right w:val="single" w:color="auto" w:sz="4" w:space="0"/>
            </w:tcBorders>
            <w:noWrap/>
            <w:vAlign w:val="center"/>
          </w:tcPr>
          <w:p w14:paraId="2D5A1B10">
            <w:pPr>
              <w:spacing w:line="240" w:lineRule="auto"/>
              <w:jc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拟投入团队成员实力</w:t>
            </w:r>
            <w:r>
              <w:rPr>
                <w:rFonts w:hint="default" w:ascii="宋体" w:hAnsi="宋体" w:eastAsia="宋体" w:cs="宋体"/>
                <w:color w:val="auto"/>
                <w:sz w:val="20"/>
                <w:szCs w:val="20"/>
                <w:lang w:val="en-US" w:eastAsia="zh-CN"/>
              </w:rPr>
              <w:br w:type="textWrapping"/>
            </w:r>
            <w:r>
              <w:rPr>
                <w:rFonts w:hint="eastAsia" w:ascii="宋体" w:hAnsi="宋体" w:cs="宋体"/>
                <w:color w:val="auto"/>
                <w:sz w:val="20"/>
                <w:szCs w:val="20"/>
                <w:lang w:val="en-US" w:eastAsia="zh-CN"/>
              </w:rPr>
              <w:t>（5分）</w:t>
            </w:r>
          </w:p>
        </w:tc>
        <w:tc>
          <w:tcPr>
            <w:tcW w:w="6369" w:type="dxa"/>
            <w:tcBorders>
              <w:top w:val="single" w:color="auto" w:sz="4" w:space="0"/>
              <w:left w:val="single" w:color="auto" w:sz="4" w:space="0"/>
              <w:right w:val="single" w:color="auto" w:sz="4" w:space="0"/>
            </w:tcBorders>
            <w:noWrap/>
            <w:vAlign w:val="center"/>
          </w:tcPr>
          <w:p w14:paraId="02AE7C36">
            <w:pPr>
              <w:spacing w:line="240" w:lineRule="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项目负责人具有工程类相关专业</w:t>
            </w:r>
            <w:r>
              <w:rPr>
                <w:rFonts w:hint="eastAsia" w:asciiTheme="minorEastAsia" w:hAnsiTheme="minorEastAsia" w:eastAsiaTheme="minorEastAsia" w:cstheme="minorEastAsia"/>
                <w:color w:val="auto"/>
                <w:sz w:val="21"/>
                <w:szCs w:val="21"/>
                <w:lang w:val="en-US" w:eastAsia="zh-CN"/>
              </w:rPr>
              <w:t>高级或以上</w:t>
            </w:r>
            <w:r>
              <w:rPr>
                <w:rFonts w:hint="default" w:asciiTheme="minorEastAsia" w:hAnsiTheme="minorEastAsia" w:eastAsiaTheme="minorEastAsia" w:cstheme="minorEastAsia"/>
                <w:color w:val="auto"/>
                <w:sz w:val="21"/>
                <w:szCs w:val="21"/>
                <w:lang w:val="en-US" w:eastAsia="zh-CN"/>
              </w:rPr>
              <w:t>职称得5分</w:t>
            </w:r>
            <w:r>
              <w:rPr>
                <w:rFonts w:hint="eastAsia" w:asciiTheme="minorEastAsia" w:hAnsiTheme="minorEastAsia" w:eastAsiaTheme="minorEastAsia" w:cstheme="minorEastAsia"/>
                <w:color w:val="auto"/>
                <w:sz w:val="21"/>
                <w:szCs w:val="21"/>
                <w:lang w:val="en-US" w:eastAsia="zh-CN"/>
              </w:rPr>
              <w:t>，中级职称得3分，本小项最高得5分</w:t>
            </w:r>
            <w:r>
              <w:rPr>
                <w:rFonts w:hint="default" w:asciiTheme="minorEastAsia" w:hAnsiTheme="minorEastAsia" w:eastAsiaTheme="minorEastAsia" w:cstheme="minorEastAsia"/>
                <w:color w:val="auto"/>
                <w:sz w:val="21"/>
                <w:szCs w:val="21"/>
                <w:lang w:val="en-US" w:eastAsia="zh-CN"/>
              </w:rPr>
              <w:t>；</w:t>
            </w:r>
          </w:p>
          <w:p w14:paraId="1645757D">
            <w:pPr>
              <w:spacing w:line="240" w:lineRule="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证明材料：提供相关证书复印件并加盖公章及202</w:t>
            </w:r>
            <w:r>
              <w:rPr>
                <w:rFonts w:hint="eastAsia" w:asciiTheme="minorEastAsia" w:hAnsiTheme="minorEastAsia" w:eastAsiaTheme="minorEastAsia" w:cstheme="minorEastAsia"/>
                <w:color w:val="auto"/>
                <w:sz w:val="21"/>
                <w:szCs w:val="21"/>
                <w:lang w:val="en-US" w:eastAsia="zh-CN"/>
              </w:rPr>
              <w:t>5</w:t>
            </w:r>
            <w:r>
              <w:rPr>
                <w:rFonts w:hint="default" w:asciiTheme="minorEastAsia" w:hAnsiTheme="minorEastAsia" w:eastAsiaTheme="minorEastAsia" w:cstheme="minorEastAsia"/>
                <w:color w:val="auto"/>
                <w:sz w:val="21"/>
                <w:szCs w:val="21"/>
                <w:lang w:val="en-US" w:eastAsia="zh-CN"/>
              </w:rPr>
              <w:t>年</w:t>
            </w:r>
            <w:r>
              <w:rPr>
                <w:rFonts w:hint="eastAsia" w:asciiTheme="minorEastAsia" w:hAnsiTheme="minorEastAsia" w:eastAsiaTheme="minorEastAsia" w:cstheme="minorEastAsia"/>
                <w:color w:val="auto"/>
                <w:sz w:val="21"/>
                <w:szCs w:val="21"/>
                <w:lang w:val="en-US" w:eastAsia="zh-CN"/>
              </w:rPr>
              <w:t>第三季度</w:t>
            </w:r>
            <w:r>
              <w:rPr>
                <w:rFonts w:hint="default" w:asciiTheme="minorEastAsia" w:hAnsiTheme="minorEastAsia" w:eastAsiaTheme="minorEastAsia" w:cstheme="minorEastAsia"/>
                <w:color w:val="auto"/>
                <w:sz w:val="21"/>
                <w:szCs w:val="21"/>
                <w:lang w:val="en-US" w:eastAsia="zh-CN"/>
              </w:rPr>
              <w:t>任意一个月社保缴纳证明。</w:t>
            </w:r>
          </w:p>
        </w:tc>
      </w:tr>
      <w:tr w14:paraId="36FD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63" w:type="dxa"/>
            <w:vMerge w:val="continue"/>
            <w:tcBorders>
              <w:left w:val="single" w:color="auto" w:sz="4" w:space="0"/>
              <w:right w:val="single" w:color="auto" w:sz="4" w:space="0"/>
            </w:tcBorders>
            <w:noWrap/>
            <w:vAlign w:val="center"/>
          </w:tcPr>
          <w:p w14:paraId="696005C6">
            <w:pPr>
              <w:spacing w:line="240" w:lineRule="auto"/>
              <w:jc w:val="center"/>
              <w:rPr>
                <w:color w:val="auto"/>
              </w:rPr>
            </w:pPr>
          </w:p>
        </w:tc>
        <w:tc>
          <w:tcPr>
            <w:tcW w:w="2300" w:type="dxa"/>
            <w:tcBorders>
              <w:top w:val="single" w:color="auto" w:sz="4" w:space="0"/>
              <w:left w:val="single" w:color="auto" w:sz="4" w:space="0"/>
              <w:right w:val="single" w:color="auto" w:sz="4" w:space="0"/>
            </w:tcBorders>
            <w:noWrap/>
            <w:vAlign w:val="center"/>
          </w:tcPr>
          <w:p w14:paraId="25F681B5">
            <w:pPr>
              <w:spacing w:line="240" w:lineRule="auto"/>
              <w:jc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业绩</w:t>
            </w:r>
            <w:r>
              <w:rPr>
                <w:rFonts w:hint="eastAsia" w:ascii="宋体" w:hAnsi="宋体" w:cs="宋体"/>
                <w:color w:val="auto"/>
                <w:sz w:val="20"/>
                <w:szCs w:val="20"/>
                <w:lang w:val="en-US" w:eastAsia="zh-CN"/>
              </w:rPr>
              <w:t>（15分）</w:t>
            </w:r>
          </w:p>
        </w:tc>
        <w:tc>
          <w:tcPr>
            <w:tcW w:w="6369" w:type="dxa"/>
            <w:tcBorders>
              <w:left w:val="single" w:color="auto" w:sz="4" w:space="0"/>
              <w:bottom w:val="single" w:color="auto" w:sz="4" w:space="0"/>
              <w:right w:val="single" w:color="auto" w:sz="4" w:space="0"/>
            </w:tcBorders>
            <w:noWrap/>
            <w:vAlign w:val="center"/>
          </w:tcPr>
          <w:p w14:paraId="40E3B115">
            <w:pPr>
              <w:spacing w:line="240" w:lineRule="auto"/>
              <w:jc w:val="left"/>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2020年1月1日至今，供应商承接过类似钢结构项目的维修改造（含防水）业绩，每提供一项得5分，满分</w:t>
            </w:r>
            <w:r>
              <w:rPr>
                <w:rFonts w:hint="eastAsia" w:ascii="宋体" w:hAnsi="宋体" w:cs="宋体"/>
                <w:color w:val="auto"/>
                <w:sz w:val="20"/>
                <w:szCs w:val="20"/>
                <w:lang w:val="en-US" w:eastAsia="zh-CN"/>
              </w:rPr>
              <w:t>15</w:t>
            </w:r>
            <w:r>
              <w:rPr>
                <w:rFonts w:hint="default" w:ascii="宋体" w:hAnsi="宋体" w:eastAsia="宋体" w:cs="宋体"/>
                <w:color w:val="auto"/>
                <w:sz w:val="20"/>
                <w:szCs w:val="20"/>
                <w:lang w:val="en-US" w:eastAsia="zh-CN"/>
              </w:rPr>
              <w:t>分。证明材料：提供中标（成交）通知书或合同复印件关键页，加盖公章。</w:t>
            </w:r>
          </w:p>
        </w:tc>
      </w:tr>
    </w:tbl>
    <w:p w14:paraId="7D4B4756">
      <w:pPr>
        <w:rPr>
          <w:rFonts w:hint="eastAsia"/>
          <w:color w:val="auto"/>
        </w:rPr>
        <w:sectPr>
          <w:pgSz w:w="11906" w:h="16838"/>
          <w:pgMar w:top="1440" w:right="1800" w:bottom="1440" w:left="1800" w:header="794" w:footer="992" w:gutter="0"/>
          <w:pgNumType w:fmt="decimal"/>
          <w:cols w:space="425" w:num="1"/>
          <w:docGrid w:type="lines" w:linePitch="312" w:charSpace="0"/>
        </w:sect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7CA04D30">
      <w:pPr>
        <w:pageBreakBefore w:val="0"/>
        <w:wordWrap/>
        <w:topLinePunct w:val="0"/>
        <w:bidi w:val="0"/>
        <w:adjustRightInd w:val="0"/>
        <w:snapToGrid w:val="0"/>
        <w:spacing w:line="360" w:lineRule="auto"/>
        <w:jc w:val="center"/>
        <w:textAlignment w:val="auto"/>
        <w:outlineLvl w:val="1"/>
        <w:rPr>
          <w:rFonts w:hint="eastAsia" w:ascii="宋体" w:hAnsi="宋体" w:eastAsia="宋体" w:cs="宋体"/>
          <w:snapToGrid w:val="0"/>
          <w:color w:val="auto"/>
          <w:kern w:val="0"/>
          <w:sz w:val="28"/>
          <w:szCs w:val="28"/>
          <w:lang w:eastAsia="en-US"/>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49B02620">
      <w:pPr>
        <w:widowControl/>
        <w:kinsoku w:val="0"/>
        <w:autoSpaceDE w:val="0"/>
        <w:autoSpaceDN w:val="0"/>
        <w:adjustRightInd w:val="0"/>
        <w:snapToGrid w:val="0"/>
        <w:jc w:val="center"/>
        <w:textAlignment w:val="baseline"/>
        <w:rPr>
          <w:rFonts w:hint="eastAsia" w:ascii="宋体" w:hAnsi="宋体" w:eastAsia="宋体" w:cs="宋体"/>
          <w:b/>
          <w:bCs/>
          <w:snapToGrid w:val="0"/>
          <w:color w:val="auto"/>
          <w:kern w:val="0"/>
          <w:sz w:val="44"/>
          <w:szCs w:val="44"/>
          <w:lang w:val="en-US" w:eastAsia="zh-CN"/>
        </w:rPr>
      </w:pPr>
    </w:p>
    <w:p w14:paraId="3868281D">
      <w:pPr>
        <w:widowControl/>
        <w:kinsoku w:val="0"/>
        <w:autoSpaceDE w:val="0"/>
        <w:autoSpaceDN w:val="0"/>
        <w:adjustRightInd w:val="0"/>
        <w:snapToGrid w:val="0"/>
        <w:jc w:val="center"/>
        <w:textAlignment w:val="baseline"/>
        <w:rPr>
          <w:rFonts w:hint="eastAsia" w:ascii="宋体" w:hAnsi="宋体" w:eastAsia="宋体" w:cs="宋体"/>
          <w:snapToGrid w:val="0"/>
          <w:color w:val="auto"/>
          <w:kern w:val="0"/>
          <w:sz w:val="21"/>
          <w:szCs w:val="21"/>
          <w:lang w:val="en-US" w:eastAsia="zh-CN"/>
        </w:rPr>
      </w:pPr>
      <w:r>
        <w:rPr>
          <w:rFonts w:hint="eastAsia" w:ascii="宋体" w:hAnsi="宋体" w:eastAsia="宋体" w:cs="宋体"/>
          <w:b/>
          <w:bCs/>
          <w:snapToGrid w:val="0"/>
          <w:color w:val="auto"/>
          <w:kern w:val="0"/>
          <w:sz w:val="21"/>
          <w:szCs w:val="21"/>
          <w:lang w:eastAsia="zh-CN"/>
        </w:rPr>
        <w:t>海口江东新区展示中心维修工程</w:t>
      </w:r>
      <w:r>
        <w:rPr>
          <w:rFonts w:hint="eastAsia" w:ascii="宋体" w:hAnsi="宋体" w:eastAsia="宋体" w:cs="宋体"/>
          <w:b/>
          <w:bCs/>
          <w:snapToGrid w:val="0"/>
          <w:color w:val="auto"/>
          <w:kern w:val="0"/>
          <w:sz w:val="21"/>
          <w:szCs w:val="21"/>
          <w:lang w:val="en-US" w:eastAsia="zh-CN"/>
        </w:rPr>
        <w:t>合同</w:t>
      </w:r>
    </w:p>
    <w:p w14:paraId="2AA81811">
      <w:pPr>
        <w:widowControl/>
        <w:kinsoku w:val="0"/>
        <w:autoSpaceDE w:val="0"/>
        <w:autoSpaceDN w:val="0"/>
        <w:adjustRightInd w:val="0"/>
        <w:snapToGrid w:val="0"/>
        <w:jc w:val="left"/>
        <w:textAlignment w:val="baseline"/>
        <w:rPr>
          <w:rFonts w:hint="eastAsia" w:ascii="宋体" w:hAnsi="宋体" w:eastAsia="宋体" w:cs="宋体"/>
          <w:snapToGrid w:val="0"/>
          <w:color w:val="auto"/>
          <w:kern w:val="0"/>
          <w:sz w:val="21"/>
          <w:szCs w:val="21"/>
          <w:lang w:eastAsia="zh-CN"/>
        </w:rPr>
      </w:pPr>
    </w:p>
    <w:p w14:paraId="562DD811">
      <w:pPr>
        <w:widowControl/>
        <w:kinsoku w:val="0"/>
        <w:autoSpaceDE w:val="0"/>
        <w:autoSpaceDN w:val="0"/>
        <w:adjustRightInd w:val="0"/>
        <w:snapToGrid w:val="0"/>
        <w:jc w:val="left"/>
        <w:textAlignment w:val="baseline"/>
        <w:rPr>
          <w:rFonts w:hint="eastAsia" w:ascii="宋体" w:hAnsi="宋体" w:eastAsia="宋体" w:cs="宋体"/>
          <w:snapToGrid w:val="0"/>
          <w:color w:val="auto"/>
          <w:kern w:val="0"/>
          <w:sz w:val="21"/>
          <w:szCs w:val="21"/>
          <w:lang w:eastAsia="zh-CN"/>
        </w:rPr>
      </w:pPr>
    </w:p>
    <w:p w14:paraId="1306F885">
      <w:pPr>
        <w:pStyle w:val="2"/>
        <w:rPr>
          <w:rFonts w:hint="eastAsia" w:ascii="宋体" w:hAnsi="宋体" w:eastAsia="宋体" w:cs="宋体"/>
          <w:snapToGrid w:val="0"/>
          <w:color w:val="auto"/>
          <w:kern w:val="0"/>
          <w:sz w:val="21"/>
          <w:szCs w:val="21"/>
          <w:lang w:eastAsia="zh-CN"/>
        </w:rPr>
      </w:pPr>
    </w:p>
    <w:p w14:paraId="38C27152">
      <w:pPr>
        <w:pStyle w:val="2"/>
        <w:rPr>
          <w:rFonts w:hint="eastAsia" w:ascii="宋体" w:hAnsi="宋体" w:eastAsia="宋体" w:cs="宋体"/>
          <w:snapToGrid w:val="0"/>
          <w:color w:val="auto"/>
          <w:kern w:val="0"/>
          <w:sz w:val="21"/>
          <w:szCs w:val="21"/>
          <w:lang w:eastAsia="zh-CN"/>
        </w:rPr>
      </w:pPr>
    </w:p>
    <w:p w14:paraId="5BAD921B">
      <w:pPr>
        <w:pStyle w:val="2"/>
        <w:rPr>
          <w:rFonts w:hint="eastAsia" w:ascii="宋体" w:hAnsi="宋体" w:eastAsia="宋体" w:cs="宋体"/>
          <w:snapToGrid w:val="0"/>
          <w:color w:val="auto"/>
          <w:kern w:val="0"/>
          <w:sz w:val="21"/>
          <w:szCs w:val="21"/>
          <w:lang w:eastAsia="zh-CN"/>
        </w:rPr>
      </w:pPr>
    </w:p>
    <w:p w14:paraId="12170404">
      <w:pPr>
        <w:pStyle w:val="2"/>
        <w:rPr>
          <w:rFonts w:hint="eastAsia" w:ascii="宋体" w:hAnsi="宋体" w:eastAsia="宋体" w:cs="宋体"/>
          <w:snapToGrid w:val="0"/>
          <w:color w:val="auto"/>
          <w:kern w:val="0"/>
          <w:sz w:val="21"/>
          <w:szCs w:val="21"/>
          <w:lang w:eastAsia="zh-CN"/>
        </w:rPr>
      </w:pPr>
    </w:p>
    <w:p w14:paraId="6B2C09B6">
      <w:pPr>
        <w:pStyle w:val="2"/>
        <w:rPr>
          <w:rFonts w:hint="eastAsia" w:ascii="宋体" w:hAnsi="宋体" w:eastAsia="宋体" w:cs="宋体"/>
          <w:snapToGrid w:val="0"/>
          <w:color w:val="auto"/>
          <w:kern w:val="0"/>
          <w:sz w:val="21"/>
          <w:szCs w:val="21"/>
          <w:lang w:eastAsia="zh-CN"/>
        </w:rPr>
      </w:pPr>
    </w:p>
    <w:p w14:paraId="1975566C">
      <w:pPr>
        <w:pStyle w:val="2"/>
        <w:rPr>
          <w:rFonts w:hint="eastAsia" w:ascii="宋体" w:hAnsi="宋体" w:eastAsia="宋体" w:cs="宋体"/>
          <w:snapToGrid w:val="0"/>
          <w:color w:val="auto"/>
          <w:kern w:val="0"/>
          <w:sz w:val="21"/>
          <w:szCs w:val="21"/>
          <w:lang w:eastAsia="zh-CN"/>
        </w:rPr>
      </w:pPr>
    </w:p>
    <w:p w14:paraId="58B5FBC2">
      <w:pPr>
        <w:pStyle w:val="2"/>
        <w:rPr>
          <w:rFonts w:hint="eastAsia" w:ascii="宋体" w:hAnsi="宋体" w:eastAsia="宋体" w:cs="宋体"/>
          <w:snapToGrid w:val="0"/>
          <w:color w:val="auto"/>
          <w:kern w:val="0"/>
          <w:sz w:val="21"/>
          <w:szCs w:val="21"/>
          <w:lang w:eastAsia="zh-CN"/>
        </w:rPr>
      </w:pPr>
    </w:p>
    <w:p w14:paraId="65AC4FAF">
      <w:pPr>
        <w:pStyle w:val="2"/>
        <w:rPr>
          <w:rFonts w:hint="eastAsia" w:ascii="宋体" w:hAnsi="宋体" w:eastAsia="宋体" w:cs="宋体"/>
          <w:snapToGrid w:val="0"/>
          <w:color w:val="auto"/>
          <w:kern w:val="0"/>
          <w:sz w:val="21"/>
          <w:szCs w:val="21"/>
          <w:lang w:eastAsia="zh-CN"/>
        </w:rPr>
      </w:pPr>
    </w:p>
    <w:p w14:paraId="0B85FDD4">
      <w:pPr>
        <w:widowControl/>
        <w:kinsoku w:val="0"/>
        <w:autoSpaceDE w:val="0"/>
        <w:autoSpaceDN w:val="0"/>
        <w:adjustRightInd w:val="0"/>
        <w:snapToGrid w:val="0"/>
        <w:jc w:val="left"/>
        <w:textAlignment w:val="baseline"/>
        <w:rPr>
          <w:rFonts w:hint="eastAsia" w:ascii="宋体" w:hAnsi="宋体" w:eastAsia="宋体" w:cs="宋体"/>
          <w:snapToGrid w:val="0"/>
          <w:color w:val="auto"/>
          <w:kern w:val="0"/>
          <w:sz w:val="21"/>
          <w:szCs w:val="21"/>
          <w:lang w:eastAsia="zh-CN"/>
        </w:rPr>
      </w:pPr>
    </w:p>
    <w:p w14:paraId="41F121E3">
      <w:pPr>
        <w:keepNext w:val="0"/>
        <w:keepLines w:val="0"/>
        <w:pageBreakBefore w:val="0"/>
        <w:widowControl/>
        <w:kinsoku w:val="0"/>
        <w:wordWrap/>
        <w:overflowPunct/>
        <w:topLinePunct w:val="0"/>
        <w:autoSpaceDE w:val="0"/>
        <w:autoSpaceDN w:val="0"/>
        <w:bidi w:val="0"/>
        <w:adjustRightInd w:val="0"/>
        <w:snapToGrid w:val="0"/>
        <w:ind w:firstLine="1890" w:firstLineChars="900"/>
        <w:jc w:val="left"/>
        <w:textAlignment w:val="baseline"/>
        <w:rPr>
          <w:rFonts w:hint="eastAsia" w:ascii="宋体" w:hAnsi="宋体" w:eastAsia="宋体" w:cs="宋体"/>
          <w:snapToGrid w:val="0"/>
          <w:color w:val="auto"/>
          <w:kern w:val="0"/>
          <w:sz w:val="21"/>
          <w:szCs w:val="21"/>
          <w:u w:val="single"/>
          <w:lang w:val="en-US" w:eastAsia="zh-CN"/>
        </w:rPr>
      </w:pPr>
      <w:r>
        <w:rPr>
          <w:rFonts w:hint="eastAsia" w:ascii="宋体" w:hAnsi="宋体" w:eastAsia="宋体" w:cs="宋体"/>
          <w:snapToGrid w:val="0"/>
          <w:color w:val="auto"/>
          <w:kern w:val="0"/>
          <w:sz w:val="21"/>
          <w:szCs w:val="21"/>
          <w:lang w:eastAsia="zh-CN"/>
        </w:rPr>
        <w:t>项目编号：</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p>
    <w:p w14:paraId="7CD71212">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348F78F2">
      <w:pPr>
        <w:keepNext w:val="0"/>
        <w:keepLines w:val="0"/>
        <w:pageBreakBefore w:val="0"/>
        <w:widowControl/>
        <w:kinsoku w:val="0"/>
        <w:wordWrap/>
        <w:overflowPunct/>
        <w:topLinePunct w:val="0"/>
        <w:autoSpaceDE w:val="0"/>
        <w:autoSpaceDN w:val="0"/>
        <w:bidi w:val="0"/>
        <w:adjustRightInd w:val="0"/>
        <w:snapToGrid w:val="0"/>
        <w:ind w:firstLine="1890" w:firstLineChars="900"/>
        <w:jc w:val="left"/>
        <w:textAlignment w:val="baseline"/>
        <w:rPr>
          <w:rFonts w:hint="eastAsia" w:ascii="宋体" w:hAnsi="宋体" w:eastAsia="宋体" w:cs="宋体"/>
          <w:snapToGrid w:val="0"/>
          <w:color w:val="auto"/>
          <w:kern w:val="0"/>
          <w:sz w:val="21"/>
          <w:szCs w:val="21"/>
          <w:u w:val="single"/>
          <w:lang w:val="en-US" w:eastAsia="zh-CN"/>
        </w:rPr>
      </w:pPr>
      <w:r>
        <w:rPr>
          <w:rFonts w:hint="eastAsia" w:ascii="宋体" w:hAnsi="宋体" w:eastAsia="宋体" w:cs="宋体"/>
          <w:snapToGrid w:val="0"/>
          <w:color w:val="auto"/>
          <w:kern w:val="0"/>
          <w:sz w:val="21"/>
          <w:szCs w:val="21"/>
          <w:lang w:eastAsia="zh-CN"/>
        </w:rPr>
        <w:t>项目名称：</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海口江东新区展示中心</w:t>
      </w:r>
      <w:r>
        <w:rPr>
          <w:rFonts w:hint="eastAsia" w:ascii="宋体" w:hAnsi="宋体" w:eastAsia="宋体" w:cs="宋体"/>
          <w:snapToGrid w:val="0"/>
          <w:color w:val="auto"/>
          <w:kern w:val="0"/>
          <w:sz w:val="21"/>
          <w:szCs w:val="21"/>
          <w:u w:val="single"/>
          <w:lang w:eastAsia="zh-CN"/>
        </w:rPr>
        <w:t>维修工程</w:t>
      </w:r>
      <w:r>
        <w:rPr>
          <w:rFonts w:hint="eastAsia" w:ascii="宋体" w:hAnsi="宋体" w:eastAsia="宋体" w:cs="宋体"/>
          <w:snapToGrid w:val="0"/>
          <w:color w:val="auto"/>
          <w:kern w:val="0"/>
          <w:sz w:val="21"/>
          <w:szCs w:val="21"/>
          <w:u w:val="single"/>
          <w:lang w:val="en-US" w:eastAsia="zh-CN"/>
        </w:rPr>
        <w:t xml:space="preserve">   </w:t>
      </w:r>
    </w:p>
    <w:p w14:paraId="5EE258A7">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宋体" w:hAnsi="宋体" w:eastAsia="宋体" w:cs="宋体"/>
          <w:snapToGrid w:val="0"/>
          <w:color w:val="auto"/>
          <w:kern w:val="0"/>
          <w:sz w:val="21"/>
          <w:szCs w:val="21"/>
          <w:lang w:eastAsia="zh-CN"/>
        </w:rPr>
      </w:pPr>
    </w:p>
    <w:p w14:paraId="3994F69B">
      <w:pPr>
        <w:keepNext w:val="0"/>
        <w:keepLines w:val="0"/>
        <w:pageBreakBefore w:val="0"/>
        <w:widowControl/>
        <w:kinsoku w:val="0"/>
        <w:wordWrap/>
        <w:overflowPunct/>
        <w:topLinePunct w:val="0"/>
        <w:autoSpaceDE w:val="0"/>
        <w:autoSpaceDN w:val="0"/>
        <w:bidi w:val="0"/>
        <w:adjustRightInd w:val="0"/>
        <w:snapToGrid w:val="0"/>
        <w:ind w:firstLine="1890" w:firstLineChars="900"/>
        <w:jc w:val="left"/>
        <w:textAlignment w:val="baseline"/>
        <w:rPr>
          <w:rFonts w:hint="eastAsia" w:ascii="宋体" w:hAnsi="宋体" w:eastAsia="宋体" w:cs="宋体"/>
          <w:snapToGrid w:val="0"/>
          <w:color w:val="auto"/>
          <w:kern w:val="0"/>
          <w:sz w:val="21"/>
          <w:szCs w:val="21"/>
          <w:u w:val="single"/>
          <w:lang w:val="en-US" w:eastAsia="zh-CN"/>
        </w:rPr>
      </w:pPr>
      <w:r>
        <w:rPr>
          <w:rFonts w:hint="eastAsia" w:ascii="宋体" w:hAnsi="宋体" w:eastAsia="宋体" w:cs="宋体"/>
          <w:snapToGrid w:val="0"/>
          <w:color w:val="auto"/>
          <w:kern w:val="0"/>
          <w:sz w:val="21"/>
          <w:szCs w:val="21"/>
          <w:lang w:eastAsia="zh-CN"/>
        </w:rPr>
        <w:t>合同编号：</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p>
    <w:p w14:paraId="53B92818">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2626F047">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7346831C">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19B23EC2">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348C2B14">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77DBCD5D">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sz w:val="21"/>
          <w:szCs w:val="21"/>
          <w:lang w:val="en-US" w:eastAsia="zh-CN" w:bidi="ar-SA"/>
        </w:rPr>
      </w:pPr>
    </w:p>
    <w:p w14:paraId="223B06D3">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79F74547">
      <w:pPr>
        <w:keepNext w:val="0"/>
        <w:keepLines w:val="0"/>
        <w:pageBreakBefore w:val="0"/>
        <w:widowControl/>
        <w:kinsoku w:val="0"/>
        <w:wordWrap/>
        <w:overflowPunct/>
        <w:topLinePunct w:val="0"/>
        <w:autoSpaceDE w:val="0"/>
        <w:autoSpaceDN w:val="0"/>
        <w:bidi w:val="0"/>
        <w:adjustRightInd w:val="0"/>
        <w:snapToGrid w:val="0"/>
        <w:ind w:firstLine="1890" w:firstLineChars="900"/>
        <w:jc w:val="left"/>
        <w:textAlignment w:val="baseline"/>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eastAsia="zh-CN"/>
        </w:rPr>
        <w:t>发包人（甲方）：</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海口江东新区管理局</w:t>
      </w:r>
      <w:r>
        <w:rPr>
          <w:rFonts w:hint="eastAsia" w:ascii="宋体" w:hAnsi="宋体" w:eastAsia="宋体" w:cs="宋体"/>
          <w:snapToGrid w:val="0"/>
          <w:color w:val="auto"/>
          <w:kern w:val="0"/>
          <w:sz w:val="21"/>
          <w:szCs w:val="21"/>
          <w:u w:val="single"/>
          <w:lang w:val="en-US" w:eastAsia="zh-CN"/>
        </w:rPr>
        <w:t xml:space="preserve">    </w:t>
      </w:r>
    </w:p>
    <w:p w14:paraId="0A499E4B">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70CCED7D">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2A244B7C">
      <w:pPr>
        <w:keepNext w:val="0"/>
        <w:keepLines w:val="0"/>
        <w:pageBreakBefore w:val="0"/>
        <w:widowControl/>
        <w:kinsoku w:val="0"/>
        <w:wordWrap/>
        <w:overflowPunct/>
        <w:topLinePunct w:val="0"/>
        <w:autoSpaceDE w:val="0"/>
        <w:autoSpaceDN w:val="0"/>
        <w:bidi w:val="0"/>
        <w:adjustRightInd w:val="0"/>
        <w:snapToGrid w:val="0"/>
        <w:ind w:firstLine="1890" w:firstLineChars="900"/>
        <w:jc w:val="left"/>
        <w:textAlignment w:val="baseline"/>
        <w:rPr>
          <w:rFonts w:hint="eastAsia" w:ascii="宋体" w:hAnsi="宋体" w:eastAsia="宋体" w:cs="宋体"/>
          <w:snapToGrid w:val="0"/>
          <w:color w:val="auto"/>
          <w:kern w:val="0"/>
          <w:sz w:val="21"/>
          <w:szCs w:val="21"/>
          <w:u w:val="single"/>
          <w:lang w:eastAsia="zh-CN"/>
        </w:rPr>
      </w:pPr>
      <w:r>
        <w:rPr>
          <w:rFonts w:hint="eastAsia" w:ascii="宋体" w:hAnsi="宋体" w:eastAsia="宋体" w:cs="宋体"/>
          <w:snapToGrid w:val="0"/>
          <w:color w:val="auto"/>
          <w:kern w:val="0"/>
          <w:sz w:val="21"/>
          <w:szCs w:val="21"/>
          <w:lang w:eastAsia="zh-CN"/>
        </w:rPr>
        <w:t>承包人（乙方）：</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p>
    <w:p w14:paraId="4374F5F2">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32420815">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1F73BF1C">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1E5AD12F">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4FEA13D4">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p>
    <w:p w14:paraId="3556F62D">
      <w:pPr>
        <w:keepNext w:val="0"/>
        <w:keepLines w:val="0"/>
        <w:pageBreakBefore w:val="0"/>
        <w:widowControl/>
        <w:kinsoku w:val="0"/>
        <w:wordWrap/>
        <w:overflowPunct/>
        <w:topLinePunct w:val="0"/>
        <w:autoSpaceDE w:val="0"/>
        <w:autoSpaceDN w:val="0"/>
        <w:bidi w:val="0"/>
        <w:adjustRightInd w:val="0"/>
        <w:snapToGrid w:val="0"/>
        <w:ind w:firstLine="1890" w:firstLineChars="900"/>
        <w:jc w:val="left"/>
        <w:textAlignment w:val="baseline"/>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合同签定日期：</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lang w:eastAsia="zh-CN"/>
        </w:rPr>
        <w:t>年</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lang w:eastAsia="zh-CN"/>
        </w:rPr>
        <w:t>月</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lang w:eastAsia="zh-CN"/>
        </w:rPr>
        <w:t>日</w:t>
      </w:r>
    </w:p>
    <w:p w14:paraId="1C690A6E">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en-US"/>
        </w:rPr>
      </w:pPr>
    </w:p>
    <w:p w14:paraId="45BECBE5">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en-US"/>
        </w:rPr>
      </w:pPr>
    </w:p>
    <w:p w14:paraId="4E1FC2E7">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en-US"/>
        </w:rPr>
      </w:pPr>
    </w:p>
    <w:p w14:paraId="77536914">
      <w:pPr>
        <w:widowControl/>
        <w:kinsoku/>
        <w:autoSpaceDE/>
        <w:autoSpaceDN/>
        <w:adjustRightInd w:val="0"/>
        <w:snapToGrid w:val="0"/>
        <w:spacing w:line="560" w:lineRule="exact"/>
        <w:jc w:val="left"/>
        <w:textAlignment w:val="auto"/>
        <w:rPr>
          <w:rFonts w:hint="eastAsia" w:ascii="宋体" w:hAnsi="宋体" w:eastAsia="宋体" w:cs="宋体"/>
          <w:snapToGrid w:val="0"/>
          <w:color w:val="auto"/>
          <w:kern w:val="0"/>
          <w:sz w:val="21"/>
          <w:szCs w:val="21"/>
          <w:lang w:eastAsia="en-US"/>
        </w:rPr>
      </w:pPr>
      <w:bookmarkStart w:id="98" w:name="_Toc54862165"/>
    </w:p>
    <w:p w14:paraId="33C2D9A1">
      <w:pPr>
        <w:kinsoku w:val="0"/>
        <w:autoSpaceDE w:val="0"/>
        <w:autoSpaceDN w:val="0"/>
        <w:adjustRightInd w:val="0"/>
        <w:snapToGrid w:val="0"/>
        <w:jc w:val="left"/>
        <w:textAlignment w:val="baseline"/>
        <w:rPr>
          <w:rFonts w:hint="eastAsia" w:ascii="宋体" w:hAnsi="宋体" w:eastAsia="宋体" w:cs="宋体"/>
          <w:snapToGrid w:val="0"/>
          <w:color w:val="auto"/>
          <w:sz w:val="21"/>
          <w:szCs w:val="21"/>
          <w:lang w:val="en-US" w:eastAsia="en-US" w:bidi="ar-SA"/>
        </w:rPr>
      </w:pPr>
    </w:p>
    <w:p w14:paraId="51EF8C0B">
      <w:pPr>
        <w:kinsoku w:val="0"/>
        <w:autoSpaceDE w:val="0"/>
        <w:autoSpaceDN w:val="0"/>
        <w:adjustRightInd w:val="0"/>
        <w:snapToGrid w:val="0"/>
        <w:jc w:val="left"/>
        <w:textAlignment w:val="baseline"/>
        <w:rPr>
          <w:rFonts w:hint="eastAsia" w:ascii="宋体" w:hAnsi="宋体" w:eastAsia="宋体" w:cs="宋体"/>
          <w:snapToGrid w:val="0"/>
          <w:color w:val="auto"/>
          <w:sz w:val="21"/>
          <w:szCs w:val="21"/>
          <w:lang w:val="en-US" w:eastAsia="en-US" w:bidi="ar-SA"/>
        </w:rPr>
      </w:pPr>
    </w:p>
    <w:p w14:paraId="7E01E6CB">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b/>
          <w:bCs/>
          <w:snapToGrid w:val="0"/>
          <w:color w:val="auto"/>
          <w:kern w:val="0"/>
          <w:sz w:val="21"/>
          <w:szCs w:val="21"/>
          <w:u w:val="single"/>
          <w:lang w:val="en-US" w:eastAsia="zh-CN"/>
        </w:rPr>
      </w:pPr>
      <w:r>
        <w:rPr>
          <w:rFonts w:hint="eastAsia" w:ascii="宋体" w:hAnsi="宋体" w:eastAsia="宋体" w:cs="宋体"/>
          <w:snapToGrid w:val="0"/>
          <w:color w:val="auto"/>
          <w:kern w:val="0"/>
          <w:sz w:val="21"/>
          <w:szCs w:val="21"/>
          <w:lang w:eastAsia="en-US"/>
        </w:rPr>
        <w:t>发包人（</w:t>
      </w:r>
      <w:r>
        <w:rPr>
          <w:rFonts w:hint="eastAsia" w:ascii="宋体" w:hAnsi="宋体" w:eastAsia="宋体" w:cs="宋体"/>
          <w:snapToGrid w:val="0"/>
          <w:color w:val="auto"/>
          <w:kern w:val="0"/>
          <w:sz w:val="21"/>
          <w:szCs w:val="21"/>
          <w:lang w:eastAsia="zh-CN"/>
        </w:rPr>
        <w:t>甲方</w:t>
      </w:r>
      <w:r>
        <w:rPr>
          <w:rFonts w:hint="eastAsia" w:ascii="宋体" w:hAnsi="宋体" w:eastAsia="宋体" w:cs="宋体"/>
          <w:snapToGrid w:val="0"/>
          <w:color w:val="auto"/>
          <w:kern w:val="0"/>
          <w:sz w:val="21"/>
          <w:szCs w:val="21"/>
          <w:lang w:eastAsia="en-US"/>
        </w:rPr>
        <w:t>）：</w:t>
      </w:r>
      <w:r>
        <w:rPr>
          <w:rFonts w:hint="eastAsia" w:ascii="宋体" w:hAnsi="宋体" w:eastAsia="宋体" w:cs="宋体"/>
          <w:b/>
          <w:bCs/>
          <w:snapToGrid w:val="0"/>
          <w:color w:val="auto"/>
          <w:kern w:val="0"/>
          <w:sz w:val="21"/>
          <w:szCs w:val="21"/>
          <w:u w:val="single"/>
          <w:lang w:eastAsia="en-US"/>
        </w:rPr>
        <w:t xml:space="preserve"> </w:t>
      </w:r>
      <w:r>
        <w:rPr>
          <w:rFonts w:hint="eastAsia" w:ascii="宋体" w:hAnsi="宋体" w:eastAsia="宋体" w:cs="宋体"/>
          <w:b/>
          <w:bCs/>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海口江东新区管理局</w:t>
      </w:r>
      <w:r>
        <w:rPr>
          <w:rFonts w:hint="eastAsia" w:ascii="宋体" w:hAnsi="宋体" w:eastAsia="宋体" w:cs="宋体"/>
          <w:b/>
          <w:bCs/>
          <w:snapToGrid w:val="0"/>
          <w:color w:val="auto"/>
          <w:kern w:val="0"/>
          <w:sz w:val="21"/>
          <w:szCs w:val="21"/>
          <w:u w:val="single"/>
          <w:lang w:eastAsia="zh-CN"/>
        </w:rPr>
        <w:t xml:space="preserve">      </w:t>
      </w:r>
      <w:r>
        <w:rPr>
          <w:rFonts w:hint="eastAsia" w:ascii="宋体" w:hAnsi="宋体" w:eastAsia="宋体" w:cs="宋体"/>
          <w:b/>
          <w:bCs/>
          <w:snapToGrid w:val="0"/>
          <w:color w:val="auto"/>
          <w:spacing w:val="-16"/>
          <w:kern w:val="0"/>
          <w:sz w:val="21"/>
          <w:szCs w:val="21"/>
          <w:u w:val="single"/>
          <w:lang w:eastAsia="zh-CN"/>
        </w:rPr>
        <w:t xml:space="preserve">  </w:t>
      </w:r>
      <w:r>
        <w:rPr>
          <w:rFonts w:hint="eastAsia" w:ascii="宋体" w:hAnsi="宋体" w:eastAsia="宋体" w:cs="宋体"/>
          <w:b/>
          <w:bCs/>
          <w:snapToGrid w:val="0"/>
          <w:color w:val="auto"/>
          <w:kern w:val="0"/>
          <w:sz w:val="21"/>
          <w:szCs w:val="21"/>
          <w:u w:val="single"/>
          <w:lang w:eastAsia="en-US"/>
        </w:rPr>
        <w:t xml:space="preserve"> </w:t>
      </w:r>
    </w:p>
    <w:p w14:paraId="75E33498">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en-US"/>
        </w:rPr>
        <w:t>承包人（</w:t>
      </w:r>
      <w:r>
        <w:rPr>
          <w:rFonts w:hint="eastAsia" w:ascii="宋体" w:hAnsi="宋体" w:eastAsia="宋体" w:cs="宋体"/>
          <w:snapToGrid w:val="0"/>
          <w:color w:val="auto"/>
          <w:kern w:val="0"/>
          <w:sz w:val="21"/>
          <w:szCs w:val="21"/>
          <w:lang w:eastAsia="zh-CN"/>
        </w:rPr>
        <w:t>乙方</w:t>
      </w:r>
      <w:r>
        <w:rPr>
          <w:rFonts w:hint="eastAsia" w:ascii="宋体" w:hAnsi="宋体" w:eastAsia="宋体" w:cs="宋体"/>
          <w:snapToGrid w:val="0"/>
          <w:color w:val="auto"/>
          <w:kern w:val="0"/>
          <w:sz w:val="21"/>
          <w:szCs w:val="21"/>
          <w:lang w:eastAsia="en-US"/>
        </w:rPr>
        <w:t>）：</w:t>
      </w:r>
      <w:r>
        <w:rPr>
          <w:rFonts w:hint="eastAsia" w:ascii="宋体" w:hAnsi="宋体" w:eastAsia="宋体" w:cs="宋体"/>
          <w:snapToGrid w:val="0"/>
          <w:color w:val="auto"/>
          <w:kern w:val="0"/>
          <w:sz w:val="21"/>
          <w:szCs w:val="21"/>
          <w:u w:val="single"/>
          <w:lang w:eastAsia="en-US"/>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en-US"/>
        </w:rPr>
        <w:t xml:space="preserve">    </w:t>
      </w:r>
    </w:p>
    <w:p w14:paraId="65DF8C4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根据《中华人民共和国民法典》、《中华人民共和国建筑法》、《中华人民共和国政府采购法》及有关法律规定，遵循平等、自愿、公平和诚实信用的原则，甲乙双方根据</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年</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月</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日（项目编号:</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lang w:eastAsia="zh-CN"/>
        </w:rPr>
        <w:t>；项目名称：</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 公开招标结果及竞争性磋商文件的要求，就项目工程总承包及有关事项协商一致，共同达成如下协议：</w:t>
      </w:r>
    </w:p>
    <w:bookmarkEnd w:id="98"/>
    <w:p w14:paraId="2F560CCE">
      <w:pPr>
        <w:keepNext w:val="0"/>
        <w:keepLines w:val="0"/>
        <w:numPr>
          <w:ilvl w:val="0"/>
          <w:numId w:val="0"/>
        </w:numPr>
        <w:tabs>
          <w:tab w:val="left" w:pos="567"/>
        </w:tabs>
        <w:kinsoku/>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99" w:name="_Toc26614"/>
      <w:bookmarkStart w:id="100" w:name="_Toc54862166"/>
      <w:r>
        <w:rPr>
          <w:rFonts w:hint="eastAsia" w:ascii="宋体" w:hAnsi="宋体" w:eastAsia="宋体" w:cs="宋体"/>
          <w:b w:val="0"/>
          <w:bCs/>
          <w:snapToGrid w:val="0"/>
          <w:color w:val="auto"/>
          <w:sz w:val="21"/>
          <w:szCs w:val="21"/>
          <w:lang w:val="en-US" w:eastAsia="zh-CN" w:bidi="ar-SA"/>
        </w:rPr>
        <w:t>一、工程概况</w:t>
      </w:r>
      <w:bookmarkEnd w:id="99"/>
    </w:p>
    <w:p w14:paraId="3E87B9B9">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1.1 工程名称：</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海口江东新区展示中心</w:t>
      </w:r>
      <w:r>
        <w:rPr>
          <w:rFonts w:hint="eastAsia" w:ascii="宋体" w:hAnsi="宋体" w:eastAsia="宋体" w:cs="宋体"/>
          <w:snapToGrid w:val="0"/>
          <w:color w:val="auto"/>
          <w:kern w:val="0"/>
          <w:sz w:val="21"/>
          <w:szCs w:val="21"/>
          <w:u w:val="single"/>
          <w:lang w:eastAsia="zh-CN"/>
        </w:rPr>
        <w:t>维修工程</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p>
    <w:p w14:paraId="00450AAC">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spacing w:val="-16"/>
          <w:kern w:val="0"/>
          <w:sz w:val="21"/>
          <w:szCs w:val="21"/>
          <w:u w:val="single"/>
          <w:lang w:val="en-US" w:eastAsia="zh-CN"/>
        </w:rPr>
      </w:pPr>
      <w:r>
        <w:rPr>
          <w:rFonts w:hint="eastAsia" w:ascii="宋体" w:hAnsi="宋体" w:eastAsia="宋体" w:cs="宋体"/>
          <w:snapToGrid w:val="0"/>
          <w:color w:val="auto"/>
          <w:kern w:val="0"/>
          <w:sz w:val="21"/>
          <w:szCs w:val="21"/>
          <w:lang w:eastAsia="zh-CN"/>
        </w:rPr>
        <w:t>1.2 工程地点：</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spacing w:val="-16"/>
          <w:kern w:val="0"/>
          <w:sz w:val="21"/>
          <w:szCs w:val="21"/>
          <w:u w:val="single"/>
          <w:lang w:eastAsia="zh-CN"/>
        </w:rPr>
        <w:t>海南省海口市</w:t>
      </w:r>
      <w:r>
        <w:rPr>
          <w:rFonts w:hint="eastAsia" w:ascii="宋体" w:hAnsi="宋体" w:eastAsia="宋体" w:cs="宋体"/>
          <w:snapToGrid w:val="0"/>
          <w:color w:val="auto"/>
          <w:spacing w:val="-16"/>
          <w:kern w:val="0"/>
          <w:sz w:val="21"/>
          <w:szCs w:val="21"/>
          <w:u w:val="single"/>
          <w:lang w:val="en-US" w:eastAsia="zh-CN"/>
        </w:rPr>
        <w:t xml:space="preserve">                  </w:t>
      </w:r>
    </w:p>
    <w:p w14:paraId="632F7549">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1.3 资金来源：</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政府财政资金</w:t>
      </w:r>
      <w:r>
        <w:rPr>
          <w:rFonts w:hint="eastAsia" w:ascii="宋体" w:hAnsi="宋体" w:eastAsia="宋体" w:cs="宋体"/>
          <w:snapToGrid w:val="0"/>
          <w:color w:val="auto"/>
          <w:kern w:val="0"/>
          <w:sz w:val="21"/>
          <w:szCs w:val="21"/>
          <w:u w:val="single"/>
          <w:lang w:val="en-US" w:eastAsia="zh-CN"/>
        </w:rPr>
        <w:t xml:space="preserve">             </w:t>
      </w:r>
    </w:p>
    <w:p w14:paraId="78A7F3C4">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eastAsia="zh-CN"/>
        </w:rPr>
        <w:t>1.4 工程承包范围：</w:t>
      </w:r>
      <w:r>
        <w:rPr>
          <w:rFonts w:hint="eastAsia" w:ascii="宋体" w:hAnsi="宋体" w:eastAsia="宋体" w:cs="宋体"/>
          <w:snapToGrid w:val="0"/>
          <w:color w:val="auto"/>
          <w:kern w:val="0"/>
          <w:sz w:val="21"/>
          <w:szCs w:val="21"/>
          <w:u w:val="single"/>
          <w:lang w:eastAsia="zh-CN"/>
        </w:rPr>
        <w:t xml:space="preserve"> 建筑物</w:t>
      </w:r>
      <w:r>
        <w:rPr>
          <w:rFonts w:hint="eastAsia" w:ascii="宋体" w:hAnsi="宋体" w:eastAsia="宋体" w:cs="宋体"/>
          <w:snapToGrid w:val="0"/>
          <w:color w:val="auto"/>
          <w:kern w:val="0"/>
          <w:sz w:val="21"/>
          <w:szCs w:val="21"/>
          <w:u w:val="single"/>
          <w:lang w:val="en-US" w:eastAsia="zh-CN"/>
        </w:rPr>
        <w:t>外</w:t>
      </w:r>
      <w:r>
        <w:rPr>
          <w:rFonts w:hint="eastAsia" w:ascii="宋体" w:hAnsi="宋体" w:eastAsia="宋体" w:cs="宋体"/>
          <w:snapToGrid w:val="0"/>
          <w:color w:val="auto"/>
          <w:kern w:val="0"/>
          <w:sz w:val="21"/>
          <w:szCs w:val="21"/>
          <w:u w:val="single"/>
          <w:lang w:eastAsia="zh-CN"/>
        </w:rPr>
        <w:t>幕墙破损铝板、</w:t>
      </w:r>
      <w:r>
        <w:rPr>
          <w:rFonts w:hint="eastAsia" w:ascii="宋体" w:hAnsi="宋体" w:eastAsia="宋体" w:cs="宋体"/>
          <w:snapToGrid w:val="0"/>
          <w:color w:val="auto"/>
          <w:kern w:val="0"/>
          <w:sz w:val="21"/>
          <w:szCs w:val="21"/>
          <w:u w:val="single"/>
          <w:lang w:val="en-US" w:eastAsia="zh-CN"/>
        </w:rPr>
        <w:t>铝板缝胶条</w:t>
      </w:r>
      <w:r>
        <w:rPr>
          <w:rFonts w:hint="eastAsia" w:ascii="宋体" w:hAnsi="宋体" w:eastAsia="宋体" w:cs="宋体"/>
          <w:snapToGrid w:val="0"/>
          <w:color w:val="auto"/>
          <w:kern w:val="0"/>
          <w:sz w:val="21"/>
          <w:szCs w:val="21"/>
          <w:u w:val="single"/>
          <w:lang w:eastAsia="zh-CN"/>
        </w:rPr>
        <w:t>拆除更换工程；室内墙面</w:t>
      </w:r>
      <w:r>
        <w:rPr>
          <w:rFonts w:hint="eastAsia" w:ascii="宋体" w:hAnsi="宋体" w:eastAsia="宋体" w:cs="宋体"/>
          <w:snapToGrid w:val="0"/>
          <w:color w:val="auto"/>
          <w:kern w:val="0"/>
          <w:sz w:val="21"/>
          <w:szCs w:val="21"/>
          <w:u w:val="single"/>
          <w:lang w:val="en-US" w:eastAsia="zh-CN"/>
        </w:rPr>
        <w:t>防水</w:t>
      </w:r>
      <w:r>
        <w:rPr>
          <w:rFonts w:hint="eastAsia" w:ascii="宋体" w:hAnsi="宋体" w:eastAsia="宋体" w:cs="宋体"/>
          <w:snapToGrid w:val="0"/>
          <w:color w:val="auto"/>
          <w:kern w:val="0"/>
          <w:sz w:val="21"/>
          <w:szCs w:val="21"/>
          <w:u w:val="single"/>
          <w:lang w:eastAsia="zh-CN"/>
        </w:rPr>
        <w:t>工程；</w:t>
      </w:r>
      <w:r>
        <w:rPr>
          <w:rFonts w:hint="eastAsia" w:ascii="宋体" w:hAnsi="宋体" w:eastAsia="宋体" w:cs="宋体"/>
          <w:snapToGrid w:val="0"/>
          <w:color w:val="auto"/>
          <w:kern w:val="0"/>
          <w:sz w:val="21"/>
          <w:szCs w:val="21"/>
          <w:u w:val="single"/>
          <w:lang w:val="en-US" w:eastAsia="zh-CN"/>
        </w:rPr>
        <w:t>玻璃门修复工程</w:t>
      </w:r>
      <w:r>
        <w:rPr>
          <w:rFonts w:hint="eastAsia" w:ascii="宋体" w:hAnsi="宋体" w:eastAsia="宋体" w:cs="宋体"/>
          <w:snapToGrid w:val="0"/>
          <w:color w:val="auto"/>
          <w:kern w:val="0"/>
          <w:sz w:val="21"/>
          <w:szCs w:val="21"/>
          <w:u w:val="single"/>
          <w:lang w:eastAsia="zh-CN"/>
        </w:rPr>
        <w:t>。</w:t>
      </w:r>
      <w:r>
        <w:rPr>
          <w:rFonts w:hint="eastAsia" w:ascii="宋体" w:hAnsi="宋体" w:eastAsia="宋体" w:cs="宋体"/>
          <w:snapToGrid w:val="0"/>
          <w:color w:val="auto"/>
          <w:kern w:val="0"/>
          <w:sz w:val="21"/>
          <w:szCs w:val="21"/>
          <w:u w:val="single"/>
          <w:lang w:val="en-US" w:eastAsia="zh-CN"/>
        </w:rPr>
        <w:t>包工包料，具体工作量可参考但不限于展馆</w:t>
      </w:r>
      <w:r>
        <w:rPr>
          <w:rFonts w:hint="eastAsia" w:ascii="宋体" w:hAnsi="宋体" w:eastAsia="宋体" w:cs="宋体"/>
          <w:snapToGrid w:val="0"/>
          <w:color w:val="auto"/>
          <w:kern w:val="0"/>
          <w:sz w:val="21"/>
          <w:szCs w:val="21"/>
          <w:u w:val="single"/>
          <w:lang w:eastAsia="zh-CN"/>
        </w:rPr>
        <w:t>维修工程报价清单</w:t>
      </w:r>
      <w:r>
        <w:rPr>
          <w:rFonts w:hint="eastAsia" w:ascii="宋体" w:hAnsi="宋体" w:eastAsia="宋体" w:cs="宋体"/>
          <w:snapToGrid w:val="0"/>
          <w:color w:val="auto"/>
          <w:kern w:val="0"/>
          <w:sz w:val="21"/>
          <w:szCs w:val="21"/>
          <w:u w:val="single"/>
          <w:lang w:val="en-US" w:eastAsia="zh-CN"/>
        </w:rPr>
        <w:t>所体现的工程量，包含为完成上述承包范围内的一切工作</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报价清单仅供参考，报价清单如存在清单项未描述、错漏项或工程量计量偏差的，皆视为乙方已在固定总价范围内进行考虑，甲方不再增加费用。</w:t>
      </w:r>
    </w:p>
    <w:bookmarkEnd w:id="100"/>
    <w:p w14:paraId="0EC860F2">
      <w:pPr>
        <w:keepNext w:val="0"/>
        <w:keepLines w:val="0"/>
        <w:numPr>
          <w:ilvl w:val="0"/>
          <w:numId w:val="0"/>
        </w:numPr>
        <w:tabs>
          <w:tab w:val="left" w:pos="567"/>
        </w:tabs>
        <w:kinsoku/>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101" w:name="_Toc29769"/>
      <w:bookmarkStart w:id="102" w:name="_Toc54862167"/>
      <w:r>
        <w:rPr>
          <w:rFonts w:hint="eastAsia" w:ascii="宋体" w:hAnsi="宋体" w:eastAsia="宋体" w:cs="宋体"/>
          <w:b w:val="0"/>
          <w:bCs/>
          <w:snapToGrid w:val="0"/>
          <w:color w:val="auto"/>
          <w:sz w:val="21"/>
          <w:szCs w:val="21"/>
          <w:lang w:val="en-US" w:eastAsia="zh-CN" w:bidi="ar-SA"/>
        </w:rPr>
        <w:t>二、合同工期</w:t>
      </w:r>
      <w:bookmarkEnd w:id="101"/>
    </w:p>
    <w:p w14:paraId="6C678EB8">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2.1 开始现场施工日期：</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年</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月</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日。</w:t>
      </w:r>
    </w:p>
    <w:p w14:paraId="3254B0FF">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2.2 竣工日期：</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年</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lang w:eastAsia="zh-CN"/>
        </w:rPr>
        <w:t>月</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lang w:eastAsia="zh-CN"/>
        </w:rPr>
        <w:t>日。</w:t>
      </w:r>
    </w:p>
    <w:p w14:paraId="66D87878">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2.3 工期总日历天数：</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天。</w:t>
      </w:r>
    </w:p>
    <w:bookmarkEnd w:id="102"/>
    <w:p w14:paraId="27AE6CF2">
      <w:pPr>
        <w:keepNext w:val="0"/>
        <w:keepLines w:val="0"/>
        <w:numPr>
          <w:ilvl w:val="0"/>
          <w:numId w:val="0"/>
        </w:numPr>
        <w:tabs>
          <w:tab w:val="left" w:pos="567"/>
        </w:tabs>
        <w:kinsoku/>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103" w:name="_Toc19945"/>
      <w:bookmarkStart w:id="104" w:name="_Toc54862168"/>
      <w:r>
        <w:rPr>
          <w:rFonts w:hint="eastAsia" w:ascii="宋体" w:hAnsi="宋体" w:eastAsia="宋体" w:cs="宋体"/>
          <w:b w:val="0"/>
          <w:bCs/>
          <w:snapToGrid w:val="0"/>
          <w:color w:val="auto"/>
          <w:sz w:val="21"/>
          <w:szCs w:val="21"/>
          <w:lang w:val="en-US" w:eastAsia="zh-CN" w:bidi="ar-SA"/>
        </w:rPr>
        <w:t>三、质量标准</w:t>
      </w:r>
      <w:bookmarkEnd w:id="103"/>
    </w:p>
    <w:p w14:paraId="6310EA36">
      <w:pPr>
        <w:keepNext w:val="0"/>
        <w:keepLines w:val="0"/>
        <w:numPr>
          <w:ilvl w:val="0"/>
          <w:numId w:val="0"/>
        </w:numPr>
        <w:tabs>
          <w:tab w:val="left" w:pos="567"/>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105" w:name="_Toc28271"/>
      <w:r>
        <w:rPr>
          <w:rFonts w:hint="eastAsia" w:ascii="宋体" w:hAnsi="宋体" w:eastAsia="宋体" w:cs="宋体"/>
          <w:b w:val="0"/>
          <w:bCs/>
          <w:snapToGrid w:val="0"/>
          <w:color w:val="auto"/>
          <w:sz w:val="21"/>
          <w:szCs w:val="21"/>
          <w:lang w:val="en-US" w:eastAsia="zh-CN" w:bidi="ar-SA"/>
        </w:rPr>
        <w:t>3.1 工程质量标准：现行国家有关工程施工验收规范和标准的合格标准。</w:t>
      </w:r>
      <w:bookmarkEnd w:id="105"/>
    </w:p>
    <w:p w14:paraId="425794FA">
      <w:pPr>
        <w:widowControl/>
        <w:kinsoku w:val="0"/>
        <w:autoSpaceDE w:val="0"/>
        <w:autoSpaceDN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eastAsia="zh-CN"/>
        </w:rPr>
      </w:pPr>
      <w:r>
        <w:rPr>
          <w:rFonts w:hint="eastAsia" w:ascii="宋体" w:hAnsi="宋体" w:eastAsia="宋体" w:cs="宋体"/>
          <w:bCs/>
          <w:snapToGrid w:val="0"/>
          <w:color w:val="auto"/>
          <w:kern w:val="0"/>
          <w:sz w:val="21"/>
          <w:szCs w:val="21"/>
          <w:lang w:eastAsia="zh-CN"/>
        </w:rPr>
        <w:t>3.2 质量保修期：</w:t>
      </w:r>
      <w:r>
        <w:rPr>
          <w:rFonts w:hint="eastAsia" w:ascii="宋体" w:hAnsi="宋体" w:eastAsia="宋体" w:cs="宋体"/>
          <w:bCs/>
          <w:snapToGrid w:val="0"/>
          <w:color w:val="auto"/>
          <w:kern w:val="0"/>
          <w:sz w:val="21"/>
          <w:szCs w:val="21"/>
          <w:lang w:val="en-US" w:eastAsia="zh-CN"/>
        </w:rPr>
        <w:t>一</w:t>
      </w:r>
      <w:r>
        <w:rPr>
          <w:rFonts w:hint="eastAsia" w:ascii="宋体" w:hAnsi="宋体" w:eastAsia="宋体" w:cs="宋体"/>
          <w:bCs/>
          <w:snapToGrid w:val="0"/>
          <w:color w:val="auto"/>
          <w:kern w:val="0"/>
          <w:sz w:val="21"/>
          <w:szCs w:val="21"/>
          <w:lang w:eastAsia="zh-CN"/>
        </w:rPr>
        <w:t>年，质量保修期自工程竣工验收合格之日起计算。</w:t>
      </w:r>
    </w:p>
    <w:bookmarkEnd w:id="104"/>
    <w:p w14:paraId="47AC8C46">
      <w:pPr>
        <w:keepNext w:val="0"/>
        <w:keepLines w:val="0"/>
        <w:numPr>
          <w:ilvl w:val="0"/>
          <w:numId w:val="0"/>
        </w:numPr>
        <w:tabs>
          <w:tab w:val="left" w:pos="567"/>
        </w:tabs>
        <w:kinsoku/>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106" w:name="_Toc18714"/>
      <w:r>
        <w:rPr>
          <w:rFonts w:hint="eastAsia" w:ascii="宋体" w:hAnsi="宋体" w:eastAsia="宋体" w:cs="宋体"/>
          <w:b w:val="0"/>
          <w:bCs/>
          <w:snapToGrid w:val="0"/>
          <w:color w:val="auto"/>
          <w:sz w:val="21"/>
          <w:szCs w:val="21"/>
          <w:lang w:val="en-US" w:eastAsia="zh-CN" w:bidi="ar-SA"/>
        </w:rPr>
        <w:t>四、签约合同价与合同价格形式</w:t>
      </w:r>
      <w:bookmarkEnd w:id="106"/>
    </w:p>
    <w:p w14:paraId="455F7651">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 xml:space="preserve">4.1 签约合同价（含税）为：人民币（大写)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元）。</w:t>
      </w:r>
    </w:p>
    <w:p w14:paraId="5DBC2751">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具体构成详见价格清单。</w:t>
      </w:r>
    </w:p>
    <w:p w14:paraId="5C5C4E9D">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4.2 合同价格形式：</w:t>
      </w:r>
    </w:p>
    <w:p w14:paraId="16B5D046">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合同价格形式为固定</w:t>
      </w:r>
      <w:r>
        <w:rPr>
          <w:rFonts w:hint="eastAsia" w:ascii="宋体" w:hAnsi="宋体" w:eastAsia="宋体" w:cs="宋体"/>
          <w:snapToGrid w:val="0"/>
          <w:color w:val="auto"/>
          <w:kern w:val="0"/>
          <w:sz w:val="21"/>
          <w:szCs w:val="21"/>
          <w:highlight w:val="none"/>
          <w:lang w:val="en-US" w:eastAsia="zh-CN"/>
        </w:rPr>
        <w:t>总价</w:t>
      </w:r>
      <w:r>
        <w:rPr>
          <w:rFonts w:hint="eastAsia" w:ascii="宋体" w:hAnsi="宋体" w:eastAsia="宋体" w:cs="宋体"/>
          <w:snapToGrid w:val="0"/>
          <w:color w:val="auto"/>
          <w:kern w:val="0"/>
          <w:sz w:val="21"/>
          <w:szCs w:val="21"/>
          <w:highlight w:val="none"/>
          <w:lang w:eastAsia="zh-CN"/>
        </w:rPr>
        <w:t>包干合同，</w:t>
      </w:r>
      <w:r>
        <w:rPr>
          <w:rFonts w:hint="eastAsia" w:ascii="宋体" w:hAnsi="宋体" w:eastAsia="宋体" w:cs="宋体"/>
          <w:snapToGrid w:val="0"/>
          <w:color w:val="auto"/>
          <w:kern w:val="0"/>
          <w:sz w:val="21"/>
          <w:szCs w:val="21"/>
          <w:highlight w:val="none"/>
          <w:lang w:val="en-US" w:eastAsia="zh-CN"/>
        </w:rPr>
        <w:t>施工范围为完成本合同第一条第1.4款所有工作内容，在此工作范围内结算价不超过合同包干价，除</w:t>
      </w:r>
      <w:r>
        <w:rPr>
          <w:rFonts w:hint="eastAsia" w:ascii="宋体" w:hAnsi="宋体" w:eastAsia="宋体" w:cs="宋体"/>
          <w:snapToGrid w:val="0"/>
          <w:color w:val="auto"/>
          <w:kern w:val="0"/>
          <w:sz w:val="21"/>
          <w:szCs w:val="21"/>
          <w:highlight w:val="none"/>
          <w:lang w:eastAsia="zh-CN"/>
        </w:rPr>
        <w:t>工程实施过程中</w:t>
      </w:r>
      <w:r>
        <w:rPr>
          <w:rFonts w:hint="eastAsia" w:ascii="宋体" w:hAnsi="宋体" w:eastAsia="宋体" w:cs="宋体"/>
          <w:snapToGrid w:val="0"/>
          <w:color w:val="auto"/>
          <w:kern w:val="0"/>
          <w:sz w:val="21"/>
          <w:szCs w:val="21"/>
          <w:highlight w:val="none"/>
          <w:lang w:val="en-US" w:eastAsia="zh-CN"/>
        </w:rPr>
        <w:t>超出合同范围</w:t>
      </w:r>
      <w:r>
        <w:rPr>
          <w:rFonts w:hint="eastAsia" w:ascii="宋体" w:hAnsi="宋体" w:eastAsia="宋体" w:cs="宋体"/>
          <w:snapToGrid w:val="0"/>
          <w:color w:val="auto"/>
          <w:kern w:val="0"/>
          <w:sz w:val="21"/>
          <w:szCs w:val="21"/>
          <w:highlight w:val="none"/>
          <w:lang w:eastAsia="zh-CN"/>
        </w:rPr>
        <w:t>需进行</w:t>
      </w:r>
      <w:r>
        <w:rPr>
          <w:rFonts w:hint="eastAsia" w:ascii="宋体" w:hAnsi="宋体" w:eastAsia="宋体" w:cs="宋体"/>
          <w:snapToGrid w:val="0"/>
          <w:color w:val="auto"/>
          <w:kern w:val="0"/>
          <w:sz w:val="21"/>
          <w:szCs w:val="21"/>
          <w:highlight w:val="none"/>
          <w:lang w:val="en-US" w:eastAsia="zh-CN"/>
        </w:rPr>
        <w:t>增加的</w:t>
      </w:r>
      <w:r>
        <w:rPr>
          <w:rFonts w:hint="eastAsia" w:ascii="宋体" w:hAnsi="宋体" w:eastAsia="宋体" w:cs="宋体"/>
          <w:snapToGrid w:val="0"/>
          <w:color w:val="auto"/>
          <w:kern w:val="0"/>
          <w:sz w:val="21"/>
          <w:szCs w:val="21"/>
          <w:highlight w:val="none"/>
          <w:lang w:eastAsia="zh-CN"/>
        </w:rPr>
        <w:t>款项</w:t>
      </w:r>
      <w:r>
        <w:rPr>
          <w:rFonts w:hint="eastAsia" w:ascii="宋体" w:hAnsi="宋体" w:eastAsia="宋体" w:cs="宋体"/>
          <w:snapToGrid w:val="0"/>
          <w:color w:val="auto"/>
          <w:kern w:val="0"/>
          <w:sz w:val="21"/>
          <w:szCs w:val="21"/>
          <w:highlight w:val="none"/>
          <w:lang w:val="en-US" w:eastAsia="zh-CN"/>
        </w:rPr>
        <w:t>或扣除未完工部分款项</w:t>
      </w:r>
      <w:r>
        <w:rPr>
          <w:rFonts w:hint="eastAsia" w:ascii="宋体" w:hAnsi="宋体" w:eastAsia="宋体" w:cs="宋体"/>
          <w:snapToGrid w:val="0"/>
          <w:color w:val="auto"/>
          <w:kern w:val="0"/>
          <w:sz w:val="21"/>
          <w:szCs w:val="21"/>
          <w:highlight w:val="none"/>
          <w:lang w:eastAsia="zh-CN"/>
        </w:rPr>
        <w:t>外，合同价格不予调整，但合同当事人另有约定的除外。</w:t>
      </w:r>
    </w:p>
    <w:p w14:paraId="08F2A958">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bookmarkStart w:id="107" w:name="_Toc30484"/>
      <w:bookmarkStart w:id="108" w:name="_Toc54862170"/>
      <w:r>
        <w:rPr>
          <w:rFonts w:hint="eastAsia" w:ascii="宋体" w:hAnsi="宋体" w:eastAsia="宋体" w:cs="宋体"/>
          <w:snapToGrid w:val="0"/>
          <w:color w:val="auto"/>
          <w:kern w:val="0"/>
          <w:sz w:val="21"/>
          <w:szCs w:val="21"/>
          <w:lang w:eastAsia="zh-CN"/>
        </w:rPr>
        <w:t>4.3 工程款支付</w:t>
      </w:r>
    </w:p>
    <w:p w14:paraId="07952315">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4.3.1 预付款支付</w:t>
      </w:r>
    </w:p>
    <w:p w14:paraId="5D824E0C">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签订合同并进场施工后7个工作日内支付合同总价25%预付款，预付款应当专用于承包人为合同工程的设计和工程实施购置材料、工程设备、施工设备、修建临时设施以及组织施工队伍进场等合同工作。</w:t>
      </w:r>
    </w:p>
    <w:p w14:paraId="78AD5BDD">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bookmarkStart w:id="109" w:name="_Toc4784195"/>
      <w:bookmarkEnd w:id="109"/>
      <w:bookmarkStart w:id="110" w:name="_Toc4784193"/>
      <w:bookmarkEnd w:id="110"/>
      <w:bookmarkStart w:id="111" w:name="_Toc4784194"/>
      <w:bookmarkEnd w:id="111"/>
      <w:bookmarkStart w:id="112" w:name="_Ref531957608"/>
      <w:r>
        <w:rPr>
          <w:rFonts w:hint="eastAsia" w:ascii="宋体" w:hAnsi="宋体" w:eastAsia="宋体" w:cs="宋体"/>
          <w:color w:val="auto"/>
          <w:kern w:val="2"/>
          <w:sz w:val="21"/>
          <w:szCs w:val="21"/>
          <w:lang w:val="en-US" w:eastAsia="zh-CN" w:bidi="ar-SA"/>
        </w:rPr>
        <w:t>4.3.2 进度付款审核和支付</w:t>
      </w:r>
      <w:bookmarkEnd w:id="112"/>
    </w:p>
    <w:p w14:paraId="6F00731E">
      <w:pPr>
        <w:numPr>
          <w:ilvl w:val="0"/>
          <w:numId w:val="0"/>
        </w:numPr>
        <w:tabs>
          <w:tab w:val="left" w:pos="993"/>
        </w:tabs>
        <w:kinsoku w:val="0"/>
        <w:autoSpaceDE/>
        <w:autoSpaceDN/>
        <w:adjustRightInd w:val="0"/>
        <w:snapToGrid w:val="0"/>
        <w:spacing w:line="560" w:lineRule="exact"/>
        <w:ind w:firstLine="420" w:firstLineChars="200"/>
        <w:textAlignment w:val="auto"/>
        <w:rPr>
          <w:rFonts w:hint="eastAsia"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按实际完成工程量85%，支付合同总价40%进度款。</w:t>
      </w:r>
    </w:p>
    <w:p w14:paraId="2268A431">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113" w:name="_Toc54862296"/>
      <w:bookmarkStart w:id="114" w:name="_Ref4538634"/>
      <w:bookmarkStart w:id="115" w:name="_Toc27477"/>
      <w:bookmarkStart w:id="116" w:name="_Ref536647814"/>
      <w:bookmarkStart w:id="117" w:name="_Ref536647822"/>
      <w:r>
        <w:rPr>
          <w:rFonts w:hint="eastAsia" w:ascii="宋体" w:hAnsi="宋体" w:eastAsia="宋体" w:cs="宋体"/>
          <w:b w:val="0"/>
          <w:bCs/>
          <w:color w:val="auto"/>
          <w:kern w:val="2"/>
          <w:sz w:val="21"/>
          <w:szCs w:val="21"/>
          <w:lang w:val="en-US" w:eastAsia="zh-CN" w:bidi="ar-SA"/>
        </w:rPr>
        <w:t>4.3.3 竣工结算</w:t>
      </w:r>
      <w:bookmarkEnd w:id="113"/>
      <w:bookmarkEnd w:id="114"/>
      <w:bookmarkEnd w:id="115"/>
    </w:p>
    <w:p w14:paraId="3FFF0FF3">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承包人应在工程竣工验收合格后15天内向发包人提交竣工结算申请单，并提交完整的结算资料。发包人收到结算资料后15天内完成审核并支付结算款合同总价</w:t>
      </w:r>
      <w:r>
        <w:rPr>
          <w:rFonts w:hint="eastAsia" w:ascii="宋体" w:hAnsi="宋体" w:eastAsia="宋体" w:cs="宋体"/>
          <w:snapToGrid w:val="0"/>
          <w:color w:val="auto"/>
          <w:kern w:val="0"/>
          <w:sz w:val="21"/>
          <w:szCs w:val="21"/>
          <w:lang w:val="en-US" w:eastAsia="zh-CN"/>
        </w:rPr>
        <w:t>32</w:t>
      </w:r>
      <w:r>
        <w:rPr>
          <w:rFonts w:hint="eastAsia" w:ascii="宋体" w:hAnsi="宋体" w:eastAsia="宋体" w:cs="宋体"/>
          <w:snapToGrid w:val="0"/>
          <w:color w:val="auto"/>
          <w:kern w:val="0"/>
          <w:sz w:val="21"/>
          <w:szCs w:val="21"/>
          <w:lang w:eastAsia="zh-CN"/>
        </w:rPr>
        <w:t>%。</w:t>
      </w:r>
    </w:p>
    <w:p w14:paraId="7326531E">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highlight w:val="none"/>
          <w:lang w:val="en-US" w:eastAsia="zh-CN" w:bidi="ar-SA"/>
        </w:rPr>
      </w:pPr>
      <w:bookmarkStart w:id="118" w:name="_Ref4571100"/>
      <w:bookmarkStart w:id="119" w:name="_Ref4571127"/>
      <w:bookmarkStart w:id="120" w:name="_Ref4582115"/>
      <w:bookmarkStart w:id="121" w:name="_Ref4617592"/>
      <w:bookmarkStart w:id="122" w:name="_Ref15395020"/>
      <w:bookmarkStart w:id="123" w:name="_Ref4617582"/>
      <w:bookmarkStart w:id="124" w:name="_Toc54862297"/>
      <w:bookmarkStart w:id="125" w:name="_Toc7438"/>
      <w:bookmarkStart w:id="126" w:name="_Hlk15394931"/>
      <w:r>
        <w:rPr>
          <w:rFonts w:hint="eastAsia" w:ascii="宋体" w:hAnsi="宋体" w:eastAsia="宋体" w:cs="宋体"/>
          <w:b w:val="0"/>
          <w:bCs/>
          <w:color w:val="auto"/>
          <w:kern w:val="2"/>
          <w:sz w:val="21"/>
          <w:szCs w:val="21"/>
          <w:highlight w:val="none"/>
          <w:lang w:val="en-US" w:eastAsia="zh-CN" w:bidi="ar-SA"/>
        </w:rPr>
        <w:t>4.3.4 最终结清（质量保证金</w:t>
      </w:r>
      <w:bookmarkEnd w:id="116"/>
      <w:bookmarkEnd w:id="117"/>
      <w:bookmarkEnd w:id="118"/>
      <w:bookmarkEnd w:id="119"/>
      <w:bookmarkEnd w:id="120"/>
      <w:bookmarkEnd w:id="121"/>
      <w:bookmarkEnd w:id="122"/>
      <w:bookmarkEnd w:id="123"/>
      <w:bookmarkEnd w:id="124"/>
      <w:r>
        <w:rPr>
          <w:rFonts w:hint="eastAsia" w:ascii="宋体" w:hAnsi="宋体" w:eastAsia="宋体" w:cs="宋体"/>
          <w:b w:val="0"/>
          <w:bCs/>
          <w:color w:val="auto"/>
          <w:kern w:val="2"/>
          <w:sz w:val="21"/>
          <w:szCs w:val="21"/>
          <w:highlight w:val="none"/>
          <w:lang w:val="en-US" w:eastAsia="zh-CN" w:bidi="ar-SA"/>
        </w:rPr>
        <w:t>3%）</w:t>
      </w:r>
      <w:bookmarkEnd w:id="125"/>
    </w:p>
    <w:bookmarkEnd w:id="126"/>
    <w:p w14:paraId="7CF20928">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b/>
          <w:bCs/>
          <w:snapToGrid w:val="0"/>
          <w:color w:val="auto"/>
          <w:kern w:val="0"/>
          <w:sz w:val="21"/>
          <w:szCs w:val="21"/>
          <w:lang w:eastAsia="zh-CN"/>
        </w:rPr>
      </w:pPr>
      <w:bookmarkStart w:id="127" w:name="_Ref531957153"/>
      <w:r>
        <w:rPr>
          <w:rFonts w:hint="eastAsia" w:ascii="宋体" w:hAnsi="宋体" w:eastAsia="宋体" w:cs="宋体"/>
          <w:snapToGrid w:val="0"/>
          <w:color w:val="auto"/>
          <w:kern w:val="0"/>
          <w:sz w:val="21"/>
          <w:szCs w:val="21"/>
          <w:lang w:eastAsia="zh-CN"/>
        </w:rPr>
        <w:t>在竣工结算款中预留合同总价</w:t>
      </w:r>
      <w:r>
        <w:rPr>
          <w:rFonts w:hint="eastAsia" w:ascii="宋体" w:hAnsi="宋体" w:eastAsia="宋体" w:cs="宋体"/>
          <w:snapToGrid w:val="0"/>
          <w:color w:val="auto"/>
          <w:kern w:val="0"/>
          <w:sz w:val="21"/>
          <w:szCs w:val="21"/>
          <w:lang w:val="en-US" w:eastAsia="zh-CN"/>
        </w:rPr>
        <w:t>3</w:t>
      </w:r>
      <w:r>
        <w:rPr>
          <w:rFonts w:hint="eastAsia" w:ascii="宋体" w:hAnsi="宋体" w:eastAsia="宋体" w:cs="宋体"/>
          <w:snapToGrid w:val="0"/>
          <w:color w:val="auto"/>
          <w:kern w:val="0"/>
          <w:sz w:val="21"/>
          <w:szCs w:val="21"/>
          <w:lang w:eastAsia="zh-CN"/>
        </w:rPr>
        <w:t>%作为质量保证金。保修期为</w:t>
      </w:r>
      <w:r>
        <w:rPr>
          <w:rFonts w:hint="eastAsia" w:ascii="宋体" w:hAnsi="宋体" w:eastAsia="宋体" w:cs="宋体"/>
          <w:snapToGrid w:val="0"/>
          <w:color w:val="auto"/>
          <w:kern w:val="0"/>
          <w:sz w:val="21"/>
          <w:szCs w:val="21"/>
          <w:lang w:val="en-US" w:eastAsia="zh-CN"/>
        </w:rPr>
        <w:t>1</w:t>
      </w:r>
      <w:r>
        <w:rPr>
          <w:rFonts w:hint="eastAsia" w:ascii="宋体" w:hAnsi="宋体" w:eastAsia="宋体" w:cs="宋体"/>
          <w:snapToGrid w:val="0"/>
          <w:color w:val="auto"/>
          <w:kern w:val="0"/>
          <w:sz w:val="21"/>
          <w:szCs w:val="21"/>
          <w:lang w:eastAsia="zh-CN"/>
        </w:rPr>
        <w:t>年，工程竣工验收合格满</w:t>
      </w:r>
      <w:r>
        <w:rPr>
          <w:rFonts w:hint="eastAsia" w:ascii="宋体" w:hAnsi="宋体" w:eastAsia="宋体" w:cs="宋体"/>
          <w:snapToGrid w:val="0"/>
          <w:color w:val="auto"/>
          <w:kern w:val="0"/>
          <w:sz w:val="21"/>
          <w:szCs w:val="21"/>
          <w:lang w:val="en-US" w:eastAsia="zh-CN"/>
        </w:rPr>
        <w:t>一</w:t>
      </w:r>
      <w:r>
        <w:rPr>
          <w:rFonts w:hint="eastAsia" w:ascii="宋体" w:hAnsi="宋体" w:eastAsia="宋体" w:cs="宋体"/>
          <w:snapToGrid w:val="0"/>
          <w:color w:val="auto"/>
          <w:kern w:val="0"/>
          <w:sz w:val="21"/>
          <w:szCs w:val="21"/>
          <w:lang w:eastAsia="zh-CN"/>
        </w:rPr>
        <w:t>年后的7个工作日内退合同总价</w:t>
      </w:r>
      <w:r>
        <w:rPr>
          <w:rFonts w:hint="eastAsia" w:ascii="宋体" w:hAnsi="宋体" w:eastAsia="宋体" w:cs="宋体"/>
          <w:snapToGrid w:val="0"/>
          <w:color w:val="auto"/>
          <w:kern w:val="0"/>
          <w:sz w:val="21"/>
          <w:szCs w:val="21"/>
          <w:lang w:val="en-US" w:eastAsia="zh-CN"/>
        </w:rPr>
        <w:t>3</w:t>
      </w:r>
      <w:r>
        <w:rPr>
          <w:rFonts w:hint="eastAsia" w:ascii="宋体" w:hAnsi="宋体" w:eastAsia="宋体" w:cs="宋体"/>
          <w:snapToGrid w:val="0"/>
          <w:color w:val="auto"/>
          <w:kern w:val="0"/>
          <w:sz w:val="21"/>
          <w:szCs w:val="21"/>
          <w:lang w:eastAsia="zh-CN"/>
        </w:rPr>
        <w:t>%余款。</w:t>
      </w:r>
      <w:bookmarkEnd w:id="127"/>
    </w:p>
    <w:p w14:paraId="5FA46CA1">
      <w:pPr>
        <w:keepNext w:val="0"/>
        <w:keepLines w:val="0"/>
        <w:numPr>
          <w:ilvl w:val="0"/>
          <w:numId w:val="0"/>
        </w:numPr>
        <w:tabs>
          <w:tab w:val="left" w:pos="993"/>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128" w:name="_Toc6436"/>
      <w:r>
        <w:rPr>
          <w:rFonts w:hint="eastAsia" w:ascii="宋体" w:hAnsi="宋体" w:eastAsia="宋体" w:cs="宋体"/>
          <w:b w:val="0"/>
          <w:bCs/>
          <w:snapToGrid w:val="0"/>
          <w:color w:val="auto"/>
          <w:sz w:val="21"/>
          <w:szCs w:val="21"/>
          <w:lang w:val="en-US" w:eastAsia="zh-CN" w:bidi="ar-SA"/>
        </w:rPr>
        <w:t>4.3.5 合同价款支付需提供正规建筑服务类增值税普通发票。承包人未提供符合发包人要求的发票的，发包人有权顺延付款并不承担违约责任，但承包人不得因此中止本合同项下义务的履行。</w:t>
      </w:r>
      <w:bookmarkEnd w:id="128"/>
    </w:p>
    <w:p w14:paraId="4807CC55">
      <w:pPr>
        <w:keepNext w:val="0"/>
        <w:keepLines w:val="0"/>
        <w:numPr>
          <w:ilvl w:val="0"/>
          <w:numId w:val="0"/>
        </w:numPr>
        <w:tabs>
          <w:tab w:val="left" w:pos="567"/>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r>
        <w:rPr>
          <w:rFonts w:hint="eastAsia" w:ascii="宋体" w:hAnsi="宋体" w:eastAsia="宋体" w:cs="宋体"/>
          <w:b w:val="0"/>
          <w:bCs/>
          <w:snapToGrid w:val="0"/>
          <w:color w:val="auto"/>
          <w:sz w:val="21"/>
          <w:szCs w:val="21"/>
          <w:lang w:val="en-US" w:eastAsia="zh-CN" w:bidi="ar-SA"/>
        </w:rPr>
        <w:t>五、合同文件构成</w:t>
      </w:r>
      <w:bookmarkEnd w:id="107"/>
      <w:bookmarkEnd w:id="108"/>
    </w:p>
    <w:p w14:paraId="3A8DA89F">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 xml:space="preserve">本协议书与下列文件一起构成合同文件： </w:t>
      </w:r>
    </w:p>
    <w:p w14:paraId="51D33024">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5.1 中标通知书（如有）；</w:t>
      </w:r>
    </w:p>
    <w:p w14:paraId="00F7978C">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5.2 投标函及投标函附录（如有）；</w:t>
      </w:r>
    </w:p>
    <w:p w14:paraId="02FF71F9">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 xml:space="preserve">5.3 承包人施工方案； </w:t>
      </w:r>
    </w:p>
    <w:p w14:paraId="39873F9D">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 xml:space="preserve">5.4 </w:t>
      </w:r>
      <w:r>
        <w:rPr>
          <w:rFonts w:hint="eastAsia" w:ascii="宋体" w:hAnsi="宋体" w:eastAsia="宋体" w:cs="宋体"/>
          <w:snapToGrid w:val="0"/>
          <w:color w:val="auto"/>
          <w:kern w:val="0"/>
          <w:sz w:val="21"/>
          <w:szCs w:val="21"/>
          <w:lang w:val="en-US" w:eastAsia="zh-CN"/>
        </w:rPr>
        <w:t>展馆</w:t>
      </w:r>
      <w:r>
        <w:rPr>
          <w:rFonts w:hint="eastAsia" w:ascii="宋体" w:hAnsi="宋体" w:eastAsia="宋体" w:cs="宋体"/>
          <w:snapToGrid w:val="0"/>
          <w:color w:val="auto"/>
          <w:kern w:val="0"/>
          <w:sz w:val="21"/>
          <w:szCs w:val="21"/>
          <w:lang w:eastAsia="zh-CN"/>
        </w:rPr>
        <w:t>维修工程报价清单；</w:t>
      </w:r>
    </w:p>
    <w:p w14:paraId="7C68EEC1">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5.5 构成本合同组成部分的其他文件。</w:t>
      </w:r>
    </w:p>
    <w:p w14:paraId="3B1A2D04">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上述各项合同文件包括双方就该项合同文件所作出的补充和修改，属于同一类内容的合同文件应以最新签署的为准。</w:t>
      </w:r>
    </w:p>
    <w:p w14:paraId="7E2A18B1">
      <w:pPr>
        <w:keepNext w:val="0"/>
        <w:keepLines w:val="0"/>
        <w:numPr>
          <w:ilvl w:val="0"/>
          <w:numId w:val="0"/>
        </w:numPr>
        <w:tabs>
          <w:tab w:val="left" w:pos="567"/>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129" w:name="_Toc6953"/>
      <w:bookmarkStart w:id="130" w:name="_Toc54862171"/>
      <w:r>
        <w:rPr>
          <w:rFonts w:hint="eastAsia" w:ascii="宋体" w:hAnsi="宋体" w:eastAsia="宋体" w:cs="宋体"/>
          <w:b w:val="0"/>
          <w:bCs/>
          <w:snapToGrid w:val="0"/>
          <w:color w:val="auto"/>
          <w:sz w:val="21"/>
          <w:szCs w:val="21"/>
          <w:lang w:val="en-US" w:eastAsia="zh-CN" w:bidi="ar-SA"/>
        </w:rPr>
        <w:t>六、承诺</w:t>
      </w:r>
      <w:bookmarkEnd w:id="129"/>
      <w:bookmarkEnd w:id="130"/>
    </w:p>
    <w:p w14:paraId="60F8CDD8">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6.1 承包人承诺按照法律规定及合同约定组织完成工程的设计、采购和施工等工作，确保工程质量和安全，不进行转包及违法分包，并在缺陷责任期及保修期内承担相应的工程维修责任。</w:t>
      </w:r>
    </w:p>
    <w:p w14:paraId="09FFA284">
      <w:pPr>
        <w:numPr>
          <w:ilvl w:val="0"/>
          <w:numId w:val="0"/>
        </w:numPr>
        <w:tabs>
          <w:tab w:val="left" w:pos="0"/>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bookmarkStart w:id="131" w:name="_Ref531951975"/>
      <w:bookmarkStart w:id="132" w:name="_Ref531951958"/>
      <w:bookmarkStart w:id="133" w:name="_Ref531951945"/>
      <w:bookmarkStart w:id="134" w:name="_Ref531951941"/>
      <w:bookmarkStart w:id="135" w:name="_Toc54862212"/>
      <w:bookmarkStart w:id="136" w:name="_Ref531951961"/>
      <w:r>
        <w:rPr>
          <w:rFonts w:hint="eastAsia" w:ascii="宋体" w:hAnsi="宋体" w:eastAsia="宋体" w:cs="宋体"/>
          <w:color w:val="auto"/>
          <w:kern w:val="2"/>
          <w:sz w:val="21"/>
          <w:szCs w:val="21"/>
          <w:lang w:val="en-US" w:eastAsia="zh-CN" w:bidi="ar-SA"/>
        </w:rPr>
        <w:t>七、承包人的一般义务</w:t>
      </w:r>
      <w:bookmarkEnd w:id="131"/>
      <w:bookmarkEnd w:id="132"/>
      <w:bookmarkEnd w:id="133"/>
      <w:bookmarkEnd w:id="134"/>
      <w:bookmarkEnd w:id="135"/>
      <w:bookmarkEnd w:id="136"/>
      <w:r>
        <w:rPr>
          <w:rFonts w:hint="eastAsia" w:ascii="宋体" w:hAnsi="宋体" w:eastAsia="宋体" w:cs="宋体"/>
          <w:color w:val="auto"/>
          <w:kern w:val="2"/>
          <w:sz w:val="21"/>
          <w:szCs w:val="21"/>
          <w:lang w:val="en-US" w:eastAsia="zh-CN" w:bidi="ar-SA"/>
        </w:rPr>
        <w:t xml:space="preserve"> </w:t>
      </w:r>
    </w:p>
    <w:p w14:paraId="7B60C7FE">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bookmarkStart w:id="137" w:name="_Ref509046929"/>
      <w:r>
        <w:rPr>
          <w:rFonts w:hint="eastAsia" w:ascii="宋体" w:hAnsi="宋体" w:eastAsia="宋体" w:cs="宋体"/>
          <w:snapToGrid w:val="0"/>
          <w:color w:val="auto"/>
          <w:kern w:val="0"/>
          <w:sz w:val="21"/>
          <w:szCs w:val="21"/>
          <w:lang w:eastAsia="zh-CN"/>
        </w:rPr>
        <w:t>除专用合同条件另有约定外，承包人在履行合同过程中应遵守法律和工程建设标准规范，并履行以下义务：</w:t>
      </w:r>
    </w:p>
    <w:p w14:paraId="2E76F0DC">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7.1 按合同约定完成全部工作并在缺陷责任期和保修期内承担缺陷保证责任和保修义务，对工作中的任何缺陷进行整改、完善和修补，使其满足合同约定的目的；</w:t>
      </w:r>
    </w:p>
    <w:p w14:paraId="3FD0556A">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7.2 提供合同约定的工程设备和承包人文件，以及为完成合同工作所需的劳务、材料、施工设备和其他物品，并按合同约定负责临时设施的设计、施工、运行、维护、管理和拆除；</w:t>
      </w:r>
    </w:p>
    <w:p w14:paraId="7BC5960C">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7.3 按合同约定的工作内容和进度要求，编制设计、施工的组织和实施计划，保证项目进度计划的实现，并对所有设计、施工作业和施工方法，以及全部工程的完备性和安全可靠性负责；</w:t>
      </w:r>
    </w:p>
    <w:p w14:paraId="25F8D58E">
      <w:pPr>
        <w:widowControl/>
        <w:kinsoku/>
        <w:autoSpaceDE/>
        <w:autoSpaceDN/>
        <w:adjustRightInd w:val="0"/>
        <w:snapToGrid w:val="0"/>
        <w:spacing w:line="560" w:lineRule="exact"/>
        <w:ind w:firstLine="420" w:firstLineChars="200"/>
        <w:jc w:val="both"/>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7.4 按法律规定和合同约定采取安全文明施工、职业健康和环境保护措施，办理员工工伤保险等相关保险，确保工程及人员、材料、设备和设施的安全，防止因工程实施造成的人身伤害和财产损失；</w:t>
      </w:r>
    </w:p>
    <w:p w14:paraId="5E90673F">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7.5 将发包人按合同约定支付的各项价款专用于合同工程，且应及时支付其雇用人员（包括建筑工人）工资，并及时向材料商支付合同价款；</w:t>
      </w:r>
    </w:p>
    <w:bookmarkEnd w:id="137"/>
    <w:p w14:paraId="6E4DAC47">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138" w:name="_Toc11532"/>
      <w:bookmarkStart w:id="139" w:name="_Toc54862220"/>
      <w:bookmarkStart w:id="140" w:name="_Ref11926566"/>
      <w:bookmarkStart w:id="141" w:name="_Ref11926570"/>
      <w:r>
        <w:rPr>
          <w:rFonts w:hint="eastAsia" w:ascii="宋体" w:hAnsi="宋体" w:eastAsia="宋体" w:cs="宋体"/>
          <w:b w:val="0"/>
          <w:color w:val="auto"/>
          <w:kern w:val="0"/>
          <w:sz w:val="21"/>
          <w:szCs w:val="21"/>
          <w:lang w:val="en-US" w:eastAsia="zh-CN" w:bidi="ar-SA"/>
        </w:rPr>
        <w:t>7.6 如遇承包人工人讨薪事件，发包人有权为了维稳等因素从承包人可得工程款中直接扣减，承包人不得有异议；同时，发包人有权要求承包人承担违约金，在应付款中直接扣减。</w:t>
      </w:r>
      <w:bookmarkEnd w:id="138"/>
    </w:p>
    <w:p w14:paraId="7F72D275">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142" w:name="_Toc9323"/>
      <w:r>
        <w:rPr>
          <w:rFonts w:hint="eastAsia" w:ascii="宋体" w:hAnsi="宋体" w:eastAsia="宋体" w:cs="宋体"/>
          <w:b w:val="0"/>
          <w:bCs/>
          <w:color w:val="auto"/>
          <w:kern w:val="2"/>
          <w:sz w:val="21"/>
          <w:szCs w:val="21"/>
          <w:lang w:val="en-US" w:eastAsia="zh-CN" w:bidi="ar-SA"/>
        </w:rPr>
        <w:t>八、工程质量管理</w:t>
      </w:r>
      <w:bookmarkEnd w:id="139"/>
      <w:bookmarkEnd w:id="140"/>
      <w:bookmarkEnd w:id="141"/>
      <w:bookmarkEnd w:id="142"/>
    </w:p>
    <w:p w14:paraId="40BCADAC">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8.1 承包人应按合同约定的质量标准规范，建立有效的质量管理系统，确保设计、采购、加工制造、施工、竣工试验等各项工作的质量，并按照国家有关规定，通过质量保修责任书的形式约定保修范围、保修期限和保修责任。工程质量保证体系及措施文件，建立完善的质量检查制度，并提交相应的工程质量文件。对于发包人和工程师违反法律规定和合同约定的错误指示，承包人有权拒绝实施。</w:t>
      </w:r>
    </w:p>
    <w:p w14:paraId="352EDC10">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143" w:name="_Toc54862225"/>
      <w:bookmarkStart w:id="144" w:name="_Ref531953105"/>
      <w:bookmarkStart w:id="145" w:name="_Ref531953108"/>
      <w:bookmarkStart w:id="146" w:name="_Toc233"/>
      <w:r>
        <w:rPr>
          <w:rFonts w:hint="eastAsia" w:ascii="宋体" w:hAnsi="宋体" w:eastAsia="宋体" w:cs="宋体"/>
          <w:b w:val="0"/>
          <w:bCs/>
          <w:color w:val="auto"/>
          <w:kern w:val="2"/>
          <w:sz w:val="21"/>
          <w:szCs w:val="21"/>
          <w:lang w:val="en-US" w:eastAsia="zh-CN" w:bidi="ar-SA"/>
        </w:rPr>
        <w:t>九、竣工文件</w:t>
      </w:r>
      <w:bookmarkEnd w:id="143"/>
      <w:bookmarkEnd w:id="144"/>
      <w:bookmarkEnd w:id="145"/>
      <w:bookmarkEnd w:id="146"/>
    </w:p>
    <w:p w14:paraId="383146DB">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bookmarkStart w:id="147" w:name="_Ref531953134"/>
      <w:r>
        <w:rPr>
          <w:rFonts w:hint="eastAsia" w:ascii="宋体" w:hAnsi="宋体" w:eastAsia="宋体" w:cs="宋体"/>
          <w:color w:val="auto"/>
          <w:kern w:val="2"/>
          <w:sz w:val="21"/>
          <w:szCs w:val="21"/>
          <w:lang w:val="en-US" w:eastAsia="zh-CN" w:bidi="ar-SA"/>
        </w:rPr>
        <w:t>9.1 承包人应编制并及时更新反映工程实施结果的竣工记录，如实记载竣工工程的确切位置、尺寸和已实施工作的详细说明。竣工文件的形式、技术标准以及其它相关内容应按照相关法律法规、行业标准。</w:t>
      </w:r>
      <w:bookmarkEnd w:id="147"/>
    </w:p>
    <w:p w14:paraId="592577C3">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148" w:name="_Ref11959204"/>
      <w:bookmarkStart w:id="149" w:name="_Ref11959210"/>
      <w:bookmarkStart w:id="150" w:name="_Toc54862232"/>
      <w:bookmarkStart w:id="151" w:name="_Toc1677"/>
      <w:bookmarkStart w:id="152" w:name="_Toc351203565"/>
      <w:bookmarkStart w:id="153" w:name="_Toc337558785"/>
      <w:r>
        <w:rPr>
          <w:rFonts w:hint="eastAsia" w:ascii="宋体" w:hAnsi="宋体" w:eastAsia="宋体" w:cs="宋体"/>
          <w:b w:val="0"/>
          <w:bCs/>
          <w:color w:val="auto"/>
          <w:kern w:val="2"/>
          <w:sz w:val="21"/>
          <w:szCs w:val="21"/>
          <w:lang w:val="en-US" w:eastAsia="zh-CN" w:bidi="ar-SA"/>
        </w:rPr>
        <w:t>十、 质量检查</w:t>
      </w:r>
      <w:bookmarkEnd w:id="148"/>
      <w:bookmarkEnd w:id="149"/>
      <w:bookmarkEnd w:id="150"/>
      <w:bookmarkEnd w:id="151"/>
    </w:p>
    <w:p w14:paraId="14DB93C4">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bookmarkStart w:id="154" w:name="_Ref18990699"/>
      <w:r>
        <w:rPr>
          <w:rFonts w:hint="eastAsia" w:ascii="宋体" w:hAnsi="宋体" w:eastAsia="宋体" w:cs="宋体"/>
          <w:color w:val="auto"/>
          <w:kern w:val="2"/>
          <w:sz w:val="21"/>
          <w:szCs w:val="21"/>
          <w:lang w:val="en-US" w:eastAsia="zh-CN" w:bidi="ar-SA"/>
        </w:rPr>
        <w:t>10.1 工程质量要求</w:t>
      </w:r>
      <w:bookmarkEnd w:id="154"/>
    </w:p>
    <w:p w14:paraId="42601686">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工程质量标准必须符合现行国家有关工程施工质量验收规范和标准的要求。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68F81783">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bookmarkStart w:id="155" w:name="_Ref18990717"/>
      <w:r>
        <w:rPr>
          <w:rFonts w:hint="eastAsia" w:ascii="宋体" w:hAnsi="宋体" w:eastAsia="宋体" w:cs="宋体"/>
          <w:color w:val="auto"/>
          <w:kern w:val="2"/>
          <w:sz w:val="21"/>
          <w:szCs w:val="21"/>
          <w:lang w:val="en-US" w:eastAsia="zh-CN" w:bidi="ar-SA"/>
        </w:rPr>
        <w:t>10.2 质量检查</w:t>
      </w:r>
      <w:bookmarkEnd w:id="155"/>
    </w:p>
    <w:p w14:paraId="68948032">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bookmarkEnd w:id="152"/>
    <w:bookmarkEnd w:id="153"/>
    <w:p w14:paraId="76909F19">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156" w:name="_Ref4770992"/>
      <w:bookmarkStart w:id="157" w:name="_Toc15227"/>
      <w:bookmarkStart w:id="158" w:name="_Ref531954323"/>
      <w:bookmarkStart w:id="159" w:name="_Toc54862241"/>
      <w:bookmarkStart w:id="160" w:name="_Ref531954329"/>
      <w:bookmarkStart w:id="161" w:name="_Ref41554059"/>
      <w:r>
        <w:rPr>
          <w:rFonts w:hint="eastAsia" w:ascii="宋体" w:hAnsi="宋体" w:eastAsia="宋体" w:cs="宋体"/>
          <w:b w:val="0"/>
          <w:bCs/>
          <w:color w:val="auto"/>
          <w:kern w:val="2"/>
          <w:sz w:val="21"/>
          <w:szCs w:val="21"/>
          <w:lang w:val="en-US" w:eastAsia="zh-CN" w:bidi="ar-SA"/>
        </w:rPr>
        <w:t>十一、 安全文明施工</w:t>
      </w:r>
      <w:bookmarkEnd w:id="156"/>
      <w:bookmarkEnd w:id="157"/>
      <w:bookmarkEnd w:id="158"/>
      <w:bookmarkEnd w:id="159"/>
      <w:bookmarkEnd w:id="160"/>
      <w:bookmarkEnd w:id="161"/>
    </w:p>
    <w:p w14:paraId="458E0755">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bookmarkStart w:id="162" w:name="_Ref18990822"/>
      <w:r>
        <w:rPr>
          <w:rFonts w:hint="eastAsia" w:ascii="宋体" w:hAnsi="宋体" w:eastAsia="宋体" w:cs="宋体"/>
          <w:color w:val="auto"/>
          <w:kern w:val="2"/>
          <w:sz w:val="21"/>
          <w:szCs w:val="21"/>
          <w:lang w:val="en-US" w:eastAsia="zh-CN" w:bidi="ar-SA"/>
        </w:rPr>
        <w:t>11.1 安全生产要求</w:t>
      </w:r>
      <w:bookmarkEnd w:id="162"/>
    </w:p>
    <w:p w14:paraId="187B3742">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合同履行期间，合同当事人均应当遵守国家和工程所在地有关安全生产的要求。承包人有权拒绝发包人及工程师强令承包人违章作业、冒险施工的任何指示。</w:t>
      </w:r>
    </w:p>
    <w:p w14:paraId="1611E6D5">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11.2 安全生产保证措施</w:t>
      </w:r>
    </w:p>
    <w:p w14:paraId="075E8149">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3DA57B5E">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5D28010C">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高空作业和防水工程施工等危险作业的管理。</w:t>
      </w:r>
    </w:p>
    <w:p w14:paraId="551E0906">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bookmarkStart w:id="163" w:name="_Ref18990840"/>
      <w:r>
        <w:rPr>
          <w:rFonts w:hint="eastAsia" w:ascii="宋体" w:hAnsi="宋体" w:eastAsia="宋体" w:cs="宋体"/>
          <w:color w:val="auto"/>
          <w:kern w:val="2"/>
          <w:sz w:val="21"/>
          <w:szCs w:val="21"/>
          <w:lang w:val="en-US" w:eastAsia="zh-CN" w:bidi="ar-SA"/>
        </w:rPr>
        <w:t>11.3 文明施工</w:t>
      </w:r>
      <w:bookmarkEnd w:id="163"/>
    </w:p>
    <w:p w14:paraId="06ED232E">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bookmarkStart w:id="164" w:name="_Toc54862263"/>
      <w:bookmarkStart w:id="165" w:name="_Ref4618338"/>
      <w:bookmarkStart w:id="166" w:name="_Ref4618348"/>
      <w:bookmarkStart w:id="167" w:name="_Ref4624043"/>
      <w:bookmarkStart w:id="168" w:name="_Ref531954518"/>
      <w:bookmarkStart w:id="169" w:name="_Ref508893743"/>
      <w:r>
        <w:rPr>
          <w:rFonts w:hint="eastAsia" w:ascii="宋体" w:hAnsi="宋体" w:eastAsia="宋体" w:cs="宋体"/>
          <w:snapToGrid w:val="0"/>
          <w:color w:val="auto"/>
          <w:kern w:val="0"/>
          <w:sz w:val="21"/>
          <w:szCs w:val="21"/>
          <w:lang w:eastAsia="zh-CN"/>
        </w:rPr>
        <w:t>承包人在工程施工期间，应当采取措施保护海口江东新区展示中心展陈所有设备，如因施工造成设备损坏的，由承包人承担全部责任。保持施工现场整洁，物料堆放整齐。工程所在地有关政府行政管理部门有特殊要求的，按照其要求执行。发包方对文明施工有其他要求的，可以在专用合同条件中明确。</w:t>
      </w:r>
    </w:p>
    <w:p w14:paraId="2015D95C">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b/>
          <w:bCs/>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4CE0EED">
      <w:pPr>
        <w:keepNext w:val="0"/>
        <w:keepLines w:val="0"/>
        <w:numPr>
          <w:ilvl w:val="0"/>
          <w:numId w:val="0"/>
        </w:numPr>
        <w:tabs>
          <w:tab w:val="left" w:pos="993"/>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170" w:name="_Toc17806"/>
      <w:r>
        <w:rPr>
          <w:rFonts w:hint="eastAsia" w:ascii="宋体" w:hAnsi="宋体" w:eastAsia="宋体" w:cs="宋体"/>
          <w:b w:val="0"/>
          <w:bCs/>
          <w:snapToGrid w:val="0"/>
          <w:color w:val="auto"/>
          <w:sz w:val="21"/>
          <w:szCs w:val="21"/>
          <w:lang w:val="en-US" w:eastAsia="zh-CN" w:bidi="ar-SA"/>
        </w:rPr>
        <w:t>十二、 验收和工程接收</w:t>
      </w:r>
      <w:bookmarkEnd w:id="164"/>
      <w:bookmarkEnd w:id="165"/>
      <w:bookmarkEnd w:id="166"/>
      <w:bookmarkEnd w:id="167"/>
      <w:bookmarkEnd w:id="170"/>
    </w:p>
    <w:p w14:paraId="6863B58E">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171" w:name="_Toc54862264"/>
      <w:bookmarkStart w:id="172" w:name="_Ref532301202"/>
      <w:bookmarkStart w:id="173" w:name="_Toc32112"/>
      <w:bookmarkStart w:id="174" w:name="_Ref532359143"/>
      <w:bookmarkStart w:id="175" w:name="_Ref532359152"/>
      <w:bookmarkStart w:id="176" w:name="_Ref532301199"/>
      <w:bookmarkStart w:id="177" w:name="_Ref532300804"/>
      <w:bookmarkStart w:id="178" w:name="_Ref532300801"/>
      <w:r>
        <w:rPr>
          <w:rFonts w:hint="eastAsia" w:ascii="宋体" w:hAnsi="宋体" w:eastAsia="宋体" w:cs="宋体"/>
          <w:b w:val="0"/>
          <w:bCs/>
          <w:color w:val="auto"/>
          <w:kern w:val="2"/>
          <w:sz w:val="21"/>
          <w:szCs w:val="21"/>
          <w:lang w:val="en-US" w:eastAsia="zh-CN" w:bidi="ar-SA"/>
        </w:rPr>
        <w:t>12.1 竣工验收</w:t>
      </w:r>
      <w:bookmarkEnd w:id="171"/>
      <w:bookmarkEnd w:id="172"/>
      <w:bookmarkEnd w:id="173"/>
      <w:bookmarkEnd w:id="174"/>
      <w:bookmarkEnd w:id="175"/>
      <w:bookmarkEnd w:id="176"/>
      <w:bookmarkEnd w:id="177"/>
      <w:bookmarkEnd w:id="178"/>
    </w:p>
    <w:p w14:paraId="118771F8">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bookmarkStart w:id="179" w:name="_Ref532628356"/>
      <w:r>
        <w:rPr>
          <w:rFonts w:hint="eastAsia" w:ascii="宋体" w:hAnsi="宋体" w:eastAsia="宋体" w:cs="宋体"/>
          <w:snapToGrid w:val="0"/>
          <w:color w:val="auto"/>
          <w:kern w:val="0"/>
          <w:sz w:val="21"/>
          <w:szCs w:val="21"/>
          <w:lang w:eastAsia="zh-CN"/>
        </w:rPr>
        <w:t>工程具备以下条件的，承包人可以申请竣工验收：</w:t>
      </w:r>
    </w:p>
    <w:p w14:paraId="45F3594B">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（1） 合同范围内的全部单位/区段工程以及有关工作，包括合同要求的试验和竣工试验均已完成，并符合合同要求；</w:t>
      </w:r>
    </w:p>
    <w:p w14:paraId="5B93814B">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（2） 已按合同约定编制了扫尾工作和缺陷修补工作清单以及相应实施计划；</w:t>
      </w:r>
    </w:p>
    <w:p w14:paraId="6AFFB06E">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（3） 已按合同约定的内容和份数备齐竣工资料；</w:t>
      </w:r>
    </w:p>
    <w:p w14:paraId="69C7706B">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（4） 合同约定要求在竣工验收前应完成的其他工作。</w:t>
      </w:r>
    </w:p>
    <w:bookmarkEnd w:id="168"/>
    <w:bookmarkEnd w:id="179"/>
    <w:p w14:paraId="04864448">
      <w:pPr>
        <w:keepNext w:val="0"/>
        <w:keepLines w:val="0"/>
        <w:numPr>
          <w:ilvl w:val="0"/>
          <w:numId w:val="0"/>
        </w:numPr>
        <w:tabs>
          <w:tab w:val="left" w:pos="993"/>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180" w:name="_Toc8554"/>
      <w:bookmarkStart w:id="181" w:name="_Ref4796909"/>
      <w:bookmarkStart w:id="182" w:name="_Ref4796906"/>
      <w:bookmarkStart w:id="183" w:name="_Toc54862269"/>
      <w:bookmarkStart w:id="184" w:name="_Ref531955009"/>
      <w:r>
        <w:rPr>
          <w:rFonts w:hint="eastAsia" w:ascii="宋体" w:hAnsi="宋体" w:eastAsia="宋体" w:cs="宋体"/>
          <w:b w:val="0"/>
          <w:bCs/>
          <w:snapToGrid w:val="0"/>
          <w:color w:val="auto"/>
          <w:sz w:val="21"/>
          <w:szCs w:val="21"/>
          <w:lang w:val="en-US" w:eastAsia="zh-CN" w:bidi="ar-SA"/>
        </w:rPr>
        <w:t>十三 缺陷责任与保修</w:t>
      </w:r>
      <w:bookmarkEnd w:id="180"/>
      <w:bookmarkEnd w:id="181"/>
      <w:bookmarkEnd w:id="182"/>
      <w:bookmarkEnd w:id="183"/>
      <w:bookmarkEnd w:id="184"/>
      <w:r>
        <w:rPr>
          <w:rFonts w:hint="eastAsia" w:ascii="宋体" w:hAnsi="宋体" w:eastAsia="宋体" w:cs="宋体"/>
          <w:b w:val="0"/>
          <w:bCs/>
          <w:snapToGrid w:val="0"/>
          <w:color w:val="auto"/>
          <w:sz w:val="21"/>
          <w:szCs w:val="21"/>
          <w:lang w:val="en-US" w:eastAsia="zh-CN" w:bidi="ar-SA"/>
        </w:rPr>
        <w:t xml:space="preserve"> </w:t>
      </w:r>
    </w:p>
    <w:p w14:paraId="59544CA6">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185" w:name="_Toc10444"/>
      <w:bookmarkStart w:id="186" w:name="_Toc54862270"/>
      <w:bookmarkStart w:id="187" w:name="_Ref531955248"/>
      <w:bookmarkStart w:id="188" w:name="_Toc296503147"/>
      <w:bookmarkStart w:id="189" w:name="_Ref532362928"/>
      <w:bookmarkStart w:id="190" w:name="_Toc296346648"/>
      <w:bookmarkStart w:id="191" w:name="_Ref531955245"/>
      <w:bookmarkStart w:id="192" w:name="_Toc337558841"/>
      <w:r>
        <w:rPr>
          <w:rFonts w:hint="eastAsia" w:ascii="宋体" w:hAnsi="宋体" w:eastAsia="宋体" w:cs="宋体"/>
          <w:b w:val="0"/>
          <w:bCs/>
          <w:color w:val="auto"/>
          <w:kern w:val="2"/>
          <w:sz w:val="21"/>
          <w:szCs w:val="21"/>
          <w:lang w:val="en-US" w:eastAsia="zh-CN" w:bidi="ar-SA"/>
        </w:rPr>
        <w:t>13.1 工程保修的原则</w:t>
      </w:r>
      <w:bookmarkEnd w:id="185"/>
      <w:bookmarkEnd w:id="186"/>
    </w:p>
    <w:p w14:paraId="61BF6C86">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在工程移交发包人后，因承包人原因产生的质量缺陷，承包人应承担质量缺陷责任和保修义务。缺陷责任期届满，承包人仍应按合同约定的工程各部位保修年限承担保修义务。</w:t>
      </w:r>
    </w:p>
    <w:bookmarkEnd w:id="187"/>
    <w:bookmarkEnd w:id="188"/>
    <w:bookmarkEnd w:id="189"/>
    <w:bookmarkEnd w:id="190"/>
    <w:bookmarkEnd w:id="191"/>
    <w:bookmarkEnd w:id="192"/>
    <w:p w14:paraId="6F546CE9">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193" w:name="_Ref4430272"/>
      <w:bookmarkStart w:id="194" w:name="_Toc30243"/>
      <w:bookmarkStart w:id="195" w:name="_Toc54862276"/>
      <w:r>
        <w:rPr>
          <w:rFonts w:hint="eastAsia" w:ascii="宋体" w:hAnsi="宋体" w:eastAsia="宋体" w:cs="宋体"/>
          <w:b w:val="0"/>
          <w:bCs/>
          <w:color w:val="auto"/>
          <w:kern w:val="2"/>
          <w:sz w:val="21"/>
          <w:szCs w:val="21"/>
          <w:lang w:val="en-US" w:eastAsia="zh-CN" w:bidi="ar-SA"/>
        </w:rPr>
        <w:t>13.2保修责任</w:t>
      </w:r>
      <w:bookmarkEnd w:id="193"/>
      <w:bookmarkEnd w:id="194"/>
      <w:bookmarkEnd w:id="195"/>
    </w:p>
    <w:p w14:paraId="43B1CD07">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因承包人原因导致的质量缺陷责任，由承包人负责保修。</w:t>
      </w:r>
      <w:bookmarkEnd w:id="169"/>
      <w:bookmarkStart w:id="196" w:name="_Ref531957860"/>
      <w:bookmarkStart w:id="197" w:name="_Ref531958289"/>
    </w:p>
    <w:bookmarkEnd w:id="196"/>
    <w:p w14:paraId="5285B79A">
      <w:pPr>
        <w:keepNext w:val="0"/>
        <w:keepLines w:val="0"/>
        <w:numPr>
          <w:ilvl w:val="0"/>
          <w:numId w:val="0"/>
        </w:numPr>
        <w:tabs>
          <w:tab w:val="left" w:pos="993"/>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198" w:name="_Toc54862299"/>
      <w:bookmarkStart w:id="199" w:name="_Ref11920396"/>
      <w:bookmarkStart w:id="200" w:name="_Ref11874957"/>
      <w:bookmarkStart w:id="201" w:name="_Ref11920407"/>
      <w:bookmarkStart w:id="202" w:name="_Toc24975"/>
      <w:bookmarkStart w:id="203" w:name="_Ref4796958"/>
      <w:bookmarkStart w:id="204" w:name="_Ref4796955"/>
      <w:r>
        <w:rPr>
          <w:rFonts w:hint="eastAsia" w:ascii="宋体" w:hAnsi="宋体" w:eastAsia="宋体" w:cs="宋体"/>
          <w:b w:val="0"/>
          <w:bCs/>
          <w:snapToGrid w:val="0"/>
          <w:color w:val="auto"/>
          <w:sz w:val="21"/>
          <w:szCs w:val="21"/>
          <w:lang w:val="en-US" w:eastAsia="zh-CN" w:bidi="ar-SA"/>
        </w:rPr>
        <w:t>十四 违约</w:t>
      </w:r>
      <w:bookmarkEnd w:id="197"/>
      <w:bookmarkEnd w:id="198"/>
      <w:bookmarkEnd w:id="199"/>
      <w:bookmarkEnd w:id="200"/>
      <w:bookmarkEnd w:id="201"/>
      <w:bookmarkEnd w:id="202"/>
      <w:bookmarkEnd w:id="203"/>
      <w:bookmarkEnd w:id="204"/>
    </w:p>
    <w:p w14:paraId="7818200E">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205" w:name="_Toc16633"/>
      <w:bookmarkStart w:id="206" w:name="_Ref4534411"/>
      <w:bookmarkStart w:id="207" w:name="_Ref4534376"/>
      <w:bookmarkStart w:id="208" w:name="_Toc54862300"/>
      <w:bookmarkStart w:id="209" w:name="_Ref4534399"/>
      <w:bookmarkStart w:id="210" w:name="_Ref4534384"/>
      <w:r>
        <w:rPr>
          <w:rFonts w:hint="eastAsia" w:ascii="宋体" w:hAnsi="宋体" w:eastAsia="宋体" w:cs="宋体"/>
          <w:b w:val="0"/>
          <w:bCs/>
          <w:color w:val="auto"/>
          <w:kern w:val="2"/>
          <w:sz w:val="21"/>
          <w:szCs w:val="21"/>
          <w:lang w:val="en-US" w:eastAsia="zh-CN" w:bidi="ar-SA"/>
        </w:rPr>
        <w:t>14.1 发包人违约</w:t>
      </w:r>
      <w:bookmarkEnd w:id="205"/>
      <w:bookmarkEnd w:id="206"/>
      <w:bookmarkEnd w:id="207"/>
      <w:bookmarkEnd w:id="208"/>
      <w:bookmarkEnd w:id="209"/>
      <w:bookmarkEnd w:id="210"/>
    </w:p>
    <w:p w14:paraId="19FCE7F3">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bookmarkStart w:id="211" w:name="_Ref3841087"/>
      <w:r>
        <w:rPr>
          <w:rFonts w:hint="eastAsia" w:ascii="宋体" w:hAnsi="宋体" w:eastAsia="宋体" w:cs="宋体"/>
          <w:color w:val="auto"/>
          <w:kern w:val="2"/>
          <w:sz w:val="21"/>
          <w:szCs w:val="21"/>
          <w:lang w:val="en-US" w:eastAsia="zh-CN" w:bidi="ar-SA"/>
        </w:rPr>
        <w:t>14.1.1 发包人违约的情形</w:t>
      </w:r>
      <w:bookmarkEnd w:id="211"/>
    </w:p>
    <w:p w14:paraId="4F4CA184">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除专用合同条件另有约定外，在合同履行过程中发生的下列情形，属于发包人违约：</w:t>
      </w:r>
    </w:p>
    <w:p w14:paraId="38CF35A7">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 xml:space="preserve">（1） 因发包人原因导致开始工作日期延误的； </w:t>
      </w:r>
    </w:p>
    <w:p w14:paraId="4FDEEF8D">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（2） 因发包人原因未能按合同约定支付合同价款的；</w:t>
      </w:r>
    </w:p>
    <w:p w14:paraId="0487E0B4">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（3） 因发包人违反合同约定造成工程暂停施工的；</w:t>
      </w:r>
    </w:p>
    <w:p w14:paraId="013375BE">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（4） 工程师无正当理由没有在约定期限内发出复工指示，导致承包人无法复工的；</w:t>
      </w:r>
    </w:p>
    <w:p w14:paraId="02070819">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（5） 发包人明确表示或者以其行为表明不履行合同主要义务的；</w:t>
      </w:r>
    </w:p>
    <w:p w14:paraId="3060DBF6">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（6） 发包人未能按照合同约定履行其他义务的。</w:t>
      </w:r>
    </w:p>
    <w:p w14:paraId="3D79D099">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212" w:name="_Toc54862301"/>
      <w:bookmarkStart w:id="213" w:name="_Ref11958660"/>
      <w:bookmarkStart w:id="214" w:name="_Ref11958663"/>
      <w:bookmarkStart w:id="215" w:name="_Toc27814"/>
      <w:r>
        <w:rPr>
          <w:rFonts w:hint="eastAsia" w:ascii="宋体" w:hAnsi="宋体" w:eastAsia="宋体" w:cs="宋体"/>
          <w:b w:val="0"/>
          <w:bCs/>
          <w:color w:val="auto"/>
          <w:kern w:val="2"/>
          <w:sz w:val="21"/>
          <w:szCs w:val="21"/>
          <w:lang w:val="en-US" w:eastAsia="zh-CN" w:bidi="ar-SA"/>
        </w:rPr>
        <w:t>14.2 承包人违约</w:t>
      </w:r>
      <w:bookmarkEnd w:id="212"/>
      <w:bookmarkEnd w:id="213"/>
      <w:bookmarkEnd w:id="214"/>
      <w:bookmarkEnd w:id="215"/>
    </w:p>
    <w:p w14:paraId="468BDC1F">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bookmarkStart w:id="216" w:name="_Ref3841153"/>
      <w:r>
        <w:rPr>
          <w:rFonts w:hint="eastAsia" w:ascii="宋体" w:hAnsi="宋体" w:eastAsia="宋体" w:cs="宋体"/>
          <w:color w:val="auto"/>
          <w:kern w:val="2"/>
          <w:sz w:val="21"/>
          <w:szCs w:val="21"/>
          <w:lang w:val="en-US" w:eastAsia="zh-CN" w:bidi="ar-SA"/>
        </w:rPr>
        <w:t>14.2.1 承包人违约的情形</w:t>
      </w:r>
      <w:bookmarkEnd w:id="216"/>
    </w:p>
    <w:p w14:paraId="36BE2FE6">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在履行合同过程中发生的下列情况之一的，属于承包人违约：</w:t>
      </w:r>
    </w:p>
    <w:p w14:paraId="0F740CE0">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（1） 承包人的原因导致的承包人文件、实施和竣工的工程不符合法律法规、工程质量验收标准以及合同约定；</w:t>
      </w:r>
    </w:p>
    <w:p w14:paraId="30286DFB">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（2） 承包人违反合同约定进行转包或违法分包的；</w:t>
      </w:r>
    </w:p>
    <w:p w14:paraId="2DD91806">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（3） 承包人违反约定采购和使用不合格材料或工程设备；</w:t>
      </w:r>
    </w:p>
    <w:p w14:paraId="44646A4D">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（4） 因承包人原因导致工程质量不符合合同要求的；</w:t>
      </w:r>
    </w:p>
    <w:p w14:paraId="55DBBB41">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（5） 承包人未经工程师批准，擅自将已按合同约定进入施工现场的施工设备、临时设施或材料撤离施工现场；</w:t>
      </w:r>
    </w:p>
    <w:p w14:paraId="70630EDD">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（6） 承包人未能按项目进度计划及时完成合同约定的工作，造成工期延误；</w:t>
      </w:r>
    </w:p>
    <w:p w14:paraId="13F096D3">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（7） 由于承包人原因未能通过竣工试验或竣工后试验的；</w:t>
      </w:r>
    </w:p>
    <w:p w14:paraId="239F3A87">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（8） 承包人在缺陷责任期及保修期内，未能在合理期限对工程缺陷进行修复，或拒绝按发包人指示进行修复的；</w:t>
      </w:r>
    </w:p>
    <w:p w14:paraId="2E7E707C">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（9） 承包人明确表示或者以其行为表明不履行合同主要义务的；</w:t>
      </w:r>
    </w:p>
    <w:p w14:paraId="66071483">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（10） 承包人未能按照合同约定履行其他义务的。</w:t>
      </w:r>
    </w:p>
    <w:p w14:paraId="08FA3610">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b w:val="0"/>
          <w:bCs w:val="0"/>
          <w:snapToGrid w:val="0"/>
          <w:color w:val="auto"/>
          <w:kern w:val="0"/>
          <w:sz w:val="21"/>
          <w:szCs w:val="21"/>
          <w:lang w:eastAsia="zh-CN"/>
        </w:rPr>
      </w:pPr>
      <w:bookmarkStart w:id="217" w:name="_Toc54862303"/>
      <w:bookmarkStart w:id="218" w:name="_Ref4510572"/>
      <w:bookmarkStart w:id="219" w:name="_Ref3840457"/>
      <w:bookmarkStart w:id="220" w:name="_Ref532142069"/>
      <w:r>
        <w:rPr>
          <w:rFonts w:hint="eastAsia" w:ascii="宋体" w:hAnsi="宋体" w:eastAsia="宋体" w:cs="宋体"/>
          <w:b w:val="0"/>
          <w:bCs w:val="0"/>
          <w:snapToGrid w:val="0"/>
          <w:color w:val="auto"/>
          <w:kern w:val="0"/>
          <w:sz w:val="21"/>
          <w:szCs w:val="21"/>
          <w:lang w:eastAsia="zh-CN"/>
        </w:rPr>
        <w:t xml:space="preserve">十五 </w:t>
      </w:r>
      <w:bookmarkEnd w:id="217"/>
      <w:bookmarkEnd w:id="218"/>
      <w:bookmarkStart w:id="221" w:name="_Ref3840605"/>
      <w:bookmarkStart w:id="222" w:name="_Toc54862314"/>
      <w:bookmarkStart w:id="223" w:name="_Ref11848264"/>
      <w:bookmarkStart w:id="224" w:name="_Ref11848274"/>
      <w:r>
        <w:rPr>
          <w:rFonts w:hint="eastAsia" w:ascii="宋体" w:hAnsi="宋体" w:eastAsia="宋体" w:cs="宋体"/>
          <w:b w:val="0"/>
          <w:bCs w:val="0"/>
          <w:snapToGrid w:val="0"/>
          <w:color w:val="auto"/>
          <w:kern w:val="0"/>
          <w:sz w:val="21"/>
          <w:szCs w:val="21"/>
          <w:lang w:eastAsia="zh-CN"/>
        </w:rPr>
        <w:t xml:space="preserve"> 保险</w:t>
      </w:r>
      <w:bookmarkEnd w:id="221"/>
      <w:bookmarkEnd w:id="222"/>
      <w:bookmarkEnd w:id="223"/>
      <w:bookmarkEnd w:id="224"/>
      <w:r>
        <w:rPr>
          <w:rFonts w:hint="eastAsia" w:ascii="宋体" w:hAnsi="宋体" w:eastAsia="宋体" w:cs="宋体"/>
          <w:b w:val="0"/>
          <w:bCs w:val="0"/>
          <w:snapToGrid w:val="0"/>
          <w:color w:val="auto"/>
          <w:kern w:val="0"/>
          <w:sz w:val="21"/>
          <w:szCs w:val="21"/>
          <w:lang w:eastAsia="zh-CN"/>
        </w:rPr>
        <w:t xml:space="preserve"> </w:t>
      </w:r>
    </w:p>
    <w:p w14:paraId="3851E4F2">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225" w:name="_Toc54862316"/>
      <w:bookmarkStart w:id="226" w:name="_Ref3840683"/>
      <w:bookmarkStart w:id="227" w:name="_Toc351203616"/>
      <w:r>
        <w:rPr>
          <w:rFonts w:hint="eastAsia" w:ascii="宋体" w:hAnsi="宋体" w:eastAsia="宋体" w:cs="宋体"/>
          <w:b w:val="0"/>
          <w:bCs/>
          <w:color w:val="auto"/>
          <w:kern w:val="2"/>
          <w:sz w:val="21"/>
          <w:szCs w:val="21"/>
          <w:lang w:val="en-US" w:eastAsia="zh-CN" w:bidi="ar-SA"/>
        </w:rPr>
        <w:t xml:space="preserve"> </w:t>
      </w:r>
      <w:bookmarkStart w:id="228" w:name="_Toc28685"/>
      <w:r>
        <w:rPr>
          <w:rFonts w:hint="eastAsia" w:ascii="宋体" w:hAnsi="宋体" w:eastAsia="宋体" w:cs="宋体"/>
          <w:b w:val="0"/>
          <w:bCs/>
          <w:color w:val="auto"/>
          <w:kern w:val="2"/>
          <w:sz w:val="21"/>
          <w:szCs w:val="21"/>
          <w:lang w:val="en-US" w:eastAsia="zh-CN" w:bidi="ar-SA"/>
        </w:rPr>
        <w:t>15.1 工伤和意外伤害保险</w:t>
      </w:r>
      <w:bookmarkEnd w:id="225"/>
      <w:bookmarkEnd w:id="226"/>
      <w:bookmarkEnd w:id="228"/>
    </w:p>
    <w:p w14:paraId="0BC432E9">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承包人应依照法律规定为其履行合同雇用的全部人员办理工伤保险，缴纳工伤保险费，并要求分包人及由承包人为履行合同聘请的第三方雇用的全部人员依法办理工伤保险。</w:t>
      </w:r>
    </w:p>
    <w:p w14:paraId="31F05938">
      <w:pPr>
        <w:numPr>
          <w:ilvl w:val="0"/>
          <w:numId w:val="0"/>
        </w:numPr>
        <w:tabs>
          <w:tab w:val="left" w:pos="851"/>
        </w:tabs>
        <w:adjustRightInd w:val="0"/>
        <w:snapToGrid w:val="0"/>
        <w:spacing w:after="120" w:afterLines="50" w:line="560" w:lineRule="exact"/>
        <w:ind w:firstLine="420" w:firstLineChars="200"/>
        <w:jc w:val="both"/>
        <w:outlineLvl w:val="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发包人和承包人可以为其施工现场的全部人员办理意外伤害保险并支付保险费，包括其员工及为履行合同聘请的第三方的人员。</w:t>
      </w:r>
    </w:p>
    <w:bookmarkEnd w:id="219"/>
    <w:bookmarkEnd w:id="220"/>
    <w:bookmarkEnd w:id="227"/>
    <w:p w14:paraId="71CBCB9F">
      <w:pPr>
        <w:keepNext w:val="0"/>
        <w:keepLines w:val="0"/>
        <w:numPr>
          <w:ilvl w:val="0"/>
          <w:numId w:val="0"/>
        </w:numPr>
        <w:tabs>
          <w:tab w:val="left" w:pos="993"/>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229" w:name="_Ref532197861"/>
      <w:bookmarkStart w:id="230" w:name="_Ref532142075"/>
      <w:bookmarkStart w:id="231" w:name="_Toc26111"/>
      <w:bookmarkStart w:id="232" w:name="_Toc54862325"/>
      <w:r>
        <w:rPr>
          <w:rFonts w:hint="eastAsia" w:ascii="宋体" w:hAnsi="宋体" w:eastAsia="宋体" w:cs="宋体"/>
          <w:b w:val="0"/>
          <w:bCs/>
          <w:snapToGrid w:val="0"/>
          <w:color w:val="auto"/>
          <w:sz w:val="21"/>
          <w:szCs w:val="21"/>
          <w:lang w:val="en-US" w:eastAsia="zh-CN" w:bidi="ar-SA"/>
        </w:rPr>
        <w:t>十六 争议解决</w:t>
      </w:r>
      <w:bookmarkEnd w:id="229"/>
      <w:bookmarkEnd w:id="230"/>
      <w:bookmarkEnd w:id="231"/>
      <w:bookmarkEnd w:id="232"/>
      <w:r>
        <w:rPr>
          <w:rFonts w:hint="eastAsia" w:ascii="宋体" w:hAnsi="宋体" w:eastAsia="宋体" w:cs="宋体"/>
          <w:b w:val="0"/>
          <w:bCs/>
          <w:snapToGrid w:val="0"/>
          <w:color w:val="auto"/>
          <w:sz w:val="21"/>
          <w:szCs w:val="21"/>
          <w:lang w:val="en-US" w:eastAsia="zh-CN" w:bidi="ar-SA"/>
        </w:rPr>
        <w:t xml:space="preserve"> </w:t>
      </w:r>
    </w:p>
    <w:p w14:paraId="088B05CE">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233" w:name="_Toc54862326"/>
      <w:bookmarkStart w:id="234" w:name="_Toc2408"/>
      <w:bookmarkStart w:id="235" w:name="_Ref415507198"/>
      <w:r>
        <w:rPr>
          <w:rFonts w:hint="eastAsia" w:ascii="宋体" w:hAnsi="宋体" w:eastAsia="宋体" w:cs="宋体"/>
          <w:b w:val="0"/>
          <w:bCs/>
          <w:color w:val="auto"/>
          <w:kern w:val="2"/>
          <w:sz w:val="21"/>
          <w:szCs w:val="21"/>
          <w:lang w:val="en-US" w:eastAsia="zh-CN" w:bidi="ar-SA"/>
        </w:rPr>
        <w:t>16.1 和解</w:t>
      </w:r>
      <w:bookmarkEnd w:id="233"/>
      <w:bookmarkEnd w:id="234"/>
      <w:bookmarkEnd w:id="235"/>
    </w:p>
    <w:p w14:paraId="31542E7A">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合同当事人可以就争议自行和解，自行和解达成协议的经双方签字并盖章后作为合同补充文件，双方均应遵照执行。</w:t>
      </w:r>
    </w:p>
    <w:p w14:paraId="3A52A7B1">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236" w:name="_Toc15968"/>
      <w:bookmarkStart w:id="237" w:name="_Toc54862327"/>
      <w:r>
        <w:rPr>
          <w:rFonts w:hint="eastAsia" w:ascii="宋体" w:hAnsi="宋体" w:eastAsia="宋体" w:cs="宋体"/>
          <w:b w:val="0"/>
          <w:bCs/>
          <w:color w:val="auto"/>
          <w:kern w:val="2"/>
          <w:sz w:val="21"/>
          <w:szCs w:val="21"/>
          <w:lang w:val="en-US" w:eastAsia="zh-CN" w:bidi="ar-SA"/>
        </w:rPr>
        <w:t>16.2 调解</w:t>
      </w:r>
      <w:bookmarkEnd w:id="236"/>
      <w:bookmarkEnd w:id="237"/>
      <w:r>
        <w:rPr>
          <w:rFonts w:hint="eastAsia" w:ascii="宋体" w:hAnsi="宋体" w:eastAsia="宋体" w:cs="宋体"/>
          <w:b w:val="0"/>
          <w:bCs/>
          <w:color w:val="auto"/>
          <w:kern w:val="2"/>
          <w:sz w:val="21"/>
          <w:szCs w:val="21"/>
          <w:lang w:val="en-US" w:eastAsia="zh-CN" w:bidi="ar-SA"/>
        </w:rPr>
        <w:t xml:space="preserve"> </w:t>
      </w:r>
    </w:p>
    <w:p w14:paraId="7F0C8C13">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合同当事人可以就争议请求建设行政主管部门、行业协会或其他第三方进行调解，调解达成协议的，经双方签字盖章后作为合同补充文件，双方均应遵照执行。</w:t>
      </w:r>
    </w:p>
    <w:p w14:paraId="7C4B0E0F">
      <w:pPr>
        <w:widowControl/>
        <w:numPr>
          <w:ilvl w:val="0"/>
          <w:numId w:val="0"/>
        </w:numPr>
        <w:tabs>
          <w:tab w:val="left" w:pos="851"/>
        </w:tabs>
        <w:adjustRightInd w:val="0"/>
        <w:snapToGrid w:val="0"/>
        <w:spacing w:after="120" w:afterLines="50" w:line="560" w:lineRule="exact"/>
        <w:ind w:firstLine="420" w:firstLineChars="200"/>
        <w:jc w:val="both"/>
        <w:outlineLvl w:val="2"/>
        <w:rPr>
          <w:rFonts w:hint="eastAsia" w:ascii="宋体" w:hAnsi="宋体" w:eastAsia="宋体" w:cs="宋体"/>
          <w:b w:val="0"/>
          <w:bCs/>
          <w:color w:val="auto"/>
          <w:kern w:val="2"/>
          <w:sz w:val="21"/>
          <w:szCs w:val="21"/>
          <w:lang w:val="en-US" w:eastAsia="zh-CN" w:bidi="ar-SA"/>
        </w:rPr>
      </w:pPr>
      <w:bookmarkStart w:id="238" w:name="_Toc54862329"/>
      <w:bookmarkStart w:id="239" w:name="_Toc29968"/>
      <w:bookmarkStart w:id="240" w:name="_Ref532221748"/>
      <w:bookmarkStart w:id="241" w:name="_Ref532221752"/>
      <w:r>
        <w:rPr>
          <w:rFonts w:hint="eastAsia" w:ascii="宋体" w:hAnsi="宋体" w:eastAsia="宋体" w:cs="宋体"/>
          <w:b w:val="0"/>
          <w:bCs/>
          <w:color w:val="auto"/>
          <w:kern w:val="2"/>
          <w:sz w:val="21"/>
          <w:szCs w:val="21"/>
          <w:lang w:val="en-US" w:eastAsia="zh-CN" w:bidi="ar-SA"/>
        </w:rPr>
        <w:t>16.3仲裁或诉讼</w:t>
      </w:r>
      <w:bookmarkEnd w:id="238"/>
      <w:bookmarkEnd w:id="239"/>
      <w:bookmarkEnd w:id="240"/>
      <w:bookmarkEnd w:id="241"/>
    </w:p>
    <w:p w14:paraId="17675742">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因合同及合同有关事项产生的争议，约定以下一种方式解决争议：</w:t>
      </w:r>
    </w:p>
    <w:p w14:paraId="7EB6D632">
      <w:pPr>
        <w:numPr>
          <w:ilvl w:val="0"/>
          <w:numId w:val="0"/>
        </w:numPr>
        <w:tabs>
          <w:tab w:val="left" w:pos="993"/>
        </w:tabs>
        <w:kinsoku w:val="0"/>
        <w:autoSpaceDE/>
        <w:autoSpaceDN/>
        <w:adjustRightInd w:val="0"/>
        <w:snapToGrid w:val="0"/>
        <w:spacing w:line="560" w:lineRule="exact"/>
        <w:ind w:firstLine="420" w:firstLineChars="200"/>
        <w:textAlignment w:val="auto"/>
        <w:rPr>
          <w:rFonts w:hint="eastAsia"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（1） 向约定的仲裁委员会申请仲裁；</w:t>
      </w:r>
    </w:p>
    <w:p w14:paraId="05755CB7">
      <w:pPr>
        <w:numPr>
          <w:ilvl w:val="0"/>
          <w:numId w:val="0"/>
        </w:numPr>
        <w:tabs>
          <w:tab w:val="left" w:pos="993"/>
        </w:tabs>
        <w:kinsoku w:val="0"/>
        <w:autoSpaceDE/>
        <w:autoSpaceDN/>
        <w:adjustRightInd w:val="0"/>
        <w:snapToGrid w:val="0"/>
        <w:spacing w:line="560" w:lineRule="exact"/>
        <w:ind w:firstLine="420" w:firstLineChars="200"/>
        <w:textAlignment w:val="auto"/>
        <w:rPr>
          <w:rFonts w:hint="eastAsia"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（2） 向有管辖权的人民法院起诉。</w:t>
      </w:r>
    </w:p>
    <w:p w14:paraId="4173F39A">
      <w:pPr>
        <w:keepNext w:val="0"/>
        <w:keepLines w:val="0"/>
        <w:numPr>
          <w:ilvl w:val="0"/>
          <w:numId w:val="0"/>
        </w:numPr>
        <w:tabs>
          <w:tab w:val="left" w:pos="567"/>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242" w:name="_Toc4784272"/>
      <w:bookmarkEnd w:id="242"/>
      <w:bookmarkStart w:id="243" w:name="_Toc4784273"/>
      <w:bookmarkEnd w:id="243"/>
      <w:bookmarkStart w:id="244" w:name="_Toc30378"/>
      <w:bookmarkStart w:id="245" w:name="_Toc54862172"/>
      <w:r>
        <w:rPr>
          <w:rFonts w:hint="eastAsia" w:ascii="宋体" w:hAnsi="宋体" w:eastAsia="宋体" w:cs="宋体"/>
          <w:b w:val="0"/>
          <w:bCs/>
          <w:snapToGrid w:val="0"/>
          <w:color w:val="auto"/>
          <w:sz w:val="21"/>
          <w:szCs w:val="21"/>
          <w:lang w:val="en-US" w:eastAsia="zh-CN" w:bidi="ar-SA"/>
        </w:rPr>
        <w:t>十七、订立时间</w:t>
      </w:r>
      <w:bookmarkEnd w:id="244"/>
      <w:bookmarkEnd w:id="245"/>
    </w:p>
    <w:p w14:paraId="1E3E1ABD">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bookmarkStart w:id="246" w:name="_Toc54862173"/>
      <w:r>
        <w:rPr>
          <w:rFonts w:hint="eastAsia" w:ascii="宋体" w:hAnsi="宋体" w:eastAsia="宋体" w:cs="宋体"/>
          <w:snapToGrid w:val="0"/>
          <w:color w:val="auto"/>
          <w:kern w:val="0"/>
          <w:sz w:val="21"/>
          <w:szCs w:val="21"/>
          <w:lang w:eastAsia="zh-CN"/>
        </w:rPr>
        <w:t>18.1 本合同于</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年</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月</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日订立。</w:t>
      </w:r>
    </w:p>
    <w:p w14:paraId="2E68C6F0">
      <w:pPr>
        <w:keepNext w:val="0"/>
        <w:keepLines w:val="0"/>
        <w:numPr>
          <w:ilvl w:val="0"/>
          <w:numId w:val="0"/>
        </w:numPr>
        <w:tabs>
          <w:tab w:val="left" w:pos="567"/>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247" w:name="_Toc19852"/>
      <w:r>
        <w:rPr>
          <w:rFonts w:hint="eastAsia" w:ascii="宋体" w:hAnsi="宋体" w:eastAsia="宋体" w:cs="宋体"/>
          <w:b w:val="0"/>
          <w:bCs/>
          <w:snapToGrid w:val="0"/>
          <w:color w:val="auto"/>
          <w:sz w:val="21"/>
          <w:szCs w:val="21"/>
          <w:lang w:val="en-US" w:eastAsia="zh-CN" w:bidi="ar-SA"/>
        </w:rPr>
        <w:t>十八、订立地点</w:t>
      </w:r>
      <w:bookmarkEnd w:id="246"/>
      <w:bookmarkEnd w:id="247"/>
    </w:p>
    <w:p w14:paraId="26002806">
      <w:pPr>
        <w:widowControl/>
        <w:kinsoku/>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bookmarkStart w:id="248" w:name="_Toc54862174"/>
      <w:r>
        <w:rPr>
          <w:rFonts w:hint="eastAsia" w:ascii="宋体" w:hAnsi="宋体" w:eastAsia="宋体" w:cs="宋体"/>
          <w:snapToGrid w:val="0"/>
          <w:color w:val="auto"/>
          <w:kern w:val="0"/>
          <w:sz w:val="21"/>
          <w:szCs w:val="21"/>
          <w:lang w:eastAsia="zh-CN"/>
        </w:rPr>
        <w:t>19.1 本合同在</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海口江东新区管理局</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lang w:eastAsia="zh-CN"/>
        </w:rPr>
        <w:t>订立。</w:t>
      </w:r>
    </w:p>
    <w:p w14:paraId="7B61C183">
      <w:pPr>
        <w:keepNext w:val="0"/>
        <w:keepLines w:val="0"/>
        <w:numPr>
          <w:ilvl w:val="0"/>
          <w:numId w:val="0"/>
        </w:numPr>
        <w:tabs>
          <w:tab w:val="left" w:pos="567"/>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249" w:name="_Toc4044"/>
      <w:r>
        <w:rPr>
          <w:rFonts w:hint="eastAsia" w:ascii="宋体" w:hAnsi="宋体" w:eastAsia="宋体" w:cs="宋体"/>
          <w:b w:val="0"/>
          <w:bCs/>
          <w:snapToGrid w:val="0"/>
          <w:color w:val="auto"/>
          <w:sz w:val="21"/>
          <w:szCs w:val="21"/>
          <w:lang w:val="en-US" w:eastAsia="zh-CN" w:bidi="ar-SA"/>
        </w:rPr>
        <w:t>十九、合同生效</w:t>
      </w:r>
      <w:bookmarkEnd w:id="248"/>
      <w:bookmarkEnd w:id="249"/>
    </w:p>
    <w:p w14:paraId="779214E2">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本合同经双方签字或盖章后成立，并自</w:t>
      </w:r>
      <w:r>
        <w:rPr>
          <w:rFonts w:hint="eastAsia" w:ascii="宋体" w:hAnsi="宋体" w:eastAsia="宋体" w:cs="宋体"/>
          <w:snapToGrid w:val="0"/>
          <w:color w:val="auto"/>
          <w:kern w:val="0"/>
          <w:sz w:val="21"/>
          <w:szCs w:val="21"/>
          <w:u w:val="single"/>
          <w:lang w:eastAsia="zh-CN"/>
        </w:rPr>
        <w:t xml:space="preserve"> </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lang w:eastAsia="zh-CN"/>
        </w:rPr>
        <w:t>生效。</w:t>
      </w:r>
    </w:p>
    <w:p w14:paraId="3839CA6D">
      <w:pPr>
        <w:keepNext w:val="0"/>
        <w:keepLines w:val="0"/>
        <w:numPr>
          <w:ilvl w:val="0"/>
          <w:numId w:val="0"/>
        </w:numPr>
        <w:tabs>
          <w:tab w:val="left" w:pos="567"/>
        </w:tabs>
        <w:kinsoku w:val="0"/>
        <w:autoSpaceDE/>
        <w:autoSpaceDN/>
        <w:adjustRightInd w:val="0"/>
        <w:snapToGrid w:val="0"/>
        <w:spacing w:line="560" w:lineRule="exact"/>
        <w:ind w:firstLine="420" w:firstLineChars="200"/>
        <w:textAlignment w:val="auto"/>
        <w:outlineLvl w:val="1"/>
        <w:rPr>
          <w:rFonts w:hint="eastAsia" w:ascii="宋体" w:hAnsi="宋体" w:eastAsia="宋体" w:cs="宋体"/>
          <w:b w:val="0"/>
          <w:bCs/>
          <w:snapToGrid w:val="0"/>
          <w:color w:val="auto"/>
          <w:sz w:val="21"/>
          <w:szCs w:val="21"/>
          <w:lang w:val="en-US" w:eastAsia="zh-CN" w:bidi="ar-SA"/>
        </w:rPr>
      </w:pPr>
      <w:bookmarkStart w:id="250" w:name="_Toc9862"/>
      <w:bookmarkStart w:id="251" w:name="_Toc54862175"/>
      <w:r>
        <w:rPr>
          <w:rFonts w:hint="eastAsia" w:ascii="宋体" w:hAnsi="宋体" w:eastAsia="宋体" w:cs="宋体"/>
          <w:b w:val="0"/>
          <w:bCs/>
          <w:snapToGrid w:val="0"/>
          <w:color w:val="auto"/>
          <w:sz w:val="21"/>
          <w:szCs w:val="21"/>
          <w:lang w:val="en-US" w:eastAsia="zh-CN" w:bidi="ar-SA"/>
        </w:rPr>
        <w:t>二十一、合同份数</w:t>
      </w:r>
      <w:bookmarkEnd w:id="250"/>
      <w:bookmarkEnd w:id="251"/>
    </w:p>
    <w:p w14:paraId="6ADB695A">
      <w:pPr>
        <w:widowControl/>
        <w:kinsoku w:val="0"/>
        <w:autoSpaceDE/>
        <w:autoSpaceDN/>
        <w:adjustRightInd w:val="0"/>
        <w:snapToGrid w:val="0"/>
        <w:spacing w:line="560" w:lineRule="exact"/>
        <w:ind w:firstLine="420" w:firstLineChars="200"/>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本合同一式</w:t>
      </w:r>
      <w:r>
        <w:rPr>
          <w:rFonts w:hint="eastAsia" w:ascii="宋体" w:hAnsi="宋体" w:eastAsia="宋体" w:cs="宋体"/>
          <w:snapToGrid w:val="0"/>
          <w:color w:val="auto"/>
          <w:kern w:val="0"/>
          <w:sz w:val="21"/>
          <w:szCs w:val="21"/>
          <w:u w:val="single"/>
          <w:lang w:eastAsia="zh-CN"/>
        </w:rPr>
        <w:t xml:space="preserve"> 4 </w:t>
      </w:r>
      <w:r>
        <w:rPr>
          <w:rFonts w:hint="eastAsia" w:ascii="宋体" w:hAnsi="宋体" w:eastAsia="宋体" w:cs="宋体"/>
          <w:snapToGrid w:val="0"/>
          <w:color w:val="auto"/>
          <w:kern w:val="0"/>
          <w:sz w:val="21"/>
          <w:szCs w:val="21"/>
          <w:lang w:eastAsia="zh-CN"/>
        </w:rPr>
        <w:t>份，均具有同等法律效力，发包人执</w:t>
      </w:r>
      <w:r>
        <w:rPr>
          <w:rFonts w:hint="eastAsia" w:ascii="宋体" w:hAnsi="宋体" w:eastAsia="宋体" w:cs="宋体"/>
          <w:snapToGrid w:val="0"/>
          <w:color w:val="auto"/>
          <w:kern w:val="0"/>
          <w:sz w:val="21"/>
          <w:szCs w:val="21"/>
          <w:u w:val="single"/>
          <w:lang w:eastAsia="zh-CN"/>
        </w:rPr>
        <w:t xml:space="preserve"> 2 </w:t>
      </w:r>
      <w:r>
        <w:rPr>
          <w:rFonts w:hint="eastAsia" w:ascii="宋体" w:hAnsi="宋体" w:eastAsia="宋体" w:cs="宋体"/>
          <w:snapToGrid w:val="0"/>
          <w:color w:val="auto"/>
          <w:kern w:val="0"/>
          <w:sz w:val="21"/>
          <w:szCs w:val="21"/>
          <w:lang w:eastAsia="zh-CN"/>
        </w:rPr>
        <w:t>份，承包人执</w:t>
      </w:r>
      <w:r>
        <w:rPr>
          <w:rFonts w:hint="eastAsia" w:ascii="宋体" w:hAnsi="宋体" w:eastAsia="宋体" w:cs="宋体"/>
          <w:snapToGrid w:val="0"/>
          <w:color w:val="auto"/>
          <w:kern w:val="0"/>
          <w:sz w:val="21"/>
          <w:szCs w:val="21"/>
          <w:u w:val="single"/>
          <w:lang w:eastAsia="zh-CN"/>
        </w:rPr>
        <w:t xml:space="preserve"> 2 </w:t>
      </w:r>
      <w:r>
        <w:rPr>
          <w:rFonts w:hint="eastAsia" w:ascii="宋体" w:hAnsi="宋体" w:eastAsia="宋体" w:cs="宋体"/>
          <w:snapToGrid w:val="0"/>
          <w:color w:val="auto"/>
          <w:kern w:val="0"/>
          <w:sz w:val="21"/>
          <w:szCs w:val="21"/>
          <w:lang w:eastAsia="zh-CN"/>
        </w:rPr>
        <w:t>份。</w:t>
      </w:r>
    </w:p>
    <w:p w14:paraId="0B9B34DB">
      <w:pPr>
        <w:kinsoku w:val="0"/>
        <w:autoSpaceDE w:val="0"/>
        <w:autoSpaceDN w:val="0"/>
        <w:adjustRightInd w:val="0"/>
        <w:snapToGrid w:val="0"/>
        <w:jc w:val="left"/>
        <w:textAlignment w:val="baseline"/>
        <w:rPr>
          <w:rFonts w:hint="eastAsia" w:ascii="宋体" w:hAnsi="宋体" w:eastAsia="宋体" w:cs="宋体"/>
          <w:snapToGrid w:val="0"/>
          <w:color w:val="auto"/>
          <w:sz w:val="21"/>
          <w:szCs w:val="21"/>
          <w:lang w:val="en-US" w:eastAsia="zh-CN" w:bidi="ar-SA"/>
        </w:rPr>
      </w:pPr>
    </w:p>
    <w:tbl>
      <w:tblPr>
        <w:tblStyle w:val="17"/>
        <w:tblpPr w:leftFromText="180" w:rightFromText="180" w:vertAnchor="text" w:horzAnchor="page" w:tblpX="1702" w:tblpY="119"/>
        <w:tblW w:w="9794" w:type="dxa"/>
        <w:tblInd w:w="0" w:type="dxa"/>
        <w:tblLayout w:type="fixed"/>
        <w:tblCellMar>
          <w:top w:w="0" w:type="dxa"/>
          <w:left w:w="108" w:type="dxa"/>
          <w:bottom w:w="0" w:type="dxa"/>
          <w:right w:w="108" w:type="dxa"/>
        </w:tblCellMar>
      </w:tblPr>
      <w:tblGrid>
        <w:gridCol w:w="4743"/>
        <w:gridCol w:w="5051"/>
      </w:tblGrid>
      <w:tr w14:paraId="7AFD4FEE">
        <w:tblPrEx>
          <w:tblCellMar>
            <w:top w:w="0" w:type="dxa"/>
            <w:left w:w="108" w:type="dxa"/>
            <w:bottom w:w="0" w:type="dxa"/>
            <w:right w:w="108" w:type="dxa"/>
          </w:tblCellMar>
        </w:tblPrEx>
        <w:tc>
          <w:tcPr>
            <w:tcW w:w="4743" w:type="dxa"/>
          </w:tcPr>
          <w:p w14:paraId="344C07AB">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发包人：（公章）</w:t>
            </w:r>
          </w:p>
          <w:p w14:paraId="686A86CB">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p>
          <w:p w14:paraId="7FCEB22A">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p>
        </w:tc>
        <w:tc>
          <w:tcPr>
            <w:tcW w:w="5051" w:type="dxa"/>
          </w:tcPr>
          <w:p w14:paraId="78C20CEA">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承包人：（公章）</w:t>
            </w:r>
          </w:p>
          <w:p w14:paraId="618D514F">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p>
          <w:p w14:paraId="5BE4FB0F">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p>
        </w:tc>
      </w:tr>
      <w:tr w14:paraId="375C74CA">
        <w:tblPrEx>
          <w:tblCellMar>
            <w:top w:w="0" w:type="dxa"/>
            <w:left w:w="108" w:type="dxa"/>
            <w:bottom w:w="0" w:type="dxa"/>
            <w:right w:w="108" w:type="dxa"/>
          </w:tblCellMar>
        </w:tblPrEx>
        <w:tc>
          <w:tcPr>
            <w:tcW w:w="4743" w:type="dxa"/>
          </w:tcPr>
          <w:p w14:paraId="45003CD6">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法定代表人或其委托代理人：</w:t>
            </w:r>
          </w:p>
          <w:p w14:paraId="75760651">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（签字）</w:t>
            </w:r>
          </w:p>
          <w:p w14:paraId="6C810764">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p>
        </w:tc>
        <w:tc>
          <w:tcPr>
            <w:tcW w:w="5051" w:type="dxa"/>
          </w:tcPr>
          <w:p w14:paraId="7828C7A4">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法定代表人或其委托代理人：</w:t>
            </w:r>
          </w:p>
          <w:p w14:paraId="1E234BE3">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（签字）</w:t>
            </w:r>
          </w:p>
          <w:p w14:paraId="644FD00A">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p>
        </w:tc>
      </w:tr>
      <w:tr w14:paraId="2724BDD8">
        <w:tblPrEx>
          <w:tblCellMar>
            <w:top w:w="0" w:type="dxa"/>
            <w:left w:w="108" w:type="dxa"/>
            <w:bottom w:w="0" w:type="dxa"/>
            <w:right w:w="108" w:type="dxa"/>
          </w:tblCellMar>
        </w:tblPrEx>
        <w:tc>
          <w:tcPr>
            <w:tcW w:w="4743" w:type="dxa"/>
          </w:tcPr>
          <w:p w14:paraId="18C98BA0">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统一社会信用代码：</w:t>
            </w:r>
            <w:r>
              <w:rPr>
                <w:rFonts w:hint="eastAsia" w:ascii="宋体" w:hAnsi="宋体" w:eastAsia="宋体" w:cs="宋体"/>
                <w:bCs/>
                <w:color w:val="auto"/>
                <w:kern w:val="2"/>
                <w:sz w:val="21"/>
                <w:szCs w:val="21"/>
                <w:u w:val="single"/>
                <w:lang w:val="en-US" w:eastAsia="zh-CN" w:bidi="ar-SA"/>
              </w:rPr>
              <w:t xml:space="preserve">11460100MB1B53104T             </w:t>
            </w:r>
          </w:p>
          <w:p w14:paraId="543B3B10">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地址：</w:t>
            </w:r>
            <w:r>
              <w:rPr>
                <w:rFonts w:hint="eastAsia" w:ascii="宋体" w:hAnsi="宋体" w:eastAsia="宋体" w:cs="宋体"/>
                <w:color w:val="auto"/>
                <w:kern w:val="0"/>
                <w:sz w:val="21"/>
                <w:szCs w:val="21"/>
                <w:u w:val="single"/>
                <w:lang w:val="en-US" w:eastAsia="zh-CN" w:bidi="ar-SA"/>
              </w:rPr>
              <w:t xml:space="preserve"> 海南省海口市美兰区江东大道202号江东发展大厦B区4、5层                      </w:t>
            </w:r>
          </w:p>
          <w:p w14:paraId="789ED482">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邮政编码：</w:t>
            </w:r>
            <w:r>
              <w:rPr>
                <w:rFonts w:hint="eastAsia" w:ascii="宋体" w:hAnsi="宋体" w:eastAsia="宋体" w:cs="宋体"/>
                <w:color w:val="auto"/>
                <w:kern w:val="0"/>
                <w:sz w:val="21"/>
                <w:szCs w:val="21"/>
                <w:u w:val="single"/>
                <w:lang w:val="en-US" w:eastAsia="zh-CN" w:bidi="ar-SA"/>
              </w:rPr>
              <w:t xml:space="preserve">     571127                 </w:t>
            </w:r>
          </w:p>
          <w:p w14:paraId="5AFBC8E0">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电话：</w:t>
            </w:r>
            <w:r>
              <w:rPr>
                <w:rFonts w:hint="eastAsia" w:ascii="宋体" w:hAnsi="宋体" w:eastAsia="宋体" w:cs="宋体"/>
                <w:color w:val="auto"/>
                <w:kern w:val="0"/>
                <w:sz w:val="21"/>
                <w:szCs w:val="21"/>
                <w:u w:val="single"/>
                <w:lang w:val="en-US" w:eastAsia="zh-CN" w:bidi="ar-SA"/>
              </w:rPr>
              <w:t xml:space="preserve">  0898-65686303                     </w:t>
            </w:r>
          </w:p>
          <w:p w14:paraId="369A02BF">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传真： </w:t>
            </w:r>
            <w:r>
              <w:rPr>
                <w:rFonts w:hint="eastAsia" w:ascii="宋体" w:hAnsi="宋体" w:eastAsia="宋体" w:cs="宋体"/>
                <w:color w:val="auto"/>
                <w:kern w:val="0"/>
                <w:sz w:val="21"/>
                <w:szCs w:val="21"/>
                <w:u w:val="single"/>
                <w:lang w:val="en-US" w:eastAsia="zh-CN" w:bidi="ar-SA"/>
              </w:rPr>
              <w:t xml:space="preserve">            /              </w:t>
            </w:r>
          </w:p>
          <w:p w14:paraId="1F021738">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电子信箱：</w:t>
            </w:r>
            <w:r>
              <w:rPr>
                <w:rFonts w:hint="eastAsia" w:ascii="宋体" w:hAnsi="宋体" w:eastAsia="宋体" w:cs="宋体"/>
                <w:color w:val="auto"/>
                <w:kern w:val="0"/>
                <w:sz w:val="21"/>
                <w:szCs w:val="21"/>
                <w:u w:val="single"/>
                <w:lang w:val="en-US" w:eastAsia="zh-CN" w:bidi="ar-SA"/>
              </w:rPr>
              <w:t xml:space="preserve">         /             </w:t>
            </w:r>
          </w:p>
          <w:p w14:paraId="158DFFB3">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开户银行：</w:t>
            </w:r>
            <w:r>
              <w:rPr>
                <w:rFonts w:hint="eastAsia" w:ascii="宋体" w:hAnsi="宋体" w:eastAsia="宋体" w:cs="宋体"/>
                <w:color w:val="auto"/>
                <w:kern w:val="0"/>
                <w:sz w:val="21"/>
                <w:szCs w:val="21"/>
                <w:u w:val="single"/>
                <w:lang w:val="en-US" w:eastAsia="zh-CN" w:bidi="ar-SA"/>
              </w:rPr>
              <w:t xml:space="preserve"> 海口市农村信用合作联社江东新区信用社                   </w:t>
            </w:r>
          </w:p>
          <w:p w14:paraId="76EB9DB5">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账号：</w:t>
            </w:r>
            <w:r>
              <w:rPr>
                <w:rFonts w:hint="eastAsia" w:ascii="宋体" w:hAnsi="宋体" w:eastAsia="宋体" w:cs="宋体"/>
                <w:color w:val="auto"/>
                <w:kern w:val="0"/>
                <w:sz w:val="21"/>
                <w:szCs w:val="21"/>
                <w:u w:val="single"/>
                <w:lang w:val="en-US" w:eastAsia="zh-CN" w:bidi="ar-SA"/>
              </w:rPr>
              <w:t xml:space="preserve"> 1014151133606666                      </w:t>
            </w:r>
          </w:p>
        </w:tc>
        <w:tc>
          <w:tcPr>
            <w:tcW w:w="5051" w:type="dxa"/>
          </w:tcPr>
          <w:p w14:paraId="07F20AB8">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统一社会信用代码：</w:t>
            </w:r>
            <w:r>
              <w:rPr>
                <w:rFonts w:hint="eastAsia" w:ascii="宋体" w:hAnsi="宋体" w:eastAsia="宋体" w:cs="宋体"/>
                <w:bCs/>
                <w:color w:val="auto"/>
                <w:kern w:val="2"/>
                <w:sz w:val="21"/>
                <w:szCs w:val="21"/>
                <w:u w:val="single"/>
                <w:lang w:val="en-US" w:eastAsia="zh-CN" w:bidi="ar-SA"/>
              </w:rPr>
              <w:t xml:space="preserve">   </w:t>
            </w:r>
            <w:r>
              <w:rPr>
                <w:rFonts w:hint="eastAsia" w:ascii="宋体" w:hAnsi="宋体" w:eastAsia="宋体" w:cs="宋体"/>
                <w:color w:val="auto"/>
                <w:kern w:val="0"/>
                <w:sz w:val="21"/>
                <w:szCs w:val="21"/>
                <w:u w:val="single"/>
                <w:lang w:val="en-US" w:eastAsia="zh-CN" w:bidi="ar-SA"/>
              </w:rPr>
              <w:t xml:space="preserve">          </w:t>
            </w:r>
          </w:p>
          <w:p w14:paraId="44A1DA73">
            <w:pPr>
              <w:adjustRightInd w:val="0"/>
              <w:snapToGrid w:val="0"/>
              <w:spacing w:after="50" w:line="360" w:lineRule="auto"/>
              <w:jc w:val="left"/>
              <w:rPr>
                <w:rFonts w:hint="eastAsia" w:ascii="宋体" w:hAnsi="宋体" w:eastAsia="宋体" w:cs="宋体"/>
                <w:color w:val="auto"/>
                <w:kern w:val="0"/>
                <w:sz w:val="21"/>
                <w:szCs w:val="21"/>
                <w:u w:val="single"/>
                <w:lang w:val="en-US" w:eastAsia="zh-CN" w:bidi="ar-SA"/>
              </w:rPr>
            </w:pPr>
            <w:r>
              <w:rPr>
                <w:rFonts w:hint="eastAsia" w:ascii="宋体" w:hAnsi="宋体" w:eastAsia="宋体" w:cs="宋体"/>
                <w:color w:val="auto"/>
                <w:kern w:val="2"/>
                <w:sz w:val="21"/>
                <w:szCs w:val="21"/>
                <w:lang w:val="en-US" w:eastAsia="zh-CN" w:bidi="ar-SA"/>
              </w:rPr>
              <w:t>地址：</w:t>
            </w:r>
            <w:r>
              <w:rPr>
                <w:rFonts w:hint="eastAsia" w:ascii="宋体" w:hAnsi="宋体" w:eastAsia="宋体" w:cs="宋体"/>
                <w:color w:val="auto"/>
                <w:kern w:val="0"/>
                <w:sz w:val="21"/>
                <w:szCs w:val="21"/>
                <w:u w:val="single"/>
                <w:lang w:val="en-US" w:eastAsia="zh-CN" w:bidi="ar-SA"/>
              </w:rPr>
              <w:t xml:space="preserve">                           </w:t>
            </w:r>
          </w:p>
          <w:p w14:paraId="6838A206">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邮政编码：</w:t>
            </w:r>
            <w:r>
              <w:rPr>
                <w:rFonts w:hint="eastAsia" w:ascii="宋体" w:hAnsi="宋体" w:eastAsia="宋体" w:cs="宋体"/>
                <w:color w:val="auto"/>
                <w:kern w:val="0"/>
                <w:sz w:val="21"/>
                <w:szCs w:val="21"/>
                <w:u w:val="single"/>
                <w:lang w:val="en-US" w:eastAsia="zh-CN" w:bidi="ar-SA"/>
              </w:rPr>
              <w:t xml:space="preserve">                       </w:t>
            </w:r>
          </w:p>
          <w:p w14:paraId="329306E4">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电话：</w:t>
            </w:r>
            <w:r>
              <w:rPr>
                <w:rFonts w:hint="eastAsia" w:ascii="宋体" w:hAnsi="宋体" w:eastAsia="宋体" w:cs="宋体"/>
                <w:color w:val="auto"/>
                <w:kern w:val="0"/>
                <w:sz w:val="21"/>
                <w:szCs w:val="21"/>
                <w:u w:val="single"/>
                <w:lang w:val="en-US" w:eastAsia="zh-CN" w:bidi="ar-SA"/>
              </w:rPr>
              <w:t xml:space="preserve">                             </w:t>
            </w:r>
          </w:p>
          <w:p w14:paraId="4285AF33">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传真：</w:t>
            </w:r>
            <w:r>
              <w:rPr>
                <w:rFonts w:hint="eastAsia" w:ascii="宋体" w:hAnsi="宋体" w:eastAsia="宋体" w:cs="宋体"/>
                <w:color w:val="auto"/>
                <w:kern w:val="0"/>
                <w:sz w:val="21"/>
                <w:szCs w:val="21"/>
                <w:u w:val="single"/>
                <w:lang w:val="en-US" w:eastAsia="zh-CN" w:bidi="ar-SA"/>
              </w:rPr>
              <w:t xml:space="preserve">                            </w:t>
            </w:r>
          </w:p>
          <w:p w14:paraId="21BD5C7F">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电子信箱：</w:t>
            </w:r>
            <w:r>
              <w:rPr>
                <w:rFonts w:hint="eastAsia" w:ascii="宋体" w:hAnsi="宋体" w:eastAsia="宋体" w:cs="宋体"/>
                <w:color w:val="auto"/>
                <w:kern w:val="0"/>
                <w:sz w:val="21"/>
                <w:szCs w:val="21"/>
                <w:u w:val="single"/>
                <w:lang w:val="en-US" w:eastAsia="zh-CN" w:bidi="ar-SA"/>
              </w:rPr>
              <w:t xml:space="preserve">                        </w:t>
            </w:r>
          </w:p>
          <w:p w14:paraId="3088F62B">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开户银行：</w:t>
            </w:r>
            <w:r>
              <w:rPr>
                <w:rFonts w:hint="eastAsia" w:ascii="宋体" w:hAnsi="宋体" w:eastAsia="宋体" w:cs="宋体"/>
                <w:color w:val="auto"/>
                <w:kern w:val="0"/>
                <w:sz w:val="21"/>
                <w:szCs w:val="21"/>
                <w:u w:val="single"/>
                <w:lang w:val="en-US" w:eastAsia="zh-CN" w:bidi="ar-SA"/>
              </w:rPr>
              <w:t xml:space="preserve">                                       </w:t>
            </w:r>
          </w:p>
          <w:p w14:paraId="3B71F63D">
            <w:pPr>
              <w:adjustRightInd w:val="0"/>
              <w:snapToGrid w:val="0"/>
              <w:spacing w:after="50"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账号：</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0"/>
                <w:sz w:val="21"/>
                <w:szCs w:val="21"/>
                <w:u w:val="single"/>
                <w:lang w:val="en-US" w:eastAsia="zh-CN" w:bidi="ar-SA"/>
              </w:rPr>
              <w:t xml:space="preserve">        </w:t>
            </w:r>
            <w:r>
              <w:rPr>
                <w:rFonts w:hint="eastAsia" w:ascii="宋体" w:hAnsi="宋体" w:eastAsia="宋体" w:cs="宋体"/>
                <w:color w:val="auto"/>
                <w:kern w:val="2"/>
                <w:sz w:val="21"/>
                <w:szCs w:val="21"/>
                <w:u w:val="single"/>
                <w:lang w:val="en-US" w:eastAsia="zh-CN" w:bidi="ar-SA"/>
              </w:rPr>
              <w:t xml:space="preserve">                  </w:t>
            </w:r>
          </w:p>
        </w:tc>
      </w:tr>
    </w:tbl>
    <w:p w14:paraId="68BAF52C">
      <w:pPr>
        <w:widowControl/>
        <w:kinsoku w:val="0"/>
        <w:autoSpaceDE w:val="0"/>
        <w:autoSpaceDN w:val="0"/>
        <w:adjustRightInd w:val="0"/>
        <w:snapToGrid w:val="0"/>
        <w:spacing w:line="560" w:lineRule="exact"/>
        <w:jc w:val="left"/>
        <w:textAlignment w:val="baseline"/>
        <w:rPr>
          <w:rFonts w:hint="eastAsia" w:ascii="宋体" w:hAnsi="宋体" w:eastAsia="宋体" w:cs="宋体"/>
          <w:snapToGrid w:val="0"/>
          <w:color w:val="auto"/>
          <w:kern w:val="0"/>
          <w:sz w:val="21"/>
          <w:szCs w:val="21"/>
          <w:lang w:eastAsia="zh-CN"/>
        </w:rPr>
      </w:pPr>
    </w:p>
    <w:p w14:paraId="78B1F18B">
      <w:pPr>
        <w:pageBreakBefore w:val="0"/>
        <w:wordWrap/>
        <w:topLinePunct w:val="0"/>
        <w:bidi w:val="0"/>
        <w:adjustRightInd w:val="0"/>
        <w:snapToGrid w:val="0"/>
        <w:spacing w:line="360" w:lineRule="auto"/>
        <w:ind w:firstLine="1680" w:firstLineChars="800"/>
        <w:textAlignment w:val="auto"/>
        <w:rPr>
          <w:rFonts w:hint="eastAsia" w:ascii="宋体" w:hAnsi="宋体" w:eastAsia="宋体" w:cs="宋体"/>
          <w:bCs/>
          <w:color w:val="auto"/>
          <w:sz w:val="21"/>
          <w:szCs w:val="21"/>
        </w:rPr>
      </w:pPr>
    </w:p>
    <w:p w14:paraId="13C2E32D">
      <w:pPr>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p>
    <w:p w14:paraId="03B611CA">
      <w:pPr>
        <w:pStyle w:val="2"/>
        <w:rPr>
          <w:rFonts w:hint="eastAsia"/>
          <w:color w:val="auto"/>
        </w:r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3A7078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项目（项目编号（分包号）：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 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r>
        <w:rPr>
          <w:rFonts w:hint="eastAsia" w:asciiTheme="minorEastAsia" w:hAnsiTheme="minorEastAsia" w:eastAsiaTheme="minorEastAsia" w:cstheme="minorEastAsia"/>
          <w:bCs/>
          <w:color w:val="auto"/>
          <w:sz w:val="21"/>
          <w:szCs w:val="21"/>
        </w:rPr>
        <w:t xml:space="preserve">      </w:t>
      </w:r>
    </w:p>
    <w:p w14:paraId="17E19B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7C5234A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D54ACE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项目编号（分包号）：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合同</w:t>
            </w:r>
            <w:r>
              <w:rPr>
                <w:rFonts w:hint="eastAsia" w:asciiTheme="minorEastAsia" w:hAnsiTheme="minorEastAsia" w:eastAsiaTheme="minorEastAsia" w:cstheme="minorEastAsia"/>
                <w:bCs/>
                <w:color w:val="auto"/>
                <w:sz w:val="21"/>
                <w:szCs w:val="21"/>
              </w:rPr>
              <w:t>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自合同签订起30天</w:t>
            </w: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合格</w:t>
            </w: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7"/>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w:t>
            </w:r>
            <w:r>
              <w:rPr>
                <w:rFonts w:hint="eastAsia" w:asciiTheme="minorEastAsia" w:hAnsiTheme="minorEastAsia" w:eastAsiaTheme="minorEastAsia" w:cstheme="minorEastAsia"/>
                <w:bCs/>
                <w:color w:val="auto"/>
                <w:sz w:val="21"/>
                <w:szCs w:val="21"/>
                <w:lang w:val="en-US" w:eastAsia="zh-CN"/>
              </w:rPr>
              <w:t>中小微</w:t>
            </w:r>
            <w:r>
              <w:rPr>
                <w:rFonts w:hint="eastAsia" w:asciiTheme="minorEastAsia" w:hAnsiTheme="minorEastAsia" w:eastAsiaTheme="minorEastAsia" w:cstheme="minorEastAsia"/>
                <w:bCs/>
                <w:color w:val="auto"/>
                <w:sz w:val="21"/>
                <w:szCs w:val="21"/>
              </w:rPr>
              <w:t>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备注：（其他需要说明的情形）</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7"/>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7"/>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7"/>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1069AD6">
      <w:pPr>
        <w:pStyle w:val="16"/>
        <w:rPr>
          <w:rFonts w:hint="eastAsia" w:ascii="宋体" w:hAnsi="宋体" w:eastAsia="宋体" w:cs="宋体"/>
          <w:bCs/>
          <w:color w:val="auto"/>
          <w:kern w:val="2"/>
          <w:sz w:val="21"/>
          <w:szCs w:val="21"/>
          <w:lang w:val="en-US" w:eastAsia="zh-CN" w:bidi="ar-SA"/>
        </w:rPr>
      </w:pPr>
    </w:p>
    <w:p w14:paraId="0825BCCA">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项目名称：                         项目编号（分包号）∶ </w:t>
      </w:r>
    </w:p>
    <w:tbl>
      <w:tblPr>
        <w:tblStyle w:val="17"/>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rPr>
              <w:t>费用明细</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单项总价</w:t>
            </w:r>
          </w:p>
        </w:tc>
        <w:tc>
          <w:tcPr>
            <w:tcW w:w="2035"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p>
    <w:p w14:paraId="66DD59A6">
      <w:pPr>
        <w:pStyle w:val="7"/>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6542B1EE">
      <w:pPr>
        <w:pStyle w:val="7"/>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1A3503B1">
      <w:pPr>
        <w:pStyle w:val="7"/>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代表签名：                日期：</w:t>
      </w:r>
    </w:p>
    <w:p w14:paraId="2450988B">
      <w:pPr>
        <w:pStyle w:val="16"/>
        <w:rPr>
          <w:rFonts w:hint="eastAsia"/>
          <w:color w:val="auto"/>
        </w:rPr>
        <w:sectPr>
          <w:pgSz w:w="11906" w:h="16838"/>
          <w:pgMar w:top="1440" w:right="1800" w:bottom="1440" w:left="1800" w:header="794" w:footer="992" w:gutter="0"/>
          <w:pgNumType w:fmt="decimal"/>
          <w:cols w:space="425" w:num="1"/>
          <w:docGrid w:type="lines" w:linePitch="312" w:charSpace="0"/>
        </w:sectPr>
      </w:pPr>
    </w:p>
    <w:p w14:paraId="7A50B5DF">
      <w:pPr>
        <w:rPr>
          <w:rFonts w:hint="eastAsia"/>
          <w:color w:val="auto"/>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格式4：</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法定代表人授权委托书</w:t>
      </w:r>
    </w:p>
    <w:p w14:paraId="454480CD">
      <w:pPr>
        <w:pStyle w:val="2"/>
        <w:rPr>
          <w:rFonts w:hint="eastAsia" w:asciiTheme="minorEastAsia" w:hAnsiTheme="minorEastAsia" w:eastAsiaTheme="minorEastAsia" w:cstheme="minorEastAsia"/>
          <w:b/>
          <w:color w:val="auto"/>
          <w:sz w:val="21"/>
          <w:szCs w:val="21"/>
        </w:rPr>
      </w:pP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7DD6774C">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6BEAF9C8">
      <w:pPr>
        <w:pStyle w:val="2"/>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C200670">
      <w:pPr>
        <w:pStyle w:val="16"/>
        <w:ind w:left="0" w:leftChars="0" w:firstLine="0" w:firstLineChars="0"/>
        <w:rPr>
          <w:color w:val="auto"/>
        </w:rPr>
      </w:pPr>
    </w:p>
    <w:p w14:paraId="06063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rPr>
      </w:pP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格式5：</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1DC70E36">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7F9458D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0BF4457">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r>
        <w:rPr>
          <w:rFonts w:hint="eastAsia" w:ascii="宋体" w:hAnsi="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r>
        <w:rPr>
          <w:rFonts w:hint="eastAsia" w:ascii="宋体" w:hAnsi="宋体" w:cs="宋体"/>
          <w:color w:val="auto"/>
          <w:spacing w:val="0"/>
          <w:w w:val="100"/>
          <w:position w:val="0"/>
          <w:sz w:val="21"/>
          <w:szCs w:val="21"/>
          <w:u w:val="single"/>
          <w:lang w:eastAsia="zh-CN"/>
        </w:rPr>
        <w:t>采购人</w:t>
      </w:r>
      <w:r>
        <w:rPr>
          <w:rFonts w:hint="eastAsia" w:ascii="宋体" w:hAnsi="宋体" w:eastAsia="宋体" w:cs="宋体"/>
          <w:color w:val="auto"/>
          <w:spacing w:val="0"/>
          <w:w w:val="100"/>
          <w:position w:val="0"/>
          <w:sz w:val="21"/>
          <w:szCs w:val="21"/>
          <w:u w:val="single"/>
        </w:rPr>
        <w:t>）</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w:t>
      </w:r>
      <w:r>
        <w:rPr>
          <w:rFonts w:hint="eastAsia" w:ascii="宋体" w:hAnsi="宋体" w:eastAsia="宋体" w:cs="宋体"/>
          <w:color w:val="auto"/>
          <w:spacing w:val="0"/>
          <w:w w:val="100"/>
          <w:position w:val="0"/>
          <w:sz w:val="21"/>
          <w:szCs w:val="21"/>
          <w:u w:val="single"/>
          <w:lang w:eastAsia="zh-CN"/>
        </w:rPr>
        <w:t>（分包号）</w:t>
      </w:r>
      <w:r>
        <w:rPr>
          <w:rFonts w:hint="eastAsia" w:ascii="宋体" w:hAnsi="宋体" w:eastAsia="宋体" w:cs="宋体"/>
          <w:color w:val="auto"/>
          <w:spacing w:val="0"/>
          <w:w w:val="100"/>
          <w:position w:val="0"/>
          <w:sz w:val="21"/>
          <w:szCs w:val="21"/>
          <w:u w:val="single"/>
        </w:rPr>
        <w:t>：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4503F19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E5EC71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附件</w:t>
      </w:r>
      <w:r>
        <w:rPr>
          <w:rFonts w:hint="eastAsia" w:asciiTheme="minorEastAsia" w:hAnsiTheme="minorEastAsia" w:eastAsiaTheme="minorEastAsia" w:cstheme="minorEastAsia"/>
          <w:b/>
          <w:color w:val="auto"/>
          <w:sz w:val="21"/>
          <w:szCs w:val="21"/>
          <w:lang w:val="en-US" w:eastAsia="zh-CN"/>
        </w:rPr>
        <w:t>1</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中小企业声明函</w:t>
      </w:r>
      <w:r>
        <w:rPr>
          <w:rFonts w:hint="eastAsia" w:asciiTheme="minorEastAsia" w:hAnsiTheme="minorEastAsia" w:eastAsiaTheme="minorEastAsia" w:cstheme="minorEastAsia"/>
          <w:bCs/>
          <w:color w:val="auto"/>
          <w:sz w:val="21"/>
          <w:szCs w:val="21"/>
        </w:rPr>
        <w:t>　　</w:t>
      </w: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7"/>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3CD83B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80FC34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D17EF5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附件</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65EF423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附件</w:t>
      </w: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rPr>
        <w:t xml:space="preserve"> </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 xml:space="preserve">                   </w:t>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rPr>
        <w:t xml:space="preserve"> 残疾人福利性单位声明函</w:t>
      </w:r>
    </w:p>
    <w:p w14:paraId="17D684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p>
    <w:p w14:paraId="7562F69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　　　　　　　　</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3"/>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10"/>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10"/>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3"/>
      <w:pBdr>
        <w:bottom w:val="none" w:color="auto" w:sz="0" w:space="1"/>
      </w:pBdr>
    </w:pPr>
    <w:r>
      <w:rPr>
        <w:sz w:val="21"/>
        <w:szCs w:val="21"/>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AA800C6"/>
    <w:multiLevelType w:val="multilevel"/>
    <w:tmpl w:val="3AA800C6"/>
    <w:lvl w:ilvl="0" w:tentative="0">
      <w:start w:val="1"/>
      <w:numFmt w:val="decimal"/>
      <w:pStyle w:val="6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3F0C6C2C"/>
    <w:multiLevelType w:val="singleLevel"/>
    <w:tmpl w:val="3F0C6C2C"/>
    <w:lvl w:ilvl="0" w:tentative="0">
      <w:start w:val="2"/>
      <w:numFmt w:val="chineseCounting"/>
      <w:suff w:val="space"/>
      <w:lvlText w:val="第%1章"/>
      <w:lvlJc w:val="left"/>
      <w:rPr>
        <w:rFonts w:hint="eastAsia"/>
      </w:rPr>
    </w:lvl>
  </w:abstractNum>
  <w:abstractNum w:abstractNumId="4">
    <w:nsid w:val="6E87019F"/>
    <w:multiLevelType w:val="multilevel"/>
    <w:tmpl w:val="6E87019F"/>
    <w:lvl w:ilvl="0" w:tentative="0">
      <w:start w:val="1"/>
      <w:numFmt w:val="chineseCountingThousand"/>
      <w:pStyle w:val="6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4"/>
  </w:num>
  <w:num w:numId="2">
    <w:abstractNumId w:val="1"/>
    <w:lvlOverride w:ilvl="0">
      <w:lvl w:ilvl="0" w:tentative="1">
        <w:start w:val="1"/>
        <w:numFmt w:val="decimal"/>
        <w:lvlText w:val="第%1条"/>
        <w:lvlJc w:val="left"/>
        <w:pPr>
          <w:ind w:left="0" w:firstLine="0"/>
        </w:pPr>
      </w:lvl>
    </w:lvlOverride>
    <w:lvlOverride w:ilvl="1">
      <w:lvl w:ilvl="1" w:tentative="1">
        <w:start w:val="1"/>
        <w:numFmt w:val="decimal"/>
        <w:pStyle w:val="66"/>
        <w:lvlText w:val="%1.%2"/>
        <w:lvlJc w:val="left"/>
        <w:pPr>
          <w:ind w:left="1843" w:firstLine="0"/>
        </w:pPr>
      </w:lvl>
    </w:lvlOverride>
    <w:lvlOverride w:ilvl="2">
      <w:lvl w:ilvl="2" w:tentative="1">
        <w:start w:val="1"/>
        <w:numFmt w:val="decimal"/>
        <w:pStyle w:val="64"/>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65"/>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A1606"/>
    <w:rsid w:val="009B4088"/>
    <w:rsid w:val="00A63F7E"/>
    <w:rsid w:val="00CF3B3E"/>
    <w:rsid w:val="012F0CEC"/>
    <w:rsid w:val="01527EDF"/>
    <w:rsid w:val="0159347F"/>
    <w:rsid w:val="01816A09"/>
    <w:rsid w:val="019F3AAF"/>
    <w:rsid w:val="02213014"/>
    <w:rsid w:val="022D30DA"/>
    <w:rsid w:val="02455925"/>
    <w:rsid w:val="02D219C4"/>
    <w:rsid w:val="03231259"/>
    <w:rsid w:val="033B0CFE"/>
    <w:rsid w:val="034F7EF4"/>
    <w:rsid w:val="036B1484"/>
    <w:rsid w:val="03854560"/>
    <w:rsid w:val="03BF4CCA"/>
    <w:rsid w:val="03C14561"/>
    <w:rsid w:val="040D3C69"/>
    <w:rsid w:val="04261197"/>
    <w:rsid w:val="04630F4A"/>
    <w:rsid w:val="049B5476"/>
    <w:rsid w:val="04E03371"/>
    <w:rsid w:val="052D4ADE"/>
    <w:rsid w:val="055E210C"/>
    <w:rsid w:val="056A57F8"/>
    <w:rsid w:val="05F21DE6"/>
    <w:rsid w:val="064E6865"/>
    <w:rsid w:val="06984B35"/>
    <w:rsid w:val="06EC4087"/>
    <w:rsid w:val="07050876"/>
    <w:rsid w:val="07177C01"/>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601EFA"/>
    <w:rsid w:val="09A068B5"/>
    <w:rsid w:val="09B37E23"/>
    <w:rsid w:val="09FC5A6D"/>
    <w:rsid w:val="0A586351"/>
    <w:rsid w:val="0A7B7C6C"/>
    <w:rsid w:val="0A89454C"/>
    <w:rsid w:val="0AA52631"/>
    <w:rsid w:val="0AD87214"/>
    <w:rsid w:val="0AF21923"/>
    <w:rsid w:val="0AFD710E"/>
    <w:rsid w:val="0B4323A7"/>
    <w:rsid w:val="0BB7140A"/>
    <w:rsid w:val="0BBC0022"/>
    <w:rsid w:val="0BD90EE9"/>
    <w:rsid w:val="0C282C80"/>
    <w:rsid w:val="0C747BE1"/>
    <w:rsid w:val="0C796895"/>
    <w:rsid w:val="0C8D7232"/>
    <w:rsid w:val="0C956CDB"/>
    <w:rsid w:val="0C9E593E"/>
    <w:rsid w:val="0CC95340"/>
    <w:rsid w:val="0CE06855"/>
    <w:rsid w:val="0CF271BF"/>
    <w:rsid w:val="0D3A63F7"/>
    <w:rsid w:val="0D5F1E64"/>
    <w:rsid w:val="0DB27913"/>
    <w:rsid w:val="0DFD1228"/>
    <w:rsid w:val="0E2B535C"/>
    <w:rsid w:val="0E603E62"/>
    <w:rsid w:val="0F3B3D47"/>
    <w:rsid w:val="0F4814BC"/>
    <w:rsid w:val="100B407B"/>
    <w:rsid w:val="104E667B"/>
    <w:rsid w:val="10575E20"/>
    <w:rsid w:val="105A2DDD"/>
    <w:rsid w:val="10621B90"/>
    <w:rsid w:val="106611CB"/>
    <w:rsid w:val="113722BE"/>
    <w:rsid w:val="113F685C"/>
    <w:rsid w:val="11601AD6"/>
    <w:rsid w:val="11E76422"/>
    <w:rsid w:val="12380801"/>
    <w:rsid w:val="12507C79"/>
    <w:rsid w:val="1254371D"/>
    <w:rsid w:val="1262199D"/>
    <w:rsid w:val="12865437"/>
    <w:rsid w:val="12AF6F40"/>
    <w:rsid w:val="12BD6BF4"/>
    <w:rsid w:val="12EC6F95"/>
    <w:rsid w:val="132D6E78"/>
    <w:rsid w:val="137C0484"/>
    <w:rsid w:val="13962132"/>
    <w:rsid w:val="1399374C"/>
    <w:rsid w:val="139C4065"/>
    <w:rsid w:val="13AD1598"/>
    <w:rsid w:val="1437327D"/>
    <w:rsid w:val="145A17F2"/>
    <w:rsid w:val="145A366F"/>
    <w:rsid w:val="14B33330"/>
    <w:rsid w:val="14E24257"/>
    <w:rsid w:val="14E71F9E"/>
    <w:rsid w:val="14F364DD"/>
    <w:rsid w:val="150D5D06"/>
    <w:rsid w:val="157F1A78"/>
    <w:rsid w:val="15D078F9"/>
    <w:rsid w:val="15DA2C5A"/>
    <w:rsid w:val="1605187F"/>
    <w:rsid w:val="16154877"/>
    <w:rsid w:val="1672108A"/>
    <w:rsid w:val="16AD37FE"/>
    <w:rsid w:val="16C0190D"/>
    <w:rsid w:val="170F0CDD"/>
    <w:rsid w:val="17137D16"/>
    <w:rsid w:val="17B77DC6"/>
    <w:rsid w:val="186A144F"/>
    <w:rsid w:val="18812024"/>
    <w:rsid w:val="18DA1062"/>
    <w:rsid w:val="18DF750D"/>
    <w:rsid w:val="18EB6778"/>
    <w:rsid w:val="19057B47"/>
    <w:rsid w:val="192E465C"/>
    <w:rsid w:val="195A634B"/>
    <w:rsid w:val="199C16E9"/>
    <w:rsid w:val="199D5F29"/>
    <w:rsid w:val="19CA20B2"/>
    <w:rsid w:val="1A5202FA"/>
    <w:rsid w:val="1AAC33FA"/>
    <w:rsid w:val="1AED0A61"/>
    <w:rsid w:val="1B056327"/>
    <w:rsid w:val="1B4B4FB2"/>
    <w:rsid w:val="1B4E010B"/>
    <w:rsid w:val="1B7A723A"/>
    <w:rsid w:val="1B9E715D"/>
    <w:rsid w:val="1BCA0EFB"/>
    <w:rsid w:val="1BD6322C"/>
    <w:rsid w:val="1BDF0C37"/>
    <w:rsid w:val="1C180837"/>
    <w:rsid w:val="1C2244F6"/>
    <w:rsid w:val="1C6670D2"/>
    <w:rsid w:val="1C9070D0"/>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1132956"/>
    <w:rsid w:val="211428BF"/>
    <w:rsid w:val="21202FCA"/>
    <w:rsid w:val="217C5962"/>
    <w:rsid w:val="21B3342C"/>
    <w:rsid w:val="224A1874"/>
    <w:rsid w:val="229B216B"/>
    <w:rsid w:val="22B13B13"/>
    <w:rsid w:val="22B66EF0"/>
    <w:rsid w:val="234271CB"/>
    <w:rsid w:val="237D267B"/>
    <w:rsid w:val="238B212F"/>
    <w:rsid w:val="23BC2A5A"/>
    <w:rsid w:val="23CD07BD"/>
    <w:rsid w:val="23D21496"/>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777AD4"/>
    <w:rsid w:val="287D015D"/>
    <w:rsid w:val="288B7471"/>
    <w:rsid w:val="28A92BCF"/>
    <w:rsid w:val="28B078C0"/>
    <w:rsid w:val="29335621"/>
    <w:rsid w:val="293755EF"/>
    <w:rsid w:val="297213A4"/>
    <w:rsid w:val="298A5CE1"/>
    <w:rsid w:val="29935745"/>
    <w:rsid w:val="299E0C30"/>
    <w:rsid w:val="29AF73CD"/>
    <w:rsid w:val="29CF2C9E"/>
    <w:rsid w:val="2A1525B3"/>
    <w:rsid w:val="2A1F3C77"/>
    <w:rsid w:val="2A420242"/>
    <w:rsid w:val="2A770325"/>
    <w:rsid w:val="2B577739"/>
    <w:rsid w:val="2B82420A"/>
    <w:rsid w:val="2BC32FA6"/>
    <w:rsid w:val="2BDE0F2A"/>
    <w:rsid w:val="2C1F0ECB"/>
    <w:rsid w:val="2C2F0132"/>
    <w:rsid w:val="2C5B48B1"/>
    <w:rsid w:val="2C635A6B"/>
    <w:rsid w:val="2C9C63F2"/>
    <w:rsid w:val="2CE95AE3"/>
    <w:rsid w:val="2CEE3181"/>
    <w:rsid w:val="2D056A81"/>
    <w:rsid w:val="2D0D1210"/>
    <w:rsid w:val="2D205DF5"/>
    <w:rsid w:val="2D6F2A08"/>
    <w:rsid w:val="2D7A708A"/>
    <w:rsid w:val="2D986A7C"/>
    <w:rsid w:val="2DD31C58"/>
    <w:rsid w:val="2E386100"/>
    <w:rsid w:val="2E3A4E93"/>
    <w:rsid w:val="2E921BC1"/>
    <w:rsid w:val="2E9D3756"/>
    <w:rsid w:val="2ED71151"/>
    <w:rsid w:val="2EFB0B3C"/>
    <w:rsid w:val="2F0710CD"/>
    <w:rsid w:val="2F3B21A6"/>
    <w:rsid w:val="2F5B4CE0"/>
    <w:rsid w:val="2F5C1340"/>
    <w:rsid w:val="2F6457B2"/>
    <w:rsid w:val="2F8D101C"/>
    <w:rsid w:val="2F9039F3"/>
    <w:rsid w:val="2F910206"/>
    <w:rsid w:val="2FF4525E"/>
    <w:rsid w:val="300D602F"/>
    <w:rsid w:val="30434F34"/>
    <w:rsid w:val="30551C7E"/>
    <w:rsid w:val="305C1DF5"/>
    <w:rsid w:val="30C330A2"/>
    <w:rsid w:val="31032820"/>
    <w:rsid w:val="31847465"/>
    <w:rsid w:val="31DE379A"/>
    <w:rsid w:val="327D0402"/>
    <w:rsid w:val="32A61FCC"/>
    <w:rsid w:val="32C0465B"/>
    <w:rsid w:val="32CE6B16"/>
    <w:rsid w:val="33000244"/>
    <w:rsid w:val="3319111C"/>
    <w:rsid w:val="33366578"/>
    <w:rsid w:val="33A63D3F"/>
    <w:rsid w:val="33AA7583"/>
    <w:rsid w:val="33D41912"/>
    <w:rsid w:val="33F61B9F"/>
    <w:rsid w:val="346F039A"/>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5F72BDE"/>
    <w:rsid w:val="36202DD1"/>
    <w:rsid w:val="36345F74"/>
    <w:rsid w:val="366C2AF8"/>
    <w:rsid w:val="36720821"/>
    <w:rsid w:val="36E43B49"/>
    <w:rsid w:val="36F2093F"/>
    <w:rsid w:val="3708704A"/>
    <w:rsid w:val="37105321"/>
    <w:rsid w:val="375D7E76"/>
    <w:rsid w:val="37807888"/>
    <w:rsid w:val="37C96B2D"/>
    <w:rsid w:val="37F0121B"/>
    <w:rsid w:val="38583939"/>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C125E"/>
    <w:rsid w:val="3B40382E"/>
    <w:rsid w:val="3B4909A7"/>
    <w:rsid w:val="3B706D2B"/>
    <w:rsid w:val="3B900E71"/>
    <w:rsid w:val="3B967BC8"/>
    <w:rsid w:val="3BC7074D"/>
    <w:rsid w:val="3BDA3232"/>
    <w:rsid w:val="3C0567E7"/>
    <w:rsid w:val="3C362D65"/>
    <w:rsid w:val="3C547DBA"/>
    <w:rsid w:val="3C5A7719"/>
    <w:rsid w:val="3C71787E"/>
    <w:rsid w:val="3C766FF7"/>
    <w:rsid w:val="3CEC3782"/>
    <w:rsid w:val="3D005751"/>
    <w:rsid w:val="3D2E7CF5"/>
    <w:rsid w:val="3D6A7A3F"/>
    <w:rsid w:val="3D8475ED"/>
    <w:rsid w:val="3D9133ED"/>
    <w:rsid w:val="3D9A7407"/>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C485A"/>
    <w:rsid w:val="41721093"/>
    <w:rsid w:val="41A25A1E"/>
    <w:rsid w:val="41D5051C"/>
    <w:rsid w:val="41D93646"/>
    <w:rsid w:val="422B280E"/>
    <w:rsid w:val="42420B28"/>
    <w:rsid w:val="424C4B06"/>
    <w:rsid w:val="43215097"/>
    <w:rsid w:val="43335793"/>
    <w:rsid w:val="43504A5C"/>
    <w:rsid w:val="437629AE"/>
    <w:rsid w:val="43BE61A8"/>
    <w:rsid w:val="43D0692B"/>
    <w:rsid w:val="43DA56DD"/>
    <w:rsid w:val="442D019F"/>
    <w:rsid w:val="44370871"/>
    <w:rsid w:val="44AA1CB0"/>
    <w:rsid w:val="44CE24E4"/>
    <w:rsid w:val="44D16A09"/>
    <w:rsid w:val="44D90521"/>
    <w:rsid w:val="44E52F1F"/>
    <w:rsid w:val="450E440F"/>
    <w:rsid w:val="45502007"/>
    <w:rsid w:val="457659E6"/>
    <w:rsid w:val="4580392B"/>
    <w:rsid w:val="45883F8A"/>
    <w:rsid w:val="45F04858"/>
    <w:rsid w:val="4606799E"/>
    <w:rsid w:val="4629386F"/>
    <w:rsid w:val="466174A4"/>
    <w:rsid w:val="468B197E"/>
    <w:rsid w:val="46D52AA1"/>
    <w:rsid w:val="470E5183"/>
    <w:rsid w:val="471F4F7F"/>
    <w:rsid w:val="47413903"/>
    <w:rsid w:val="47501D1D"/>
    <w:rsid w:val="479B2B65"/>
    <w:rsid w:val="47E241F2"/>
    <w:rsid w:val="47E67EE1"/>
    <w:rsid w:val="47F05DF8"/>
    <w:rsid w:val="484C22AF"/>
    <w:rsid w:val="488B7FA6"/>
    <w:rsid w:val="48AC59F4"/>
    <w:rsid w:val="49057F3E"/>
    <w:rsid w:val="493D11A5"/>
    <w:rsid w:val="49497376"/>
    <w:rsid w:val="49913258"/>
    <w:rsid w:val="49AD56D2"/>
    <w:rsid w:val="49DF2FA3"/>
    <w:rsid w:val="49ED1963"/>
    <w:rsid w:val="49F41BF1"/>
    <w:rsid w:val="49FE18E4"/>
    <w:rsid w:val="4A2B6493"/>
    <w:rsid w:val="4A570B81"/>
    <w:rsid w:val="4A596A5D"/>
    <w:rsid w:val="4A7D708F"/>
    <w:rsid w:val="4ACC2191"/>
    <w:rsid w:val="4B967555"/>
    <w:rsid w:val="4BA41081"/>
    <w:rsid w:val="4BAE7BD6"/>
    <w:rsid w:val="4C624E51"/>
    <w:rsid w:val="4C6F5D75"/>
    <w:rsid w:val="4C8614A0"/>
    <w:rsid w:val="4CB90B4A"/>
    <w:rsid w:val="4D011E35"/>
    <w:rsid w:val="4D1A70AD"/>
    <w:rsid w:val="4D4D66ED"/>
    <w:rsid w:val="4D896AAF"/>
    <w:rsid w:val="4D927727"/>
    <w:rsid w:val="4DBA3D68"/>
    <w:rsid w:val="4DCE7CC5"/>
    <w:rsid w:val="4DDF58BD"/>
    <w:rsid w:val="4E0A0B66"/>
    <w:rsid w:val="4E295649"/>
    <w:rsid w:val="4E434405"/>
    <w:rsid w:val="4E6D51A2"/>
    <w:rsid w:val="4E8B3BC1"/>
    <w:rsid w:val="4F203050"/>
    <w:rsid w:val="4F330037"/>
    <w:rsid w:val="4F6B7B7D"/>
    <w:rsid w:val="4F840FDE"/>
    <w:rsid w:val="4F8A0ABB"/>
    <w:rsid w:val="502B260A"/>
    <w:rsid w:val="503277C4"/>
    <w:rsid w:val="507B2035"/>
    <w:rsid w:val="50D729C1"/>
    <w:rsid w:val="5187033E"/>
    <w:rsid w:val="51B615DA"/>
    <w:rsid w:val="51C50521"/>
    <w:rsid w:val="51CF5615"/>
    <w:rsid w:val="51D41141"/>
    <w:rsid w:val="52111515"/>
    <w:rsid w:val="52115DFD"/>
    <w:rsid w:val="523830D8"/>
    <w:rsid w:val="52F14A35"/>
    <w:rsid w:val="53453EF9"/>
    <w:rsid w:val="537E7219"/>
    <w:rsid w:val="539227A8"/>
    <w:rsid w:val="53E73F9D"/>
    <w:rsid w:val="542B47E5"/>
    <w:rsid w:val="5463665A"/>
    <w:rsid w:val="54737C15"/>
    <w:rsid w:val="5489364B"/>
    <w:rsid w:val="54D86D8D"/>
    <w:rsid w:val="554B067D"/>
    <w:rsid w:val="55583A1F"/>
    <w:rsid w:val="55705033"/>
    <w:rsid w:val="557D70BE"/>
    <w:rsid w:val="55CE4587"/>
    <w:rsid w:val="5624337B"/>
    <w:rsid w:val="56332F20"/>
    <w:rsid w:val="56E827E2"/>
    <w:rsid w:val="56E96FC6"/>
    <w:rsid w:val="57103B34"/>
    <w:rsid w:val="5714694D"/>
    <w:rsid w:val="57340E32"/>
    <w:rsid w:val="5809010E"/>
    <w:rsid w:val="582A0AC8"/>
    <w:rsid w:val="583525C6"/>
    <w:rsid w:val="583F79A7"/>
    <w:rsid w:val="588E0FF2"/>
    <w:rsid w:val="589932BB"/>
    <w:rsid w:val="58F5055B"/>
    <w:rsid w:val="58FC3E36"/>
    <w:rsid w:val="59264674"/>
    <w:rsid w:val="596801AA"/>
    <w:rsid w:val="596F1852"/>
    <w:rsid w:val="5992473D"/>
    <w:rsid w:val="59D251A4"/>
    <w:rsid w:val="5A16575C"/>
    <w:rsid w:val="5A175510"/>
    <w:rsid w:val="5A5F15A1"/>
    <w:rsid w:val="5A954EAF"/>
    <w:rsid w:val="5ABB4A59"/>
    <w:rsid w:val="5AC230A5"/>
    <w:rsid w:val="5B070F30"/>
    <w:rsid w:val="5B1D06EE"/>
    <w:rsid w:val="5B3E7A46"/>
    <w:rsid w:val="5B907B59"/>
    <w:rsid w:val="5BAB5771"/>
    <w:rsid w:val="5BFB5EB2"/>
    <w:rsid w:val="5C495DD3"/>
    <w:rsid w:val="5C4E06E7"/>
    <w:rsid w:val="5C593A80"/>
    <w:rsid w:val="5D041CF2"/>
    <w:rsid w:val="5D272928"/>
    <w:rsid w:val="5D2B2C34"/>
    <w:rsid w:val="5D4F03EF"/>
    <w:rsid w:val="5D905C05"/>
    <w:rsid w:val="5DCD0AC1"/>
    <w:rsid w:val="5E02038B"/>
    <w:rsid w:val="5E3E0FB2"/>
    <w:rsid w:val="5EE67330"/>
    <w:rsid w:val="5F212FF8"/>
    <w:rsid w:val="5F8B27B8"/>
    <w:rsid w:val="5FB72636"/>
    <w:rsid w:val="600B3636"/>
    <w:rsid w:val="6060486B"/>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1F3A59"/>
    <w:rsid w:val="656C147B"/>
    <w:rsid w:val="65832223"/>
    <w:rsid w:val="664A7A0D"/>
    <w:rsid w:val="671A190B"/>
    <w:rsid w:val="6731767E"/>
    <w:rsid w:val="67335956"/>
    <w:rsid w:val="68016B77"/>
    <w:rsid w:val="68307014"/>
    <w:rsid w:val="687047EC"/>
    <w:rsid w:val="690C2F01"/>
    <w:rsid w:val="692A3B68"/>
    <w:rsid w:val="693A4663"/>
    <w:rsid w:val="699B0FA7"/>
    <w:rsid w:val="699F0403"/>
    <w:rsid w:val="6A257C7E"/>
    <w:rsid w:val="6AAD2156"/>
    <w:rsid w:val="6AED0C62"/>
    <w:rsid w:val="6AF66468"/>
    <w:rsid w:val="6AF86E22"/>
    <w:rsid w:val="6B276638"/>
    <w:rsid w:val="6B4A7DD5"/>
    <w:rsid w:val="6B5F2CBB"/>
    <w:rsid w:val="6B850358"/>
    <w:rsid w:val="6BA23990"/>
    <w:rsid w:val="6BA92A8C"/>
    <w:rsid w:val="6BBF6B35"/>
    <w:rsid w:val="6BD40CFD"/>
    <w:rsid w:val="6C2271E5"/>
    <w:rsid w:val="6C6139A2"/>
    <w:rsid w:val="6C6B059F"/>
    <w:rsid w:val="6C7259E8"/>
    <w:rsid w:val="6C8C5F63"/>
    <w:rsid w:val="6CC32552"/>
    <w:rsid w:val="6CEF59E1"/>
    <w:rsid w:val="6CFA34DB"/>
    <w:rsid w:val="6CFD6829"/>
    <w:rsid w:val="6D0B3EE8"/>
    <w:rsid w:val="6D330230"/>
    <w:rsid w:val="6D332F6E"/>
    <w:rsid w:val="6D396B87"/>
    <w:rsid w:val="6DB265D8"/>
    <w:rsid w:val="6DB301A4"/>
    <w:rsid w:val="6DD84920"/>
    <w:rsid w:val="6DDB5D1F"/>
    <w:rsid w:val="6DE82115"/>
    <w:rsid w:val="6DF14E2F"/>
    <w:rsid w:val="6E1F4FB0"/>
    <w:rsid w:val="6E465867"/>
    <w:rsid w:val="6E5246F3"/>
    <w:rsid w:val="6F3326BD"/>
    <w:rsid w:val="6F5B19D4"/>
    <w:rsid w:val="6FBD5643"/>
    <w:rsid w:val="6FC50CC6"/>
    <w:rsid w:val="6FDF215C"/>
    <w:rsid w:val="6FF979C2"/>
    <w:rsid w:val="707123F1"/>
    <w:rsid w:val="70A709CF"/>
    <w:rsid w:val="70AA1BAA"/>
    <w:rsid w:val="70C21E33"/>
    <w:rsid w:val="71420EA7"/>
    <w:rsid w:val="7144488E"/>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511CBF"/>
    <w:rsid w:val="756E4256"/>
    <w:rsid w:val="75D723B2"/>
    <w:rsid w:val="76393941"/>
    <w:rsid w:val="76584AFD"/>
    <w:rsid w:val="76D40E9A"/>
    <w:rsid w:val="770739C7"/>
    <w:rsid w:val="78375191"/>
    <w:rsid w:val="783A5034"/>
    <w:rsid w:val="78752699"/>
    <w:rsid w:val="788A190E"/>
    <w:rsid w:val="78B67C13"/>
    <w:rsid w:val="78D027F0"/>
    <w:rsid w:val="79107D4E"/>
    <w:rsid w:val="79353900"/>
    <w:rsid w:val="793F6CA3"/>
    <w:rsid w:val="794A04D7"/>
    <w:rsid w:val="79746535"/>
    <w:rsid w:val="797647ED"/>
    <w:rsid w:val="79814165"/>
    <w:rsid w:val="799C6F8D"/>
    <w:rsid w:val="7A13676F"/>
    <w:rsid w:val="7A387BE8"/>
    <w:rsid w:val="7A4D74CC"/>
    <w:rsid w:val="7A60559B"/>
    <w:rsid w:val="7AC843DE"/>
    <w:rsid w:val="7AE53F7B"/>
    <w:rsid w:val="7AE9123F"/>
    <w:rsid w:val="7AED3D24"/>
    <w:rsid w:val="7AFC3A32"/>
    <w:rsid w:val="7B237139"/>
    <w:rsid w:val="7B323F28"/>
    <w:rsid w:val="7B4D150D"/>
    <w:rsid w:val="7B504D7D"/>
    <w:rsid w:val="7BB05565"/>
    <w:rsid w:val="7BBB5446"/>
    <w:rsid w:val="7BEA3458"/>
    <w:rsid w:val="7C0163B0"/>
    <w:rsid w:val="7C025169"/>
    <w:rsid w:val="7C682867"/>
    <w:rsid w:val="7C6C7F23"/>
    <w:rsid w:val="7CA51C7D"/>
    <w:rsid w:val="7CD05611"/>
    <w:rsid w:val="7D524A37"/>
    <w:rsid w:val="7DA418C3"/>
    <w:rsid w:val="7DEA78A4"/>
    <w:rsid w:val="7E454CA6"/>
    <w:rsid w:val="7E8B0CEF"/>
    <w:rsid w:val="7EA93097"/>
    <w:rsid w:val="7F143F12"/>
    <w:rsid w:val="7F1E73A2"/>
    <w:rsid w:val="7F29005F"/>
    <w:rsid w:val="7F380545"/>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pPr>
    <w:rPr>
      <w:sz w:val="18"/>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1"/>
    <w:qFormat/>
    <w:uiPriority w:val="99"/>
    <w:pPr>
      <w:spacing w:after="120"/>
    </w:pPr>
  </w:style>
  <w:style w:type="paragraph" w:styleId="9">
    <w:name w:val="Body Text Indent"/>
    <w:basedOn w:val="1"/>
    <w:qFormat/>
    <w:uiPriority w:val="0"/>
    <w:pPr>
      <w:snapToGrid w:val="0"/>
      <w:spacing w:line="360" w:lineRule="auto"/>
      <w:ind w:firstLine="538" w:firstLineChars="192"/>
    </w:pPr>
    <w:rPr>
      <w:rFonts w:ascii="仿宋_GB2312" w:eastAsia="仿宋_GB2312"/>
      <w:bCs/>
      <w:sz w:val="28"/>
      <w:szCs w:val="28"/>
    </w:r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2"/>
    <w:basedOn w:val="9"/>
    <w:unhideWhenUsed/>
    <w:qFormat/>
    <w:uiPriority w:val="0"/>
    <w:pPr>
      <w:spacing w:after="120" w:line="240" w:lineRule="auto"/>
      <w:ind w:left="420" w:leftChars="200" w:firstLine="420" w:firstLineChars="200"/>
    </w:pPr>
    <w:rPr>
      <w:sz w:val="21"/>
      <w:szCs w:val="21"/>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10"/>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 w:type="paragraph" w:customStyle="1" w:styleId="61">
    <w:name w:val="_Style 13"/>
    <w:autoRedefine/>
    <w:qFormat/>
    <w:uiPriority w:val="0"/>
    <w:pPr>
      <w:spacing w:before="120" w:after="120" w:line="288" w:lineRule="auto"/>
      <w:ind w:left="0"/>
      <w:jc w:val="left"/>
    </w:pPr>
    <w:rPr>
      <w:rFonts w:ascii="Arial" w:hAnsi="Arial" w:eastAsia="等线" w:cs="Arial"/>
      <w:sz w:val="22"/>
      <w:szCs w:val="22"/>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协议书标题2"/>
    <w:basedOn w:val="4"/>
    <w:next w:val="1"/>
    <w:qFormat/>
    <w:uiPriority w:val="0"/>
    <w:pPr>
      <w:keepNext w:val="0"/>
      <w:keepLines w:val="0"/>
      <w:numPr>
        <w:ilvl w:val="0"/>
        <w:numId w:val="1"/>
      </w:numPr>
      <w:tabs>
        <w:tab w:val="left" w:pos="567"/>
      </w:tabs>
      <w:spacing w:line="360" w:lineRule="auto"/>
      <w:ind w:firstLine="0"/>
    </w:pPr>
    <w:rPr>
      <w:rFonts w:ascii="宋体" w:hAnsi="宋体" w:eastAsia="宋体"/>
      <w:sz w:val="24"/>
    </w:rPr>
  </w:style>
  <w:style w:type="paragraph" w:customStyle="1" w:styleId="64">
    <w:name w:val="通用标题4"/>
    <w:next w:val="1"/>
    <w:qFormat/>
    <w:uiPriority w:val="0"/>
    <w:pPr>
      <w:numPr>
        <w:ilvl w:val="2"/>
        <w:numId w:val="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65">
    <w:name w:val="通用标题6"/>
    <w:basedOn w:val="1"/>
    <w:qFormat/>
    <w:uiPriority w:val="0"/>
    <w:pPr>
      <w:numPr>
        <w:ilvl w:val="4"/>
        <w:numId w:val="3"/>
      </w:numPr>
      <w:tabs>
        <w:tab w:val="left" w:pos="993"/>
      </w:tabs>
      <w:ind w:firstLine="0"/>
    </w:pPr>
  </w:style>
  <w:style w:type="paragraph" w:customStyle="1" w:styleId="66">
    <w:name w:val="通用标题3"/>
    <w:next w:val="1"/>
    <w:qFormat/>
    <w:uiPriority w:val="0"/>
    <w:pPr>
      <w:widowControl w:val="0"/>
      <w:numPr>
        <w:ilvl w:val="1"/>
        <w:numId w:val="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67">
    <w:name w:val="通用标题2"/>
    <w:basedOn w:val="4"/>
    <w:next w:val="1"/>
    <w:qFormat/>
    <w:uiPriority w:val="0"/>
    <w:pPr>
      <w:keepNext w:val="0"/>
      <w:keepLines w:val="0"/>
      <w:numPr>
        <w:ilvl w:val="0"/>
        <w:numId w:val="4"/>
      </w:numPr>
      <w:tabs>
        <w:tab w:val="left" w:pos="993"/>
      </w:tabs>
      <w:spacing w:line="360" w:lineRule="auto"/>
    </w:pPr>
    <w:rPr>
      <w:rFonts w:ascii="黑体" w:hAnsi="黑体"/>
    </w:rPr>
  </w:style>
  <w:style w:type="paragraph" w:customStyle="1" w:styleId="6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43</Pages>
  <Words>3740</Words>
  <Characters>3992</Characters>
  <Lines>701</Lines>
  <Paragraphs>197</Paragraphs>
  <TotalTime>96</TotalTime>
  <ScaleCrop>false</ScaleCrop>
  <LinksUpToDate>false</LinksUpToDate>
  <CharactersWithSpaces>4040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嗯</cp:lastModifiedBy>
  <cp:lastPrinted>2021-11-04T02:19:00Z</cp:lastPrinted>
  <dcterms:modified xsi:type="dcterms:W3CDTF">2025-12-08T11:15:00Z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6F0FD76FE9E649BCA1BA26E8AAE960EA_13</vt:lpwstr>
  </property>
  <property fmtid="{D5CDD505-2E9C-101B-9397-08002B2CF9AE}" pid="4" name="KSOTemplateDocerSaveRecord">
    <vt:lpwstr>eyJoZGlkIjoiNWNhMTZjNmE0NTE4Njc0ZWU0YmQ2OGQyNTJiYzk0N2EiLCJ1c2VySWQiOiI0MjUzNzU3NDAifQ==</vt:lpwstr>
  </property>
</Properties>
</file>