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D168DB">
      <w:pPr>
        <w:widowControl/>
        <w:shd w:val="clear" w:color="auto" w:fill="FFFFFF"/>
        <w:spacing w:line="600" w:lineRule="atLeast"/>
        <w:jc w:val="center"/>
        <w:outlineLvl w:val="0"/>
        <w:rPr>
          <w:rFonts w:ascii="宋体" w:hAnsi="宋体" w:eastAsia="宋体" w:cs="宋体"/>
          <w:b/>
          <w:bCs/>
          <w:kern w:val="36"/>
          <w:sz w:val="36"/>
          <w:szCs w:val="36"/>
        </w:rPr>
      </w:pPr>
      <w:r>
        <w:rPr>
          <w:rFonts w:hint="eastAsia" w:ascii="宋体" w:hAnsi="宋体" w:eastAsia="宋体" w:cs="宋体"/>
          <w:b/>
          <w:bCs/>
          <w:kern w:val="36"/>
          <w:sz w:val="36"/>
          <w:szCs w:val="36"/>
        </w:rPr>
        <w:t>关于《海口江东新区国际社区南片区控制性详细规划及城市设计修编》的公示</w:t>
      </w:r>
    </w:p>
    <w:p w14:paraId="1B623071"/>
    <w:p w14:paraId="7581E65C">
      <w:pPr>
        <w:pStyle w:val="8"/>
        <w:shd w:val="clear" w:color="auto" w:fill="FFFFFF"/>
        <w:spacing w:before="0" w:beforeAutospacing="0" w:after="0" w:afterAutospacing="0"/>
        <w:ind w:firstLine="555"/>
        <w:rPr>
          <w:sz w:val="32"/>
          <w:szCs w:val="32"/>
        </w:rPr>
      </w:pPr>
      <w:r>
        <w:rPr>
          <w:rFonts w:hint="eastAsia"/>
          <w:sz w:val="29"/>
          <w:szCs w:val="29"/>
        </w:rPr>
        <w:t>经报海口市政府同意，按程序编制《海口江东新区国际社区南片区控制性详细规划及城市设计修编》方案，并已通过专家评审。为广泛征求社会各界和市民意见，现将规划编制方案进行公示，主要内容如下：</w:t>
      </w:r>
    </w:p>
    <w:p w14:paraId="1CABCC0A">
      <w:pPr>
        <w:shd w:val="clear" w:color="auto" w:fill="FFFFFF"/>
        <w:rPr>
          <w:rFonts w:ascii="宋体" w:hAnsi="宋体" w:eastAsia="宋体" w:cs="宋体"/>
          <w:b/>
          <w:kern w:val="0"/>
          <w:sz w:val="32"/>
          <w:szCs w:val="29"/>
        </w:rPr>
      </w:pPr>
      <w:r>
        <w:rPr>
          <w:rFonts w:hint="eastAsia" w:ascii="宋体" w:hAnsi="宋体" w:eastAsia="宋体" w:cs="宋体"/>
          <w:b/>
          <w:kern w:val="0"/>
          <w:sz w:val="32"/>
          <w:szCs w:val="29"/>
        </w:rPr>
        <w:t>一、项目位置</w:t>
      </w:r>
    </w:p>
    <w:p w14:paraId="7123B2A3">
      <w:pPr>
        <w:pStyle w:val="8"/>
        <w:shd w:val="clear" w:color="auto" w:fill="FFFFFF"/>
        <w:spacing w:before="0" w:beforeAutospacing="0" w:after="0" w:afterAutospacing="0"/>
        <w:ind w:firstLine="555"/>
        <w:rPr>
          <w:sz w:val="29"/>
          <w:szCs w:val="29"/>
        </w:rPr>
      </w:pPr>
      <w:r>
        <w:rPr>
          <w:rFonts w:hint="eastAsia"/>
          <w:sz w:val="29"/>
          <w:szCs w:val="29"/>
        </w:rPr>
        <w:t>国际社区南片区位于海口市东海岸江东新区北部核心，西至兴洋大道，东至桂林洋大道，北至江东大道，南至桂林洋生态农业公园。总用地规模为111.73</w:t>
      </w:r>
      <w:r>
        <w:rPr>
          <w:sz w:val="29"/>
          <w:szCs w:val="29"/>
        </w:rPr>
        <w:t>公顷</w:t>
      </w:r>
      <w:r>
        <w:rPr>
          <w:rFonts w:hint="eastAsia"/>
          <w:sz w:val="29"/>
          <w:szCs w:val="29"/>
        </w:rPr>
        <w:t>。</w:t>
      </w:r>
    </w:p>
    <w:p w14:paraId="0B1B8C97">
      <w:pPr>
        <w:shd w:val="clear" w:color="auto" w:fill="FFFFFF"/>
        <w:rPr>
          <w:rFonts w:ascii="宋体" w:hAnsi="宋体" w:eastAsia="宋体" w:cs="宋体"/>
          <w:b/>
          <w:kern w:val="0"/>
          <w:sz w:val="32"/>
          <w:szCs w:val="29"/>
        </w:rPr>
      </w:pPr>
      <w:r>
        <w:rPr>
          <w:rFonts w:hint="eastAsia" w:ascii="宋体" w:hAnsi="宋体" w:eastAsia="宋体" w:cs="宋体"/>
          <w:b/>
          <w:kern w:val="0"/>
          <w:sz w:val="32"/>
          <w:szCs w:val="29"/>
        </w:rPr>
        <w:t>二、编制内容</w:t>
      </w:r>
    </w:p>
    <w:p w14:paraId="158BF5A5">
      <w:pPr>
        <w:pStyle w:val="16"/>
        <w:shd w:val="clear" w:color="auto" w:fill="FFFFFF"/>
        <w:spacing w:before="0" w:beforeAutospacing="0" w:after="0" w:afterAutospacing="0" w:line="600" w:lineRule="atLeast"/>
        <w:ind w:left="615" w:firstLine="15"/>
        <w:rPr>
          <w:sz w:val="29"/>
          <w:szCs w:val="29"/>
        </w:rPr>
      </w:pPr>
      <w:bookmarkStart w:id="0" w:name="_Toc346523560"/>
      <w:bookmarkEnd w:id="0"/>
      <w:bookmarkStart w:id="1" w:name="_Toc346517631"/>
      <w:r>
        <w:rPr>
          <w:rFonts w:hint="eastAsia"/>
          <w:sz w:val="29"/>
          <w:szCs w:val="29"/>
        </w:rPr>
        <w:t>1. </w:t>
      </w:r>
      <w:r>
        <w:rPr>
          <w:rFonts w:hint="eastAsia"/>
          <w:b/>
          <w:bCs/>
          <w:sz w:val="29"/>
          <w:szCs w:val="29"/>
        </w:rPr>
        <w:t>规划定位</w:t>
      </w:r>
      <w:bookmarkEnd w:id="1"/>
    </w:p>
    <w:p w14:paraId="209C988A">
      <w:pPr>
        <w:pStyle w:val="20"/>
        <w:shd w:val="clear" w:color="auto" w:fill="FFFFFF"/>
        <w:spacing w:after="240" w:afterAutospacing="0"/>
        <w:ind w:firstLine="580" w:firstLineChars="200"/>
        <w:jc w:val="both"/>
        <w:rPr>
          <w:sz w:val="29"/>
          <w:szCs w:val="29"/>
        </w:rPr>
      </w:pPr>
      <w:bookmarkStart w:id="2" w:name="OLE_LINK161"/>
      <w:bookmarkStart w:id="3" w:name="OLE_LINK163"/>
      <w:bookmarkStart w:id="4" w:name="OLE_LINK164"/>
      <w:bookmarkStart w:id="5" w:name="OLE_LINK162"/>
      <w:r>
        <w:rPr>
          <w:sz w:val="29"/>
          <w:szCs w:val="29"/>
        </w:rPr>
        <w:t>规划充分对接江东新区CBD拓展区的战略发展需求，承接滨海片区高端服务功能外溢，以“国际社区”为总体定位，秉持高标准建设与高品质运营理念，打造集国际化生活与休闲功能于一体的复合型片区。通过与周边区域实现功能错位与协同发展，致力于成为辐射江东新区的国际化高品质生活示范区与绿色休闲后花园，助力提升区域整体人居环境和国际竞争力。</w:t>
      </w:r>
    </w:p>
    <w:p w14:paraId="213EDADE">
      <w:pPr>
        <w:pStyle w:val="8"/>
        <w:shd w:val="clear" w:color="auto" w:fill="FFFFFF"/>
        <w:spacing w:before="0" w:beforeAutospacing="0" w:after="0" w:afterAutospacing="0"/>
        <w:ind w:firstLine="555"/>
        <w:jc w:val="both"/>
        <w:rPr>
          <w:color w:val="FF0000"/>
          <w:sz w:val="29"/>
          <w:szCs w:val="29"/>
        </w:rPr>
      </w:pPr>
      <w:r>
        <w:rPr>
          <w:sz w:val="29"/>
          <w:szCs w:val="29"/>
        </w:rPr>
        <w:t>规划依托区位优势与周边资源特征，以打造“江东北中心·多彩乐居地”为核心目标，为江东新区国际人才与创业精英打造融合多元功能、引领全新生活方式的混合活力街区。在此基础上，片区主导功能聚焦高端居住组团，将按国际化标准建设，着力塑造宜居高品质典范区，全面引领片区生活升级，助力构建宜居新高地、推动品质化发展与精细化治理，呼应片区高质量快速成型的整体目标。</w:t>
      </w:r>
    </w:p>
    <w:bookmarkEnd w:id="2"/>
    <w:bookmarkEnd w:id="3"/>
    <w:bookmarkEnd w:id="4"/>
    <w:bookmarkEnd w:id="5"/>
    <w:p w14:paraId="29AC672C">
      <w:pPr>
        <w:pStyle w:val="16"/>
        <w:shd w:val="clear" w:color="auto" w:fill="FFFFFF"/>
        <w:spacing w:before="0" w:beforeAutospacing="0" w:after="0" w:afterAutospacing="0" w:line="600" w:lineRule="atLeast"/>
        <w:ind w:left="615" w:firstLine="15"/>
        <w:rPr>
          <w:b/>
          <w:sz w:val="29"/>
          <w:szCs w:val="29"/>
        </w:rPr>
      </w:pPr>
      <w:r>
        <w:rPr>
          <w:rFonts w:hint="eastAsia"/>
          <w:b/>
          <w:sz w:val="29"/>
          <w:szCs w:val="29"/>
        </w:rPr>
        <w:t>2. 用地布局</w:t>
      </w:r>
    </w:p>
    <w:p w14:paraId="40D231DD">
      <w:pPr>
        <w:pStyle w:val="8"/>
        <w:shd w:val="clear" w:color="auto" w:fill="FFFFFF"/>
        <w:spacing w:before="0" w:beforeAutospacing="0" w:after="0" w:afterAutospacing="0"/>
        <w:ind w:firstLine="555"/>
        <w:rPr>
          <w:sz w:val="29"/>
          <w:szCs w:val="29"/>
        </w:rPr>
      </w:pPr>
      <w:r>
        <w:rPr>
          <w:rFonts w:hint="eastAsia"/>
          <w:sz w:val="29"/>
          <w:szCs w:val="29"/>
        </w:rPr>
        <w:t>（1）居住用地</w:t>
      </w:r>
    </w:p>
    <w:p w14:paraId="7AC722BD">
      <w:pPr>
        <w:pStyle w:val="8"/>
        <w:shd w:val="clear" w:color="auto" w:fill="FFFFFF"/>
        <w:spacing w:before="0" w:beforeAutospacing="0" w:after="0" w:afterAutospacing="0"/>
        <w:ind w:firstLine="555"/>
        <w:jc w:val="both"/>
        <w:rPr>
          <w:sz w:val="29"/>
          <w:szCs w:val="29"/>
        </w:rPr>
      </w:pPr>
      <w:r>
        <w:rPr>
          <w:sz w:val="29"/>
          <w:szCs w:val="29"/>
        </w:rPr>
        <w:t>规划居住用地为二类城镇住宅用地</w:t>
      </w:r>
      <w:r>
        <w:rPr>
          <w:rFonts w:hint="eastAsia"/>
          <w:sz w:val="29"/>
          <w:szCs w:val="29"/>
        </w:rPr>
        <w:t>，规划居住用地面积5</w:t>
      </w:r>
      <w:r>
        <w:rPr>
          <w:sz w:val="29"/>
          <w:szCs w:val="29"/>
        </w:rPr>
        <w:t>6.11</w:t>
      </w:r>
      <w:r>
        <w:rPr>
          <w:rFonts w:hint="eastAsia"/>
          <w:sz w:val="29"/>
          <w:szCs w:val="29"/>
        </w:rPr>
        <w:t>公顷，</w:t>
      </w:r>
      <w:r>
        <w:rPr>
          <w:sz w:val="29"/>
          <w:szCs w:val="29"/>
        </w:rPr>
        <w:t>约占城市建设</w:t>
      </w:r>
      <w:r>
        <w:rPr>
          <w:rFonts w:hint="eastAsia"/>
          <w:sz w:val="29"/>
          <w:szCs w:val="29"/>
        </w:rPr>
        <w:t>用地</w:t>
      </w:r>
      <w:r>
        <w:rPr>
          <w:sz w:val="29"/>
          <w:szCs w:val="29"/>
        </w:rPr>
        <w:t>的50.77%</w:t>
      </w:r>
      <w:r>
        <w:rPr>
          <w:rFonts w:hint="eastAsia"/>
          <w:sz w:val="29"/>
          <w:szCs w:val="29"/>
        </w:rPr>
        <w:t>。</w:t>
      </w:r>
    </w:p>
    <w:p w14:paraId="2E741A4B">
      <w:pPr>
        <w:pStyle w:val="8"/>
        <w:shd w:val="clear" w:color="auto" w:fill="FFFFFF"/>
        <w:spacing w:before="0" w:beforeAutospacing="0" w:after="0" w:afterAutospacing="0"/>
        <w:ind w:firstLine="555"/>
        <w:rPr>
          <w:sz w:val="32"/>
          <w:szCs w:val="32"/>
        </w:rPr>
      </w:pPr>
      <w:r>
        <w:rPr>
          <w:rFonts w:hint="eastAsia"/>
          <w:sz w:val="29"/>
          <w:szCs w:val="29"/>
        </w:rPr>
        <w:t>（2）公共管理与公共服务用地</w:t>
      </w:r>
    </w:p>
    <w:p w14:paraId="31F63F4C">
      <w:pPr>
        <w:pStyle w:val="8"/>
        <w:shd w:val="clear" w:color="auto" w:fill="FFFFFF"/>
        <w:spacing w:before="0" w:beforeAutospacing="0" w:after="0" w:afterAutospacing="0"/>
        <w:ind w:firstLine="555"/>
        <w:rPr>
          <w:sz w:val="29"/>
          <w:szCs w:val="29"/>
        </w:rPr>
      </w:pPr>
      <w:r>
        <w:rPr>
          <w:sz w:val="29"/>
          <w:szCs w:val="29"/>
        </w:rPr>
        <w:t>规划公共管理与公共服务设施用地</w:t>
      </w:r>
      <w:r>
        <w:rPr>
          <w:rFonts w:hint="eastAsia"/>
          <w:sz w:val="29"/>
          <w:szCs w:val="29"/>
        </w:rPr>
        <w:t>13.77</w:t>
      </w:r>
      <w:r>
        <w:rPr>
          <w:sz w:val="29"/>
          <w:szCs w:val="29"/>
        </w:rPr>
        <w:t>公顷，约占城市建设用地面积的1</w:t>
      </w:r>
      <w:r>
        <w:rPr>
          <w:rFonts w:hint="eastAsia"/>
          <w:sz w:val="29"/>
          <w:szCs w:val="29"/>
        </w:rPr>
        <w:t>2.</w:t>
      </w:r>
      <w:r>
        <w:rPr>
          <w:sz w:val="29"/>
          <w:szCs w:val="29"/>
        </w:rPr>
        <w:t>46%。结合</w:t>
      </w:r>
      <w:r>
        <w:rPr>
          <w:rFonts w:hint="eastAsia"/>
          <w:sz w:val="29"/>
          <w:szCs w:val="29"/>
        </w:rPr>
        <w:t>客群</w:t>
      </w:r>
      <w:r>
        <w:rPr>
          <w:sz w:val="29"/>
          <w:szCs w:val="29"/>
        </w:rPr>
        <w:t>需求，</w:t>
      </w:r>
      <w:r>
        <w:rPr>
          <w:rFonts w:hint="eastAsia"/>
          <w:sz w:val="29"/>
          <w:szCs w:val="29"/>
        </w:rPr>
        <w:t>以国际化标准打造</w:t>
      </w:r>
      <w:r>
        <w:rPr>
          <w:sz w:val="29"/>
          <w:szCs w:val="29"/>
        </w:rPr>
        <w:t>公共服务</w:t>
      </w:r>
      <w:r>
        <w:rPr>
          <w:rFonts w:hint="eastAsia"/>
          <w:sz w:val="29"/>
          <w:szCs w:val="29"/>
        </w:rPr>
        <w:t>设施</w:t>
      </w:r>
      <w:r>
        <w:rPr>
          <w:sz w:val="29"/>
          <w:szCs w:val="29"/>
        </w:rPr>
        <w:t>，完善城市公共服务设施网络。</w:t>
      </w:r>
    </w:p>
    <w:p w14:paraId="4F6FDE07">
      <w:pPr>
        <w:pStyle w:val="8"/>
        <w:shd w:val="clear" w:color="auto" w:fill="FFFFFF"/>
        <w:spacing w:before="0" w:beforeAutospacing="0" w:after="0" w:afterAutospacing="0"/>
        <w:ind w:firstLine="555"/>
        <w:jc w:val="both"/>
        <w:rPr>
          <w:sz w:val="32"/>
          <w:szCs w:val="32"/>
        </w:rPr>
      </w:pPr>
      <w:r>
        <w:rPr>
          <w:rFonts w:hint="eastAsia"/>
          <w:sz w:val="29"/>
          <w:szCs w:val="29"/>
        </w:rPr>
        <w:t>（3）商业服务业用地</w:t>
      </w:r>
    </w:p>
    <w:p w14:paraId="7141BE12">
      <w:pPr>
        <w:pStyle w:val="8"/>
        <w:shd w:val="clear" w:color="auto" w:fill="FFFFFF"/>
        <w:spacing w:before="0" w:beforeAutospacing="0" w:after="0" w:afterAutospacing="0"/>
        <w:ind w:firstLine="555"/>
        <w:jc w:val="both"/>
        <w:rPr>
          <w:sz w:val="29"/>
          <w:szCs w:val="29"/>
        </w:rPr>
      </w:pPr>
      <w:r>
        <w:rPr>
          <w:sz w:val="29"/>
          <w:szCs w:val="29"/>
        </w:rPr>
        <w:t>规划商业服务业设施用地</w:t>
      </w:r>
      <w:r>
        <w:rPr>
          <w:rFonts w:hint="eastAsia"/>
          <w:sz w:val="29"/>
          <w:szCs w:val="29"/>
        </w:rPr>
        <w:t>10.</w:t>
      </w:r>
      <w:r>
        <w:rPr>
          <w:sz w:val="29"/>
          <w:szCs w:val="29"/>
        </w:rPr>
        <w:t>77公顷，约占建设用地总量的</w:t>
      </w:r>
      <w:r>
        <w:rPr>
          <w:rFonts w:hint="eastAsia"/>
          <w:sz w:val="29"/>
          <w:szCs w:val="29"/>
        </w:rPr>
        <w:t>9.</w:t>
      </w:r>
      <w:r>
        <w:rPr>
          <w:sz w:val="29"/>
          <w:szCs w:val="29"/>
        </w:rPr>
        <w:t>74%。采用混合用地方式，增强用地弹性及城市活力</w:t>
      </w:r>
      <w:r>
        <w:rPr>
          <w:rFonts w:hint="eastAsia"/>
          <w:sz w:val="29"/>
          <w:szCs w:val="29"/>
        </w:rPr>
        <w:t>，形成商业/文化混合用地、公寓/文化混合用地、商业/娱乐康体混合用地</w:t>
      </w:r>
      <w:r>
        <w:rPr>
          <w:sz w:val="29"/>
          <w:szCs w:val="29"/>
        </w:rPr>
        <w:t>。</w:t>
      </w:r>
    </w:p>
    <w:p w14:paraId="1F19EFE1">
      <w:pPr>
        <w:pStyle w:val="8"/>
        <w:shd w:val="clear" w:color="auto" w:fill="FFFFFF"/>
        <w:spacing w:before="0" w:beforeAutospacing="0" w:after="0" w:afterAutospacing="0"/>
        <w:ind w:firstLine="555"/>
        <w:rPr>
          <w:sz w:val="29"/>
          <w:szCs w:val="29"/>
        </w:rPr>
      </w:pPr>
      <w:r>
        <w:rPr>
          <w:rFonts w:hint="eastAsia"/>
          <w:sz w:val="29"/>
          <w:szCs w:val="29"/>
        </w:rPr>
        <w:t>（</w:t>
      </w:r>
      <w:r>
        <w:rPr>
          <w:sz w:val="29"/>
          <w:szCs w:val="29"/>
        </w:rPr>
        <w:t>4</w:t>
      </w:r>
      <w:r>
        <w:rPr>
          <w:rFonts w:hint="eastAsia"/>
          <w:sz w:val="29"/>
          <w:szCs w:val="29"/>
        </w:rPr>
        <w:t>）</w:t>
      </w:r>
      <w:bookmarkStart w:id="6" w:name="OLE_LINK176"/>
      <w:bookmarkStart w:id="7" w:name="OLE_LINK175"/>
      <w:r>
        <w:rPr>
          <w:rFonts w:hint="eastAsia"/>
          <w:sz w:val="29"/>
          <w:szCs w:val="29"/>
        </w:rPr>
        <w:t>绿地与开敞空间用地</w:t>
      </w:r>
    </w:p>
    <w:bookmarkEnd w:id="6"/>
    <w:bookmarkEnd w:id="7"/>
    <w:p w14:paraId="76705884">
      <w:pPr>
        <w:pStyle w:val="5"/>
        <w:spacing w:after="240" w:line="328" w:lineRule="auto"/>
        <w:ind w:right="595" w:firstLine="580" w:firstLineChars="200"/>
        <w:jc w:val="both"/>
        <w:rPr>
          <w:rFonts w:ascii="宋体" w:hAnsi="宋体" w:eastAsia="宋体" w:cs="宋体"/>
          <w:sz w:val="29"/>
          <w:szCs w:val="29"/>
          <w:lang w:val="en-US" w:bidi="ar-SA"/>
        </w:rPr>
      </w:pPr>
      <w:bookmarkStart w:id="8" w:name="OLE_LINK45"/>
      <w:bookmarkStart w:id="9" w:name="OLE_LINK46"/>
      <w:r>
        <w:rPr>
          <w:rFonts w:hint="eastAsia" w:ascii="宋体" w:hAnsi="宋体" w:eastAsia="宋体" w:cs="宋体"/>
          <w:sz w:val="29"/>
          <w:szCs w:val="29"/>
          <w:lang w:val="en-US" w:bidi="ar-SA"/>
        </w:rPr>
        <w:t>规划公园绿地面积</w:t>
      </w:r>
      <w:r>
        <w:rPr>
          <w:rFonts w:ascii="宋体" w:hAnsi="宋体" w:eastAsia="宋体" w:cs="宋体"/>
          <w:sz w:val="29"/>
          <w:szCs w:val="29"/>
          <w:lang w:val="en-US" w:bidi="ar-SA"/>
        </w:rPr>
        <w:t>9.74</w:t>
      </w:r>
      <w:r>
        <w:rPr>
          <w:rFonts w:hint="eastAsia" w:ascii="宋体" w:hAnsi="宋体" w:eastAsia="宋体" w:cs="宋体"/>
          <w:sz w:val="29"/>
          <w:szCs w:val="29"/>
          <w:lang w:val="en-US" w:bidi="ar-SA"/>
        </w:rPr>
        <w:t>公顷，约占城市建设用地面积的</w:t>
      </w:r>
      <w:r>
        <w:rPr>
          <w:rFonts w:ascii="宋体" w:hAnsi="宋体" w:eastAsia="宋体" w:cs="宋体"/>
          <w:sz w:val="29"/>
          <w:szCs w:val="29"/>
          <w:lang w:val="en-US" w:bidi="ar-SA"/>
        </w:rPr>
        <w:t>8.81</w:t>
      </w:r>
      <w:r>
        <w:rPr>
          <w:rFonts w:hint="eastAsia" w:ascii="宋体" w:hAnsi="宋体" w:eastAsia="宋体" w:cs="宋体"/>
          <w:sz w:val="29"/>
          <w:szCs w:val="29"/>
          <w:lang w:val="en-US" w:bidi="ar-SA"/>
        </w:rPr>
        <w:t>%。规划中央公园一处，位于规划区核心位置，</w:t>
      </w:r>
      <w:bookmarkEnd w:id="8"/>
      <w:bookmarkEnd w:id="9"/>
      <w:r>
        <w:rPr>
          <w:rFonts w:hint="eastAsia" w:ascii="宋体" w:hAnsi="宋体" w:eastAsia="宋体" w:cs="宋体"/>
          <w:sz w:val="29"/>
          <w:szCs w:val="29"/>
          <w:lang w:val="en-US" w:bidi="ar-SA"/>
        </w:rPr>
        <w:t>面积5.</w:t>
      </w:r>
      <w:r>
        <w:rPr>
          <w:rFonts w:ascii="宋体" w:hAnsi="宋体" w:eastAsia="宋体" w:cs="宋体"/>
          <w:sz w:val="29"/>
          <w:szCs w:val="29"/>
          <w:lang w:val="en-US" w:bidi="ar-SA"/>
        </w:rPr>
        <w:t>29</w:t>
      </w:r>
      <w:r>
        <w:rPr>
          <w:rFonts w:hint="eastAsia" w:ascii="宋体" w:hAnsi="宋体" w:eastAsia="宋体" w:cs="宋体"/>
          <w:sz w:val="29"/>
          <w:szCs w:val="29"/>
          <w:lang w:val="en-US" w:bidi="ar-SA"/>
        </w:rPr>
        <w:t>公顷，占城市建设用地总量的</w:t>
      </w:r>
      <w:r>
        <w:rPr>
          <w:rFonts w:ascii="宋体" w:hAnsi="宋体" w:eastAsia="宋体" w:cs="宋体"/>
          <w:sz w:val="29"/>
          <w:szCs w:val="29"/>
          <w:lang w:val="en-US" w:bidi="ar-SA"/>
        </w:rPr>
        <w:t>4.79</w:t>
      </w:r>
      <w:r>
        <w:rPr>
          <w:rFonts w:hint="eastAsia" w:ascii="宋体" w:hAnsi="宋体" w:eastAsia="宋体" w:cs="宋体"/>
          <w:sz w:val="29"/>
          <w:szCs w:val="29"/>
          <w:lang w:val="en-US" w:bidi="ar-SA"/>
        </w:rPr>
        <w:t>%。其余公园绿地为沿主要道路规划带状公园，面积4.4</w:t>
      </w:r>
      <w:r>
        <w:rPr>
          <w:rFonts w:ascii="宋体" w:hAnsi="宋体" w:eastAsia="宋体" w:cs="宋体"/>
          <w:sz w:val="29"/>
          <w:szCs w:val="29"/>
          <w:lang w:val="en-US" w:bidi="ar-SA"/>
        </w:rPr>
        <w:t>5</w:t>
      </w:r>
      <w:r>
        <w:rPr>
          <w:rFonts w:hint="eastAsia" w:ascii="宋体" w:hAnsi="宋体" w:eastAsia="宋体" w:cs="宋体"/>
          <w:sz w:val="29"/>
          <w:szCs w:val="29"/>
          <w:lang w:val="en-US" w:bidi="ar-SA"/>
        </w:rPr>
        <w:t>公顷，占城市建设用地总量的4.</w:t>
      </w:r>
      <w:r>
        <w:rPr>
          <w:rFonts w:ascii="宋体" w:hAnsi="宋体" w:eastAsia="宋体" w:cs="宋体"/>
          <w:sz w:val="29"/>
          <w:szCs w:val="29"/>
          <w:lang w:val="en-US" w:bidi="ar-SA"/>
        </w:rPr>
        <w:t>02</w:t>
      </w:r>
      <w:r>
        <w:rPr>
          <w:rFonts w:hint="eastAsia" w:ascii="宋体" w:hAnsi="宋体" w:eastAsia="宋体" w:cs="宋体"/>
          <w:sz w:val="29"/>
          <w:szCs w:val="29"/>
          <w:lang w:val="en-US" w:bidi="ar-SA"/>
        </w:rPr>
        <w:t>%。</w:t>
      </w:r>
    </w:p>
    <w:p w14:paraId="7ABC3AFE">
      <w:pPr>
        <w:pStyle w:val="8"/>
        <w:shd w:val="clear" w:color="auto" w:fill="FFFFFF"/>
        <w:spacing w:before="0" w:beforeAutospacing="0" w:after="0" w:afterAutospacing="0"/>
        <w:ind w:firstLine="555"/>
        <w:rPr>
          <w:sz w:val="29"/>
          <w:szCs w:val="29"/>
        </w:rPr>
      </w:pPr>
      <w:r>
        <w:rPr>
          <w:rFonts w:hint="eastAsia"/>
          <w:sz w:val="29"/>
          <w:szCs w:val="29"/>
        </w:rPr>
        <w:t>（</w:t>
      </w:r>
      <w:r>
        <w:rPr>
          <w:sz w:val="29"/>
          <w:szCs w:val="29"/>
        </w:rPr>
        <w:t>5</w:t>
      </w:r>
      <w:r>
        <w:rPr>
          <w:rFonts w:hint="eastAsia"/>
          <w:sz w:val="29"/>
          <w:szCs w:val="29"/>
        </w:rPr>
        <w:t>）城镇道路用地</w:t>
      </w:r>
    </w:p>
    <w:p w14:paraId="6954C30B">
      <w:pPr>
        <w:pStyle w:val="5"/>
        <w:spacing w:after="240" w:line="328" w:lineRule="auto"/>
        <w:ind w:right="595" w:firstLine="580" w:firstLineChars="200"/>
        <w:jc w:val="both"/>
        <w:rPr>
          <w:rFonts w:ascii="宋体" w:hAnsi="宋体" w:eastAsia="宋体" w:cs="宋体"/>
          <w:sz w:val="29"/>
          <w:szCs w:val="29"/>
          <w:lang w:val="en-US" w:bidi="ar-SA"/>
        </w:rPr>
      </w:pPr>
      <w:r>
        <w:rPr>
          <w:rFonts w:hint="eastAsia" w:ascii="宋体" w:hAnsi="宋体" w:eastAsia="宋体" w:cs="宋体"/>
          <w:sz w:val="29"/>
          <w:szCs w:val="29"/>
          <w:lang w:val="en-US" w:bidi="ar-SA"/>
        </w:rPr>
        <w:t>规划城镇道路用地</w:t>
      </w:r>
      <w:r>
        <w:rPr>
          <w:rFonts w:ascii="宋体" w:hAnsi="宋体" w:eastAsia="宋体" w:cs="宋体"/>
          <w:sz w:val="29"/>
          <w:szCs w:val="29"/>
          <w:lang w:val="en-US" w:bidi="ar-SA"/>
        </w:rPr>
        <w:t>面积为</w:t>
      </w:r>
      <w:r>
        <w:rPr>
          <w:rFonts w:hint="eastAsia" w:ascii="宋体" w:hAnsi="宋体" w:eastAsia="宋体" w:cs="宋体"/>
          <w:sz w:val="29"/>
          <w:szCs w:val="29"/>
          <w:lang w:val="en-US" w:bidi="ar-SA"/>
        </w:rPr>
        <w:t>20.14</w:t>
      </w:r>
      <w:r>
        <w:rPr>
          <w:rFonts w:ascii="宋体" w:hAnsi="宋体" w:eastAsia="宋体" w:cs="宋体"/>
          <w:sz w:val="29"/>
          <w:szCs w:val="29"/>
          <w:lang w:val="en-US" w:bidi="ar-SA"/>
        </w:rPr>
        <w:t>公顷，约占城市建设用地面积的</w:t>
      </w:r>
      <w:r>
        <w:rPr>
          <w:rFonts w:hint="eastAsia" w:ascii="宋体" w:hAnsi="宋体" w:eastAsia="宋体" w:cs="宋体"/>
          <w:sz w:val="29"/>
          <w:szCs w:val="29"/>
          <w:lang w:val="en-US" w:bidi="ar-SA"/>
        </w:rPr>
        <w:t>18.</w:t>
      </w:r>
      <w:r>
        <w:rPr>
          <w:rFonts w:ascii="宋体" w:hAnsi="宋体" w:eastAsia="宋体" w:cs="宋体"/>
          <w:sz w:val="29"/>
          <w:szCs w:val="29"/>
          <w:lang w:val="en-US" w:bidi="ar-SA"/>
        </w:rPr>
        <w:t>2</w:t>
      </w:r>
      <w:r>
        <w:rPr>
          <w:rFonts w:hint="eastAsia" w:ascii="宋体" w:hAnsi="宋体" w:eastAsia="宋体" w:cs="宋体"/>
          <w:sz w:val="29"/>
          <w:szCs w:val="29"/>
          <w:lang w:val="en-US" w:bidi="ar-SA"/>
        </w:rPr>
        <w:t>2</w:t>
      </w:r>
      <w:r>
        <w:rPr>
          <w:rFonts w:ascii="宋体" w:hAnsi="宋体" w:eastAsia="宋体" w:cs="宋体"/>
          <w:sz w:val="29"/>
          <w:szCs w:val="29"/>
          <w:lang w:val="en-US" w:bidi="ar-SA"/>
        </w:rPr>
        <w:t>%。</w:t>
      </w:r>
    </w:p>
    <w:p w14:paraId="2008C726">
      <w:pPr>
        <w:pStyle w:val="8"/>
        <w:shd w:val="clear" w:color="auto" w:fill="FFFFFF"/>
        <w:spacing w:before="0" w:beforeAutospacing="0" w:after="0" w:afterAutospacing="0"/>
        <w:ind w:firstLine="555"/>
        <w:rPr>
          <w:sz w:val="32"/>
          <w:szCs w:val="32"/>
        </w:rPr>
      </w:pPr>
      <w:r>
        <w:rPr>
          <w:rFonts w:hint="eastAsia"/>
          <w:sz w:val="29"/>
          <w:szCs w:val="29"/>
        </w:rPr>
        <w:t>（</w:t>
      </w:r>
      <w:r>
        <w:rPr>
          <w:sz w:val="29"/>
          <w:szCs w:val="29"/>
        </w:rPr>
        <w:t>6</w:t>
      </w:r>
      <w:r>
        <w:rPr>
          <w:rFonts w:hint="eastAsia"/>
          <w:sz w:val="29"/>
          <w:szCs w:val="29"/>
        </w:rPr>
        <w:t>）非建设用地</w:t>
      </w:r>
    </w:p>
    <w:p w14:paraId="46C28193">
      <w:pPr>
        <w:pStyle w:val="8"/>
        <w:shd w:val="clear" w:color="auto" w:fill="FFFFFF"/>
        <w:spacing w:before="0" w:beforeAutospacing="0" w:after="0" w:afterAutospacing="0"/>
        <w:ind w:firstLine="555"/>
        <w:rPr>
          <w:sz w:val="29"/>
          <w:szCs w:val="29"/>
        </w:rPr>
      </w:pPr>
      <w:r>
        <w:rPr>
          <w:rFonts w:hint="eastAsia"/>
          <w:sz w:val="29"/>
          <w:szCs w:val="29"/>
        </w:rPr>
        <w:t>规划非建设用地主要为规划范围内陆域水域用地，规划非建设用地面积总计</w:t>
      </w:r>
      <w:r>
        <w:rPr>
          <w:sz w:val="29"/>
          <w:szCs w:val="29"/>
        </w:rPr>
        <w:t>1.2</w:t>
      </w:r>
      <w:r>
        <w:rPr>
          <w:rFonts w:hint="eastAsia"/>
          <w:sz w:val="29"/>
          <w:szCs w:val="29"/>
        </w:rPr>
        <w:t>公顷。</w:t>
      </w:r>
    </w:p>
    <w:p w14:paraId="41365D8E">
      <w:pPr>
        <w:pStyle w:val="16"/>
        <w:shd w:val="clear" w:color="auto" w:fill="FFFFFF"/>
        <w:spacing w:before="0" w:beforeAutospacing="0" w:after="0" w:afterAutospacing="0" w:line="600" w:lineRule="atLeast"/>
        <w:ind w:left="615" w:firstLine="15"/>
        <w:rPr>
          <w:b/>
          <w:sz w:val="29"/>
          <w:szCs w:val="29"/>
        </w:rPr>
      </w:pPr>
      <w:r>
        <w:rPr>
          <w:b/>
          <w:sz w:val="29"/>
          <w:szCs w:val="29"/>
        </w:rPr>
        <w:t>3.</w:t>
      </w:r>
      <w:r>
        <w:rPr>
          <w:rFonts w:hint="eastAsia"/>
          <w:b/>
          <w:sz w:val="29"/>
          <w:szCs w:val="29"/>
        </w:rPr>
        <w:t>用地平衡表</w:t>
      </w:r>
    </w:p>
    <w:tbl>
      <w:tblPr>
        <w:tblStyle w:val="9"/>
        <w:tblW w:w="10039" w:type="dxa"/>
        <w:jc w:val="center"/>
        <w:tblLayout w:type="autofit"/>
        <w:tblCellMar>
          <w:top w:w="0" w:type="dxa"/>
          <w:left w:w="108" w:type="dxa"/>
          <w:bottom w:w="0" w:type="dxa"/>
          <w:right w:w="108" w:type="dxa"/>
        </w:tblCellMar>
      </w:tblPr>
      <w:tblGrid>
        <w:gridCol w:w="699"/>
        <w:gridCol w:w="2003"/>
        <w:gridCol w:w="1418"/>
        <w:gridCol w:w="2551"/>
        <w:gridCol w:w="1701"/>
        <w:gridCol w:w="1667"/>
      </w:tblGrid>
      <w:tr w14:paraId="1298DBE2">
        <w:trPr>
          <w:trHeight w:val="398" w:hRule="atLeast"/>
          <w:jc w:val="center"/>
        </w:trPr>
        <w:tc>
          <w:tcPr>
            <w:tcW w:w="699" w:type="dxa"/>
            <w:tcBorders>
              <w:top w:val="single" w:color="000000" w:sz="8" w:space="0"/>
              <w:left w:val="single" w:color="000000" w:sz="8" w:space="0"/>
              <w:bottom w:val="single" w:color="000000" w:sz="8" w:space="0"/>
              <w:right w:val="single" w:color="000000" w:sz="8" w:space="0"/>
            </w:tcBorders>
            <w:shd w:val="clear" w:color="auto" w:fill="BEBEBE" w:themeFill="background1" w:themeFillShade="BF"/>
          </w:tcPr>
          <w:p w14:paraId="123C05BB">
            <w:pPr>
              <w:widowControl/>
              <w:jc w:val="center"/>
              <w:rPr>
                <w:rFonts w:ascii="楷体" w:hAnsi="Times New Roman" w:eastAsia="楷体" w:cs="Times New Roman"/>
                <w:b/>
                <w:kern w:val="0"/>
                <w:lang w:bidi="zh-CN"/>
              </w:rPr>
            </w:pPr>
            <w:r>
              <w:rPr>
                <w:rFonts w:hint="eastAsia" w:ascii="楷体" w:hAnsi="Times New Roman" w:eastAsia="楷体" w:cs="Times New Roman"/>
                <w:b/>
                <w:kern w:val="0"/>
                <w:lang w:bidi="zh-CN"/>
              </w:rPr>
              <w:t>序号</w:t>
            </w:r>
          </w:p>
        </w:tc>
        <w:tc>
          <w:tcPr>
            <w:tcW w:w="5972" w:type="dxa"/>
            <w:gridSpan w:val="3"/>
            <w:tcBorders>
              <w:top w:val="single" w:color="000000" w:sz="8" w:space="0"/>
              <w:left w:val="single" w:color="000000" w:sz="8" w:space="0"/>
              <w:bottom w:val="single" w:color="000000" w:sz="8" w:space="0"/>
              <w:right w:val="single" w:color="000000" w:sz="8" w:space="0"/>
            </w:tcBorders>
            <w:shd w:val="clear" w:color="auto" w:fill="BEBEBE" w:themeFill="background1" w:themeFillShade="BF"/>
          </w:tcPr>
          <w:p w14:paraId="5729C0AB">
            <w:pPr>
              <w:widowControl/>
              <w:jc w:val="center"/>
              <w:rPr>
                <w:rFonts w:ascii="楷体" w:hAnsi="Times New Roman" w:eastAsia="楷体" w:cs="Times New Roman"/>
                <w:b/>
                <w:kern w:val="0"/>
                <w:lang w:bidi="zh-CN"/>
              </w:rPr>
            </w:pPr>
            <w:r>
              <w:rPr>
                <w:rFonts w:ascii="楷体" w:hAnsi="Times New Roman" w:eastAsia="楷体" w:cs="Times New Roman"/>
                <w:b/>
                <w:kern w:val="0"/>
                <w:lang w:bidi="zh-CN"/>
              </w:rPr>
              <w:t>用地类别</w:t>
            </w:r>
          </w:p>
        </w:tc>
        <w:tc>
          <w:tcPr>
            <w:tcW w:w="1701"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698310AE">
            <w:pPr>
              <w:widowControl/>
              <w:jc w:val="center"/>
              <w:rPr>
                <w:rFonts w:ascii="楷体" w:hAnsi="Times New Roman" w:eastAsia="楷体" w:cs="Times New Roman"/>
                <w:b/>
                <w:kern w:val="0"/>
                <w:lang w:bidi="zh-CN"/>
              </w:rPr>
            </w:pPr>
            <w:r>
              <w:rPr>
                <w:rFonts w:ascii="楷体" w:hAnsi="Times New Roman" w:eastAsia="楷体" w:cs="Times New Roman"/>
                <w:b/>
                <w:kern w:val="0"/>
                <w:lang w:bidi="zh-CN"/>
              </w:rPr>
              <w:t>用地面积</w:t>
            </w:r>
          </w:p>
          <w:p w14:paraId="0F3F9D2B">
            <w:pPr>
              <w:widowControl/>
              <w:jc w:val="center"/>
              <w:rPr>
                <w:rFonts w:ascii="楷体" w:hAnsi="Times New Roman" w:eastAsia="楷体" w:cs="Times New Roman"/>
                <w:b/>
                <w:kern w:val="0"/>
                <w:lang w:bidi="zh-CN"/>
              </w:rPr>
            </w:pPr>
            <w:r>
              <w:rPr>
                <w:rFonts w:ascii="楷体" w:hAnsi="Times New Roman" w:eastAsia="楷体" w:cs="Times New Roman"/>
                <w:b/>
                <w:kern w:val="0"/>
                <w:lang w:bidi="zh-CN"/>
              </w:rPr>
              <w:t>（平方米）</w:t>
            </w:r>
          </w:p>
        </w:tc>
        <w:tc>
          <w:tcPr>
            <w:tcW w:w="1667" w:type="dxa"/>
            <w:tcBorders>
              <w:top w:val="single" w:color="000000" w:sz="8" w:space="0"/>
              <w:left w:val="nil"/>
              <w:bottom w:val="single" w:color="000000" w:sz="8" w:space="0"/>
              <w:right w:val="single" w:color="000000" w:sz="8" w:space="0"/>
            </w:tcBorders>
            <w:shd w:val="clear" w:color="auto" w:fill="BEBEBE" w:themeFill="background1" w:themeFillShade="BF"/>
            <w:vAlign w:val="center"/>
          </w:tcPr>
          <w:p w14:paraId="4D97A409">
            <w:pPr>
              <w:widowControl/>
              <w:jc w:val="center"/>
              <w:rPr>
                <w:rFonts w:ascii="楷体" w:hAnsi="Times New Roman" w:eastAsia="楷体" w:cs="Times New Roman"/>
                <w:b/>
                <w:kern w:val="0"/>
                <w:lang w:bidi="zh-CN"/>
              </w:rPr>
            </w:pPr>
            <w:r>
              <w:rPr>
                <w:rFonts w:ascii="楷体" w:hAnsi="Times New Roman" w:eastAsia="楷体" w:cs="Times New Roman"/>
                <w:b/>
                <w:kern w:val="0"/>
                <w:lang w:bidi="zh-CN"/>
              </w:rPr>
              <w:t>占城市建设用地比例（</w:t>
            </w:r>
            <w:r>
              <w:rPr>
                <w:rFonts w:hint="eastAsia" w:ascii="楷体" w:hAnsi="Times New Roman" w:eastAsia="楷体" w:cs="Times New Roman"/>
                <w:b/>
                <w:kern w:val="0"/>
                <w:lang w:bidi="zh-CN"/>
              </w:rPr>
              <w:t>%</w:t>
            </w:r>
            <w:r>
              <w:rPr>
                <w:rFonts w:ascii="楷体" w:hAnsi="Times New Roman" w:eastAsia="楷体" w:cs="Times New Roman"/>
                <w:b/>
                <w:kern w:val="0"/>
                <w:lang w:bidi="zh-CN"/>
              </w:rPr>
              <w:t>）</w:t>
            </w:r>
          </w:p>
        </w:tc>
      </w:tr>
      <w:tr w14:paraId="45BE297A">
        <w:trPr>
          <w:trHeight w:val="376" w:hRule="atLeast"/>
          <w:jc w:val="center"/>
        </w:trPr>
        <w:tc>
          <w:tcPr>
            <w:tcW w:w="699" w:type="dxa"/>
            <w:tcBorders>
              <w:top w:val="nil"/>
              <w:left w:val="single" w:color="000000" w:sz="8" w:space="0"/>
              <w:bottom w:val="single" w:color="000000" w:sz="8" w:space="0"/>
              <w:right w:val="single" w:color="000000" w:sz="8" w:space="0"/>
            </w:tcBorders>
          </w:tcPr>
          <w:p w14:paraId="395187BD">
            <w:pPr>
              <w:widowControl/>
              <w:spacing w:line="480" w:lineRule="auto"/>
              <w:jc w:val="center"/>
              <w:rPr>
                <w:rFonts w:ascii="楷体" w:hAnsi="Times New Roman" w:eastAsia="楷体" w:cs="Times New Roman"/>
                <w:kern w:val="0"/>
                <w:lang w:bidi="zh-CN"/>
              </w:rPr>
            </w:pPr>
            <w:r>
              <w:rPr>
                <w:rFonts w:hint="eastAsia" w:ascii="楷体" w:hAnsi="Times New Roman" w:eastAsia="楷体" w:cs="Times New Roman"/>
                <w:kern w:val="0"/>
                <w:lang w:bidi="zh-CN"/>
              </w:rPr>
              <w:t>1</w:t>
            </w:r>
          </w:p>
        </w:tc>
        <w:tc>
          <w:tcPr>
            <w:tcW w:w="2003" w:type="dxa"/>
            <w:tcBorders>
              <w:top w:val="nil"/>
              <w:left w:val="single" w:color="000000" w:sz="8" w:space="0"/>
              <w:bottom w:val="single" w:color="000000" w:sz="8" w:space="0"/>
              <w:right w:val="single" w:color="000000" w:sz="8" w:space="0"/>
            </w:tcBorders>
          </w:tcPr>
          <w:p w14:paraId="320755C8">
            <w:pPr>
              <w:widowControl/>
              <w:spacing w:line="480" w:lineRule="auto"/>
              <w:jc w:val="center"/>
              <w:rPr>
                <w:rFonts w:ascii="楷体" w:hAnsi="Times New Roman" w:eastAsia="楷体" w:cs="Times New Roman"/>
                <w:kern w:val="0"/>
                <w:lang w:bidi="zh-CN"/>
              </w:rPr>
            </w:pPr>
            <w:bookmarkStart w:id="10" w:name="OLE_LINK32"/>
            <w:bookmarkStart w:id="11" w:name="OLE_LINK31"/>
            <w:r>
              <w:rPr>
                <w:rFonts w:hint="eastAsia" w:ascii="楷体" w:hAnsi="Times New Roman" w:eastAsia="楷体" w:cs="Times New Roman"/>
                <w:kern w:val="0"/>
                <w:lang w:bidi="zh-CN"/>
              </w:rPr>
              <w:t>0</w:t>
            </w:r>
            <w:r>
              <w:rPr>
                <w:rFonts w:ascii="楷体" w:hAnsi="Times New Roman" w:eastAsia="楷体" w:cs="Times New Roman"/>
                <w:kern w:val="0"/>
                <w:lang w:bidi="zh-CN"/>
              </w:rPr>
              <w:t>7</w:t>
            </w:r>
            <w:r>
              <w:rPr>
                <w:rFonts w:hint="eastAsia" w:ascii="楷体" w:hAnsi="Times New Roman" w:eastAsia="楷体" w:cs="Times New Roman"/>
                <w:kern w:val="0"/>
                <w:lang w:bidi="zh-CN"/>
              </w:rPr>
              <w:t>居住用地</w:t>
            </w:r>
          </w:p>
        </w:tc>
        <w:tc>
          <w:tcPr>
            <w:tcW w:w="1418" w:type="dxa"/>
            <w:tcBorders>
              <w:top w:val="nil"/>
              <w:left w:val="single" w:color="000000" w:sz="8" w:space="0"/>
              <w:bottom w:val="single" w:color="000000" w:sz="8" w:space="0"/>
              <w:right w:val="single" w:color="000000" w:sz="8" w:space="0"/>
            </w:tcBorders>
            <w:vAlign w:val="center"/>
          </w:tcPr>
          <w:p w14:paraId="41D198EF">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070102</w:t>
            </w:r>
          </w:p>
        </w:tc>
        <w:tc>
          <w:tcPr>
            <w:tcW w:w="2551" w:type="dxa"/>
            <w:tcBorders>
              <w:top w:val="nil"/>
              <w:left w:val="nil"/>
              <w:bottom w:val="single" w:color="000000" w:sz="8" w:space="0"/>
              <w:right w:val="single" w:color="000000" w:sz="8" w:space="0"/>
            </w:tcBorders>
            <w:vAlign w:val="center"/>
          </w:tcPr>
          <w:p w14:paraId="067836AF">
            <w:pPr>
              <w:widowControl/>
              <w:jc w:val="center"/>
              <w:rPr>
                <w:rFonts w:ascii="楷体" w:hAnsi="Times New Roman" w:eastAsia="楷体" w:cs="Times New Roman"/>
                <w:kern w:val="0"/>
                <w:lang w:bidi="zh-CN"/>
              </w:rPr>
            </w:pPr>
            <w:r>
              <w:rPr>
                <w:rFonts w:ascii="楷体" w:hAnsi="Times New Roman" w:eastAsia="楷体" w:cs="Times New Roman"/>
                <w:kern w:val="0"/>
                <w:lang w:bidi="zh-CN"/>
              </w:rPr>
              <w:t>二类城镇住宅用地</w:t>
            </w:r>
          </w:p>
        </w:tc>
        <w:tc>
          <w:tcPr>
            <w:tcW w:w="1701" w:type="dxa"/>
            <w:tcBorders>
              <w:top w:val="single" w:color="auto" w:sz="4" w:space="0"/>
              <w:left w:val="single" w:color="auto" w:sz="4" w:space="0"/>
              <w:bottom w:val="single" w:color="auto" w:sz="4" w:space="0"/>
              <w:right w:val="single" w:color="auto" w:sz="4" w:space="0"/>
            </w:tcBorders>
            <w:vAlign w:val="center"/>
          </w:tcPr>
          <w:p w14:paraId="26A11B35">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561146.53</w:t>
            </w:r>
          </w:p>
        </w:tc>
        <w:tc>
          <w:tcPr>
            <w:tcW w:w="1667" w:type="dxa"/>
            <w:tcBorders>
              <w:top w:val="single" w:color="auto" w:sz="4" w:space="0"/>
              <w:left w:val="single" w:color="auto" w:sz="4" w:space="0"/>
              <w:bottom w:val="single" w:color="auto" w:sz="4" w:space="0"/>
              <w:right w:val="single" w:color="auto" w:sz="4" w:space="0"/>
            </w:tcBorders>
            <w:vAlign w:val="center"/>
          </w:tcPr>
          <w:p w14:paraId="0D477FDC">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50.77</w:t>
            </w:r>
          </w:p>
        </w:tc>
      </w:tr>
      <w:tr w14:paraId="6249D902">
        <w:trPr>
          <w:trHeight w:val="191" w:hRule="atLeast"/>
          <w:jc w:val="center"/>
        </w:trPr>
        <w:tc>
          <w:tcPr>
            <w:tcW w:w="699" w:type="dxa"/>
            <w:tcBorders>
              <w:top w:val="nil"/>
              <w:left w:val="single" w:color="000000" w:sz="8" w:space="0"/>
              <w:right w:val="single" w:color="000000" w:sz="8" w:space="0"/>
            </w:tcBorders>
          </w:tcPr>
          <w:p w14:paraId="1E617221">
            <w:pPr>
              <w:widowControl/>
              <w:jc w:val="center"/>
              <w:rPr>
                <w:rFonts w:ascii="楷体" w:hAnsi="Times New Roman" w:eastAsia="楷体" w:cs="Times New Roman"/>
                <w:kern w:val="0"/>
                <w:lang w:bidi="zh-CN"/>
              </w:rPr>
            </w:pPr>
          </w:p>
        </w:tc>
        <w:tc>
          <w:tcPr>
            <w:tcW w:w="2003" w:type="dxa"/>
            <w:vMerge w:val="restart"/>
            <w:tcBorders>
              <w:top w:val="nil"/>
              <w:left w:val="single" w:color="000000" w:sz="8" w:space="0"/>
              <w:right w:val="single" w:color="000000" w:sz="8" w:space="0"/>
            </w:tcBorders>
          </w:tcPr>
          <w:p w14:paraId="541B238F">
            <w:pPr>
              <w:widowControl/>
              <w:jc w:val="center"/>
              <w:rPr>
                <w:rFonts w:ascii="楷体" w:hAnsi="Times New Roman" w:eastAsia="楷体" w:cs="Times New Roman"/>
                <w:kern w:val="0"/>
                <w:lang w:bidi="zh-CN"/>
              </w:rPr>
            </w:pPr>
          </w:p>
          <w:p w14:paraId="341F6E96">
            <w:pPr>
              <w:widowControl/>
              <w:jc w:val="center"/>
              <w:rPr>
                <w:rFonts w:ascii="楷体" w:hAnsi="Times New Roman" w:eastAsia="楷体" w:cs="Times New Roman"/>
                <w:kern w:val="0"/>
                <w:lang w:bidi="zh-CN"/>
              </w:rPr>
            </w:pPr>
          </w:p>
          <w:p w14:paraId="719ACC6D">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w:t>
            </w:r>
            <w:r>
              <w:rPr>
                <w:rFonts w:ascii="楷体" w:hAnsi="Times New Roman" w:eastAsia="楷体" w:cs="Times New Roman"/>
                <w:kern w:val="0"/>
                <w:lang w:bidi="zh-CN"/>
              </w:rPr>
              <w:t>8</w:t>
            </w:r>
            <w:r>
              <w:rPr>
                <w:rFonts w:hint="eastAsia" w:ascii="楷体" w:hAnsi="Times New Roman" w:eastAsia="楷体" w:cs="Times New Roman"/>
                <w:kern w:val="0"/>
                <w:lang w:bidi="zh-CN"/>
              </w:rPr>
              <w:t>公共管理与公共服务设施用地</w:t>
            </w:r>
          </w:p>
        </w:tc>
        <w:tc>
          <w:tcPr>
            <w:tcW w:w="1418" w:type="dxa"/>
            <w:tcBorders>
              <w:top w:val="nil"/>
              <w:left w:val="single" w:color="000000" w:sz="8" w:space="0"/>
              <w:bottom w:val="single" w:color="000000" w:sz="8" w:space="0"/>
              <w:right w:val="single" w:color="000000" w:sz="8" w:space="0"/>
            </w:tcBorders>
            <w:vAlign w:val="center"/>
          </w:tcPr>
          <w:p w14:paraId="5E04E954">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0802</w:t>
            </w:r>
          </w:p>
        </w:tc>
        <w:tc>
          <w:tcPr>
            <w:tcW w:w="2551" w:type="dxa"/>
            <w:tcBorders>
              <w:top w:val="nil"/>
              <w:left w:val="nil"/>
              <w:bottom w:val="single" w:color="000000" w:sz="8" w:space="0"/>
              <w:right w:val="single" w:color="000000" w:sz="8" w:space="0"/>
            </w:tcBorders>
            <w:vAlign w:val="center"/>
          </w:tcPr>
          <w:p w14:paraId="664514CB">
            <w:pPr>
              <w:widowControl/>
              <w:jc w:val="center"/>
              <w:rPr>
                <w:rFonts w:ascii="楷体" w:hAnsi="Times New Roman" w:eastAsia="楷体" w:cs="Times New Roman"/>
                <w:kern w:val="0"/>
                <w:lang w:bidi="zh-CN"/>
              </w:rPr>
            </w:pPr>
            <w:r>
              <w:rPr>
                <w:rFonts w:ascii="楷体" w:hAnsi="Times New Roman" w:eastAsia="楷体" w:cs="Times New Roman"/>
                <w:kern w:val="0"/>
                <w:lang w:bidi="zh-CN"/>
              </w:rPr>
              <w:t>科研用地</w:t>
            </w:r>
          </w:p>
        </w:tc>
        <w:tc>
          <w:tcPr>
            <w:tcW w:w="1701" w:type="dxa"/>
            <w:tcBorders>
              <w:top w:val="nil"/>
              <w:left w:val="single" w:color="auto" w:sz="4" w:space="0"/>
              <w:bottom w:val="single" w:color="auto" w:sz="4" w:space="0"/>
              <w:right w:val="single" w:color="auto" w:sz="4" w:space="0"/>
            </w:tcBorders>
            <w:vAlign w:val="center"/>
          </w:tcPr>
          <w:p w14:paraId="404A61CF">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7909.12</w:t>
            </w:r>
          </w:p>
        </w:tc>
        <w:tc>
          <w:tcPr>
            <w:tcW w:w="1667" w:type="dxa"/>
            <w:tcBorders>
              <w:top w:val="nil"/>
              <w:left w:val="single" w:color="auto" w:sz="4" w:space="0"/>
              <w:bottom w:val="single" w:color="auto" w:sz="4" w:space="0"/>
              <w:right w:val="single" w:color="auto" w:sz="4" w:space="0"/>
            </w:tcBorders>
            <w:vAlign w:val="center"/>
          </w:tcPr>
          <w:p w14:paraId="64DF0A3D">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0.72</w:t>
            </w:r>
          </w:p>
        </w:tc>
      </w:tr>
      <w:tr w14:paraId="7124A05C">
        <w:trPr>
          <w:trHeight w:val="191" w:hRule="atLeast"/>
          <w:jc w:val="center"/>
        </w:trPr>
        <w:tc>
          <w:tcPr>
            <w:tcW w:w="699" w:type="dxa"/>
            <w:tcBorders>
              <w:left w:val="single" w:color="000000" w:sz="8" w:space="0"/>
              <w:right w:val="single" w:color="000000" w:sz="8" w:space="0"/>
            </w:tcBorders>
          </w:tcPr>
          <w:p w14:paraId="3A6DD899">
            <w:pPr>
              <w:widowControl/>
              <w:jc w:val="center"/>
              <w:rPr>
                <w:rFonts w:ascii="楷体" w:hAnsi="Times New Roman" w:eastAsia="楷体" w:cs="Times New Roman"/>
                <w:kern w:val="0"/>
                <w:lang w:bidi="zh-CN"/>
              </w:rPr>
            </w:pPr>
          </w:p>
        </w:tc>
        <w:tc>
          <w:tcPr>
            <w:tcW w:w="2003" w:type="dxa"/>
            <w:vMerge w:val="continue"/>
            <w:tcBorders>
              <w:left w:val="single" w:color="000000" w:sz="8" w:space="0"/>
              <w:right w:val="single" w:color="000000" w:sz="8" w:space="0"/>
            </w:tcBorders>
          </w:tcPr>
          <w:p w14:paraId="033AF0F3">
            <w:pPr>
              <w:widowControl/>
              <w:jc w:val="center"/>
              <w:rPr>
                <w:rFonts w:ascii="楷体" w:hAnsi="Times New Roman" w:eastAsia="楷体" w:cs="Times New Roman"/>
                <w:kern w:val="0"/>
                <w:lang w:bidi="zh-CN"/>
              </w:rPr>
            </w:pPr>
          </w:p>
        </w:tc>
        <w:tc>
          <w:tcPr>
            <w:tcW w:w="1418" w:type="dxa"/>
            <w:tcBorders>
              <w:top w:val="nil"/>
              <w:left w:val="single" w:color="000000" w:sz="8" w:space="0"/>
              <w:bottom w:val="single" w:color="000000" w:sz="8" w:space="0"/>
              <w:right w:val="single" w:color="000000" w:sz="8" w:space="0"/>
            </w:tcBorders>
            <w:vAlign w:val="center"/>
          </w:tcPr>
          <w:p w14:paraId="59B35250">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0803</w:t>
            </w:r>
          </w:p>
        </w:tc>
        <w:tc>
          <w:tcPr>
            <w:tcW w:w="2551" w:type="dxa"/>
            <w:tcBorders>
              <w:top w:val="nil"/>
              <w:left w:val="nil"/>
              <w:bottom w:val="single" w:color="000000" w:sz="8" w:space="0"/>
              <w:right w:val="single" w:color="000000" w:sz="8" w:space="0"/>
            </w:tcBorders>
            <w:vAlign w:val="center"/>
          </w:tcPr>
          <w:p w14:paraId="19CA7A27">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文化用地</w:t>
            </w:r>
          </w:p>
        </w:tc>
        <w:tc>
          <w:tcPr>
            <w:tcW w:w="1701" w:type="dxa"/>
            <w:tcBorders>
              <w:top w:val="nil"/>
              <w:left w:val="single" w:color="auto" w:sz="4" w:space="0"/>
              <w:bottom w:val="single" w:color="auto" w:sz="4" w:space="0"/>
              <w:right w:val="single" w:color="auto" w:sz="4" w:space="0"/>
            </w:tcBorders>
            <w:vAlign w:val="center"/>
          </w:tcPr>
          <w:p w14:paraId="2217B92B">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13892.53</w:t>
            </w:r>
          </w:p>
        </w:tc>
        <w:tc>
          <w:tcPr>
            <w:tcW w:w="1667" w:type="dxa"/>
            <w:tcBorders>
              <w:top w:val="nil"/>
              <w:left w:val="single" w:color="auto" w:sz="4" w:space="0"/>
              <w:bottom w:val="single" w:color="auto" w:sz="4" w:space="0"/>
              <w:right w:val="single" w:color="auto" w:sz="4" w:space="0"/>
            </w:tcBorders>
            <w:vAlign w:val="center"/>
          </w:tcPr>
          <w:p w14:paraId="180FD334">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1.26</w:t>
            </w:r>
          </w:p>
        </w:tc>
      </w:tr>
      <w:tr w14:paraId="2737E4FB">
        <w:trPr>
          <w:trHeight w:val="191" w:hRule="atLeast"/>
          <w:jc w:val="center"/>
        </w:trPr>
        <w:tc>
          <w:tcPr>
            <w:tcW w:w="699" w:type="dxa"/>
            <w:tcBorders>
              <w:left w:val="single" w:color="000000" w:sz="8" w:space="0"/>
              <w:right w:val="single" w:color="000000" w:sz="8" w:space="0"/>
            </w:tcBorders>
          </w:tcPr>
          <w:p w14:paraId="57668B66">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2</w:t>
            </w:r>
          </w:p>
        </w:tc>
        <w:tc>
          <w:tcPr>
            <w:tcW w:w="2003" w:type="dxa"/>
            <w:vMerge w:val="continue"/>
            <w:tcBorders>
              <w:left w:val="single" w:color="000000" w:sz="8" w:space="0"/>
              <w:right w:val="single" w:color="000000" w:sz="8" w:space="0"/>
            </w:tcBorders>
          </w:tcPr>
          <w:p w14:paraId="1BED6C41">
            <w:pPr>
              <w:widowControl/>
              <w:jc w:val="center"/>
              <w:rPr>
                <w:rFonts w:ascii="楷体" w:hAnsi="Times New Roman" w:eastAsia="楷体" w:cs="Times New Roman"/>
                <w:kern w:val="0"/>
                <w:lang w:bidi="zh-CN"/>
              </w:rPr>
            </w:pPr>
          </w:p>
        </w:tc>
        <w:tc>
          <w:tcPr>
            <w:tcW w:w="1418" w:type="dxa"/>
            <w:tcBorders>
              <w:top w:val="nil"/>
              <w:left w:val="single" w:color="000000" w:sz="8" w:space="0"/>
              <w:bottom w:val="single" w:color="000000" w:sz="8" w:space="0"/>
              <w:right w:val="single" w:color="000000" w:sz="8" w:space="0"/>
            </w:tcBorders>
            <w:vAlign w:val="center"/>
          </w:tcPr>
          <w:p w14:paraId="5CC2C2B4">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0805</w:t>
            </w:r>
          </w:p>
        </w:tc>
        <w:tc>
          <w:tcPr>
            <w:tcW w:w="2551" w:type="dxa"/>
            <w:tcBorders>
              <w:top w:val="nil"/>
              <w:left w:val="nil"/>
              <w:bottom w:val="single" w:color="000000" w:sz="8" w:space="0"/>
              <w:right w:val="single" w:color="000000" w:sz="8" w:space="0"/>
            </w:tcBorders>
            <w:vAlign w:val="center"/>
          </w:tcPr>
          <w:p w14:paraId="357D9267">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体育用地</w:t>
            </w:r>
          </w:p>
        </w:tc>
        <w:tc>
          <w:tcPr>
            <w:tcW w:w="1701" w:type="dxa"/>
            <w:tcBorders>
              <w:top w:val="nil"/>
              <w:left w:val="single" w:color="auto" w:sz="4" w:space="0"/>
              <w:bottom w:val="single" w:color="auto" w:sz="4" w:space="0"/>
              <w:right w:val="single" w:color="auto" w:sz="4" w:space="0"/>
            </w:tcBorders>
            <w:vAlign w:val="center"/>
          </w:tcPr>
          <w:p w14:paraId="066266C8">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6678.99</w:t>
            </w:r>
          </w:p>
        </w:tc>
        <w:tc>
          <w:tcPr>
            <w:tcW w:w="1667" w:type="dxa"/>
            <w:tcBorders>
              <w:top w:val="nil"/>
              <w:left w:val="single" w:color="auto" w:sz="4" w:space="0"/>
              <w:bottom w:val="single" w:color="auto" w:sz="4" w:space="0"/>
              <w:right w:val="single" w:color="auto" w:sz="4" w:space="0"/>
            </w:tcBorders>
            <w:vAlign w:val="center"/>
          </w:tcPr>
          <w:p w14:paraId="4E71B324">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0.60</w:t>
            </w:r>
          </w:p>
        </w:tc>
      </w:tr>
      <w:tr w14:paraId="2E43E0BA">
        <w:trPr>
          <w:trHeight w:val="376" w:hRule="atLeast"/>
          <w:jc w:val="center"/>
        </w:trPr>
        <w:tc>
          <w:tcPr>
            <w:tcW w:w="699" w:type="dxa"/>
            <w:tcBorders>
              <w:left w:val="single" w:color="000000" w:sz="8" w:space="0"/>
              <w:right w:val="single" w:color="000000" w:sz="8" w:space="0"/>
            </w:tcBorders>
          </w:tcPr>
          <w:p w14:paraId="6ABE19F8">
            <w:pPr>
              <w:widowControl/>
              <w:jc w:val="center"/>
              <w:rPr>
                <w:rFonts w:ascii="楷体" w:hAnsi="Times New Roman" w:eastAsia="楷体" w:cs="Times New Roman"/>
                <w:kern w:val="0"/>
                <w:lang w:bidi="zh-CN"/>
              </w:rPr>
            </w:pPr>
          </w:p>
        </w:tc>
        <w:tc>
          <w:tcPr>
            <w:tcW w:w="2003" w:type="dxa"/>
            <w:vMerge w:val="continue"/>
            <w:tcBorders>
              <w:left w:val="single" w:color="000000" w:sz="8" w:space="0"/>
              <w:right w:val="single" w:color="000000" w:sz="8" w:space="0"/>
            </w:tcBorders>
          </w:tcPr>
          <w:p w14:paraId="69677368">
            <w:pPr>
              <w:widowControl/>
              <w:jc w:val="center"/>
              <w:rPr>
                <w:rFonts w:ascii="楷体" w:hAnsi="Times New Roman" w:eastAsia="楷体" w:cs="Times New Roman"/>
                <w:kern w:val="0"/>
                <w:lang w:bidi="zh-CN"/>
              </w:rPr>
            </w:pPr>
          </w:p>
        </w:tc>
        <w:tc>
          <w:tcPr>
            <w:tcW w:w="1418" w:type="dxa"/>
            <w:tcBorders>
              <w:top w:val="nil"/>
              <w:left w:val="single" w:color="000000" w:sz="8" w:space="0"/>
              <w:bottom w:val="single" w:color="000000" w:sz="8" w:space="0"/>
              <w:right w:val="single" w:color="000000" w:sz="8" w:space="0"/>
            </w:tcBorders>
            <w:vAlign w:val="center"/>
          </w:tcPr>
          <w:p w14:paraId="19403721">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080403</w:t>
            </w:r>
          </w:p>
        </w:tc>
        <w:tc>
          <w:tcPr>
            <w:tcW w:w="2551" w:type="dxa"/>
            <w:tcBorders>
              <w:top w:val="nil"/>
              <w:left w:val="nil"/>
              <w:bottom w:val="single" w:color="000000" w:sz="8" w:space="0"/>
              <w:right w:val="single" w:color="000000" w:sz="8" w:space="0"/>
            </w:tcBorders>
            <w:vAlign w:val="center"/>
          </w:tcPr>
          <w:p w14:paraId="18A93C9D">
            <w:pPr>
              <w:widowControl/>
              <w:jc w:val="center"/>
              <w:rPr>
                <w:rFonts w:ascii="楷体" w:hAnsi="Times New Roman" w:eastAsia="楷体" w:cs="Times New Roman"/>
                <w:kern w:val="0"/>
                <w:lang w:bidi="zh-CN"/>
              </w:rPr>
            </w:pPr>
            <w:r>
              <w:rPr>
                <w:rFonts w:ascii="楷体" w:hAnsi="Times New Roman" w:eastAsia="楷体" w:cs="Times New Roman"/>
                <w:kern w:val="0"/>
                <w:lang w:bidi="zh-CN"/>
              </w:rPr>
              <w:t>中小学用地</w:t>
            </w:r>
          </w:p>
        </w:tc>
        <w:tc>
          <w:tcPr>
            <w:tcW w:w="1701" w:type="dxa"/>
            <w:tcBorders>
              <w:top w:val="nil"/>
              <w:left w:val="single" w:color="auto" w:sz="4" w:space="0"/>
              <w:bottom w:val="single" w:color="auto" w:sz="4" w:space="0"/>
              <w:right w:val="single" w:color="auto" w:sz="4" w:space="0"/>
            </w:tcBorders>
            <w:vAlign w:val="center"/>
          </w:tcPr>
          <w:p w14:paraId="646114FF">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97277.12</w:t>
            </w:r>
          </w:p>
        </w:tc>
        <w:tc>
          <w:tcPr>
            <w:tcW w:w="1667" w:type="dxa"/>
            <w:tcBorders>
              <w:top w:val="nil"/>
              <w:left w:val="single" w:color="auto" w:sz="4" w:space="0"/>
              <w:bottom w:val="single" w:color="auto" w:sz="4" w:space="0"/>
              <w:right w:val="single" w:color="auto" w:sz="4" w:space="0"/>
            </w:tcBorders>
            <w:vAlign w:val="center"/>
          </w:tcPr>
          <w:p w14:paraId="3948B712">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8.80</w:t>
            </w:r>
          </w:p>
        </w:tc>
      </w:tr>
      <w:tr w14:paraId="52F7D580">
        <w:trPr>
          <w:trHeight w:val="376" w:hRule="atLeast"/>
          <w:jc w:val="center"/>
        </w:trPr>
        <w:tc>
          <w:tcPr>
            <w:tcW w:w="699" w:type="dxa"/>
            <w:tcBorders>
              <w:left w:val="single" w:color="000000" w:sz="8" w:space="0"/>
              <w:bottom w:val="single" w:color="000000" w:sz="8" w:space="0"/>
              <w:right w:val="single" w:color="000000" w:sz="8" w:space="0"/>
            </w:tcBorders>
          </w:tcPr>
          <w:p w14:paraId="3224D06F">
            <w:pPr>
              <w:widowControl/>
              <w:jc w:val="center"/>
              <w:rPr>
                <w:rFonts w:ascii="楷体" w:hAnsi="Times New Roman" w:eastAsia="楷体" w:cs="Times New Roman"/>
                <w:kern w:val="0"/>
                <w:lang w:bidi="zh-CN"/>
              </w:rPr>
            </w:pPr>
          </w:p>
        </w:tc>
        <w:tc>
          <w:tcPr>
            <w:tcW w:w="2003" w:type="dxa"/>
            <w:vMerge w:val="continue"/>
            <w:tcBorders>
              <w:left w:val="single" w:color="000000" w:sz="8" w:space="0"/>
              <w:bottom w:val="single" w:color="000000" w:sz="8" w:space="0"/>
              <w:right w:val="single" w:color="000000" w:sz="8" w:space="0"/>
            </w:tcBorders>
          </w:tcPr>
          <w:p w14:paraId="57AF6911">
            <w:pPr>
              <w:widowControl/>
              <w:jc w:val="center"/>
              <w:rPr>
                <w:rFonts w:ascii="楷体" w:hAnsi="Times New Roman" w:eastAsia="楷体" w:cs="Times New Roman"/>
                <w:kern w:val="0"/>
                <w:lang w:bidi="zh-CN"/>
              </w:rPr>
            </w:pPr>
          </w:p>
        </w:tc>
        <w:tc>
          <w:tcPr>
            <w:tcW w:w="1418" w:type="dxa"/>
            <w:tcBorders>
              <w:top w:val="nil"/>
              <w:left w:val="single" w:color="000000" w:sz="8" w:space="0"/>
              <w:bottom w:val="single" w:color="000000" w:sz="8" w:space="0"/>
              <w:right w:val="single" w:color="000000" w:sz="8" w:space="0"/>
            </w:tcBorders>
            <w:vAlign w:val="center"/>
          </w:tcPr>
          <w:p w14:paraId="02A398CE">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080404</w:t>
            </w:r>
          </w:p>
        </w:tc>
        <w:tc>
          <w:tcPr>
            <w:tcW w:w="2551" w:type="dxa"/>
            <w:tcBorders>
              <w:top w:val="nil"/>
              <w:left w:val="nil"/>
              <w:bottom w:val="single" w:color="000000" w:sz="8" w:space="0"/>
              <w:right w:val="single" w:color="000000" w:sz="8" w:space="0"/>
            </w:tcBorders>
            <w:vAlign w:val="center"/>
          </w:tcPr>
          <w:p w14:paraId="2FA5C00C">
            <w:pPr>
              <w:widowControl/>
              <w:jc w:val="center"/>
              <w:rPr>
                <w:rFonts w:ascii="楷体" w:hAnsi="Times New Roman" w:eastAsia="楷体" w:cs="Times New Roman"/>
                <w:kern w:val="0"/>
                <w:lang w:bidi="zh-CN"/>
              </w:rPr>
            </w:pPr>
            <w:r>
              <w:rPr>
                <w:rFonts w:ascii="楷体" w:hAnsi="Times New Roman" w:eastAsia="楷体" w:cs="Times New Roman"/>
                <w:kern w:val="0"/>
                <w:lang w:bidi="zh-CN"/>
              </w:rPr>
              <w:t>幼儿园用地</w:t>
            </w:r>
          </w:p>
        </w:tc>
        <w:tc>
          <w:tcPr>
            <w:tcW w:w="1701" w:type="dxa"/>
            <w:tcBorders>
              <w:top w:val="nil"/>
              <w:left w:val="single" w:color="auto" w:sz="4" w:space="0"/>
              <w:bottom w:val="single" w:color="auto" w:sz="4" w:space="0"/>
              <w:right w:val="single" w:color="auto" w:sz="4" w:space="0"/>
            </w:tcBorders>
            <w:vAlign w:val="center"/>
          </w:tcPr>
          <w:p w14:paraId="6F7D148A">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11934.15</w:t>
            </w:r>
          </w:p>
        </w:tc>
        <w:tc>
          <w:tcPr>
            <w:tcW w:w="1667" w:type="dxa"/>
            <w:tcBorders>
              <w:top w:val="nil"/>
              <w:left w:val="single" w:color="auto" w:sz="4" w:space="0"/>
              <w:bottom w:val="single" w:color="auto" w:sz="4" w:space="0"/>
              <w:right w:val="single" w:color="auto" w:sz="4" w:space="0"/>
            </w:tcBorders>
            <w:vAlign w:val="center"/>
          </w:tcPr>
          <w:p w14:paraId="145055CB">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1.08</w:t>
            </w:r>
          </w:p>
        </w:tc>
      </w:tr>
      <w:tr w14:paraId="4C4712BB">
        <w:trPr>
          <w:trHeight w:val="376" w:hRule="atLeast"/>
          <w:jc w:val="center"/>
        </w:trPr>
        <w:tc>
          <w:tcPr>
            <w:tcW w:w="699" w:type="dxa"/>
            <w:tcBorders>
              <w:top w:val="nil"/>
              <w:left w:val="single" w:color="000000" w:sz="8" w:space="0"/>
              <w:bottom w:val="single" w:color="000000" w:sz="8" w:space="0"/>
              <w:right w:val="single" w:color="000000" w:sz="8" w:space="0"/>
            </w:tcBorders>
          </w:tcPr>
          <w:p w14:paraId="243EF69C">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3</w:t>
            </w:r>
          </w:p>
        </w:tc>
        <w:tc>
          <w:tcPr>
            <w:tcW w:w="2003" w:type="dxa"/>
            <w:tcBorders>
              <w:top w:val="nil"/>
              <w:left w:val="single" w:color="000000" w:sz="8" w:space="0"/>
              <w:bottom w:val="single" w:color="000000" w:sz="8" w:space="0"/>
              <w:right w:val="single" w:color="000000" w:sz="8" w:space="0"/>
            </w:tcBorders>
          </w:tcPr>
          <w:p w14:paraId="32758BCB">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w:t>
            </w:r>
            <w:r>
              <w:rPr>
                <w:rFonts w:ascii="楷体" w:hAnsi="Times New Roman" w:eastAsia="楷体" w:cs="Times New Roman"/>
                <w:kern w:val="0"/>
                <w:lang w:bidi="zh-CN"/>
              </w:rPr>
              <w:t>2</w:t>
            </w:r>
            <w:r>
              <w:rPr>
                <w:rFonts w:hint="eastAsia" w:ascii="楷体" w:hAnsi="Times New Roman" w:eastAsia="楷体" w:cs="Times New Roman"/>
                <w:kern w:val="0"/>
                <w:lang w:bidi="zh-CN"/>
              </w:rPr>
              <w:t>交通运输用地</w:t>
            </w:r>
          </w:p>
        </w:tc>
        <w:tc>
          <w:tcPr>
            <w:tcW w:w="1418" w:type="dxa"/>
            <w:tcBorders>
              <w:top w:val="nil"/>
              <w:left w:val="single" w:color="000000" w:sz="8" w:space="0"/>
              <w:bottom w:val="single" w:color="000000" w:sz="8" w:space="0"/>
              <w:right w:val="single" w:color="000000" w:sz="8" w:space="0"/>
            </w:tcBorders>
            <w:vAlign w:val="center"/>
          </w:tcPr>
          <w:p w14:paraId="78E61CB7">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1207</w:t>
            </w:r>
          </w:p>
        </w:tc>
        <w:tc>
          <w:tcPr>
            <w:tcW w:w="2551" w:type="dxa"/>
            <w:tcBorders>
              <w:top w:val="nil"/>
              <w:left w:val="nil"/>
              <w:bottom w:val="single" w:color="000000" w:sz="8" w:space="0"/>
              <w:right w:val="single" w:color="000000" w:sz="8" w:space="0"/>
            </w:tcBorders>
            <w:vAlign w:val="center"/>
          </w:tcPr>
          <w:p w14:paraId="7DBA282A">
            <w:pPr>
              <w:widowControl/>
              <w:jc w:val="center"/>
              <w:rPr>
                <w:rFonts w:ascii="楷体" w:hAnsi="Times New Roman" w:eastAsia="楷体" w:cs="Times New Roman"/>
                <w:kern w:val="0"/>
                <w:lang w:bidi="zh-CN"/>
              </w:rPr>
            </w:pPr>
            <w:r>
              <w:rPr>
                <w:rFonts w:ascii="楷体" w:hAnsi="Times New Roman" w:eastAsia="楷体" w:cs="Times New Roman"/>
                <w:kern w:val="0"/>
                <w:lang w:bidi="zh-CN"/>
              </w:rPr>
              <w:t>城镇道路用地</w:t>
            </w:r>
          </w:p>
        </w:tc>
        <w:tc>
          <w:tcPr>
            <w:tcW w:w="1701" w:type="dxa"/>
            <w:tcBorders>
              <w:top w:val="nil"/>
              <w:left w:val="single" w:color="auto" w:sz="4" w:space="0"/>
              <w:bottom w:val="single" w:color="auto" w:sz="4" w:space="0"/>
              <w:right w:val="single" w:color="auto" w:sz="4" w:space="0"/>
            </w:tcBorders>
            <w:vAlign w:val="center"/>
          </w:tcPr>
          <w:p w14:paraId="217569B3">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201361.23</w:t>
            </w:r>
          </w:p>
        </w:tc>
        <w:tc>
          <w:tcPr>
            <w:tcW w:w="1667" w:type="dxa"/>
            <w:tcBorders>
              <w:top w:val="nil"/>
              <w:left w:val="single" w:color="auto" w:sz="4" w:space="0"/>
              <w:bottom w:val="single" w:color="auto" w:sz="4" w:space="0"/>
              <w:right w:val="single" w:color="auto" w:sz="4" w:space="0"/>
            </w:tcBorders>
            <w:vAlign w:val="center"/>
          </w:tcPr>
          <w:p w14:paraId="1165A820">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18.22</w:t>
            </w:r>
          </w:p>
        </w:tc>
      </w:tr>
      <w:tr w14:paraId="4E6117B1">
        <w:trPr>
          <w:trHeight w:val="191" w:hRule="atLeast"/>
          <w:jc w:val="center"/>
        </w:trPr>
        <w:tc>
          <w:tcPr>
            <w:tcW w:w="699" w:type="dxa"/>
            <w:tcBorders>
              <w:top w:val="nil"/>
              <w:left w:val="single" w:color="000000" w:sz="8" w:space="0"/>
              <w:bottom w:val="single" w:color="000000" w:sz="8" w:space="0"/>
              <w:right w:val="single" w:color="000000" w:sz="8" w:space="0"/>
            </w:tcBorders>
          </w:tcPr>
          <w:p w14:paraId="4736B30C">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4</w:t>
            </w:r>
          </w:p>
        </w:tc>
        <w:tc>
          <w:tcPr>
            <w:tcW w:w="2003" w:type="dxa"/>
            <w:tcBorders>
              <w:top w:val="nil"/>
              <w:left w:val="single" w:color="000000" w:sz="8" w:space="0"/>
              <w:bottom w:val="single" w:color="000000" w:sz="8" w:space="0"/>
              <w:right w:val="single" w:color="000000" w:sz="8" w:space="0"/>
            </w:tcBorders>
          </w:tcPr>
          <w:p w14:paraId="721501C1">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w:t>
            </w:r>
            <w:r>
              <w:rPr>
                <w:rFonts w:ascii="楷体" w:hAnsi="Times New Roman" w:eastAsia="楷体" w:cs="Times New Roman"/>
                <w:kern w:val="0"/>
                <w:lang w:bidi="zh-CN"/>
              </w:rPr>
              <w:t>4</w:t>
            </w:r>
            <w:r>
              <w:rPr>
                <w:rFonts w:hint="eastAsia" w:ascii="楷体" w:hAnsi="Times New Roman" w:eastAsia="楷体" w:cs="Times New Roman"/>
                <w:kern w:val="0"/>
                <w:lang w:bidi="zh-CN"/>
              </w:rPr>
              <w:t>绿地与开敞空间用地</w:t>
            </w:r>
          </w:p>
        </w:tc>
        <w:tc>
          <w:tcPr>
            <w:tcW w:w="1418" w:type="dxa"/>
            <w:tcBorders>
              <w:top w:val="nil"/>
              <w:left w:val="single" w:color="000000" w:sz="8" w:space="0"/>
              <w:bottom w:val="single" w:color="000000" w:sz="8" w:space="0"/>
              <w:right w:val="single" w:color="000000" w:sz="8" w:space="0"/>
            </w:tcBorders>
            <w:vAlign w:val="center"/>
          </w:tcPr>
          <w:p w14:paraId="650EED46">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1401</w:t>
            </w:r>
          </w:p>
        </w:tc>
        <w:tc>
          <w:tcPr>
            <w:tcW w:w="2551" w:type="dxa"/>
            <w:tcBorders>
              <w:top w:val="nil"/>
              <w:left w:val="nil"/>
              <w:bottom w:val="single" w:color="000000" w:sz="8" w:space="0"/>
              <w:right w:val="single" w:color="000000" w:sz="8" w:space="0"/>
            </w:tcBorders>
            <w:vAlign w:val="center"/>
          </w:tcPr>
          <w:p w14:paraId="466086E7">
            <w:pPr>
              <w:widowControl/>
              <w:jc w:val="center"/>
              <w:rPr>
                <w:rFonts w:ascii="楷体" w:hAnsi="Times New Roman" w:eastAsia="楷体" w:cs="Times New Roman"/>
                <w:kern w:val="0"/>
                <w:lang w:bidi="zh-CN"/>
              </w:rPr>
            </w:pPr>
            <w:r>
              <w:rPr>
                <w:rFonts w:ascii="楷体" w:hAnsi="Times New Roman" w:eastAsia="楷体" w:cs="Times New Roman"/>
                <w:kern w:val="0"/>
                <w:lang w:bidi="zh-CN"/>
              </w:rPr>
              <w:t>公园绿地</w:t>
            </w:r>
          </w:p>
        </w:tc>
        <w:tc>
          <w:tcPr>
            <w:tcW w:w="1701" w:type="dxa"/>
            <w:tcBorders>
              <w:top w:val="nil"/>
              <w:left w:val="single" w:color="auto" w:sz="4" w:space="0"/>
              <w:bottom w:val="single" w:color="auto" w:sz="4" w:space="0"/>
              <w:right w:val="single" w:color="auto" w:sz="4" w:space="0"/>
            </w:tcBorders>
            <w:vAlign w:val="center"/>
          </w:tcPr>
          <w:p w14:paraId="3FC518E7">
            <w:pPr>
              <w:widowControl/>
              <w:jc w:val="center"/>
              <w:rPr>
                <w:rFonts w:ascii="楷体" w:hAnsi="Times New Roman" w:eastAsia="楷体" w:cs="Times New Roman"/>
                <w:kern w:val="0"/>
                <w:lang w:bidi="zh-CN"/>
              </w:rPr>
            </w:pPr>
            <w:r>
              <w:rPr>
                <w:rFonts w:ascii="楷体" w:hAnsi="Times New Roman" w:eastAsia="楷体" w:cs="Times New Roman"/>
                <w:kern w:val="0"/>
                <w:lang w:bidi="zh-CN"/>
              </w:rPr>
              <w:t>97389.37</w:t>
            </w:r>
          </w:p>
        </w:tc>
        <w:tc>
          <w:tcPr>
            <w:tcW w:w="1667" w:type="dxa"/>
            <w:tcBorders>
              <w:top w:val="nil"/>
              <w:left w:val="single" w:color="auto" w:sz="4" w:space="0"/>
              <w:bottom w:val="single" w:color="auto" w:sz="4" w:space="0"/>
              <w:right w:val="single" w:color="auto" w:sz="4" w:space="0"/>
            </w:tcBorders>
            <w:vAlign w:val="center"/>
          </w:tcPr>
          <w:p w14:paraId="23F5F4AF">
            <w:pPr>
              <w:widowControl/>
              <w:jc w:val="center"/>
              <w:rPr>
                <w:rFonts w:ascii="楷体" w:hAnsi="Times New Roman" w:eastAsia="楷体" w:cs="Times New Roman"/>
                <w:kern w:val="0"/>
                <w:lang w:bidi="zh-CN"/>
              </w:rPr>
            </w:pPr>
            <w:r>
              <w:rPr>
                <w:rFonts w:ascii="楷体" w:hAnsi="Times New Roman" w:eastAsia="楷体" w:cs="Times New Roman"/>
                <w:kern w:val="0"/>
                <w:lang w:bidi="zh-CN"/>
              </w:rPr>
              <w:t>8.81</w:t>
            </w:r>
          </w:p>
        </w:tc>
      </w:tr>
      <w:tr w14:paraId="25F5CB3A">
        <w:trPr>
          <w:trHeight w:val="376" w:hRule="atLeast"/>
          <w:jc w:val="center"/>
        </w:trPr>
        <w:tc>
          <w:tcPr>
            <w:tcW w:w="699" w:type="dxa"/>
            <w:tcBorders>
              <w:top w:val="nil"/>
              <w:left w:val="single" w:color="000000" w:sz="8" w:space="0"/>
              <w:right w:val="single" w:color="000000" w:sz="8" w:space="0"/>
            </w:tcBorders>
          </w:tcPr>
          <w:p w14:paraId="4CCFD5A8">
            <w:pPr>
              <w:widowControl/>
              <w:spacing w:line="720" w:lineRule="auto"/>
              <w:jc w:val="center"/>
              <w:rPr>
                <w:rFonts w:ascii="楷体" w:hAnsi="Times New Roman" w:eastAsia="楷体" w:cs="Times New Roman"/>
                <w:kern w:val="0"/>
                <w:lang w:bidi="zh-CN"/>
              </w:rPr>
            </w:pPr>
            <w:r>
              <w:rPr>
                <w:rFonts w:hint="eastAsia" w:ascii="楷体" w:hAnsi="Times New Roman" w:eastAsia="楷体" w:cs="Times New Roman"/>
                <w:kern w:val="0"/>
                <w:lang w:bidi="zh-CN"/>
              </w:rPr>
              <w:t>5</w:t>
            </w:r>
          </w:p>
        </w:tc>
        <w:tc>
          <w:tcPr>
            <w:tcW w:w="2003" w:type="dxa"/>
            <w:vMerge w:val="restart"/>
            <w:tcBorders>
              <w:top w:val="nil"/>
              <w:left w:val="single" w:color="000000" w:sz="8" w:space="0"/>
              <w:right w:val="single" w:color="000000" w:sz="8" w:space="0"/>
            </w:tcBorders>
          </w:tcPr>
          <w:p w14:paraId="27631C5E">
            <w:pPr>
              <w:widowControl/>
              <w:spacing w:line="720" w:lineRule="auto"/>
              <w:jc w:val="center"/>
              <w:rPr>
                <w:rFonts w:ascii="楷体" w:hAnsi="Times New Roman" w:eastAsia="楷体" w:cs="Times New Roman"/>
                <w:kern w:val="0"/>
                <w:lang w:bidi="zh-CN"/>
              </w:rPr>
            </w:pPr>
            <w:r>
              <w:rPr>
                <w:rFonts w:hint="eastAsia" w:ascii="楷体" w:hAnsi="Times New Roman" w:eastAsia="楷体" w:cs="Times New Roman"/>
                <w:kern w:val="0"/>
                <w:lang w:bidi="zh-CN"/>
              </w:rPr>
              <w:t>0</w:t>
            </w:r>
            <w:r>
              <w:rPr>
                <w:rFonts w:ascii="楷体" w:hAnsi="Times New Roman" w:eastAsia="楷体" w:cs="Times New Roman"/>
                <w:kern w:val="0"/>
                <w:lang w:bidi="zh-CN"/>
              </w:rPr>
              <w:t xml:space="preserve">9 </w:t>
            </w:r>
            <w:r>
              <w:rPr>
                <w:rFonts w:hint="eastAsia" w:ascii="楷体" w:hAnsi="Times New Roman" w:eastAsia="楷体" w:cs="Times New Roman"/>
                <w:kern w:val="0"/>
                <w:lang w:bidi="zh-CN"/>
              </w:rPr>
              <w:t>商业服务业用地</w:t>
            </w:r>
          </w:p>
        </w:tc>
        <w:tc>
          <w:tcPr>
            <w:tcW w:w="1418" w:type="dxa"/>
            <w:tcBorders>
              <w:top w:val="nil"/>
              <w:left w:val="single" w:color="000000" w:sz="8" w:space="0"/>
              <w:bottom w:val="single" w:color="000000" w:sz="8" w:space="0"/>
              <w:right w:val="single" w:color="000000" w:sz="8" w:space="0"/>
            </w:tcBorders>
            <w:vAlign w:val="center"/>
          </w:tcPr>
          <w:p w14:paraId="7C5106B6">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0901/0803</w:t>
            </w:r>
          </w:p>
        </w:tc>
        <w:tc>
          <w:tcPr>
            <w:tcW w:w="2551" w:type="dxa"/>
            <w:tcBorders>
              <w:top w:val="nil"/>
              <w:left w:val="nil"/>
              <w:bottom w:val="single" w:color="000000" w:sz="8" w:space="0"/>
              <w:right w:val="single" w:color="000000" w:sz="8" w:space="0"/>
            </w:tcBorders>
            <w:vAlign w:val="center"/>
          </w:tcPr>
          <w:p w14:paraId="2548969A">
            <w:pPr>
              <w:widowControl/>
              <w:jc w:val="center"/>
              <w:rPr>
                <w:rFonts w:ascii="楷体" w:hAnsi="Times New Roman" w:eastAsia="楷体" w:cs="Times New Roman"/>
                <w:kern w:val="0"/>
                <w:lang w:bidi="zh-CN"/>
              </w:rPr>
            </w:pPr>
            <w:r>
              <w:rPr>
                <w:rFonts w:ascii="楷体" w:hAnsi="Times New Roman" w:eastAsia="楷体" w:cs="Times New Roman"/>
                <w:kern w:val="0"/>
                <w:lang w:bidi="zh-CN"/>
              </w:rPr>
              <w:t>商业</w:t>
            </w:r>
            <w:r>
              <w:rPr>
                <w:rFonts w:hint="eastAsia" w:ascii="楷体" w:hAnsi="Times New Roman" w:eastAsia="楷体" w:cs="Times New Roman"/>
                <w:kern w:val="0"/>
                <w:lang w:bidi="zh-CN"/>
              </w:rPr>
              <w:t>/</w:t>
            </w:r>
            <w:r>
              <w:rPr>
                <w:rFonts w:ascii="楷体" w:hAnsi="Times New Roman" w:eastAsia="楷体" w:cs="Times New Roman"/>
                <w:kern w:val="0"/>
                <w:lang w:bidi="zh-CN"/>
              </w:rPr>
              <w:t>文化混合用地</w:t>
            </w:r>
          </w:p>
        </w:tc>
        <w:tc>
          <w:tcPr>
            <w:tcW w:w="1701" w:type="dxa"/>
            <w:tcBorders>
              <w:top w:val="nil"/>
              <w:left w:val="single" w:color="auto" w:sz="4" w:space="0"/>
              <w:bottom w:val="single" w:color="auto" w:sz="4" w:space="0"/>
              <w:right w:val="single" w:color="auto" w:sz="4" w:space="0"/>
            </w:tcBorders>
            <w:vAlign w:val="center"/>
          </w:tcPr>
          <w:p w14:paraId="2269C1E0">
            <w:pPr>
              <w:widowControl/>
              <w:jc w:val="center"/>
              <w:rPr>
                <w:rFonts w:ascii="楷体" w:hAnsi="Times New Roman" w:eastAsia="楷体" w:cs="Times New Roman"/>
                <w:kern w:val="0"/>
                <w:lang w:bidi="zh-CN"/>
              </w:rPr>
            </w:pPr>
            <w:r>
              <w:rPr>
                <w:rFonts w:ascii="楷体" w:hAnsi="Times New Roman" w:eastAsia="楷体" w:cs="Times New Roman"/>
                <w:kern w:val="0"/>
                <w:lang w:bidi="zh-CN"/>
              </w:rPr>
              <w:t>16929</w:t>
            </w:r>
          </w:p>
        </w:tc>
        <w:tc>
          <w:tcPr>
            <w:tcW w:w="1667" w:type="dxa"/>
            <w:tcBorders>
              <w:top w:val="nil"/>
              <w:left w:val="single" w:color="auto" w:sz="4" w:space="0"/>
              <w:bottom w:val="single" w:color="auto" w:sz="4" w:space="0"/>
              <w:right w:val="single" w:color="auto" w:sz="4" w:space="0"/>
            </w:tcBorders>
            <w:vAlign w:val="center"/>
          </w:tcPr>
          <w:p w14:paraId="520A6C59">
            <w:pPr>
              <w:widowControl/>
              <w:jc w:val="center"/>
              <w:rPr>
                <w:rFonts w:ascii="楷体" w:hAnsi="Times New Roman" w:eastAsia="楷体" w:cs="Times New Roman"/>
                <w:kern w:val="0"/>
                <w:lang w:bidi="zh-CN"/>
              </w:rPr>
            </w:pPr>
            <w:r>
              <w:rPr>
                <w:rFonts w:ascii="楷体" w:hAnsi="Times New Roman" w:eastAsia="楷体" w:cs="Times New Roman"/>
                <w:kern w:val="0"/>
                <w:lang w:bidi="zh-CN"/>
              </w:rPr>
              <w:t>1.53</w:t>
            </w:r>
          </w:p>
        </w:tc>
      </w:tr>
      <w:tr w14:paraId="3EFA2FD7">
        <w:trPr>
          <w:trHeight w:val="339" w:hRule="atLeast"/>
          <w:jc w:val="center"/>
        </w:trPr>
        <w:tc>
          <w:tcPr>
            <w:tcW w:w="699" w:type="dxa"/>
            <w:tcBorders>
              <w:left w:val="single" w:color="000000" w:sz="8" w:space="0"/>
              <w:right w:val="single" w:color="000000" w:sz="8" w:space="0"/>
            </w:tcBorders>
          </w:tcPr>
          <w:p w14:paraId="353A1981">
            <w:pPr>
              <w:widowControl/>
              <w:jc w:val="center"/>
              <w:rPr>
                <w:rFonts w:ascii="楷体" w:hAnsi="Times New Roman" w:eastAsia="楷体" w:cs="Times New Roman"/>
                <w:kern w:val="0"/>
                <w:lang w:bidi="zh-CN"/>
              </w:rPr>
            </w:pPr>
          </w:p>
        </w:tc>
        <w:tc>
          <w:tcPr>
            <w:tcW w:w="2003" w:type="dxa"/>
            <w:vMerge w:val="continue"/>
            <w:tcBorders>
              <w:left w:val="single" w:color="000000" w:sz="8" w:space="0"/>
              <w:right w:val="single" w:color="000000" w:sz="8" w:space="0"/>
            </w:tcBorders>
          </w:tcPr>
          <w:p w14:paraId="07244EB9">
            <w:pPr>
              <w:widowControl/>
              <w:jc w:val="center"/>
              <w:rPr>
                <w:rFonts w:ascii="楷体" w:hAnsi="Times New Roman" w:eastAsia="楷体" w:cs="Times New Roman"/>
                <w:kern w:val="0"/>
                <w:lang w:bidi="zh-CN"/>
              </w:rPr>
            </w:pPr>
          </w:p>
        </w:tc>
        <w:tc>
          <w:tcPr>
            <w:tcW w:w="1418" w:type="dxa"/>
            <w:tcBorders>
              <w:top w:val="nil"/>
              <w:left w:val="single" w:color="000000" w:sz="8" w:space="0"/>
              <w:bottom w:val="single" w:color="000000" w:sz="8" w:space="0"/>
              <w:right w:val="single" w:color="000000" w:sz="8" w:space="0"/>
            </w:tcBorders>
            <w:vAlign w:val="center"/>
          </w:tcPr>
          <w:p w14:paraId="32723B3C">
            <w:pPr>
              <w:widowControl/>
              <w:jc w:val="center"/>
              <w:rPr>
                <w:rFonts w:ascii="楷体" w:hAnsi="Times New Roman" w:eastAsia="楷体" w:cs="Times New Roman"/>
                <w:kern w:val="0"/>
                <w:lang w:bidi="zh-CN"/>
              </w:rPr>
            </w:pPr>
            <w:bookmarkStart w:id="12" w:name="_Hlk211523997"/>
            <w:r>
              <w:rPr>
                <w:rFonts w:hint="eastAsia" w:ascii="楷体" w:hAnsi="Times New Roman" w:eastAsia="楷体" w:cs="Times New Roman"/>
                <w:kern w:val="0"/>
                <w:lang w:bidi="zh-CN"/>
              </w:rPr>
              <w:t>0803/090104</w:t>
            </w:r>
          </w:p>
        </w:tc>
        <w:tc>
          <w:tcPr>
            <w:tcW w:w="2551" w:type="dxa"/>
            <w:tcBorders>
              <w:top w:val="nil"/>
              <w:left w:val="nil"/>
              <w:bottom w:val="single" w:color="000000" w:sz="8" w:space="0"/>
              <w:right w:val="single" w:color="000000" w:sz="8" w:space="0"/>
            </w:tcBorders>
            <w:vAlign w:val="center"/>
          </w:tcPr>
          <w:p w14:paraId="5B4018AE">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公寓/文化混合用地</w:t>
            </w:r>
          </w:p>
        </w:tc>
        <w:tc>
          <w:tcPr>
            <w:tcW w:w="1701" w:type="dxa"/>
            <w:tcBorders>
              <w:top w:val="nil"/>
              <w:left w:val="single" w:color="auto" w:sz="4" w:space="0"/>
              <w:bottom w:val="single" w:color="auto" w:sz="4" w:space="0"/>
              <w:right w:val="single" w:color="auto" w:sz="4" w:space="0"/>
            </w:tcBorders>
            <w:vAlign w:val="center"/>
          </w:tcPr>
          <w:p w14:paraId="2D4BD909">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11406.91</w:t>
            </w:r>
          </w:p>
        </w:tc>
        <w:tc>
          <w:tcPr>
            <w:tcW w:w="1667" w:type="dxa"/>
            <w:tcBorders>
              <w:top w:val="nil"/>
              <w:left w:val="single" w:color="auto" w:sz="4" w:space="0"/>
              <w:bottom w:val="single" w:color="auto" w:sz="4" w:space="0"/>
              <w:right w:val="single" w:color="auto" w:sz="4" w:space="0"/>
            </w:tcBorders>
            <w:vAlign w:val="center"/>
          </w:tcPr>
          <w:p w14:paraId="02DEA2E7">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1.03</w:t>
            </w:r>
          </w:p>
        </w:tc>
      </w:tr>
      <w:tr w14:paraId="61863755">
        <w:trPr>
          <w:trHeight w:val="117" w:hRule="atLeast"/>
          <w:jc w:val="center"/>
        </w:trPr>
        <w:tc>
          <w:tcPr>
            <w:tcW w:w="699" w:type="dxa"/>
            <w:tcBorders>
              <w:left w:val="single" w:color="000000" w:sz="8" w:space="0"/>
              <w:bottom w:val="single" w:color="000000" w:sz="8" w:space="0"/>
              <w:right w:val="single" w:color="000000" w:sz="8" w:space="0"/>
            </w:tcBorders>
          </w:tcPr>
          <w:p w14:paraId="500E8EAA">
            <w:pPr>
              <w:widowControl/>
              <w:jc w:val="center"/>
              <w:rPr>
                <w:rFonts w:ascii="楷体" w:hAnsi="Times New Roman" w:eastAsia="楷体" w:cs="Times New Roman"/>
                <w:kern w:val="0"/>
                <w:lang w:bidi="zh-CN"/>
              </w:rPr>
            </w:pPr>
          </w:p>
        </w:tc>
        <w:tc>
          <w:tcPr>
            <w:tcW w:w="2003" w:type="dxa"/>
            <w:vMerge w:val="continue"/>
            <w:tcBorders>
              <w:left w:val="single" w:color="000000" w:sz="8" w:space="0"/>
              <w:bottom w:val="single" w:color="000000" w:sz="8" w:space="0"/>
              <w:right w:val="single" w:color="000000" w:sz="8" w:space="0"/>
            </w:tcBorders>
          </w:tcPr>
          <w:p w14:paraId="3623FBF3">
            <w:pPr>
              <w:widowControl/>
              <w:jc w:val="center"/>
              <w:rPr>
                <w:rFonts w:ascii="楷体" w:hAnsi="Times New Roman" w:eastAsia="楷体" w:cs="Times New Roman"/>
                <w:kern w:val="0"/>
                <w:lang w:bidi="zh-CN"/>
              </w:rPr>
            </w:pPr>
          </w:p>
          <w:bookmarkEnd w:id="12"/>
        </w:tc>
        <w:tc>
          <w:tcPr>
            <w:tcW w:w="1418" w:type="dxa"/>
            <w:tcBorders>
              <w:top w:val="nil"/>
              <w:left w:val="single" w:color="000000" w:sz="8" w:space="0"/>
              <w:bottom w:val="single" w:color="000000" w:sz="8" w:space="0"/>
              <w:right w:val="single" w:color="000000" w:sz="8" w:space="0"/>
            </w:tcBorders>
            <w:vAlign w:val="center"/>
          </w:tcPr>
          <w:p w14:paraId="573C95B6">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0901/0903</w:t>
            </w:r>
          </w:p>
        </w:tc>
        <w:tc>
          <w:tcPr>
            <w:tcW w:w="2551" w:type="dxa"/>
            <w:tcBorders>
              <w:top w:val="nil"/>
              <w:left w:val="nil"/>
              <w:bottom w:val="single" w:color="000000" w:sz="8" w:space="0"/>
              <w:right w:val="single" w:color="000000" w:sz="8" w:space="0"/>
            </w:tcBorders>
            <w:vAlign w:val="center"/>
          </w:tcPr>
          <w:p w14:paraId="04154092">
            <w:pPr>
              <w:widowControl/>
              <w:jc w:val="center"/>
              <w:rPr>
                <w:rFonts w:ascii="楷体" w:hAnsi="Times New Roman" w:eastAsia="楷体" w:cs="Times New Roman"/>
                <w:kern w:val="0"/>
                <w:lang w:bidi="zh-CN"/>
              </w:rPr>
            </w:pPr>
            <w:r>
              <w:rPr>
                <w:rFonts w:ascii="楷体" w:hAnsi="Times New Roman" w:eastAsia="楷体" w:cs="Times New Roman"/>
                <w:kern w:val="0"/>
                <w:lang w:bidi="zh-CN"/>
              </w:rPr>
              <w:t>商业</w:t>
            </w:r>
            <w:r>
              <w:rPr>
                <w:rFonts w:hint="eastAsia" w:ascii="楷体" w:hAnsi="Times New Roman" w:eastAsia="楷体" w:cs="Times New Roman"/>
                <w:kern w:val="0"/>
                <w:lang w:bidi="zh-CN"/>
              </w:rPr>
              <w:t>/</w:t>
            </w:r>
            <w:r>
              <w:rPr>
                <w:rFonts w:ascii="楷体" w:hAnsi="Times New Roman" w:eastAsia="楷体" w:cs="Times New Roman"/>
                <w:kern w:val="0"/>
                <w:lang w:bidi="zh-CN"/>
              </w:rPr>
              <w:t>娱乐康体混合用地</w:t>
            </w:r>
          </w:p>
        </w:tc>
        <w:tc>
          <w:tcPr>
            <w:tcW w:w="1701" w:type="dxa"/>
            <w:tcBorders>
              <w:top w:val="nil"/>
              <w:left w:val="single" w:color="auto" w:sz="4" w:space="0"/>
              <w:bottom w:val="single" w:color="auto" w:sz="4" w:space="0"/>
              <w:right w:val="single" w:color="auto" w:sz="4" w:space="0"/>
            </w:tcBorders>
            <w:vAlign w:val="center"/>
          </w:tcPr>
          <w:p w14:paraId="48F31BC3">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79385.34</w:t>
            </w:r>
          </w:p>
        </w:tc>
        <w:tc>
          <w:tcPr>
            <w:tcW w:w="1667" w:type="dxa"/>
            <w:tcBorders>
              <w:top w:val="nil"/>
              <w:left w:val="single" w:color="auto" w:sz="4" w:space="0"/>
              <w:bottom w:val="single" w:color="auto" w:sz="4" w:space="0"/>
              <w:right w:val="single" w:color="auto" w:sz="4" w:space="0"/>
            </w:tcBorders>
            <w:vAlign w:val="center"/>
          </w:tcPr>
          <w:p w14:paraId="5DA97D49">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7.18</w:t>
            </w:r>
          </w:p>
        </w:tc>
      </w:tr>
      <w:tr w14:paraId="2D5245E1">
        <w:trPr>
          <w:trHeight w:val="200" w:hRule="atLeast"/>
          <w:jc w:val="center"/>
        </w:trPr>
        <w:tc>
          <w:tcPr>
            <w:tcW w:w="6671" w:type="dxa"/>
            <w:gridSpan w:val="4"/>
            <w:tcBorders>
              <w:top w:val="single" w:color="000000" w:sz="8" w:space="0"/>
              <w:left w:val="single" w:color="000000" w:sz="8" w:space="0"/>
              <w:bottom w:val="single" w:color="000000" w:sz="8" w:space="0"/>
              <w:right w:val="single" w:color="000000" w:sz="8" w:space="0"/>
            </w:tcBorders>
            <w:shd w:val="clear" w:color="auto" w:fill="BEBEBE" w:themeFill="background1" w:themeFillShade="BF"/>
          </w:tcPr>
          <w:p w14:paraId="3EB562B9">
            <w:pPr>
              <w:widowControl/>
              <w:jc w:val="center"/>
              <w:rPr>
                <w:rFonts w:ascii="楷体" w:hAnsi="Times New Roman" w:eastAsia="楷体" w:cs="Times New Roman"/>
                <w:b/>
                <w:kern w:val="0"/>
                <w:lang w:bidi="zh-CN"/>
              </w:rPr>
            </w:pPr>
            <w:r>
              <w:rPr>
                <w:rFonts w:ascii="楷体" w:hAnsi="Times New Roman" w:eastAsia="楷体" w:cs="Times New Roman"/>
                <w:b/>
                <w:kern w:val="0"/>
                <w:lang w:bidi="zh-CN"/>
              </w:rPr>
              <w:t>城市建设用地</w:t>
            </w:r>
          </w:p>
        </w:tc>
        <w:tc>
          <w:tcPr>
            <w:tcW w:w="1701" w:type="dxa"/>
            <w:tcBorders>
              <w:top w:val="nil"/>
              <w:left w:val="nil"/>
              <w:bottom w:val="single" w:color="000000" w:sz="8" w:space="0"/>
              <w:right w:val="single" w:color="000000" w:sz="8" w:space="0"/>
            </w:tcBorders>
            <w:vAlign w:val="center"/>
          </w:tcPr>
          <w:p w14:paraId="316976B2">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1105310.29</w:t>
            </w:r>
          </w:p>
        </w:tc>
        <w:tc>
          <w:tcPr>
            <w:tcW w:w="1667" w:type="dxa"/>
            <w:tcBorders>
              <w:top w:val="nil"/>
              <w:left w:val="single" w:color="auto" w:sz="4" w:space="0"/>
              <w:bottom w:val="single" w:color="auto" w:sz="4" w:space="0"/>
              <w:right w:val="single" w:color="auto" w:sz="4" w:space="0"/>
            </w:tcBorders>
            <w:vAlign w:val="center"/>
          </w:tcPr>
          <w:p w14:paraId="59F19F03">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100.00</w:t>
            </w:r>
          </w:p>
        </w:tc>
      </w:tr>
      <w:tr w14:paraId="060C0F55">
        <w:trPr>
          <w:trHeight w:val="310" w:hRule="atLeast"/>
          <w:jc w:val="center"/>
        </w:trPr>
        <w:tc>
          <w:tcPr>
            <w:tcW w:w="699" w:type="dxa"/>
            <w:tcBorders>
              <w:top w:val="nil"/>
              <w:left w:val="single" w:color="000000" w:sz="8" w:space="0"/>
              <w:bottom w:val="single" w:color="000000" w:sz="8" w:space="0"/>
              <w:right w:val="single" w:color="000000" w:sz="8" w:space="0"/>
            </w:tcBorders>
          </w:tcPr>
          <w:p w14:paraId="59DA95B5">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6</w:t>
            </w:r>
          </w:p>
        </w:tc>
        <w:tc>
          <w:tcPr>
            <w:tcW w:w="2003" w:type="dxa"/>
            <w:tcBorders>
              <w:top w:val="nil"/>
              <w:left w:val="single" w:color="000000" w:sz="8" w:space="0"/>
              <w:bottom w:val="single" w:color="000000" w:sz="8" w:space="0"/>
              <w:right w:val="single" w:color="000000" w:sz="8" w:space="0"/>
            </w:tcBorders>
          </w:tcPr>
          <w:p w14:paraId="0F7FE78A">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w:t>
            </w:r>
            <w:r>
              <w:rPr>
                <w:rFonts w:ascii="楷体" w:hAnsi="Times New Roman" w:eastAsia="楷体" w:cs="Times New Roman"/>
                <w:kern w:val="0"/>
                <w:lang w:bidi="zh-CN"/>
              </w:rPr>
              <w:t>7</w:t>
            </w:r>
          </w:p>
        </w:tc>
        <w:tc>
          <w:tcPr>
            <w:tcW w:w="3969" w:type="dxa"/>
            <w:gridSpan w:val="2"/>
            <w:tcBorders>
              <w:top w:val="nil"/>
              <w:left w:val="single" w:color="000000" w:sz="8" w:space="0"/>
              <w:bottom w:val="single" w:color="000000" w:sz="8" w:space="0"/>
              <w:right w:val="single" w:color="000000" w:sz="8" w:space="0"/>
            </w:tcBorders>
            <w:vAlign w:val="center"/>
          </w:tcPr>
          <w:p w14:paraId="394F9AE9">
            <w:pPr>
              <w:widowControl/>
              <w:jc w:val="center"/>
              <w:rPr>
                <w:rFonts w:ascii="楷体" w:hAnsi="Times New Roman" w:eastAsia="楷体" w:cs="Times New Roman"/>
                <w:kern w:val="0"/>
                <w:lang w:bidi="zh-CN"/>
              </w:rPr>
            </w:pPr>
            <w:r>
              <w:rPr>
                <w:rFonts w:ascii="楷体" w:hAnsi="Times New Roman" w:eastAsia="楷体" w:cs="Times New Roman"/>
                <w:kern w:val="0"/>
                <w:lang w:bidi="zh-CN"/>
              </w:rPr>
              <w:t>陆地水域</w:t>
            </w:r>
          </w:p>
        </w:tc>
        <w:tc>
          <w:tcPr>
            <w:tcW w:w="1701" w:type="dxa"/>
            <w:tcBorders>
              <w:top w:val="nil"/>
              <w:left w:val="nil"/>
              <w:bottom w:val="single" w:color="000000" w:sz="8" w:space="0"/>
              <w:right w:val="single" w:color="000000" w:sz="8" w:space="0"/>
            </w:tcBorders>
            <w:vAlign w:val="center"/>
          </w:tcPr>
          <w:p w14:paraId="183AF5A8">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11998.29</w:t>
            </w:r>
          </w:p>
        </w:tc>
        <w:tc>
          <w:tcPr>
            <w:tcW w:w="1667" w:type="dxa"/>
            <w:tcBorders>
              <w:top w:val="nil"/>
              <w:left w:val="nil"/>
              <w:bottom w:val="single" w:color="000000" w:sz="8" w:space="0"/>
              <w:right w:val="single" w:color="000000" w:sz="8" w:space="0"/>
            </w:tcBorders>
            <w:vAlign w:val="center"/>
          </w:tcPr>
          <w:p w14:paraId="5387B70E">
            <w:pPr>
              <w:widowControl/>
              <w:jc w:val="center"/>
              <w:rPr>
                <w:rFonts w:ascii="楷体" w:hAnsi="Times New Roman" w:eastAsia="楷体" w:cs="Times New Roman"/>
                <w:kern w:val="0"/>
                <w:lang w:bidi="zh-CN"/>
              </w:rPr>
            </w:pPr>
          </w:p>
        </w:tc>
      </w:tr>
      <w:tr w14:paraId="4AD98C04">
        <w:trPr>
          <w:trHeight w:val="310" w:hRule="atLeast"/>
          <w:jc w:val="center"/>
        </w:trPr>
        <w:tc>
          <w:tcPr>
            <w:tcW w:w="6671" w:type="dxa"/>
            <w:gridSpan w:val="4"/>
            <w:tcBorders>
              <w:top w:val="single" w:color="000000" w:sz="8" w:space="0"/>
              <w:left w:val="single" w:color="000000" w:sz="8" w:space="0"/>
              <w:bottom w:val="single" w:color="000000" w:sz="8" w:space="0"/>
              <w:right w:val="single" w:color="000000" w:sz="8" w:space="0"/>
            </w:tcBorders>
            <w:shd w:val="clear" w:color="auto" w:fill="BEBEBE" w:themeFill="background1" w:themeFillShade="BF"/>
          </w:tcPr>
          <w:p w14:paraId="51B6941E">
            <w:pPr>
              <w:widowControl/>
              <w:jc w:val="center"/>
              <w:rPr>
                <w:rFonts w:ascii="楷体" w:hAnsi="Times New Roman" w:eastAsia="楷体" w:cs="Times New Roman"/>
                <w:kern w:val="0"/>
                <w:lang w:bidi="zh-CN"/>
              </w:rPr>
            </w:pPr>
            <w:r>
              <w:rPr>
                <w:rFonts w:ascii="楷体" w:hAnsi="Times New Roman" w:eastAsia="楷体" w:cs="Times New Roman"/>
                <w:b/>
                <w:kern w:val="0"/>
                <w:lang w:bidi="zh-CN"/>
              </w:rPr>
              <w:t>合计</w:t>
            </w:r>
          </w:p>
        </w:tc>
        <w:tc>
          <w:tcPr>
            <w:tcW w:w="1701" w:type="dxa"/>
            <w:tcBorders>
              <w:top w:val="nil"/>
              <w:left w:val="nil"/>
              <w:bottom w:val="single" w:color="000000" w:sz="8" w:space="0"/>
              <w:right w:val="single" w:color="000000" w:sz="8" w:space="0"/>
            </w:tcBorders>
            <w:vAlign w:val="center"/>
          </w:tcPr>
          <w:p w14:paraId="687C1059">
            <w:pPr>
              <w:widowControl/>
              <w:jc w:val="center"/>
              <w:rPr>
                <w:rFonts w:ascii="楷体" w:hAnsi="Times New Roman" w:eastAsia="楷体" w:cs="Times New Roman"/>
                <w:kern w:val="0"/>
                <w:lang w:bidi="zh-CN"/>
              </w:rPr>
            </w:pPr>
            <w:r>
              <w:rPr>
                <w:rFonts w:hint="eastAsia" w:ascii="楷体" w:hAnsi="Times New Roman" w:eastAsia="楷体" w:cs="Times New Roman"/>
                <w:kern w:val="0"/>
                <w:lang w:bidi="zh-CN"/>
              </w:rPr>
              <w:t>1117308.58</w:t>
            </w:r>
          </w:p>
        </w:tc>
        <w:tc>
          <w:tcPr>
            <w:tcW w:w="1667" w:type="dxa"/>
            <w:tcBorders>
              <w:top w:val="nil"/>
              <w:left w:val="nil"/>
              <w:bottom w:val="single" w:color="000000" w:sz="8" w:space="0"/>
              <w:right w:val="single" w:color="000000" w:sz="8" w:space="0"/>
            </w:tcBorders>
            <w:vAlign w:val="center"/>
          </w:tcPr>
          <w:p w14:paraId="53A0F000">
            <w:pPr>
              <w:widowControl/>
              <w:jc w:val="center"/>
              <w:rPr>
                <w:rFonts w:ascii="楷体" w:hAnsi="Times New Roman" w:eastAsia="楷体" w:cs="Times New Roman"/>
                <w:kern w:val="0"/>
                <w:lang w:bidi="zh-CN"/>
              </w:rPr>
            </w:pPr>
          </w:p>
        </w:tc>
      </w:tr>
      <w:bookmarkEnd w:id="10"/>
      <w:bookmarkEnd w:id="11"/>
    </w:tbl>
    <w:p w14:paraId="27A953F0">
      <w:pPr>
        <w:shd w:val="clear" w:color="auto" w:fill="FFFFFF"/>
        <w:rPr>
          <w:rFonts w:ascii="宋体" w:hAnsi="宋体" w:eastAsia="宋体" w:cs="宋体"/>
          <w:b/>
          <w:kern w:val="0"/>
          <w:sz w:val="32"/>
          <w:szCs w:val="29"/>
        </w:rPr>
      </w:pPr>
    </w:p>
    <w:p w14:paraId="782985E2">
      <w:pPr>
        <w:shd w:val="clear" w:color="auto" w:fill="FFFFFF"/>
        <w:rPr>
          <w:rFonts w:ascii="宋体" w:hAnsi="宋体" w:eastAsia="宋体" w:cs="宋体"/>
          <w:b/>
          <w:kern w:val="0"/>
          <w:sz w:val="32"/>
          <w:szCs w:val="29"/>
        </w:rPr>
      </w:pPr>
      <w:r>
        <w:rPr>
          <w:rFonts w:hint="eastAsia" w:ascii="宋体" w:hAnsi="宋体" w:eastAsia="宋体" w:cs="宋体"/>
          <w:b/>
          <w:kern w:val="0"/>
          <w:sz w:val="32"/>
          <w:szCs w:val="29"/>
        </w:rPr>
        <w:t>三、公示主要图纸</w:t>
      </w:r>
    </w:p>
    <w:p w14:paraId="2FE80241">
      <w:pPr>
        <w:pStyle w:val="8"/>
        <w:shd w:val="clear" w:color="auto" w:fill="FFFFFF"/>
        <w:spacing w:before="0" w:beforeAutospacing="0" w:after="0" w:afterAutospacing="0"/>
        <w:ind w:firstLine="555"/>
        <w:rPr>
          <w:rFonts w:hint="eastAsia"/>
          <w:sz w:val="29"/>
          <w:szCs w:val="29"/>
          <w:lang w:val="en-US" w:eastAsia="zh-CN"/>
        </w:rPr>
      </w:pPr>
      <w:r>
        <w:rPr>
          <w:rFonts w:hint="eastAsia"/>
          <w:sz w:val="29"/>
          <w:szCs w:val="29"/>
          <w:lang w:val="en-US" w:eastAsia="zh-CN"/>
        </w:rPr>
        <w:t>详见附件。</w:t>
      </w:r>
    </w:p>
    <w:p w14:paraId="77C9F8E2">
      <w:pPr>
        <w:numPr>
          <w:ilvl w:val="0"/>
          <w:numId w:val="1"/>
        </w:numPr>
        <w:spacing w:line="576" w:lineRule="exact"/>
        <w:rPr>
          <w:rFonts w:hint="eastAsia" w:ascii="宋体" w:hAnsi="宋体" w:eastAsia="宋体" w:cs="宋体"/>
          <w:b/>
          <w:kern w:val="0"/>
          <w:sz w:val="32"/>
          <w:szCs w:val="29"/>
        </w:rPr>
      </w:pPr>
      <w:r>
        <w:rPr>
          <w:rFonts w:hint="eastAsia" w:ascii="宋体" w:hAnsi="宋体" w:eastAsia="宋体" w:cs="宋体"/>
          <w:b/>
          <w:kern w:val="0"/>
          <w:sz w:val="32"/>
          <w:szCs w:val="29"/>
        </w:rPr>
        <w:t>公示时间</w:t>
      </w:r>
    </w:p>
    <w:p w14:paraId="2EBAF9D7">
      <w:pPr>
        <w:numPr>
          <w:ilvl w:val="0"/>
          <w:numId w:val="0"/>
        </w:numPr>
        <w:spacing w:line="576" w:lineRule="exact"/>
        <w:rPr>
          <w:rFonts w:ascii="仿宋" w:hAnsi="仿宋" w:eastAsia="仿宋" w:cs="仿宋"/>
          <w:sz w:val="28"/>
          <w:szCs w:val="28"/>
        </w:rPr>
      </w:pPr>
      <w:r>
        <w:rPr>
          <w:rFonts w:hint="eastAsia" w:ascii="仿宋" w:hAnsi="仿宋" w:eastAsia="仿宋" w:cs="仿宋"/>
          <w:sz w:val="28"/>
          <w:szCs w:val="28"/>
          <w:lang w:val="en-US" w:eastAsia="zh-CN"/>
        </w:rPr>
        <w:t>30天</w:t>
      </w:r>
      <w:r>
        <w:rPr>
          <w:rFonts w:hint="eastAsia" w:ascii="仿宋" w:hAnsi="仿宋" w:eastAsia="仿宋" w:cs="仿宋"/>
          <w:sz w:val="28"/>
          <w:szCs w:val="28"/>
        </w:rPr>
        <w:t>（202</w:t>
      </w:r>
      <w:r>
        <w:rPr>
          <w:rFonts w:hint="eastAsia" w:ascii="仿宋" w:hAnsi="仿宋" w:eastAsia="仿宋" w:cs="仿宋"/>
          <w:sz w:val="28"/>
          <w:szCs w:val="28"/>
          <w:lang w:val="en-US" w:eastAsia="zh-CN"/>
        </w:rPr>
        <w:t>6</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w:t>
      </w:r>
      <w:r>
        <w:rPr>
          <w:rFonts w:hint="eastAsia" w:ascii="仿宋" w:hAnsi="仿宋" w:eastAsia="仿宋" w:cs="仿宋"/>
          <w:sz w:val="28"/>
          <w:szCs w:val="28"/>
          <w:lang w:val="en-US" w:eastAsia="zh-CN"/>
        </w:rPr>
        <w:t>4</w:t>
      </w:r>
      <w:r>
        <w:rPr>
          <w:rFonts w:hint="eastAsia" w:ascii="仿宋" w:hAnsi="仿宋" w:eastAsia="仿宋" w:cs="仿宋"/>
          <w:sz w:val="28"/>
          <w:szCs w:val="28"/>
        </w:rPr>
        <w:t>日至202</w:t>
      </w:r>
      <w:r>
        <w:rPr>
          <w:rFonts w:hint="eastAsia" w:ascii="仿宋" w:hAnsi="仿宋" w:eastAsia="仿宋" w:cs="仿宋"/>
          <w:sz w:val="28"/>
          <w:szCs w:val="28"/>
          <w:lang w:val="en-US" w:eastAsia="zh-CN"/>
        </w:rPr>
        <w:t>6</w:t>
      </w:r>
      <w:r>
        <w:rPr>
          <w:rFonts w:hint="eastAsia" w:ascii="仿宋" w:hAnsi="仿宋" w:eastAsia="仿宋" w:cs="仿宋"/>
          <w:sz w:val="28"/>
          <w:szCs w:val="28"/>
        </w:rPr>
        <w:t>年</w:t>
      </w:r>
      <w:r>
        <w:rPr>
          <w:rFonts w:hint="eastAsia" w:ascii="仿宋" w:hAnsi="仿宋" w:eastAsia="仿宋" w:cs="仿宋"/>
          <w:sz w:val="28"/>
          <w:szCs w:val="28"/>
          <w:lang w:val="en-US" w:eastAsia="zh-CN"/>
        </w:rPr>
        <w:t>2</w:t>
      </w:r>
      <w:r>
        <w:rPr>
          <w:rFonts w:hint="eastAsia" w:ascii="仿宋" w:hAnsi="仿宋" w:eastAsia="仿宋" w:cs="仿宋"/>
          <w:sz w:val="28"/>
          <w:szCs w:val="28"/>
        </w:rPr>
        <w:t>月</w:t>
      </w:r>
      <w:r>
        <w:rPr>
          <w:rFonts w:hint="eastAsia" w:ascii="仿宋" w:hAnsi="仿宋" w:eastAsia="仿宋" w:cs="仿宋"/>
          <w:sz w:val="28"/>
          <w:szCs w:val="28"/>
          <w:lang w:val="en-US" w:eastAsia="zh-CN"/>
        </w:rPr>
        <w:t>2</w:t>
      </w:r>
      <w:r>
        <w:rPr>
          <w:rFonts w:hint="eastAsia" w:ascii="仿宋" w:hAnsi="仿宋" w:eastAsia="仿宋" w:cs="仿宋"/>
          <w:sz w:val="28"/>
          <w:szCs w:val="28"/>
        </w:rPr>
        <w:t>日）</w:t>
      </w:r>
    </w:p>
    <w:p w14:paraId="525A8605">
      <w:pPr>
        <w:numPr>
          <w:ilvl w:val="0"/>
          <w:numId w:val="1"/>
        </w:numPr>
        <w:spacing w:line="576" w:lineRule="exact"/>
        <w:ind w:left="0" w:leftChars="0" w:firstLine="0" w:firstLineChars="0"/>
        <w:jc w:val="left"/>
        <w:rPr>
          <w:rFonts w:hint="eastAsia" w:ascii="宋体" w:hAnsi="宋体" w:eastAsia="宋体" w:cs="宋体"/>
          <w:b/>
          <w:kern w:val="0"/>
          <w:sz w:val="32"/>
          <w:szCs w:val="29"/>
        </w:rPr>
      </w:pPr>
      <w:r>
        <w:rPr>
          <w:rFonts w:hint="eastAsia" w:ascii="宋体" w:hAnsi="宋体" w:eastAsia="宋体" w:cs="宋体"/>
          <w:b/>
          <w:kern w:val="0"/>
          <w:sz w:val="32"/>
          <w:szCs w:val="29"/>
        </w:rPr>
        <w:t>公示地点</w:t>
      </w:r>
    </w:p>
    <w:p w14:paraId="3383ECF7">
      <w:pPr>
        <w:numPr>
          <w:ilvl w:val="0"/>
          <w:numId w:val="0"/>
        </w:numPr>
        <w:spacing w:line="576" w:lineRule="exact"/>
        <w:ind w:leftChars="0" w:firstLine="560" w:firstLineChars="200"/>
        <w:jc w:val="left"/>
        <w:rPr>
          <w:rFonts w:ascii="仿宋" w:hAnsi="仿宋" w:eastAsia="仿宋" w:cs="仿宋"/>
          <w:sz w:val="28"/>
          <w:szCs w:val="28"/>
        </w:rPr>
      </w:pPr>
      <w:r>
        <w:rPr>
          <w:rFonts w:hint="eastAsia" w:ascii="仿宋" w:hAnsi="仿宋" w:eastAsia="仿宋" w:cs="仿宋"/>
          <w:sz w:val="28"/>
          <w:szCs w:val="28"/>
        </w:rPr>
        <w:t>海口市人民政府门户网站（http://www.haikou.gov.cn/）、海口江东新区管理局官网（http://jdxq.haikou.gov.cn/）、海南日报。</w:t>
      </w:r>
    </w:p>
    <w:p w14:paraId="1743C5A5">
      <w:pPr>
        <w:numPr>
          <w:ilvl w:val="0"/>
          <w:numId w:val="1"/>
        </w:numPr>
        <w:spacing w:line="576" w:lineRule="exact"/>
        <w:ind w:left="0" w:leftChars="0" w:firstLine="0" w:firstLineChars="0"/>
        <w:jc w:val="left"/>
        <w:rPr>
          <w:rFonts w:hint="eastAsia" w:ascii="宋体" w:hAnsi="宋体" w:eastAsia="宋体" w:cs="宋体"/>
          <w:b/>
          <w:kern w:val="0"/>
          <w:sz w:val="32"/>
          <w:szCs w:val="29"/>
        </w:rPr>
      </w:pPr>
      <w:r>
        <w:rPr>
          <w:rFonts w:hint="eastAsia" w:ascii="宋体" w:hAnsi="宋体" w:eastAsia="宋体" w:cs="宋体"/>
          <w:b/>
          <w:kern w:val="0"/>
          <w:sz w:val="32"/>
          <w:szCs w:val="29"/>
        </w:rPr>
        <w:t>公示意见反馈方式</w:t>
      </w:r>
    </w:p>
    <w:p w14:paraId="11854321">
      <w:pPr>
        <w:numPr>
          <w:ilvl w:val="0"/>
          <w:numId w:val="2"/>
        </w:numPr>
        <w:spacing w:line="576" w:lineRule="exact"/>
        <w:ind w:firstLine="280" w:firstLineChars="100"/>
        <w:rPr>
          <w:rFonts w:ascii="仿宋" w:hAnsi="仿宋" w:eastAsia="仿宋" w:cs="仿宋"/>
          <w:sz w:val="28"/>
          <w:szCs w:val="28"/>
        </w:rPr>
      </w:pPr>
      <w:r>
        <w:rPr>
          <w:rFonts w:hint="eastAsia" w:ascii="仿宋" w:hAnsi="仿宋" w:eastAsia="仿宋" w:cs="仿宋"/>
          <w:sz w:val="28"/>
          <w:szCs w:val="28"/>
        </w:rPr>
        <w:t>电子邮件请发送至：</w:t>
      </w:r>
      <w:r>
        <w:fldChar w:fldCharType="begin"/>
      </w:r>
      <w:r>
        <w:instrText xml:space="preserve"> HYPERLINK "mailto:hksjdglj@163.com；" </w:instrText>
      </w:r>
      <w:r>
        <w:fldChar w:fldCharType="separate"/>
      </w:r>
      <w:r>
        <w:rPr>
          <w:rStyle w:val="12"/>
          <w:rFonts w:hint="eastAsia" w:ascii="仿宋" w:hAnsi="仿宋" w:eastAsia="仿宋" w:cs="仿宋"/>
          <w:color w:val="auto"/>
          <w:sz w:val="28"/>
          <w:szCs w:val="28"/>
        </w:rPr>
        <w:t>hksjdglj@163.com；</w:t>
      </w:r>
      <w:r>
        <w:rPr>
          <w:rStyle w:val="12"/>
          <w:rFonts w:hint="eastAsia" w:ascii="仿宋" w:hAnsi="仿宋" w:eastAsia="仿宋" w:cs="仿宋"/>
          <w:color w:val="auto"/>
          <w:sz w:val="28"/>
          <w:szCs w:val="28"/>
        </w:rPr>
        <w:fldChar w:fldCharType="end"/>
      </w:r>
    </w:p>
    <w:p w14:paraId="14765E7A">
      <w:pPr>
        <w:numPr>
          <w:ilvl w:val="0"/>
          <w:numId w:val="2"/>
        </w:numPr>
        <w:spacing w:line="576" w:lineRule="exact"/>
        <w:ind w:firstLine="280" w:firstLineChars="100"/>
        <w:rPr>
          <w:rFonts w:ascii="仿宋" w:hAnsi="仿宋" w:eastAsia="仿宋" w:cs="仿宋"/>
          <w:sz w:val="28"/>
          <w:szCs w:val="28"/>
        </w:rPr>
      </w:pPr>
      <w:r>
        <w:rPr>
          <w:rFonts w:hint="eastAsia" w:ascii="仿宋" w:hAnsi="仿宋" w:eastAsia="仿宋" w:cs="仿宋"/>
          <w:sz w:val="28"/>
          <w:szCs w:val="28"/>
        </w:rPr>
        <w:t>书面意见邮寄到海口市美兰区江东大道202号江东发展大厦B座五楼海口江东新区管理局规划统筹部</w:t>
      </w:r>
      <w:r>
        <w:rPr>
          <w:rFonts w:hint="eastAsia" w:ascii="仿宋" w:hAnsi="仿宋" w:eastAsia="仿宋" w:cs="仿宋"/>
          <w:kern w:val="0"/>
          <w:sz w:val="28"/>
          <w:szCs w:val="28"/>
        </w:rPr>
        <w:t>；</w:t>
      </w:r>
    </w:p>
    <w:p w14:paraId="1029C391">
      <w:pPr>
        <w:numPr>
          <w:ilvl w:val="0"/>
          <w:numId w:val="2"/>
        </w:numPr>
        <w:spacing w:line="576" w:lineRule="exact"/>
        <w:ind w:firstLine="280" w:firstLineChars="100"/>
        <w:rPr>
          <w:rFonts w:ascii="仿宋" w:hAnsi="仿宋" w:eastAsia="仿宋" w:cs="仿宋"/>
          <w:sz w:val="28"/>
          <w:szCs w:val="28"/>
        </w:rPr>
      </w:pPr>
      <w:r>
        <w:rPr>
          <w:rFonts w:hint="eastAsia" w:ascii="仿宋" w:hAnsi="仿宋" w:eastAsia="仿宋" w:cs="仿宋"/>
          <w:kern w:val="0"/>
          <w:sz w:val="28"/>
          <w:szCs w:val="28"/>
        </w:rPr>
        <w:t>意见应在公示期限内反馈，逾期视为无意见</w:t>
      </w:r>
      <w:r>
        <w:rPr>
          <w:rFonts w:hint="eastAsia" w:ascii="仿宋" w:hAnsi="仿宋" w:eastAsia="仿宋" w:cs="仿宋"/>
          <w:sz w:val="28"/>
          <w:szCs w:val="28"/>
        </w:rPr>
        <w:t>。</w:t>
      </w:r>
    </w:p>
    <w:p w14:paraId="496F4A21">
      <w:pPr>
        <w:numPr>
          <w:ilvl w:val="0"/>
          <w:numId w:val="1"/>
        </w:numPr>
        <w:spacing w:line="576" w:lineRule="exact"/>
        <w:ind w:left="0" w:leftChars="0" w:firstLine="0" w:firstLineChars="0"/>
        <w:rPr>
          <w:rFonts w:hint="eastAsia" w:ascii="宋体" w:hAnsi="宋体" w:eastAsia="宋体" w:cs="宋体"/>
          <w:b/>
          <w:kern w:val="0"/>
          <w:sz w:val="32"/>
          <w:szCs w:val="29"/>
        </w:rPr>
      </w:pPr>
      <w:r>
        <w:rPr>
          <w:rFonts w:hint="eastAsia" w:ascii="宋体" w:hAnsi="宋体" w:eastAsia="宋体" w:cs="宋体"/>
          <w:b/>
          <w:kern w:val="0"/>
          <w:sz w:val="32"/>
          <w:szCs w:val="29"/>
        </w:rPr>
        <w:t>咨询电话</w:t>
      </w:r>
    </w:p>
    <w:p w14:paraId="274E81C6">
      <w:pPr>
        <w:numPr>
          <w:ilvl w:val="0"/>
          <w:numId w:val="0"/>
        </w:numPr>
        <w:spacing w:line="576" w:lineRule="exact"/>
        <w:ind w:leftChars="0" w:firstLine="560" w:firstLineChars="200"/>
        <w:rPr>
          <w:rFonts w:ascii="仿宋" w:hAnsi="仿宋" w:eastAsia="仿宋" w:cs="仿宋"/>
          <w:sz w:val="28"/>
          <w:szCs w:val="28"/>
        </w:rPr>
      </w:pPr>
      <w:r>
        <w:rPr>
          <w:rFonts w:hint="eastAsia" w:ascii="仿宋" w:hAnsi="仿宋" w:eastAsia="仿宋" w:cs="仿宋"/>
          <w:sz w:val="28"/>
          <w:szCs w:val="28"/>
          <w:lang w:val="en-US" w:eastAsia="zh-CN"/>
        </w:rPr>
        <w:t>0898-</w:t>
      </w:r>
      <w:r>
        <w:rPr>
          <w:rFonts w:hint="eastAsia" w:ascii="仿宋" w:hAnsi="仿宋" w:eastAsia="仿宋" w:cs="仿宋"/>
          <w:sz w:val="28"/>
          <w:szCs w:val="28"/>
        </w:rPr>
        <w:t>65686619</w:t>
      </w:r>
      <w:r>
        <w:rPr>
          <w:rFonts w:hint="eastAsia" w:ascii="仿宋" w:hAnsi="仿宋" w:eastAsia="仿宋" w:cs="仿宋"/>
          <w:sz w:val="28"/>
          <w:szCs w:val="28"/>
          <w:lang w:eastAsia="zh-CN"/>
        </w:rPr>
        <w:t>，</w:t>
      </w:r>
      <w:r>
        <w:rPr>
          <w:rFonts w:hint="eastAsia" w:ascii="仿宋" w:hAnsi="仿宋" w:eastAsia="仿宋" w:cs="仿宋"/>
          <w:sz w:val="28"/>
          <w:szCs w:val="28"/>
        </w:rPr>
        <w:t>联系人：胡工 。</w:t>
      </w:r>
    </w:p>
    <w:p w14:paraId="78FA89E6">
      <w:pPr>
        <w:spacing w:line="576" w:lineRule="exact"/>
        <w:ind w:firstLine="280" w:firstLineChars="100"/>
        <w:rPr>
          <w:rFonts w:ascii="仿宋" w:hAnsi="仿宋" w:eastAsia="仿宋" w:cs="仿宋"/>
          <w:sz w:val="28"/>
          <w:szCs w:val="28"/>
        </w:rPr>
      </w:pPr>
    </w:p>
    <w:p w14:paraId="4C0D17BC">
      <w:pPr>
        <w:spacing w:line="576" w:lineRule="exact"/>
        <w:ind w:firstLine="280" w:firstLineChars="100"/>
        <w:rPr>
          <w:rFonts w:ascii="仿宋" w:hAnsi="仿宋" w:eastAsia="仿宋" w:cs="仿宋"/>
          <w:sz w:val="28"/>
          <w:szCs w:val="28"/>
        </w:rPr>
      </w:pPr>
      <w:r>
        <w:rPr>
          <w:rFonts w:hint="eastAsia" w:ascii="仿宋" w:hAnsi="仿宋" w:eastAsia="仿宋" w:cs="仿宋"/>
          <w:sz w:val="28"/>
          <w:szCs w:val="28"/>
        </w:rPr>
        <w:t>附件：公示材料</w:t>
      </w:r>
    </w:p>
    <w:p w14:paraId="32A9257C">
      <w:pPr>
        <w:pStyle w:val="2"/>
      </w:pPr>
    </w:p>
    <w:p w14:paraId="5727A893">
      <w:pPr>
        <w:pStyle w:val="2"/>
        <w:ind w:left="0" w:leftChars="0" w:firstLine="0" w:firstLineChars="0"/>
        <w:rPr>
          <w:sz w:val="28"/>
          <w:szCs w:val="28"/>
        </w:rPr>
      </w:pPr>
    </w:p>
    <w:p w14:paraId="4944A179">
      <w:pPr>
        <w:spacing w:line="576" w:lineRule="exact"/>
        <w:ind w:firstLine="640" w:firstLineChars="200"/>
        <w:rPr>
          <w:rFonts w:ascii="仿宋_GB2312" w:hAnsi="仿宋" w:eastAsia="仿宋_GB2312"/>
          <w:sz w:val="32"/>
          <w:szCs w:val="32"/>
        </w:rPr>
      </w:pPr>
    </w:p>
    <w:p w14:paraId="00F1F0AC">
      <w:pPr>
        <w:spacing w:line="576" w:lineRule="exact"/>
        <w:ind w:firstLine="640" w:firstLineChars="200"/>
        <w:jc w:val="right"/>
        <w:rPr>
          <w:rFonts w:ascii="仿宋_GB2312" w:eastAsia="仿宋_GB2312"/>
          <w:sz w:val="32"/>
          <w:szCs w:val="32"/>
        </w:rPr>
      </w:pPr>
      <w:r>
        <w:rPr>
          <w:rFonts w:hint="eastAsia" w:ascii="仿宋_GB2312" w:eastAsia="仿宋_GB2312"/>
          <w:sz w:val="32"/>
          <w:szCs w:val="32"/>
        </w:rPr>
        <w:t>海口江东新区管理局</w:t>
      </w:r>
    </w:p>
    <w:p w14:paraId="3AC4B3B4">
      <w:pPr>
        <w:spacing w:line="576" w:lineRule="exact"/>
        <w:ind w:firstLine="640" w:firstLineChars="200"/>
        <w:jc w:val="right"/>
        <w:rPr>
          <w:rFonts w:ascii="仿宋_GB2312" w:hAnsi="仿宋"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12</w:t>
      </w:r>
      <w:r>
        <w:rPr>
          <w:rFonts w:hint="eastAsia" w:ascii="仿宋_GB2312" w:eastAsia="仿宋_GB2312"/>
          <w:sz w:val="32"/>
          <w:szCs w:val="32"/>
        </w:rPr>
        <w:t>月</w:t>
      </w:r>
      <w:r>
        <w:rPr>
          <w:rFonts w:hint="eastAsia" w:ascii="仿宋_GB2312" w:eastAsia="仿宋_GB2312"/>
          <w:sz w:val="32"/>
          <w:szCs w:val="32"/>
          <w:lang w:val="en-US" w:eastAsia="zh-CN"/>
        </w:rPr>
        <w:t>31</w:t>
      </w:r>
      <w:bookmarkStart w:id="13" w:name="_GoBack"/>
      <w:bookmarkEnd w:id="13"/>
      <w:r>
        <w:rPr>
          <w:rFonts w:hint="eastAsia" w:ascii="仿宋_GB2312" w:eastAsia="仿宋_GB2312"/>
          <w:sz w:val="32"/>
          <w:szCs w:val="32"/>
        </w:rPr>
        <w:t>日</w:t>
      </w:r>
    </w:p>
    <w:p w14:paraId="40E41AE8">
      <w:pPr>
        <w:rPr>
          <w:rFonts w:hint="eastAsia"/>
          <w:sz w:val="29"/>
          <w:szCs w:val="29"/>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汉仪中等线KW">
    <w:panose1 w:val="01010104010101010101"/>
    <w:charset w:val="86"/>
    <w:family w:val="auto"/>
    <w:pitch w:val="default"/>
    <w:sig w:usb0="800002BF" w:usb1="004F7CFA" w:usb2="00000000" w:usb3="00000000" w:csb0="00040001"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EDD02"/>
    <w:multiLevelType w:val="singleLevel"/>
    <w:tmpl w:val="FFEEDD02"/>
    <w:lvl w:ilvl="0" w:tentative="0">
      <w:start w:val="4"/>
      <w:numFmt w:val="chineseCounting"/>
      <w:suff w:val="nothing"/>
      <w:lvlText w:val="%1、"/>
      <w:lvlJc w:val="left"/>
      <w:rPr>
        <w:rFonts w:hint="eastAsia"/>
      </w:rPr>
    </w:lvl>
  </w:abstractNum>
  <w:abstractNum w:abstractNumId="1">
    <w:nsid w:val="78AA39EC"/>
    <w:multiLevelType w:val="singleLevel"/>
    <w:tmpl w:val="78AA39E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B59"/>
    <w:rsid w:val="002126BE"/>
    <w:rsid w:val="002B1F24"/>
    <w:rsid w:val="0034477F"/>
    <w:rsid w:val="00616068"/>
    <w:rsid w:val="00675482"/>
    <w:rsid w:val="006B5B59"/>
    <w:rsid w:val="00773288"/>
    <w:rsid w:val="008612B5"/>
    <w:rsid w:val="008A19DC"/>
    <w:rsid w:val="009068FE"/>
    <w:rsid w:val="00910509"/>
    <w:rsid w:val="0094211B"/>
    <w:rsid w:val="009917B4"/>
    <w:rsid w:val="00B45083"/>
    <w:rsid w:val="00C14901"/>
    <w:rsid w:val="00C729D6"/>
    <w:rsid w:val="00CA6A73"/>
    <w:rsid w:val="00D43438"/>
    <w:rsid w:val="00D61549"/>
    <w:rsid w:val="00E07FE7"/>
    <w:rsid w:val="00E11D26"/>
    <w:rsid w:val="00E92FB6"/>
    <w:rsid w:val="00EE2242"/>
    <w:rsid w:val="00F5686F"/>
    <w:rsid w:val="3DB7BECF"/>
    <w:rsid w:val="C9F5E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Body Text"/>
    <w:basedOn w:val="1"/>
    <w:link w:val="19"/>
    <w:qFormat/>
    <w:uiPriority w:val="1"/>
    <w:pPr>
      <w:autoSpaceDE w:val="0"/>
      <w:autoSpaceDN w:val="0"/>
      <w:jc w:val="left"/>
    </w:pPr>
    <w:rPr>
      <w:rFonts w:ascii="仿宋" w:hAnsi="仿宋" w:eastAsia="仿宋" w:cs="仿宋"/>
      <w:kern w:val="0"/>
      <w:sz w:val="32"/>
      <w:szCs w:val="32"/>
      <w:lang w:val="zh-CN" w:bidi="zh-CN"/>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bCs/>
    </w:rPr>
  </w:style>
  <w:style w:type="character" w:styleId="12">
    <w:name w:val="Hyperlink"/>
    <w:basedOn w:val="10"/>
    <w:qFormat/>
    <w:uiPriority w:val="0"/>
    <w:rPr>
      <w:color w:val="0000FF"/>
      <w:u w:val="single"/>
    </w:rPr>
  </w:style>
  <w:style w:type="character" w:customStyle="1" w:styleId="13">
    <w:name w:val="页眉 字符"/>
    <w:basedOn w:val="10"/>
    <w:link w:val="7"/>
    <w:qFormat/>
    <w:uiPriority w:val="99"/>
    <w:rPr>
      <w:sz w:val="18"/>
      <w:szCs w:val="18"/>
    </w:rPr>
  </w:style>
  <w:style w:type="character" w:customStyle="1" w:styleId="14">
    <w:name w:val="页脚 字符"/>
    <w:basedOn w:val="10"/>
    <w:link w:val="6"/>
    <w:qFormat/>
    <w:uiPriority w:val="99"/>
    <w:rPr>
      <w:sz w:val="18"/>
      <w:szCs w:val="18"/>
    </w:rPr>
  </w:style>
  <w:style w:type="character" w:customStyle="1" w:styleId="15">
    <w:name w:val="标题 1 字符"/>
    <w:basedOn w:val="10"/>
    <w:link w:val="4"/>
    <w:qFormat/>
    <w:uiPriority w:val="9"/>
    <w:rPr>
      <w:rFonts w:ascii="宋体" w:hAnsi="宋体" w:eastAsia="宋体" w:cs="宋体"/>
      <w:b/>
      <w:bCs/>
      <w:kern w:val="36"/>
      <w:sz w:val="48"/>
      <w:szCs w:val="48"/>
    </w:rPr>
  </w:style>
  <w:style w:type="paragraph" w:styleId="16">
    <w:name w:val="List Paragraph"/>
    <w:basedOn w:val="1"/>
    <w:qFormat/>
    <w:uiPriority w:val="34"/>
    <w:pPr>
      <w:widowControl/>
      <w:spacing w:before="100" w:beforeAutospacing="1" w:after="100" w:afterAutospacing="1"/>
      <w:jc w:val="left"/>
    </w:pPr>
    <w:rPr>
      <w:rFonts w:ascii="宋体" w:hAnsi="宋体" w:eastAsia="宋体" w:cs="宋体"/>
      <w:kern w:val="0"/>
      <w:sz w:val="24"/>
      <w:szCs w:val="24"/>
    </w:rPr>
  </w:style>
  <w:style w:type="paragraph" w:customStyle="1" w:styleId="17">
    <w:name w:val="表格"/>
    <w:basedOn w:val="1"/>
    <w:link w:val="18"/>
    <w:qFormat/>
    <w:uiPriority w:val="0"/>
    <w:pPr>
      <w:widowControl/>
      <w:tabs>
        <w:tab w:val="left" w:pos="720"/>
      </w:tabs>
      <w:autoSpaceDE w:val="0"/>
      <w:autoSpaceDN w:val="0"/>
      <w:adjustRightInd w:val="0"/>
      <w:spacing w:line="360" w:lineRule="auto"/>
      <w:ind w:firstLine="480" w:firstLineChars="200"/>
    </w:pPr>
    <w:rPr>
      <w:rFonts w:ascii="宋体" w:hAnsi="宋体" w:eastAsia="宋体" w:cs="宋体"/>
      <w:kern w:val="0"/>
      <w:sz w:val="24"/>
      <w:szCs w:val="24"/>
    </w:rPr>
  </w:style>
  <w:style w:type="character" w:customStyle="1" w:styleId="18">
    <w:name w:val="表格 Char"/>
    <w:basedOn w:val="10"/>
    <w:link w:val="17"/>
    <w:qFormat/>
    <w:uiPriority w:val="0"/>
    <w:rPr>
      <w:rFonts w:ascii="宋体" w:hAnsi="宋体" w:eastAsia="宋体" w:cs="宋体"/>
      <w:kern w:val="0"/>
      <w:sz w:val="24"/>
      <w:szCs w:val="24"/>
    </w:rPr>
  </w:style>
  <w:style w:type="character" w:customStyle="1" w:styleId="19">
    <w:name w:val="正文文本 字符"/>
    <w:basedOn w:val="10"/>
    <w:link w:val="5"/>
    <w:uiPriority w:val="1"/>
    <w:rPr>
      <w:rFonts w:ascii="仿宋" w:hAnsi="仿宋" w:eastAsia="仿宋" w:cs="仿宋"/>
      <w:kern w:val="0"/>
      <w:sz w:val="32"/>
      <w:szCs w:val="32"/>
      <w:lang w:val="zh-CN" w:bidi="zh-CN"/>
    </w:rPr>
  </w:style>
  <w:style w:type="paragraph" w:customStyle="1" w:styleId="20">
    <w:name w:val="ds-markdown-paragraph"/>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241</Words>
  <Characters>1378</Characters>
  <Lines>11</Lines>
  <Paragraphs>3</Paragraphs>
  <TotalTime>1</TotalTime>
  <ScaleCrop>false</ScaleCrop>
  <LinksUpToDate>false</LinksUpToDate>
  <CharactersWithSpaces>1616</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2025-12-27T00:17:00Z</dcterms:created>
  <dc:creator>白旭</dc:creator>
  <cp:lastModifiedBy>LHH</cp:lastModifiedBy>
  <dcterms:modified xsi:type="dcterms:W3CDTF">2025-12-31T16:10:25Z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75CC6BD8389FC960604A53692B9E877D_42</vt:lpwstr>
  </property>
</Properties>
</file>