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63B01">
      <w:pPr>
        <w:keepNext w:val="0"/>
        <w:keepLines w:val="0"/>
        <w:pageBreakBefore w:val="0"/>
        <w:kinsoku/>
        <w:wordWrap/>
        <w:overflowPunct/>
        <w:topLinePunct w:val="0"/>
        <w:autoSpaceDE/>
        <w:bidi w:val="0"/>
        <w:adjustRightInd/>
        <w:snapToGrid w:val="0"/>
        <w:spacing w:line="240" w:lineRule="auto"/>
        <w:jc w:val="center"/>
        <w:rPr>
          <w:rFonts w:hint="eastAsia" w:ascii="方正小标宋简体" w:hAnsi="方正小标宋简体" w:eastAsia="方正小标宋简体" w:cs="方正小标宋简体"/>
          <w:b/>
          <w:bCs/>
          <w:sz w:val="44"/>
          <w:szCs w:val="44"/>
          <w:highlight w:val="none"/>
        </w:rPr>
      </w:pPr>
      <w:r>
        <w:rPr>
          <w:rFonts w:hint="eastAsia" w:ascii="方正小标宋简体" w:hAnsi="方正小标宋简体" w:eastAsia="方正小标宋简体" w:cs="方正小标宋简体"/>
          <w:b/>
          <w:bCs/>
          <w:sz w:val="44"/>
          <w:szCs w:val="44"/>
          <w:highlight w:val="none"/>
        </w:rPr>
        <w:t>海口江东新区管理局</w:t>
      </w:r>
    </w:p>
    <w:p w14:paraId="26FE3BA6">
      <w:pPr>
        <w:pStyle w:val="6"/>
        <w:snapToGrid/>
        <w:spacing w:before="0" w:after="0"/>
        <w:rPr>
          <w:rFonts w:hint="eastAsia" w:ascii="方正小标宋简体" w:hAnsi="方正小标宋简体" w:eastAsia="方正小标宋简体" w:cs="方正小标宋简体"/>
          <w:b/>
          <w:bCs/>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5</w:t>
      </w:r>
      <w:r>
        <w:rPr>
          <w:rFonts w:hint="eastAsia" w:ascii="方正小标宋简体" w:hAnsi="方正小标宋简体" w:eastAsia="方正小标宋简体" w:cs="方正小标宋简体"/>
          <w:sz w:val="44"/>
          <w:szCs w:val="44"/>
          <w:highlight w:val="none"/>
        </w:rPr>
        <w:t>年</w:t>
      </w:r>
      <w:bookmarkStart w:id="0" w:name="OLE_LINK1"/>
      <w:r>
        <w:rPr>
          <w:rFonts w:hint="eastAsia" w:ascii="方正小标宋简体" w:hAnsi="方正小标宋简体" w:eastAsia="方正小标宋简体" w:cs="方正小标宋简体"/>
          <w:sz w:val="44"/>
          <w:szCs w:val="44"/>
          <w:lang w:val="en-US" w:eastAsia="zh-CN"/>
        </w:rPr>
        <w:t>江东新区地下综合管廊控制中心一期</w:t>
      </w:r>
      <w:r>
        <w:rPr>
          <w:rFonts w:hint="eastAsia" w:ascii="方正小标宋简体" w:hAnsi="方正小标宋简体" w:eastAsia="方正小标宋简体" w:cs="方正小标宋简体"/>
          <w:sz w:val="44"/>
          <w:szCs w:val="44"/>
        </w:rPr>
        <w:t>项目</w:t>
      </w:r>
      <w:bookmarkEnd w:id="0"/>
      <w:r>
        <w:rPr>
          <w:rFonts w:hint="eastAsia" w:ascii="方正小标宋简体" w:hAnsi="方正小标宋简体" w:eastAsia="方正小标宋简体" w:cs="方正小标宋简体"/>
          <w:b/>
          <w:bCs/>
          <w:sz w:val="44"/>
          <w:szCs w:val="44"/>
          <w:highlight w:val="none"/>
        </w:rPr>
        <w:t>支出绩效评价报告</w:t>
      </w:r>
    </w:p>
    <w:p w14:paraId="0F3A3436">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p>
    <w:p w14:paraId="128D3C2C">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一、基本情况</w:t>
      </w:r>
    </w:p>
    <w:p w14:paraId="3F1D867F">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（一）项目概况</w:t>
      </w:r>
    </w:p>
    <w:p w14:paraId="516D36C2">
      <w:pPr>
        <w:widowControl/>
        <w:ind w:firstLine="640" w:firstLineChars="200"/>
        <w:jc w:val="left"/>
        <w:outlineLvl w:val="0"/>
        <w:rPr>
          <w:rFonts w:hint="eastAsia" w:ascii="仿宋_GB2312" w:hAnsi="Times New Roman" w:eastAsia="仿宋_GB2312" w:cs="仿宋_GB2312"/>
          <w:sz w:val="32"/>
          <w:szCs w:val="32"/>
          <w:lang w:bidi="ar"/>
        </w:rPr>
      </w:pPr>
      <w:r>
        <w:rPr>
          <w:rFonts w:hint="eastAsia" w:ascii="仿宋_GB2312" w:hAnsi="Times New Roman" w:eastAsia="仿宋_GB2312" w:cs="仿宋_GB2312"/>
          <w:kern w:val="2"/>
          <w:sz w:val="32"/>
          <w:szCs w:val="32"/>
          <w:lang w:val="en-US" w:eastAsia="zh-CN" w:bidi="ar"/>
        </w:rPr>
        <w:t>江东新区地下综合管廊控制中心一期项目业主为海口市路桥建设投资有限公司，</w:t>
      </w:r>
      <w:r>
        <w:rPr>
          <w:rFonts w:hint="eastAsia" w:ascii="仿宋_GB2312" w:hAnsi="Calibri" w:eastAsia="仿宋_GB2312" w:cs="仿宋_GB2312"/>
          <w:b w:val="0"/>
          <w:color w:val="auto"/>
          <w:kern w:val="2"/>
          <w:sz w:val="32"/>
          <w:szCs w:val="32"/>
          <w:lang w:val="en-US" w:eastAsia="zh-CN" w:bidi="ar"/>
        </w:rPr>
        <w:t>项目总建筑面积8796.17平方米，主要建设内容包括土建工程、设备及安装工程、装修工程、室外配套工程和管廊连接通道工程等</w:t>
      </w:r>
      <w:r>
        <w:rPr>
          <w:rFonts w:hint="eastAsia" w:ascii="仿宋_GB2312" w:hAnsi="Times New Roman" w:eastAsia="仿宋_GB2312" w:cs="仿宋_GB2312"/>
          <w:kern w:val="2"/>
          <w:sz w:val="32"/>
          <w:szCs w:val="32"/>
          <w:lang w:val="en-US" w:eastAsia="zh-CN" w:bidi="ar"/>
        </w:rPr>
        <w:t>。该</w:t>
      </w:r>
      <w:r>
        <w:rPr>
          <w:rFonts w:hint="eastAsia" w:ascii="仿宋_GB2312" w:hAnsi="Times New Roman" w:eastAsia="仿宋_GB2312" w:cs="仿宋_GB2312"/>
          <w:sz w:val="32"/>
          <w:szCs w:val="32"/>
          <w:lang w:bidi="ar"/>
        </w:rPr>
        <w:t>项目202</w:t>
      </w:r>
      <w:r>
        <w:rPr>
          <w:rFonts w:hint="eastAsia" w:ascii="仿宋_GB2312" w:hAnsi="Times New Roman" w:eastAsia="仿宋_GB2312" w:cs="仿宋_GB2312"/>
          <w:sz w:val="32"/>
          <w:szCs w:val="32"/>
          <w:lang w:val="en-US" w:eastAsia="zh-CN" w:bidi="ar"/>
        </w:rPr>
        <w:t>5</w:t>
      </w:r>
      <w:r>
        <w:rPr>
          <w:rFonts w:hint="eastAsia" w:ascii="仿宋_GB2312" w:hAnsi="Times New Roman" w:eastAsia="仿宋_GB2312" w:cs="仿宋_GB2312"/>
          <w:sz w:val="32"/>
          <w:szCs w:val="32"/>
          <w:lang w:bidi="ar"/>
        </w:rPr>
        <w:t>年到位资金</w:t>
      </w:r>
      <w:r>
        <w:rPr>
          <w:rFonts w:hint="default" w:ascii="仿宋_GB2312" w:hAnsi="Times New Roman" w:eastAsia="仿宋_GB2312" w:cs="仿宋_GB2312"/>
          <w:sz w:val="32"/>
          <w:szCs w:val="32"/>
          <w:lang w:val="en-US" w:eastAsia="zh-CN" w:bidi="ar"/>
        </w:rPr>
        <w:t>1189</w:t>
      </w:r>
      <w:r>
        <w:rPr>
          <w:rFonts w:hint="eastAsia" w:ascii="仿宋_GB2312" w:hAnsi="Times New Roman" w:eastAsia="仿宋_GB2312" w:cs="仿宋_GB2312"/>
          <w:sz w:val="32"/>
          <w:szCs w:val="32"/>
          <w:lang w:val="en-US" w:eastAsia="zh-CN" w:bidi="ar"/>
        </w:rPr>
        <w:t>.</w:t>
      </w:r>
      <w:r>
        <w:rPr>
          <w:rFonts w:hint="default" w:ascii="仿宋_GB2312" w:hAnsi="Times New Roman" w:eastAsia="仿宋_GB2312" w:cs="仿宋_GB2312"/>
          <w:sz w:val="32"/>
          <w:szCs w:val="32"/>
          <w:lang w:val="en-US" w:eastAsia="zh-CN" w:bidi="ar"/>
        </w:rPr>
        <w:t>31</w:t>
      </w:r>
      <w:r>
        <w:rPr>
          <w:rFonts w:hint="eastAsia" w:ascii="仿宋_GB2312" w:hAnsi="Times New Roman" w:eastAsia="仿宋_GB2312" w:cs="仿宋_GB2312"/>
          <w:sz w:val="32"/>
          <w:szCs w:val="32"/>
          <w:lang w:bidi="ar"/>
        </w:rPr>
        <w:t>万元</w:t>
      </w:r>
      <w:r>
        <w:rPr>
          <w:rFonts w:hint="eastAsia" w:ascii="仿宋_GB2312" w:hAnsi="Times New Roman" w:eastAsia="仿宋_GB2312" w:cs="仿宋_GB2312"/>
          <w:sz w:val="32"/>
          <w:szCs w:val="32"/>
          <w:lang w:eastAsia="zh-CN" w:bidi="ar"/>
        </w:rPr>
        <w:t>。</w:t>
      </w:r>
      <w:r>
        <w:rPr>
          <w:rFonts w:hint="eastAsia" w:ascii="仿宋_GB2312" w:hAnsi="Times New Roman" w:eastAsia="仿宋_GB2312" w:cs="仿宋_GB2312"/>
          <w:sz w:val="32"/>
          <w:szCs w:val="32"/>
          <w:lang w:val="en-US" w:eastAsia="zh-CN" w:bidi="ar"/>
        </w:rPr>
        <w:t>截至目前，均已支出完毕</w:t>
      </w:r>
      <w:r>
        <w:rPr>
          <w:rFonts w:hint="eastAsia" w:ascii="仿宋_GB2312" w:hAnsi="Times New Roman" w:eastAsia="仿宋_GB2312" w:cs="仿宋_GB2312"/>
          <w:sz w:val="32"/>
          <w:szCs w:val="32"/>
          <w:lang w:eastAsia="zh-CN" w:bidi="ar"/>
        </w:rPr>
        <w:t>。</w:t>
      </w:r>
    </w:p>
    <w:p w14:paraId="5CEAB911">
      <w:pPr>
        <w:keepNext w:val="0"/>
        <w:keepLines w:val="0"/>
        <w:pageBreakBefore w:val="0"/>
        <w:widowControl/>
        <w:kinsoku/>
        <w:wordWrap/>
        <w:overflowPunct/>
        <w:topLinePunct w:val="0"/>
        <w:autoSpaceDE/>
        <w:bidi w:val="0"/>
        <w:adjustRightInd/>
        <w:snapToGrid/>
        <w:spacing w:line="240" w:lineRule="auto"/>
        <w:ind w:firstLine="640" w:firstLineChars="200"/>
        <w:jc w:val="left"/>
        <w:outlineLvl w:val="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（二）项目绩效目标</w:t>
      </w:r>
    </w:p>
    <w:p w14:paraId="319D9F70">
      <w:pPr>
        <w:spacing w:line="560" w:lineRule="exact"/>
        <w:ind w:firstLine="640" w:firstLineChars="200"/>
        <w:rPr>
          <w:rFonts w:hint="eastAsia" w:ascii="仿宋_GB2312" w:hAnsi="仿宋_GB2312" w:eastAsia="仿宋_GB2312" w:cs="仿宋_GB2312"/>
          <w:sz w:val="32"/>
          <w:szCs w:val="32"/>
          <w:highlight w:val="none"/>
          <w:shd w:val="clear" w:color="auto" w:fill="auto"/>
        </w:rPr>
      </w:pPr>
      <w:r>
        <w:rPr>
          <w:rFonts w:hint="eastAsia" w:ascii="仿宋_GB2312" w:hAnsi="仿宋_GB2312" w:eastAsia="仿宋_GB2312" w:cs="仿宋_GB2312"/>
          <w:sz w:val="32"/>
          <w:szCs w:val="32"/>
          <w:highlight w:val="none"/>
        </w:rPr>
        <w:t>该项目总体目标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按计划完成项目建设，</w:t>
      </w:r>
      <w:r>
        <w:rPr>
          <w:rFonts w:hint="eastAsia" w:ascii="仿宋_GB2312" w:hAnsi="仿宋_GB2312" w:eastAsia="仿宋_GB2312" w:cs="仿宋_GB2312"/>
          <w:sz w:val="32"/>
          <w:szCs w:val="32"/>
          <w:highlight w:val="none"/>
          <w:lang w:val="en-US" w:eastAsia="zh-CN"/>
        </w:rPr>
        <w:t>完成</w:t>
      </w:r>
      <w:r>
        <w:rPr>
          <w:rFonts w:hint="eastAsia" w:ascii="仿宋_GB2312" w:hAnsi="仿宋_GB2312" w:eastAsia="仿宋_GB2312" w:cs="仿宋_GB2312"/>
          <w:sz w:val="32"/>
          <w:szCs w:val="32"/>
          <w:highlight w:val="none"/>
          <w:lang w:val="en-US" w:eastAsia="zh-CN" w:bidi="ar"/>
        </w:rPr>
        <w:t>主体结构完工</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shd w:val="clear" w:color="auto" w:fill="auto"/>
        </w:rPr>
        <w:t>年度绩效目标如下：</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7"/>
        <w:gridCol w:w="4484"/>
        <w:gridCol w:w="2018"/>
      </w:tblGrid>
      <w:tr w14:paraId="54790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restart"/>
            <w:vAlign w:val="center"/>
          </w:tcPr>
          <w:p w14:paraId="470E342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指标类型</w:t>
            </w:r>
          </w:p>
        </w:tc>
        <w:tc>
          <w:tcPr>
            <w:tcW w:w="2631" w:type="pct"/>
            <w:vMerge w:val="restart"/>
            <w:vAlign w:val="center"/>
          </w:tcPr>
          <w:p w14:paraId="3445341D">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指标名称</w:t>
            </w:r>
          </w:p>
        </w:tc>
        <w:tc>
          <w:tcPr>
            <w:tcW w:w="1184" w:type="pct"/>
            <w:vMerge w:val="restart"/>
            <w:vAlign w:val="center"/>
          </w:tcPr>
          <w:p w14:paraId="07B543F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绩效目标</w:t>
            </w:r>
          </w:p>
        </w:tc>
      </w:tr>
      <w:tr w14:paraId="06006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continue"/>
          </w:tcPr>
          <w:p w14:paraId="478CFC8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2631" w:type="pct"/>
            <w:vMerge w:val="continue"/>
          </w:tcPr>
          <w:p w14:paraId="5BCCA38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1184" w:type="pct"/>
            <w:vMerge w:val="continue"/>
          </w:tcPr>
          <w:p w14:paraId="4D062007">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r>
      <w:tr w14:paraId="5814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Align w:val="center"/>
          </w:tcPr>
          <w:p w14:paraId="5773A41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产出指标</w:t>
            </w:r>
          </w:p>
        </w:tc>
        <w:tc>
          <w:tcPr>
            <w:tcW w:w="2631" w:type="pct"/>
            <w:vAlign w:val="center"/>
          </w:tcPr>
          <w:p w14:paraId="00E933F6">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仿宋_GB2312" w:hAnsi="仿宋_GB2312" w:eastAsia="仿宋_GB2312" w:cs="仿宋_GB2312"/>
                <w:sz w:val="24"/>
                <w:highlight w:val="none"/>
                <w:lang w:val="en-US"/>
              </w:rPr>
            </w:pPr>
            <w:r>
              <w:rPr>
                <w:rFonts w:hint="default" w:ascii="仿宋_GB2312" w:hAnsi="仿宋_GB2312" w:eastAsia="仿宋_GB2312" w:cs="仿宋_GB2312"/>
                <w:sz w:val="24"/>
                <w:highlight w:val="none"/>
                <w:lang w:val="en-US" w:eastAsia="zh-CN"/>
              </w:rPr>
              <w:t>地上建筑面积</w:t>
            </w:r>
          </w:p>
        </w:tc>
        <w:tc>
          <w:tcPr>
            <w:tcW w:w="1184" w:type="pct"/>
            <w:vAlign w:val="center"/>
          </w:tcPr>
          <w:p w14:paraId="69089C3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5712.72</w:t>
            </w:r>
            <w:r>
              <w:rPr>
                <w:rFonts w:hint="eastAsia" w:ascii="仿宋_GB2312" w:hAnsi="仿宋_GB2312" w:eastAsia="仿宋_GB2312" w:cs="仿宋_GB2312"/>
                <w:sz w:val="24"/>
                <w:highlight w:val="none"/>
                <w:lang w:val="en-US" w:eastAsia="zh-CN" w:bidi="ar"/>
              </w:rPr>
              <w:t>㎡</w:t>
            </w:r>
          </w:p>
        </w:tc>
      </w:tr>
      <w:tr w14:paraId="46581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Align w:val="center"/>
          </w:tcPr>
          <w:p w14:paraId="27ADA846">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产出指标</w:t>
            </w:r>
          </w:p>
        </w:tc>
        <w:tc>
          <w:tcPr>
            <w:tcW w:w="2631" w:type="pct"/>
            <w:vAlign w:val="center"/>
          </w:tcPr>
          <w:p w14:paraId="2A29FEB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highlight w:val="none"/>
                <w:lang w:eastAsia="zh-CN"/>
              </w:rPr>
              <w:t>竣工验收合格率</w:t>
            </w:r>
          </w:p>
        </w:tc>
        <w:tc>
          <w:tcPr>
            <w:tcW w:w="1184" w:type="pct"/>
            <w:vAlign w:val="center"/>
          </w:tcPr>
          <w:p w14:paraId="3ED1F58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100%</w:t>
            </w:r>
          </w:p>
        </w:tc>
      </w:tr>
      <w:tr w14:paraId="5BB73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06E5A41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效益指标</w:t>
            </w:r>
          </w:p>
        </w:tc>
        <w:tc>
          <w:tcPr>
            <w:tcW w:w="2631" w:type="pct"/>
            <w:vAlign w:val="center"/>
          </w:tcPr>
          <w:p w14:paraId="16E38C73">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color w:val="auto"/>
                <w:sz w:val="24"/>
                <w:highlight w:val="none"/>
              </w:rPr>
              <w:t>项目受益人数</w:t>
            </w:r>
          </w:p>
        </w:tc>
        <w:tc>
          <w:tcPr>
            <w:tcW w:w="1184" w:type="pct"/>
            <w:vAlign w:val="center"/>
          </w:tcPr>
          <w:p w14:paraId="31F2850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5000人</w:t>
            </w:r>
          </w:p>
        </w:tc>
      </w:tr>
      <w:tr w14:paraId="765A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7A2709F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仿宋_GB2312" w:hAnsi="仿宋_GB2312" w:eastAsia="仿宋_GB2312" w:cs="仿宋_GB2312"/>
                <w:sz w:val="24"/>
                <w:highlight w:val="none"/>
                <w:lang w:val="en-US"/>
              </w:rPr>
            </w:pPr>
            <w:r>
              <w:rPr>
                <w:rFonts w:hint="eastAsia" w:ascii="仿宋_GB2312" w:hAnsi="仿宋_GB2312" w:eastAsia="仿宋_GB2312" w:cs="仿宋_GB2312"/>
                <w:sz w:val="24"/>
                <w:highlight w:val="none"/>
                <w:lang w:val="en-US" w:eastAsia="zh-CN"/>
              </w:rPr>
              <w:t>满意度指标</w:t>
            </w:r>
          </w:p>
        </w:tc>
        <w:tc>
          <w:tcPr>
            <w:tcW w:w="2631" w:type="pct"/>
            <w:vAlign w:val="center"/>
          </w:tcPr>
          <w:p w14:paraId="1AA0882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服务对象</w:t>
            </w:r>
            <w:r>
              <w:rPr>
                <w:rFonts w:hint="eastAsia" w:ascii="仿宋_GB2312" w:hAnsi="仿宋_GB2312" w:eastAsia="仿宋_GB2312" w:cs="仿宋_GB2312"/>
                <w:sz w:val="24"/>
                <w:highlight w:val="none"/>
              </w:rPr>
              <w:t>满意度</w:t>
            </w:r>
          </w:p>
        </w:tc>
        <w:tc>
          <w:tcPr>
            <w:tcW w:w="1184" w:type="pct"/>
            <w:vAlign w:val="center"/>
          </w:tcPr>
          <w:p w14:paraId="5459865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100%</w:t>
            </w:r>
          </w:p>
        </w:tc>
      </w:tr>
      <w:tr w14:paraId="35232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64E17D6D">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成本</w:t>
            </w:r>
            <w:r>
              <w:rPr>
                <w:rFonts w:hint="eastAsia" w:ascii="仿宋_GB2312" w:hAnsi="仿宋_GB2312" w:eastAsia="仿宋_GB2312" w:cs="仿宋_GB2312"/>
                <w:sz w:val="24"/>
                <w:highlight w:val="none"/>
              </w:rPr>
              <w:t>指标</w:t>
            </w:r>
          </w:p>
        </w:tc>
        <w:tc>
          <w:tcPr>
            <w:tcW w:w="2631" w:type="pct"/>
            <w:vAlign w:val="center"/>
          </w:tcPr>
          <w:p w14:paraId="242F4AC5">
            <w:pPr>
              <w:keepNext w:val="0"/>
              <w:keepLines w:val="0"/>
              <w:pageBreakBefore w:val="0"/>
              <w:tabs>
                <w:tab w:val="left" w:pos="720"/>
                <w:tab w:val="left" w:pos="1506"/>
                <w:tab w:val="left" w:pos="3600"/>
              </w:tabs>
              <w:kinsoku/>
              <w:wordWrap/>
              <w:overflowPunct/>
              <w:topLinePunct w:val="0"/>
              <w:autoSpaceDE/>
              <w:bidi w:val="0"/>
              <w:adjustRightInd/>
              <w:snapToGrid/>
              <w:spacing w:line="560" w:lineRule="exact"/>
              <w:jc w:val="center"/>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超概算比例</w:t>
            </w:r>
          </w:p>
        </w:tc>
        <w:tc>
          <w:tcPr>
            <w:tcW w:w="1184" w:type="pct"/>
            <w:vAlign w:val="center"/>
          </w:tcPr>
          <w:p w14:paraId="1CFFFBC3">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5%</w:t>
            </w:r>
          </w:p>
        </w:tc>
      </w:tr>
    </w:tbl>
    <w:p w14:paraId="5FDC5245">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14:paraId="2F0BBE71">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（一）绩效评价目的、对象、范围</w:t>
      </w:r>
    </w:p>
    <w:p w14:paraId="552CD7F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w:t>
      </w:r>
      <w:r>
        <w:rPr>
          <w:rFonts w:hint="eastAsia" w:ascii="仿宋_GB2312" w:hAnsi="Times New Roman" w:eastAsia="仿宋_GB2312" w:cs="仿宋_GB2312"/>
          <w:kern w:val="2"/>
          <w:sz w:val="32"/>
          <w:szCs w:val="32"/>
          <w:lang w:val="en-US" w:eastAsia="zh-CN" w:bidi="ar"/>
        </w:rPr>
        <w:t>江东新区地下综合管廊控制中心一期项目</w:t>
      </w:r>
      <w:r>
        <w:rPr>
          <w:rFonts w:hint="eastAsia" w:ascii="仿宋_GB2312" w:hAnsi="仿宋_GB2312" w:eastAsia="仿宋_GB2312" w:cs="仿宋_GB2312"/>
          <w:sz w:val="32"/>
          <w:szCs w:val="32"/>
          <w:highlight w:val="none"/>
        </w:rPr>
        <w:t>开展部门评价，促进部门提升预算绩效管理工作水平，强化部门支出责任，规范资金管理行为，提高财政资金使用效益。</w:t>
      </w:r>
    </w:p>
    <w:p w14:paraId="6EFA6D11">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（二）绩效评价原则、评价指标体系、评价方法、评价标准</w:t>
      </w:r>
    </w:p>
    <w:p w14:paraId="58AC3677">
      <w:pPr>
        <w:keepNext w:val="0"/>
        <w:keepLines w:val="0"/>
        <w:pageBreakBefore w:val="0"/>
        <w:kinsoku/>
        <w:wordWrap/>
        <w:overflowPunct/>
        <w:topLinePunct w:val="0"/>
        <w:autoSpaceDE/>
        <w:bidi w:val="0"/>
        <w:adjustRightInd/>
        <w:snapToGrid/>
        <w:spacing w:line="560" w:lineRule="exact"/>
        <w:ind w:firstLine="643" w:firstLineChars="20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1.绩效评价原则</w:t>
      </w:r>
    </w:p>
    <w:p w14:paraId="389FA9BB">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本次部门评价坚持运用科学合理的方法，按照规范的程序，对项目绩效进行客观、公正</w:t>
      </w:r>
      <w:r>
        <w:rPr>
          <w:rFonts w:hint="eastAsia" w:ascii="仿宋_GB2312" w:hAnsi="仿宋_GB2312" w:eastAsia="仿宋_GB2312" w:cs="仿宋_GB2312"/>
          <w:sz w:val="32"/>
          <w:szCs w:val="32"/>
          <w:highlight w:val="none"/>
          <w:lang w:eastAsia="zh-CN"/>
        </w:rPr>
        <w:t>地</w:t>
      </w:r>
      <w:r>
        <w:rPr>
          <w:rFonts w:hint="eastAsia" w:ascii="仿宋_GB2312" w:hAnsi="仿宋_GB2312" w:eastAsia="仿宋_GB2312" w:cs="仿宋_GB2312"/>
          <w:sz w:val="32"/>
          <w:szCs w:val="32"/>
          <w:highlight w:val="none"/>
        </w:rPr>
        <w:t>反映。</w:t>
      </w:r>
    </w:p>
    <w:p w14:paraId="0E258178">
      <w:pPr>
        <w:keepNext w:val="0"/>
        <w:keepLines w:val="0"/>
        <w:pageBreakBefore w:val="0"/>
        <w:kinsoku/>
        <w:wordWrap/>
        <w:overflowPunct/>
        <w:topLinePunct w:val="0"/>
        <w:autoSpaceDE/>
        <w:bidi w:val="0"/>
        <w:adjustRightInd/>
        <w:snapToGrid/>
        <w:spacing w:line="560" w:lineRule="exac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2.评价指标体系</w:t>
      </w:r>
    </w:p>
    <w:p w14:paraId="7911F620">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t>从项目决策、</w:t>
      </w:r>
      <w:r>
        <w:rPr>
          <w:rFonts w:hint="eastAsia" w:ascii="仿宋_GB2312" w:hAnsi="仿宋_GB2312" w:eastAsia="仿宋_GB2312" w:cs="仿宋_GB2312"/>
          <w:sz w:val="32"/>
          <w:szCs w:val="32"/>
          <w:highlight w:val="none"/>
          <w:lang w:val="en-US" w:eastAsia="zh-CN"/>
        </w:rPr>
        <w:t>过程</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产出</w:t>
      </w:r>
      <w:r>
        <w:rPr>
          <w:rFonts w:hint="eastAsia" w:ascii="仿宋_GB2312" w:hAnsi="仿宋_GB2312" w:eastAsia="仿宋_GB2312" w:cs="仿宋_GB2312"/>
          <w:sz w:val="32"/>
          <w:szCs w:val="32"/>
          <w:highlight w:val="none"/>
        </w:rPr>
        <w:t>等指标开展部门评价。</w:t>
      </w:r>
    </w:p>
    <w:tbl>
      <w:tblPr>
        <w:tblStyle w:val="7"/>
        <w:tblW w:w="42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2"/>
        <w:gridCol w:w="2577"/>
        <w:gridCol w:w="1385"/>
      </w:tblGrid>
      <w:tr w14:paraId="1196B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1012" w:type="pct"/>
            <w:vAlign w:val="center"/>
          </w:tcPr>
          <w:p w14:paraId="503B2CB3">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270" w:type="pct"/>
            <w:vAlign w:val="center"/>
          </w:tcPr>
          <w:p w14:paraId="4583412B">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766" w:type="pct"/>
            <w:vAlign w:val="center"/>
          </w:tcPr>
          <w:p w14:paraId="5B059FAD">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950" w:type="pct"/>
            <w:vAlign w:val="center"/>
          </w:tcPr>
          <w:p w14:paraId="1E53087F">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r>
      <w:tr w14:paraId="14B2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66EEB3A5">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270" w:type="pct"/>
            <w:vMerge w:val="restart"/>
            <w:vAlign w:val="center"/>
          </w:tcPr>
          <w:p w14:paraId="440749BB">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766" w:type="pct"/>
            <w:vAlign w:val="center"/>
          </w:tcPr>
          <w:p w14:paraId="4735AF84">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950" w:type="pct"/>
            <w:vAlign w:val="center"/>
          </w:tcPr>
          <w:p w14:paraId="6A28ACD5">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04C10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4EF1B5CE">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26BB8943">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255EFFBD">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950" w:type="pct"/>
            <w:vAlign w:val="center"/>
          </w:tcPr>
          <w:p w14:paraId="28DA654C">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34253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31EBD62B">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0C1F4062">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766" w:type="pct"/>
            <w:vAlign w:val="center"/>
          </w:tcPr>
          <w:p w14:paraId="51AAC972">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950" w:type="pct"/>
            <w:vAlign w:val="center"/>
          </w:tcPr>
          <w:p w14:paraId="65E8A89D">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14F6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CE048B7">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588CA9DA">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5FD2951E">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950" w:type="pct"/>
            <w:vAlign w:val="center"/>
          </w:tcPr>
          <w:p w14:paraId="6DDB9E17">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r>
      <w:tr w14:paraId="48A6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6F4C01A">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6AECAB9A">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766" w:type="pct"/>
            <w:vAlign w:val="center"/>
          </w:tcPr>
          <w:p w14:paraId="3D567DB7">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950" w:type="pct"/>
            <w:vAlign w:val="center"/>
          </w:tcPr>
          <w:p w14:paraId="10B5FFFC">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08E0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4425ECF9">
            <w:pPr>
              <w:spacing w:line="300" w:lineRule="exact"/>
              <w:jc w:val="center"/>
              <w:rPr>
                <w:rFonts w:hint="eastAsia" w:ascii="宋体" w:hAnsi="宋体" w:eastAsia="宋体"/>
                <w:color w:val="auto"/>
                <w:sz w:val="21"/>
                <w:szCs w:val="21"/>
              </w:rPr>
            </w:pPr>
          </w:p>
        </w:tc>
        <w:tc>
          <w:tcPr>
            <w:tcW w:w="1270" w:type="pct"/>
            <w:vMerge w:val="continue"/>
            <w:vAlign w:val="center"/>
          </w:tcPr>
          <w:p w14:paraId="7AAF8EC5">
            <w:pPr>
              <w:spacing w:line="300" w:lineRule="exact"/>
              <w:jc w:val="center"/>
              <w:rPr>
                <w:rFonts w:hint="eastAsia" w:ascii="宋体" w:hAnsi="宋体" w:eastAsia="宋体"/>
                <w:color w:val="auto"/>
                <w:sz w:val="21"/>
                <w:szCs w:val="21"/>
              </w:rPr>
            </w:pPr>
          </w:p>
        </w:tc>
        <w:tc>
          <w:tcPr>
            <w:tcW w:w="1766" w:type="pct"/>
            <w:vAlign w:val="center"/>
          </w:tcPr>
          <w:p w14:paraId="1F01196A">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950" w:type="pct"/>
            <w:vAlign w:val="center"/>
          </w:tcPr>
          <w:p w14:paraId="4C966688">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5E39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02100607">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270" w:type="pct"/>
            <w:vMerge w:val="restart"/>
            <w:vAlign w:val="center"/>
          </w:tcPr>
          <w:p w14:paraId="6E6A367D">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766" w:type="pct"/>
            <w:vAlign w:val="center"/>
          </w:tcPr>
          <w:p w14:paraId="2DC25CC0">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950" w:type="pct"/>
            <w:vAlign w:val="center"/>
          </w:tcPr>
          <w:p w14:paraId="64194974">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41C7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74EA9D56">
            <w:pPr>
              <w:spacing w:line="300" w:lineRule="exact"/>
              <w:jc w:val="center"/>
              <w:rPr>
                <w:rFonts w:hint="eastAsia" w:ascii="宋体" w:hAnsi="宋体" w:eastAsia="宋体"/>
                <w:color w:val="auto"/>
                <w:sz w:val="21"/>
                <w:szCs w:val="21"/>
              </w:rPr>
            </w:pPr>
          </w:p>
        </w:tc>
        <w:tc>
          <w:tcPr>
            <w:tcW w:w="1270" w:type="pct"/>
            <w:vMerge w:val="continue"/>
            <w:vAlign w:val="center"/>
          </w:tcPr>
          <w:p w14:paraId="052852C9">
            <w:pPr>
              <w:spacing w:line="300" w:lineRule="exact"/>
              <w:jc w:val="center"/>
              <w:rPr>
                <w:rFonts w:hint="eastAsia" w:ascii="宋体" w:hAnsi="宋体" w:eastAsia="宋体"/>
                <w:color w:val="auto"/>
                <w:sz w:val="21"/>
                <w:szCs w:val="21"/>
              </w:rPr>
            </w:pPr>
          </w:p>
        </w:tc>
        <w:tc>
          <w:tcPr>
            <w:tcW w:w="1766" w:type="pct"/>
            <w:vAlign w:val="center"/>
          </w:tcPr>
          <w:p w14:paraId="150DB201">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950" w:type="pct"/>
            <w:vAlign w:val="center"/>
          </w:tcPr>
          <w:p w14:paraId="4D4BF89C">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56194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F72F4D5">
            <w:pPr>
              <w:spacing w:line="300" w:lineRule="exact"/>
              <w:jc w:val="center"/>
              <w:rPr>
                <w:rFonts w:hint="eastAsia" w:ascii="宋体" w:hAnsi="宋体" w:eastAsia="宋体"/>
                <w:color w:val="auto"/>
                <w:sz w:val="21"/>
                <w:szCs w:val="21"/>
              </w:rPr>
            </w:pPr>
          </w:p>
        </w:tc>
        <w:tc>
          <w:tcPr>
            <w:tcW w:w="1270" w:type="pct"/>
            <w:vMerge w:val="continue"/>
            <w:vAlign w:val="center"/>
          </w:tcPr>
          <w:p w14:paraId="166539AA">
            <w:pPr>
              <w:spacing w:line="300" w:lineRule="exact"/>
              <w:jc w:val="center"/>
              <w:rPr>
                <w:rFonts w:hint="eastAsia" w:ascii="宋体" w:hAnsi="宋体" w:eastAsia="宋体"/>
                <w:color w:val="auto"/>
                <w:sz w:val="21"/>
                <w:szCs w:val="21"/>
              </w:rPr>
            </w:pPr>
          </w:p>
        </w:tc>
        <w:tc>
          <w:tcPr>
            <w:tcW w:w="1766" w:type="pct"/>
            <w:vAlign w:val="center"/>
          </w:tcPr>
          <w:p w14:paraId="5F7C495D">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950" w:type="pct"/>
            <w:vAlign w:val="center"/>
          </w:tcPr>
          <w:p w14:paraId="62E56909">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631F8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2EB5BDAF">
            <w:pPr>
              <w:spacing w:line="300" w:lineRule="exact"/>
              <w:jc w:val="center"/>
              <w:rPr>
                <w:rFonts w:hint="eastAsia" w:ascii="宋体" w:hAnsi="宋体" w:eastAsia="宋体"/>
                <w:color w:val="auto"/>
                <w:sz w:val="21"/>
                <w:szCs w:val="21"/>
              </w:rPr>
            </w:pPr>
          </w:p>
        </w:tc>
        <w:tc>
          <w:tcPr>
            <w:tcW w:w="1270" w:type="pct"/>
            <w:vMerge w:val="restart"/>
            <w:vAlign w:val="center"/>
          </w:tcPr>
          <w:p w14:paraId="3E67597A">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766" w:type="pct"/>
            <w:vAlign w:val="center"/>
          </w:tcPr>
          <w:p w14:paraId="0153BC82">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950" w:type="pct"/>
            <w:vAlign w:val="center"/>
          </w:tcPr>
          <w:p w14:paraId="13F80DDF">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664C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8C34AF3">
            <w:pPr>
              <w:spacing w:line="300" w:lineRule="exact"/>
              <w:jc w:val="center"/>
              <w:rPr>
                <w:rFonts w:hint="eastAsia" w:ascii="宋体" w:hAnsi="宋体" w:eastAsia="宋体"/>
                <w:color w:val="auto"/>
                <w:sz w:val="21"/>
                <w:szCs w:val="21"/>
              </w:rPr>
            </w:pPr>
          </w:p>
        </w:tc>
        <w:tc>
          <w:tcPr>
            <w:tcW w:w="1270" w:type="pct"/>
            <w:vMerge w:val="continue"/>
            <w:vAlign w:val="center"/>
          </w:tcPr>
          <w:p w14:paraId="1F7801A0">
            <w:pPr>
              <w:spacing w:line="300" w:lineRule="exact"/>
              <w:jc w:val="center"/>
              <w:rPr>
                <w:rFonts w:hint="eastAsia" w:ascii="宋体" w:hAnsi="宋体" w:eastAsia="宋体"/>
                <w:color w:val="auto"/>
                <w:sz w:val="21"/>
                <w:szCs w:val="21"/>
              </w:rPr>
            </w:pPr>
          </w:p>
        </w:tc>
        <w:tc>
          <w:tcPr>
            <w:tcW w:w="1766" w:type="pct"/>
            <w:vAlign w:val="center"/>
          </w:tcPr>
          <w:p w14:paraId="10B0AF54">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950" w:type="pct"/>
            <w:vAlign w:val="center"/>
          </w:tcPr>
          <w:p w14:paraId="44C01B98">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r>
      <w:tr w14:paraId="37317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639716FB">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270" w:type="pct"/>
            <w:vAlign w:val="center"/>
          </w:tcPr>
          <w:p w14:paraId="1C10E5FF">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质量指标</w:t>
            </w:r>
          </w:p>
        </w:tc>
        <w:tc>
          <w:tcPr>
            <w:tcW w:w="1766" w:type="pct"/>
            <w:vAlign w:val="center"/>
          </w:tcPr>
          <w:p w14:paraId="67FD36E4">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验收合格率</w:t>
            </w:r>
          </w:p>
        </w:tc>
        <w:tc>
          <w:tcPr>
            <w:tcW w:w="950" w:type="pct"/>
            <w:vAlign w:val="center"/>
          </w:tcPr>
          <w:p w14:paraId="72578049">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20</w:t>
            </w:r>
          </w:p>
        </w:tc>
      </w:tr>
      <w:tr w14:paraId="108C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32E22548">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14:paraId="53A54E0E">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时效指标</w:t>
            </w:r>
          </w:p>
        </w:tc>
        <w:tc>
          <w:tcPr>
            <w:tcW w:w="1766" w:type="pct"/>
            <w:vAlign w:val="center"/>
          </w:tcPr>
          <w:p w14:paraId="01031C8C">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项目按计划开工率</w:t>
            </w:r>
          </w:p>
        </w:tc>
        <w:tc>
          <w:tcPr>
            <w:tcW w:w="950" w:type="pct"/>
            <w:vAlign w:val="center"/>
          </w:tcPr>
          <w:p w14:paraId="2B765E07">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2850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0E0C68A4">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14:paraId="5579CAE1">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Cs w:val="21"/>
              </w:rPr>
              <w:t>经济成本指标</w:t>
            </w:r>
          </w:p>
        </w:tc>
        <w:tc>
          <w:tcPr>
            <w:tcW w:w="1766" w:type="pct"/>
            <w:vAlign w:val="center"/>
          </w:tcPr>
          <w:p w14:paraId="1DE7A31D">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项目完成投资</w:t>
            </w:r>
          </w:p>
        </w:tc>
        <w:tc>
          <w:tcPr>
            <w:tcW w:w="950" w:type="pct"/>
            <w:vAlign w:val="center"/>
          </w:tcPr>
          <w:p w14:paraId="05CB6BAE">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30E7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Align w:val="center"/>
          </w:tcPr>
          <w:p w14:paraId="56EBE510">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270" w:type="pct"/>
            <w:vAlign w:val="center"/>
          </w:tcPr>
          <w:p w14:paraId="617EECFE">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color w:val="auto"/>
                <w:kern w:val="0"/>
                <w:szCs w:val="21"/>
                <w:u w:val="none"/>
                <w:lang w:bidi="ar"/>
              </w:rPr>
              <w:t>社会效益指标</w:t>
            </w:r>
          </w:p>
        </w:tc>
        <w:tc>
          <w:tcPr>
            <w:tcW w:w="1766" w:type="pct"/>
            <w:vAlign w:val="center"/>
          </w:tcPr>
          <w:p w14:paraId="60587FBA">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950" w:type="pct"/>
            <w:vAlign w:val="center"/>
          </w:tcPr>
          <w:p w14:paraId="73B7344B">
            <w:pPr>
              <w:keepNext w:val="0"/>
              <w:keepLines w:val="0"/>
              <w:widowControl/>
              <w:suppressLineNumbers w:val="0"/>
              <w:jc w:val="center"/>
              <w:textAlignment w:val="center"/>
              <w:rPr>
                <w:rFonts w:hint="default"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10</w:t>
            </w:r>
          </w:p>
        </w:tc>
      </w:tr>
      <w:tr w14:paraId="7DE5D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49" w:type="pct"/>
            <w:gridSpan w:val="3"/>
            <w:vAlign w:val="center"/>
          </w:tcPr>
          <w:p w14:paraId="2F7D0BA3">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950" w:type="pct"/>
            <w:vAlign w:val="center"/>
          </w:tcPr>
          <w:p w14:paraId="36CDCA58">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bl>
    <w:p w14:paraId="5C13AEE5">
      <w:pPr>
        <w:keepNext w:val="0"/>
        <w:keepLines w:val="0"/>
        <w:pageBreakBefore w:val="0"/>
        <w:kinsoku/>
        <w:wordWrap/>
        <w:overflowPunct/>
        <w:topLinePunct w:val="0"/>
        <w:autoSpaceDE/>
        <w:bidi w:val="0"/>
        <w:adjustRightInd/>
        <w:snapToGrid/>
        <w:spacing w:line="560" w:lineRule="exact"/>
        <w:ind w:firstLine="643" w:firstLineChars="20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3.评价方法</w:t>
      </w:r>
    </w:p>
    <w:p w14:paraId="0CB68759">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本次部门评价采用比较法，将项目实施情况与绩效目标情况进行比较。</w:t>
      </w:r>
    </w:p>
    <w:p w14:paraId="70F8E72F">
      <w:pPr>
        <w:keepNext w:val="0"/>
        <w:keepLines w:val="0"/>
        <w:pageBreakBefore w:val="0"/>
        <w:kinsoku/>
        <w:wordWrap/>
        <w:overflowPunct/>
        <w:topLinePunct w:val="0"/>
        <w:autoSpaceDE/>
        <w:bidi w:val="0"/>
        <w:adjustRightInd/>
        <w:snapToGrid/>
        <w:spacing w:line="560" w:lineRule="exact"/>
        <w:ind w:firstLine="643" w:firstLineChars="20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4.评价标准</w:t>
      </w:r>
    </w:p>
    <w:p w14:paraId="78187AC3">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本次部门评价以年初的目标、计划、预算、定额等作为评价标准</w:t>
      </w:r>
    </w:p>
    <w:p w14:paraId="3D446C3F">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（三）绩效评价工作过程</w:t>
      </w:r>
    </w:p>
    <w:p w14:paraId="4D2D140B">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评价小组对评价资料进行认真梳理，测算分析各项指标，汇总评分并形成评价报告。</w:t>
      </w:r>
    </w:p>
    <w:p w14:paraId="304E6C71">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1.对《项目支出绩效评价管理办法》（财预〔2020〕10号）进行研读，对部门评价有基本的把握和了解，归纳出进一步评价所需的信息。</w:t>
      </w:r>
    </w:p>
    <w:p w14:paraId="0149E60A">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2.集中对各个评价指标逐一进行分析。</w:t>
      </w:r>
    </w:p>
    <w:p w14:paraId="608C916F">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3.评价小组汇总分析评价过程中发现的问题并对存在问题进行讨论，分别计算各评价指标所得分数，形成评价结果。</w:t>
      </w:r>
    </w:p>
    <w:p w14:paraId="1D5DBC55">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4.根据评价结果，撰写评价报告。</w:t>
      </w:r>
    </w:p>
    <w:p w14:paraId="62CF35C8">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14:paraId="12AABEC1">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项目绩效评价工作小组从项目决策、</w:t>
      </w:r>
      <w:r>
        <w:rPr>
          <w:rFonts w:hint="eastAsia" w:ascii="仿宋_GB2312" w:hAnsi="仿宋_GB2312" w:eastAsia="仿宋_GB2312" w:cs="仿宋_GB2312"/>
          <w:sz w:val="32"/>
          <w:szCs w:val="32"/>
          <w:highlight w:val="none"/>
          <w:lang w:val="en-US" w:eastAsia="zh-CN"/>
        </w:rPr>
        <w:t>过程</w:t>
      </w:r>
      <w:r>
        <w:rPr>
          <w:rFonts w:hint="eastAsia" w:ascii="仿宋_GB2312" w:hAnsi="仿宋_GB2312" w:eastAsia="仿宋_GB2312" w:cs="仿宋_GB2312"/>
          <w:sz w:val="32"/>
          <w:szCs w:val="32"/>
          <w:highlight w:val="none"/>
        </w:rPr>
        <w:t>管理、</w:t>
      </w:r>
      <w:r>
        <w:rPr>
          <w:rFonts w:hint="eastAsia" w:ascii="仿宋_GB2312" w:hAnsi="仿宋_GB2312" w:eastAsia="仿宋_GB2312" w:cs="仿宋_GB2312"/>
          <w:sz w:val="32"/>
          <w:szCs w:val="32"/>
          <w:highlight w:val="none"/>
          <w:lang w:val="en-US" w:eastAsia="zh-CN"/>
        </w:rPr>
        <w:t>产出等</w:t>
      </w:r>
      <w:r>
        <w:rPr>
          <w:rFonts w:hint="eastAsia" w:ascii="仿宋_GB2312" w:hAnsi="仿宋_GB2312" w:eastAsia="仿宋_GB2312" w:cs="仿宋_GB2312"/>
          <w:sz w:val="32"/>
          <w:szCs w:val="32"/>
          <w:highlight w:val="none"/>
        </w:rPr>
        <w:t>方面分别对该项目进行评价，项目目标设定、决策过程、资金管理、组织实施、项目效果等方面落实情况较好，评价得分9</w:t>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分，评价等次为优，达到了预期设定的项目绩效目标。</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14:paraId="6433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14:paraId="6A5E4BCB">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14:paraId="72CE9447">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14:paraId="649482F1">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14:paraId="5C092878">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14:paraId="4A6D0E13">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14:paraId="13F11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59D60302">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088" w:type="pct"/>
            <w:vMerge w:val="restart"/>
            <w:vAlign w:val="center"/>
          </w:tcPr>
          <w:p w14:paraId="144C70D1">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14:paraId="543A726B">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14:paraId="5BC39C06">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5F4D1879">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520D0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461B5148">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3AD77B4E">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682373EC">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14:paraId="054EEB3B">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7B687FC8">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5899F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583A304B">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6D87BFE6">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14:paraId="399CBE65">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14:paraId="641E3684">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0A8200F1">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658D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4D78F931">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1F67A276">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78FAEE22">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14:paraId="69F93255">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14:paraId="42BA331D">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14:paraId="47DF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80F3C2D">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0312D6B5">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14:paraId="2E9E1866">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14:paraId="6712DF39">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563F2F4D">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6A25A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76988DE">
            <w:pPr>
              <w:spacing w:line="300" w:lineRule="exact"/>
              <w:jc w:val="center"/>
              <w:rPr>
                <w:rFonts w:hint="eastAsia" w:ascii="宋体" w:hAnsi="宋体" w:eastAsia="宋体"/>
                <w:color w:val="auto"/>
                <w:sz w:val="21"/>
                <w:szCs w:val="21"/>
              </w:rPr>
            </w:pPr>
          </w:p>
        </w:tc>
        <w:tc>
          <w:tcPr>
            <w:tcW w:w="1088" w:type="pct"/>
            <w:vMerge w:val="continue"/>
            <w:vAlign w:val="center"/>
          </w:tcPr>
          <w:p w14:paraId="3DBA03C5">
            <w:pPr>
              <w:spacing w:line="300" w:lineRule="exact"/>
              <w:jc w:val="center"/>
              <w:rPr>
                <w:rFonts w:hint="eastAsia" w:ascii="宋体" w:hAnsi="宋体" w:eastAsia="宋体"/>
                <w:color w:val="auto"/>
                <w:sz w:val="21"/>
                <w:szCs w:val="21"/>
              </w:rPr>
            </w:pPr>
          </w:p>
        </w:tc>
        <w:tc>
          <w:tcPr>
            <w:tcW w:w="1511" w:type="pct"/>
            <w:vAlign w:val="center"/>
          </w:tcPr>
          <w:p w14:paraId="7C9E83F6">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14:paraId="3A12E627">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5538C9BE">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22534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639CE355">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14:paraId="545A2BD1">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14:paraId="33FDEEC4">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14:paraId="58449173">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14:paraId="4E3F4A83">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9</w:t>
            </w:r>
          </w:p>
        </w:tc>
      </w:tr>
      <w:tr w14:paraId="0CAB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132A123E">
            <w:pPr>
              <w:spacing w:line="300" w:lineRule="exact"/>
              <w:jc w:val="center"/>
              <w:rPr>
                <w:rFonts w:hint="eastAsia" w:ascii="宋体" w:hAnsi="宋体" w:eastAsia="宋体"/>
                <w:color w:val="auto"/>
                <w:sz w:val="21"/>
                <w:szCs w:val="21"/>
              </w:rPr>
            </w:pPr>
          </w:p>
        </w:tc>
        <w:tc>
          <w:tcPr>
            <w:tcW w:w="1088" w:type="pct"/>
            <w:vMerge w:val="continue"/>
            <w:vAlign w:val="center"/>
          </w:tcPr>
          <w:p w14:paraId="2026D53E">
            <w:pPr>
              <w:spacing w:line="300" w:lineRule="exact"/>
              <w:jc w:val="center"/>
              <w:rPr>
                <w:rFonts w:hint="eastAsia" w:ascii="宋体" w:hAnsi="宋体" w:eastAsia="宋体"/>
                <w:color w:val="auto"/>
                <w:sz w:val="21"/>
                <w:szCs w:val="21"/>
              </w:rPr>
            </w:pPr>
          </w:p>
        </w:tc>
        <w:tc>
          <w:tcPr>
            <w:tcW w:w="1511" w:type="pct"/>
            <w:vAlign w:val="center"/>
          </w:tcPr>
          <w:p w14:paraId="0E167261">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14:paraId="20B44758">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14:paraId="6C4E6F97">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4144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198DC44">
            <w:pPr>
              <w:spacing w:line="300" w:lineRule="exact"/>
              <w:jc w:val="center"/>
              <w:rPr>
                <w:rFonts w:hint="eastAsia" w:ascii="宋体" w:hAnsi="宋体" w:eastAsia="宋体"/>
                <w:color w:val="auto"/>
                <w:sz w:val="21"/>
                <w:szCs w:val="21"/>
              </w:rPr>
            </w:pPr>
          </w:p>
        </w:tc>
        <w:tc>
          <w:tcPr>
            <w:tcW w:w="1088" w:type="pct"/>
            <w:vMerge w:val="continue"/>
            <w:vAlign w:val="center"/>
          </w:tcPr>
          <w:p w14:paraId="3AE91EF1">
            <w:pPr>
              <w:spacing w:line="300" w:lineRule="exact"/>
              <w:jc w:val="center"/>
              <w:rPr>
                <w:rFonts w:hint="eastAsia" w:ascii="宋体" w:hAnsi="宋体" w:eastAsia="宋体"/>
                <w:color w:val="auto"/>
                <w:sz w:val="21"/>
                <w:szCs w:val="21"/>
              </w:rPr>
            </w:pPr>
          </w:p>
        </w:tc>
        <w:tc>
          <w:tcPr>
            <w:tcW w:w="1511" w:type="pct"/>
            <w:vAlign w:val="center"/>
          </w:tcPr>
          <w:p w14:paraId="1BDE4DE5">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14:paraId="258D7DCA">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500B5037">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1E0D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058C3F11">
            <w:pPr>
              <w:spacing w:line="300" w:lineRule="exact"/>
              <w:jc w:val="center"/>
              <w:rPr>
                <w:rFonts w:hint="eastAsia" w:ascii="宋体" w:hAnsi="宋体" w:eastAsia="宋体"/>
                <w:color w:val="auto"/>
                <w:sz w:val="21"/>
                <w:szCs w:val="21"/>
              </w:rPr>
            </w:pPr>
          </w:p>
        </w:tc>
        <w:tc>
          <w:tcPr>
            <w:tcW w:w="1088" w:type="pct"/>
            <w:vMerge w:val="restart"/>
            <w:vAlign w:val="center"/>
          </w:tcPr>
          <w:p w14:paraId="547CD850">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14:paraId="7E79EA61">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14:paraId="261AB283">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6A2351D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6C23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0C3B1670">
            <w:pPr>
              <w:spacing w:line="300" w:lineRule="exact"/>
              <w:jc w:val="center"/>
              <w:rPr>
                <w:rFonts w:hint="eastAsia" w:ascii="宋体" w:hAnsi="宋体" w:eastAsia="宋体"/>
                <w:color w:val="auto"/>
                <w:sz w:val="21"/>
                <w:szCs w:val="21"/>
              </w:rPr>
            </w:pPr>
          </w:p>
        </w:tc>
        <w:tc>
          <w:tcPr>
            <w:tcW w:w="1088" w:type="pct"/>
            <w:vMerge w:val="continue"/>
            <w:vAlign w:val="center"/>
          </w:tcPr>
          <w:p w14:paraId="2F63607F">
            <w:pPr>
              <w:spacing w:line="300" w:lineRule="exact"/>
              <w:jc w:val="center"/>
              <w:rPr>
                <w:rFonts w:hint="eastAsia" w:ascii="宋体" w:hAnsi="宋体" w:eastAsia="宋体"/>
                <w:color w:val="auto"/>
                <w:sz w:val="21"/>
                <w:szCs w:val="21"/>
              </w:rPr>
            </w:pPr>
          </w:p>
        </w:tc>
        <w:tc>
          <w:tcPr>
            <w:tcW w:w="1511" w:type="pct"/>
            <w:vAlign w:val="center"/>
          </w:tcPr>
          <w:p w14:paraId="65F502AB">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14:paraId="4107C1BA">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14:paraId="7D00F866">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14:paraId="5A833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2771D4ED">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bookmarkStart w:id="1" w:name="_GoBack" w:colFirst="1" w:colLast="1"/>
            <w:r>
              <w:rPr>
                <w:rFonts w:hint="eastAsia" w:ascii="宋体" w:hAnsi="宋体" w:eastAsia="宋体" w:cs="宋体"/>
                <w:i w:val="0"/>
                <w:iCs w:val="0"/>
                <w:color w:val="auto"/>
                <w:kern w:val="0"/>
                <w:sz w:val="21"/>
                <w:szCs w:val="21"/>
                <w:u w:val="none"/>
                <w:lang w:val="en-US" w:eastAsia="zh-CN" w:bidi="ar"/>
              </w:rPr>
              <w:t>产出</w:t>
            </w:r>
          </w:p>
        </w:tc>
        <w:tc>
          <w:tcPr>
            <w:tcW w:w="1854" w:type="dxa"/>
            <w:vAlign w:val="center"/>
          </w:tcPr>
          <w:p w14:paraId="480F4B9D">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质量指标</w:t>
            </w:r>
          </w:p>
        </w:tc>
        <w:tc>
          <w:tcPr>
            <w:tcW w:w="2575" w:type="dxa"/>
            <w:vAlign w:val="center"/>
          </w:tcPr>
          <w:p w14:paraId="05FE7B8F">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验收合格率</w:t>
            </w:r>
          </w:p>
        </w:tc>
        <w:tc>
          <w:tcPr>
            <w:tcW w:w="813" w:type="pct"/>
            <w:vAlign w:val="center"/>
          </w:tcPr>
          <w:p w14:paraId="1E7839F4">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20</w:t>
            </w:r>
          </w:p>
        </w:tc>
        <w:tc>
          <w:tcPr>
            <w:tcW w:w="1228" w:type="dxa"/>
            <w:vAlign w:val="center"/>
          </w:tcPr>
          <w:p w14:paraId="20552C72">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20</w:t>
            </w:r>
          </w:p>
        </w:tc>
      </w:tr>
      <w:tr w14:paraId="7837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8A97CC4">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854" w:type="dxa"/>
            <w:vAlign w:val="center"/>
          </w:tcPr>
          <w:p w14:paraId="2C49F776">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时效指标</w:t>
            </w:r>
          </w:p>
        </w:tc>
        <w:tc>
          <w:tcPr>
            <w:tcW w:w="2575" w:type="dxa"/>
            <w:vAlign w:val="center"/>
          </w:tcPr>
          <w:p w14:paraId="16E2F367">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项目按计划开工率</w:t>
            </w:r>
          </w:p>
        </w:tc>
        <w:tc>
          <w:tcPr>
            <w:tcW w:w="813" w:type="pct"/>
            <w:vAlign w:val="center"/>
          </w:tcPr>
          <w:p w14:paraId="442A182B">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1228" w:type="dxa"/>
            <w:vAlign w:val="center"/>
          </w:tcPr>
          <w:p w14:paraId="4AB0F30B">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414DC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70529FF5">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854" w:type="dxa"/>
            <w:vAlign w:val="center"/>
          </w:tcPr>
          <w:p w14:paraId="00AA6983">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Cs w:val="21"/>
              </w:rPr>
              <w:t>经济成本指标</w:t>
            </w:r>
          </w:p>
        </w:tc>
        <w:tc>
          <w:tcPr>
            <w:tcW w:w="2575" w:type="dxa"/>
            <w:vAlign w:val="center"/>
          </w:tcPr>
          <w:p w14:paraId="3BAA5288">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项目完成投资</w:t>
            </w:r>
          </w:p>
        </w:tc>
        <w:tc>
          <w:tcPr>
            <w:tcW w:w="813" w:type="pct"/>
            <w:vAlign w:val="center"/>
          </w:tcPr>
          <w:p w14:paraId="50B45019">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1228" w:type="dxa"/>
            <w:vAlign w:val="center"/>
          </w:tcPr>
          <w:p w14:paraId="29F64AD7">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3C95E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Align w:val="center"/>
          </w:tcPr>
          <w:p w14:paraId="29744A7B">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854" w:type="dxa"/>
            <w:vAlign w:val="center"/>
          </w:tcPr>
          <w:p w14:paraId="4F06F4D6">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color w:val="auto"/>
                <w:kern w:val="0"/>
                <w:szCs w:val="21"/>
                <w:u w:val="none"/>
                <w:lang w:bidi="ar"/>
              </w:rPr>
              <w:t>社会效益指标</w:t>
            </w:r>
          </w:p>
        </w:tc>
        <w:tc>
          <w:tcPr>
            <w:tcW w:w="2575" w:type="dxa"/>
            <w:vAlign w:val="center"/>
          </w:tcPr>
          <w:p w14:paraId="0E64DD5B">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14:paraId="10D45AE2">
            <w:pPr>
              <w:keepNext w:val="0"/>
              <w:keepLines w:val="0"/>
              <w:widowControl/>
              <w:suppressLineNumbers w:val="0"/>
              <w:jc w:val="center"/>
              <w:textAlignment w:val="center"/>
              <w:rPr>
                <w:rFonts w:hint="default"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10</w:t>
            </w:r>
          </w:p>
        </w:tc>
        <w:tc>
          <w:tcPr>
            <w:tcW w:w="1228" w:type="dxa"/>
            <w:vAlign w:val="center"/>
          </w:tcPr>
          <w:p w14:paraId="0682D1CC">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b w:val="0"/>
                <w:bCs w:val="0"/>
                <w:color w:val="auto"/>
                <w:sz w:val="21"/>
                <w:szCs w:val="21"/>
                <w:lang w:val="en-US" w:eastAsia="zh-CN"/>
              </w:rPr>
              <w:t>10</w:t>
            </w:r>
          </w:p>
        </w:tc>
      </w:tr>
      <w:bookmarkEnd w:id="1"/>
      <w:tr w14:paraId="0C475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689C53FD">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14:paraId="45A8409B">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14:paraId="1F35D912">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99</w:t>
            </w:r>
          </w:p>
        </w:tc>
      </w:tr>
      <w:tr w14:paraId="468D4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6B18EC44">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14:paraId="6F366D6A">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14:paraId="7F012002">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14:paraId="4ADBA2A7">
      <w:pPr>
        <w:pStyle w:val="2"/>
      </w:pPr>
    </w:p>
    <w:p w14:paraId="72E660D4">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14:paraId="7815A5C7">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14:paraId="6513E15D">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江东新区地下综合管廊控制中心一期选址</w:t>
      </w:r>
      <w:r>
        <w:rPr>
          <w:rFonts w:hint="eastAsia" w:ascii="仿宋_GB2312" w:hAnsi="仿宋_GB2312" w:eastAsia="仿宋_GB2312" w:cs="仿宋_GB2312"/>
          <w:sz w:val="32"/>
          <w:szCs w:val="32"/>
          <w:highlight w:val="none"/>
          <w:lang w:eastAsia="zh-CN"/>
        </w:rPr>
        <w:t>位于</w:t>
      </w:r>
      <w:r>
        <w:rPr>
          <w:rFonts w:hint="eastAsia" w:ascii="仿宋_GB2312" w:hAnsi="仿宋_GB2312" w:eastAsia="仿宋_GB2312" w:cs="仿宋_GB2312"/>
          <w:sz w:val="32"/>
          <w:szCs w:val="32"/>
          <w:highlight w:val="none"/>
        </w:rPr>
        <w:t>海口江东新区国际综合服务组团JDZH-07-J03地块，位于海文高速联络线西侧，纬六路（又名仙月东路）南侧。本项目属于管廊运维管理的配套设施，主监控中心不仅负责所在片区及周边管廊系统状态监控、运营</w:t>
      </w:r>
      <w:r>
        <w:rPr>
          <w:rFonts w:hint="eastAsia" w:ascii="仿宋_GB2312" w:hAnsi="仿宋_GB2312" w:eastAsia="仿宋_GB2312" w:cs="仿宋_GB2312"/>
          <w:sz w:val="32"/>
          <w:szCs w:val="32"/>
          <w:highlight w:val="none"/>
          <w:lang w:eastAsia="zh-CN"/>
        </w:rPr>
        <w:t>和</w:t>
      </w:r>
      <w:r>
        <w:rPr>
          <w:rFonts w:hint="eastAsia" w:ascii="仿宋_GB2312" w:hAnsi="仿宋_GB2312" w:eastAsia="仿宋_GB2312" w:cs="仿宋_GB2312"/>
          <w:sz w:val="32"/>
          <w:szCs w:val="32"/>
          <w:highlight w:val="none"/>
        </w:rPr>
        <w:t>维护</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还</w:t>
      </w:r>
      <w:r>
        <w:rPr>
          <w:rFonts w:hint="eastAsia" w:ascii="仿宋_GB2312" w:hAnsi="仿宋_GB2312" w:eastAsia="仿宋_GB2312" w:cs="仿宋_GB2312"/>
          <w:sz w:val="32"/>
          <w:szCs w:val="32"/>
          <w:highlight w:val="none"/>
          <w:lang w:eastAsia="zh-CN"/>
        </w:rPr>
        <w:t>承担着</w:t>
      </w:r>
      <w:r>
        <w:rPr>
          <w:rFonts w:hint="eastAsia" w:ascii="仿宋_GB2312" w:hAnsi="仿宋_GB2312" w:eastAsia="仿宋_GB2312" w:cs="仿宋_GB2312"/>
          <w:sz w:val="32"/>
          <w:szCs w:val="32"/>
          <w:highlight w:val="none"/>
        </w:rPr>
        <w:t>江东新区地下综合管廊的综合运营管理任务。</w:t>
      </w:r>
      <w:r>
        <w:rPr>
          <w:rFonts w:hint="eastAsia" w:ascii="仿宋_GB2312" w:hAnsi="仿宋_GB2312" w:eastAsia="仿宋_GB2312" w:cs="仿宋_GB2312"/>
          <w:sz w:val="32"/>
          <w:szCs w:val="32"/>
          <w:highlight w:val="none"/>
          <w:lang w:eastAsia="zh-CN"/>
        </w:rPr>
        <w:t>该项目有利于</w:t>
      </w:r>
      <w:r>
        <w:rPr>
          <w:rFonts w:hint="eastAsia" w:ascii="仿宋_GB2312" w:hAnsi="仿宋_GB2312" w:eastAsia="仿宋_GB2312" w:cs="仿宋_GB2312"/>
          <w:sz w:val="32"/>
          <w:szCs w:val="32"/>
          <w:highlight w:val="none"/>
        </w:rPr>
        <w:t>完善海口市江东新区功能配套，有效促进海口市的发展，完善江东新区在自贸港发展的整体功能，对保障城市空间整体协调发展、加快城市建设具有重要意义。该项目列入海口市政府投资项目计划。项目设定了绩效目标，绩效目标与实际工作内容具有相关性。项目预算编制科学合理，预算资金分配依据充分。</w:t>
      </w:r>
    </w:p>
    <w:p w14:paraId="1937FFD8">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（二）项目过程情况</w:t>
      </w:r>
    </w:p>
    <w:p w14:paraId="3A32396D">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2020年我局制定并印发了《政府投资项目管理办法（试行）》，建立了有效的项目管理制度，保证了项目安全有效运行，确保了项目顺利实施，取得明显成效。项目资金支付严格履行审批程序，使用规范，会计核算结果真实、准确。此次绩效评价过程中未发现挤占或挪用项目资金的情况。</w:t>
      </w:r>
    </w:p>
    <w:p w14:paraId="31475BCB">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年共到位资金</w:t>
      </w:r>
      <w:r>
        <w:rPr>
          <w:rFonts w:hint="eastAsia" w:ascii="仿宋_GB2312" w:hAnsi="仿宋_GB2312" w:eastAsia="仿宋_GB2312" w:cs="仿宋_GB2312"/>
          <w:sz w:val="32"/>
          <w:szCs w:val="32"/>
          <w:highlight w:val="none"/>
          <w:lang w:val="en-US" w:eastAsia="zh-CN"/>
        </w:rPr>
        <w:t>1189.31</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截至2025年12月31日支出进度为96.37%</w:t>
      </w:r>
      <w:r>
        <w:rPr>
          <w:rFonts w:hint="eastAsia" w:ascii="仿宋_GB2312" w:hAnsi="仿宋_GB2312" w:eastAsia="仿宋_GB2312" w:cs="仿宋_GB2312"/>
          <w:sz w:val="32"/>
          <w:szCs w:val="32"/>
          <w:highlight w:val="none"/>
        </w:rPr>
        <w:t>。</w:t>
      </w:r>
    </w:p>
    <w:p w14:paraId="2B953E52">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14:paraId="1162FD47">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该项目资金到位及时，项目顺利实施，</w:t>
      </w:r>
      <w:r>
        <w:rPr>
          <w:rFonts w:hint="eastAsia" w:ascii="仿宋_GB2312" w:hAnsi="仿宋_GB2312" w:eastAsia="仿宋_GB2312" w:cs="仿宋_GB2312"/>
          <w:sz w:val="32"/>
          <w:szCs w:val="32"/>
          <w:highlight w:val="none"/>
          <w:lang w:val="en-US" w:eastAsia="zh-CN"/>
        </w:rPr>
        <w:t>2025年年底</w:t>
      </w:r>
      <w:r>
        <w:rPr>
          <w:rFonts w:hint="eastAsia" w:ascii="仿宋_GB2312" w:hAnsi="仿宋_GB2312" w:eastAsia="仿宋_GB2312" w:cs="仿宋_GB2312"/>
          <w:sz w:val="32"/>
          <w:szCs w:val="32"/>
          <w:highlight w:val="none"/>
        </w:rPr>
        <w:t>已完成项目总体</w:t>
      </w:r>
      <w:r>
        <w:rPr>
          <w:rFonts w:hint="eastAsia" w:ascii="仿宋_GB2312" w:hAnsi="仿宋_GB2312" w:eastAsia="仿宋_GB2312" w:cs="仿宋_GB2312"/>
          <w:sz w:val="32"/>
          <w:szCs w:val="32"/>
          <w:highlight w:val="none"/>
          <w:lang w:val="en-US" w:eastAsia="zh-CN"/>
        </w:rPr>
        <w:t>50</w:t>
      </w:r>
      <w:r>
        <w:rPr>
          <w:rFonts w:hint="eastAsia" w:ascii="仿宋_GB2312" w:hAnsi="仿宋_GB2312" w:eastAsia="仿宋_GB2312" w:cs="仿宋_GB2312"/>
          <w:sz w:val="32"/>
          <w:szCs w:val="32"/>
          <w:highlight w:val="none"/>
        </w:rPr>
        <w:t>%的形象进度。项目完成程度较好，实现了预定预算目标。</w:t>
      </w:r>
    </w:p>
    <w:p w14:paraId="2D9F25A6">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14:paraId="3453B9BF">
      <w:pPr>
        <w:keepNext w:val="0"/>
        <w:keepLines w:val="0"/>
        <w:pageBreakBefore w:val="0"/>
        <w:widowControl/>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该项目的建设将承担江东新区地下综合管廊的综合运营管理任务，有利于完善海口市江东新区功能配套，有效促进海口市的发展，完善江东新区在自贸港发展的整体功能，对保障城市空间整体协调发展、加快城市建设具有重要意义，因此项目的建设是必要的</w:t>
      </w:r>
      <w:r>
        <w:rPr>
          <w:rFonts w:hint="eastAsia" w:ascii="仿宋_GB2312" w:hAnsi="仿宋_GB2312" w:eastAsia="仿宋_GB2312" w:cs="仿宋_GB2312"/>
          <w:sz w:val="32"/>
          <w:szCs w:val="32"/>
          <w:highlight w:val="none"/>
        </w:rPr>
        <w:t>。项目现阶段正在进行二次结构施工</w:t>
      </w:r>
      <w:r>
        <w:rPr>
          <w:rFonts w:hint="eastAsia" w:ascii="仿宋_GB2312" w:hAnsi="仿宋_GB2312" w:eastAsia="仿宋_GB2312" w:cs="仿宋_GB2312"/>
          <w:sz w:val="32"/>
          <w:szCs w:val="32"/>
          <w:highlight w:val="none"/>
          <w:lang w:eastAsia="zh-CN"/>
        </w:rPr>
        <w:t>。</w:t>
      </w:r>
    </w:p>
    <w:p w14:paraId="0D0E9772">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14:paraId="3BEF4F82">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54B7758D">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六、有关建议</w:t>
      </w:r>
    </w:p>
    <w:p w14:paraId="746EBD02">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339B6B33">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七、其他需要说明的问题</w:t>
      </w:r>
    </w:p>
    <w:p w14:paraId="5B155622">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339045-C23C-4E0F-9C20-9C0A9AB025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E07C281-DC9F-4EFA-9AD6-ADEE2FEFC3C7}"/>
  </w:font>
  <w:font w:name="Calibri Light">
    <w:panose1 w:val="020F03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3" w:fontKey="{FD18C270-3491-4ECB-BBD4-DACD260BB893}"/>
  </w:font>
  <w:font w:name="楷体_GB2312">
    <w:altName w:val="楷体"/>
    <w:panose1 w:val="02010609030101010101"/>
    <w:charset w:val="86"/>
    <w:family w:val="auto"/>
    <w:pitch w:val="default"/>
    <w:sig w:usb0="00000000" w:usb1="00000000" w:usb2="00000000" w:usb3="00000000" w:csb0="00040000" w:csb1="00000000"/>
    <w:embedRegular r:id="rId4" w:fontKey="{3936E8C9-F1B9-4E7F-9D73-1DA8F72DE664}"/>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embedRegular r:id="rId5" w:fontKey="{9DC881C0-E3DC-4C6B-9E73-79E7E93C74AC}"/>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9914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7A3D06">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7A7A3D06">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435E1F18"/>
    <w:rsid w:val="000B2C23"/>
    <w:rsid w:val="003B3E31"/>
    <w:rsid w:val="006D65BE"/>
    <w:rsid w:val="00A56C8A"/>
    <w:rsid w:val="00BE4EB8"/>
    <w:rsid w:val="00D4065E"/>
    <w:rsid w:val="00D57EB4"/>
    <w:rsid w:val="02233DF4"/>
    <w:rsid w:val="023A5912"/>
    <w:rsid w:val="02CB6390"/>
    <w:rsid w:val="040B460D"/>
    <w:rsid w:val="04264D77"/>
    <w:rsid w:val="04621786"/>
    <w:rsid w:val="05787E8E"/>
    <w:rsid w:val="0626600A"/>
    <w:rsid w:val="06F95DEE"/>
    <w:rsid w:val="08093106"/>
    <w:rsid w:val="08AF5C9C"/>
    <w:rsid w:val="0A092149"/>
    <w:rsid w:val="0A787E3B"/>
    <w:rsid w:val="0AC273C6"/>
    <w:rsid w:val="0AC94BD1"/>
    <w:rsid w:val="0BD17C84"/>
    <w:rsid w:val="0BDE5F87"/>
    <w:rsid w:val="0D7D46CE"/>
    <w:rsid w:val="0DBB40F2"/>
    <w:rsid w:val="0DE47EA0"/>
    <w:rsid w:val="0DFE490C"/>
    <w:rsid w:val="0E9A79D6"/>
    <w:rsid w:val="111C1707"/>
    <w:rsid w:val="11A56146"/>
    <w:rsid w:val="11FB7553"/>
    <w:rsid w:val="126332E8"/>
    <w:rsid w:val="12AB34F1"/>
    <w:rsid w:val="135734FF"/>
    <w:rsid w:val="14B51D19"/>
    <w:rsid w:val="14FA1115"/>
    <w:rsid w:val="154455E1"/>
    <w:rsid w:val="15481788"/>
    <w:rsid w:val="15EE5539"/>
    <w:rsid w:val="15F07ED2"/>
    <w:rsid w:val="1652225F"/>
    <w:rsid w:val="16630DA5"/>
    <w:rsid w:val="1682257B"/>
    <w:rsid w:val="180C39B2"/>
    <w:rsid w:val="184A4058"/>
    <w:rsid w:val="190A44B1"/>
    <w:rsid w:val="19263C3A"/>
    <w:rsid w:val="19316574"/>
    <w:rsid w:val="19795372"/>
    <w:rsid w:val="19AA72EE"/>
    <w:rsid w:val="1AC1553C"/>
    <w:rsid w:val="1B007691"/>
    <w:rsid w:val="1B363420"/>
    <w:rsid w:val="1CB1400C"/>
    <w:rsid w:val="1DBB2B25"/>
    <w:rsid w:val="1E122B23"/>
    <w:rsid w:val="1E312225"/>
    <w:rsid w:val="1E5510E3"/>
    <w:rsid w:val="1E712700"/>
    <w:rsid w:val="1F25228A"/>
    <w:rsid w:val="1F737768"/>
    <w:rsid w:val="20281024"/>
    <w:rsid w:val="20784192"/>
    <w:rsid w:val="20B5758E"/>
    <w:rsid w:val="21CD7FF0"/>
    <w:rsid w:val="23335B9D"/>
    <w:rsid w:val="23EC5AD3"/>
    <w:rsid w:val="23EF1B0E"/>
    <w:rsid w:val="247A1B51"/>
    <w:rsid w:val="27E81586"/>
    <w:rsid w:val="28B735AC"/>
    <w:rsid w:val="29B57C78"/>
    <w:rsid w:val="2AB57C33"/>
    <w:rsid w:val="2AE457DA"/>
    <w:rsid w:val="2B336677"/>
    <w:rsid w:val="2C192B4A"/>
    <w:rsid w:val="2C8221BC"/>
    <w:rsid w:val="2D7160E8"/>
    <w:rsid w:val="2D9F1EA3"/>
    <w:rsid w:val="2DA417DD"/>
    <w:rsid w:val="2DB94E81"/>
    <w:rsid w:val="2E9826F7"/>
    <w:rsid w:val="30483FA0"/>
    <w:rsid w:val="30BB4EA6"/>
    <w:rsid w:val="31437427"/>
    <w:rsid w:val="31DF5851"/>
    <w:rsid w:val="326C58E4"/>
    <w:rsid w:val="335D7182"/>
    <w:rsid w:val="340F7934"/>
    <w:rsid w:val="34C8661B"/>
    <w:rsid w:val="35F728BC"/>
    <w:rsid w:val="3714005C"/>
    <w:rsid w:val="37372992"/>
    <w:rsid w:val="37C51992"/>
    <w:rsid w:val="38042CB3"/>
    <w:rsid w:val="38B37090"/>
    <w:rsid w:val="390C1A27"/>
    <w:rsid w:val="39B35FB7"/>
    <w:rsid w:val="3ABA6910"/>
    <w:rsid w:val="3B0A2EB0"/>
    <w:rsid w:val="3B500164"/>
    <w:rsid w:val="3B59178B"/>
    <w:rsid w:val="3C444B0B"/>
    <w:rsid w:val="3E4B066F"/>
    <w:rsid w:val="3FBB4BCB"/>
    <w:rsid w:val="405D14CB"/>
    <w:rsid w:val="41253788"/>
    <w:rsid w:val="418D0587"/>
    <w:rsid w:val="41B37671"/>
    <w:rsid w:val="42985365"/>
    <w:rsid w:val="435C1C6B"/>
    <w:rsid w:val="435E1F18"/>
    <w:rsid w:val="43837607"/>
    <w:rsid w:val="44273DE2"/>
    <w:rsid w:val="446F1324"/>
    <w:rsid w:val="449F4DAD"/>
    <w:rsid w:val="44B278BB"/>
    <w:rsid w:val="44B939E4"/>
    <w:rsid w:val="461E0D18"/>
    <w:rsid w:val="464A1B41"/>
    <w:rsid w:val="464F2DD5"/>
    <w:rsid w:val="467C5C77"/>
    <w:rsid w:val="47C55320"/>
    <w:rsid w:val="496A311D"/>
    <w:rsid w:val="49B72F9D"/>
    <w:rsid w:val="49C0331C"/>
    <w:rsid w:val="4AA6125F"/>
    <w:rsid w:val="4B5A13DB"/>
    <w:rsid w:val="4B820499"/>
    <w:rsid w:val="4C1448F5"/>
    <w:rsid w:val="4C625BDA"/>
    <w:rsid w:val="4D2F07A0"/>
    <w:rsid w:val="4D650FE4"/>
    <w:rsid w:val="4DF033CB"/>
    <w:rsid w:val="4DFF0279"/>
    <w:rsid w:val="4E414DDC"/>
    <w:rsid w:val="4E583744"/>
    <w:rsid w:val="4F253B37"/>
    <w:rsid w:val="4FB54242"/>
    <w:rsid w:val="52C426C7"/>
    <w:rsid w:val="54D85B6D"/>
    <w:rsid w:val="54E47B8F"/>
    <w:rsid w:val="54FE4F3A"/>
    <w:rsid w:val="55A57892"/>
    <w:rsid w:val="55E95564"/>
    <w:rsid w:val="56391A6A"/>
    <w:rsid w:val="578A390E"/>
    <w:rsid w:val="57D636C9"/>
    <w:rsid w:val="59D74C62"/>
    <w:rsid w:val="59E1651D"/>
    <w:rsid w:val="5A3B0856"/>
    <w:rsid w:val="5A3E014C"/>
    <w:rsid w:val="5A4B6F13"/>
    <w:rsid w:val="5A6A79F7"/>
    <w:rsid w:val="5AAC33D0"/>
    <w:rsid w:val="5BF510A0"/>
    <w:rsid w:val="5EF70D4E"/>
    <w:rsid w:val="5F367622"/>
    <w:rsid w:val="5F3F3404"/>
    <w:rsid w:val="5F905550"/>
    <w:rsid w:val="60B04E4C"/>
    <w:rsid w:val="61394EFD"/>
    <w:rsid w:val="617F6B7B"/>
    <w:rsid w:val="61AB5485"/>
    <w:rsid w:val="622017DB"/>
    <w:rsid w:val="62806640"/>
    <w:rsid w:val="63636628"/>
    <w:rsid w:val="643A4188"/>
    <w:rsid w:val="645B35F4"/>
    <w:rsid w:val="65411CA7"/>
    <w:rsid w:val="65694914"/>
    <w:rsid w:val="67B21E4C"/>
    <w:rsid w:val="68024B96"/>
    <w:rsid w:val="68903265"/>
    <w:rsid w:val="69C6122B"/>
    <w:rsid w:val="6A893A8D"/>
    <w:rsid w:val="6A927E4E"/>
    <w:rsid w:val="6B657B2B"/>
    <w:rsid w:val="6C02565A"/>
    <w:rsid w:val="6C8B5B44"/>
    <w:rsid w:val="6E6E68A0"/>
    <w:rsid w:val="6EB301A8"/>
    <w:rsid w:val="6EB377AA"/>
    <w:rsid w:val="6EF4669C"/>
    <w:rsid w:val="6FB6700B"/>
    <w:rsid w:val="701D3C49"/>
    <w:rsid w:val="706D6ACA"/>
    <w:rsid w:val="70DE27E6"/>
    <w:rsid w:val="710022AC"/>
    <w:rsid w:val="725E09BE"/>
    <w:rsid w:val="727437E0"/>
    <w:rsid w:val="74C3652D"/>
    <w:rsid w:val="74EF3BD6"/>
    <w:rsid w:val="75187C59"/>
    <w:rsid w:val="757F5777"/>
    <w:rsid w:val="764C182F"/>
    <w:rsid w:val="7654409C"/>
    <w:rsid w:val="7704672F"/>
    <w:rsid w:val="77175582"/>
    <w:rsid w:val="791F742A"/>
    <w:rsid w:val="79F5363F"/>
    <w:rsid w:val="7B2F66D1"/>
    <w:rsid w:val="7B6E7611"/>
    <w:rsid w:val="7B76655D"/>
    <w:rsid w:val="7BBF5BC9"/>
    <w:rsid w:val="7C92133C"/>
    <w:rsid w:val="7CC330B9"/>
    <w:rsid w:val="7CE205E6"/>
    <w:rsid w:val="7D1D1C9F"/>
    <w:rsid w:val="7EDF397E"/>
    <w:rsid w:val="7FAF3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964"/>
    </w:p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qFormat/>
    <w:uiPriority w:val="0"/>
    <w:pPr>
      <w:spacing w:before="240" w:after="60"/>
      <w:jc w:val="center"/>
    </w:pPr>
    <w:rPr>
      <w:rFonts w:asciiTheme="majorHAnsi" w:hAnsiTheme="majorHAnsi" w:eastAsiaTheme="majorEastAsia" w:cstheme="majorBidi"/>
      <w:b/>
      <w:bCs/>
      <w:szCs w:val="32"/>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be0ee694-6a61-416f-b054-9c6d48b6b3cc</errorID>
      <errorWord>完成</errorWord>
      <group>L1_Word</group>
      <groupName>字词问题</groupName>
      <ability>L2_Typo</ability>
      <abilityName>字词错误</abilityName>
      <candidateList>
        <item>实现</item>
      </candidateList>
      <explain/>
      <paraID>319D9F70</paraID>
      <start>18</start>
      <end>20</end>
      <status>unmodified</status>
      <modifiedWord/>
      <trackRevisions>false</trackRevisions>
    </reviewItem>
    <reviewItem>
      <errorID>0d961950-9507-4b30-85f7-7c9639fc73f2</errorID>
      <errorWord>地</errorWord>
      <group>L1_Word</group>
      <groupName>字词问题</groupName>
      <ability>L2_DDD</ability>
      <abilityName>的地得用法</abilityName>
      <candidateList>
        <item>的</item>
      </candidateList>
      <explain>“的”常用于连接修饰语与名词性中心语，表示属性、所属或描述。</explain>
      <paraID>389FA9BB</paraID>
      <start>38</start>
      <end>39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9f372-de8d-40d2-b03f-1961229396fc}">
  <ds:schemaRefs/>
</ds:datastoreItem>
</file>

<file path=docProps/app.xml><?xml version="1.0" encoding="utf-8"?>
<Properties xmlns="http://schemas.openxmlformats.org/officeDocument/2006/extended-properties" xmlns:vt="http://schemas.openxmlformats.org/officeDocument/2006/docPropsVTypes">
  <Template>Normal.dotm</Template>
  <Pages>6</Pages>
  <Words>1071</Words>
  <Characters>1125</Characters>
  <Lines>53</Lines>
  <Paragraphs>14</Paragraphs>
  <TotalTime>20</TotalTime>
  <ScaleCrop>false</ScaleCrop>
  <LinksUpToDate>false</LinksUpToDate>
  <CharactersWithSpaces>1125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恋</dc:creator>
  <cp:lastModifiedBy>zoe</cp:lastModifiedBy>
  <dcterms:modified xsi:type="dcterms:W3CDTF">2026-05-07T08:29:39Z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7DB8684066634CB39EB410D1ADF50AFD</vt:lpwstr>
  </property>
  <property fmtid="{D5CDD505-2E9C-101B-9397-08002B2CF9AE}" pid="4" name="KSOTemplateDocerSaveRecord">
    <vt:lpwstr>eyJoZGlkIjoiZjc4NmJlMjNhZDU3M2ZmYTE4YmFkYzFlYWU3NzhmZGMiLCJ1c2VySWQiOiIxNDA0OTg0NTc4In0=</vt:lpwstr>
  </property>
</Properties>
</file>