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6F0BD">
      <w:pPr>
        <w:keepNext w:val="0"/>
        <w:keepLines w:val="0"/>
        <w:pageBreakBefore w:val="0"/>
        <w:kinsoku/>
        <w:wordWrap/>
        <w:overflowPunct/>
        <w:topLinePunct w:val="0"/>
        <w:autoSpaceDE/>
        <w:bidi w:val="0"/>
        <w:adjustRightInd/>
        <w:snapToGrid w:val="0"/>
        <w:spacing w:line="240" w:lineRule="auto"/>
        <w:jc w:val="center"/>
        <w:rPr>
          <w:rFonts w:hint="eastAsia" w:ascii="方正小标宋简体" w:hAnsi="方正小标宋简体" w:eastAsia="方正小标宋简体" w:cs="方正小标宋简体"/>
          <w:b/>
          <w:bCs/>
          <w:sz w:val="44"/>
          <w:szCs w:val="44"/>
          <w:highlight w:val="none"/>
        </w:rPr>
      </w:pPr>
      <w:r>
        <w:rPr>
          <w:rFonts w:hint="eastAsia" w:ascii="方正小标宋简体" w:hAnsi="方正小标宋简体" w:eastAsia="方正小标宋简体" w:cs="方正小标宋简体"/>
          <w:b/>
          <w:bCs/>
          <w:sz w:val="44"/>
          <w:szCs w:val="44"/>
          <w:highlight w:val="none"/>
        </w:rPr>
        <w:t>海口江东新区管理局</w:t>
      </w:r>
    </w:p>
    <w:p w14:paraId="29656B26">
      <w:pPr>
        <w:pStyle w:val="6"/>
        <w:ind w:firstLine="0" w:firstLineChars="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highlight w:val="none"/>
        </w:rPr>
        <w:t>202</w:t>
      </w:r>
      <w:r>
        <w:rPr>
          <w:rFonts w:hint="eastAsia" w:ascii="方正小标宋简体" w:hAnsi="方正小标宋简体" w:eastAsia="方正小标宋简体" w:cs="方正小标宋简体"/>
          <w:sz w:val="44"/>
          <w:szCs w:val="44"/>
          <w:highlight w:val="none"/>
          <w:lang w:val="en-US" w:eastAsia="zh-CN"/>
        </w:rPr>
        <w:t>5</w:t>
      </w:r>
      <w:r>
        <w:rPr>
          <w:rFonts w:hint="eastAsia" w:ascii="方正小标宋简体" w:hAnsi="方正小标宋简体" w:eastAsia="方正小标宋简体" w:cs="方正小标宋简体"/>
          <w:sz w:val="44"/>
          <w:szCs w:val="44"/>
          <w:highlight w:val="none"/>
        </w:rPr>
        <w:t>年</w:t>
      </w:r>
      <w:r>
        <w:rPr>
          <w:rFonts w:hint="eastAsia" w:ascii="方正小标宋简体" w:hAnsi="方正小标宋简体" w:eastAsia="方正小标宋简体" w:cs="方正小标宋简体"/>
          <w:sz w:val="44"/>
          <w:szCs w:val="44"/>
          <w:highlight w:val="none"/>
          <w:lang w:val="en-US" w:eastAsia="zh-CN"/>
        </w:rPr>
        <w:t>临空经济区国际会展配套路网</w:t>
      </w:r>
      <w:r>
        <w:rPr>
          <w:rFonts w:hint="eastAsia" w:ascii="方正小标宋简体" w:hAnsi="方正小标宋简体" w:eastAsia="方正小标宋简体" w:cs="方正小标宋简体"/>
          <w:sz w:val="44"/>
          <w:szCs w:val="44"/>
          <w:highlight w:val="none"/>
        </w:rPr>
        <w:t>项目</w:t>
      </w:r>
    </w:p>
    <w:p w14:paraId="7851C2B2">
      <w:pPr>
        <w:pStyle w:val="6"/>
        <w:keepNext w:val="0"/>
        <w:keepLines w:val="0"/>
        <w:pageBreakBefore w:val="0"/>
        <w:kinsoku/>
        <w:wordWrap/>
        <w:overflowPunct/>
        <w:topLinePunct w:val="0"/>
        <w:autoSpaceDE/>
        <w:bidi w:val="0"/>
        <w:adjustRightInd/>
        <w:snapToGrid w:val="0"/>
        <w:jc w:val="center"/>
        <w:rPr>
          <w:rFonts w:hint="eastAsia" w:ascii="方正小标宋简体" w:hAnsi="方正小标宋简体" w:eastAsia="方正小标宋简体" w:cs="方正小标宋简体"/>
          <w:b/>
          <w:bCs/>
          <w:sz w:val="44"/>
          <w:szCs w:val="44"/>
          <w:highlight w:val="none"/>
        </w:rPr>
      </w:pPr>
      <w:r>
        <w:rPr>
          <w:rFonts w:hint="eastAsia" w:ascii="方正小标宋简体" w:hAnsi="方正小标宋简体" w:eastAsia="方正小标宋简体" w:cs="方正小标宋简体"/>
          <w:b/>
          <w:bCs/>
          <w:sz w:val="44"/>
          <w:szCs w:val="44"/>
          <w:highlight w:val="none"/>
        </w:rPr>
        <w:t>支出绩效评价报告</w:t>
      </w:r>
    </w:p>
    <w:p w14:paraId="3DA6A2DF">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p>
    <w:p w14:paraId="6E1D317C">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一、基本情况</w:t>
      </w:r>
    </w:p>
    <w:p w14:paraId="1A27D1DE">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（一）项目概况</w:t>
      </w:r>
    </w:p>
    <w:p w14:paraId="31B2E3C6">
      <w:pPr>
        <w:keepNext w:val="0"/>
        <w:keepLines w:val="0"/>
        <w:pageBreakBefore w:val="0"/>
        <w:widowControl/>
        <w:kinsoku/>
        <w:wordWrap/>
        <w:overflowPunct/>
        <w:topLinePunct w:val="0"/>
        <w:autoSpaceDE/>
        <w:bidi w:val="0"/>
        <w:adjustRightInd/>
        <w:snapToGrid/>
        <w:spacing w:line="560" w:lineRule="exact"/>
        <w:ind w:firstLine="640" w:firstLineChars="200"/>
        <w:jc w:val="both"/>
        <w:rPr>
          <w:rFonts w:ascii="仿宋_GB2312" w:hAnsi="仿宋_GB2312" w:eastAsia="仿宋_GB2312" w:cs="仿宋_GB2312"/>
          <w:sz w:val="32"/>
          <w:szCs w:val="32"/>
          <w:highlight w:val="none"/>
        </w:rPr>
      </w:pPr>
      <w:r>
        <w:rPr>
          <w:rFonts w:hint="default" w:ascii="Times New Roman" w:hAnsi="Times New Roman" w:eastAsia="仿宋_GB2312" w:cs="Times New Roman"/>
          <w:kern w:val="2"/>
          <w:sz w:val="32"/>
          <w:szCs w:val="32"/>
          <w:lang w:val="en-US" w:eastAsia="zh-CN" w:bidi="ar"/>
        </w:rPr>
        <w:t>临空经济区国际会展配套路网项目业主单位</w:t>
      </w:r>
      <w:r>
        <w:rPr>
          <w:rFonts w:hint="eastAsia" w:ascii="Times New Roman" w:hAnsi="Times New Roman" w:eastAsia="仿宋_GB2312" w:cs="Times New Roman"/>
          <w:kern w:val="2"/>
          <w:sz w:val="32"/>
          <w:szCs w:val="32"/>
          <w:lang w:val="en-US" w:eastAsia="zh-CN" w:bidi="ar"/>
        </w:rPr>
        <w:t>为海口市路桥建设投资有限公司</w:t>
      </w:r>
      <w:r>
        <w:rPr>
          <w:rFonts w:hint="eastAsia" w:ascii="Times New Roman" w:cs="Times New Roman"/>
          <w:kern w:val="2"/>
          <w:sz w:val="32"/>
          <w:szCs w:val="32"/>
          <w:lang w:val="en-US" w:eastAsia="zh-CN" w:bidi="ar"/>
        </w:rPr>
        <w:t>，</w:t>
      </w:r>
      <w:r>
        <w:rPr>
          <w:rFonts w:hint="eastAsia" w:ascii="仿宋_GB2312" w:hAnsi="仿宋_GB2312" w:eastAsia="仿宋_GB2312" w:cs="仿宋_GB2312"/>
          <w:color w:val="auto"/>
          <w:kern w:val="2"/>
          <w:sz w:val="32"/>
          <w:szCs w:val="32"/>
          <w:lang w:val="en-US" w:eastAsia="zh-CN" w:bidi="ar-SA"/>
        </w:rPr>
        <w:t>该项目包含6条道路，总长度约7.49公里，其中主干路2条，分别为：桂江大道（西1段）全长282米，红线宽度50米；桂美南大道，全长1392米，红线宽度40米。次干路4条，分别为：桂灵大道，全长2973米，红线宽度30米；灵山大道，全长1251米，红线宽度30米；美灵北路，全长1303米，红线宽度30米；美灵南路，全长288米，红线宽度30米；主要建设内容为道路工程、交通工程、桥梁工程、给排水工程、照明工程、绿化工程、综合管廊等工程</w:t>
      </w:r>
      <w:r>
        <w:rPr>
          <w:rStyle w:val="11"/>
          <w:rFonts w:hint="eastAsia" w:ascii="仿宋" w:hAnsi="仿宋" w:eastAsia="仿宋"/>
          <w:sz w:val="32"/>
          <w:szCs w:val="32"/>
        </w:rPr>
        <w:t>。</w:t>
      </w:r>
      <w:r>
        <w:rPr>
          <w:rStyle w:val="11"/>
          <w:rFonts w:hint="eastAsia" w:ascii="仿宋" w:hAnsi="仿宋" w:eastAsia="仿宋"/>
          <w:sz w:val="32"/>
          <w:szCs w:val="32"/>
          <w:lang w:val="en-US" w:eastAsia="zh-CN"/>
        </w:rPr>
        <w:t>该项目</w:t>
      </w:r>
      <w:r>
        <w:rPr>
          <w:rFonts w:hint="eastAsia" w:ascii="仿宋_GB2312" w:hAnsi="Times New Roman" w:eastAsia="仿宋_GB2312" w:cs="仿宋_GB2312"/>
          <w:sz w:val="32"/>
          <w:szCs w:val="32"/>
          <w:highlight w:val="none"/>
          <w:lang w:bidi="ar"/>
        </w:rPr>
        <w:t>202</w:t>
      </w:r>
      <w:r>
        <w:rPr>
          <w:rFonts w:hint="eastAsia" w:ascii="仿宋_GB2312" w:hAnsi="Times New Roman" w:eastAsia="仿宋_GB2312" w:cs="仿宋_GB2312"/>
          <w:sz w:val="32"/>
          <w:szCs w:val="32"/>
          <w:highlight w:val="none"/>
          <w:lang w:val="en-US" w:eastAsia="zh-CN" w:bidi="ar"/>
        </w:rPr>
        <w:t>5</w:t>
      </w:r>
      <w:r>
        <w:rPr>
          <w:rFonts w:hint="eastAsia" w:ascii="仿宋_GB2312" w:hAnsi="Times New Roman" w:eastAsia="仿宋_GB2312" w:cs="仿宋_GB2312"/>
          <w:sz w:val="32"/>
          <w:szCs w:val="32"/>
          <w:highlight w:val="none"/>
          <w:lang w:bidi="ar"/>
        </w:rPr>
        <w:t>年到位资金</w:t>
      </w:r>
      <w:r>
        <w:rPr>
          <w:rFonts w:hint="default" w:ascii="仿宋_GB2312" w:hAnsi="Times New Roman" w:eastAsia="仿宋_GB2312" w:cs="仿宋_GB2312"/>
          <w:sz w:val="32"/>
          <w:szCs w:val="32"/>
          <w:highlight w:val="none"/>
          <w:lang w:val="en-US" w:eastAsia="zh-CN" w:bidi="ar"/>
        </w:rPr>
        <w:t>208</w:t>
      </w:r>
      <w:r>
        <w:rPr>
          <w:rFonts w:hint="eastAsia" w:ascii="仿宋_GB2312" w:hAnsi="Times New Roman" w:eastAsia="仿宋_GB2312" w:cs="仿宋_GB2312"/>
          <w:sz w:val="32"/>
          <w:szCs w:val="32"/>
          <w:highlight w:val="none"/>
          <w:lang w:val="en-US" w:eastAsia="zh-CN" w:bidi="ar"/>
        </w:rPr>
        <w:t>.</w:t>
      </w:r>
      <w:r>
        <w:rPr>
          <w:rFonts w:hint="default" w:ascii="仿宋_GB2312" w:hAnsi="Times New Roman" w:eastAsia="仿宋_GB2312" w:cs="仿宋_GB2312"/>
          <w:sz w:val="32"/>
          <w:szCs w:val="32"/>
          <w:highlight w:val="none"/>
          <w:lang w:val="en-US" w:eastAsia="zh-CN" w:bidi="ar"/>
        </w:rPr>
        <w:t>69</w:t>
      </w:r>
      <w:r>
        <w:rPr>
          <w:rFonts w:hint="eastAsia" w:ascii="仿宋_GB2312" w:hAnsi="Times New Roman" w:eastAsia="仿宋_GB2312" w:cs="仿宋_GB2312"/>
          <w:sz w:val="32"/>
          <w:szCs w:val="32"/>
          <w:highlight w:val="none"/>
          <w:lang w:bidi="ar"/>
        </w:rPr>
        <w:t>万元</w:t>
      </w:r>
      <w:r>
        <w:rPr>
          <w:rFonts w:hint="eastAsia" w:ascii="仿宋_GB2312" w:hAnsi="Times New Roman" w:eastAsia="仿宋_GB2312" w:cs="仿宋_GB2312"/>
          <w:sz w:val="32"/>
          <w:szCs w:val="32"/>
          <w:highlight w:val="none"/>
          <w:lang w:val="en-US" w:eastAsia="zh-CN" w:bidi="ar"/>
        </w:rPr>
        <w:t>。截至目前，均已支出完毕</w:t>
      </w:r>
      <w:r>
        <w:rPr>
          <w:rFonts w:hint="eastAsia" w:ascii="仿宋_GB2312" w:hAnsi="Times New Roman" w:eastAsia="仿宋_GB2312" w:cs="仿宋_GB2312"/>
          <w:sz w:val="32"/>
          <w:szCs w:val="32"/>
          <w:highlight w:val="none"/>
          <w:lang w:bidi="ar"/>
        </w:rPr>
        <w:t>。</w:t>
      </w:r>
    </w:p>
    <w:p w14:paraId="43C12E60">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（二）项目绩效目标</w:t>
      </w:r>
    </w:p>
    <w:p w14:paraId="0F95AE3C">
      <w:pPr>
        <w:keepNext w:val="0"/>
        <w:keepLines w:val="0"/>
        <w:pageBreakBefore w:val="0"/>
        <w:kinsoku/>
        <w:wordWrap/>
        <w:overflowPunct/>
        <w:topLinePunct w:val="0"/>
        <w:autoSpaceDE/>
        <w:bidi w:val="0"/>
        <w:adjustRightInd/>
        <w:snapToGrid/>
        <w:spacing w:line="50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该项目总体目标</w:t>
      </w:r>
      <w:r>
        <w:rPr>
          <w:rFonts w:hint="eastAsia" w:ascii="仿宋_GB2312" w:hAnsi="仿宋_GB2312" w:eastAsia="仿宋_GB2312" w:cs="仿宋_GB2312"/>
          <w:sz w:val="32"/>
          <w:szCs w:val="32"/>
          <w:highlight w:val="none"/>
          <w:lang w:eastAsia="zh-CN"/>
        </w:rPr>
        <w:t>：</w:t>
      </w:r>
      <w:r>
        <w:rPr>
          <w:rFonts w:hint="eastAsia" w:ascii="仿宋_GB2312" w:hAnsi="Times New Roman" w:eastAsia="仿宋_GB2312" w:cs="Times New Roman"/>
          <w:color w:val="auto"/>
          <w:sz w:val="32"/>
          <w:szCs w:val="36"/>
          <w:lang w:bidi="ar"/>
        </w:rPr>
        <w:t>总体形象进度15%，完成道路工程0.3公里</w:t>
      </w:r>
      <w:r>
        <w:rPr>
          <w:rFonts w:hint="eastAsia" w:ascii="仿宋_GB2312" w:hAnsi="仿宋_GB2312" w:eastAsia="仿宋_GB2312" w:cs="仿宋_GB2312"/>
          <w:sz w:val="32"/>
          <w:szCs w:val="32"/>
          <w:highlight w:val="none"/>
        </w:rPr>
        <w:t>。</w:t>
      </w:r>
    </w:p>
    <w:p w14:paraId="1E441852">
      <w:pPr>
        <w:keepNext w:val="0"/>
        <w:keepLines w:val="0"/>
        <w:pageBreakBefore w:val="0"/>
        <w:kinsoku/>
        <w:wordWrap/>
        <w:overflowPunct/>
        <w:topLinePunct w:val="0"/>
        <w:autoSpaceDE/>
        <w:bidi w:val="0"/>
        <w:adjustRightInd/>
        <w:snapToGrid/>
        <w:spacing w:line="5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年度绩效目标如下：</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6"/>
        <w:gridCol w:w="4484"/>
        <w:gridCol w:w="2019"/>
      </w:tblGrid>
      <w:tr w14:paraId="29178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3" w:type="pct"/>
            <w:vMerge w:val="restart"/>
            <w:vAlign w:val="center"/>
          </w:tcPr>
          <w:p w14:paraId="1EC532B4">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指标类型</w:t>
            </w:r>
          </w:p>
        </w:tc>
        <w:tc>
          <w:tcPr>
            <w:tcW w:w="2631" w:type="pct"/>
            <w:vMerge w:val="restart"/>
            <w:vAlign w:val="center"/>
          </w:tcPr>
          <w:p w14:paraId="6150CD1D">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指标名称</w:t>
            </w:r>
          </w:p>
        </w:tc>
        <w:tc>
          <w:tcPr>
            <w:tcW w:w="1184" w:type="pct"/>
            <w:vMerge w:val="restart"/>
            <w:vAlign w:val="center"/>
          </w:tcPr>
          <w:p w14:paraId="6DF5B0C2">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绩效目标</w:t>
            </w:r>
          </w:p>
        </w:tc>
      </w:tr>
      <w:tr w14:paraId="73030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3" w:type="pct"/>
            <w:vMerge w:val="continue"/>
          </w:tcPr>
          <w:p w14:paraId="1AFE850B">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2631" w:type="pct"/>
            <w:vMerge w:val="continue"/>
          </w:tcPr>
          <w:p w14:paraId="364AAEB2">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1184" w:type="pct"/>
            <w:vMerge w:val="continue"/>
          </w:tcPr>
          <w:p w14:paraId="0A7ACBB9">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r>
      <w:tr w14:paraId="5E08C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183" w:type="pct"/>
            <w:vAlign w:val="center"/>
          </w:tcPr>
          <w:p w14:paraId="535FC690">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产出指标</w:t>
            </w:r>
          </w:p>
        </w:tc>
        <w:tc>
          <w:tcPr>
            <w:tcW w:w="2631" w:type="pct"/>
            <w:vAlign w:val="center"/>
          </w:tcPr>
          <w:p w14:paraId="0F41E35F">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sz w:val="24"/>
                <w:highlight w:val="none"/>
              </w:rPr>
            </w:pPr>
            <w:r>
              <w:rPr>
                <w:rFonts w:hint="eastAsia" w:ascii="宋体" w:hAnsi="宋体" w:eastAsia="宋体"/>
                <w:sz w:val="24"/>
                <w:highlight w:val="none"/>
              </w:rPr>
              <w:t>建设（改造、修缮）工程量</w:t>
            </w:r>
          </w:p>
        </w:tc>
        <w:tc>
          <w:tcPr>
            <w:tcW w:w="1184" w:type="pct"/>
            <w:shd w:val="clear" w:color="auto" w:fill="auto"/>
            <w:vAlign w:val="center"/>
          </w:tcPr>
          <w:p w14:paraId="00A0BF33">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Theme="minorEastAsia"/>
                <w:sz w:val="24"/>
                <w:highlight w:val="none"/>
                <w:lang w:val="en-US" w:eastAsia="zh-CN"/>
              </w:rPr>
            </w:pPr>
            <w:r>
              <w:rPr>
                <w:rFonts w:hint="eastAsia" w:ascii="宋体" w:hAnsi="宋体"/>
                <w:sz w:val="24"/>
                <w:highlight w:val="none"/>
              </w:rPr>
              <w:t>≥</w:t>
            </w:r>
            <w:r>
              <w:rPr>
                <w:rFonts w:hint="eastAsia" w:ascii="宋体" w:hAnsi="宋体"/>
                <w:sz w:val="24"/>
                <w:highlight w:val="none"/>
                <w:lang w:val="en-US" w:eastAsia="zh-CN"/>
              </w:rPr>
              <w:t>0.3公里</w:t>
            </w:r>
          </w:p>
        </w:tc>
      </w:tr>
      <w:tr w14:paraId="46E3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183" w:type="pct"/>
            <w:vAlign w:val="center"/>
          </w:tcPr>
          <w:p w14:paraId="7EF4CC74">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sz w:val="24"/>
                <w:highlight w:val="none"/>
              </w:rPr>
            </w:pPr>
            <w:r>
              <w:rPr>
                <w:rFonts w:hint="eastAsia" w:ascii="宋体" w:hAnsi="宋体" w:eastAsia="宋体"/>
                <w:sz w:val="24"/>
                <w:highlight w:val="none"/>
              </w:rPr>
              <w:t>产出指标</w:t>
            </w:r>
          </w:p>
        </w:tc>
        <w:tc>
          <w:tcPr>
            <w:tcW w:w="2631" w:type="pct"/>
            <w:vAlign w:val="center"/>
          </w:tcPr>
          <w:p w14:paraId="2A647FE8">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default" w:ascii="宋体" w:hAnsi="宋体" w:eastAsia="宋体"/>
                <w:sz w:val="24"/>
                <w:highlight w:val="none"/>
                <w:lang w:val="en-US" w:eastAsia="zh-CN"/>
              </w:rPr>
            </w:pPr>
            <w:r>
              <w:rPr>
                <w:rFonts w:hint="default" w:ascii="宋体" w:hAnsi="宋体" w:eastAsia="宋体"/>
                <w:sz w:val="24"/>
                <w:highlight w:val="none"/>
                <w:lang w:val="en-US" w:eastAsia="zh-CN"/>
              </w:rPr>
              <w:t>竣工验收合格率</w:t>
            </w:r>
          </w:p>
        </w:tc>
        <w:tc>
          <w:tcPr>
            <w:tcW w:w="1184" w:type="pct"/>
            <w:vAlign w:val="center"/>
          </w:tcPr>
          <w:p w14:paraId="39508F41">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sz w:val="24"/>
                <w:highlight w:val="none"/>
              </w:rPr>
            </w:pPr>
            <w:r>
              <w:rPr>
                <w:rFonts w:hint="eastAsia" w:ascii="宋体" w:hAnsi="宋体"/>
                <w:sz w:val="24"/>
                <w:highlight w:val="none"/>
              </w:rPr>
              <w:t>≥</w:t>
            </w:r>
            <w:r>
              <w:rPr>
                <w:rFonts w:hint="eastAsia" w:ascii="宋体" w:hAnsi="宋体"/>
                <w:sz w:val="24"/>
                <w:highlight w:val="none"/>
                <w:lang w:val="en-US" w:eastAsia="zh-CN"/>
              </w:rPr>
              <w:t>98%</w:t>
            </w:r>
          </w:p>
        </w:tc>
      </w:tr>
      <w:tr w14:paraId="31C62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3" w:type="pct"/>
            <w:vAlign w:val="center"/>
          </w:tcPr>
          <w:p w14:paraId="23D03652">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效益指标</w:t>
            </w:r>
          </w:p>
        </w:tc>
        <w:tc>
          <w:tcPr>
            <w:tcW w:w="2631" w:type="pct"/>
            <w:vAlign w:val="center"/>
          </w:tcPr>
          <w:p w14:paraId="68D0D8A6">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default" w:ascii="宋体" w:hAnsi="宋体" w:eastAsia="宋体"/>
                <w:sz w:val="24"/>
                <w:highlight w:val="none"/>
              </w:rPr>
            </w:pPr>
            <w:r>
              <w:rPr>
                <w:rFonts w:hint="default" w:ascii="宋体" w:hAnsi="宋体" w:eastAsia="宋体"/>
                <w:sz w:val="24"/>
                <w:highlight w:val="none"/>
              </w:rPr>
              <w:t>项目受益人数</w:t>
            </w:r>
          </w:p>
        </w:tc>
        <w:tc>
          <w:tcPr>
            <w:tcW w:w="1184" w:type="pct"/>
            <w:vAlign w:val="center"/>
          </w:tcPr>
          <w:p w14:paraId="75AACEC0">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sz w:val="24"/>
                <w:highlight w:val="none"/>
                <w:lang w:val="en-US"/>
              </w:rPr>
            </w:pPr>
            <w:r>
              <w:rPr>
                <w:rFonts w:hint="eastAsia" w:ascii="宋体" w:hAnsi="宋体"/>
                <w:sz w:val="24"/>
                <w:highlight w:val="none"/>
              </w:rPr>
              <w:t>≥</w:t>
            </w:r>
            <w:r>
              <w:rPr>
                <w:rFonts w:hint="eastAsia" w:ascii="宋体" w:hAnsi="宋体"/>
                <w:sz w:val="24"/>
                <w:highlight w:val="none"/>
                <w:lang w:val="en-US" w:eastAsia="zh-CN"/>
              </w:rPr>
              <w:t>6000人</w:t>
            </w:r>
          </w:p>
        </w:tc>
      </w:tr>
      <w:tr w14:paraId="2015C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3" w:type="pct"/>
            <w:vAlign w:val="center"/>
          </w:tcPr>
          <w:p w14:paraId="51CD97DA">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sz w:val="24"/>
                <w:highlight w:val="none"/>
              </w:rPr>
            </w:pPr>
            <w:r>
              <w:rPr>
                <w:rFonts w:hint="eastAsia" w:ascii="宋体" w:hAnsi="宋体" w:eastAsia="宋体"/>
                <w:sz w:val="24"/>
                <w:highlight w:val="none"/>
              </w:rPr>
              <w:t>满意度指标</w:t>
            </w:r>
          </w:p>
        </w:tc>
        <w:tc>
          <w:tcPr>
            <w:tcW w:w="2631" w:type="pct"/>
            <w:vAlign w:val="center"/>
          </w:tcPr>
          <w:p w14:paraId="32D07CDB">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sz w:val="24"/>
                <w:highlight w:val="none"/>
              </w:rPr>
            </w:pPr>
            <w:r>
              <w:rPr>
                <w:rFonts w:hint="eastAsia" w:ascii="宋体" w:hAnsi="宋体" w:eastAsia="宋体"/>
                <w:sz w:val="24"/>
                <w:highlight w:val="none"/>
                <w:lang w:val="en-US" w:eastAsia="zh-CN"/>
              </w:rPr>
              <w:t>受益群体满意度</w:t>
            </w:r>
          </w:p>
        </w:tc>
        <w:tc>
          <w:tcPr>
            <w:tcW w:w="1184" w:type="pct"/>
            <w:vAlign w:val="center"/>
          </w:tcPr>
          <w:p w14:paraId="4D862D22">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default" w:ascii="宋体" w:hAnsi="宋体"/>
                <w:sz w:val="24"/>
                <w:highlight w:val="none"/>
                <w:lang w:val="en-US"/>
              </w:rPr>
            </w:pPr>
            <w:r>
              <w:rPr>
                <w:rFonts w:hint="eastAsia" w:ascii="宋体" w:hAnsi="宋体"/>
                <w:sz w:val="24"/>
                <w:highlight w:val="none"/>
              </w:rPr>
              <w:t>≥</w:t>
            </w:r>
            <w:r>
              <w:rPr>
                <w:rFonts w:hint="eastAsia" w:ascii="宋体" w:hAnsi="宋体"/>
                <w:sz w:val="24"/>
                <w:highlight w:val="none"/>
                <w:lang w:val="en-US" w:eastAsia="zh-CN"/>
              </w:rPr>
              <w:t>85%</w:t>
            </w:r>
          </w:p>
        </w:tc>
      </w:tr>
      <w:tr w14:paraId="5417E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3" w:type="pct"/>
          </w:tcPr>
          <w:p w14:paraId="13F71C56">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成本指标</w:t>
            </w:r>
          </w:p>
        </w:tc>
        <w:tc>
          <w:tcPr>
            <w:tcW w:w="2631" w:type="pct"/>
            <w:vAlign w:val="center"/>
          </w:tcPr>
          <w:p w14:paraId="55716CD3">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sz w:val="24"/>
                <w:highlight w:val="none"/>
              </w:rPr>
            </w:pPr>
            <w:r>
              <w:rPr>
                <w:rFonts w:hint="eastAsia" w:ascii="宋体" w:hAnsi="宋体" w:eastAsia="宋体"/>
                <w:sz w:val="24"/>
                <w:highlight w:val="none"/>
                <w:lang w:eastAsia="zh-Hans"/>
              </w:rPr>
              <w:t>控制在总投内</w:t>
            </w:r>
          </w:p>
        </w:tc>
        <w:tc>
          <w:tcPr>
            <w:tcW w:w="1184" w:type="pct"/>
            <w:vAlign w:val="center"/>
          </w:tcPr>
          <w:p w14:paraId="6EDE0D00">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default" w:ascii="宋体" w:hAnsi="宋体" w:eastAsia="宋体"/>
                <w:sz w:val="24"/>
                <w:szCs w:val="22"/>
                <w:highlight w:val="none"/>
                <w:lang w:val="en-US"/>
              </w:rPr>
            </w:pPr>
            <w:r>
              <w:rPr>
                <w:rFonts w:hint="eastAsia" w:ascii="宋体" w:hAnsi="宋体"/>
                <w:sz w:val="24"/>
                <w:highlight w:val="none"/>
                <w:lang w:val="en-US" w:eastAsia="zh-CN"/>
              </w:rPr>
              <w:t>≤</w:t>
            </w:r>
            <w:r>
              <w:rPr>
                <w:rFonts w:hint="default" w:ascii="宋体" w:hAnsi="宋体"/>
                <w:sz w:val="24"/>
                <w:highlight w:val="none"/>
                <w:lang w:val="en-US" w:eastAsia="zh-CN"/>
              </w:rPr>
              <w:t>148225万</w:t>
            </w:r>
          </w:p>
        </w:tc>
      </w:tr>
    </w:tbl>
    <w:p w14:paraId="5388407B">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二、绩效评价工作开展情况</w:t>
      </w:r>
    </w:p>
    <w:p w14:paraId="0B1D2E89">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（一）绩效评价目的、对象、范围</w:t>
      </w:r>
    </w:p>
    <w:p w14:paraId="0601DDB7">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w:t>
      </w:r>
      <w:r>
        <w:rPr>
          <w:rFonts w:hint="default" w:ascii="Times New Roman" w:hAnsi="Times New Roman" w:eastAsia="仿宋_GB2312" w:cs="Times New Roman"/>
          <w:kern w:val="2"/>
          <w:sz w:val="32"/>
          <w:szCs w:val="32"/>
          <w:lang w:val="en-US" w:eastAsia="zh-CN" w:bidi="ar"/>
        </w:rPr>
        <w:t>临空经济区国际会展配套路网项目</w:t>
      </w:r>
      <w:r>
        <w:rPr>
          <w:rFonts w:hint="eastAsia" w:ascii="仿宋_GB2312" w:hAnsi="仿宋_GB2312" w:eastAsia="仿宋_GB2312" w:cs="仿宋_GB2312"/>
          <w:sz w:val="32"/>
          <w:szCs w:val="32"/>
          <w:highlight w:val="none"/>
        </w:rPr>
        <w:t>开展部门评价，促进部门提升预算绩效管理工作水平，强化部门支出责任，规范资金管理行为，提高财政资金使用效益。</w:t>
      </w:r>
    </w:p>
    <w:p w14:paraId="5D3AC9AD">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（二）绩效评价原则、评价指标体系、评价方法、评价标准</w:t>
      </w:r>
    </w:p>
    <w:p w14:paraId="43C2C367">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1.绩效评价原则</w:t>
      </w:r>
    </w:p>
    <w:p w14:paraId="7338FE6D">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本次部门评价坚持运用科学合理的方法，按照规范的程序，对项目绩效进行客观、公正</w:t>
      </w:r>
      <w:r>
        <w:rPr>
          <w:rFonts w:hint="eastAsia" w:ascii="仿宋_GB2312" w:hAnsi="仿宋_GB2312" w:eastAsia="仿宋_GB2312" w:cs="仿宋_GB2312"/>
          <w:sz w:val="32"/>
          <w:szCs w:val="32"/>
          <w:highlight w:val="none"/>
          <w:lang w:eastAsia="zh-CN"/>
        </w:rPr>
        <w:t>地</w:t>
      </w:r>
      <w:r>
        <w:rPr>
          <w:rFonts w:hint="eastAsia" w:ascii="仿宋_GB2312" w:hAnsi="仿宋_GB2312" w:eastAsia="仿宋_GB2312" w:cs="仿宋_GB2312"/>
          <w:sz w:val="32"/>
          <w:szCs w:val="32"/>
          <w:highlight w:val="none"/>
        </w:rPr>
        <w:t>反映。</w:t>
      </w:r>
    </w:p>
    <w:p w14:paraId="1F25CF2D">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2.评价指标体系</w:t>
      </w:r>
    </w:p>
    <w:tbl>
      <w:tblPr>
        <w:tblStyle w:val="7"/>
        <w:tblW w:w="42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3"/>
        <w:gridCol w:w="2575"/>
        <w:gridCol w:w="1386"/>
      </w:tblGrid>
      <w:tr w14:paraId="0C848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1012" w:type="pct"/>
            <w:vAlign w:val="center"/>
          </w:tcPr>
          <w:p w14:paraId="7768EFC5">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271" w:type="pct"/>
            <w:vAlign w:val="center"/>
          </w:tcPr>
          <w:p w14:paraId="29EBF45E">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765" w:type="pct"/>
            <w:vAlign w:val="center"/>
          </w:tcPr>
          <w:p w14:paraId="243B43AB">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950" w:type="pct"/>
            <w:vAlign w:val="center"/>
          </w:tcPr>
          <w:p w14:paraId="35FD53EA">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r>
      <w:tr w14:paraId="7CD6B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2394D312">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271" w:type="pct"/>
            <w:vMerge w:val="restart"/>
            <w:vAlign w:val="center"/>
          </w:tcPr>
          <w:p w14:paraId="72ABDAD6">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765" w:type="pct"/>
            <w:vAlign w:val="center"/>
          </w:tcPr>
          <w:p w14:paraId="5E889C9A">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950" w:type="pct"/>
            <w:vAlign w:val="center"/>
          </w:tcPr>
          <w:p w14:paraId="080963B7">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14:paraId="3C0E8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55303220">
            <w:pPr>
              <w:autoSpaceDN w:val="0"/>
              <w:spacing w:line="300" w:lineRule="exact"/>
              <w:jc w:val="center"/>
              <w:textAlignment w:val="center"/>
              <w:rPr>
                <w:rFonts w:hint="eastAsia" w:ascii="宋体" w:hAnsi="宋体" w:eastAsia="宋体"/>
                <w:color w:val="auto"/>
                <w:sz w:val="21"/>
                <w:szCs w:val="21"/>
                <w:lang w:val="en-US" w:eastAsia="zh-CN"/>
              </w:rPr>
            </w:pPr>
          </w:p>
        </w:tc>
        <w:tc>
          <w:tcPr>
            <w:tcW w:w="1271" w:type="pct"/>
            <w:vMerge w:val="continue"/>
            <w:vAlign w:val="center"/>
          </w:tcPr>
          <w:p w14:paraId="3D288E51">
            <w:pPr>
              <w:autoSpaceDN w:val="0"/>
              <w:spacing w:line="300" w:lineRule="exact"/>
              <w:jc w:val="center"/>
              <w:textAlignment w:val="center"/>
              <w:rPr>
                <w:rFonts w:hint="eastAsia" w:ascii="宋体" w:hAnsi="宋体" w:eastAsia="宋体"/>
                <w:color w:val="auto"/>
                <w:sz w:val="21"/>
                <w:szCs w:val="21"/>
                <w:lang w:val="en-US" w:eastAsia="zh-CN"/>
              </w:rPr>
            </w:pPr>
          </w:p>
        </w:tc>
        <w:tc>
          <w:tcPr>
            <w:tcW w:w="1765" w:type="pct"/>
            <w:vAlign w:val="center"/>
          </w:tcPr>
          <w:p w14:paraId="11DD12EC">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950" w:type="pct"/>
            <w:vAlign w:val="center"/>
          </w:tcPr>
          <w:p w14:paraId="2A4593D6">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4A39D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127EE413">
            <w:pPr>
              <w:autoSpaceDN w:val="0"/>
              <w:spacing w:line="300" w:lineRule="exact"/>
              <w:jc w:val="center"/>
              <w:textAlignment w:val="center"/>
              <w:rPr>
                <w:rFonts w:hint="eastAsia" w:ascii="宋体" w:hAnsi="宋体" w:eastAsia="宋体"/>
                <w:color w:val="auto"/>
                <w:sz w:val="21"/>
                <w:szCs w:val="21"/>
                <w:lang w:val="en-US" w:eastAsia="zh-CN"/>
              </w:rPr>
            </w:pPr>
          </w:p>
        </w:tc>
        <w:tc>
          <w:tcPr>
            <w:tcW w:w="1271" w:type="pct"/>
            <w:vMerge w:val="restart"/>
            <w:vAlign w:val="center"/>
          </w:tcPr>
          <w:p w14:paraId="0E4D480B">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765" w:type="pct"/>
            <w:vAlign w:val="center"/>
          </w:tcPr>
          <w:p w14:paraId="574C87D8">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950" w:type="pct"/>
            <w:vAlign w:val="center"/>
          </w:tcPr>
          <w:p w14:paraId="5BF8A6CD">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4F07B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627B3FCD">
            <w:pPr>
              <w:autoSpaceDN w:val="0"/>
              <w:spacing w:line="300" w:lineRule="exact"/>
              <w:jc w:val="center"/>
              <w:textAlignment w:val="center"/>
              <w:rPr>
                <w:rFonts w:hint="eastAsia" w:ascii="宋体" w:hAnsi="宋体" w:eastAsia="宋体"/>
                <w:color w:val="auto"/>
                <w:sz w:val="21"/>
                <w:szCs w:val="21"/>
                <w:lang w:val="en-US" w:eastAsia="zh-CN"/>
              </w:rPr>
            </w:pPr>
          </w:p>
        </w:tc>
        <w:tc>
          <w:tcPr>
            <w:tcW w:w="1271" w:type="pct"/>
            <w:vMerge w:val="continue"/>
            <w:vAlign w:val="center"/>
          </w:tcPr>
          <w:p w14:paraId="5258B663">
            <w:pPr>
              <w:autoSpaceDN w:val="0"/>
              <w:spacing w:line="300" w:lineRule="exact"/>
              <w:jc w:val="center"/>
              <w:textAlignment w:val="center"/>
              <w:rPr>
                <w:rFonts w:hint="eastAsia" w:ascii="宋体" w:hAnsi="宋体" w:eastAsia="宋体"/>
                <w:color w:val="auto"/>
                <w:sz w:val="21"/>
                <w:szCs w:val="21"/>
                <w:lang w:val="en-US" w:eastAsia="zh-CN"/>
              </w:rPr>
            </w:pPr>
          </w:p>
        </w:tc>
        <w:tc>
          <w:tcPr>
            <w:tcW w:w="1765" w:type="pct"/>
            <w:vAlign w:val="center"/>
          </w:tcPr>
          <w:p w14:paraId="2C49BC7C">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950" w:type="pct"/>
            <w:vAlign w:val="center"/>
          </w:tcPr>
          <w:p w14:paraId="79B55484">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r>
      <w:tr w14:paraId="02D3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31445FB8">
            <w:pPr>
              <w:autoSpaceDN w:val="0"/>
              <w:spacing w:line="300" w:lineRule="exact"/>
              <w:jc w:val="center"/>
              <w:textAlignment w:val="center"/>
              <w:rPr>
                <w:rFonts w:hint="eastAsia" w:ascii="宋体" w:hAnsi="宋体" w:eastAsia="宋体"/>
                <w:color w:val="auto"/>
                <w:sz w:val="21"/>
                <w:szCs w:val="21"/>
                <w:lang w:val="en-US" w:eastAsia="zh-CN"/>
              </w:rPr>
            </w:pPr>
          </w:p>
        </w:tc>
        <w:tc>
          <w:tcPr>
            <w:tcW w:w="1271" w:type="pct"/>
            <w:vMerge w:val="restart"/>
            <w:vAlign w:val="center"/>
          </w:tcPr>
          <w:p w14:paraId="53BD0A89">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765" w:type="pct"/>
            <w:vAlign w:val="center"/>
          </w:tcPr>
          <w:p w14:paraId="43A9A0C5">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950" w:type="pct"/>
            <w:vAlign w:val="center"/>
          </w:tcPr>
          <w:p w14:paraId="299C8028">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14:paraId="6608B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706F6D22">
            <w:pPr>
              <w:spacing w:line="300" w:lineRule="exact"/>
              <w:jc w:val="center"/>
              <w:rPr>
                <w:rFonts w:hint="eastAsia" w:ascii="宋体" w:hAnsi="宋体" w:eastAsia="宋体"/>
                <w:color w:val="auto"/>
                <w:sz w:val="21"/>
                <w:szCs w:val="21"/>
              </w:rPr>
            </w:pPr>
          </w:p>
        </w:tc>
        <w:tc>
          <w:tcPr>
            <w:tcW w:w="1271" w:type="pct"/>
            <w:vMerge w:val="continue"/>
            <w:vAlign w:val="center"/>
          </w:tcPr>
          <w:p w14:paraId="528ED39F">
            <w:pPr>
              <w:spacing w:line="300" w:lineRule="exact"/>
              <w:jc w:val="center"/>
              <w:rPr>
                <w:rFonts w:hint="eastAsia" w:ascii="宋体" w:hAnsi="宋体" w:eastAsia="宋体"/>
                <w:color w:val="auto"/>
                <w:sz w:val="21"/>
                <w:szCs w:val="21"/>
              </w:rPr>
            </w:pPr>
          </w:p>
        </w:tc>
        <w:tc>
          <w:tcPr>
            <w:tcW w:w="1765" w:type="pct"/>
            <w:vAlign w:val="center"/>
          </w:tcPr>
          <w:p w14:paraId="7B683B81">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950" w:type="pct"/>
            <w:vAlign w:val="center"/>
          </w:tcPr>
          <w:p w14:paraId="2D1BA0E4">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14:paraId="24EE8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67D85BC4">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271" w:type="pct"/>
            <w:vMerge w:val="restart"/>
            <w:vAlign w:val="center"/>
          </w:tcPr>
          <w:p w14:paraId="1AE25A3D">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765" w:type="pct"/>
            <w:vAlign w:val="center"/>
          </w:tcPr>
          <w:p w14:paraId="3818DB63">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950" w:type="pct"/>
            <w:vAlign w:val="center"/>
          </w:tcPr>
          <w:p w14:paraId="340B7A75">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r>
      <w:tr w14:paraId="79D2D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6242074C">
            <w:pPr>
              <w:spacing w:line="300" w:lineRule="exact"/>
              <w:jc w:val="center"/>
              <w:rPr>
                <w:rFonts w:hint="eastAsia" w:ascii="宋体" w:hAnsi="宋体" w:eastAsia="宋体"/>
                <w:color w:val="auto"/>
                <w:sz w:val="21"/>
                <w:szCs w:val="21"/>
              </w:rPr>
            </w:pPr>
          </w:p>
        </w:tc>
        <w:tc>
          <w:tcPr>
            <w:tcW w:w="1271" w:type="pct"/>
            <w:vMerge w:val="continue"/>
            <w:vAlign w:val="center"/>
          </w:tcPr>
          <w:p w14:paraId="0AD31FF1">
            <w:pPr>
              <w:spacing w:line="300" w:lineRule="exact"/>
              <w:jc w:val="center"/>
              <w:rPr>
                <w:rFonts w:hint="eastAsia" w:ascii="宋体" w:hAnsi="宋体" w:eastAsia="宋体"/>
                <w:color w:val="auto"/>
                <w:sz w:val="21"/>
                <w:szCs w:val="21"/>
              </w:rPr>
            </w:pPr>
          </w:p>
        </w:tc>
        <w:tc>
          <w:tcPr>
            <w:tcW w:w="1765" w:type="pct"/>
            <w:vAlign w:val="center"/>
          </w:tcPr>
          <w:p w14:paraId="669608BF">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950" w:type="pct"/>
            <w:vAlign w:val="center"/>
          </w:tcPr>
          <w:p w14:paraId="584E1220">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14:paraId="10E03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101CC804">
            <w:pPr>
              <w:spacing w:line="300" w:lineRule="exact"/>
              <w:jc w:val="center"/>
              <w:rPr>
                <w:rFonts w:hint="eastAsia" w:ascii="宋体" w:hAnsi="宋体" w:eastAsia="宋体"/>
                <w:color w:val="auto"/>
                <w:sz w:val="21"/>
                <w:szCs w:val="21"/>
              </w:rPr>
            </w:pPr>
          </w:p>
        </w:tc>
        <w:tc>
          <w:tcPr>
            <w:tcW w:w="1271" w:type="pct"/>
            <w:vMerge w:val="continue"/>
            <w:vAlign w:val="center"/>
          </w:tcPr>
          <w:p w14:paraId="2FB2FBF8">
            <w:pPr>
              <w:spacing w:line="300" w:lineRule="exact"/>
              <w:jc w:val="center"/>
              <w:rPr>
                <w:rFonts w:hint="eastAsia" w:ascii="宋体" w:hAnsi="宋体" w:eastAsia="宋体"/>
                <w:color w:val="auto"/>
                <w:sz w:val="21"/>
                <w:szCs w:val="21"/>
              </w:rPr>
            </w:pPr>
          </w:p>
        </w:tc>
        <w:tc>
          <w:tcPr>
            <w:tcW w:w="1765" w:type="pct"/>
            <w:vAlign w:val="center"/>
          </w:tcPr>
          <w:p w14:paraId="5385A220">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950" w:type="pct"/>
            <w:vAlign w:val="center"/>
          </w:tcPr>
          <w:p w14:paraId="3F9966FB">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14:paraId="467AB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6D6CD2CC">
            <w:pPr>
              <w:spacing w:line="300" w:lineRule="exact"/>
              <w:jc w:val="center"/>
              <w:rPr>
                <w:rFonts w:hint="eastAsia" w:ascii="宋体" w:hAnsi="宋体" w:eastAsia="宋体"/>
                <w:color w:val="auto"/>
                <w:sz w:val="21"/>
                <w:szCs w:val="21"/>
              </w:rPr>
            </w:pPr>
          </w:p>
        </w:tc>
        <w:tc>
          <w:tcPr>
            <w:tcW w:w="1271" w:type="pct"/>
            <w:vMerge w:val="restart"/>
            <w:vAlign w:val="center"/>
          </w:tcPr>
          <w:p w14:paraId="5F7FD2B6">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765" w:type="pct"/>
            <w:vAlign w:val="center"/>
          </w:tcPr>
          <w:p w14:paraId="747B0754">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950" w:type="pct"/>
            <w:vAlign w:val="center"/>
          </w:tcPr>
          <w:p w14:paraId="77F5D05A">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14:paraId="46660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3DE990A6">
            <w:pPr>
              <w:spacing w:line="300" w:lineRule="exact"/>
              <w:jc w:val="center"/>
              <w:rPr>
                <w:rFonts w:hint="eastAsia" w:ascii="宋体" w:hAnsi="宋体" w:eastAsia="宋体"/>
                <w:color w:val="auto"/>
                <w:sz w:val="21"/>
                <w:szCs w:val="21"/>
              </w:rPr>
            </w:pPr>
          </w:p>
        </w:tc>
        <w:tc>
          <w:tcPr>
            <w:tcW w:w="1271" w:type="pct"/>
            <w:vMerge w:val="continue"/>
            <w:vAlign w:val="center"/>
          </w:tcPr>
          <w:p w14:paraId="55EA913A">
            <w:pPr>
              <w:spacing w:line="300" w:lineRule="exact"/>
              <w:jc w:val="center"/>
              <w:rPr>
                <w:rFonts w:hint="eastAsia" w:ascii="宋体" w:hAnsi="宋体" w:eastAsia="宋体"/>
                <w:color w:val="auto"/>
                <w:sz w:val="21"/>
                <w:szCs w:val="21"/>
              </w:rPr>
            </w:pPr>
          </w:p>
        </w:tc>
        <w:tc>
          <w:tcPr>
            <w:tcW w:w="1765" w:type="pct"/>
            <w:vAlign w:val="center"/>
          </w:tcPr>
          <w:p w14:paraId="11CCD958">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950" w:type="pct"/>
            <w:vAlign w:val="center"/>
          </w:tcPr>
          <w:p w14:paraId="22CB7B52">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r>
      <w:tr w14:paraId="72799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1120048F">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271" w:type="pct"/>
            <w:vAlign w:val="center"/>
          </w:tcPr>
          <w:p w14:paraId="412762A6">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1"/>
                <w:szCs w:val="21"/>
              </w:rPr>
              <w:t>产出</w:t>
            </w:r>
            <w:r>
              <w:rPr>
                <w:rFonts w:hint="eastAsia" w:ascii="宋体" w:hAnsi="宋体" w:eastAsia="宋体" w:cs="宋体"/>
                <w:color w:val="000000"/>
                <w:kern w:val="0"/>
                <w:sz w:val="21"/>
                <w:szCs w:val="21"/>
                <w:lang w:val="en-US" w:eastAsia="zh-CN"/>
              </w:rPr>
              <w:t>时效</w:t>
            </w:r>
          </w:p>
        </w:tc>
        <w:tc>
          <w:tcPr>
            <w:tcW w:w="1765" w:type="pct"/>
            <w:vAlign w:val="center"/>
          </w:tcPr>
          <w:p w14:paraId="4B8C35FC">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项目计划完工率</w:t>
            </w:r>
          </w:p>
        </w:tc>
        <w:tc>
          <w:tcPr>
            <w:tcW w:w="950" w:type="pct"/>
            <w:vAlign w:val="center"/>
          </w:tcPr>
          <w:p w14:paraId="5EF5D2F7">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20</w:t>
            </w:r>
          </w:p>
        </w:tc>
      </w:tr>
      <w:tr w14:paraId="564F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1605A785">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271" w:type="pct"/>
            <w:vAlign w:val="center"/>
          </w:tcPr>
          <w:p w14:paraId="1AF971ED">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1"/>
                <w:szCs w:val="21"/>
              </w:rPr>
              <w:t>产出</w:t>
            </w:r>
            <w:r>
              <w:rPr>
                <w:rFonts w:hint="eastAsia" w:ascii="宋体" w:hAnsi="宋体" w:eastAsia="宋体" w:cs="宋体"/>
                <w:color w:val="000000"/>
                <w:kern w:val="0"/>
                <w:sz w:val="21"/>
                <w:szCs w:val="21"/>
                <w:lang w:val="en-US" w:eastAsia="zh-CN"/>
              </w:rPr>
              <w:t>成本</w:t>
            </w:r>
          </w:p>
        </w:tc>
        <w:tc>
          <w:tcPr>
            <w:tcW w:w="1765" w:type="pct"/>
            <w:vAlign w:val="center"/>
          </w:tcPr>
          <w:p w14:paraId="26EDE2AD">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超概算项目比例</w:t>
            </w:r>
          </w:p>
        </w:tc>
        <w:tc>
          <w:tcPr>
            <w:tcW w:w="950" w:type="pct"/>
            <w:vAlign w:val="center"/>
          </w:tcPr>
          <w:p w14:paraId="2F8016B6">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59E1B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14:paraId="4C934F16">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271" w:type="pct"/>
            <w:vAlign w:val="center"/>
          </w:tcPr>
          <w:p w14:paraId="66BD2568">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项目效益</w:t>
            </w:r>
          </w:p>
        </w:tc>
        <w:tc>
          <w:tcPr>
            <w:tcW w:w="1765" w:type="pct"/>
            <w:vAlign w:val="center"/>
          </w:tcPr>
          <w:p w14:paraId="5F99059B">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受益群体满意度</w:t>
            </w:r>
          </w:p>
        </w:tc>
        <w:tc>
          <w:tcPr>
            <w:tcW w:w="950" w:type="pct"/>
            <w:vAlign w:val="center"/>
          </w:tcPr>
          <w:p w14:paraId="57B93F87">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47E8B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14:paraId="42747503">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p>
        </w:tc>
        <w:tc>
          <w:tcPr>
            <w:tcW w:w="1271" w:type="pct"/>
            <w:vAlign w:val="center"/>
          </w:tcPr>
          <w:p w14:paraId="2C5712F3">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项目效益</w:t>
            </w:r>
          </w:p>
        </w:tc>
        <w:tc>
          <w:tcPr>
            <w:tcW w:w="1765" w:type="pct"/>
            <w:vAlign w:val="center"/>
          </w:tcPr>
          <w:p w14:paraId="255A59EB">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950" w:type="pct"/>
            <w:vAlign w:val="center"/>
          </w:tcPr>
          <w:p w14:paraId="71A343FB">
            <w:pPr>
              <w:keepNext w:val="0"/>
              <w:keepLines w:val="0"/>
              <w:widowControl/>
              <w:suppressLineNumbers w:val="0"/>
              <w:jc w:val="center"/>
              <w:textAlignment w:val="center"/>
              <w:rPr>
                <w:rFonts w:hint="default" w:ascii="宋体" w:hAnsi="宋体" w:eastAsia="宋体"/>
                <w:b w:val="0"/>
                <w:bCs w:val="0"/>
                <w:color w:val="auto"/>
                <w:sz w:val="21"/>
                <w:szCs w:val="21"/>
                <w:lang w:val="en-US" w:eastAsia="zh-CN"/>
              </w:rPr>
            </w:pPr>
            <w:r>
              <w:rPr>
                <w:rFonts w:hint="eastAsia" w:ascii="宋体" w:hAnsi="宋体" w:eastAsia="宋体"/>
                <w:b w:val="0"/>
                <w:bCs w:val="0"/>
                <w:color w:val="auto"/>
                <w:sz w:val="21"/>
                <w:szCs w:val="21"/>
                <w:lang w:val="en-US" w:eastAsia="zh-CN"/>
              </w:rPr>
              <w:t>10</w:t>
            </w:r>
          </w:p>
        </w:tc>
      </w:tr>
      <w:tr w14:paraId="0DBB4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049" w:type="pct"/>
            <w:gridSpan w:val="3"/>
            <w:vAlign w:val="center"/>
          </w:tcPr>
          <w:p w14:paraId="0445CFDD">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950" w:type="pct"/>
            <w:vAlign w:val="center"/>
          </w:tcPr>
          <w:p w14:paraId="565B845C">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r>
    </w:tbl>
    <w:p w14:paraId="0698E50B">
      <w:pPr>
        <w:keepNext w:val="0"/>
        <w:keepLines w:val="0"/>
        <w:widowControl w:val="0"/>
        <w:suppressLineNumbers w:val="0"/>
        <w:autoSpaceDE/>
        <w:autoSpaceDN w:val="0"/>
        <w:spacing w:before="0" w:beforeAutospacing="0" w:after="0" w:afterAutospacing="0" w:line="560" w:lineRule="exact"/>
        <w:ind w:left="0" w:right="0" w:firstLine="640" w:firstLineChars="200"/>
        <w:jc w:val="both"/>
        <w:rPr>
          <w:rFonts w:hint="eastAsia" w:ascii="仿宋_GB2312" w:hAnsi="Calibri" w:eastAsia="仿宋_GB2312" w:cs="仿宋_GB2312"/>
          <w:kern w:val="2"/>
          <w:sz w:val="32"/>
          <w:szCs w:val="32"/>
          <w:lang w:val="en-US" w:eastAsia="zh-CN" w:bidi="ar"/>
        </w:rPr>
      </w:pPr>
    </w:p>
    <w:p w14:paraId="629A3814">
      <w:pPr>
        <w:keepNext w:val="0"/>
        <w:keepLines w:val="0"/>
        <w:widowControl w:val="0"/>
        <w:suppressLineNumbers w:val="0"/>
        <w:autoSpaceDE/>
        <w:autoSpaceDN w:val="0"/>
        <w:spacing w:before="0" w:beforeAutospacing="0" w:after="0" w:afterAutospacing="0" w:line="560" w:lineRule="exact"/>
        <w:ind w:left="0" w:right="0" w:firstLine="640" w:firstLineChars="200"/>
        <w:jc w:val="both"/>
        <w:rPr>
          <w:rFonts w:hint="eastAsia" w:ascii="仿宋_GB2312" w:eastAsia="仿宋_GB2312" w:cs="仿宋_GB2312"/>
          <w:b/>
          <w:bCs/>
          <w:kern w:val="2"/>
          <w:sz w:val="32"/>
          <w:szCs w:val="32"/>
        </w:rPr>
      </w:pPr>
      <w:r>
        <w:rPr>
          <w:rFonts w:hint="eastAsia" w:ascii="仿宋_GB2312" w:hAnsi="Calibri" w:eastAsia="仿宋_GB2312" w:cs="仿宋_GB2312"/>
          <w:kern w:val="2"/>
          <w:sz w:val="32"/>
          <w:szCs w:val="32"/>
          <w:lang w:val="en-US" w:eastAsia="zh-CN" w:bidi="ar"/>
        </w:rPr>
        <w:t>从项目决策、过程、产出等指标开展部门评价。</w:t>
      </w:r>
    </w:p>
    <w:p w14:paraId="29D7F3D9">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3.评价方法</w:t>
      </w:r>
      <w:bookmarkStart w:id="0" w:name="_GoBack"/>
      <w:bookmarkEnd w:id="0"/>
    </w:p>
    <w:p w14:paraId="087BE251">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本次部门评价采用比较法，将项目实施情况与绩效目标情况进行比较。</w:t>
      </w:r>
    </w:p>
    <w:p w14:paraId="7AE93855">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4.评价标准</w:t>
      </w:r>
    </w:p>
    <w:p w14:paraId="45D6514A">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本次部门评价以年初的目标、计划、预算、定额等作为评价标准</w:t>
      </w:r>
    </w:p>
    <w:p w14:paraId="2A8505FE">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（三）绩效评价工作过程</w:t>
      </w:r>
    </w:p>
    <w:p w14:paraId="172F85BC">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评价小组对评价资料进行认真梳理，测算分析各项指标，汇总评分并形成评价报告。</w:t>
      </w:r>
    </w:p>
    <w:p w14:paraId="3465BA7A">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1.对《项目支出绩效评价管理办法》（财预〔2020〕10号）进行研读，对部门评价有基本的把握和了解，归纳出进一步评价所需的信息。</w:t>
      </w:r>
    </w:p>
    <w:p w14:paraId="045EA902">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2.集中对各个评价指标逐一进行分析。</w:t>
      </w:r>
    </w:p>
    <w:p w14:paraId="03A0948F">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3.评价小组汇总分析评价过程中发现的问题并对存在问题进行讨论，分别计算各评价指标所得分数，形成评价结果。</w:t>
      </w:r>
    </w:p>
    <w:p w14:paraId="182A4AE7">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4.根据评价结果，撰写评价报告。</w:t>
      </w:r>
    </w:p>
    <w:p w14:paraId="050FDC39">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三、综合评价情况及评价结论</w:t>
      </w:r>
    </w:p>
    <w:p w14:paraId="16A5C335">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项目绩效评价工作小组从项目决策、过程管理、产出等方面分别对该项目进行评价，项目目标设定、决策过程、资金管理、组织实施、项目效果等方面落实情况较好，评价得分</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分，评价等次为优，达到了预期设定的项目绩效目标。</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4"/>
        <w:gridCol w:w="2575"/>
        <w:gridCol w:w="1386"/>
        <w:gridCol w:w="1228"/>
      </w:tblGrid>
      <w:tr w14:paraId="08B14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866" w:type="pct"/>
            <w:vAlign w:val="center"/>
          </w:tcPr>
          <w:p w14:paraId="30D36BF7">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088" w:type="pct"/>
            <w:vAlign w:val="center"/>
          </w:tcPr>
          <w:p w14:paraId="0F41858E">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511" w:type="pct"/>
            <w:vAlign w:val="center"/>
          </w:tcPr>
          <w:p w14:paraId="699A5961">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813" w:type="pct"/>
            <w:vAlign w:val="center"/>
          </w:tcPr>
          <w:p w14:paraId="5E620005">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c>
          <w:tcPr>
            <w:tcW w:w="720" w:type="pct"/>
            <w:vAlign w:val="center"/>
          </w:tcPr>
          <w:p w14:paraId="39E2B432">
            <w:pPr>
              <w:autoSpaceDN w:val="0"/>
              <w:spacing w:line="300" w:lineRule="exact"/>
              <w:jc w:val="center"/>
              <w:textAlignment w:val="center"/>
              <w:rPr>
                <w:rFonts w:hint="eastAsia" w:ascii="宋体" w:hAnsi="宋体" w:eastAsia="宋体"/>
                <w:b/>
                <w:bCs w:val="0"/>
                <w:color w:val="auto"/>
                <w:sz w:val="21"/>
                <w:szCs w:val="21"/>
                <w:lang w:val="en-US" w:eastAsia="zh-CN"/>
              </w:rPr>
            </w:pPr>
            <w:r>
              <w:rPr>
                <w:rFonts w:hint="eastAsia" w:ascii="宋体" w:hAnsi="宋体" w:eastAsia="宋体"/>
                <w:b/>
                <w:bCs w:val="0"/>
                <w:color w:val="auto"/>
                <w:sz w:val="21"/>
                <w:szCs w:val="21"/>
                <w:lang w:val="en-US" w:eastAsia="zh-CN"/>
              </w:rPr>
              <w:t>得分</w:t>
            </w:r>
          </w:p>
        </w:tc>
      </w:tr>
      <w:tr w14:paraId="7F485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2FCC0920">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088" w:type="pct"/>
            <w:vMerge w:val="restart"/>
            <w:vAlign w:val="center"/>
          </w:tcPr>
          <w:p w14:paraId="146E474D">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511" w:type="pct"/>
            <w:vAlign w:val="center"/>
          </w:tcPr>
          <w:p w14:paraId="092F9DAA">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813" w:type="pct"/>
            <w:vAlign w:val="center"/>
          </w:tcPr>
          <w:p w14:paraId="46865F9A">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14:paraId="6FDD65D1">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14:paraId="51799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79FC3EDA">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14:paraId="499AB470">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14:paraId="5273E98C">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813" w:type="pct"/>
            <w:vAlign w:val="center"/>
          </w:tcPr>
          <w:p w14:paraId="771C4352">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5A9F03B1">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55767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4EC4C09E">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14:paraId="58BC9F24">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511" w:type="pct"/>
            <w:vAlign w:val="center"/>
          </w:tcPr>
          <w:p w14:paraId="69BCD26B">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813" w:type="pct"/>
            <w:vAlign w:val="center"/>
          </w:tcPr>
          <w:p w14:paraId="70E05A88">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585449FB">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6D168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02573141">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14:paraId="24BFE2C8">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14:paraId="3138E6BA">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813" w:type="pct"/>
            <w:vAlign w:val="center"/>
          </w:tcPr>
          <w:p w14:paraId="51C7DA5B">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c>
          <w:tcPr>
            <w:tcW w:w="720" w:type="pct"/>
            <w:vAlign w:val="center"/>
          </w:tcPr>
          <w:p w14:paraId="74FCF641">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2</w:t>
            </w:r>
          </w:p>
        </w:tc>
      </w:tr>
      <w:tr w14:paraId="05C24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6EF8E9DE">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14:paraId="2B889D69">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511" w:type="pct"/>
            <w:vAlign w:val="center"/>
          </w:tcPr>
          <w:p w14:paraId="14DBC6ED">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813" w:type="pct"/>
            <w:vAlign w:val="center"/>
          </w:tcPr>
          <w:p w14:paraId="159F7FCB">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14:paraId="06D7D317">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14:paraId="09BAC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31DD3159">
            <w:pPr>
              <w:spacing w:line="300" w:lineRule="exact"/>
              <w:jc w:val="center"/>
              <w:rPr>
                <w:rFonts w:hint="eastAsia" w:ascii="宋体" w:hAnsi="宋体" w:eastAsia="宋体"/>
                <w:color w:val="auto"/>
                <w:sz w:val="21"/>
                <w:szCs w:val="21"/>
              </w:rPr>
            </w:pPr>
          </w:p>
        </w:tc>
        <w:tc>
          <w:tcPr>
            <w:tcW w:w="1088" w:type="pct"/>
            <w:vMerge w:val="continue"/>
            <w:vAlign w:val="center"/>
          </w:tcPr>
          <w:p w14:paraId="530ABCAB">
            <w:pPr>
              <w:spacing w:line="300" w:lineRule="exact"/>
              <w:jc w:val="center"/>
              <w:rPr>
                <w:rFonts w:hint="eastAsia" w:ascii="宋体" w:hAnsi="宋体" w:eastAsia="宋体"/>
                <w:color w:val="auto"/>
                <w:sz w:val="21"/>
                <w:szCs w:val="21"/>
              </w:rPr>
            </w:pPr>
          </w:p>
        </w:tc>
        <w:tc>
          <w:tcPr>
            <w:tcW w:w="1511" w:type="pct"/>
            <w:vAlign w:val="center"/>
          </w:tcPr>
          <w:p w14:paraId="0C2A47D9">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813" w:type="pct"/>
            <w:vAlign w:val="center"/>
          </w:tcPr>
          <w:p w14:paraId="1B4772D5">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14:paraId="03ED244E">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14:paraId="05BEC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56C0BD49">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088" w:type="pct"/>
            <w:vMerge w:val="restart"/>
            <w:vAlign w:val="center"/>
          </w:tcPr>
          <w:p w14:paraId="2CABB2BE">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511" w:type="pct"/>
            <w:vAlign w:val="center"/>
          </w:tcPr>
          <w:p w14:paraId="4B258344">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813" w:type="pct"/>
            <w:vAlign w:val="center"/>
          </w:tcPr>
          <w:p w14:paraId="0E236DFA">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c>
          <w:tcPr>
            <w:tcW w:w="720" w:type="pct"/>
            <w:vAlign w:val="center"/>
          </w:tcPr>
          <w:p w14:paraId="3EE95B4C">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r>
      <w:tr w14:paraId="2E481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59EF0015">
            <w:pPr>
              <w:spacing w:line="300" w:lineRule="exact"/>
              <w:jc w:val="center"/>
              <w:rPr>
                <w:rFonts w:hint="eastAsia" w:ascii="宋体" w:hAnsi="宋体" w:eastAsia="宋体"/>
                <w:color w:val="auto"/>
                <w:sz w:val="21"/>
                <w:szCs w:val="21"/>
              </w:rPr>
            </w:pPr>
          </w:p>
        </w:tc>
        <w:tc>
          <w:tcPr>
            <w:tcW w:w="1088" w:type="pct"/>
            <w:vMerge w:val="continue"/>
            <w:vAlign w:val="center"/>
          </w:tcPr>
          <w:p w14:paraId="74F6ADDF">
            <w:pPr>
              <w:spacing w:line="300" w:lineRule="exact"/>
              <w:jc w:val="center"/>
              <w:rPr>
                <w:rFonts w:hint="eastAsia" w:ascii="宋体" w:hAnsi="宋体" w:eastAsia="宋体"/>
                <w:color w:val="auto"/>
                <w:sz w:val="21"/>
                <w:szCs w:val="21"/>
              </w:rPr>
            </w:pPr>
          </w:p>
        </w:tc>
        <w:tc>
          <w:tcPr>
            <w:tcW w:w="1511" w:type="pct"/>
            <w:vAlign w:val="center"/>
          </w:tcPr>
          <w:p w14:paraId="647D6DE9">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813" w:type="pct"/>
            <w:vAlign w:val="center"/>
          </w:tcPr>
          <w:p w14:paraId="5C92AD44">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c>
          <w:tcPr>
            <w:tcW w:w="720" w:type="pct"/>
            <w:vAlign w:val="center"/>
          </w:tcPr>
          <w:p w14:paraId="12C49960">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14:paraId="7C838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214112F9">
            <w:pPr>
              <w:spacing w:line="300" w:lineRule="exact"/>
              <w:jc w:val="center"/>
              <w:rPr>
                <w:rFonts w:hint="eastAsia" w:ascii="宋体" w:hAnsi="宋体" w:eastAsia="宋体"/>
                <w:color w:val="auto"/>
                <w:sz w:val="21"/>
                <w:szCs w:val="21"/>
              </w:rPr>
            </w:pPr>
          </w:p>
        </w:tc>
        <w:tc>
          <w:tcPr>
            <w:tcW w:w="1088" w:type="pct"/>
            <w:vMerge w:val="continue"/>
            <w:vAlign w:val="center"/>
          </w:tcPr>
          <w:p w14:paraId="1D0E4EF2">
            <w:pPr>
              <w:spacing w:line="300" w:lineRule="exact"/>
              <w:jc w:val="center"/>
              <w:rPr>
                <w:rFonts w:hint="eastAsia" w:ascii="宋体" w:hAnsi="宋体" w:eastAsia="宋体"/>
                <w:color w:val="auto"/>
                <w:sz w:val="21"/>
                <w:szCs w:val="21"/>
              </w:rPr>
            </w:pPr>
          </w:p>
        </w:tc>
        <w:tc>
          <w:tcPr>
            <w:tcW w:w="1511" w:type="pct"/>
            <w:vAlign w:val="center"/>
          </w:tcPr>
          <w:p w14:paraId="40FEE110">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813" w:type="pct"/>
            <w:vAlign w:val="center"/>
          </w:tcPr>
          <w:p w14:paraId="191EBFE4">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14:paraId="3F363AF6">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14:paraId="119EC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7961831A">
            <w:pPr>
              <w:spacing w:line="300" w:lineRule="exact"/>
              <w:jc w:val="center"/>
              <w:rPr>
                <w:rFonts w:hint="eastAsia" w:ascii="宋体" w:hAnsi="宋体" w:eastAsia="宋体"/>
                <w:color w:val="auto"/>
                <w:sz w:val="21"/>
                <w:szCs w:val="21"/>
              </w:rPr>
            </w:pPr>
          </w:p>
        </w:tc>
        <w:tc>
          <w:tcPr>
            <w:tcW w:w="1088" w:type="pct"/>
            <w:vMerge w:val="restart"/>
            <w:vAlign w:val="center"/>
          </w:tcPr>
          <w:p w14:paraId="7343F9CE">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511" w:type="pct"/>
            <w:vAlign w:val="center"/>
          </w:tcPr>
          <w:p w14:paraId="3DE3284C">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813" w:type="pct"/>
            <w:vAlign w:val="center"/>
          </w:tcPr>
          <w:p w14:paraId="5F93158C">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14:paraId="696C2117">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14:paraId="13B4B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016723AA">
            <w:pPr>
              <w:spacing w:line="300" w:lineRule="exact"/>
              <w:jc w:val="center"/>
              <w:rPr>
                <w:rFonts w:hint="eastAsia" w:ascii="宋体" w:hAnsi="宋体" w:eastAsia="宋体"/>
                <w:color w:val="auto"/>
                <w:sz w:val="21"/>
                <w:szCs w:val="21"/>
              </w:rPr>
            </w:pPr>
          </w:p>
        </w:tc>
        <w:tc>
          <w:tcPr>
            <w:tcW w:w="1088" w:type="pct"/>
            <w:vMerge w:val="continue"/>
            <w:vAlign w:val="center"/>
          </w:tcPr>
          <w:p w14:paraId="2F1F691E">
            <w:pPr>
              <w:spacing w:line="300" w:lineRule="exact"/>
              <w:jc w:val="center"/>
              <w:rPr>
                <w:rFonts w:hint="eastAsia" w:ascii="宋体" w:hAnsi="宋体" w:eastAsia="宋体"/>
                <w:color w:val="auto"/>
                <w:sz w:val="21"/>
                <w:szCs w:val="21"/>
              </w:rPr>
            </w:pPr>
          </w:p>
        </w:tc>
        <w:tc>
          <w:tcPr>
            <w:tcW w:w="1511" w:type="pct"/>
            <w:vAlign w:val="center"/>
          </w:tcPr>
          <w:p w14:paraId="3877021E">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813" w:type="pct"/>
            <w:vAlign w:val="center"/>
          </w:tcPr>
          <w:p w14:paraId="473733A8">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c>
          <w:tcPr>
            <w:tcW w:w="720" w:type="pct"/>
            <w:vAlign w:val="center"/>
          </w:tcPr>
          <w:p w14:paraId="455BF17D">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6</w:t>
            </w:r>
          </w:p>
        </w:tc>
      </w:tr>
      <w:tr w14:paraId="5C1C9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31959D96">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088" w:type="pct"/>
            <w:vAlign w:val="center"/>
          </w:tcPr>
          <w:p w14:paraId="37E02D91">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1"/>
                <w:szCs w:val="21"/>
              </w:rPr>
              <w:t>产出</w:t>
            </w:r>
            <w:r>
              <w:rPr>
                <w:rFonts w:hint="eastAsia" w:ascii="宋体" w:hAnsi="宋体" w:eastAsia="宋体" w:cs="宋体"/>
                <w:color w:val="000000"/>
                <w:kern w:val="0"/>
                <w:sz w:val="21"/>
                <w:szCs w:val="21"/>
                <w:lang w:val="en-US" w:eastAsia="zh-CN"/>
              </w:rPr>
              <w:t>时效</w:t>
            </w:r>
          </w:p>
        </w:tc>
        <w:tc>
          <w:tcPr>
            <w:tcW w:w="1511" w:type="pct"/>
            <w:vAlign w:val="center"/>
          </w:tcPr>
          <w:p w14:paraId="2B1DDC42">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项目计划完工率</w:t>
            </w:r>
          </w:p>
        </w:tc>
        <w:tc>
          <w:tcPr>
            <w:tcW w:w="813" w:type="pct"/>
            <w:vAlign w:val="center"/>
          </w:tcPr>
          <w:p w14:paraId="0302E015">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20</w:t>
            </w:r>
          </w:p>
        </w:tc>
        <w:tc>
          <w:tcPr>
            <w:tcW w:w="720" w:type="pct"/>
            <w:vAlign w:val="center"/>
          </w:tcPr>
          <w:p w14:paraId="1FFA0434">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20</w:t>
            </w:r>
          </w:p>
        </w:tc>
      </w:tr>
      <w:tr w14:paraId="72437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73F093C2">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088" w:type="pct"/>
            <w:vAlign w:val="center"/>
          </w:tcPr>
          <w:p w14:paraId="096F890B">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1"/>
                <w:szCs w:val="21"/>
              </w:rPr>
              <w:t>产出</w:t>
            </w:r>
            <w:r>
              <w:rPr>
                <w:rFonts w:hint="eastAsia" w:ascii="宋体" w:hAnsi="宋体" w:eastAsia="宋体" w:cs="宋体"/>
                <w:color w:val="000000"/>
                <w:kern w:val="0"/>
                <w:sz w:val="21"/>
                <w:szCs w:val="21"/>
                <w:lang w:val="en-US" w:eastAsia="zh-CN"/>
              </w:rPr>
              <w:t>成本</w:t>
            </w:r>
          </w:p>
        </w:tc>
        <w:tc>
          <w:tcPr>
            <w:tcW w:w="1511" w:type="pct"/>
            <w:vAlign w:val="center"/>
          </w:tcPr>
          <w:p w14:paraId="19C64BB6">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超概算项目比例</w:t>
            </w:r>
          </w:p>
        </w:tc>
        <w:tc>
          <w:tcPr>
            <w:tcW w:w="813" w:type="pct"/>
            <w:vAlign w:val="center"/>
          </w:tcPr>
          <w:p w14:paraId="01466FD3">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720" w:type="pct"/>
            <w:vAlign w:val="center"/>
          </w:tcPr>
          <w:p w14:paraId="5438EC0F">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4011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14:paraId="1F26D5BE">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088" w:type="pct"/>
            <w:vAlign w:val="center"/>
          </w:tcPr>
          <w:p w14:paraId="578132C9">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项目效益</w:t>
            </w:r>
          </w:p>
        </w:tc>
        <w:tc>
          <w:tcPr>
            <w:tcW w:w="1511" w:type="pct"/>
            <w:vAlign w:val="center"/>
          </w:tcPr>
          <w:p w14:paraId="794CE3BB">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受益群体满意度</w:t>
            </w:r>
          </w:p>
        </w:tc>
        <w:tc>
          <w:tcPr>
            <w:tcW w:w="813" w:type="pct"/>
            <w:vAlign w:val="center"/>
          </w:tcPr>
          <w:p w14:paraId="34BD60E1">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720" w:type="pct"/>
            <w:vAlign w:val="center"/>
          </w:tcPr>
          <w:p w14:paraId="1373E84B">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14:paraId="74A9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14:paraId="755E9226">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p>
        </w:tc>
        <w:tc>
          <w:tcPr>
            <w:tcW w:w="1088" w:type="pct"/>
            <w:vAlign w:val="center"/>
          </w:tcPr>
          <w:p w14:paraId="6F69047E">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项目效益</w:t>
            </w:r>
          </w:p>
        </w:tc>
        <w:tc>
          <w:tcPr>
            <w:tcW w:w="1511" w:type="pct"/>
            <w:vAlign w:val="center"/>
          </w:tcPr>
          <w:p w14:paraId="5AD16306">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813" w:type="pct"/>
            <w:vAlign w:val="center"/>
          </w:tcPr>
          <w:p w14:paraId="357E3302">
            <w:pPr>
              <w:keepNext w:val="0"/>
              <w:keepLines w:val="0"/>
              <w:widowControl/>
              <w:suppressLineNumbers w:val="0"/>
              <w:jc w:val="center"/>
              <w:textAlignment w:val="center"/>
              <w:rPr>
                <w:rFonts w:hint="default" w:ascii="宋体" w:hAnsi="宋体" w:eastAsia="宋体"/>
                <w:b w:val="0"/>
                <w:bCs w:val="0"/>
                <w:color w:val="auto"/>
                <w:sz w:val="21"/>
                <w:szCs w:val="21"/>
                <w:lang w:val="en-US" w:eastAsia="zh-CN"/>
              </w:rPr>
            </w:pPr>
            <w:r>
              <w:rPr>
                <w:rFonts w:hint="eastAsia" w:ascii="宋体" w:hAnsi="宋体" w:eastAsia="宋体"/>
                <w:b w:val="0"/>
                <w:bCs w:val="0"/>
                <w:color w:val="auto"/>
                <w:sz w:val="21"/>
                <w:szCs w:val="21"/>
                <w:lang w:val="en-US" w:eastAsia="zh-CN"/>
              </w:rPr>
              <w:t>10</w:t>
            </w:r>
          </w:p>
        </w:tc>
        <w:tc>
          <w:tcPr>
            <w:tcW w:w="720" w:type="pct"/>
            <w:vAlign w:val="center"/>
          </w:tcPr>
          <w:p w14:paraId="3C21606A">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b w:val="0"/>
                <w:bCs w:val="0"/>
                <w:color w:val="auto"/>
                <w:sz w:val="21"/>
                <w:szCs w:val="21"/>
                <w:lang w:val="en-US" w:eastAsia="zh-CN"/>
              </w:rPr>
              <w:t>10</w:t>
            </w:r>
          </w:p>
        </w:tc>
      </w:tr>
      <w:tr w14:paraId="0E53C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14:paraId="69F9F011">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813" w:type="pct"/>
            <w:vAlign w:val="center"/>
          </w:tcPr>
          <w:p w14:paraId="58B86EBE">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c>
          <w:tcPr>
            <w:tcW w:w="720" w:type="pct"/>
            <w:vAlign w:val="center"/>
          </w:tcPr>
          <w:p w14:paraId="2C6992DD">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r>
      <w:tr w14:paraId="59804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14:paraId="4F7FD510">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rPr>
              <w:t>评价等次</w:t>
            </w:r>
          </w:p>
        </w:tc>
        <w:tc>
          <w:tcPr>
            <w:tcW w:w="813" w:type="pct"/>
            <w:vAlign w:val="center"/>
          </w:tcPr>
          <w:p w14:paraId="1246BF03">
            <w:pPr>
              <w:autoSpaceDN w:val="0"/>
              <w:spacing w:line="300" w:lineRule="exact"/>
              <w:jc w:val="center"/>
              <w:textAlignment w:val="center"/>
              <w:rPr>
                <w:rFonts w:hint="eastAsia" w:ascii="宋体" w:hAnsi="宋体" w:eastAsia="宋体"/>
                <w:b/>
                <w:bCs/>
                <w:color w:val="auto"/>
                <w:sz w:val="21"/>
                <w:szCs w:val="21"/>
                <w:lang w:val="en-US" w:eastAsia="zh-CN"/>
              </w:rPr>
            </w:pPr>
          </w:p>
        </w:tc>
        <w:tc>
          <w:tcPr>
            <w:tcW w:w="720" w:type="pct"/>
            <w:vAlign w:val="center"/>
          </w:tcPr>
          <w:p w14:paraId="1AF9E30B">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优</w:t>
            </w:r>
          </w:p>
        </w:tc>
      </w:tr>
    </w:tbl>
    <w:p w14:paraId="09AFD813">
      <w:pPr>
        <w:keepNext w:val="0"/>
        <w:keepLines w:val="0"/>
        <w:pageBreakBefore w:val="0"/>
        <w:kinsoku/>
        <w:wordWrap/>
        <w:overflowPunct/>
        <w:topLinePunct w:val="0"/>
        <w:autoSpaceDE/>
        <w:bidi w:val="0"/>
        <w:adjustRightInd/>
        <w:snapToGrid/>
        <w:spacing w:line="560" w:lineRule="exact"/>
        <w:ind w:firstLine="640" w:firstLineChars="200"/>
        <w:rPr>
          <w:rFonts w:hint="eastAsia" w:ascii="黑体" w:hAnsi="黑体" w:eastAsia="黑体" w:cs="黑体"/>
          <w:sz w:val="32"/>
          <w:szCs w:val="32"/>
          <w:highlight w:val="none"/>
        </w:rPr>
      </w:pPr>
    </w:p>
    <w:p w14:paraId="6CF9DD14">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四、绩效评价指标分析</w:t>
      </w:r>
    </w:p>
    <w:p w14:paraId="378E2AC3">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（一）项目决策情况</w:t>
      </w:r>
    </w:p>
    <w:p w14:paraId="1733BED1">
      <w:pPr>
        <w:keepNext w:val="0"/>
        <w:keepLines w:val="0"/>
        <w:pageBreakBefore w:val="0"/>
        <w:kinsoku/>
        <w:wordWrap/>
        <w:overflowPunct/>
        <w:topLinePunct w:val="0"/>
        <w:autoSpaceDE/>
        <w:bidi w:val="0"/>
        <w:adjustRightInd/>
        <w:snapToGrid/>
        <w:spacing w:line="54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kern w:val="0"/>
          <w:sz w:val="32"/>
          <w:szCs w:val="32"/>
          <w:highlight w:val="none"/>
          <w:lang w:bidi="ar"/>
        </w:rPr>
        <w:t>本项目是江东新区临空经济区服务国际会展、完善骨架路网的关键性配套工程</w:t>
      </w:r>
      <w:r>
        <w:rPr>
          <w:rFonts w:hint="eastAsia" w:ascii="仿宋_GB2312" w:hAnsi="仿宋_GB2312" w:eastAsia="仿宋_GB2312" w:cs="仿宋_GB2312"/>
          <w:kern w:val="0"/>
          <w:sz w:val="32"/>
          <w:szCs w:val="32"/>
          <w:highlight w:val="none"/>
          <w:lang w:eastAsia="zh-CN" w:bidi="ar"/>
        </w:rPr>
        <w:t>，</w:t>
      </w:r>
      <w:r>
        <w:rPr>
          <w:rFonts w:hint="eastAsia" w:ascii="仿宋_GB2312" w:hAnsi="仿宋_GB2312" w:eastAsia="仿宋_GB2312" w:cs="仿宋_GB2312"/>
          <w:kern w:val="0"/>
          <w:sz w:val="32"/>
          <w:szCs w:val="32"/>
          <w:highlight w:val="none"/>
          <w:lang w:bidi="ar"/>
        </w:rPr>
        <w:t>项目建成后，高效衔接美兰机场、国际会展中心、临空产业区与城市主干路网，打通片区交通瓶颈、完善会展功能区内外快速集散通道，显著提升国际展会、大型活动期间人流车流疏导效率。项目有力支撑海南自贸港国际会展、高端商务、临空服务等产业发展，加速港产城融合，为江东新区打造国际会展门户、提升自贸港开放合作能级提供坚实交通与配套保障。</w:t>
      </w:r>
      <w:r>
        <w:rPr>
          <w:rFonts w:hint="eastAsia" w:ascii="仿宋_GB2312" w:hAnsi="仿宋_GB2312" w:eastAsia="仿宋_GB2312" w:cs="仿宋_GB2312"/>
          <w:sz w:val="32"/>
          <w:szCs w:val="32"/>
          <w:highlight w:val="none"/>
        </w:rPr>
        <w:t>该项目列入海口市政府投资项目计划。项目设定了绩效目标，绩效目标与实际工作内容具有相关性。项目预算编制科学合理，预算资金分配依据充分。</w:t>
      </w:r>
    </w:p>
    <w:p w14:paraId="7AD3E397">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（二）项目过程情况</w:t>
      </w:r>
    </w:p>
    <w:p w14:paraId="1B96A99D">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2020年我局制定并印发了《政府投资项目管理办法（试行）》，建立了有效的项目管理制度，保证了项目安全有效运行，确保了项目顺利实施，取得明显成效。项目资金支付严格履行审批程序，使用规范，会计核算结果真实、准确。此次绩效评价过程中未发现挤占或挪用项目资金的情况。</w:t>
      </w:r>
    </w:p>
    <w:p w14:paraId="269ED666">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Times New Roman" w:eastAsia="仿宋_GB2312" w:cs="仿宋_GB2312"/>
          <w:sz w:val="32"/>
          <w:szCs w:val="32"/>
          <w:highlight w:val="none"/>
          <w:lang w:val="en-US" w:eastAsia="zh-CN" w:bidi="ar"/>
        </w:rPr>
        <w:t>2025年共到位资金</w:t>
      </w:r>
      <w:r>
        <w:rPr>
          <w:rFonts w:hint="default" w:ascii="仿宋_GB2312" w:hAnsi="Times New Roman" w:eastAsia="仿宋_GB2312" w:cs="仿宋_GB2312"/>
          <w:sz w:val="32"/>
          <w:szCs w:val="32"/>
          <w:highlight w:val="none"/>
          <w:lang w:val="en-US" w:eastAsia="zh-CN" w:bidi="ar"/>
        </w:rPr>
        <w:t>208</w:t>
      </w:r>
      <w:r>
        <w:rPr>
          <w:rFonts w:hint="eastAsia" w:ascii="仿宋_GB2312" w:hAnsi="Times New Roman" w:eastAsia="仿宋_GB2312" w:cs="仿宋_GB2312"/>
          <w:sz w:val="32"/>
          <w:szCs w:val="32"/>
          <w:highlight w:val="none"/>
          <w:lang w:val="en-US" w:eastAsia="zh-CN" w:bidi="ar"/>
        </w:rPr>
        <w:t>.</w:t>
      </w:r>
      <w:r>
        <w:rPr>
          <w:rFonts w:hint="default" w:ascii="仿宋_GB2312" w:hAnsi="Times New Roman" w:eastAsia="仿宋_GB2312" w:cs="仿宋_GB2312"/>
          <w:sz w:val="32"/>
          <w:szCs w:val="32"/>
          <w:highlight w:val="none"/>
          <w:lang w:val="en-US" w:eastAsia="zh-CN" w:bidi="ar"/>
        </w:rPr>
        <w:t>69</w:t>
      </w:r>
      <w:r>
        <w:rPr>
          <w:rFonts w:hint="eastAsia" w:ascii="仿宋_GB2312" w:hAnsi="Times New Roman" w:eastAsia="仿宋_GB2312" w:cs="仿宋_GB2312"/>
          <w:sz w:val="32"/>
          <w:szCs w:val="32"/>
          <w:highlight w:val="none"/>
          <w:lang w:val="en-US" w:eastAsia="zh-CN" w:bidi="ar"/>
        </w:rPr>
        <w:t>万元，截至2025年12月31日支出进度100%。</w:t>
      </w:r>
    </w:p>
    <w:p w14:paraId="48402AB8">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（三）项目产出情况</w:t>
      </w:r>
    </w:p>
    <w:p w14:paraId="145EF31E">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该项目资金到位及时，项目顺利实施，</w:t>
      </w:r>
      <w:r>
        <w:rPr>
          <w:rFonts w:hint="eastAsia" w:ascii="仿宋_GB2312" w:hAnsi="仿宋_GB2312" w:eastAsia="仿宋_GB2312" w:cs="仿宋_GB2312"/>
          <w:sz w:val="32"/>
          <w:szCs w:val="32"/>
          <w:highlight w:val="none"/>
          <w:lang w:val="en-US" w:eastAsia="zh-CN"/>
        </w:rPr>
        <w:t>2025年年底</w:t>
      </w:r>
      <w:r>
        <w:rPr>
          <w:rFonts w:hint="eastAsia" w:ascii="仿宋_GB2312" w:hAnsi="仿宋_GB2312" w:eastAsia="仿宋_GB2312" w:cs="仿宋_GB2312"/>
          <w:sz w:val="32"/>
          <w:szCs w:val="32"/>
          <w:highlight w:val="none"/>
        </w:rPr>
        <w:t>已完成项目总体</w:t>
      </w:r>
      <w:r>
        <w:rPr>
          <w:rFonts w:hint="eastAsia" w:ascii="仿宋_GB2312" w:hAnsi="仿宋_GB2312" w:eastAsia="仿宋_GB2312" w:cs="仿宋_GB2312"/>
          <w:sz w:val="32"/>
          <w:szCs w:val="32"/>
          <w:highlight w:val="none"/>
          <w:lang w:val="en-US" w:eastAsia="zh-CN"/>
        </w:rPr>
        <w:t>29.60</w:t>
      </w:r>
      <w:r>
        <w:rPr>
          <w:rFonts w:hint="eastAsia" w:ascii="仿宋_GB2312" w:hAnsi="仿宋_GB2312" w:eastAsia="仿宋_GB2312" w:cs="仿宋_GB2312"/>
          <w:sz w:val="32"/>
          <w:szCs w:val="32"/>
          <w:highlight w:val="none"/>
        </w:rPr>
        <w:t>%的形象进度。项目完成程度较好，实现了预定预算目标。</w:t>
      </w:r>
    </w:p>
    <w:p w14:paraId="648FCD68">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（四）项目效益情况</w:t>
      </w:r>
    </w:p>
    <w:p w14:paraId="53C8FEAB">
      <w:pPr>
        <w:keepNext w:val="0"/>
        <w:keepLines w:val="0"/>
        <w:pageBreakBefore w:val="0"/>
        <w:widowControl/>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Style w:val="8"/>
          <w:rFonts w:hint="eastAsia" w:ascii="仿宋_GB2312" w:hAnsi="仿宋_GB2312" w:eastAsia="仿宋_GB2312" w:cs="仿宋_GB2312"/>
          <w:bCs w:val="0"/>
          <w:sz w:val="32"/>
          <w:szCs w:val="32"/>
          <w:highlight w:val="none"/>
          <w:lang w:val="en-US" w:eastAsia="zh-CN"/>
        </w:rPr>
        <w:t>临空经济区作为海口市江东新区重要的精品展示区，海口自贸港经济区引擎区域，完善临空经济区路网布局，将助力江东新区发展，提升海口城市功能，促进产业园区发展。临空经济区基础设施配套建设项目六期作为江东新区临空产业园区组团的重要联系通道，对优化和引导城市高速发展，提升江东区域城市功能，促进区域协调发展，增强海口城市综合竞争力具有重大战略意义。项目现阶段正在进行排水工程以及管廊工程施工</w:t>
      </w:r>
      <w:r>
        <w:rPr>
          <w:rFonts w:hint="eastAsia" w:ascii="仿宋_GB2312" w:hAnsi="仿宋_GB2312" w:eastAsia="仿宋_GB2312" w:cs="仿宋_GB2312"/>
          <w:sz w:val="32"/>
          <w:szCs w:val="32"/>
          <w:highlight w:val="none"/>
        </w:rPr>
        <w:t>。</w:t>
      </w:r>
    </w:p>
    <w:p w14:paraId="248257DC">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五、主要经验及做法、存在的问题及原因分析</w:t>
      </w:r>
    </w:p>
    <w:p w14:paraId="257ED080">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14:paraId="28EC20CB">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六、有关建议</w:t>
      </w:r>
    </w:p>
    <w:p w14:paraId="015246F7">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14:paraId="5C6E867E">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七、其他需要说明的问题</w:t>
      </w:r>
    </w:p>
    <w:p w14:paraId="117FDB7A">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CA48996-70CF-446C-9B76-A3C2DAF0885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35A4A6C-4879-41E5-A816-FF73D0FF3519}"/>
  </w:font>
  <w:font w:name="Calibri Light">
    <w:panose1 w:val="020F03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3" w:fontKey="{23ACE22A-CCB4-437A-9851-64E8A500FDFF}"/>
  </w:font>
  <w:font w:name="楷体_GB2312">
    <w:altName w:val="楷体"/>
    <w:panose1 w:val="02010609030101010101"/>
    <w:charset w:val="86"/>
    <w:family w:val="auto"/>
    <w:pitch w:val="default"/>
    <w:sig w:usb0="00000000" w:usb1="00000000" w:usb2="00000000" w:usb3="00000000" w:csb0="00040000" w:csb1="00000000"/>
    <w:embedRegular r:id="rId4" w:fontKey="{80B4BF9B-E4CA-49EB-A885-FAFD5520BE4D}"/>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embedRegular r:id="rId5" w:fontKey="{9E3ED7CD-0AC1-4947-8A36-F550855FD740}"/>
  </w:font>
  <w:font w:name="仿宋">
    <w:panose1 w:val="02010609060101010101"/>
    <w:charset w:val="86"/>
    <w:family w:val="auto"/>
    <w:pitch w:val="default"/>
    <w:sig w:usb0="800002BF" w:usb1="38CF7CFA" w:usb2="00000016" w:usb3="00000000" w:csb0="00040001" w:csb1="00000000"/>
    <w:embedRegular r:id="rId6" w:fontKey="{34BB3B2F-3CF4-42D7-9A5C-4B0314E010EF}"/>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D29CB">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721A45">
                          <w:pPr>
                            <w:pStyle w:val="4"/>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4F721A45">
                    <w:pPr>
                      <w:pStyle w:val="4"/>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iYzkyMzRiM2UzM2VhZTBkNzAzYmRlODMyNzQ0ZTMifQ=="/>
  </w:docVars>
  <w:rsids>
    <w:rsidRoot w:val="435E1F18"/>
    <w:rsid w:val="003B3E31"/>
    <w:rsid w:val="006D65BE"/>
    <w:rsid w:val="00BE4EB8"/>
    <w:rsid w:val="00D4065E"/>
    <w:rsid w:val="00D57EB4"/>
    <w:rsid w:val="02233DF4"/>
    <w:rsid w:val="023A5912"/>
    <w:rsid w:val="02CB6390"/>
    <w:rsid w:val="040B460D"/>
    <w:rsid w:val="04621786"/>
    <w:rsid w:val="05787E8E"/>
    <w:rsid w:val="0626600A"/>
    <w:rsid w:val="06F95DEE"/>
    <w:rsid w:val="08017F69"/>
    <w:rsid w:val="08056ECA"/>
    <w:rsid w:val="08093106"/>
    <w:rsid w:val="08AF5C9C"/>
    <w:rsid w:val="0A092149"/>
    <w:rsid w:val="0A787E3B"/>
    <w:rsid w:val="0AC273C6"/>
    <w:rsid w:val="0AC94BD1"/>
    <w:rsid w:val="0BD17C84"/>
    <w:rsid w:val="0BDE5F87"/>
    <w:rsid w:val="0C834C70"/>
    <w:rsid w:val="0CEE4042"/>
    <w:rsid w:val="0DBB40F2"/>
    <w:rsid w:val="0DE47EA0"/>
    <w:rsid w:val="0E9A79D6"/>
    <w:rsid w:val="0F2A714A"/>
    <w:rsid w:val="103B103E"/>
    <w:rsid w:val="111C1707"/>
    <w:rsid w:val="11454947"/>
    <w:rsid w:val="11FB7553"/>
    <w:rsid w:val="126332E8"/>
    <w:rsid w:val="12974ADF"/>
    <w:rsid w:val="12AB34F1"/>
    <w:rsid w:val="135734FF"/>
    <w:rsid w:val="13984A6B"/>
    <w:rsid w:val="14025795"/>
    <w:rsid w:val="14B51D19"/>
    <w:rsid w:val="14FA1115"/>
    <w:rsid w:val="154455E1"/>
    <w:rsid w:val="15481788"/>
    <w:rsid w:val="1652225F"/>
    <w:rsid w:val="16630DA5"/>
    <w:rsid w:val="1682257B"/>
    <w:rsid w:val="180C39B2"/>
    <w:rsid w:val="18B006D7"/>
    <w:rsid w:val="190A44B1"/>
    <w:rsid w:val="19263C3A"/>
    <w:rsid w:val="19316574"/>
    <w:rsid w:val="19795372"/>
    <w:rsid w:val="19AA72EE"/>
    <w:rsid w:val="1AC1553C"/>
    <w:rsid w:val="1B007691"/>
    <w:rsid w:val="1B1C6F45"/>
    <w:rsid w:val="1B4E52A4"/>
    <w:rsid w:val="1CB1400C"/>
    <w:rsid w:val="1DBB2B25"/>
    <w:rsid w:val="1E122B23"/>
    <w:rsid w:val="1E312225"/>
    <w:rsid w:val="1E5510E3"/>
    <w:rsid w:val="1F25228A"/>
    <w:rsid w:val="1F5065DF"/>
    <w:rsid w:val="20281024"/>
    <w:rsid w:val="20B5758E"/>
    <w:rsid w:val="211B6CE8"/>
    <w:rsid w:val="23335B9D"/>
    <w:rsid w:val="23EF1B0E"/>
    <w:rsid w:val="245972A2"/>
    <w:rsid w:val="247A1B51"/>
    <w:rsid w:val="27E81586"/>
    <w:rsid w:val="28B735AC"/>
    <w:rsid w:val="292B190C"/>
    <w:rsid w:val="29B57C78"/>
    <w:rsid w:val="2AB57C33"/>
    <w:rsid w:val="2AE457DA"/>
    <w:rsid w:val="2B336677"/>
    <w:rsid w:val="2C192B4A"/>
    <w:rsid w:val="2C8221BC"/>
    <w:rsid w:val="2D7160E8"/>
    <w:rsid w:val="2D9F1EA3"/>
    <w:rsid w:val="2DA417DD"/>
    <w:rsid w:val="2E9826F7"/>
    <w:rsid w:val="2F233CB4"/>
    <w:rsid w:val="2FC50F4E"/>
    <w:rsid w:val="30483FA0"/>
    <w:rsid w:val="30BB4EA6"/>
    <w:rsid w:val="31437427"/>
    <w:rsid w:val="326C58E4"/>
    <w:rsid w:val="340F7934"/>
    <w:rsid w:val="34C8661B"/>
    <w:rsid w:val="35A62E70"/>
    <w:rsid w:val="35F728BC"/>
    <w:rsid w:val="3714005C"/>
    <w:rsid w:val="37372992"/>
    <w:rsid w:val="37C51992"/>
    <w:rsid w:val="38042CB3"/>
    <w:rsid w:val="38B37090"/>
    <w:rsid w:val="390C1A27"/>
    <w:rsid w:val="3A9B5274"/>
    <w:rsid w:val="3ABA6910"/>
    <w:rsid w:val="3B0A2EB0"/>
    <w:rsid w:val="3B500164"/>
    <w:rsid w:val="3B59178B"/>
    <w:rsid w:val="3C444B0B"/>
    <w:rsid w:val="3C8E7006"/>
    <w:rsid w:val="3E4B066F"/>
    <w:rsid w:val="3EF90CD4"/>
    <w:rsid w:val="3FBB4BCB"/>
    <w:rsid w:val="40121F2D"/>
    <w:rsid w:val="405D14CB"/>
    <w:rsid w:val="40997D55"/>
    <w:rsid w:val="41253788"/>
    <w:rsid w:val="418D0587"/>
    <w:rsid w:val="41B37671"/>
    <w:rsid w:val="42162288"/>
    <w:rsid w:val="435E1F18"/>
    <w:rsid w:val="43B803F8"/>
    <w:rsid w:val="44273DE2"/>
    <w:rsid w:val="449F4DAD"/>
    <w:rsid w:val="44B278BB"/>
    <w:rsid w:val="44B939E4"/>
    <w:rsid w:val="461E0D18"/>
    <w:rsid w:val="464F2DD5"/>
    <w:rsid w:val="467C5C77"/>
    <w:rsid w:val="47C55320"/>
    <w:rsid w:val="495F196E"/>
    <w:rsid w:val="49B72F9D"/>
    <w:rsid w:val="49C0331C"/>
    <w:rsid w:val="4AA6125F"/>
    <w:rsid w:val="4AD903D6"/>
    <w:rsid w:val="4B0372DA"/>
    <w:rsid w:val="4B5A13DB"/>
    <w:rsid w:val="4B820499"/>
    <w:rsid w:val="4BDF34F5"/>
    <w:rsid w:val="4C1448F5"/>
    <w:rsid w:val="4C625BDA"/>
    <w:rsid w:val="4CD73418"/>
    <w:rsid w:val="4D184B42"/>
    <w:rsid w:val="4D2F07A0"/>
    <w:rsid w:val="4D650FE4"/>
    <w:rsid w:val="4DF033CB"/>
    <w:rsid w:val="4DFF0279"/>
    <w:rsid w:val="4E414DDC"/>
    <w:rsid w:val="4E583744"/>
    <w:rsid w:val="4EDA7321"/>
    <w:rsid w:val="4FB54242"/>
    <w:rsid w:val="521E4B28"/>
    <w:rsid w:val="52C426C7"/>
    <w:rsid w:val="54D85B6D"/>
    <w:rsid w:val="54E47B8F"/>
    <w:rsid w:val="54FE4F3A"/>
    <w:rsid w:val="55A57892"/>
    <w:rsid w:val="5721026F"/>
    <w:rsid w:val="578A390E"/>
    <w:rsid w:val="57D636C9"/>
    <w:rsid w:val="59D74C62"/>
    <w:rsid w:val="59E1651D"/>
    <w:rsid w:val="5A3B0856"/>
    <w:rsid w:val="5A4B6F13"/>
    <w:rsid w:val="5A6A79F7"/>
    <w:rsid w:val="5BF510A0"/>
    <w:rsid w:val="5CEB65DC"/>
    <w:rsid w:val="5CFF513F"/>
    <w:rsid w:val="5E037362"/>
    <w:rsid w:val="5F367622"/>
    <w:rsid w:val="5F3F3404"/>
    <w:rsid w:val="5F905550"/>
    <w:rsid w:val="60716BAF"/>
    <w:rsid w:val="61394EFD"/>
    <w:rsid w:val="617F6B7B"/>
    <w:rsid w:val="61AB5485"/>
    <w:rsid w:val="62806640"/>
    <w:rsid w:val="63636628"/>
    <w:rsid w:val="637B0797"/>
    <w:rsid w:val="65411CA7"/>
    <w:rsid w:val="65694914"/>
    <w:rsid w:val="668F1B3D"/>
    <w:rsid w:val="67B21E4C"/>
    <w:rsid w:val="68024B96"/>
    <w:rsid w:val="68903265"/>
    <w:rsid w:val="6A893A8D"/>
    <w:rsid w:val="6B657B2B"/>
    <w:rsid w:val="6C02565A"/>
    <w:rsid w:val="6C8B5B44"/>
    <w:rsid w:val="6D7F1568"/>
    <w:rsid w:val="6E6E68A0"/>
    <w:rsid w:val="6EB377AA"/>
    <w:rsid w:val="6FB6700B"/>
    <w:rsid w:val="701D3C49"/>
    <w:rsid w:val="70442F3F"/>
    <w:rsid w:val="70AA62B3"/>
    <w:rsid w:val="710022AC"/>
    <w:rsid w:val="71C10872"/>
    <w:rsid w:val="72325A1C"/>
    <w:rsid w:val="725325B9"/>
    <w:rsid w:val="725E09BE"/>
    <w:rsid w:val="727437E0"/>
    <w:rsid w:val="74C3652D"/>
    <w:rsid w:val="74EF5DDC"/>
    <w:rsid w:val="757F5777"/>
    <w:rsid w:val="764C182F"/>
    <w:rsid w:val="7654409C"/>
    <w:rsid w:val="7704672F"/>
    <w:rsid w:val="77175582"/>
    <w:rsid w:val="791F742A"/>
    <w:rsid w:val="7A2B12E2"/>
    <w:rsid w:val="7B2F66D1"/>
    <w:rsid w:val="7B76655D"/>
    <w:rsid w:val="7BBF5BC9"/>
    <w:rsid w:val="7C5A505F"/>
    <w:rsid w:val="7CE205E6"/>
    <w:rsid w:val="7D1D1C9F"/>
    <w:rsid w:val="7EDF397E"/>
    <w:rsid w:val="7FAF3EB8"/>
    <w:rsid w:val="7FBC6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964"/>
    </w:p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Title"/>
    <w:basedOn w:val="1"/>
    <w:next w:val="1"/>
    <w:qFormat/>
    <w:uiPriority w:val="0"/>
    <w:pPr>
      <w:spacing w:before="240" w:after="60"/>
      <w:jc w:val="center"/>
    </w:pPr>
    <w:rPr>
      <w:rFonts w:asciiTheme="majorHAnsi" w:hAnsiTheme="majorHAnsi" w:eastAsiaTheme="majorEastAsia" w:cstheme="majorBidi"/>
      <w:b/>
      <w:bCs/>
      <w:szCs w:val="32"/>
    </w:rPr>
  </w:style>
  <w:style w:type="character" w:styleId="9">
    <w:name w:val="annotation reference"/>
    <w:basedOn w:val="8"/>
    <w:qFormat/>
    <w:uiPriority w:val="0"/>
    <w:rPr>
      <w:sz w:val="21"/>
      <w:szCs w:val="21"/>
    </w:rPr>
  </w:style>
  <w:style w:type="character" w:customStyle="1" w:styleId="10">
    <w:name w:val="页眉 字符"/>
    <w:basedOn w:val="8"/>
    <w:link w:val="5"/>
    <w:qFormat/>
    <w:uiPriority w:val="0"/>
    <w:rPr>
      <w:rFonts w:asciiTheme="minorHAnsi" w:hAnsiTheme="minorHAnsi" w:eastAsiaTheme="minorEastAsia" w:cstheme="minorBidi"/>
      <w:kern w:val="2"/>
      <w:sz w:val="18"/>
      <w:szCs w:val="18"/>
    </w:rPr>
  </w:style>
  <w:style w:type="character" w:customStyle="1" w:styleId="11">
    <w:name w:val="NormalCharacter"/>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60a87d75-1301-4cd4-b28f-7f9fdbb6b3a8</errorID>
      <errorWord>等工程</errorWord>
      <group>L1_Grammar</group>
      <groupName>语法问题</groupName>
      <ability>L2_Grammar</ability>
      <abilityName>语法错误</abilityName>
      <candidateList>
        <item>等</item>
      </candidateList>
      <explain/>
      <paraID>31B2E3C6</paraID>
      <start>248</start>
      <end>251</end>
      <status>unmodified</status>
      <modifiedWord/>
      <trackRevisions>false</trackRevisions>
    </reviewItem>
    <reviewItem>
      <errorID>8df1c8cc-1aa8-4193-adc3-adb43679e1bc</errorID>
      <errorWord>投</errorWord>
      <group>L1_Word</group>
      <groupName>字词问题</groupName>
      <ability>L2_Typo</ability>
      <abilityName>字词错误</abilityName>
      <candidateList>
        <item>投资</item>
      </candidateList>
      <explain/>
      <paraID>55716CD3</paraID>
      <start>4</start>
      <end>5</end>
      <status>unmodified</status>
      <modifiedWord/>
      <trackRevisions>false</trackRevisions>
    </reviewItem>
    <reviewItem>
      <errorID>c536a4ab-b6ec-414a-a0e5-01776d328e7b</errorID>
      <errorWord>148225万</errorWord>
      <group>L1_Other</group>
      <groupName>其他问题</groupName>
      <ability>L2_Consistency</ability>
      <abilityName>一致性检查</abilityName>
      <candidateList>
        <item>208.69万元</item>
      </candidateList>
      <explain>数字一致性：成本指标中控制在总投内的金额‘148225万’与前文提到的2025年到位资金‘208.69万元’不一致</explain>
      <paraID>6EDE0D00</paraID>
      <start>1</start>
      <end>8</end>
      <status>unmodified</status>
      <modifiedWord/>
      <trackRevisions>false</trackRevisions>
    </reviewItem>
    <reviewItem>
      <errorID>a8d5fbd8-bbc1-48a9-86bf-ba3c0489a469</errorID>
      <errorWord>地</errorWord>
      <group>L1_Word</group>
      <groupName>字词问题</groupName>
      <ability>L2_Typo</ability>
      <abilityName>字词错误</abilityName>
      <candidateList>
        <item>的</item>
      </candidateList>
      <explain/>
      <paraID>7338FE6D</paraID>
      <start>38</start>
      <end>39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af1075-0e19-4f03-80d5-d7b7dc71378c}">
  <ds:schemaRefs/>
</ds:datastoreItem>
</file>

<file path=docProps/app.xml><?xml version="1.0" encoding="utf-8"?>
<Properties xmlns="http://schemas.openxmlformats.org/officeDocument/2006/extended-properties" xmlns:vt="http://schemas.openxmlformats.org/officeDocument/2006/docPropsVTypes">
  <Template>Normal.dotm</Template>
  <Pages>6</Pages>
  <Words>634</Words>
  <Characters>690</Characters>
  <Lines>1</Lines>
  <Paragraphs>1</Paragraphs>
  <TotalTime>17</TotalTime>
  <ScaleCrop>false</ScaleCrop>
  <LinksUpToDate>false</LinksUpToDate>
  <CharactersWithSpaces>690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2021-09-30T09:36:00Z</dcterms:created>
  <dc:creator>恋</dc:creator>
  <cp:lastModifiedBy>zoe</cp:lastModifiedBy>
  <dcterms:modified xsi:type="dcterms:W3CDTF">2026-05-07T09:16:13Z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E0AC82BE51584C249E248D674927A516_13</vt:lpwstr>
  </property>
  <property fmtid="{D5CDD505-2E9C-101B-9397-08002B2CF9AE}" pid="4" name="KSOTemplateDocerSaveRecord">
    <vt:lpwstr>eyJoZGlkIjoiZjc4NmJlMjNhZDU3M2ZmYTE4YmFkYzFlYWU3NzhmZGMiLCJ1c2VySWQiOiIxNDA0OTg0NTc4In0=</vt:lpwstr>
  </property>
</Properties>
</file>