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2D27B">
      <w:pPr>
        <w:pStyle w:val="7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10F3528">
      <w:pPr>
        <w:pStyle w:val="7"/>
        <w:spacing w:before="0" w:after="0"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海南省艺术中心和美术馆项目配套路网工程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4B659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334E66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D2FD91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0C76B8CF">
      <w:pPr>
        <w:spacing w:line="500" w:lineRule="exact"/>
        <w:ind w:firstLine="640" w:firstLineChars="200"/>
        <w:rPr>
          <w:rFonts w:hint="eastAsia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海南省艺术中心和美术馆项目配套路网工程项目业主为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（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变更前名称：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海口江东新区基础建设有限公司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东新街西段起点接滨江东路，与滨江东路平交，终点与琼山大道平交，道路全长910.202m，道路红线25m，次干路。文潭路南段起点接于文越路，与文越路平交，终点与文兴路平交，道路全长719.996m，道路红线24m，次干路。仁爱路北段起点</w:t>
      </w:r>
      <w:bookmarkStart w:id="0" w:name="_GoBack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接于</w:t>
      </w:r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文越路，与文越路平交，终点与文兴路平交，道路全长720.091m，道路红线25m，次干路。仁爱一横街起点接滨江东路，与滨江东路平交，终点与仁爱路北段平交，道路全长638.512m，道路红线12m，支路。建设内容包括道路、交通、桥涵、给水、雨水、污水、照明、电力、电信工程等。项目概算总投资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214800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万元。</w:t>
      </w:r>
    </w:p>
    <w:p w14:paraId="13017E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2025年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58674.47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截至目前已支出58674.47万元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B7B97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498F0A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项目按工期计划完成2.834公里的市政道路建设，完善基础设施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。年度绩效目标如下：</w:t>
      </w:r>
    </w:p>
    <w:p w14:paraId="0F698543"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3BE6E973">
      <w:pPr>
        <w:pStyle w:val="2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 w14:paraId="5DA5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724AC4B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9F7B8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B7AF4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173A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2700A7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03AF7A2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416F82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4498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F35404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653B4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55CE97A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0%</w:t>
            </w:r>
          </w:p>
        </w:tc>
      </w:tr>
      <w:tr w14:paraId="4458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00B6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49DA5C5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66C375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3992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B81BB5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11D7484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vAlign w:val="center"/>
          </w:tcPr>
          <w:p w14:paraId="253720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C09A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69FF9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7AB8747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61655D4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7C74B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76AD05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5107FD1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505D3F1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06985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3CB9F6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1E48A48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2B26C1E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0%</w:t>
            </w:r>
          </w:p>
        </w:tc>
      </w:tr>
    </w:tbl>
    <w:p w14:paraId="779161C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54D767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7627CFC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海南省艺术中心和美术馆项目配套路网工程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0664856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1BCDEB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E61C62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565C697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25348A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A4A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42972D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72E201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231281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5A34A3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75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814C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6D5B0D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8445B1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FD344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641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B841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4E42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9E697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D9F45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E0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EB27D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CB8CA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8AF97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2744D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DFB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3DD7C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6B1E0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0EF4C84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0244A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026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FD365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C8F2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148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443BA0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9F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DF58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558E28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1EC4A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52514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C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8C340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94943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6274F9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09E3F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928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3428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6257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9EAE01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F00C81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28A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3AAFE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CE5B0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F1FDF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2847C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DD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CDF0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22AFBC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5CF6E4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4978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25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0D299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D0D32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FF0F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3555E6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4EB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000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BB5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EC35A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950" w:type="pct"/>
            <w:vAlign w:val="center"/>
          </w:tcPr>
          <w:p w14:paraId="4FFC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E7C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1EB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4C99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14B7E6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984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15E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341B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1BF3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DFA98D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E48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7F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4400D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2ADE4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5BB4DA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5ABF8EA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368B68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D5921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1E0BC19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64B5F98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1AF58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C111C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9F8CD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73E0E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34FB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5EDA6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A7C5B7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C0B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D46B1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922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3094E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060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7206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6E5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661D6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F0D4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7B6877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EC080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963F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6D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7C66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68DA9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75CF0B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E547F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34AE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FF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2192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C5C03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47A1BD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3F43AA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FA7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9AB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0914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00D28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4ECDB9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0A646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A3ABB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20A1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6552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59182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4619B1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AEACAB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B627D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73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A7DB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810E3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E3EDD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BFD6C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1BB00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DB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1C984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2FE73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7A2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1FD6F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74FDC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F6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1CC85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E75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B286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06AD6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B4798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FEE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4CC6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44334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D096E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51E73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3C708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45F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C0BFF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F0F03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96C762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AE4F1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5197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2B8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D1AF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5B0A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60C50B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B85D7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5A02E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925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997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29A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6653687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034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C88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E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56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449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5AD61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EA0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297C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BE4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3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952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8CD2F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DF9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89D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5F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8929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666A3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B158D9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7DC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66D0A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8DE76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5A858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6B66C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5C969E6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157CE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720BF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东新街西段起点接滨江东路，与滨江东路平交，终点与琼山大道平交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是片区内地块之间的联系通道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并承担外围通道的区域交通集散功能，补充并连通干路网，增加地块之间的通达性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16E797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595C1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D0AC8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58674.47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截至2025年12月31日，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率100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9095E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5BDDE25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2A2B0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232C5651">
      <w:pPr>
        <w:adjustRightInd w:val="0"/>
        <w:snapToGrid w:val="0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项目建成后主要承担艺术中心和美术馆的交通需求，同时缓解区域路网密度不足的现状问题，均衡越江通道交通负载，为片区文化交流、商务活动等起到重要作用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。</w:t>
      </w:r>
    </w:p>
    <w:p w14:paraId="1EFA736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C203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5E4EC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2F655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B43C4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99710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377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09FD0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09FD0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746393"/>
    <w:rsid w:val="02CB6390"/>
    <w:rsid w:val="03B06FF5"/>
    <w:rsid w:val="03E84332"/>
    <w:rsid w:val="040B460D"/>
    <w:rsid w:val="04621786"/>
    <w:rsid w:val="04BC74B0"/>
    <w:rsid w:val="05787E8E"/>
    <w:rsid w:val="0626600A"/>
    <w:rsid w:val="06F95DEE"/>
    <w:rsid w:val="08093106"/>
    <w:rsid w:val="08AF5C9C"/>
    <w:rsid w:val="095D2016"/>
    <w:rsid w:val="0A092149"/>
    <w:rsid w:val="0A787E3B"/>
    <w:rsid w:val="0A7B121A"/>
    <w:rsid w:val="0AC273C6"/>
    <w:rsid w:val="0AC94BD1"/>
    <w:rsid w:val="0BD17C84"/>
    <w:rsid w:val="0BDE5F87"/>
    <w:rsid w:val="0DBB40F2"/>
    <w:rsid w:val="0DE47EA0"/>
    <w:rsid w:val="0E16125E"/>
    <w:rsid w:val="0E9A79D6"/>
    <w:rsid w:val="107B1AFA"/>
    <w:rsid w:val="111C1707"/>
    <w:rsid w:val="11E903EC"/>
    <w:rsid w:val="11FB7553"/>
    <w:rsid w:val="12593F2B"/>
    <w:rsid w:val="126332E8"/>
    <w:rsid w:val="12AB34F1"/>
    <w:rsid w:val="135734FF"/>
    <w:rsid w:val="137C172A"/>
    <w:rsid w:val="14B51D19"/>
    <w:rsid w:val="14FA1115"/>
    <w:rsid w:val="154455E1"/>
    <w:rsid w:val="15481788"/>
    <w:rsid w:val="1652225F"/>
    <w:rsid w:val="16630DA5"/>
    <w:rsid w:val="1682257B"/>
    <w:rsid w:val="180C39B2"/>
    <w:rsid w:val="18DB6AA1"/>
    <w:rsid w:val="190A44B1"/>
    <w:rsid w:val="19263C3A"/>
    <w:rsid w:val="19316574"/>
    <w:rsid w:val="19795372"/>
    <w:rsid w:val="19AA72EE"/>
    <w:rsid w:val="1AC1553C"/>
    <w:rsid w:val="1B007691"/>
    <w:rsid w:val="1CB1400C"/>
    <w:rsid w:val="1D92778D"/>
    <w:rsid w:val="1DBB2B25"/>
    <w:rsid w:val="1E0B74B8"/>
    <w:rsid w:val="1E122B23"/>
    <w:rsid w:val="1E312225"/>
    <w:rsid w:val="1E5510E3"/>
    <w:rsid w:val="1F25228A"/>
    <w:rsid w:val="1F28277B"/>
    <w:rsid w:val="1F3C513A"/>
    <w:rsid w:val="20281024"/>
    <w:rsid w:val="20B5758E"/>
    <w:rsid w:val="21AF66F9"/>
    <w:rsid w:val="22F95FB5"/>
    <w:rsid w:val="23335B9D"/>
    <w:rsid w:val="23EF1B0E"/>
    <w:rsid w:val="247A1B51"/>
    <w:rsid w:val="24A06A9A"/>
    <w:rsid w:val="25900E53"/>
    <w:rsid w:val="27E81586"/>
    <w:rsid w:val="288D2DA2"/>
    <w:rsid w:val="28B735AC"/>
    <w:rsid w:val="29B57C78"/>
    <w:rsid w:val="2A565074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3644733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AF6F81"/>
    <w:rsid w:val="3ABA6910"/>
    <w:rsid w:val="3B0A2EB0"/>
    <w:rsid w:val="3B500164"/>
    <w:rsid w:val="3B59178B"/>
    <w:rsid w:val="3BD878AB"/>
    <w:rsid w:val="3C444B0B"/>
    <w:rsid w:val="3CAC15D5"/>
    <w:rsid w:val="3E4B066F"/>
    <w:rsid w:val="3F352CBA"/>
    <w:rsid w:val="3FBB4BCB"/>
    <w:rsid w:val="405D14CB"/>
    <w:rsid w:val="4096439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AC56A5"/>
    <w:rsid w:val="49B72F9D"/>
    <w:rsid w:val="49C0331C"/>
    <w:rsid w:val="4A663CDD"/>
    <w:rsid w:val="4A965392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62117E"/>
    <w:rsid w:val="52C426C7"/>
    <w:rsid w:val="541D6ACC"/>
    <w:rsid w:val="54D85B6D"/>
    <w:rsid w:val="54E47B8F"/>
    <w:rsid w:val="54FE4F3A"/>
    <w:rsid w:val="55A57892"/>
    <w:rsid w:val="578A390E"/>
    <w:rsid w:val="57D636C9"/>
    <w:rsid w:val="59D74C62"/>
    <w:rsid w:val="59E1651D"/>
    <w:rsid w:val="5A3B0856"/>
    <w:rsid w:val="5A47702B"/>
    <w:rsid w:val="5A4B6F13"/>
    <w:rsid w:val="5A6A79F7"/>
    <w:rsid w:val="5BF510A0"/>
    <w:rsid w:val="5D6C257F"/>
    <w:rsid w:val="5E9842F9"/>
    <w:rsid w:val="5F367622"/>
    <w:rsid w:val="5F3F3404"/>
    <w:rsid w:val="5F905550"/>
    <w:rsid w:val="61355784"/>
    <w:rsid w:val="61394EFD"/>
    <w:rsid w:val="617F6B7B"/>
    <w:rsid w:val="61AB5485"/>
    <w:rsid w:val="62806640"/>
    <w:rsid w:val="63636628"/>
    <w:rsid w:val="64754794"/>
    <w:rsid w:val="65411CA7"/>
    <w:rsid w:val="65694914"/>
    <w:rsid w:val="663C7C5F"/>
    <w:rsid w:val="66A926CB"/>
    <w:rsid w:val="67B21E4C"/>
    <w:rsid w:val="68024B96"/>
    <w:rsid w:val="68903265"/>
    <w:rsid w:val="6A893A8D"/>
    <w:rsid w:val="6B657B2B"/>
    <w:rsid w:val="6C02565A"/>
    <w:rsid w:val="6C7A1EB6"/>
    <w:rsid w:val="6C8B5B44"/>
    <w:rsid w:val="6E6678AD"/>
    <w:rsid w:val="6E6E68A0"/>
    <w:rsid w:val="6E755ABD"/>
    <w:rsid w:val="6E775CD9"/>
    <w:rsid w:val="6EB377AA"/>
    <w:rsid w:val="6FB6700B"/>
    <w:rsid w:val="701D3C49"/>
    <w:rsid w:val="70220F61"/>
    <w:rsid w:val="710022AC"/>
    <w:rsid w:val="725E09BE"/>
    <w:rsid w:val="727437E0"/>
    <w:rsid w:val="74C3652D"/>
    <w:rsid w:val="757F5777"/>
    <w:rsid w:val="75EF1237"/>
    <w:rsid w:val="764C182F"/>
    <w:rsid w:val="7654409C"/>
    <w:rsid w:val="7704672F"/>
    <w:rsid w:val="77175582"/>
    <w:rsid w:val="77B83C97"/>
    <w:rsid w:val="78755B31"/>
    <w:rsid w:val="791F742A"/>
    <w:rsid w:val="79DF2334"/>
    <w:rsid w:val="7B2F66D1"/>
    <w:rsid w:val="7B302324"/>
    <w:rsid w:val="7B76655D"/>
    <w:rsid w:val="7BBF5BC9"/>
    <w:rsid w:val="7CE205E6"/>
    <w:rsid w:val="7CE7227B"/>
    <w:rsid w:val="7D1D1C9F"/>
    <w:rsid w:val="7EDF397E"/>
    <w:rsid w:val="7F1E2C66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2173bafd-403f-40ae-8bd6-cb76c335efdb</errorID>
      <errorWord>接于</errorWord>
      <group>L1_Word</group>
      <groupName>字词问题</groupName>
      <ability>L2_Typo</ability>
      <abilityName>字词错误</abilityName>
      <candidateList>
        <item>接</item>
      </candidateList>
      <explain/>
      <paraID> C76B8CF</paraID>
      <start>125</start>
      <end>127</end>
      <status>unmodified</status>
      <modifiedWord/>
      <trackRevisions>false</trackRevisions>
    </reviewItem>
    <reviewItem>
      <errorID>4fe55b95-9f75-4c56-bd86-e645b173d406</errorID>
      <errorWord>接于</errorWord>
      <group>L1_Word</group>
      <groupName>字词问题</groupName>
      <ability>L2_Typo</ability>
      <abilityName>字词错误</abilityName>
      <candidateList>
        <item>接</item>
      </candidateList>
      <explain/>
      <paraID> C76B8CF</paraID>
      <start>179</start>
      <end>181</end>
      <status>unmodified</status>
      <modifiedWord/>
      <trackRevisions>false</trackRevisions>
    </reviewItem>
    <reviewItem>
      <errorID>6ef1bbb4-194d-4701-9e82-d7114b62404b</errorID>
      <errorWord>超概算比例</errorWord>
      <group>L1_Other</group>
      <groupName>其他问题</groupName>
      <ability>L2_Consistency</ability>
      <abilityName>一致性检查</abilityName>
      <candidateList>
        <item>超概算项目比例</item>
      </candidateList>
      <explain>术语一致性：在‘项目绩效目标’部分使用‘超概算比例’，在‘评价指标体系’中使用‘超概算项目比例’，应统一表述</explain>
      <paraID>1E48A486</paraID>
      <start>0</start>
      <end>5</end>
      <status>unmodified</status>
      <modifiedWord/>
      <trackRevisions>false</trackRevisions>
    </reviewItem>
    <reviewItem>
      <errorID>4dfb4e3b-82f8-4c57-8070-a5abe94d1921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6E61C621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ed601e-93ec-4fff-be92-80a1c42a43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1290</Words>
  <Characters>1389</Characters>
  <Lines>1</Lines>
  <Paragraphs>1</Paragraphs>
  <TotalTime>5</TotalTime>
  <ScaleCrop>false</ScaleCrop>
  <LinksUpToDate>false</LinksUpToDate>
  <CharactersWithSpaces>1389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30B4B113C8304CB0A472D4330A58BD92_13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