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2D27B">
      <w:pPr>
        <w:pStyle w:val="7"/>
        <w:rPr>
          <w:rFonts w:ascii="宋体" w:hAnsi="宋体" w:eastAsia="宋体" w:cs="宋体"/>
          <w:b/>
          <w:bCs/>
          <w:sz w:val="44"/>
          <w:szCs w:val="44"/>
          <w:highlight w:val="none"/>
        </w:rPr>
      </w:pPr>
      <w:r>
        <w:rPr>
          <w:rFonts w:hint="eastAsia" w:ascii="宋体" w:hAnsi="宋体" w:eastAsia="宋体" w:cs="宋体"/>
          <w:b/>
          <w:bCs/>
          <w:sz w:val="44"/>
          <w:szCs w:val="44"/>
          <w:highlight w:val="none"/>
        </w:rPr>
        <w:t>海口江东新区管理局</w:t>
      </w:r>
    </w:p>
    <w:p w14:paraId="310F3528">
      <w:pPr>
        <w:pStyle w:val="7"/>
        <w:spacing w:before="0" w:after="0" w:line="560" w:lineRule="exact"/>
        <w:rPr>
          <w:rFonts w:hint="eastAsia" w:ascii="宋体" w:hAnsi="宋体" w:eastAsia="宋体" w:cs="宋体"/>
          <w:b/>
          <w:bCs/>
          <w:sz w:val="44"/>
          <w:szCs w:val="44"/>
          <w:highlight w:val="none"/>
        </w:rPr>
      </w:pPr>
      <w:r>
        <w:rPr>
          <w:rFonts w:hint="eastAsia" w:ascii="宋体" w:hAnsi="宋体" w:eastAsia="宋体" w:cs="宋体"/>
          <w:sz w:val="44"/>
          <w:szCs w:val="44"/>
          <w:highlight w:val="none"/>
          <w:lang w:eastAsia="zh-CN"/>
        </w:rPr>
        <w:t>202</w:t>
      </w:r>
      <w:r>
        <w:rPr>
          <w:rFonts w:hint="eastAsia" w:ascii="宋体" w:hAnsi="宋体" w:eastAsia="宋体" w:cs="宋体"/>
          <w:sz w:val="44"/>
          <w:szCs w:val="44"/>
          <w:highlight w:val="none"/>
          <w:lang w:val="en-US" w:eastAsia="zh-CN"/>
        </w:rPr>
        <w:t>5</w:t>
      </w:r>
      <w:r>
        <w:rPr>
          <w:rFonts w:hint="eastAsia" w:ascii="宋体" w:hAnsi="宋体" w:eastAsia="宋体" w:cs="宋体"/>
          <w:sz w:val="44"/>
          <w:szCs w:val="44"/>
          <w:highlight w:val="none"/>
        </w:rPr>
        <w:t>年</w:t>
      </w:r>
      <w:r>
        <w:rPr>
          <w:rFonts w:hint="eastAsia" w:ascii="宋体" w:hAnsi="宋体" w:eastAsia="宋体" w:cs="宋体"/>
          <w:sz w:val="44"/>
          <w:szCs w:val="44"/>
          <w:highlight w:val="none"/>
          <w:lang w:val="en-US" w:eastAsia="zh-CN"/>
        </w:rPr>
        <w:t>海文南路市政化改造工程</w:t>
      </w:r>
      <w:r>
        <w:rPr>
          <w:rFonts w:hint="eastAsia" w:ascii="宋体" w:hAnsi="宋体" w:eastAsia="宋体" w:cs="宋体"/>
          <w:sz w:val="44"/>
          <w:szCs w:val="44"/>
          <w:highlight w:val="none"/>
        </w:rPr>
        <w:t>项目</w:t>
      </w:r>
      <w:r>
        <w:rPr>
          <w:rFonts w:hint="eastAsia" w:ascii="宋体" w:hAnsi="宋体" w:eastAsia="宋体" w:cs="宋体"/>
          <w:b/>
          <w:bCs/>
          <w:sz w:val="44"/>
          <w:szCs w:val="44"/>
          <w:highlight w:val="none"/>
        </w:rPr>
        <w:t>支出绩效评价报告</w:t>
      </w:r>
    </w:p>
    <w:p w14:paraId="14B65904">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p>
    <w:p w14:paraId="334E668D">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一、基本情况</w:t>
      </w:r>
    </w:p>
    <w:p w14:paraId="5D2FD916">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（一）项目概况</w:t>
      </w:r>
    </w:p>
    <w:p w14:paraId="076A6985">
      <w:pPr>
        <w:widowControl/>
        <w:spacing w:line="560" w:lineRule="exact"/>
        <w:ind w:firstLine="640" w:firstLineChars="200"/>
        <w:rPr>
          <w:rFonts w:hint="eastAsia" w:ascii="仿宋_GB2312" w:hAnsi="Times New Roman" w:eastAsia="仿宋_GB2312" w:cs="仿宋_GB2312"/>
          <w:sz w:val="32"/>
          <w:szCs w:val="32"/>
          <w:highlight w:val="none"/>
          <w:lang w:bidi="ar"/>
        </w:rPr>
      </w:pPr>
      <w:r>
        <w:rPr>
          <w:rFonts w:hint="eastAsia" w:ascii="仿宋_GB2312" w:hAnsi="Times New Roman" w:eastAsia="仿宋_GB2312" w:cs="仿宋_GB2312"/>
          <w:sz w:val="32"/>
          <w:szCs w:val="32"/>
          <w:highlight w:val="none"/>
          <w:lang w:bidi="ar"/>
        </w:rPr>
        <w:t>海文南路市政化改造工程业主为</w:t>
      </w:r>
      <w:r>
        <w:rPr>
          <w:rFonts w:hint="eastAsia" w:ascii="仿宋_GB2312" w:hAnsi="Times New Roman" w:eastAsia="仿宋_GB2312" w:cs="仿宋_GB2312"/>
          <w:sz w:val="32"/>
          <w:szCs w:val="32"/>
          <w:highlight w:val="none"/>
          <w:lang w:val="en-US" w:eastAsia="zh-CN" w:bidi="ar"/>
        </w:rPr>
        <w:t>海口市恒慧基础建设有限公司</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val="en-US" w:eastAsia="zh-CN" w:bidi="ar"/>
        </w:rPr>
        <w:t>变更前名称：</w:t>
      </w:r>
      <w:r>
        <w:rPr>
          <w:rFonts w:hint="eastAsia" w:ascii="仿宋_GB2312" w:hAnsi="Times New Roman" w:eastAsia="仿宋_GB2312" w:cs="仿宋_GB2312"/>
          <w:sz w:val="32"/>
          <w:szCs w:val="32"/>
          <w:highlight w:val="none"/>
          <w:lang w:bidi="ar"/>
        </w:rPr>
        <w:t>海口江东新区基础建设有限公司</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bidi="ar"/>
        </w:rPr>
        <w:t>，项目北接规划海文高速联络线北延线，南至南渡江大道。工程道路长度约4.34km，红线宽度50m，按城市主干道建设，设计车速60km/h。工程建设内容包含道路工程、交通工程、桥梁工程、给水工程、排水工程、照明工程（含多杆）、绿化工程、管廊工程。本项目一期工程为南段综合管廊（K3+817.54~K4+739.64）和椰海大道以北段d1200 污水管道，分别满足美兰机场二期及桂林洋片区的</w:t>
      </w:r>
      <w:r>
        <w:rPr>
          <w:rFonts w:hint="eastAsia" w:ascii="仿宋_GB2312" w:hAnsi="Times New Roman" w:eastAsia="仿宋_GB2312" w:cs="仿宋_GB2312"/>
          <w:sz w:val="32"/>
          <w:szCs w:val="32"/>
          <w:highlight w:val="none"/>
          <w:lang w:eastAsia="zh-CN" w:bidi="ar"/>
        </w:rPr>
        <w:t>用电需求</w:t>
      </w:r>
      <w:r>
        <w:rPr>
          <w:rFonts w:hint="eastAsia" w:ascii="仿宋_GB2312" w:hAnsi="Times New Roman" w:eastAsia="仿宋_GB2312" w:cs="仿宋_GB2312"/>
          <w:sz w:val="32"/>
          <w:szCs w:val="32"/>
          <w:highlight w:val="none"/>
          <w:lang w:bidi="ar"/>
        </w:rPr>
        <w:t>，以及解决国际综合服务组团的污水出路问题；其余纳入二期工程。项目总投资</w:t>
      </w:r>
      <w:r>
        <w:rPr>
          <w:rFonts w:hint="eastAsia" w:ascii="仿宋_GB2312" w:hAnsi="Times New Roman" w:eastAsia="仿宋_GB2312" w:cs="仿宋_GB2312"/>
          <w:sz w:val="32"/>
          <w:szCs w:val="32"/>
          <w:highlight w:val="none"/>
          <w:lang w:val="en-US" w:eastAsia="zh-CN" w:bidi="ar"/>
        </w:rPr>
        <w:t>142703.43</w:t>
      </w:r>
      <w:r>
        <w:rPr>
          <w:rFonts w:hint="eastAsia" w:ascii="仿宋_GB2312" w:hAnsi="Times New Roman" w:eastAsia="仿宋_GB2312" w:cs="仿宋_GB2312"/>
          <w:sz w:val="32"/>
          <w:szCs w:val="32"/>
          <w:highlight w:val="none"/>
          <w:lang w:bidi="ar"/>
        </w:rPr>
        <w:t>万元。</w:t>
      </w:r>
    </w:p>
    <w:p w14:paraId="13017E29">
      <w:pPr>
        <w:keepNext w:val="0"/>
        <w:keepLines w:val="0"/>
        <w:pageBreakBefore w:val="0"/>
        <w:widowControl/>
        <w:kinsoku/>
        <w:wordWrap/>
        <w:overflowPunct/>
        <w:topLinePunct w:val="0"/>
        <w:autoSpaceDE/>
        <w:bidi w:val="0"/>
        <w:adjustRightInd/>
        <w:snapToGrid/>
        <w:spacing w:line="560" w:lineRule="exact"/>
        <w:ind w:firstLine="640" w:firstLineChars="200"/>
        <w:jc w:val="both"/>
        <w:rPr>
          <w:rFonts w:hint="eastAsia" w:ascii="仿宋_GB2312" w:hAnsi="Times New Roman" w:eastAsia="仿宋_GB2312" w:cs="仿宋_GB2312"/>
          <w:sz w:val="32"/>
          <w:szCs w:val="32"/>
          <w:highlight w:val="none"/>
          <w:lang w:bidi="ar"/>
        </w:rPr>
      </w:pPr>
      <w:r>
        <w:rPr>
          <w:rFonts w:hint="eastAsia" w:ascii="仿宋_GB2312" w:hAnsi="Times New Roman" w:eastAsia="仿宋_GB2312" w:cs="仿宋_GB2312"/>
          <w:sz w:val="32"/>
          <w:szCs w:val="32"/>
          <w:highlight w:val="none"/>
          <w:lang w:bidi="ar"/>
        </w:rPr>
        <w:t>该项目</w:t>
      </w:r>
      <w:r>
        <w:rPr>
          <w:rFonts w:hint="eastAsia" w:ascii="仿宋_GB2312" w:hAnsi="Times New Roman" w:eastAsia="仿宋_GB2312" w:cs="仿宋_GB2312"/>
          <w:sz w:val="32"/>
          <w:szCs w:val="32"/>
          <w:highlight w:val="none"/>
          <w:lang w:val="en-US" w:eastAsia="zh-CN" w:bidi="ar"/>
        </w:rPr>
        <w:t>2025年</w:t>
      </w:r>
      <w:r>
        <w:rPr>
          <w:rFonts w:hint="eastAsia" w:ascii="仿宋_GB2312" w:hAnsi="Times New Roman" w:eastAsia="仿宋_GB2312" w:cs="仿宋_GB2312"/>
          <w:sz w:val="32"/>
          <w:szCs w:val="32"/>
          <w:highlight w:val="none"/>
          <w:lang w:bidi="ar"/>
        </w:rPr>
        <w:t>共计获得资金</w:t>
      </w:r>
      <w:r>
        <w:rPr>
          <w:rFonts w:hint="eastAsia" w:ascii="仿宋_GB2312" w:hAnsi="Times New Roman" w:eastAsia="仿宋_GB2312" w:cs="仿宋_GB2312"/>
          <w:sz w:val="32"/>
          <w:szCs w:val="32"/>
          <w:highlight w:val="none"/>
          <w:lang w:val="en-US" w:eastAsia="zh-CN" w:bidi="ar"/>
        </w:rPr>
        <w:t>6453.22</w:t>
      </w:r>
      <w:r>
        <w:rPr>
          <w:rFonts w:hint="eastAsia" w:ascii="仿宋_GB2312" w:hAnsi="Times New Roman" w:eastAsia="仿宋_GB2312" w:cs="仿宋_GB2312"/>
          <w:sz w:val="32"/>
          <w:szCs w:val="32"/>
          <w:highlight w:val="none"/>
          <w:lang w:bidi="ar"/>
        </w:rPr>
        <w:t>万元，</w:t>
      </w:r>
      <w:r>
        <w:rPr>
          <w:rFonts w:hint="eastAsia" w:ascii="仿宋_GB2312" w:hAnsi="Times New Roman" w:eastAsia="仿宋_GB2312" w:cs="仿宋_GB2312"/>
          <w:sz w:val="32"/>
          <w:szCs w:val="32"/>
          <w:highlight w:val="none"/>
          <w:lang w:val="en-US" w:eastAsia="zh-CN" w:bidi="ar"/>
        </w:rPr>
        <w:t>截至目前已支出6453.22万元</w:t>
      </w:r>
      <w:r>
        <w:rPr>
          <w:rFonts w:hint="eastAsia" w:ascii="仿宋_GB2312" w:hAnsi="Times New Roman" w:eastAsia="仿宋_GB2312" w:cs="仿宋_GB2312"/>
          <w:sz w:val="32"/>
          <w:szCs w:val="32"/>
          <w:highlight w:val="none"/>
          <w:lang w:eastAsia="zh-CN" w:bidi="ar"/>
        </w:rPr>
        <w:t>。</w:t>
      </w:r>
    </w:p>
    <w:p w14:paraId="5B7B971E">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（二）项目绩效目标</w:t>
      </w:r>
    </w:p>
    <w:p w14:paraId="498F0ADB">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该项目总体目标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项目按工期计划完成海文南路市政化改造工程4.34公里的道路、雨污水管网和管廊等建设</w:t>
      </w:r>
      <w:r>
        <w:rPr>
          <w:rFonts w:hint="eastAsia" w:ascii="仿宋_GB2312" w:hAnsi="仿宋_GB2312" w:eastAsia="仿宋_GB2312" w:cs="仿宋_GB2312"/>
          <w:sz w:val="32"/>
          <w:szCs w:val="32"/>
          <w:highlight w:val="none"/>
          <w:lang w:eastAsia="zh-CN"/>
        </w:rPr>
        <w:t>内容</w:t>
      </w:r>
      <w:r>
        <w:rPr>
          <w:rFonts w:hint="eastAsia" w:ascii="仿宋_GB2312" w:hAnsi="仿宋_GB2312" w:eastAsia="仿宋_GB2312" w:cs="仿宋_GB2312"/>
          <w:sz w:val="32"/>
          <w:szCs w:val="32"/>
          <w:highlight w:val="none"/>
        </w:rPr>
        <w:t>。年度绩效目标如下：</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4484"/>
        <w:gridCol w:w="2019"/>
      </w:tblGrid>
      <w:tr w14:paraId="5DA5E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vMerge w:val="restart"/>
            <w:vAlign w:val="center"/>
          </w:tcPr>
          <w:p w14:paraId="724AC4B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指标类型</w:t>
            </w:r>
          </w:p>
        </w:tc>
        <w:tc>
          <w:tcPr>
            <w:tcW w:w="2631" w:type="pct"/>
            <w:vMerge w:val="restart"/>
            <w:vAlign w:val="center"/>
          </w:tcPr>
          <w:p w14:paraId="3F9F7B80">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指标名称</w:t>
            </w:r>
          </w:p>
        </w:tc>
        <w:tc>
          <w:tcPr>
            <w:tcW w:w="1184" w:type="pct"/>
            <w:vMerge w:val="restart"/>
            <w:vAlign w:val="center"/>
          </w:tcPr>
          <w:p w14:paraId="3B7AF41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绩效目标</w:t>
            </w:r>
          </w:p>
        </w:tc>
      </w:tr>
      <w:tr w14:paraId="173A7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vMerge w:val="continue"/>
          </w:tcPr>
          <w:p w14:paraId="22700A7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2631" w:type="pct"/>
            <w:vMerge w:val="continue"/>
          </w:tcPr>
          <w:p w14:paraId="03AF7A20">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1184" w:type="pct"/>
            <w:vMerge w:val="continue"/>
          </w:tcPr>
          <w:p w14:paraId="0416F825">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r>
      <w:tr w14:paraId="4498E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vAlign w:val="center"/>
          </w:tcPr>
          <w:p w14:paraId="4F35404B">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bookmarkStart w:id="0" w:name="_GoBack" w:colFirst="0" w:colLast="2"/>
            <w:r>
              <w:rPr>
                <w:rFonts w:hint="eastAsia" w:ascii="宋体" w:hAnsi="宋体" w:eastAsia="宋体" w:cs="宋体"/>
                <w:sz w:val="21"/>
                <w:szCs w:val="21"/>
                <w:highlight w:val="none"/>
              </w:rPr>
              <w:t>产出指标</w:t>
            </w:r>
          </w:p>
        </w:tc>
        <w:tc>
          <w:tcPr>
            <w:tcW w:w="2631" w:type="pct"/>
            <w:vAlign w:val="center"/>
          </w:tcPr>
          <w:p w14:paraId="4653B44A">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竣工验收合格率</w:t>
            </w:r>
          </w:p>
        </w:tc>
        <w:tc>
          <w:tcPr>
            <w:tcW w:w="1184" w:type="pct"/>
            <w:vAlign w:val="center"/>
          </w:tcPr>
          <w:p w14:paraId="55CE97A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100%</w:t>
            </w:r>
          </w:p>
        </w:tc>
      </w:tr>
      <w:tr w14:paraId="4458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tcPr>
          <w:p w14:paraId="3200B67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产出指标</w:t>
            </w:r>
          </w:p>
        </w:tc>
        <w:tc>
          <w:tcPr>
            <w:tcW w:w="2631" w:type="pct"/>
            <w:vAlign w:val="center"/>
          </w:tcPr>
          <w:p w14:paraId="49DA5C54">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项目按计划开工率</w:t>
            </w:r>
          </w:p>
        </w:tc>
        <w:tc>
          <w:tcPr>
            <w:tcW w:w="1184" w:type="pct"/>
            <w:vAlign w:val="center"/>
          </w:tcPr>
          <w:p w14:paraId="66C37586">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100%</w:t>
            </w:r>
          </w:p>
        </w:tc>
      </w:tr>
      <w:tr w14:paraId="3992E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tcPr>
          <w:p w14:paraId="2B81BB5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产出指标</w:t>
            </w:r>
          </w:p>
        </w:tc>
        <w:tc>
          <w:tcPr>
            <w:tcW w:w="2631" w:type="pct"/>
            <w:vAlign w:val="center"/>
          </w:tcPr>
          <w:p w14:paraId="11D74842">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项目按计划完工率</w:t>
            </w:r>
          </w:p>
        </w:tc>
        <w:tc>
          <w:tcPr>
            <w:tcW w:w="1184" w:type="pct"/>
            <w:shd w:val="clear" w:color="auto" w:fill="auto"/>
            <w:vAlign w:val="center"/>
          </w:tcPr>
          <w:p w14:paraId="253720CB">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100%</w:t>
            </w:r>
          </w:p>
        </w:tc>
      </w:tr>
      <w:tr w14:paraId="5C09A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tcPr>
          <w:p w14:paraId="169FF915">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效益指标</w:t>
            </w:r>
          </w:p>
        </w:tc>
        <w:tc>
          <w:tcPr>
            <w:tcW w:w="2631" w:type="pct"/>
            <w:vAlign w:val="center"/>
          </w:tcPr>
          <w:p w14:paraId="7AB8747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建筑（工程）综合利用率</w:t>
            </w:r>
          </w:p>
        </w:tc>
        <w:tc>
          <w:tcPr>
            <w:tcW w:w="1184" w:type="pct"/>
            <w:shd w:val="clear" w:color="auto" w:fill="auto"/>
            <w:vAlign w:val="center"/>
          </w:tcPr>
          <w:p w14:paraId="61655D4A">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100%</w:t>
            </w:r>
          </w:p>
        </w:tc>
      </w:tr>
      <w:tr w14:paraId="4A483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tcPr>
          <w:p w14:paraId="48A37401">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效益指标</w:t>
            </w:r>
          </w:p>
        </w:tc>
        <w:tc>
          <w:tcPr>
            <w:tcW w:w="2631" w:type="pct"/>
            <w:vAlign w:val="center"/>
          </w:tcPr>
          <w:p w14:paraId="00EF94F5">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设施正常运转率</w:t>
            </w:r>
          </w:p>
        </w:tc>
        <w:tc>
          <w:tcPr>
            <w:tcW w:w="1184" w:type="pct"/>
            <w:shd w:val="clear" w:color="auto" w:fill="auto"/>
            <w:vAlign w:val="center"/>
          </w:tcPr>
          <w:p w14:paraId="0A728C4C">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100%</w:t>
            </w:r>
          </w:p>
        </w:tc>
      </w:tr>
      <w:tr w14:paraId="0D1C6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tcPr>
          <w:p w14:paraId="10B1026D">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满意度指标</w:t>
            </w:r>
          </w:p>
        </w:tc>
        <w:tc>
          <w:tcPr>
            <w:tcW w:w="2631" w:type="pct"/>
            <w:vAlign w:val="center"/>
          </w:tcPr>
          <w:p w14:paraId="226D0DBB">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受益群体满意度</w:t>
            </w:r>
          </w:p>
        </w:tc>
        <w:tc>
          <w:tcPr>
            <w:tcW w:w="1184" w:type="pct"/>
            <w:vAlign w:val="center"/>
          </w:tcPr>
          <w:p w14:paraId="4295D100">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85%</w:t>
            </w:r>
          </w:p>
        </w:tc>
      </w:tr>
      <w:tr w14:paraId="6DC4C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tcPr>
          <w:p w14:paraId="228D491D">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成本指标</w:t>
            </w:r>
          </w:p>
        </w:tc>
        <w:tc>
          <w:tcPr>
            <w:tcW w:w="2631" w:type="pct"/>
            <w:vAlign w:val="center"/>
          </w:tcPr>
          <w:p w14:paraId="351D897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超概算比例</w:t>
            </w:r>
          </w:p>
        </w:tc>
        <w:tc>
          <w:tcPr>
            <w:tcW w:w="1184" w:type="pct"/>
            <w:vAlign w:val="center"/>
          </w:tcPr>
          <w:p w14:paraId="43B71A8A">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0%</w:t>
            </w:r>
          </w:p>
        </w:tc>
      </w:tr>
      <w:bookmarkEnd w:id="0"/>
    </w:tbl>
    <w:p w14:paraId="779161C4">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二、绩效评价工作开展情况</w:t>
      </w:r>
    </w:p>
    <w:p w14:paraId="54D767DE">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（一）绩效评价目的、对象、范围</w:t>
      </w:r>
    </w:p>
    <w:p w14:paraId="7627CFCA">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w:t>
      </w:r>
      <w:r>
        <w:rPr>
          <w:rFonts w:hint="eastAsia" w:ascii="仿宋_GB2312" w:hAnsi="仿宋_GB2312" w:eastAsia="仿宋_GB2312" w:cs="仿宋_GB2312"/>
          <w:sz w:val="32"/>
          <w:szCs w:val="32"/>
          <w:highlight w:val="none"/>
          <w:lang w:eastAsia="zh-CN"/>
        </w:rPr>
        <w:t>海文南路市政化改造工程</w:t>
      </w:r>
      <w:r>
        <w:rPr>
          <w:rFonts w:hint="eastAsia" w:ascii="仿宋_GB2312" w:hAnsi="仿宋_GB2312" w:eastAsia="仿宋_GB2312" w:cs="仿宋_GB2312"/>
          <w:sz w:val="32"/>
          <w:szCs w:val="32"/>
          <w:highlight w:val="none"/>
        </w:rPr>
        <w:t>开展部门评价，促进部门提升预算绩效管理工作水平，强化部门支出责任，规范资金管理行为，提高财政资金使用效益。</w:t>
      </w:r>
    </w:p>
    <w:p w14:paraId="06648561">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（二）绩效评价原则、评价指标体系、评价方法、评价标准</w:t>
      </w:r>
    </w:p>
    <w:p w14:paraId="1BCDEBE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1.绩效评价原则</w:t>
      </w:r>
    </w:p>
    <w:p w14:paraId="6E61C621">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本次部门评价坚持运用科学合理的方法，按照规范的程序，对项目绩效进行客观、公正</w:t>
      </w:r>
      <w:r>
        <w:rPr>
          <w:rFonts w:hint="eastAsia" w:ascii="仿宋_GB2312" w:hAnsi="仿宋_GB2312" w:eastAsia="仿宋_GB2312" w:cs="仿宋_GB2312"/>
          <w:sz w:val="32"/>
          <w:szCs w:val="32"/>
          <w:highlight w:val="none"/>
          <w:lang w:eastAsia="zh-CN"/>
        </w:rPr>
        <w:t>地</w:t>
      </w:r>
      <w:r>
        <w:rPr>
          <w:rFonts w:hint="eastAsia" w:ascii="仿宋_GB2312" w:hAnsi="仿宋_GB2312" w:eastAsia="仿宋_GB2312" w:cs="仿宋_GB2312"/>
          <w:sz w:val="32"/>
          <w:szCs w:val="32"/>
          <w:highlight w:val="none"/>
        </w:rPr>
        <w:t>反映。</w:t>
      </w:r>
    </w:p>
    <w:p w14:paraId="2565C697">
      <w:pPr>
        <w:keepNext w:val="0"/>
        <w:keepLines w:val="0"/>
        <w:pageBreakBefore w:val="0"/>
        <w:numPr>
          <w:ilvl w:val="0"/>
          <w:numId w:val="1"/>
        </w:numPr>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评价指标体系</w:t>
      </w:r>
    </w:p>
    <w:p w14:paraId="025348A1">
      <w:pPr>
        <w:keepNext w:val="0"/>
        <w:keepLines w:val="0"/>
        <w:pageBreakBefore w:val="0"/>
        <w:kinsoku/>
        <w:wordWrap/>
        <w:overflowPunct/>
        <w:topLinePunct w:val="0"/>
        <w:autoSpaceDE/>
        <w:autoSpaceDN w:val="0"/>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Calibri" w:eastAsia="仿宋_GB2312" w:cs="仿宋_GB2312"/>
          <w:kern w:val="2"/>
          <w:sz w:val="32"/>
          <w:szCs w:val="32"/>
          <w:lang w:val="en-US" w:eastAsia="zh-CN" w:bidi="ar"/>
        </w:rPr>
        <w:t>从项目决策、过程、产出等指标开展部门评价</w:t>
      </w:r>
      <w:r>
        <w:rPr>
          <w:rFonts w:hint="eastAsia" w:ascii="仿宋_GB2312" w:hAnsi="仿宋_GB2312" w:eastAsia="仿宋_GB2312" w:cs="仿宋_GB2312"/>
          <w:sz w:val="32"/>
          <w:szCs w:val="32"/>
          <w:highlight w:val="none"/>
        </w:rPr>
        <w:t>。</w:t>
      </w:r>
    </w:p>
    <w:tbl>
      <w:tblPr>
        <w:tblStyle w:val="9"/>
        <w:tblW w:w="42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2"/>
        <w:gridCol w:w="2577"/>
        <w:gridCol w:w="1385"/>
      </w:tblGrid>
      <w:tr w14:paraId="1A4AE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1012" w:type="pct"/>
            <w:vAlign w:val="center"/>
          </w:tcPr>
          <w:p w14:paraId="42972D2B">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270" w:type="pct"/>
            <w:vAlign w:val="center"/>
          </w:tcPr>
          <w:p w14:paraId="72E201D2">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766" w:type="pct"/>
            <w:vAlign w:val="center"/>
          </w:tcPr>
          <w:p w14:paraId="23128149">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950" w:type="pct"/>
            <w:vAlign w:val="center"/>
          </w:tcPr>
          <w:p w14:paraId="5A34A34A">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r>
      <w:tr w14:paraId="6875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0814CBC4">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270" w:type="pct"/>
            <w:vMerge w:val="restart"/>
            <w:vAlign w:val="center"/>
          </w:tcPr>
          <w:p w14:paraId="6D5B0DBB">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766" w:type="pct"/>
            <w:vAlign w:val="center"/>
          </w:tcPr>
          <w:p w14:paraId="38445B15">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950" w:type="pct"/>
            <w:vAlign w:val="center"/>
          </w:tcPr>
          <w:p w14:paraId="08FD344A">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6641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8B8411A">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34E42721">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59E69787">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950" w:type="pct"/>
            <w:vAlign w:val="center"/>
          </w:tcPr>
          <w:p w14:paraId="7D9F45EB">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5EE05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EB27D81">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6CB8CA1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766" w:type="pct"/>
            <w:vAlign w:val="center"/>
          </w:tcPr>
          <w:p w14:paraId="08AF978B">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950" w:type="pct"/>
            <w:vAlign w:val="center"/>
          </w:tcPr>
          <w:p w14:paraId="62744DED">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70DFB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3DD7C9F">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36B1E053">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0EF4C84F">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950" w:type="pct"/>
            <w:vAlign w:val="center"/>
          </w:tcPr>
          <w:p w14:paraId="0244A653">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r>
      <w:tr w14:paraId="50264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FD365B4">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62C8F211">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766" w:type="pct"/>
            <w:vAlign w:val="center"/>
          </w:tcPr>
          <w:p w14:paraId="014816A9">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950" w:type="pct"/>
            <w:vAlign w:val="center"/>
          </w:tcPr>
          <w:p w14:paraId="443BA056">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549F4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72DF5820">
            <w:pPr>
              <w:spacing w:line="300" w:lineRule="exact"/>
              <w:jc w:val="center"/>
              <w:rPr>
                <w:rFonts w:hint="eastAsia" w:ascii="宋体" w:hAnsi="宋体" w:eastAsia="宋体"/>
                <w:color w:val="auto"/>
                <w:sz w:val="21"/>
                <w:szCs w:val="21"/>
              </w:rPr>
            </w:pPr>
          </w:p>
        </w:tc>
        <w:tc>
          <w:tcPr>
            <w:tcW w:w="1270" w:type="pct"/>
            <w:vMerge w:val="continue"/>
            <w:vAlign w:val="center"/>
          </w:tcPr>
          <w:p w14:paraId="2558E281">
            <w:pPr>
              <w:spacing w:line="300" w:lineRule="exact"/>
              <w:jc w:val="center"/>
              <w:rPr>
                <w:rFonts w:hint="eastAsia" w:ascii="宋体" w:hAnsi="宋体" w:eastAsia="宋体"/>
                <w:color w:val="auto"/>
                <w:sz w:val="21"/>
                <w:szCs w:val="21"/>
              </w:rPr>
            </w:pPr>
          </w:p>
        </w:tc>
        <w:tc>
          <w:tcPr>
            <w:tcW w:w="1766" w:type="pct"/>
            <w:vAlign w:val="center"/>
          </w:tcPr>
          <w:p w14:paraId="01EC4A61">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950" w:type="pct"/>
            <w:vAlign w:val="center"/>
          </w:tcPr>
          <w:p w14:paraId="3525143C">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67C15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38C3403A">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270" w:type="pct"/>
            <w:vMerge w:val="restart"/>
            <w:vAlign w:val="center"/>
          </w:tcPr>
          <w:p w14:paraId="69494376">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766" w:type="pct"/>
            <w:vAlign w:val="center"/>
          </w:tcPr>
          <w:p w14:paraId="56274F94">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950" w:type="pct"/>
            <w:vAlign w:val="center"/>
          </w:tcPr>
          <w:p w14:paraId="609E3F63">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59281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333428C5">
            <w:pPr>
              <w:spacing w:line="300" w:lineRule="exact"/>
              <w:jc w:val="center"/>
              <w:rPr>
                <w:rFonts w:hint="eastAsia" w:ascii="宋体" w:hAnsi="宋体" w:eastAsia="宋体"/>
                <w:color w:val="auto"/>
                <w:sz w:val="21"/>
                <w:szCs w:val="21"/>
              </w:rPr>
            </w:pPr>
          </w:p>
        </w:tc>
        <w:tc>
          <w:tcPr>
            <w:tcW w:w="1270" w:type="pct"/>
            <w:vMerge w:val="continue"/>
            <w:vAlign w:val="center"/>
          </w:tcPr>
          <w:p w14:paraId="4C62578A">
            <w:pPr>
              <w:spacing w:line="300" w:lineRule="exact"/>
              <w:jc w:val="center"/>
              <w:rPr>
                <w:rFonts w:hint="eastAsia" w:ascii="宋体" w:hAnsi="宋体" w:eastAsia="宋体"/>
                <w:color w:val="auto"/>
                <w:sz w:val="21"/>
                <w:szCs w:val="21"/>
              </w:rPr>
            </w:pPr>
          </w:p>
        </w:tc>
        <w:tc>
          <w:tcPr>
            <w:tcW w:w="1766" w:type="pct"/>
            <w:vAlign w:val="center"/>
          </w:tcPr>
          <w:p w14:paraId="19EAE01E">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950" w:type="pct"/>
            <w:vAlign w:val="center"/>
          </w:tcPr>
          <w:p w14:paraId="5F00C818">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028A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33AAFEBF">
            <w:pPr>
              <w:spacing w:line="300" w:lineRule="exact"/>
              <w:jc w:val="center"/>
              <w:rPr>
                <w:rFonts w:hint="eastAsia" w:ascii="宋体" w:hAnsi="宋体" w:eastAsia="宋体"/>
                <w:color w:val="auto"/>
                <w:sz w:val="21"/>
                <w:szCs w:val="21"/>
              </w:rPr>
            </w:pPr>
          </w:p>
        </w:tc>
        <w:tc>
          <w:tcPr>
            <w:tcW w:w="1270" w:type="pct"/>
            <w:vMerge w:val="continue"/>
            <w:vAlign w:val="center"/>
          </w:tcPr>
          <w:p w14:paraId="0CE5B01E">
            <w:pPr>
              <w:spacing w:line="300" w:lineRule="exact"/>
              <w:jc w:val="center"/>
              <w:rPr>
                <w:rFonts w:hint="eastAsia" w:ascii="宋体" w:hAnsi="宋体" w:eastAsia="宋体"/>
                <w:color w:val="auto"/>
                <w:sz w:val="21"/>
                <w:szCs w:val="21"/>
              </w:rPr>
            </w:pPr>
          </w:p>
        </w:tc>
        <w:tc>
          <w:tcPr>
            <w:tcW w:w="1766" w:type="pct"/>
            <w:vAlign w:val="center"/>
          </w:tcPr>
          <w:p w14:paraId="17F1FDFD">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950" w:type="pct"/>
            <w:vAlign w:val="center"/>
          </w:tcPr>
          <w:p w14:paraId="72847C3C">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78DD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32CDF082">
            <w:pPr>
              <w:spacing w:line="300" w:lineRule="exact"/>
              <w:jc w:val="center"/>
              <w:rPr>
                <w:rFonts w:hint="eastAsia" w:ascii="宋体" w:hAnsi="宋体" w:eastAsia="宋体"/>
                <w:color w:val="auto"/>
                <w:sz w:val="21"/>
                <w:szCs w:val="21"/>
              </w:rPr>
            </w:pPr>
          </w:p>
        </w:tc>
        <w:tc>
          <w:tcPr>
            <w:tcW w:w="1270" w:type="pct"/>
            <w:vMerge w:val="restart"/>
            <w:vAlign w:val="center"/>
          </w:tcPr>
          <w:p w14:paraId="622AFBC2">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766" w:type="pct"/>
            <w:vAlign w:val="center"/>
          </w:tcPr>
          <w:p w14:paraId="5CF6E420">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950" w:type="pct"/>
            <w:vAlign w:val="center"/>
          </w:tcPr>
          <w:p w14:paraId="04978CD7">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225C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F0D2993">
            <w:pPr>
              <w:spacing w:line="300" w:lineRule="exact"/>
              <w:jc w:val="center"/>
              <w:rPr>
                <w:rFonts w:hint="eastAsia" w:ascii="宋体" w:hAnsi="宋体" w:eastAsia="宋体"/>
                <w:color w:val="auto"/>
                <w:sz w:val="21"/>
                <w:szCs w:val="21"/>
              </w:rPr>
            </w:pPr>
          </w:p>
        </w:tc>
        <w:tc>
          <w:tcPr>
            <w:tcW w:w="1270" w:type="pct"/>
            <w:vMerge w:val="continue"/>
            <w:vAlign w:val="center"/>
          </w:tcPr>
          <w:p w14:paraId="1D0D32DB">
            <w:pPr>
              <w:spacing w:line="300" w:lineRule="exact"/>
              <w:jc w:val="center"/>
              <w:rPr>
                <w:rFonts w:hint="eastAsia" w:ascii="宋体" w:hAnsi="宋体" w:eastAsia="宋体"/>
                <w:color w:val="auto"/>
                <w:sz w:val="21"/>
                <w:szCs w:val="21"/>
              </w:rPr>
            </w:pPr>
          </w:p>
        </w:tc>
        <w:tc>
          <w:tcPr>
            <w:tcW w:w="1766" w:type="pct"/>
            <w:vAlign w:val="center"/>
          </w:tcPr>
          <w:p w14:paraId="6AFF0F67">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950" w:type="pct"/>
            <w:vAlign w:val="center"/>
          </w:tcPr>
          <w:p w14:paraId="3555E666">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r>
      <w:tr w14:paraId="04EB6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60000E6B">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270" w:type="pct"/>
            <w:vAlign w:val="center"/>
          </w:tcPr>
          <w:p w14:paraId="1BB5C6EC">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数量</w:t>
            </w:r>
          </w:p>
        </w:tc>
        <w:tc>
          <w:tcPr>
            <w:tcW w:w="1766" w:type="pct"/>
            <w:vAlign w:val="center"/>
          </w:tcPr>
          <w:p w14:paraId="5EC35A6E">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固投产值</w:t>
            </w:r>
          </w:p>
        </w:tc>
        <w:tc>
          <w:tcPr>
            <w:tcW w:w="950" w:type="pct"/>
            <w:vAlign w:val="center"/>
          </w:tcPr>
          <w:p w14:paraId="4FFC6C51">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14:paraId="7E7C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1EB9C6A">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14:paraId="4C999186">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成本</w:t>
            </w:r>
          </w:p>
        </w:tc>
        <w:tc>
          <w:tcPr>
            <w:tcW w:w="1766" w:type="pct"/>
            <w:vAlign w:val="center"/>
          </w:tcPr>
          <w:p w14:paraId="614B7E62">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950" w:type="pct"/>
            <w:vAlign w:val="center"/>
          </w:tcPr>
          <w:p w14:paraId="5984DB58">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115E2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Align w:val="center"/>
          </w:tcPr>
          <w:p w14:paraId="341B7D93">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270" w:type="pct"/>
            <w:vAlign w:val="center"/>
          </w:tcPr>
          <w:p w14:paraId="1BF3E7A3">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766" w:type="pct"/>
            <w:vAlign w:val="center"/>
          </w:tcPr>
          <w:p w14:paraId="7DFA98D2">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950" w:type="pct"/>
            <w:vAlign w:val="center"/>
          </w:tcPr>
          <w:p w14:paraId="7E489499">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07F9E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049" w:type="pct"/>
            <w:gridSpan w:val="3"/>
            <w:vAlign w:val="center"/>
          </w:tcPr>
          <w:p w14:paraId="4400D5CF">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950" w:type="pct"/>
            <w:vAlign w:val="center"/>
          </w:tcPr>
          <w:p w14:paraId="22ADE429">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bl>
    <w:p w14:paraId="55BB4DA4">
      <w:pPr>
        <w:keepNext w:val="0"/>
        <w:keepLines w:val="0"/>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p>
    <w:p w14:paraId="5ABF8EAB">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3.评价方法</w:t>
      </w:r>
    </w:p>
    <w:p w14:paraId="368B68D4">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本次部门评价采用比较法，将项目实施情况与绩效目标情况进行比较。</w:t>
      </w:r>
    </w:p>
    <w:p w14:paraId="5D5921B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4.评价标准</w:t>
      </w:r>
    </w:p>
    <w:p w14:paraId="1E0BC19E">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本次部门评价以年初的目标、计划、预算、定额等作为评价标准</w:t>
      </w:r>
    </w:p>
    <w:p w14:paraId="64B5F988">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（三）绩效评价工作过程</w:t>
      </w:r>
    </w:p>
    <w:p w14:paraId="31AF58B7">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评价小组对评价资料进行认真梳理，测算分析各项指标，汇总评分并形成评价报告。</w:t>
      </w:r>
    </w:p>
    <w:p w14:paraId="30C111C0">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1.对《项目支出绩效评价管理办法》（财预〔2020〕10号）进行研读，对部门评价有基本的把握和了解，归纳出进一步评价所需的信息。</w:t>
      </w:r>
    </w:p>
    <w:p w14:paraId="49F8CD6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2.集中对各个评价指标逐一进行分析。</w:t>
      </w:r>
    </w:p>
    <w:p w14:paraId="773E0ED6">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3.评价小组汇总分析评价过程中发现的问题并对存在问题进行讨论，分别计算各评价指标所得分数，形成评价结果。</w:t>
      </w:r>
    </w:p>
    <w:p w14:paraId="034FB677">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4.根据评价结果，撰写评价报告。</w:t>
      </w:r>
    </w:p>
    <w:p w14:paraId="65EDA66E">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三、综合评价情况及评价结论</w:t>
      </w:r>
    </w:p>
    <w:p w14:paraId="5A7C5B7D">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项目绩效评价工作小组从项目决策、过程管理、产出等方面分别对该项目进行评价，项目目标设定、决策过程、资金管理、组织实施、项目效果等方面落实情况较好，评价得分</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分，评价等次为优，达到了预期设定的项目绩效目标。</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4"/>
        <w:gridCol w:w="2575"/>
        <w:gridCol w:w="1386"/>
        <w:gridCol w:w="1228"/>
      </w:tblGrid>
      <w:tr w14:paraId="6C0BC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66" w:type="pct"/>
            <w:vAlign w:val="center"/>
          </w:tcPr>
          <w:p w14:paraId="6D46B1B8">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088" w:type="pct"/>
            <w:vAlign w:val="center"/>
          </w:tcPr>
          <w:p w14:paraId="2922D588">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511" w:type="pct"/>
            <w:vAlign w:val="center"/>
          </w:tcPr>
          <w:p w14:paraId="03094E26">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813" w:type="pct"/>
            <w:vAlign w:val="center"/>
          </w:tcPr>
          <w:p w14:paraId="53060674">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c>
          <w:tcPr>
            <w:tcW w:w="720" w:type="pct"/>
            <w:vAlign w:val="center"/>
          </w:tcPr>
          <w:p w14:paraId="39720602">
            <w:pPr>
              <w:autoSpaceDN w:val="0"/>
              <w:spacing w:line="300" w:lineRule="exact"/>
              <w:jc w:val="center"/>
              <w:textAlignment w:val="center"/>
              <w:rPr>
                <w:rFonts w:hint="eastAsia" w:ascii="宋体" w:hAnsi="宋体" w:eastAsia="宋体"/>
                <w:b/>
                <w:bCs w:val="0"/>
                <w:color w:val="auto"/>
                <w:sz w:val="21"/>
                <w:szCs w:val="21"/>
                <w:lang w:val="en-US" w:eastAsia="zh-CN"/>
              </w:rPr>
            </w:pPr>
            <w:r>
              <w:rPr>
                <w:rFonts w:hint="eastAsia" w:ascii="宋体" w:hAnsi="宋体" w:eastAsia="宋体"/>
                <w:b/>
                <w:bCs w:val="0"/>
                <w:color w:val="auto"/>
                <w:sz w:val="21"/>
                <w:szCs w:val="21"/>
                <w:lang w:val="en-US" w:eastAsia="zh-CN"/>
              </w:rPr>
              <w:t>得分</w:t>
            </w:r>
          </w:p>
        </w:tc>
      </w:tr>
      <w:tr w14:paraId="46E5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6661D6CA">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088" w:type="pct"/>
            <w:vMerge w:val="restart"/>
            <w:vAlign w:val="center"/>
          </w:tcPr>
          <w:p w14:paraId="33F0D46E">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511" w:type="pct"/>
            <w:vAlign w:val="center"/>
          </w:tcPr>
          <w:p w14:paraId="67B68779">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813" w:type="pct"/>
            <w:vAlign w:val="center"/>
          </w:tcPr>
          <w:p w14:paraId="2EC080E3">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0D963F58">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1E6D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97C66C7">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268DA915">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475CF0B9">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813" w:type="pct"/>
            <w:vAlign w:val="center"/>
          </w:tcPr>
          <w:p w14:paraId="3E547FCA">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0A34AEEE">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37FF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5F219247">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2C5C03F2">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511" w:type="pct"/>
            <w:vAlign w:val="center"/>
          </w:tcPr>
          <w:p w14:paraId="547A1BD3">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813" w:type="pct"/>
            <w:vAlign w:val="center"/>
          </w:tcPr>
          <w:p w14:paraId="3F43AAEE">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38CFA795">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39ABA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D0914A3">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300D2835">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64ECDB96">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813" w:type="pct"/>
            <w:vAlign w:val="center"/>
          </w:tcPr>
          <w:p w14:paraId="0A646A31">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c>
          <w:tcPr>
            <w:tcW w:w="720" w:type="pct"/>
            <w:vAlign w:val="center"/>
          </w:tcPr>
          <w:p w14:paraId="1A3ABBD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14:paraId="320A1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66552FC5">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359182FB">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511" w:type="pct"/>
            <w:vAlign w:val="center"/>
          </w:tcPr>
          <w:p w14:paraId="04619B16">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813" w:type="pct"/>
            <w:vAlign w:val="center"/>
          </w:tcPr>
          <w:p w14:paraId="6AEACAB4">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1B627DD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2F73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4AA7DB3F">
            <w:pPr>
              <w:spacing w:line="300" w:lineRule="exact"/>
              <w:jc w:val="center"/>
              <w:rPr>
                <w:rFonts w:hint="eastAsia" w:ascii="宋体" w:hAnsi="宋体" w:eastAsia="宋体"/>
                <w:color w:val="auto"/>
                <w:sz w:val="21"/>
                <w:szCs w:val="21"/>
              </w:rPr>
            </w:pPr>
          </w:p>
        </w:tc>
        <w:tc>
          <w:tcPr>
            <w:tcW w:w="1088" w:type="pct"/>
            <w:vMerge w:val="continue"/>
            <w:vAlign w:val="center"/>
          </w:tcPr>
          <w:p w14:paraId="17810E3F">
            <w:pPr>
              <w:spacing w:line="300" w:lineRule="exact"/>
              <w:jc w:val="center"/>
              <w:rPr>
                <w:rFonts w:hint="eastAsia" w:ascii="宋体" w:hAnsi="宋体" w:eastAsia="宋体"/>
                <w:color w:val="auto"/>
                <w:sz w:val="21"/>
                <w:szCs w:val="21"/>
              </w:rPr>
            </w:pPr>
          </w:p>
        </w:tc>
        <w:tc>
          <w:tcPr>
            <w:tcW w:w="1511" w:type="pct"/>
            <w:vAlign w:val="center"/>
          </w:tcPr>
          <w:p w14:paraId="3E3EDDC5">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813" w:type="pct"/>
            <w:vAlign w:val="center"/>
          </w:tcPr>
          <w:p w14:paraId="2BFD6C7E">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01BB0084">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79DB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61C98454">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088" w:type="pct"/>
            <w:vMerge w:val="restart"/>
            <w:vAlign w:val="center"/>
          </w:tcPr>
          <w:p w14:paraId="72FE73B1">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511" w:type="pct"/>
            <w:vAlign w:val="center"/>
          </w:tcPr>
          <w:p w14:paraId="4B7A2A17">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813" w:type="pct"/>
            <w:vAlign w:val="center"/>
          </w:tcPr>
          <w:p w14:paraId="01FD6F1F">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20" w:type="pct"/>
            <w:vAlign w:val="center"/>
          </w:tcPr>
          <w:p w14:paraId="74FDC74D">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36F6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71CC85ED">
            <w:pPr>
              <w:spacing w:line="300" w:lineRule="exact"/>
              <w:jc w:val="center"/>
              <w:rPr>
                <w:rFonts w:hint="eastAsia" w:ascii="宋体" w:hAnsi="宋体" w:eastAsia="宋体"/>
                <w:color w:val="auto"/>
                <w:sz w:val="21"/>
                <w:szCs w:val="21"/>
              </w:rPr>
            </w:pPr>
          </w:p>
        </w:tc>
        <w:tc>
          <w:tcPr>
            <w:tcW w:w="1088" w:type="pct"/>
            <w:vMerge w:val="continue"/>
            <w:vAlign w:val="center"/>
          </w:tcPr>
          <w:p w14:paraId="39EE75DA">
            <w:pPr>
              <w:spacing w:line="300" w:lineRule="exact"/>
              <w:jc w:val="center"/>
              <w:rPr>
                <w:rFonts w:hint="eastAsia" w:ascii="宋体" w:hAnsi="宋体" w:eastAsia="宋体"/>
                <w:color w:val="auto"/>
                <w:sz w:val="21"/>
                <w:szCs w:val="21"/>
              </w:rPr>
            </w:pPr>
          </w:p>
        </w:tc>
        <w:tc>
          <w:tcPr>
            <w:tcW w:w="1511" w:type="pct"/>
            <w:vAlign w:val="center"/>
          </w:tcPr>
          <w:p w14:paraId="5CB28681">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813" w:type="pct"/>
            <w:vAlign w:val="center"/>
          </w:tcPr>
          <w:p w14:paraId="7506AD67">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c>
          <w:tcPr>
            <w:tcW w:w="720" w:type="pct"/>
            <w:vAlign w:val="center"/>
          </w:tcPr>
          <w:p w14:paraId="3B479828">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6FEE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034CC645">
            <w:pPr>
              <w:spacing w:line="300" w:lineRule="exact"/>
              <w:jc w:val="center"/>
              <w:rPr>
                <w:rFonts w:hint="eastAsia" w:ascii="宋体" w:hAnsi="宋体" w:eastAsia="宋体"/>
                <w:color w:val="auto"/>
                <w:sz w:val="21"/>
                <w:szCs w:val="21"/>
              </w:rPr>
            </w:pPr>
          </w:p>
        </w:tc>
        <w:tc>
          <w:tcPr>
            <w:tcW w:w="1088" w:type="pct"/>
            <w:vMerge w:val="continue"/>
            <w:vAlign w:val="center"/>
          </w:tcPr>
          <w:p w14:paraId="01443342">
            <w:pPr>
              <w:spacing w:line="300" w:lineRule="exact"/>
              <w:jc w:val="center"/>
              <w:rPr>
                <w:rFonts w:hint="eastAsia" w:ascii="宋体" w:hAnsi="宋体" w:eastAsia="宋体"/>
                <w:color w:val="auto"/>
                <w:sz w:val="21"/>
                <w:szCs w:val="21"/>
              </w:rPr>
            </w:pPr>
          </w:p>
        </w:tc>
        <w:tc>
          <w:tcPr>
            <w:tcW w:w="1511" w:type="pct"/>
            <w:vAlign w:val="center"/>
          </w:tcPr>
          <w:p w14:paraId="5AD096EE">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813" w:type="pct"/>
            <w:vAlign w:val="center"/>
          </w:tcPr>
          <w:p w14:paraId="451E73DE">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03C7088F">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245FC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12C0BFF6">
            <w:pPr>
              <w:spacing w:line="300" w:lineRule="exact"/>
              <w:jc w:val="center"/>
              <w:rPr>
                <w:rFonts w:hint="eastAsia" w:ascii="宋体" w:hAnsi="宋体" w:eastAsia="宋体"/>
                <w:color w:val="auto"/>
                <w:sz w:val="21"/>
                <w:szCs w:val="21"/>
              </w:rPr>
            </w:pPr>
          </w:p>
        </w:tc>
        <w:tc>
          <w:tcPr>
            <w:tcW w:w="1088" w:type="pct"/>
            <w:vMerge w:val="restart"/>
            <w:vAlign w:val="center"/>
          </w:tcPr>
          <w:p w14:paraId="2F0F03AB">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511" w:type="pct"/>
            <w:vAlign w:val="center"/>
          </w:tcPr>
          <w:p w14:paraId="296C762B">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813" w:type="pct"/>
            <w:vAlign w:val="center"/>
          </w:tcPr>
          <w:p w14:paraId="6AE4F1E0">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3519795C">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02B8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17D1AF9D">
            <w:pPr>
              <w:spacing w:line="300" w:lineRule="exact"/>
              <w:jc w:val="center"/>
              <w:rPr>
                <w:rFonts w:hint="eastAsia" w:ascii="宋体" w:hAnsi="宋体" w:eastAsia="宋体"/>
                <w:color w:val="auto"/>
                <w:sz w:val="21"/>
                <w:szCs w:val="21"/>
              </w:rPr>
            </w:pPr>
          </w:p>
        </w:tc>
        <w:tc>
          <w:tcPr>
            <w:tcW w:w="1088" w:type="pct"/>
            <w:vMerge w:val="continue"/>
            <w:vAlign w:val="center"/>
          </w:tcPr>
          <w:p w14:paraId="175B0A61">
            <w:pPr>
              <w:spacing w:line="300" w:lineRule="exact"/>
              <w:jc w:val="center"/>
              <w:rPr>
                <w:rFonts w:hint="eastAsia" w:ascii="宋体" w:hAnsi="宋体" w:eastAsia="宋体"/>
                <w:color w:val="auto"/>
                <w:sz w:val="21"/>
                <w:szCs w:val="21"/>
              </w:rPr>
            </w:pPr>
          </w:p>
        </w:tc>
        <w:tc>
          <w:tcPr>
            <w:tcW w:w="1511" w:type="pct"/>
            <w:vAlign w:val="center"/>
          </w:tcPr>
          <w:p w14:paraId="060C50B3">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813" w:type="pct"/>
            <w:vAlign w:val="center"/>
          </w:tcPr>
          <w:p w14:paraId="4B85D75D">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c>
          <w:tcPr>
            <w:tcW w:w="720" w:type="pct"/>
            <w:vAlign w:val="center"/>
          </w:tcPr>
          <w:p w14:paraId="75A02EBF">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w:t>
            </w:r>
          </w:p>
        </w:tc>
      </w:tr>
      <w:tr w14:paraId="5925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39975789">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088" w:type="pct"/>
            <w:vAlign w:val="center"/>
          </w:tcPr>
          <w:p w14:paraId="229AE9FE">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数量</w:t>
            </w:r>
          </w:p>
        </w:tc>
        <w:tc>
          <w:tcPr>
            <w:tcW w:w="1511" w:type="pct"/>
            <w:vAlign w:val="center"/>
          </w:tcPr>
          <w:p w14:paraId="6653687B">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固投产值</w:t>
            </w:r>
          </w:p>
        </w:tc>
        <w:tc>
          <w:tcPr>
            <w:tcW w:w="813" w:type="pct"/>
            <w:vAlign w:val="center"/>
          </w:tcPr>
          <w:p w14:paraId="203493E0">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c>
          <w:tcPr>
            <w:tcW w:w="720" w:type="pct"/>
            <w:vAlign w:val="center"/>
          </w:tcPr>
          <w:p w14:paraId="3C8882DC">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14:paraId="53EBC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9566DB5">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088" w:type="pct"/>
            <w:vAlign w:val="center"/>
          </w:tcPr>
          <w:p w14:paraId="2449147E">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成本</w:t>
            </w:r>
          </w:p>
        </w:tc>
        <w:tc>
          <w:tcPr>
            <w:tcW w:w="1511" w:type="pct"/>
            <w:vAlign w:val="center"/>
          </w:tcPr>
          <w:p w14:paraId="15AD618B">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813" w:type="pct"/>
            <w:vAlign w:val="center"/>
          </w:tcPr>
          <w:p w14:paraId="6EA00909">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4297C726">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3BE4D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Align w:val="center"/>
          </w:tcPr>
          <w:p w14:paraId="343CD4F0">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088" w:type="pct"/>
            <w:vAlign w:val="center"/>
          </w:tcPr>
          <w:p w14:paraId="5952BD4E">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511" w:type="pct"/>
            <w:vAlign w:val="center"/>
          </w:tcPr>
          <w:p w14:paraId="68CD2F0D">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813" w:type="pct"/>
            <w:vAlign w:val="center"/>
          </w:tcPr>
          <w:p w14:paraId="7DF9E07C">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089DEC08">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3C5F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66892991">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813" w:type="pct"/>
            <w:vAlign w:val="center"/>
          </w:tcPr>
          <w:p w14:paraId="2666A3C9">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c>
          <w:tcPr>
            <w:tcW w:w="720" w:type="pct"/>
            <w:vAlign w:val="center"/>
          </w:tcPr>
          <w:p w14:paraId="1B158D93">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r w14:paraId="47DC5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466D0ABD">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rPr>
              <w:t>评价等次</w:t>
            </w:r>
          </w:p>
        </w:tc>
        <w:tc>
          <w:tcPr>
            <w:tcW w:w="813" w:type="pct"/>
            <w:vAlign w:val="center"/>
          </w:tcPr>
          <w:p w14:paraId="78DE76B6">
            <w:pPr>
              <w:autoSpaceDN w:val="0"/>
              <w:spacing w:line="300" w:lineRule="exact"/>
              <w:jc w:val="center"/>
              <w:textAlignment w:val="center"/>
              <w:rPr>
                <w:rFonts w:hint="eastAsia" w:ascii="宋体" w:hAnsi="宋体" w:eastAsia="宋体"/>
                <w:b/>
                <w:bCs/>
                <w:color w:val="auto"/>
                <w:sz w:val="21"/>
                <w:szCs w:val="21"/>
                <w:lang w:val="en-US" w:eastAsia="zh-CN"/>
              </w:rPr>
            </w:pPr>
          </w:p>
        </w:tc>
        <w:tc>
          <w:tcPr>
            <w:tcW w:w="720" w:type="pct"/>
            <w:vAlign w:val="center"/>
          </w:tcPr>
          <w:p w14:paraId="05A858F0">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优</w:t>
            </w:r>
          </w:p>
        </w:tc>
      </w:tr>
    </w:tbl>
    <w:p w14:paraId="46B66CA0">
      <w:pPr>
        <w:keepNext w:val="0"/>
        <w:keepLines w:val="0"/>
        <w:pageBreakBefore w:val="0"/>
        <w:kinsoku/>
        <w:wordWrap/>
        <w:overflowPunct/>
        <w:topLinePunct w:val="0"/>
        <w:autoSpaceDE/>
        <w:bidi w:val="0"/>
        <w:adjustRightInd/>
        <w:snapToGrid/>
        <w:spacing w:line="560" w:lineRule="exact"/>
        <w:ind w:firstLine="640" w:firstLineChars="200"/>
        <w:rPr>
          <w:rFonts w:hint="eastAsia" w:ascii="黑体" w:hAnsi="黑体" w:eastAsia="黑体" w:cs="黑体"/>
          <w:sz w:val="32"/>
          <w:szCs w:val="32"/>
          <w:highlight w:val="none"/>
        </w:rPr>
      </w:pPr>
    </w:p>
    <w:p w14:paraId="5C969E6E">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14:paraId="0157CEDE">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（一）项目决策情况</w:t>
      </w:r>
    </w:p>
    <w:p w14:paraId="720BF17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Calibri" w:eastAsia="仿宋_GB2312" w:cs="仿宋_GB2312"/>
          <w:kern w:val="0"/>
          <w:sz w:val="32"/>
          <w:szCs w:val="32"/>
          <w:highlight w:val="none"/>
          <w:lang w:val="en-US" w:eastAsia="zh-CN" w:bidi="ar"/>
        </w:rPr>
        <w:t>项目</w:t>
      </w:r>
      <w:r>
        <w:rPr>
          <w:rFonts w:hint="eastAsia" w:ascii="仿宋_GB2312" w:hAnsi="仿宋_GB2312" w:eastAsia="仿宋_GB2312" w:cs="仿宋_GB2312"/>
          <w:sz w:val="32"/>
          <w:szCs w:val="32"/>
          <w:highlight w:val="none"/>
        </w:rPr>
        <w:t>是完善江东新区“七横八纵”骨干道路网结构的必要内容，同时也是完善城市地下管网，美化城市居住环境的需要</w:t>
      </w:r>
      <w:r>
        <w:rPr>
          <w:rFonts w:hint="eastAsia" w:ascii="仿宋_GB2312" w:hAnsi="Calibri" w:eastAsia="仿宋_GB2312" w:cs="仿宋_GB2312"/>
          <w:kern w:val="0"/>
          <w:sz w:val="32"/>
          <w:szCs w:val="32"/>
          <w:highlight w:val="none"/>
          <w:lang w:val="en-US" w:eastAsia="zh-CN" w:bidi="ar"/>
        </w:rPr>
        <w:t>。</w:t>
      </w:r>
      <w:r>
        <w:rPr>
          <w:rFonts w:hint="eastAsia" w:ascii="仿宋_GB2312" w:hAnsi="仿宋_GB2312" w:eastAsia="仿宋_GB2312" w:cs="仿宋_GB2312"/>
          <w:sz w:val="32"/>
          <w:szCs w:val="32"/>
          <w:highlight w:val="none"/>
        </w:rPr>
        <w:t>该项目列入海口市政府投资项目计划。项目设定了绩效目标，绩效目标与实际工作内容具有相关性。项目预算编制科学合理，预算资金分配依据充分。</w:t>
      </w:r>
    </w:p>
    <w:p w14:paraId="16E797E0">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（二）项目过程情况</w:t>
      </w:r>
    </w:p>
    <w:p w14:paraId="1595C10B">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2020年我局制定并印发了《政府投资项目管理办法（试行）》，建立了有效的项目管理制度，保证了项目安全有效运行，确保了项目顺利实施，取得明显成效。项目资金支付严格履行审批程序，使用规范，会计核算结果真实、准确。此次绩效评价过程中未发现挤占或挪用项目资金的情况。</w:t>
      </w:r>
    </w:p>
    <w:p w14:paraId="1D0AC85F">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年共到位资金</w:t>
      </w:r>
      <w:r>
        <w:rPr>
          <w:rFonts w:hint="eastAsia" w:ascii="仿宋_GB2312" w:hAnsi="仿宋_GB2312" w:eastAsia="仿宋_GB2312" w:cs="仿宋_GB2312"/>
          <w:sz w:val="32"/>
          <w:szCs w:val="32"/>
          <w:highlight w:val="none"/>
          <w:lang w:val="en-US" w:eastAsia="zh-CN"/>
        </w:rPr>
        <w:t>6453.22</w:t>
      </w:r>
      <w:r>
        <w:rPr>
          <w:rFonts w:hint="eastAsia" w:ascii="仿宋_GB2312" w:hAnsi="仿宋_GB2312" w:eastAsia="仿宋_GB2312" w:cs="仿宋_GB2312"/>
          <w:sz w:val="32"/>
          <w:szCs w:val="32"/>
          <w:highlight w:val="none"/>
        </w:rPr>
        <w:t>万元，</w:t>
      </w:r>
      <w:r>
        <w:rPr>
          <w:rFonts w:hint="eastAsia" w:ascii="仿宋_GB2312" w:hAnsi="Times New Roman" w:eastAsia="仿宋_GB2312" w:cs="仿宋_GB2312"/>
          <w:sz w:val="32"/>
          <w:szCs w:val="32"/>
          <w:highlight w:val="none"/>
          <w:lang w:val="en-US" w:eastAsia="zh-CN" w:bidi="ar"/>
        </w:rPr>
        <w:t>截至2025年12月31日</w:t>
      </w:r>
      <w:r>
        <w:rPr>
          <w:rFonts w:hint="eastAsia" w:ascii="仿宋_GB2312" w:hAnsi="Times New Roman" w:eastAsia="仿宋_GB2312" w:cs="仿宋_GB2312"/>
          <w:sz w:val="32"/>
          <w:szCs w:val="32"/>
          <w:highlight w:val="none"/>
          <w:lang w:bidi="ar"/>
        </w:rPr>
        <w:t>支出</w:t>
      </w:r>
      <w:r>
        <w:rPr>
          <w:rFonts w:hint="eastAsia" w:ascii="仿宋_GB2312" w:hAnsi="Times New Roman" w:eastAsia="仿宋_GB2312" w:cs="仿宋_GB2312"/>
          <w:sz w:val="32"/>
          <w:szCs w:val="32"/>
          <w:highlight w:val="none"/>
          <w:lang w:val="en-US" w:eastAsia="zh-CN" w:bidi="ar"/>
        </w:rPr>
        <w:t>率100</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eastAsia="zh-CN" w:bidi="ar"/>
        </w:rPr>
        <w:t>。</w:t>
      </w:r>
    </w:p>
    <w:p w14:paraId="59095ED2">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（三）项目产出情况</w:t>
      </w:r>
    </w:p>
    <w:p w14:paraId="5BDDE25A">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该项目资金到位及时，项目顺利实施，</w:t>
      </w:r>
      <w:r>
        <w:rPr>
          <w:rFonts w:hint="eastAsia" w:ascii="仿宋_GB2312" w:hAnsi="仿宋_GB2312" w:eastAsia="仿宋_GB2312" w:cs="仿宋_GB2312"/>
          <w:sz w:val="32"/>
          <w:szCs w:val="32"/>
          <w:highlight w:val="none"/>
          <w:lang w:val="en-US" w:eastAsia="zh-CN"/>
        </w:rPr>
        <w:t>2025年年底</w:t>
      </w:r>
      <w:r>
        <w:rPr>
          <w:rFonts w:hint="eastAsia" w:ascii="仿宋_GB2312" w:hAnsi="仿宋_GB2312" w:eastAsia="仿宋_GB2312" w:cs="仿宋_GB2312"/>
          <w:sz w:val="32"/>
          <w:szCs w:val="32"/>
          <w:highlight w:val="none"/>
        </w:rPr>
        <w:t>已完成项目总体</w:t>
      </w:r>
      <w:r>
        <w:rPr>
          <w:rFonts w:hint="eastAsia" w:ascii="仿宋_GB2312" w:hAnsi="仿宋_GB2312" w:eastAsia="仿宋_GB2312" w:cs="仿宋_GB2312"/>
          <w:sz w:val="32"/>
          <w:szCs w:val="32"/>
          <w:highlight w:val="none"/>
          <w:lang w:val="en-US" w:eastAsia="zh-CN"/>
        </w:rPr>
        <w:t>67</w:t>
      </w:r>
      <w:r>
        <w:rPr>
          <w:rFonts w:hint="eastAsia" w:ascii="仿宋_GB2312" w:hAnsi="仿宋_GB2312" w:eastAsia="仿宋_GB2312" w:cs="仿宋_GB2312"/>
          <w:sz w:val="32"/>
          <w:szCs w:val="32"/>
          <w:highlight w:val="none"/>
        </w:rPr>
        <w:t>%的形象进度。项目完成程度较好，实现了预定预算目标。</w:t>
      </w:r>
    </w:p>
    <w:p w14:paraId="32A2B05F">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（四）项目效益情况</w:t>
      </w:r>
    </w:p>
    <w:p w14:paraId="232C5651">
      <w:pPr>
        <w:adjustRightInd w:val="0"/>
        <w:snapToGrid w:val="0"/>
        <w:spacing w:line="4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kern w:val="2"/>
          <w:sz w:val="32"/>
          <w:szCs w:val="32"/>
          <w:highlight w:val="none"/>
          <w:lang w:val="en-US" w:eastAsia="zh-CN" w:bidi="ar"/>
        </w:rPr>
        <w:t>项目建成后可满足老城区引电进入机场的功能需求，为江东变电站（220kV）、潭连变（220kV）、龙泉变（220kV）、空港变（110kV）之间的高压电力通道，对于保障美兰机场二期及桂林洋片区的电力供应起到至关重要的作用。该项目也是临空片区重要市政管线主通道，有利于完善江东新区的主干道路网结构，提升江东新区基础设施建设水平，为区域经济发展提供坚实基础。</w:t>
      </w:r>
    </w:p>
    <w:p w14:paraId="1EFA7365">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五、主要经验及做法、存在的问题及原因分析</w:t>
      </w:r>
    </w:p>
    <w:p w14:paraId="4C203F1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55E4EC83">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六、有关建议</w:t>
      </w:r>
    </w:p>
    <w:p w14:paraId="02F6553B">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3B43C42A">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七、其他需要说明的问题</w:t>
      </w:r>
    </w:p>
    <w:p w14:paraId="5997101A">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43779">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709FD0">
                          <w:pPr>
                            <w:pStyle w:val="5"/>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39709FD0">
                    <w:pPr>
                      <w:pStyle w:val="5"/>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051231"/>
    <w:multiLevelType w:val="singleLevel"/>
    <w:tmpl w:val="3B05123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435E1F18"/>
    <w:rsid w:val="003B3E31"/>
    <w:rsid w:val="006D65BE"/>
    <w:rsid w:val="00BE4EB8"/>
    <w:rsid w:val="00D4065E"/>
    <w:rsid w:val="00D57EB4"/>
    <w:rsid w:val="02233DF4"/>
    <w:rsid w:val="023A5912"/>
    <w:rsid w:val="02746393"/>
    <w:rsid w:val="02CB6390"/>
    <w:rsid w:val="03B06FF5"/>
    <w:rsid w:val="03E84332"/>
    <w:rsid w:val="040B460D"/>
    <w:rsid w:val="04621786"/>
    <w:rsid w:val="04BC74B0"/>
    <w:rsid w:val="05787E8E"/>
    <w:rsid w:val="0626600A"/>
    <w:rsid w:val="06F95DEE"/>
    <w:rsid w:val="07D06FDE"/>
    <w:rsid w:val="08093106"/>
    <w:rsid w:val="08AF5C9C"/>
    <w:rsid w:val="095D2016"/>
    <w:rsid w:val="0A092149"/>
    <w:rsid w:val="0A787E3B"/>
    <w:rsid w:val="0A7B121A"/>
    <w:rsid w:val="0AC273C6"/>
    <w:rsid w:val="0AC94BD1"/>
    <w:rsid w:val="0BD17C84"/>
    <w:rsid w:val="0BDE5F87"/>
    <w:rsid w:val="0DBB40F2"/>
    <w:rsid w:val="0DE47EA0"/>
    <w:rsid w:val="0E9A79D6"/>
    <w:rsid w:val="111C1707"/>
    <w:rsid w:val="11E903EC"/>
    <w:rsid w:val="11FB7553"/>
    <w:rsid w:val="12593F2B"/>
    <w:rsid w:val="126332E8"/>
    <w:rsid w:val="12AB34F1"/>
    <w:rsid w:val="133F53C7"/>
    <w:rsid w:val="135734FF"/>
    <w:rsid w:val="137C172A"/>
    <w:rsid w:val="14B51D19"/>
    <w:rsid w:val="14FA1115"/>
    <w:rsid w:val="154455E1"/>
    <w:rsid w:val="15481788"/>
    <w:rsid w:val="1652225F"/>
    <w:rsid w:val="16630DA5"/>
    <w:rsid w:val="1682257B"/>
    <w:rsid w:val="180C39B2"/>
    <w:rsid w:val="18DB6AA1"/>
    <w:rsid w:val="190A44B1"/>
    <w:rsid w:val="19263C3A"/>
    <w:rsid w:val="19316574"/>
    <w:rsid w:val="19795372"/>
    <w:rsid w:val="19AA72EE"/>
    <w:rsid w:val="1AC1553C"/>
    <w:rsid w:val="1B007691"/>
    <w:rsid w:val="1CB1400C"/>
    <w:rsid w:val="1D92778D"/>
    <w:rsid w:val="1DBB2B25"/>
    <w:rsid w:val="1E0B74B8"/>
    <w:rsid w:val="1E122B23"/>
    <w:rsid w:val="1E312225"/>
    <w:rsid w:val="1E5510E3"/>
    <w:rsid w:val="1F25228A"/>
    <w:rsid w:val="1F28277B"/>
    <w:rsid w:val="1F3C513A"/>
    <w:rsid w:val="20281024"/>
    <w:rsid w:val="20B5758E"/>
    <w:rsid w:val="21AF66F9"/>
    <w:rsid w:val="22F95FB5"/>
    <w:rsid w:val="23335B9D"/>
    <w:rsid w:val="23EF1B0E"/>
    <w:rsid w:val="247A1B51"/>
    <w:rsid w:val="24A06A9A"/>
    <w:rsid w:val="25900E53"/>
    <w:rsid w:val="27E81586"/>
    <w:rsid w:val="288D2DA2"/>
    <w:rsid w:val="28B735AC"/>
    <w:rsid w:val="29B57C78"/>
    <w:rsid w:val="2A565074"/>
    <w:rsid w:val="2AB57C33"/>
    <w:rsid w:val="2AE457DA"/>
    <w:rsid w:val="2B336677"/>
    <w:rsid w:val="2C192B4A"/>
    <w:rsid w:val="2C8221BC"/>
    <w:rsid w:val="2D7160E8"/>
    <w:rsid w:val="2D9F1EA3"/>
    <w:rsid w:val="2DA417DD"/>
    <w:rsid w:val="2E9826F7"/>
    <w:rsid w:val="30483FA0"/>
    <w:rsid w:val="30BB4EA6"/>
    <w:rsid w:val="31437427"/>
    <w:rsid w:val="326C58E4"/>
    <w:rsid w:val="340F7934"/>
    <w:rsid w:val="34C8661B"/>
    <w:rsid w:val="35F728BC"/>
    <w:rsid w:val="3714005C"/>
    <w:rsid w:val="37372992"/>
    <w:rsid w:val="37C51992"/>
    <w:rsid w:val="38042CB3"/>
    <w:rsid w:val="38B37090"/>
    <w:rsid w:val="390C1A27"/>
    <w:rsid w:val="39AF6F81"/>
    <w:rsid w:val="3ABA6910"/>
    <w:rsid w:val="3B0A2EB0"/>
    <w:rsid w:val="3B500164"/>
    <w:rsid w:val="3B59178B"/>
    <w:rsid w:val="3BD878AB"/>
    <w:rsid w:val="3C444B0B"/>
    <w:rsid w:val="3CAC15D5"/>
    <w:rsid w:val="3E4B066F"/>
    <w:rsid w:val="3F352CBA"/>
    <w:rsid w:val="3FBB4BCB"/>
    <w:rsid w:val="405D14CB"/>
    <w:rsid w:val="4096439B"/>
    <w:rsid w:val="41253788"/>
    <w:rsid w:val="418D0587"/>
    <w:rsid w:val="41B37671"/>
    <w:rsid w:val="435E1F18"/>
    <w:rsid w:val="437C46E2"/>
    <w:rsid w:val="44273DE2"/>
    <w:rsid w:val="449F4DAD"/>
    <w:rsid w:val="44B278BB"/>
    <w:rsid w:val="44B939E4"/>
    <w:rsid w:val="461E0D18"/>
    <w:rsid w:val="464F2DD5"/>
    <w:rsid w:val="467C5C77"/>
    <w:rsid w:val="47C55320"/>
    <w:rsid w:val="49AC56A5"/>
    <w:rsid w:val="49B72F9D"/>
    <w:rsid w:val="49C0331C"/>
    <w:rsid w:val="4A663CDD"/>
    <w:rsid w:val="4A965392"/>
    <w:rsid w:val="4AA6125F"/>
    <w:rsid w:val="4B5A13DB"/>
    <w:rsid w:val="4B820499"/>
    <w:rsid w:val="4C1448F5"/>
    <w:rsid w:val="4C625BDA"/>
    <w:rsid w:val="4D2F07A0"/>
    <w:rsid w:val="4D650FE4"/>
    <w:rsid w:val="4DF033CB"/>
    <w:rsid w:val="4DFF0279"/>
    <w:rsid w:val="4E414DDC"/>
    <w:rsid w:val="4E583744"/>
    <w:rsid w:val="4FB54242"/>
    <w:rsid w:val="5062117E"/>
    <w:rsid w:val="52C426C7"/>
    <w:rsid w:val="541D6ACC"/>
    <w:rsid w:val="54D85B6D"/>
    <w:rsid w:val="54E47B8F"/>
    <w:rsid w:val="54FE4F3A"/>
    <w:rsid w:val="55A57892"/>
    <w:rsid w:val="568D0438"/>
    <w:rsid w:val="578A390E"/>
    <w:rsid w:val="57D636C9"/>
    <w:rsid w:val="59D74C62"/>
    <w:rsid w:val="59E1651D"/>
    <w:rsid w:val="5A3B0856"/>
    <w:rsid w:val="5A47702B"/>
    <w:rsid w:val="5A4B6F13"/>
    <w:rsid w:val="5A6A1704"/>
    <w:rsid w:val="5A6A79F7"/>
    <w:rsid w:val="5BF510A0"/>
    <w:rsid w:val="5D6C257F"/>
    <w:rsid w:val="5E9842F9"/>
    <w:rsid w:val="5F367622"/>
    <w:rsid w:val="5F3F3404"/>
    <w:rsid w:val="5F905550"/>
    <w:rsid w:val="61355784"/>
    <w:rsid w:val="61394EFD"/>
    <w:rsid w:val="617F6B7B"/>
    <w:rsid w:val="61AB5485"/>
    <w:rsid w:val="62806640"/>
    <w:rsid w:val="63636628"/>
    <w:rsid w:val="64754794"/>
    <w:rsid w:val="65411CA7"/>
    <w:rsid w:val="65694914"/>
    <w:rsid w:val="663C7C5F"/>
    <w:rsid w:val="66A926CB"/>
    <w:rsid w:val="67B21E4C"/>
    <w:rsid w:val="68024B96"/>
    <w:rsid w:val="68903265"/>
    <w:rsid w:val="6A893A8D"/>
    <w:rsid w:val="6B657B2B"/>
    <w:rsid w:val="6C02565A"/>
    <w:rsid w:val="6C7A1EB6"/>
    <w:rsid w:val="6C8B5B44"/>
    <w:rsid w:val="6E6678AD"/>
    <w:rsid w:val="6E6E68A0"/>
    <w:rsid w:val="6E755ABD"/>
    <w:rsid w:val="6E775CD9"/>
    <w:rsid w:val="6EB377AA"/>
    <w:rsid w:val="6FB6700B"/>
    <w:rsid w:val="701D3C49"/>
    <w:rsid w:val="710022AC"/>
    <w:rsid w:val="725E09BE"/>
    <w:rsid w:val="727437E0"/>
    <w:rsid w:val="74C3652D"/>
    <w:rsid w:val="757F5777"/>
    <w:rsid w:val="75EF1237"/>
    <w:rsid w:val="764C182F"/>
    <w:rsid w:val="7654409C"/>
    <w:rsid w:val="7704672F"/>
    <w:rsid w:val="77175582"/>
    <w:rsid w:val="77B83C97"/>
    <w:rsid w:val="78755B31"/>
    <w:rsid w:val="791F742A"/>
    <w:rsid w:val="79DF2334"/>
    <w:rsid w:val="7B2F66D1"/>
    <w:rsid w:val="7B302324"/>
    <w:rsid w:val="7B76655D"/>
    <w:rsid w:val="7BBF5BC9"/>
    <w:rsid w:val="7CE205E6"/>
    <w:rsid w:val="7CE7227B"/>
    <w:rsid w:val="7D1D1C9F"/>
    <w:rsid w:val="7EDF397E"/>
    <w:rsid w:val="7F1E2C66"/>
    <w:rsid w:val="7FAF3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964"/>
    </w:pPr>
  </w:style>
  <w:style w:type="paragraph" w:styleId="3">
    <w:name w:val="annotation text"/>
    <w:basedOn w:val="1"/>
    <w:autoRedefine/>
    <w:qFormat/>
    <w:uiPriority w:val="0"/>
    <w:pPr>
      <w:jc w:val="left"/>
    </w:pPr>
  </w:style>
  <w:style w:type="paragraph" w:styleId="4">
    <w:name w:val="Body Text Indent"/>
    <w:basedOn w:val="1"/>
    <w:autoRedefine/>
    <w:unhideWhenUsed/>
    <w:qFormat/>
    <w:uiPriority w:val="99"/>
    <w:pPr>
      <w:spacing w:after="120"/>
      <w:ind w:left="420" w:left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autoRedefine/>
    <w:qFormat/>
    <w:uiPriority w:val="0"/>
    <w:pPr>
      <w:spacing w:before="240" w:after="60"/>
      <w:jc w:val="center"/>
    </w:pPr>
    <w:rPr>
      <w:rFonts w:asciiTheme="majorHAnsi" w:hAnsiTheme="majorHAnsi" w:eastAsiaTheme="majorEastAsia" w:cstheme="majorBidi"/>
      <w:b/>
      <w:bCs/>
      <w:szCs w:val="32"/>
    </w:rPr>
  </w:style>
  <w:style w:type="paragraph" w:styleId="8">
    <w:name w:val="Body Text First Indent 2"/>
    <w:basedOn w:val="4"/>
    <w:autoRedefine/>
    <w:unhideWhenUsed/>
    <w:qFormat/>
    <w:uiPriority w:val="99"/>
    <w:pPr>
      <w:ind w:firstLine="420" w:firstLineChars="200"/>
    </w:pPr>
  </w:style>
  <w:style w:type="character" w:styleId="11">
    <w:name w:val="annotation reference"/>
    <w:basedOn w:val="10"/>
    <w:autoRedefine/>
    <w:qFormat/>
    <w:uiPriority w:val="0"/>
    <w:rPr>
      <w:sz w:val="21"/>
      <w:szCs w:val="21"/>
    </w:rPr>
  </w:style>
  <w:style w:type="character" w:customStyle="1" w:styleId="12">
    <w:name w:val="页眉 字符"/>
    <w:basedOn w:val="10"/>
    <w:link w:val="6"/>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dcaec1e2-f62f-4df8-8428-7bed296c9597</errorID>
      <errorWord>，</errorWord>
      <group>L1_Punc</group>
      <groupName>标点问题</groupName>
      <ability>L2_Punc</ability>
      <abilityName>标点符号检查</abilityName>
      <candidateList>
        <item>；</item>
      </candidateList>
      <explain/>
      <paraID> 76A6985</paraID>
      <start>245</start>
      <end>246</end>
      <status>unmodified</status>
      <modifiedWord/>
      <trackRevisions>false</trackRevisions>
    </reviewItem>
    <reviewItem>
      <errorID>e5d6c645-ab6e-45ab-8500-2f505a22d7df</errorID>
      <errorWord>地</errorWord>
      <group>L1_Word</group>
      <groupName>字词问题</groupName>
      <ability>L2_DDD</ability>
      <abilityName>的地得用法</abilityName>
      <candidateList>
        <item>的</item>
      </candidateList>
      <explain>“的”常用于连接修饰语与名词性中心语，表示属性、所属或描述。</explain>
      <paraID>6E61C621</paraID>
      <start>38</start>
      <end>39</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105ecc-8b46-4c26-87d4-0863a5d4f287}">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1976</Words>
  <Characters>2129</Characters>
  <Lines>1</Lines>
  <Paragraphs>1</Paragraphs>
  <TotalTime>5</TotalTime>
  <ScaleCrop>false</ScaleCrop>
  <LinksUpToDate>false</LinksUpToDate>
  <CharactersWithSpaces>2130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2021-09-30T09:36:00Z</dcterms:created>
  <dc:creator>恋</dc:creator>
  <cp:lastModifiedBy>zoe</cp:lastModifiedBy>
  <dcterms:modified xsi:type="dcterms:W3CDTF">2026-05-07T09:47:45Z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42F10E828CB34C27A3BCB862714B8601_13</vt:lpwstr>
  </property>
  <property fmtid="{D5CDD505-2E9C-101B-9397-08002B2CF9AE}" pid="4" name="KSOTemplateDocerSaveRecord">
    <vt:lpwstr>eyJoZGlkIjoiZjc4NmJlMjNhZDU3M2ZmYTE4YmFkYzFlYWU3NzhmZGMiLCJ1c2VySWQiOiIxNDA0OTg0NTc4In0=</vt:lpwstr>
  </property>
</Properties>
</file>