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9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海口江东新区管理局</w:t>
      </w:r>
    </w:p>
    <w:p w14:paraId="7D088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2025年创新研究与管理项目</w:t>
      </w:r>
    </w:p>
    <w:p w14:paraId="7694A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支出绩效评价报告</w:t>
      </w:r>
    </w:p>
    <w:p w14:paraId="5EAF84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 w14:paraId="1BF410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一、基本情况</w:t>
      </w:r>
    </w:p>
    <w:p w14:paraId="386C01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（一）项目概况</w:t>
      </w:r>
    </w:p>
    <w:p w14:paraId="094635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1.项目背景及主要内容</w:t>
      </w:r>
    </w:p>
    <w:p w14:paraId="0B73DE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主要用于我局综合性事务以外的各类委托业务支出，开展行业研究，更加有针对性地开展招商引资；开展“十四五”规划、产业落地行动方案、服务贸易制度研究，优化江东新区产业布局，助力自贸港建设；开展制度创新研究，为江东新区发展提供制度保障；开展营商环境研究，提出优化营商环境的创新建议，吸引企业落地等多个方面。</w:t>
      </w:r>
    </w:p>
    <w:p w14:paraId="3E614E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2.资金投入和使用情况</w:t>
      </w:r>
    </w:p>
    <w:p w14:paraId="2FB3F7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根据2025年初部门预算安排情况，下达我局创新研究与管理项目1439万元，全年预算数1812万元，全年已支出1531万元，支出完成率84.52%。</w:t>
      </w:r>
    </w:p>
    <w:p w14:paraId="3D7E4B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（二）项目绩效目标</w:t>
      </w:r>
    </w:p>
    <w:p w14:paraId="6053B4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该项目属于非跨年度经常性项目，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2025年年度目标是保障各项业务工作有序开展。具体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绩效目标如下：</w:t>
      </w:r>
    </w:p>
    <w:tbl>
      <w:tblPr>
        <w:tblStyle w:val="5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787"/>
        <w:gridCol w:w="2450"/>
        <w:gridCol w:w="1063"/>
        <w:gridCol w:w="1087"/>
        <w:gridCol w:w="1277"/>
      </w:tblGrid>
      <w:tr w14:paraId="0DC31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280" w:type="dxa"/>
            <w:vAlign w:val="center"/>
          </w:tcPr>
          <w:p w14:paraId="71CF13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787" w:type="dxa"/>
            <w:vAlign w:val="center"/>
          </w:tcPr>
          <w:p w14:paraId="4035CF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2450" w:type="dxa"/>
            <w:vAlign w:val="center"/>
          </w:tcPr>
          <w:p w14:paraId="53E2F0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063" w:type="dxa"/>
            <w:vAlign w:val="center"/>
          </w:tcPr>
          <w:p w14:paraId="445F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lang w:val="en-US" w:eastAsia="zh-CN"/>
              </w:rPr>
              <w:t>指标性质</w:t>
            </w:r>
          </w:p>
        </w:tc>
        <w:tc>
          <w:tcPr>
            <w:tcW w:w="1087" w:type="dxa"/>
            <w:vAlign w:val="center"/>
          </w:tcPr>
          <w:p w14:paraId="6B738C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度量单位</w:t>
            </w:r>
          </w:p>
        </w:tc>
        <w:tc>
          <w:tcPr>
            <w:tcW w:w="1277" w:type="dxa"/>
            <w:vAlign w:val="center"/>
          </w:tcPr>
          <w:p w14:paraId="56FD0F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年度指标值</w:t>
            </w:r>
          </w:p>
        </w:tc>
      </w:tr>
      <w:tr w14:paraId="31E3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80" w:type="dxa"/>
            <w:vAlign w:val="center"/>
          </w:tcPr>
          <w:p w14:paraId="6B15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61EB2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35AAA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创新课题数量</w:t>
            </w:r>
          </w:p>
        </w:tc>
        <w:tc>
          <w:tcPr>
            <w:tcW w:w="1063" w:type="dxa"/>
            <w:vAlign w:val="center"/>
          </w:tcPr>
          <w:p w14:paraId="61019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3EAE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vAlign w:val="center"/>
          </w:tcPr>
          <w:p w14:paraId="76390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7FA22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153B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04834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158F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控规编制（修编）数量</w:t>
            </w:r>
          </w:p>
        </w:tc>
        <w:tc>
          <w:tcPr>
            <w:tcW w:w="1063" w:type="dxa"/>
            <w:vAlign w:val="center"/>
          </w:tcPr>
          <w:p w14:paraId="24E8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7F5A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vAlign w:val="center"/>
          </w:tcPr>
          <w:p w14:paraId="7CE8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900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62DF9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54262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143BD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政府投资项目评审数量（可研+概算）</w:t>
            </w:r>
          </w:p>
        </w:tc>
        <w:tc>
          <w:tcPr>
            <w:tcW w:w="1063" w:type="dxa"/>
            <w:vAlign w:val="center"/>
          </w:tcPr>
          <w:p w14:paraId="75539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45607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vAlign w:val="center"/>
          </w:tcPr>
          <w:p w14:paraId="5A31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 w14:paraId="7F78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3F13B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7BB3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50" w:type="dxa"/>
            <w:vAlign w:val="center"/>
          </w:tcPr>
          <w:p w14:paraId="4266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研究成果验收通过率</w:t>
            </w:r>
          </w:p>
        </w:tc>
        <w:tc>
          <w:tcPr>
            <w:tcW w:w="1063" w:type="dxa"/>
            <w:vAlign w:val="center"/>
          </w:tcPr>
          <w:p w14:paraId="3ADD3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 w14:paraId="2075D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4153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159F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3A95A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110D0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50" w:type="dxa"/>
            <w:vAlign w:val="center"/>
          </w:tcPr>
          <w:p w14:paraId="10AA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总规编制（修编）验收通过率</w:t>
            </w:r>
          </w:p>
        </w:tc>
        <w:tc>
          <w:tcPr>
            <w:tcW w:w="1063" w:type="dxa"/>
            <w:vAlign w:val="center"/>
          </w:tcPr>
          <w:p w14:paraId="4AFCE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 w14:paraId="7B622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406D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35E7A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47370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87" w:type="dxa"/>
            <w:vAlign w:val="center"/>
          </w:tcPr>
          <w:p w14:paraId="751F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50" w:type="dxa"/>
            <w:vAlign w:val="center"/>
          </w:tcPr>
          <w:p w14:paraId="5FE25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蓝绿空间占比</w:t>
            </w:r>
          </w:p>
        </w:tc>
        <w:tc>
          <w:tcPr>
            <w:tcW w:w="1063" w:type="dxa"/>
            <w:vAlign w:val="center"/>
          </w:tcPr>
          <w:p w14:paraId="0263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1087" w:type="dxa"/>
            <w:vAlign w:val="center"/>
          </w:tcPr>
          <w:p w14:paraId="7B1DC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7CCDD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</w:t>
            </w:r>
          </w:p>
        </w:tc>
      </w:tr>
      <w:tr w14:paraId="1F7E9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2ACA4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87" w:type="dxa"/>
            <w:vAlign w:val="center"/>
          </w:tcPr>
          <w:p w14:paraId="6FC13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450" w:type="dxa"/>
            <w:vAlign w:val="center"/>
          </w:tcPr>
          <w:p w14:paraId="3DED4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项目业主满意度</w:t>
            </w:r>
          </w:p>
        </w:tc>
        <w:tc>
          <w:tcPr>
            <w:tcW w:w="1063" w:type="dxa"/>
            <w:vAlign w:val="center"/>
          </w:tcPr>
          <w:p w14:paraId="1494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2AC43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359C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</w:tr>
      <w:tr w14:paraId="5A797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46B7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87" w:type="dxa"/>
            <w:vAlign w:val="center"/>
          </w:tcPr>
          <w:p w14:paraId="676E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50" w:type="dxa"/>
            <w:vAlign w:val="center"/>
          </w:tcPr>
          <w:p w14:paraId="3CFC0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政府投资项目成本核减率</w:t>
            </w:r>
          </w:p>
        </w:tc>
        <w:tc>
          <w:tcPr>
            <w:tcW w:w="1063" w:type="dxa"/>
            <w:vAlign w:val="center"/>
          </w:tcPr>
          <w:p w14:paraId="6393C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3DA22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6990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</w:tbl>
    <w:p w14:paraId="4D6792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二、绩效评价工作开展情况</w:t>
      </w:r>
    </w:p>
    <w:p w14:paraId="7F376E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（一）绩效评价目的、对象、范围</w:t>
      </w:r>
    </w:p>
    <w:p w14:paraId="26F613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对“创新研究与管理”项目开展部门评价，促进部门提升预算绩效管理工作水平，强化部门支出责任，规范资金管理行为，提高财政资金使用效益，保障部门更好地履行职责。</w:t>
      </w:r>
    </w:p>
    <w:p w14:paraId="3B4F86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（二）绩效评价原则、评价指标体系、评价方法、评价标准</w:t>
      </w:r>
    </w:p>
    <w:p w14:paraId="15A24F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1.绩效评价原则</w:t>
      </w:r>
    </w:p>
    <w:p w14:paraId="656552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本次部门评价坚持运用科学合理的方法，按照规范的程序，对项目绩效进行客观、公正地反映。</w:t>
      </w:r>
    </w:p>
    <w:p w14:paraId="534D7F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2.评价指标体系</w:t>
      </w:r>
    </w:p>
    <w:p w14:paraId="65DB22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从项目决策、过程、年度绩效目标开展部门评价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tbl>
      <w:tblPr>
        <w:tblStyle w:val="4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185"/>
        <w:gridCol w:w="2705"/>
        <w:gridCol w:w="1786"/>
      </w:tblGrid>
      <w:tr w14:paraId="7F242F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0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7BB8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FA7F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37D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4CD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4373AB4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E92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7990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8219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983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8862B7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264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495F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4CB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4EAD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6C5953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4686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BD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AB5B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9BD5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8BBEB1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1F2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8955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9A42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DC98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5D1439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530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12AF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916A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F5C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95DC4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A2AB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469E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67AA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FF2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CA6496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AAB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FB63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7889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9DBD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E2D41D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A010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05E0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C795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B724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CD139F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20DA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341D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B45B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7F9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3EEEB6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2D7E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DBEC6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B8C1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00FC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30555F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C31E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4143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5715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207C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6A19ED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90E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173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41D8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创新课题数量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AFDE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8C7154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AEA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80B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8072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控规编制（修编）数量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E3ED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1E4DFD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9319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0EF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70B0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政府投资项目评审数量（可研+概算）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A1F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8 </w:t>
            </w:r>
          </w:p>
        </w:tc>
      </w:tr>
      <w:tr w14:paraId="1A5152B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63A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8CC8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8DD1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研究成果验收通过率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7288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0790143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7F0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D24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6B819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总规编制（修编）验收通过率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B46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528EC75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383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BCD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C5CF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蓝绿空间占比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84E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1C76D51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0A72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满意度指标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933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8F8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项目业主满意度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03D6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</w:tr>
      <w:tr w14:paraId="3BE873A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145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4D2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经济成本指标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254B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政府投资项目成本核减率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A46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0C10E5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9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175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CB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6B64973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9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397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2F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F0765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3.评价方法</w:t>
      </w:r>
    </w:p>
    <w:p w14:paraId="6C7F2F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本次部门评价采用比较法，将项目实施情况与绩效目标情况进行比较。</w:t>
      </w:r>
    </w:p>
    <w:p w14:paraId="7F19FA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4.评价标准</w:t>
      </w:r>
    </w:p>
    <w:p w14:paraId="0A7EAA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本次部门评价以年初的目标、计划、预算、定额等作为评价标准。</w:t>
      </w:r>
    </w:p>
    <w:p w14:paraId="159E3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（三）绩效评价工作过程</w:t>
      </w:r>
    </w:p>
    <w:p w14:paraId="6D4C39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评价小组对评价资料进行认真梳理，测算分析各项指标，汇总评分并形成评价报告。</w:t>
      </w:r>
    </w:p>
    <w:p w14:paraId="18F4C0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1.对《项目支出绩效评价管理办法》（财预〔2020〕10号）、《海南省项目支出绩效评价管理实施办法》（琼财绩〔2020〕594号）进行研读，对部门评价有基本的把握和了解，归纳出进一步评价所需的信息。</w:t>
      </w:r>
    </w:p>
    <w:p w14:paraId="0B8AF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2.集中对各个评价指标逐一进行分析。</w:t>
      </w:r>
    </w:p>
    <w:p w14:paraId="2BD540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3.评价小组汇总分析评价过程中发现的问题，并对存在问题进行讨论，分别计算各评价指标所得分数，形成评价结果。</w:t>
      </w:r>
    </w:p>
    <w:p w14:paraId="5533F6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4.根据评价结果，撰写评价报告。</w:t>
      </w:r>
    </w:p>
    <w:p w14:paraId="2C888B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三、综合评价情况及评价结论</w:t>
      </w:r>
    </w:p>
    <w:p w14:paraId="6509AA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目绩效评价工作小组通过多项指标对该项目进行评价，绩效目标设定、项目立项、资金投入、组织实施、资金管理、绩效目标完成等方面落实情况较好，评价得分98分，评价等次为优，达到了预期设定的项目绩效目标。</w:t>
      </w:r>
    </w:p>
    <w:tbl>
      <w:tblPr>
        <w:tblStyle w:val="4"/>
        <w:tblW w:w="4998" w:type="pct"/>
        <w:tblInd w:w="0" w:type="dxa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803"/>
        <w:gridCol w:w="2229"/>
        <w:gridCol w:w="1474"/>
        <w:gridCol w:w="1491"/>
      </w:tblGrid>
      <w:tr w14:paraId="50D22BC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</w:trPr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25EAE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2A996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48C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806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7FF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07355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ED9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33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CF3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E6B1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E34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DA8900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2BD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017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6AA7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516C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EF5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FAEBE9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B1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18B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B837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44F3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C791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A49D63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510D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951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61EE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8CA3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A98D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4DDB01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8EB0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C4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852A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5926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BD54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7C69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62FE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02B6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164E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CCA0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97D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47A5DD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482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3DA7B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E482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5050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6B65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9.8</w:t>
            </w:r>
          </w:p>
        </w:tc>
      </w:tr>
      <w:tr w14:paraId="2ACC189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2B86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F5C24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437A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71D7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A38A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2E6D734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0E8A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BC8F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AE9A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B8F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5A3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67DAF6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DF2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6131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E284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CA7A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F886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5E089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860A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964F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82BA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E65A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296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97EC27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004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D4E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16C5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创新课题数量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BFA4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893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B6D5E0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FD6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04E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C32B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控规编制（修编）数量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5FF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722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F0EDDE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2DCA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64E0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7631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政府投资项目评审数量（可研+概算）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23D0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8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F44E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8 </w:t>
            </w:r>
          </w:p>
        </w:tc>
      </w:tr>
      <w:tr w14:paraId="1C77A4B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D6A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6236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91F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研究成果验收通过率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590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152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1F86F13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1661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3F3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91F8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总规编制（修编）验收通过率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DFB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B87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245308F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591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F2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0B36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蓝绿空间占比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EBCA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2C4A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2EFBF13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FAAF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满意度指标</w:t>
            </w:r>
            <w:bookmarkStart w:id="0" w:name="_GoBack"/>
            <w:bookmarkEnd w:id="0"/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EEB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7D42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项目业主满意度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F2D0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388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</w:tr>
      <w:tr w14:paraId="6A4D4CF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95D0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F80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经济成本指标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2E9F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政府投资项目成本核减率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413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894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437618E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FFE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7A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5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</w:tr>
      <w:tr w14:paraId="1B79966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A15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68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9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</w:t>
            </w:r>
          </w:p>
        </w:tc>
      </w:tr>
    </w:tbl>
    <w:p w14:paraId="1FBF20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四、绩效评价指标分析</w:t>
      </w:r>
    </w:p>
    <w:p w14:paraId="106FF9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（一）项目决策情况</w:t>
      </w:r>
    </w:p>
    <w:p w14:paraId="6CE89D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该项目经海口江东新区管理局局党委会审批同意实施，与部门职责范围相符，属于部门履职所需。项目设定了绩效目标，绩效目标与实际工作内容具有相关性。项目预算编制科学合理，预算资金分配依据充分。</w:t>
      </w:r>
    </w:p>
    <w:p w14:paraId="1D0581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（二）项目过程情况</w:t>
      </w:r>
    </w:p>
    <w:p w14:paraId="3893EF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，江东管理局对《财务管理办法（试行）》进行修订并予以印发，进一步加强财务管理和监督，确保项目顺利实施，取得明显成效。项目资金支付严格履行审批程序，使用规范，会计核算结果真实、准确。此次绩效评价过程中未发现挤占或挪用项目资金的情况。</w:t>
      </w:r>
    </w:p>
    <w:p w14:paraId="10BAC1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该项目2025年经费预算1812万元，全年已支出1531万元，支出完成率84.52%。</w:t>
      </w:r>
    </w:p>
    <w:p w14:paraId="423771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（三）项目产出情况</w:t>
      </w:r>
    </w:p>
    <w:p w14:paraId="66C788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该项目资金到位及时，项目顺利实施，单位的基本运行得到保障，职能作用得到充分发挥，高质量推动了江东新区建设发展。</w:t>
      </w:r>
    </w:p>
    <w:p w14:paraId="363AB1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（四）项目效益情况</w:t>
      </w:r>
    </w:p>
    <w:p w14:paraId="3B32A9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，一是完成国际社区南片区、临空北片区等重要功能片区修编方案，启动滨江片区、起步区和临空经济区等重点区域的规划优化工作，完成零碳示范区实施方案制定，优化片区规划功能布局。二是全年累计完成项目可研及概算审批149件，助力谋划政府投资项目40个，总投资约314.85亿元。产业发展方面，一是聚焦企业需求，营商环境持续优化，提出营商环境114条专项任务举措、18条专项整改举措，全年形成3例制度创新案例并获国家、省级部门认可，形成企业、项目服务“标准化+非标准化”案例12例，为自贸港建设贡献“江东方案”。二是通过举办全球招商大会、以商招商等方式，构建高水平招商引资新模式，全年招引浦银租赁等重点企业62家，完成签约投资额284亿元，占比全市超四成。</w:t>
      </w:r>
    </w:p>
    <w:p w14:paraId="1AD539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总体来看，项目产出与成效目标完成度较好。</w:t>
      </w:r>
    </w:p>
    <w:p w14:paraId="5880A4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五、主要经验及做法、存在的问题及原因分析</w:t>
      </w:r>
    </w:p>
    <w:p w14:paraId="5DD79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持续深化预算管理，及时跟踪预算执行情况，提高了2025年资金支出效率。</w:t>
      </w:r>
    </w:p>
    <w:p w14:paraId="04C5B4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六、有关建议</w:t>
      </w:r>
    </w:p>
    <w:p w14:paraId="5A5FCC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p w14:paraId="33D086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七、其他需要说明的问题</w:t>
      </w:r>
    </w:p>
    <w:p w14:paraId="7AC68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33E8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B47F3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B47F31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YzMyNzYzMjVjMWJmOGE2MDgxZTQ4ZDk2NzAxNzYifQ=="/>
  </w:docVars>
  <w:rsids>
    <w:rsidRoot w:val="435E1F18"/>
    <w:rsid w:val="00DA0933"/>
    <w:rsid w:val="02233DF4"/>
    <w:rsid w:val="023A5912"/>
    <w:rsid w:val="038A1BDD"/>
    <w:rsid w:val="043E27E1"/>
    <w:rsid w:val="04621786"/>
    <w:rsid w:val="04A10F62"/>
    <w:rsid w:val="05665D07"/>
    <w:rsid w:val="0626600A"/>
    <w:rsid w:val="068B7C0B"/>
    <w:rsid w:val="06F95DEE"/>
    <w:rsid w:val="077566D6"/>
    <w:rsid w:val="079374AA"/>
    <w:rsid w:val="07DB47E0"/>
    <w:rsid w:val="096D3B08"/>
    <w:rsid w:val="097D074F"/>
    <w:rsid w:val="098B2162"/>
    <w:rsid w:val="0A787E3B"/>
    <w:rsid w:val="0AA96DC2"/>
    <w:rsid w:val="0AC273C6"/>
    <w:rsid w:val="0BBE064B"/>
    <w:rsid w:val="0BDE5F87"/>
    <w:rsid w:val="0DE47EA0"/>
    <w:rsid w:val="0E7A7F46"/>
    <w:rsid w:val="0E9A79D6"/>
    <w:rsid w:val="0F3D5D2B"/>
    <w:rsid w:val="0F580DB7"/>
    <w:rsid w:val="0F8A3CBD"/>
    <w:rsid w:val="0FE72674"/>
    <w:rsid w:val="110361E1"/>
    <w:rsid w:val="12580ADD"/>
    <w:rsid w:val="126332E8"/>
    <w:rsid w:val="135734FF"/>
    <w:rsid w:val="14B51D19"/>
    <w:rsid w:val="14B8039B"/>
    <w:rsid w:val="14FA1115"/>
    <w:rsid w:val="15481788"/>
    <w:rsid w:val="16351E52"/>
    <w:rsid w:val="165D4F05"/>
    <w:rsid w:val="16630DA5"/>
    <w:rsid w:val="1682257B"/>
    <w:rsid w:val="180C39B2"/>
    <w:rsid w:val="18F922C4"/>
    <w:rsid w:val="190A44B1"/>
    <w:rsid w:val="19131E26"/>
    <w:rsid w:val="19263C3A"/>
    <w:rsid w:val="19316574"/>
    <w:rsid w:val="19566367"/>
    <w:rsid w:val="19AA72EE"/>
    <w:rsid w:val="1AC1553C"/>
    <w:rsid w:val="1B007691"/>
    <w:rsid w:val="1B22257E"/>
    <w:rsid w:val="1BA72E6B"/>
    <w:rsid w:val="1C4306F9"/>
    <w:rsid w:val="1CB1400C"/>
    <w:rsid w:val="1D620857"/>
    <w:rsid w:val="1D6A0633"/>
    <w:rsid w:val="1D864D41"/>
    <w:rsid w:val="1D927B8A"/>
    <w:rsid w:val="1DBB2B25"/>
    <w:rsid w:val="1DDE4B7D"/>
    <w:rsid w:val="1E122B23"/>
    <w:rsid w:val="1E312225"/>
    <w:rsid w:val="1E5510E3"/>
    <w:rsid w:val="1E8E20FF"/>
    <w:rsid w:val="1E8F7C25"/>
    <w:rsid w:val="1EC73863"/>
    <w:rsid w:val="20281024"/>
    <w:rsid w:val="208E288A"/>
    <w:rsid w:val="20B5758E"/>
    <w:rsid w:val="218B430E"/>
    <w:rsid w:val="22DB168B"/>
    <w:rsid w:val="23EF1B0E"/>
    <w:rsid w:val="244E07EA"/>
    <w:rsid w:val="247A1B51"/>
    <w:rsid w:val="27E81586"/>
    <w:rsid w:val="2856314B"/>
    <w:rsid w:val="28D01566"/>
    <w:rsid w:val="29B57C78"/>
    <w:rsid w:val="2A2F344C"/>
    <w:rsid w:val="2A492B66"/>
    <w:rsid w:val="2A6D3510"/>
    <w:rsid w:val="2B336677"/>
    <w:rsid w:val="2B4D16E3"/>
    <w:rsid w:val="2B626DED"/>
    <w:rsid w:val="2C02412C"/>
    <w:rsid w:val="2CD05FD9"/>
    <w:rsid w:val="2CEA2186"/>
    <w:rsid w:val="2CF0296B"/>
    <w:rsid w:val="2D7160E8"/>
    <w:rsid w:val="2DA417DD"/>
    <w:rsid w:val="2E141A23"/>
    <w:rsid w:val="2E4B2323"/>
    <w:rsid w:val="2F6F34DE"/>
    <w:rsid w:val="2F6F6199"/>
    <w:rsid w:val="2FB00977"/>
    <w:rsid w:val="30483FA0"/>
    <w:rsid w:val="306B6744"/>
    <w:rsid w:val="30D81900"/>
    <w:rsid w:val="31437427"/>
    <w:rsid w:val="3175173C"/>
    <w:rsid w:val="326C58E4"/>
    <w:rsid w:val="33080494"/>
    <w:rsid w:val="340F7934"/>
    <w:rsid w:val="34C8661B"/>
    <w:rsid w:val="35F728BC"/>
    <w:rsid w:val="36372C24"/>
    <w:rsid w:val="368F6941"/>
    <w:rsid w:val="369E56BC"/>
    <w:rsid w:val="3714005C"/>
    <w:rsid w:val="37AB3C68"/>
    <w:rsid w:val="38042CB3"/>
    <w:rsid w:val="383F038F"/>
    <w:rsid w:val="38A5656B"/>
    <w:rsid w:val="3ABA6910"/>
    <w:rsid w:val="3B0A2EB0"/>
    <w:rsid w:val="3B500164"/>
    <w:rsid w:val="3B712389"/>
    <w:rsid w:val="3B994239"/>
    <w:rsid w:val="3CD236A7"/>
    <w:rsid w:val="3DA9265A"/>
    <w:rsid w:val="3E4B066F"/>
    <w:rsid w:val="3FBB4BCB"/>
    <w:rsid w:val="40512B35"/>
    <w:rsid w:val="41253788"/>
    <w:rsid w:val="41B37671"/>
    <w:rsid w:val="42F02AD9"/>
    <w:rsid w:val="435E1F18"/>
    <w:rsid w:val="44B278BB"/>
    <w:rsid w:val="44B939E4"/>
    <w:rsid w:val="461E0D18"/>
    <w:rsid w:val="464C55F4"/>
    <w:rsid w:val="464F2DD5"/>
    <w:rsid w:val="467C5C77"/>
    <w:rsid w:val="46D53BDF"/>
    <w:rsid w:val="47C55320"/>
    <w:rsid w:val="47F44E19"/>
    <w:rsid w:val="48493247"/>
    <w:rsid w:val="49B72F9D"/>
    <w:rsid w:val="49D8222E"/>
    <w:rsid w:val="4AA6125F"/>
    <w:rsid w:val="4B6127C6"/>
    <w:rsid w:val="4B820499"/>
    <w:rsid w:val="4C625BDA"/>
    <w:rsid w:val="4C710CFF"/>
    <w:rsid w:val="4D650FE4"/>
    <w:rsid w:val="4DE4272E"/>
    <w:rsid w:val="4E296E9F"/>
    <w:rsid w:val="4E414DDC"/>
    <w:rsid w:val="4E583744"/>
    <w:rsid w:val="4F384153"/>
    <w:rsid w:val="4F390D1C"/>
    <w:rsid w:val="4FB54242"/>
    <w:rsid w:val="52434EB9"/>
    <w:rsid w:val="52816A7D"/>
    <w:rsid w:val="541C372E"/>
    <w:rsid w:val="54901EB7"/>
    <w:rsid w:val="549D4E7C"/>
    <w:rsid w:val="54D67D81"/>
    <w:rsid w:val="54D85B6D"/>
    <w:rsid w:val="54E47B8F"/>
    <w:rsid w:val="54FE4F3A"/>
    <w:rsid w:val="55A57892"/>
    <w:rsid w:val="55BE25C3"/>
    <w:rsid w:val="56BC4D54"/>
    <w:rsid w:val="56EC64AE"/>
    <w:rsid w:val="57071EFB"/>
    <w:rsid w:val="57250B4B"/>
    <w:rsid w:val="578A390E"/>
    <w:rsid w:val="59D74C62"/>
    <w:rsid w:val="59F36CDF"/>
    <w:rsid w:val="5A3B0856"/>
    <w:rsid w:val="5A6A79F7"/>
    <w:rsid w:val="5A9C0987"/>
    <w:rsid w:val="5B0B1E06"/>
    <w:rsid w:val="5CA11AC7"/>
    <w:rsid w:val="5CC76201"/>
    <w:rsid w:val="5CF7049E"/>
    <w:rsid w:val="5D4048FC"/>
    <w:rsid w:val="5E4F40A2"/>
    <w:rsid w:val="5EAC1B52"/>
    <w:rsid w:val="5F367622"/>
    <w:rsid w:val="5F3F3404"/>
    <w:rsid w:val="5F905550"/>
    <w:rsid w:val="61551EE4"/>
    <w:rsid w:val="617F6B7B"/>
    <w:rsid w:val="61C86032"/>
    <w:rsid w:val="62173786"/>
    <w:rsid w:val="622F287E"/>
    <w:rsid w:val="627C0B43"/>
    <w:rsid w:val="627E3805"/>
    <w:rsid w:val="63636628"/>
    <w:rsid w:val="65607D06"/>
    <w:rsid w:val="69982F1B"/>
    <w:rsid w:val="6A2D1D20"/>
    <w:rsid w:val="6A7554EE"/>
    <w:rsid w:val="6A893A8D"/>
    <w:rsid w:val="6C02565A"/>
    <w:rsid w:val="6C8B5B44"/>
    <w:rsid w:val="6DBE53FE"/>
    <w:rsid w:val="6E6E68A0"/>
    <w:rsid w:val="6EA463A2"/>
    <w:rsid w:val="6EB377AA"/>
    <w:rsid w:val="6FB6700B"/>
    <w:rsid w:val="6FC52A74"/>
    <w:rsid w:val="6FCB3EA6"/>
    <w:rsid w:val="701D3C49"/>
    <w:rsid w:val="708148A6"/>
    <w:rsid w:val="709020CD"/>
    <w:rsid w:val="70B12FF8"/>
    <w:rsid w:val="70C04FE9"/>
    <w:rsid w:val="70F73101"/>
    <w:rsid w:val="710022AC"/>
    <w:rsid w:val="7169292B"/>
    <w:rsid w:val="725E09BE"/>
    <w:rsid w:val="727437E0"/>
    <w:rsid w:val="72A5093A"/>
    <w:rsid w:val="72F13B80"/>
    <w:rsid w:val="74E26E5B"/>
    <w:rsid w:val="76852F5D"/>
    <w:rsid w:val="7704672F"/>
    <w:rsid w:val="77175582"/>
    <w:rsid w:val="77A15B74"/>
    <w:rsid w:val="77BA1BB9"/>
    <w:rsid w:val="78612371"/>
    <w:rsid w:val="786A41B8"/>
    <w:rsid w:val="78E26444"/>
    <w:rsid w:val="791F742A"/>
    <w:rsid w:val="79273E57"/>
    <w:rsid w:val="79EA2E23"/>
    <w:rsid w:val="7A7E137E"/>
    <w:rsid w:val="7B2F66D1"/>
    <w:rsid w:val="7B494559"/>
    <w:rsid w:val="7B76655D"/>
    <w:rsid w:val="7C2E19A1"/>
    <w:rsid w:val="7CE205E6"/>
    <w:rsid w:val="7F7E49ED"/>
    <w:rsid w:val="7F840255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b42d187f-6d66-40bb-b2b6-8792b66e122b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65655260</paraID>
      <start>38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d84c82-64d5-48ba-ac40-0bfe5836ba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760</Words>
  <Characters>793</Characters>
  <Lines>0</Lines>
  <Paragraphs>0</Paragraphs>
  <TotalTime>1</TotalTime>
  <ScaleCrop>false</ScaleCrop>
  <LinksUpToDate>false</LinksUpToDate>
  <CharactersWithSpaces>793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cp:lastPrinted>2022-10-09T03:14:00Z</cp:lastPrinted>
  <dcterms:modified xsi:type="dcterms:W3CDTF">2026-05-13T10:50:42Z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3728398BD2E54046ACE39D874224F46E_13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