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63B0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  <w:t>海口江东新区管理局</w:t>
      </w:r>
    </w:p>
    <w:p w14:paraId="59E7A7CF">
      <w:pPr>
        <w:pStyle w:val="6"/>
        <w:snapToGrid w:val="0"/>
        <w:spacing w:before="0" w:after="0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临空经济区涉铁配套路网（原临空五期）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项目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  <w:t>支出绩效评价报告</w:t>
      </w:r>
    </w:p>
    <w:p w14:paraId="0F3A343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128D3C2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3F1D867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516D36C2">
      <w:pPr>
        <w:widowControl/>
        <w:ind w:firstLine="640" w:firstLineChars="200"/>
        <w:jc w:val="left"/>
        <w:outlineLvl w:val="0"/>
        <w:rPr>
          <w:rFonts w:hint="eastAsia" w:ascii="仿宋_GB2312" w:hAnsi="Times New Roman" w:eastAsia="仿宋_GB2312" w:cs="仿宋_GB2312"/>
          <w:sz w:val="32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临空经济区涉铁配套路网（原临空五期）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项目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业主单位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为海口市路桥建设投资有限公司，项目包含四条道路，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总长度约3.71公里，其中主干路3条，分别为：桂美南大道（中段）全长795.51米，红线宽度40米；美溪南路（中段），全长1570.987米，红线宽度40米；林田大道（中段），全长1176.388米，红线宽度60米。次干路1条，云美东三路（中段），全长175.34米，红线宽度52米。主要建设内容为道路工程、交通工程、桥梁工程、给排水工程、照明工程、绿化工程、综合管廊等工程。根据规划调整，结合片区征地拆迁工作的难易性及路网基础设施配套功能综合考虑，临空五期近期可实施2条道路（林田大道、云美东三路），总长约1.35公里。该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项目202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年到位资金</w:t>
      </w:r>
      <w:r>
        <w:rPr>
          <w:rFonts w:hint="default" w:ascii="仿宋_GB2312" w:hAnsi="Times New Roman" w:eastAsia="仿宋_GB2312" w:cs="仿宋_GB2312"/>
          <w:sz w:val="32"/>
          <w:szCs w:val="32"/>
          <w:lang w:val="en-US" w:eastAsia="zh-CN" w:bidi="ar"/>
        </w:rPr>
        <w:t>4172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.</w:t>
      </w:r>
      <w:r>
        <w:rPr>
          <w:rFonts w:hint="default" w:ascii="仿宋_GB2312" w:hAnsi="Times New Roman" w:eastAsia="仿宋_GB2312" w:cs="仿宋_GB2312"/>
          <w:sz w:val="32"/>
          <w:szCs w:val="32"/>
          <w:lang w:val="en-US" w:eastAsia="zh-CN" w:bidi="ar"/>
        </w:rPr>
        <w:t>95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。</w:t>
      </w:r>
    </w:p>
    <w:p w14:paraId="5CEAB9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firstLine="640" w:firstLineChars="200"/>
        <w:jc w:val="left"/>
        <w:outlineLvl w:val="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319D9F7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按计划完成项目建设，完成管廊工程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公里，解决项目周边出行需求。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5479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470E342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3445341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07B543F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0600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478CFC8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5BCCA38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4D06200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3A598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2FE72B9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5BBFC4E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/>
              </w:rPr>
              <w:t>建设（改造、修缮）工程量</w:t>
            </w:r>
          </w:p>
        </w:tc>
        <w:tc>
          <w:tcPr>
            <w:tcW w:w="1184" w:type="pct"/>
            <w:vAlign w:val="center"/>
          </w:tcPr>
          <w:p w14:paraId="1028CDF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1公里</w:t>
            </w:r>
          </w:p>
        </w:tc>
      </w:tr>
      <w:tr w14:paraId="5814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5773A41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00E933F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竣工验收合格率</w:t>
            </w:r>
          </w:p>
        </w:tc>
        <w:tc>
          <w:tcPr>
            <w:tcW w:w="1184" w:type="pct"/>
            <w:vAlign w:val="center"/>
          </w:tcPr>
          <w:p w14:paraId="69089C3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98%</w:t>
            </w:r>
          </w:p>
        </w:tc>
      </w:tr>
      <w:tr w14:paraId="5BB7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06E5A41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16E38C7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31F2850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30000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人</w:t>
            </w:r>
          </w:p>
        </w:tc>
      </w:tr>
      <w:tr w14:paraId="765A9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7A2709F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2630" w:type="pct"/>
            <w:vAlign w:val="center"/>
          </w:tcPr>
          <w:p w14:paraId="1AA0882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545986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85%</w:t>
            </w:r>
          </w:p>
        </w:tc>
      </w:tr>
      <w:tr w14:paraId="3523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64E17D6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成本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指标</w:t>
            </w:r>
          </w:p>
        </w:tc>
        <w:tc>
          <w:tcPr>
            <w:tcW w:w="2630" w:type="pct"/>
            <w:vAlign w:val="center"/>
          </w:tcPr>
          <w:p w14:paraId="242F4AC5">
            <w:pPr>
              <w:keepNext w:val="0"/>
              <w:keepLines w:val="0"/>
              <w:pageBreakBefore w:val="0"/>
              <w:tabs>
                <w:tab w:val="left" w:pos="720"/>
                <w:tab w:val="left" w:pos="1506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控制在总投资内</w:t>
            </w:r>
          </w:p>
        </w:tc>
        <w:tc>
          <w:tcPr>
            <w:tcW w:w="1184" w:type="pct"/>
            <w:vAlign w:val="center"/>
          </w:tcPr>
          <w:p w14:paraId="1CFFFBC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≤181544.52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万</w:t>
            </w:r>
          </w:p>
        </w:tc>
      </w:tr>
    </w:tbl>
    <w:p w14:paraId="5FDC524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2F0BBE7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552CD7F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临空经济区涉铁配套路网工程（原临空五期）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6EFA6D1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58AC3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 w14:paraId="389FA9B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0E25817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 w14:paraId="7911F62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196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503B2C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458341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5B059FA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1E5308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14B20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6EEB3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440749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4735AF8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6A28ACD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4C10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EF1B5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6BB89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255EFFB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28DA654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425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1EBD6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0C1F406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51AAC97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5E8A8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4F6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CE048B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588CA9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FD295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6DDB9E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8A6B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6F4C0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AECAB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3D567DB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10B5FFF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8E0B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425ECF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7AAF8E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F01196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4C9666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39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210060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E6A367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2DC25CC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419497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41C70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4EA9D5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52852C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50DB20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4D4BF89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619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F72F4D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66539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5F7C495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62E569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31F8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EB5BDA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3E67597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0153BC8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13F80D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64CB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C34AF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F7801A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0B0AF5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44C01B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3731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397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C10E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766" w:type="pct"/>
            <w:vAlign w:val="center"/>
          </w:tcPr>
          <w:p w14:paraId="67FD36E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验收合格率</w:t>
            </w:r>
          </w:p>
        </w:tc>
        <w:tc>
          <w:tcPr>
            <w:tcW w:w="950" w:type="pct"/>
            <w:vAlign w:val="center"/>
          </w:tcPr>
          <w:p w14:paraId="7257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108CA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E2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53A54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766" w:type="pct"/>
            <w:vAlign w:val="center"/>
          </w:tcPr>
          <w:p w14:paraId="01031C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950" w:type="pct"/>
            <w:vAlign w:val="center"/>
          </w:tcPr>
          <w:p w14:paraId="2B765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850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E0C6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5579C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1766" w:type="pct"/>
            <w:vAlign w:val="center"/>
          </w:tcPr>
          <w:p w14:paraId="1DE7A31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950" w:type="pct"/>
            <w:vAlign w:val="center"/>
          </w:tcPr>
          <w:p w14:paraId="05CB6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0E7C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56EBE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617EE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1766" w:type="pct"/>
            <w:vAlign w:val="center"/>
          </w:tcPr>
          <w:p w14:paraId="60587FB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3B73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DE5D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2F7D0B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36CDCA5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C13AE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 w14:paraId="0CB6875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0F8E72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 w14:paraId="78187AC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3D446C3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4D2D14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4E6C7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0149E60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608C916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D5DBC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2CF35C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2AABEC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4331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A5E4BC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72CE94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49482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C0928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4A6D0E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3F11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9D603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144C70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543A726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BC39C0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F4D18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20D0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61B51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AD77B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82373E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054EEB3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B687F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899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83A304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D87BFE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99CBE6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641E36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8200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58D4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78F9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F67A2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8FAEE2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69F932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42BA331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7DF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80F3C2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312D6B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2E9E186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712DF3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63F2F4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A25A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76988D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DBA03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C9E83F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3A12E62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538C9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253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39CE3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545A2B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3FDEEC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5844917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4E3F4A8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</w:tr>
      <w:bookmarkEnd w:id="0"/>
      <w:tr w14:paraId="0CAB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32A123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026D53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E1672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20B4475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C4E6F9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144F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198DC4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AE91EF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BDE4DE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258D7D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00B50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0D1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58C3F1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47CD85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7E79EA6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261AB28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A2351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C232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C3B167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F63607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5F502A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107C1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D00F8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A833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771D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480F4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75" w:type="dxa"/>
            <w:vAlign w:val="center"/>
          </w:tcPr>
          <w:p w14:paraId="05FE7B8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验收合格率</w:t>
            </w:r>
          </w:p>
        </w:tc>
        <w:tc>
          <w:tcPr>
            <w:tcW w:w="813" w:type="pct"/>
            <w:vAlign w:val="center"/>
          </w:tcPr>
          <w:p w14:paraId="1E783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 w14:paraId="20552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837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8A97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2C49F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75" w:type="dxa"/>
            <w:vAlign w:val="center"/>
          </w:tcPr>
          <w:p w14:paraId="16E2F3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442A1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4AB0F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14DC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0529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00AA6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 w14:paraId="3BAA528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 w14:paraId="50B45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29F6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95E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29744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" w:name="_GoBack" w:colFirst="1" w:colLast="2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4F06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 w14:paraId="0E64DD5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10D45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 w14:paraId="0682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C475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89C53F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45A8409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F35D91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97</w:t>
            </w:r>
          </w:p>
        </w:tc>
      </w:tr>
      <w:tr w14:paraId="468D4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B18EC4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6F366D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F0120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ADBA2A7">
      <w:pPr>
        <w:pStyle w:val="2"/>
      </w:pPr>
    </w:p>
    <w:p w14:paraId="72E660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7815A5C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6513E15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本项目位于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海口江东新区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该区域重要的东西向交通干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道。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项目的建设符合海口市城市总体规划，符合海南省的投资发展方向和国家的产业政策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，满足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了此道路所在区域的实际需要，也为打造海南国际旅游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、推动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海南自贸港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建设等提供了良好的交通环境条件。该项目列入海口市政府投资项目计划。项目设定了绩效目标，绩效目标与实际工作内容具有相关性。项目预算编制科学合理，预算资金分配依据充分。</w:t>
      </w:r>
    </w:p>
    <w:p w14:paraId="1937FFD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3A32396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31475B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4172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截至2025年12月31日支出3272.95万元，支出进度为78.43%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B953E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162FD4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2D9F25A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3453B9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项目的建设能极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eastAsia="zh-CN" w:bidi="ar"/>
        </w:rPr>
        <w:t>大地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促进临空经济区基础配套设施的完善，为江东新区的发展提供先行的基础保障。本项目为海口美兰国际机场临空经济区内市政基础设施，它的建设是经济区内地块开发的前提和基本支撑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。临空五期项目现阶段正在进行管廊工程、排水工程等施工。</w:t>
      </w:r>
    </w:p>
    <w:p w14:paraId="0D0E977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3BEF4F8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4B775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746EBD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39B6B3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B15562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CBDA201-4D49-48D4-AC6F-2AC4F2D2B2B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F808351-D46F-4FEB-B728-E1DCC43D4FAF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D7A702B-F6ED-44D9-A84D-D98B768CC276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55133613-67D3-4F8D-A4A0-A50295FBD8C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180E0DC7-3596-4CB3-A24F-4E15B76F9B5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9914D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7A3D06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7A3D06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0B2C23"/>
    <w:rsid w:val="003B3E31"/>
    <w:rsid w:val="006D65BE"/>
    <w:rsid w:val="00A56C8A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7D46CE"/>
    <w:rsid w:val="0DBB40F2"/>
    <w:rsid w:val="0DE47EA0"/>
    <w:rsid w:val="0DFE490C"/>
    <w:rsid w:val="0E9A79D6"/>
    <w:rsid w:val="111C1707"/>
    <w:rsid w:val="11FB7553"/>
    <w:rsid w:val="126332E8"/>
    <w:rsid w:val="12AB34F1"/>
    <w:rsid w:val="135734FF"/>
    <w:rsid w:val="14B51D19"/>
    <w:rsid w:val="14B8110D"/>
    <w:rsid w:val="14FA1115"/>
    <w:rsid w:val="154455E1"/>
    <w:rsid w:val="15481788"/>
    <w:rsid w:val="15F07ED2"/>
    <w:rsid w:val="1652225F"/>
    <w:rsid w:val="16630DA5"/>
    <w:rsid w:val="1682257B"/>
    <w:rsid w:val="180C39B2"/>
    <w:rsid w:val="184A4058"/>
    <w:rsid w:val="190A44B1"/>
    <w:rsid w:val="19263C3A"/>
    <w:rsid w:val="19316574"/>
    <w:rsid w:val="19795372"/>
    <w:rsid w:val="19AA72EE"/>
    <w:rsid w:val="1AC1553C"/>
    <w:rsid w:val="1B007691"/>
    <w:rsid w:val="1CB1400C"/>
    <w:rsid w:val="1CD52A4F"/>
    <w:rsid w:val="1DBB2B25"/>
    <w:rsid w:val="1E122B23"/>
    <w:rsid w:val="1E312225"/>
    <w:rsid w:val="1E5510E3"/>
    <w:rsid w:val="1F25228A"/>
    <w:rsid w:val="1F737768"/>
    <w:rsid w:val="20281024"/>
    <w:rsid w:val="20784192"/>
    <w:rsid w:val="20B5758E"/>
    <w:rsid w:val="23335B9D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DB94E81"/>
    <w:rsid w:val="2E9826F7"/>
    <w:rsid w:val="30483FA0"/>
    <w:rsid w:val="30BB4EA6"/>
    <w:rsid w:val="31437427"/>
    <w:rsid w:val="31DF5851"/>
    <w:rsid w:val="326C58E4"/>
    <w:rsid w:val="335D7182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B35FB7"/>
    <w:rsid w:val="3ABA6910"/>
    <w:rsid w:val="3B0A2EB0"/>
    <w:rsid w:val="3B500164"/>
    <w:rsid w:val="3B59178B"/>
    <w:rsid w:val="3C444B0B"/>
    <w:rsid w:val="3D0021D1"/>
    <w:rsid w:val="3E4B066F"/>
    <w:rsid w:val="3FBB4BCB"/>
    <w:rsid w:val="405D14CB"/>
    <w:rsid w:val="41253788"/>
    <w:rsid w:val="418D0587"/>
    <w:rsid w:val="41B37671"/>
    <w:rsid w:val="42985365"/>
    <w:rsid w:val="435C1C6B"/>
    <w:rsid w:val="435E1F18"/>
    <w:rsid w:val="43837607"/>
    <w:rsid w:val="44273DE2"/>
    <w:rsid w:val="449F4DAD"/>
    <w:rsid w:val="44B278BB"/>
    <w:rsid w:val="44B939E4"/>
    <w:rsid w:val="45F1409B"/>
    <w:rsid w:val="461E0D18"/>
    <w:rsid w:val="464F2DD5"/>
    <w:rsid w:val="467C5C77"/>
    <w:rsid w:val="47C55320"/>
    <w:rsid w:val="496A311D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253B37"/>
    <w:rsid w:val="4FB54242"/>
    <w:rsid w:val="52C426C7"/>
    <w:rsid w:val="54D85B6D"/>
    <w:rsid w:val="54E47B8F"/>
    <w:rsid w:val="54FE4F3A"/>
    <w:rsid w:val="55A57892"/>
    <w:rsid w:val="55E95564"/>
    <w:rsid w:val="56391A6A"/>
    <w:rsid w:val="578A390E"/>
    <w:rsid w:val="57D636C9"/>
    <w:rsid w:val="59354B43"/>
    <w:rsid w:val="59D74C62"/>
    <w:rsid w:val="59E1651D"/>
    <w:rsid w:val="5A3B0856"/>
    <w:rsid w:val="5A4B6F13"/>
    <w:rsid w:val="5A6A79F7"/>
    <w:rsid w:val="5AAC33D0"/>
    <w:rsid w:val="5BC222B2"/>
    <w:rsid w:val="5BF510A0"/>
    <w:rsid w:val="5EF70D4E"/>
    <w:rsid w:val="5F367622"/>
    <w:rsid w:val="5F3F3404"/>
    <w:rsid w:val="5F905550"/>
    <w:rsid w:val="61394EFD"/>
    <w:rsid w:val="617F6B7B"/>
    <w:rsid w:val="61AB5485"/>
    <w:rsid w:val="622017DB"/>
    <w:rsid w:val="62806640"/>
    <w:rsid w:val="63636628"/>
    <w:rsid w:val="643A4188"/>
    <w:rsid w:val="645B35F4"/>
    <w:rsid w:val="65411CA7"/>
    <w:rsid w:val="65694914"/>
    <w:rsid w:val="67B21E4C"/>
    <w:rsid w:val="68024B96"/>
    <w:rsid w:val="68903265"/>
    <w:rsid w:val="69C6122B"/>
    <w:rsid w:val="6A893A8D"/>
    <w:rsid w:val="6A927E4E"/>
    <w:rsid w:val="6B657B2B"/>
    <w:rsid w:val="6C02565A"/>
    <w:rsid w:val="6C8B5B44"/>
    <w:rsid w:val="6E6E68A0"/>
    <w:rsid w:val="6EB301A8"/>
    <w:rsid w:val="6EB377AA"/>
    <w:rsid w:val="6EF4669C"/>
    <w:rsid w:val="6FB6700B"/>
    <w:rsid w:val="701D3C49"/>
    <w:rsid w:val="706D6ACA"/>
    <w:rsid w:val="70DE27E6"/>
    <w:rsid w:val="710022AC"/>
    <w:rsid w:val="725E09BE"/>
    <w:rsid w:val="727437E0"/>
    <w:rsid w:val="7492466B"/>
    <w:rsid w:val="74C3652D"/>
    <w:rsid w:val="74EF3BD6"/>
    <w:rsid w:val="757F5777"/>
    <w:rsid w:val="75EC3187"/>
    <w:rsid w:val="764C182F"/>
    <w:rsid w:val="7654409C"/>
    <w:rsid w:val="7704672F"/>
    <w:rsid w:val="77175582"/>
    <w:rsid w:val="791F742A"/>
    <w:rsid w:val="79F5363F"/>
    <w:rsid w:val="7B2F66D1"/>
    <w:rsid w:val="7B76655D"/>
    <w:rsid w:val="7BBF5BC9"/>
    <w:rsid w:val="7C0A6DB2"/>
    <w:rsid w:val="7CC330B9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d1f9e6ea-1192-4e2a-9ffb-d2aaad473df2</errorID>
      <errorWord>地</errorWord>
      <group>L1_Word</group>
      <groupName>字词问题</groupName>
      <ability>L2_Typo</ability>
      <abilityName>字词错误</abilityName>
      <candidateList>
        <item>的</item>
      </candidateList>
      <explain/>
      <paraID>389FA9BB</paraID>
      <start>38</start>
      <end>39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f9533c-b34f-4173-85e0-63303302e7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1284</Words>
  <Characters>1366</Characters>
  <Lines>53</Lines>
  <Paragraphs>14</Paragraphs>
  <TotalTime>16</TotalTime>
  <ScaleCrop>false</ScaleCrop>
  <LinksUpToDate>false</LinksUpToDate>
  <CharactersWithSpaces>1366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2026-05-07T08:32:11Z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7DB8684066634CB39EB410D1ADF50AFD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