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2D27B">
      <w:pPr>
        <w:pStyle w:val="7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310F3528">
      <w:pPr>
        <w:pStyle w:val="7"/>
        <w:spacing w:before="0" w:after="0" w:line="560" w:lineRule="exact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消费精品制造产业园配套项目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14B6590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334E668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5D2FD91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0E9102F3">
      <w:pPr>
        <w:widowControl/>
        <w:autoSpaceDE/>
        <w:adjustRightInd/>
        <w:snapToGrid/>
        <w:spacing w:line="56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消费精品制造产业园配套路网项目业主为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海口市恒慧基础建设有限公司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变更前名称：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海口江东新区基础建设有限公司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项目共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eastAsia="zh-CN" w:bidi="ar"/>
        </w:rPr>
        <w:t>包含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8条市政道路，其中1条城市主干路、3条城市次干路、4条城市支路，路网道路全长3.092千米，红线宽度16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eastAsia="zh-CN" w:bidi="ar"/>
        </w:rPr>
        <w:t>～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30米；主要建设内容包括道路工程、给水工程、排水工程、交通工程、照明工程（含多杆合一）、电力管沟工程、缆线型管廊工程及绿化工程，其中电讯、燃气等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eastAsia="zh-CN" w:bidi="ar"/>
        </w:rPr>
        <w:t>其他市政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管线工程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eastAsia="zh-CN" w:bidi="ar"/>
        </w:rPr>
        <w:t>，本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项目仅预留管位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。项目概算总投资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309490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13017E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2025年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1190.77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截至目前已支出1190.77万元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B7B97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498F0AD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项目按工期计划完成道路工程、给水工程、排水工程、交通工程、照明工程（含多杆合一）、电力管沟工程、缆线型管廊工程及绿化工程建设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。年度绩效目标如下：</w:t>
      </w:r>
    </w:p>
    <w:p w14:paraId="063FF2CC">
      <w:pPr>
        <w:pStyle w:val="2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 w14:paraId="301139DF">
      <w:pPr>
        <w:pStyle w:val="2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4484"/>
        <w:gridCol w:w="2019"/>
      </w:tblGrid>
      <w:tr w14:paraId="5DA5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restart"/>
            <w:vAlign w:val="center"/>
          </w:tcPr>
          <w:p w14:paraId="724AC4B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 w14:paraId="3F9F7B8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3B7AF41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173A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continue"/>
          </w:tcPr>
          <w:p w14:paraId="22700A7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 w14:paraId="03AF7A2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416F82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4498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Align w:val="center"/>
          </w:tcPr>
          <w:p w14:paraId="4F35404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4653B4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竣工验收合格率</w:t>
            </w:r>
          </w:p>
        </w:tc>
        <w:tc>
          <w:tcPr>
            <w:tcW w:w="1184" w:type="pct"/>
            <w:vAlign w:val="center"/>
          </w:tcPr>
          <w:p w14:paraId="55CE97A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4458F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3200B6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49DA5C5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项目设计变更率</w:t>
            </w:r>
          </w:p>
        </w:tc>
        <w:tc>
          <w:tcPr>
            <w:tcW w:w="1184" w:type="pct"/>
            <w:vAlign w:val="center"/>
          </w:tcPr>
          <w:p w14:paraId="66C3758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 w:ascii="宋体" w:hAnsi="宋体" w:eastAsia="宋体"/>
                <w:sz w:val="24"/>
                <w:highlight w:val="none"/>
              </w:rPr>
              <w:t>0</w:t>
            </w: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%</w:t>
            </w:r>
          </w:p>
        </w:tc>
      </w:tr>
      <w:tr w14:paraId="3992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2B81BB5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11D7484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项目按计划开工率</w:t>
            </w:r>
          </w:p>
        </w:tc>
        <w:tc>
          <w:tcPr>
            <w:tcW w:w="1184" w:type="pct"/>
            <w:vAlign w:val="center"/>
          </w:tcPr>
          <w:p w14:paraId="253720C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5C09A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169FF91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7AB874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项目按计划完工率</w:t>
            </w:r>
          </w:p>
        </w:tc>
        <w:tc>
          <w:tcPr>
            <w:tcW w:w="1184" w:type="pct"/>
            <w:vAlign w:val="center"/>
          </w:tcPr>
          <w:p w14:paraId="61655D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63676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7B49493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13E02FF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建筑（工程）综合利用率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457B591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2482B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3B53B3F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5E7552F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设施正常运转率</w:t>
            </w:r>
          </w:p>
        </w:tc>
        <w:tc>
          <w:tcPr>
            <w:tcW w:w="1184" w:type="pct"/>
            <w:vAlign w:val="center"/>
          </w:tcPr>
          <w:p w14:paraId="39E78F4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2701E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12ABBB0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满意度指标</w:t>
            </w:r>
          </w:p>
        </w:tc>
        <w:tc>
          <w:tcPr>
            <w:tcW w:w="2631" w:type="pct"/>
            <w:vAlign w:val="center"/>
          </w:tcPr>
          <w:p w14:paraId="3C9D69D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受益群体满意度</w:t>
            </w:r>
          </w:p>
        </w:tc>
        <w:tc>
          <w:tcPr>
            <w:tcW w:w="1184" w:type="pct"/>
            <w:vAlign w:val="center"/>
          </w:tcPr>
          <w:p w14:paraId="683E449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406B6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67BC73C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 w14:paraId="11159EA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685B9A2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 w:ascii="宋体" w:hAnsi="宋体" w:eastAsia="宋体"/>
                <w:sz w:val="24"/>
                <w:highlight w:val="none"/>
              </w:rPr>
              <w:t>0</w:t>
            </w: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%</w:t>
            </w:r>
          </w:p>
        </w:tc>
      </w:tr>
    </w:tbl>
    <w:p w14:paraId="779161C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54D767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7627CFC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消费精品制造产业园配套项目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0664856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1BCDEBE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6E61C62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2565C69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025348A1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1A4AE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42972D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72E201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231281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5A34A3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6875A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814C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6D5B0D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38445B1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FD344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641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8B841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4E427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59E6978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7D9F45E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EE05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EB27D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CB8CA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08AF97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62744D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0DFB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3DD7C9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6B1E0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0EF4C84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0244A6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0264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FD365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C8F21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014816A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443BA05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49F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2DF582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558E28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01EC4A6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352514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C15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38C340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694943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56274F9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09E3F6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928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3428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C62578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9EAE01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F00C81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28A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AAFE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CE5B0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7F1FDF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72847C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8DD0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2CDF08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2AFBC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5CF6E4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04978C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25CB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F0D299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D0D32D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AFF0F6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3555E6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4EB6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000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1BB5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5EC35A6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950" w:type="pct"/>
            <w:vAlign w:val="center"/>
          </w:tcPr>
          <w:p w14:paraId="4FFC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7E7C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1EB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4C999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614B7E6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5984D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15E2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341B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1BF3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7DFA98D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E48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7F9E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4400D5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22ADE42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5BB4DA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5ABF8EA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368B68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5D5921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1E0BC19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64B5F98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31AF58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0C111C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49F8CD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773E0ED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034FB67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65EDA6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5A7C5B7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C0B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D46B1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922D5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3094E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30606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7206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6E5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661D6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3F0D46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67B6877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EC080E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D963F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6DC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7C66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68DA9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75CF0B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E547FC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A34AE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7FF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F2192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C5C03F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547A1BD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3F43AA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8CFA7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9AB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D0914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00D28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4ECDB9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0A646A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A3ABB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20A1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6552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59182F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04619B1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6AEACAB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B627D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F73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AA7DB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810E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E3EDD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2BFD6C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1BB00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9DB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1C9845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bookmarkStart w:id="0" w:name="_GoBack" w:colFirst="1" w:colLast="2"/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72FE73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7A2A1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1FD6F1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74FDC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36F64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1CC85E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9EE75D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CB286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506AD6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3B4798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FEE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34CC64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144334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AD096E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51E73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3C7088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45F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2C0BFF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F0F03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96C762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AE4F1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51979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2B8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7D1AF9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5B0A6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60C50B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B85D7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5A02E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9252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997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29AE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6653687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2034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3C88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53EBC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566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24491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5AD61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EA0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297C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BE4D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43CD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952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68CD2F0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DF9E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89DE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bookmarkEnd w:id="0"/>
      <w:tr w14:paraId="3C5F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68929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666A3C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B158D9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47DC5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66D0AB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8DE76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5A858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6B66CA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5C969E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0157CE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720BF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spacing w:val="0"/>
          <w:kern w:val="0"/>
          <w:sz w:val="32"/>
          <w:szCs w:val="32"/>
          <w:highlight w:val="none"/>
          <w:shd w:val="clear"/>
          <w:lang w:bidi="ar"/>
        </w:rPr>
        <w:t>项目共</w:t>
      </w:r>
      <w:r>
        <w:rPr>
          <w:rFonts w:hint="eastAsia" w:ascii="仿宋_GB2312" w:hAnsi="Calibri" w:eastAsia="仿宋_GB2312" w:cs="仿宋_GB2312"/>
          <w:spacing w:val="0"/>
          <w:kern w:val="0"/>
          <w:sz w:val="32"/>
          <w:szCs w:val="32"/>
          <w:highlight w:val="none"/>
          <w:shd w:val="clear"/>
          <w:lang w:eastAsia="zh-CN" w:bidi="ar"/>
        </w:rPr>
        <w:t>包含</w:t>
      </w:r>
      <w:r>
        <w:rPr>
          <w:rFonts w:hint="eastAsia" w:ascii="仿宋_GB2312" w:hAnsi="Calibri" w:eastAsia="仿宋_GB2312" w:cs="仿宋_GB2312"/>
          <w:spacing w:val="0"/>
          <w:kern w:val="0"/>
          <w:sz w:val="32"/>
          <w:szCs w:val="32"/>
          <w:highlight w:val="none"/>
          <w:shd w:val="clear"/>
          <w:lang w:bidi="ar"/>
        </w:rPr>
        <w:t>8条市政道路，其中1条城市主干路、3条城市次干路、4条城市支路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服务于江东离岸创新创业组团，完善精品消费区的片区路网结构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改善周边居民及工厂交通出行的条件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16E797E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595C10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1D0AC8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1190.77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截至2025年12月31日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率100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9095ED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5BDDE25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32A2B0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232C5651">
      <w:pPr>
        <w:adjustRightInd w:val="0"/>
        <w:snapToGrid w:val="0"/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项目位于江东离岸创新创业组团桂林洋片区的南部，北与现状桂高路相接，南至兴洋三横路，西至海涛一横路，东至现状美善路，是兼具交通功能及服务功能的区域路网。将助力江东新区发展，提升海口城市功能，为产业项目落地提供保障。</w:t>
      </w:r>
    </w:p>
    <w:p w14:paraId="1EFA73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4C203F1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5E4EC8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2F6553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B43C42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5997101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3779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709FD0"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709FD0">
                    <w:pPr>
                      <w:pStyle w:val="5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051231"/>
    <w:multiLevelType w:val="singleLevel"/>
    <w:tmpl w:val="3B05123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746393"/>
    <w:rsid w:val="02CB6390"/>
    <w:rsid w:val="03B06FF5"/>
    <w:rsid w:val="03E84332"/>
    <w:rsid w:val="040B460D"/>
    <w:rsid w:val="04606101"/>
    <w:rsid w:val="04621786"/>
    <w:rsid w:val="04BC74B0"/>
    <w:rsid w:val="05787E8E"/>
    <w:rsid w:val="0626600A"/>
    <w:rsid w:val="06F95DEE"/>
    <w:rsid w:val="08093106"/>
    <w:rsid w:val="08AF5C9C"/>
    <w:rsid w:val="095D2016"/>
    <w:rsid w:val="0A092149"/>
    <w:rsid w:val="0A787E3B"/>
    <w:rsid w:val="0A7B121A"/>
    <w:rsid w:val="0AC273C6"/>
    <w:rsid w:val="0AC94BD1"/>
    <w:rsid w:val="0BD17C84"/>
    <w:rsid w:val="0BDE5F87"/>
    <w:rsid w:val="0DBB40F2"/>
    <w:rsid w:val="0DE47EA0"/>
    <w:rsid w:val="0E9A79D6"/>
    <w:rsid w:val="111C1707"/>
    <w:rsid w:val="11E903EC"/>
    <w:rsid w:val="11FB7553"/>
    <w:rsid w:val="12593F2B"/>
    <w:rsid w:val="126332E8"/>
    <w:rsid w:val="12AB34F1"/>
    <w:rsid w:val="135734FF"/>
    <w:rsid w:val="137C172A"/>
    <w:rsid w:val="14B51D19"/>
    <w:rsid w:val="14FA1115"/>
    <w:rsid w:val="154455E1"/>
    <w:rsid w:val="15481788"/>
    <w:rsid w:val="1652225F"/>
    <w:rsid w:val="16630DA5"/>
    <w:rsid w:val="1682257B"/>
    <w:rsid w:val="17FD6FFE"/>
    <w:rsid w:val="180C39B2"/>
    <w:rsid w:val="18DB6AA1"/>
    <w:rsid w:val="190A44B1"/>
    <w:rsid w:val="19263C3A"/>
    <w:rsid w:val="19316574"/>
    <w:rsid w:val="19444B72"/>
    <w:rsid w:val="19795372"/>
    <w:rsid w:val="19AA72EE"/>
    <w:rsid w:val="1AC1553C"/>
    <w:rsid w:val="1B007691"/>
    <w:rsid w:val="1CB1400C"/>
    <w:rsid w:val="1D92778D"/>
    <w:rsid w:val="1DBB2B25"/>
    <w:rsid w:val="1E0B74B8"/>
    <w:rsid w:val="1E122B23"/>
    <w:rsid w:val="1E312225"/>
    <w:rsid w:val="1E5510E3"/>
    <w:rsid w:val="1F25228A"/>
    <w:rsid w:val="1F28277B"/>
    <w:rsid w:val="1F3C513A"/>
    <w:rsid w:val="20281024"/>
    <w:rsid w:val="20B5758E"/>
    <w:rsid w:val="21AF66F9"/>
    <w:rsid w:val="22F95FB5"/>
    <w:rsid w:val="23335B9D"/>
    <w:rsid w:val="23EF1B0E"/>
    <w:rsid w:val="247A1B51"/>
    <w:rsid w:val="24A06A9A"/>
    <w:rsid w:val="25900E53"/>
    <w:rsid w:val="27E81586"/>
    <w:rsid w:val="288D2DA2"/>
    <w:rsid w:val="28B735AC"/>
    <w:rsid w:val="29B57C78"/>
    <w:rsid w:val="2A565074"/>
    <w:rsid w:val="2AB57C33"/>
    <w:rsid w:val="2AE457DA"/>
    <w:rsid w:val="2B336677"/>
    <w:rsid w:val="2C192B4A"/>
    <w:rsid w:val="2C8221BC"/>
    <w:rsid w:val="2D7160E8"/>
    <w:rsid w:val="2D9F1EA3"/>
    <w:rsid w:val="2DA417DD"/>
    <w:rsid w:val="2DF6348E"/>
    <w:rsid w:val="2E9826F7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AF6F81"/>
    <w:rsid w:val="3ABA6910"/>
    <w:rsid w:val="3B0A2EB0"/>
    <w:rsid w:val="3B500164"/>
    <w:rsid w:val="3B59178B"/>
    <w:rsid w:val="3BD878AB"/>
    <w:rsid w:val="3C444B0B"/>
    <w:rsid w:val="3CAC15D5"/>
    <w:rsid w:val="3E4B066F"/>
    <w:rsid w:val="3F352CBA"/>
    <w:rsid w:val="3FBB4BCB"/>
    <w:rsid w:val="405D14CB"/>
    <w:rsid w:val="4096439B"/>
    <w:rsid w:val="41253788"/>
    <w:rsid w:val="418D0587"/>
    <w:rsid w:val="41B37671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7C55320"/>
    <w:rsid w:val="49AC56A5"/>
    <w:rsid w:val="49B72F9D"/>
    <w:rsid w:val="49C0331C"/>
    <w:rsid w:val="4A663CDD"/>
    <w:rsid w:val="4A965392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62117E"/>
    <w:rsid w:val="52C426C7"/>
    <w:rsid w:val="541D6ACC"/>
    <w:rsid w:val="54D85B6D"/>
    <w:rsid w:val="54E47B8F"/>
    <w:rsid w:val="54FE4F3A"/>
    <w:rsid w:val="55A57892"/>
    <w:rsid w:val="578A390E"/>
    <w:rsid w:val="57D636C9"/>
    <w:rsid w:val="59D74C62"/>
    <w:rsid w:val="59E1651D"/>
    <w:rsid w:val="5A3B0856"/>
    <w:rsid w:val="5A47702B"/>
    <w:rsid w:val="5A4B6F13"/>
    <w:rsid w:val="5A6A79F7"/>
    <w:rsid w:val="5BF510A0"/>
    <w:rsid w:val="5D6C257F"/>
    <w:rsid w:val="5E9842F9"/>
    <w:rsid w:val="5F367622"/>
    <w:rsid w:val="5F3F3404"/>
    <w:rsid w:val="5F905550"/>
    <w:rsid w:val="61355784"/>
    <w:rsid w:val="61394EFD"/>
    <w:rsid w:val="617F6B7B"/>
    <w:rsid w:val="61AB5485"/>
    <w:rsid w:val="62806640"/>
    <w:rsid w:val="63636628"/>
    <w:rsid w:val="64754794"/>
    <w:rsid w:val="65411CA7"/>
    <w:rsid w:val="65694914"/>
    <w:rsid w:val="663C7C5F"/>
    <w:rsid w:val="66A926CB"/>
    <w:rsid w:val="67A24F14"/>
    <w:rsid w:val="67B21E4C"/>
    <w:rsid w:val="68024B96"/>
    <w:rsid w:val="68903265"/>
    <w:rsid w:val="6A893A8D"/>
    <w:rsid w:val="6B657B2B"/>
    <w:rsid w:val="6C02565A"/>
    <w:rsid w:val="6C7A1EB6"/>
    <w:rsid w:val="6C8B5B44"/>
    <w:rsid w:val="6E6678AD"/>
    <w:rsid w:val="6E6E68A0"/>
    <w:rsid w:val="6E755ABD"/>
    <w:rsid w:val="6E775CD9"/>
    <w:rsid w:val="6EB377AA"/>
    <w:rsid w:val="6FB6700B"/>
    <w:rsid w:val="701D3C49"/>
    <w:rsid w:val="710022AC"/>
    <w:rsid w:val="725E09BE"/>
    <w:rsid w:val="727437E0"/>
    <w:rsid w:val="74C3652D"/>
    <w:rsid w:val="757F5777"/>
    <w:rsid w:val="75EF1237"/>
    <w:rsid w:val="764C182F"/>
    <w:rsid w:val="7654409C"/>
    <w:rsid w:val="7704672F"/>
    <w:rsid w:val="77175582"/>
    <w:rsid w:val="77B83C97"/>
    <w:rsid w:val="78755B31"/>
    <w:rsid w:val="791F742A"/>
    <w:rsid w:val="79DF2334"/>
    <w:rsid w:val="7B2F66D1"/>
    <w:rsid w:val="7B302324"/>
    <w:rsid w:val="7B76655D"/>
    <w:rsid w:val="7BBF5BC9"/>
    <w:rsid w:val="7CE205E6"/>
    <w:rsid w:val="7CE7227B"/>
    <w:rsid w:val="7D1D1C9F"/>
    <w:rsid w:val="7EDF397E"/>
    <w:rsid w:val="7F1E2C66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paragraph" w:styleId="8">
    <w:name w:val="Body Text First Indent 2"/>
    <w:basedOn w:val="4"/>
    <w:autoRedefine/>
    <w:unhideWhenUsed/>
    <w:qFormat/>
    <w:uiPriority w:val="99"/>
    <w:pPr>
      <w:ind w:firstLine="420" w:firstLineChars="200"/>
    </w:p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e623fe00-be77-47fe-83dd-57370ab39154</errorID>
      <errorWord>超概算比例</errorWord>
      <group>L1_Other</group>
      <groupName>其他问题</groupName>
      <ability>L2_Consistency</ability>
      <abilityName>一致性检查</abilityName>
      <candidateList>
        <item>超概算项目比例</item>
      </candidateList>
      <explain>术语一致性：在绩效目标部分使用‘超概算比例’，在评价指标体系及后续评价分析中使用‘超概算项目比例’，应统一为‘超概算项目比例’</explain>
      <paraID>11159EA3</paraID>
      <start>0</start>
      <end>5</end>
      <status>ignored</status>
      <modifiedWord/>
      <trackRevisions>false</trackRevisions>
    </reviewItem>
    <reviewItem>
      <errorID>b61257bd-e6fd-43ab-9ff0-1927a3a1ed28</errorID>
      <errorWord>地</errorWord>
      <group>L1_Word</group>
      <groupName>字词问题</groupName>
      <ability>L2_Typo</ability>
      <abilityName>字词错误</abilityName>
      <candidateList>
        <item>的</item>
      </candidateList>
      <explain/>
      <paraID>6E61C621</paraID>
      <start>38</start>
      <end>39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7315fe-bc62-4545-a717-4e13a8acba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1950</Words>
  <Characters>2055</Characters>
  <Lines>1</Lines>
  <Paragraphs>1</Paragraphs>
  <TotalTime>7</TotalTime>
  <ScaleCrop>false</ScaleCrop>
  <LinksUpToDate>false</LinksUpToDate>
  <CharactersWithSpaces>2055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2026-05-07T08:33:03Z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B0AEF2E0C12A47779EDFD943B8A7D221_13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