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3A01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7A05697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 w:line="240" w:lineRule="auto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桂林洋大道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 w14:paraId="4DA8E3D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7043AFB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10E09D9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3CC1B2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0B2F29E8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桂林洋大道项目业主为海口市路桥建设投资有限公司，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项目位于江东新区，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起点为海口经济学院南侧的规划路，终点为江东大道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道路全长约6.41km，红线宽度40m，道路规划为城市主干路。主要建设内容包括道路工程、交通工程、桥梁工程、给水工程、排水工程、照明工程（含多杆）、绿化工程、缆线沟工程等。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该项目202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年到位资金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400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万元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。截至目前，均已支出完毕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。</w:t>
      </w:r>
    </w:p>
    <w:p w14:paraId="40FDE68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580D9CD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按计划完成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0.61公里功能性通车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7"/>
        <w:gridCol w:w="4484"/>
        <w:gridCol w:w="2018"/>
      </w:tblGrid>
      <w:tr w14:paraId="74B3E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32C0C35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1" w:type="pct"/>
            <w:vMerge w:val="restart"/>
            <w:vAlign w:val="center"/>
          </w:tcPr>
          <w:p w14:paraId="3FA7982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5357233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2B16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2153BE8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1" w:type="pct"/>
            <w:vMerge w:val="continue"/>
          </w:tcPr>
          <w:p w14:paraId="57F93A7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205F362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7BD20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695AAD9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产出指标</w:t>
            </w:r>
          </w:p>
        </w:tc>
        <w:tc>
          <w:tcPr>
            <w:tcW w:w="2631" w:type="pct"/>
          </w:tcPr>
          <w:p w14:paraId="32497DC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"/>
              </w:rPr>
              <w:t>完成公里数</w:t>
            </w:r>
          </w:p>
        </w:tc>
        <w:tc>
          <w:tcPr>
            <w:tcW w:w="1184" w:type="pct"/>
          </w:tcPr>
          <w:p w14:paraId="329454C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0.61公里</w:t>
            </w:r>
          </w:p>
        </w:tc>
      </w:tr>
      <w:tr w14:paraId="78CD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422F7C1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1" w:type="pct"/>
          </w:tcPr>
          <w:p w14:paraId="566699F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b w:val="0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"/>
              </w:rPr>
              <w:t>竣工验收合格率</w:t>
            </w:r>
          </w:p>
        </w:tc>
        <w:tc>
          <w:tcPr>
            <w:tcW w:w="1184" w:type="pct"/>
          </w:tcPr>
          <w:p w14:paraId="4D0036F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95%</w:t>
            </w:r>
          </w:p>
        </w:tc>
      </w:tr>
      <w:tr w14:paraId="29EA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 w14:paraId="4B70B48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1" w:type="pct"/>
            <w:vAlign w:val="center"/>
          </w:tcPr>
          <w:p w14:paraId="574DA5D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建筑（工程）综合利用率</w:t>
            </w:r>
          </w:p>
        </w:tc>
        <w:tc>
          <w:tcPr>
            <w:tcW w:w="1184" w:type="pct"/>
            <w:vAlign w:val="center"/>
          </w:tcPr>
          <w:p w14:paraId="5EEC45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856C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 w14:paraId="7D005F0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满意度指标</w:t>
            </w:r>
          </w:p>
        </w:tc>
        <w:tc>
          <w:tcPr>
            <w:tcW w:w="2631" w:type="pct"/>
            <w:vAlign w:val="center"/>
          </w:tcPr>
          <w:p w14:paraId="6CE3D2D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1669910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80%</w:t>
            </w:r>
          </w:p>
        </w:tc>
      </w:tr>
      <w:tr w14:paraId="1F7DA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4E5D948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成本指标</w:t>
            </w:r>
          </w:p>
        </w:tc>
        <w:tc>
          <w:tcPr>
            <w:tcW w:w="2631" w:type="pct"/>
            <w:vAlign w:val="center"/>
          </w:tcPr>
          <w:p w14:paraId="6E9D4C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控制在概算总投内</w:t>
            </w:r>
          </w:p>
        </w:tc>
        <w:tc>
          <w:tcPr>
            <w:tcW w:w="1184" w:type="pct"/>
            <w:vAlign w:val="center"/>
          </w:tcPr>
          <w:p w14:paraId="7049E20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166904.48</w:t>
            </w:r>
          </w:p>
        </w:tc>
      </w:tr>
    </w:tbl>
    <w:p w14:paraId="05AA5BC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3A77F05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5D76C9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桂林洋大道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132389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34A17C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 w14:paraId="73E7C8C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334843C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 w14:paraId="42FFACE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7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</w:tblGrid>
      <w:tr w14:paraId="16CF6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476" w:type="dxa"/>
            <w:vAlign w:val="center"/>
          </w:tcPr>
          <w:p w14:paraId="078817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854" w:type="dxa"/>
            <w:vAlign w:val="center"/>
          </w:tcPr>
          <w:p w14:paraId="6299BA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575" w:type="dxa"/>
            <w:vAlign w:val="center"/>
          </w:tcPr>
          <w:p w14:paraId="0ABDBE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386" w:type="dxa"/>
            <w:vAlign w:val="center"/>
          </w:tcPr>
          <w:p w14:paraId="746A0A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812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563E2F2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854" w:type="dxa"/>
            <w:vMerge w:val="restart"/>
            <w:vAlign w:val="center"/>
          </w:tcPr>
          <w:p w14:paraId="2C80692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2575" w:type="dxa"/>
            <w:vAlign w:val="center"/>
          </w:tcPr>
          <w:p w14:paraId="6F2D540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386" w:type="dxa"/>
            <w:vAlign w:val="center"/>
          </w:tcPr>
          <w:p w14:paraId="0DEBA9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9364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40A24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1D48F83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 w14:paraId="72E0C7A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386" w:type="dxa"/>
            <w:vAlign w:val="center"/>
          </w:tcPr>
          <w:p w14:paraId="2958749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8E35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EB402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135CDC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2575" w:type="dxa"/>
            <w:vAlign w:val="center"/>
          </w:tcPr>
          <w:p w14:paraId="5D4659B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386" w:type="dxa"/>
            <w:vAlign w:val="center"/>
          </w:tcPr>
          <w:p w14:paraId="014813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8FEC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97565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4B99AF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 w14:paraId="756DB3E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386" w:type="dxa"/>
            <w:vAlign w:val="center"/>
          </w:tcPr>
          <w:p w14:paraId="5472481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12A6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616BC3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45A2D4A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2575" w:type="dxa"/>
            <w:vAlign w:val="center"/>
          </w:tcPr>
          <w:p w14:paraId="52AFE96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386" w:type="dxa"/>
            <w:vAlign w:val="center"/>
          </w:tcPr>
          <w:p w14:paraId="4DE6FD9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CC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EC44C5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49C1F91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2793F43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386" w:type="dxa"/>
            <w:vAlign w:val="center"/>
          </w:tcPr>
          <w:p w14:paraId="141540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52B8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3DF41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854" w:type="dxa"/>
            <w:vMerge w:val="restart"/>
            <w:vAlign w:val="center"/>
          </w:tcPr>
          <w:p w14:paraId="240A51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2575" w:type="dxa"/>
            <w:vAlign w:val="center"/>
          </w:tcPr>
          <w:p w14:paraId="5F38859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386" w:type="dxa"/>
            <w:vAlign w:val="center"/>
          </w:tcPr>
          <w:p w14:paraId="4F1E3F8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F646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68DBCCC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34B19D5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7694A85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386" w:type="dxa"/>
            <w:vAlign w:val="center"/>
          </w:tcPr>
          <w:p w14:paraId="0A990EB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E25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7A0A715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7A0A679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154DA98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386" w:type="dxa"/>
            <w:vAlign w:val="center"/>
          </w:tcPr>
          <w:p w14:paraId="428E2A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626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4CBD435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421292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2575" w:type="dxa"/>
            <w:vAlign w:val="center"/>
          </w:tcPr>
          <w:p w14:paraId="4556875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386" w:type="dxa"/>
            <w:vAlign w:val="center"/>
          </w:tcPr>
          <w:p w14:paraId="626815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E87D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19E467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3AFA30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2042A5B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386" w:type="dxa"/>
            <w:vAlign w:val="center"/>
          </w:tcPr>
          <w:p w14:paraId="0A932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2FF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74F3A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272E6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产出质量</w:t>
            </w:r>
          </w:p>
        </w:tc>
        <w:tc>
          <w:tcPr>
            <w:tcW w:w="2575" w:type="dxa"/>
            <w:vAlign w:val="center"/>
          </w:tcPr>
          <w:p w14:paraId="67F1D59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1386" w:type="dxa"/>
            <w:vAlign w:val="center"/>
          </w:tcPr>
          <w:p w14:paraId="79D7E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5A8D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F311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7A326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2575" w:type="dxa"/>
            <w:vAlign w:val="center"/>
          </w:tcPr>
          <w:p w14:paraId="09CE464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1386" w:type="dxa"/>
            <w:vAlign w:val="center"/>
          </w:tcPr>
          <w:p w14:paraId="44B5A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5BC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5415C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1A938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2575" w:type="dxa"/>
            <w:vAlign w:val="center"/>
          </w:tcPr>
          <w:p w14:paraId="2B5EEA2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1386" w:type="dxa"/>
            <w:vAlign w:val="center"/>
          </w:tcPr>
          <w:p w14:paraId="018F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A6C7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56B96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08DDE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 w14:paraId="0B15D3B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1386" w:type="dxa"/>
            <w:vAlign w:val="center"/>
          </w:tcPr>
          <w:p w14:paraId="09021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E79D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5A08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54" w:type="dxa"/>
            <w:vAlign w:val="center"/>
          </w:tcPr>
          <w:p w14:paraId="46E3F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 w14:paraId="62919AE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1386" w:type="dxa"/>
            <w:vAlign w:val="center"/>
          </w:tcPr>
          <w:p w14:paraId="200C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95B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905" w:type="dxa"/>
            <w:gridSpan w:val="3"/>
            <w:vAlign w:val="center"/>
          </w:tcPr>
          <w:p w14:paraId="7E7188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386" w:type="dxa"/>
            <w:vAlign w:val="center"/>
          </w:tcPr>
          <w:p w14:paraId="1A5C7E8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7602992">
      <w:pPr>
        <w:pStyle w:val="2"/>
      </w:pPr>
    </w:p>
    <w:p w14:paraId="3012B8B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 w14:paraId="44942A2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487F9CC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 w14:paraId="5BB9E8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16473D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53B65F4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4F5AC9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6BDDF8A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6DCC01A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3425FBA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7E8818E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6F3CE5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42DF0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A6819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5159E3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15E3A9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A8B0C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7F68DE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28795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CEDF4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7060F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4213EF7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7218D91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EDD903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33B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70686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A4E85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CBF19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1159C1C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79C38B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58F7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B02AEA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5C91E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D95AF3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2C66A8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BAE653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98A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118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BD071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108498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7DA5E27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6EE0B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257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9F461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E5852F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3585C58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DF6290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330ECF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556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8A9F9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D0E7EF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9FF1A5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05C1E0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8B8EE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52D2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84957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6F913E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41CE6B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284C90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267A26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3E0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EF94AE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4DB3D4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0494AE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607BD53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09882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52B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BA48B4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DDF3B8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21697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657AC0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492B3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34DA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4131BB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bookmarkStart w:id="0" w:name="_GoBack" w:colFirst="1" w:colLast="2"/>
          </w:p>
        </w:tc>
        <w:tc>
          <w:tcPr>
            <w:tcW w:w="1088" w:type="pct"/>
            <w:vMerge w:val="restart"/>
            <w:vAlign w:val="center"/>
          </w:tcPr>
          <w:p w14:paraId="1219CF5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0005DD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87253D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0D3B02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5D0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076D6B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74AC0B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6009A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9C727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30B9F8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BE5E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2DC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18FD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产出质量</w:t>
            </w:r>
          </w:p>
        </w:tc>
        <w:tc>
          <w:tcPr>
            <w:tcW w:w="1511" w:type="pct"/>
            <w:vAlign w:val="center"/>
          </w:tcPr>
          <w:p w14:paraId="5285E17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验收合格率</w:t>
            </w:r>
          </w:p>
        </w:tc>
        <w:tc>
          <w:tcPr>
            <w:tcW w:w="813" w:type="pct"/>
            <w:vAlign w:val="center"/>
          </w:tcPr>
          <w:p w14:paraId="32F95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40A0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2B3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885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6F6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082E269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4DF0B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394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0E4E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B9F9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4EDE6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69AF43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76C2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3C78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7EC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25B4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0BAD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0804A9B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64F85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3F0C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5F8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841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01E1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1D878AE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682D2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4C63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bookmarkEnd w:id="0"/>
      <w:tr w14:paraId="3CA5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59CB6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09F90C4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C299FC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06A8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7D464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30E130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91EE11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A2BEE0F">
      <w:pPr>
        <w:pStyle w:val="2"/>
      </w:pPr>
    </w:p>
    <w:p w14:paraId="634C44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DDD34D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0E0516B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桂林洋大道的建设有利于连接起步区与临空经济区，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有效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推进江东新区的发展，为江东新区的发展提供便利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的交通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条件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该项目的建设将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有效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完善高教科研组团内的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交通设施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，为加快建设海南自贸港提供基础设施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保障。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该项目列入海口市政府投资项目计划。项目设定了绩效目标，绩效目标与实际工作内容具有相关性。项目预算编制科学合理，预算资金分配依据充分。</w:t>
      </w:r>
    </w:p>
    <w:p w14:paraId="64D4F43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471D0D3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1026C1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400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截至2025年12月31日支出进度为100%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6D5844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7CF349E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2025年年底，已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形象进度的98%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。项目完成程度较好，实现了预定预算目标。</w:t>
      </w:r>
    </w:p>
    <w:p w14:paraId="65F5B80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1F43D8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项目的建设将更好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eastAsia="zh-CN" w:bidi="ar"/>
        </w:rPr>
        <w:t>地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服务于国际高教科研组团，加强周边大学城、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eastAsia="zh-CN" w:bidi="ar"/>
        </w:rPr>
        <w:t>美丽乡村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、农业公园与国际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eastAsia="zh-CN" w:bidi="ar"/>
        </w:rPr>
        <w:t>和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国内城市之间的联系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。项目现阶段正在实施路面工程（中、上面层）、剩余照明工程及交通工程。</w:t>
      </w:r>
    </w:p>
    <w:p w14:paraId="70EAFDE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5FDAA14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6525E3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46400BB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E6F32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2903EA0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FAB42C-A993-4028-90E4-C363004D4D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E55FE90-838E-4D74-90E6-2ECADE265BD1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D3C4C3E-B100-4BD9-B502-560BA39F977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C86F75D-D94B-42C3-A4B5-F94FE1762BE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D9841F85-861D-4C15-85E4-7814AFC9D6AD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2DF2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973C6F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973C6F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4C65F5"/>
    <w:rsid w:val="02CB6390"/>
    <w:rsid w:val="040B460D"/>
    <w:rsid w:val="04621786"/>
    <w:rsid w:val="05787E8E"/>
    <w:rsid w:val="061D7B79"/>
    <w:rsid w:val="0626600A"/>
    <w:rsid w:val="06F95DEE"/>
    <w:rsid w:val="08093106"/>
    <w:rsid w:val="08AF5C9C"/>
    <w:rsid w:val="0A092149"/>
    <w:rsid w:val="0A787E3B"/>
    <w:rsid w:val="0AC273C6"/>
    <w:rsid w:val="0AC94BD1"/>
    <w:rsid w:val="0B697B29"/>
    <w:rsid w:val="0BD17C84"/>
    <w:rsid w:val="0BDE5F87"/>
    <w:rsid w:val="0D886C01"/>
    <w:rsid w:val="0DBB40F2"/>
    <w:rsid w:val="0DE47EA0"/>
    <w:rsid w:val="0E9A79D6"/>
    <w:rsid w:val="0EF45DC7"/>
    <w:rsid w:val="10BE374E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7FB2C27"/>
    <w:rsid w:val="180C39B2"/>
    <w:rsid w:val="190A44B1"/>
    <w:rsid w:val="19263C3A"/>
    <w:rsid w:val="19316574"/>
    <w:rsid w:val="19795372"/>
    <w:rsid w:val="19AA72EE"/>
    <w:rsid w:val="1AC1553C"/>
    <w:rsid w:val="1B007691"/>
    <w:rsid w:val="1C4E26A0"/>
    <w:rsid w:val="1CB1400C"/>
    <w:rsid w:val="1DBB2B25"/>
    <w:rsid w:val="1E122B23"/>
    <w:rsid w:val="1E312225"/>
    <w:rsid w:val="1E5510E3"/>
    <w:rsid w:val="1F25228A"/>
    <w:rsid w:val="1F737768"/>
    <w:rsid w:val="1F78690B"/>
    <w:rsid w:val="20281024"/>
    <w:rsid w:val="20784192"/>
    <w:rsid w:val="20B5758E"/>
    <w:rsid w:val="23335B9D"/>
    <w:rsid w:val="23501BFC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B35FB7"/>
    <w:rsid w:val="3A621CBF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1DF0C0D"/>
    <w:rsid w:val="41EE5EE1"/>
    <w:rsid w:val="435C1C6B"/>
    <w:rsid w:val="435E1F18"/>
    <w:rsid w:val="44273DE2"/>
    <w:rsid w:val="44641F69"/>
    <w:rsid w:val="449F4DAD"/>
    <w:rsid w:val="44B278BB"/>
    <w:rsid w:val="44B939E4"/>
    <w:rsid w:val="461E0D18"/>
    <w:rsid w:val="464F2DD5"/>
    <w:rsid w:val="467C5C77"/>
    <w:rsid w:val="47C55320"/>
    <w:rsid w:val="48AD4573"/>
    <w:rsid w:val="493354CD"/>
    <w:rsid w:val="49B72F9D"/>
    <w:rsid w:val="49C0331C"/>
    <w:rsid w:val="4AA6125F"/>
    <w:rsid w:val="4B184070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D85B6D"/>
    <w:rsid w:val="54E47B8F"/>
    <w:rsid w:val="54FE4F3A"/>
    <w:rsid w:val="55A57892"/>
    <w:rsid w:val="55E95564"/>
    <w:rsid w:val="578A390E"/>
    <w:rsid w:val="57D636C9"/>
    <w:rsid w:val="580707E9"/>
    <w:rsid w:val="582E66DB"/>
    <w:rsid w:val="59D74C62"/>
    <w:rsid w:val="59E1651D"/>
    <w:rsid w:val="5A3B0856"/>
    <w:rsid w:val="5A4B6F13"/>
    <w:rsid w:val="5A6A79F7"/>
    <w:rsid w:val="5B83605B"/>
    <w:rsid w:val="5BE12E31"/>
    <w:rsid w:val="5BF510A0"/>
    <w:rsid w:val="5F367622"/>
    <w:rsid w:val="5F3F3404"/>
    <w:rsid w:val="5F905550"/>
    <w:rsid w:val="5FB4302C"/>
    <w:rsid w:val="61394EFD"/>
    <w:rsid w:val="617F6B7B"/>
    <w:rsid w:val="61AB5485"/>
    <w:rsid w:val="62806640"/>
    <w:rsid w:val="63636628"/>
    <w:rsid w:val="638B4D85"/>
    <w:rsid w:val="643A4188"/>
    <w:rsid w:val="65411CA7"/>
    <w:rsid w:val="65694914"/>
    <w:rsid w:val="67B21E4C"/>
    <w:rsid w:val="68024B96"/>
    <w:rsid w:val="68903265"/>
    <w:rsid w:val="6A893A8D"/>
    <w:rsid w:val="6A927E4E"/>
    <w:rsid w:val="6B095017"/>
    <w:rsid w:val="6B657B2B"/>
    <w:rsid w:val="6C02565A"/>
    <w:rsid w:val="6C8B5B44"/>
    <w:rsid w:val="6E6E68A0"/>
    <w:rsid w:val="6EB377AA"/>
    <w:rsid w:val="6EF4669C"/>
    <w:rsid w:val="6FB6700B"/>
    <w:rsid w:val="701D3C49"/>
    <w:rsid w:val="706D6ACA"/>
    <w:rsid w:val="7080064E"/>
    <w:rsid w:val="710022AC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8792B4E"/>
    <w:rsid w:val="791F742A"/>
    <w:rsid w:val="79B576B5"/>
    <w:rsid w:val="79F5363F"/>
    <w:rsid w:val="7B2F66D1"/>
    <w:rsid w:val="7B76655D"/>
    <w:rsid w:val="7BBF5BC9"/>
    <w:rsid w:val="7CC330B9"/>
    <w:rsid w:val="7CE205E6"/>
    <w:rsid w:val="7D1D1C9F"/>
    <w:rsid w:val="7EDF397E"/>
    <w:rsid w:val="7F9F0DA7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d1e051b9-55db-4a2a-be5a-4c3316eed78f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73E7C8C2</paraID>
      <start>38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b1d3f4-016e-440f-b838-68b90ad2c1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1829</Words>
  <Characters>1924</Characters>
  <Lines>53</Lines>
  <Paragraphs>14</Paragraphs>
  <TotalTime>70</TotalTime>
  <ScaleCrop>false</ScaleCrop>
  <LinksUpToDate>false</LinksUpToDate>
  <CharactersWithSpaces>1924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zoe</cp:lastModifiedBy>
  <dcterms:modified xsi:type="dcterms:W3CDTF">2026-05-07T08:47:00Z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C21460216617488FA79047B7FC50B336_13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