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63B0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59E7A7CF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年临空经济区主干能源设施配套路网（原基础设施配套二期）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0F3A3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28D3C2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F1D867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516D36C2">
      <w:pPr>
        <w:widowControl/>
        <w:ind w:firstLine="640" w:firstLineChars="200"/>
        <w:jc w:val="left"/>
        <w:outlineLvl w:val="0"/>
        <w:rPr>
          <w:rFonts w:hint="eastAsia" w:ascii="仿宋_GB2312" w:hAnsi="Times New Roman" w:eastAsia="仿宋_GB2312" w:cs="仿宋_GB2312"/>
          <w:sz w:val="32"/>
          <w:szCs w:val="32"/>
          <w:lang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临空经济区主干能源设施配套路网（原基础设施配套二期）项目业主为海口市路桥建设投资有限公司，项目位于海口江东新区临空经济区，拟建6条市政道路，道路总长9.294km，分别为空港环路、桂江大道（中段）、顺达路、美溪路（西段）、林香一路、南贸大道（东一段），均为主干道路，红线宽为40m、48m两种类型。本项目共设置桥梁4座，桥梁总长约225m，总面积约9000㎡；设置跨越河道过水箱涵2座，过水管涵1座；1座污水提升泵站。项目主要为道路修建及配套设施建设，主要工程内容包括道路工程、桥涵工程、交通工程、给水工程、排水工程、再生水工程、海绵城市、绿化工程、照明工程、缆线沟工程、智慧城市及污水提升等。该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项目202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年到位资金</w:t>
      </w:r>
      <w:r>
        <w:rPr>
          <w:rFonts w:hint="default" w:ascii="仿宋_GB2312" w:hAnsi="Times New Roman" w:eastAsia="仿宋_GB2312" w:cs="仿宋_GB2312"/>
          <w:sz w:val="32"/>
          <w:szCs w:val="32"/>
          <w:lang w:val="en-US" w:eastAsia="zh-CN" w:bidi="ar"/>
        </w:rPr>
        <w:t>1200</w:t>
      </w:r>
      <w:r>
        <w:rPr>
          <w:rFonts w:hint="eastAsia" w:ascii="仿宋_GB2312" w:hAnsi="Times New Roman" w:eastAsia="仿宋_GB2312" w:cs="仿宋_GB2312"/>
          <w:sz w:val="32"/>
          <w:szCs w:val="32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 w:bidi="ar"/>
        </w:rPr>
        <w:t>。</w:t>
      </w:r>
    </w:p>
    <w:p w14:paraId="5CEAB9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firstLine="640" w:firstLineChars="200"/>
        <w:jc w:val="left"/>
        <w:outlineLvl w:val="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319D9F7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按计划完成项目建设，</w:t>
      </w:r>
      <w:r>
        <w:rPr>
          <w:rFonts w:hint="eastAsia" w:ascii="仿宋_GB2312" w:hAnsi="Times New Roman" w:eastAsia="仿宋_GB2312" w:cs="Times New Roman"/>
          <w:sz w:val="32"/>
          <w:szCs w:val="36"/>
        </w:rPr>
        <w:t>完成总体形象进度5%，完成道路建设0.2公里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5479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470E34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44534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07B543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600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478CFC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5BCCA38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4D06200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814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5773A41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0E933F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竣工验收合格率</w:t>
            </w:r>
          </w:p>
        </w:tc>
        <w:tc>
          <w:tcPr>
            <w:tcW w:w="1184" w:type="pct"/>
            <w:vAlign w:val="center"/>
          </w:tcPr>
          <w:p w14:paraId="69089C3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95%</w:t>
            </w:r>
          </w:p>
        </w:tc>
      </w:tr>
      <w:tr w14:paraId="46581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27ADA84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29FE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按计划开工率</w:t>
            </w:r>
          </w:p>
        </w:tc>
        <w:tc>
          <w:tcPr>
            <w:tcW w:w="1184" w:type="pct"/>
            <w:vAlign w:val="center"/>
          </w:tcPr>
          <w:p w14:paraId="3ED1F5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BB7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6E5A41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16E38C7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31F2850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765A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7A2709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1AA0882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545986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3523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4E17D6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2631" w:type="pct"/>
            <w:vAlign w:val="center"/>
          </w:tcPr>
          <w:p w14:paraId="242F4AC5">
            <w:pPr>
              <w:keepNext w:val="0"/>
              <w:keepLines w:val="0"/>
              <w:pageBreakBefore w:val="0"/>
              <w:tabs>
                <w:tab w:val="left" w:pos="720"/>
                <w:tab w:val="left" w:pos="1506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1CFFFBC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126753.17万</w:t>
            </w:r>
          </w:p>
        </w:tc>
      </w:tr>
    </w:tbl>
    <w:p w14:paraId="5FDC524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2F0BBE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52CD7F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临空经济区主干能源设施配套路网（原基础设施配套二期）项目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6EFA6D1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8AC36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389FA9B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0E2581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7911F6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1196B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03B2C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458341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5B059F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1E5308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4B2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6EEB3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40749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735AF8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A28ACD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4C10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EF1B5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6BB89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55EFFB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8DA65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4253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EBD6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C1F406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51AAC97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65E8A8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4F6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E048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588CA9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5FD295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6DDB9E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8A6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6F4C0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AECAB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3D567DB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10B5FFF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8E0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425EC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AAF8E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F01196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4C9666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39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210060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6E6A367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2DC25C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419497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1C7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4EA9D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52852C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50DB20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4D4BF89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619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F72F4D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66539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F7C495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62E569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31F8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B5BDA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3E67597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0153BC8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13F80D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4CB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8C34AF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F7801A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0B0AF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44C01B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7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397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1C10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766" w:type="pct"/>
            <w:vAlign w:val="center"/>
          </w:tcPr>
          <w:p w14:paraId="67FD36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950" w:type="pct"/>
            <w:vAlign w:val="center"/>
          </w:tcPr>
          <w:p w14:paraId="7257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108C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E22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3A5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766" w:type="pct"/>
            <w:vAlign w:val="center"/>
          </w:tcPr>
          <w:p w14:paraId="01031C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 w14:paraId="2B765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850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E0C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579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 w14:paraId="1DE7A31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 w14:paraId="05CB6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0E7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56EB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617E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 w14:paraId="60587F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3B73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bookmarkEnd w:id="0"/>
      <w:tr w14:paraId="7DE5D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2F7D0B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36CDCA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C13AEE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0CB687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0F8E7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78187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3D446C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4D2D140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04E6C7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149E6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08C916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D5DBC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62CF35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2AABE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4331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A5E4B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2CE94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49482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C0928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4A6D0E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3F1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9D603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4C70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43A726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BC39C0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F4D18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20D0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61B51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D77B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82373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054EEB3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687F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899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83A30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87BF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99CBE6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641E36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A8200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8D4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78F9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F67A2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8FAEE2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9F932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42BA331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7DF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80F3C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312D6B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E9E186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712DF3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63F2F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A25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76988D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BA03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C9E83F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3A12E62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8C9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253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39CE3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45A2B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3FDEE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844917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E3F4A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</w:tr>
      <w:tr w14:paraId="0CAB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32A12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26D53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E16726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20B447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C4E6F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144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98DC4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E91E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BDE4D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258D7DC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00B50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0D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8C3F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47CD85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E79EA6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261AB28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A2351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C23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C3B167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63607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5F502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107C1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7D00F8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A83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771D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480F4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05FE7B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1E78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2055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837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8A97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2C49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16E2F36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42A1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4AB0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14DC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52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00AA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3BAA52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50B4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29F6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C95E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9744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4F06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0E64DD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0D45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0682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C475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89C5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5A8409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1F35D91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</w:tr>
      <w:tr w14:paraId="468D4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B18EC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6F366D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F0120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DBA2A7">
      <w:pPr>
        <w:pStyle w:val="2"/>
      </w:pPr>
    </w:p>
    <w:p w14:paraId="72E660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7815A5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513E15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作为临空经济区主干能源设施配套核心工程，通过完善区域主干路网体系，同步统筹各类能源、市政管线配套建设，有效补齐片区基础设施短板。项目畅通区域内外交通联系，提升客货运输集散能力，强化临空经济区综合承载能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善能源保障与市政配套供给，为片区产业落地、项目建设提供坚实基础支撑。该项目列入海口市政府投资项目计划。项目设定了绩效目标，绩效目标与实际工作内容具有相关性。项目预算编制科学合理，预算资金分配依据充分。</w:t>
      </w:r>
    </w:p>
    <w:p w14:paraId="1937FFD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3A3239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31475B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截至2025年12月31日支出进度为75%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B953E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162FD4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形象进度100%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。项目完成程度较好，实现了预定预算目标。</w:t>
      </w:r>
    </w:p>
    <w:p w14:paraId="2D9F25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3453B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项目的建设能极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大地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促进临空经济区基础配套设施的完善，为江东新区的发展提供先行的基础保障。本项目为海口美兰国际机场临空经济区内市政基础设施，它的建设是经济区内地块开发的前提和基本支撑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0D0E977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3BEF4F8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4B7758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746EBD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39B6B3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5B1556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9914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7A3D06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7A3D06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0B2C23"/>
    <w:rsid w:val="003B3E31"/>
    <w:rsid w:val="006D65BE"/>
    <w:rsid w:val="00A56C8A"/>
    <w:rsid w:val="00BE4EB8"/>
    <w:rsid w:val="00CA6F13"/>
    <w:rsid w:val="00D4065E"/>
    <w:rsid w:val="00D57EB4"/>
    <w:rsid w:val="02233DF4"/>
    <w:rsid w:val="023A5912"/>
    <w:rsid w:val="02CB6390"/>
    <w:rsid w:val="040B460D"/>
    <w:rsid w:val="04264D77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7D46CE"/>
    <w:rsid w:val="0DBB40F2"/>
    <w:rsid w:val="0DE47EA0"/>
    <w:rsid w:val="0DFE490C"/>
    <w:rsid w:val="0E9A79D6"/>
    <w:rsid w:val="111C1707"/>
    <w:rsid w:val="11A56146"/>
    <w:rsid w:val="11FB7553"/>
    <w:rsid w:val="126332E8"/>
    <w:rsid w:val="12AB34F1"/>
    <w:rsid w:val="135734FF"/>
    <w:rsid w:val="14B51D19"/>
    <w:rsid w:val="14FA1115"/>
    <w:rsid w:val="154455E1"/>
    <w:rsid w:val="15481788"/>
    <w:rsid w:val="15F07ED2"/>
    <w:rsid w:val="1652225F"/>
    <w:rsid w:val="16630DA5"/>
    <w:rsid w:val="1682257B"/>
    <w:rsid w:val="180C39B2"/>
    <w:rsid w:val="184A4058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1DF5851"/>
    <w:rsid w:val="326C58E4"/>
    <w:rsid w:val="335D7182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781F1C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2985365"/>
    <w:rsid w:val="435C1C6B"/>
    <w:rsid w:val="435E1F18"/>
    <w:rsid w:val="43837607"/>
    <w:rsid w:val="44273DE2"/>
    <w:rsid w:val="449F4DAD"/>
    <w:rsid w:val="44B278BB"/>
    <w:rsid w:val="44B939E4"/>
    <w:rsid w:val="451C6672"/>
    <w:rsid w:val="461E0D18"/>
    <w:rsid w:val="464F2DD5"/>
    <w:rsid w:val="467C5C77"/>
    <w:rsid w:val="47C55320"/>
    <w:rsid w:val="496A311D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253B37"/>
    <w:rsid w:val="4FB54242"/>
    <w:rsid w:val="52C426C7"/>
    <w:rsid w:val="54D85B6D"/>
    <w:rsid w:val="54E47B8F"/>
    <w:rsid w:val="54FE4F3A"/>
    <w:rsid w:val="55A57892"/>
    <w:rsid w:val="55E95564"/>
    <w:rsid w:val="56391A6A"/>
    <w:rsid w:val="578A390E"/>
    <w:rsid w:val="57D636C9"/>
    <w:rsid w:val="59D74C62"/>
    <w:rsid w:val="59E1651D"/>
    <w:rsid w:val="5A3B0856"/>
    <w:rsid w:val="5A4B6F13"/>
    <w:rsid w:val="5A6A79F7"/>
    <w:rsid w:val="5AAC33D0"/>
    <w:rsid w:val="5BF510A0"/>
    <w:rsid w:val="5EF70D4E"/>
    <w:rsid w:val="5F367622"/>
    <w:rsid w:val="5F3F3404"/>
    <w:rsid w:val="5F905550"/>
    <w:rsid w:val="61394EFD"/>
    <w:rsid w:val="617F6B7B"/>
    <w:rsid w:val="61AB5485"/>
    <w:rsid w:val="622017DB"/>
    <w:rsid w:val="62806640"/>
    <w:rsid w:val="63636628"/>
    <w:rsid w:val="643A4188"/>
    <w:rsid w:val="645B35F4"/>
    <w:rsid w:val="65411CA7"/>
    <w:rsid w:val="65694914"/>
    <w:rsid w:val="67B21E4C"/>
    <w:rsid w:val="68024B96"/>
    <w:rsid w:val="68903265"/>
    <w:rsid w:val="69C6122B"/>
    <w:rsid w:val="6A893A8D"/>
    <w:rsid w:val="6A927E4E"/>
    <w:rsid w:val="6B657B2B"/>
    <w:rsid w:val="6C02565A"/>
    <w:rsid w:val="6C8B5B44"/>
    <w:rsid w:val="6D0D5915"/>
    <w:rsid w:val="6E6E68A0"/>
    <w:rsid w:val="6EB301A8"/>
    <w:rsid w:val="6EB377AA"/>
    <w:rsid w:val="6EF4669C"/>
    <w:rsid w:val="6FB6700B"/>
    <w:rsid w:val="701D3C49"/>
    <w:rsid w:val="706D6ACA"/>
    <w:rsid w:val="70DE27E6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de4b8d1e-0c80-45cf-8c92-2c4dbf4b1192</errorID>
      <errorWord>竣工验收合格率</errorWord>
      <group>L1_Other</group>
      <groupName>其他问题</groupName>
      <ability>L2_Consistency</ability>
      <abilityName>一致性检查</abilityName>
      <candidateList>
        <item>验收合格率</item>
      </candidateList>
      <explain>术语一致性：在绩效目标和评价指标体系中，同一指标表述不一致，应统一为‘验收合格率’</explain>
      <paraID>  E933F6</paraID>
      <start>0</start>
      <end>7</end>
      <status>ignored</status>
      <modifiedWord/>
      <trackRevisions>false</trackRevisions>
    </reviewItem>
    <reviewItem>
      <errorID>d47962ba-2d92-4b3e-9720-e356e95404d5</errorID>
      <errorWord>投</errorWord>
      <group>L1_Word</group>
      <groupName>字词问题</groupName>
      <ability>L2_Typo</ability>
      <abilityName>字词错误</abilityName>
      <candidateList>
        <item>投资</item>
      </candidateList>
      <explain/>
      <paraID>242F4AC5</paraID>
      <start>4</start>
      <end>5</end>
      <status>ignored</status>
      <modifiedWord/>
      <trackRevisions>false</trackRevisions>
    </reviewItem>
    <reviewItem>
      <errorID>e2e33b6a-4070-4db5-bec0-4e8a35523c77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389FA9BB</paraID>
      <start>38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d5d921-e86a-42ee-908b-37c08d4bc2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1307</Words>
  <Characters>1374</Characters>
  <Lines>53</Lines>
  <Paragraphs>14</Paragraphs>
  <TotalTime>18</TotalTime>
  <ScaleCrop>false</ScaleCrop>
  <LinksUpToDate>false</LinksUpToDate>
  <CharactersWithSpaces>1374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2026-05-07T08:45:56Z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7DB8684066634CB39EB410D1ADF50AFD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