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仿宋_GB2312"/>
          <w:bCs/>
          <w:sz w:val="36"/>
          <w:szCs w:val="36"/>
        </w:rPr>
      </w:pPr>
      <w:r>
        <w:rPr>
          <w:rFonts w:hint="eastAsia" w:ascii="黑体" w:hAnsi="黑体" w:eastAsia="黑体" w:cs="仿宋_GB2312"/>
          <w:bCs/>
          <w:sz w:val="36"/>
          <w:szCs w:val="36"/>
        </w:rPr>
        <w:t>2025年海南省政府专项债券（一期）、</w:t>
      </w:r>
    </w:p>
    <w:p>
      <w:pPr>
        <w:spacing w:line="700" w:lineRule="exact"/>
        <w:jc w:val="center"/>
        <w:rPr>
          <w:rFonts w:hint="eastAsia" w:ascii="黑体" w:hAnsi="黑体" w:eastAsia="黑体" w:cs="仿宋_GB2312"/>
          <w:bCs/>
          <w:sz w:val="36"/>
          <w:szCs w:val="36"/>
        </w:rPr>
      </w:pPr>
      <w:r>
        <w:rPr>
          <w:rFonts w:hint="eastAsia" w:ascii="黑体" w:hAnsi="黑体" w:eastAsia="黑体" w:cs="仿宋_GB2312"/>
          <w:bCs/>
          <w:sz w:val="36"/>
          <w:szCs w:val="36"/>
        </w:rPr>
        <w:t>海口江东新区垃圾处理基础设施项目</w:t>
      </w:r>
    </w:p>
    <w:p>
      <w:pPr>
        <w:spacing w:line="700" w:lineRule="exact"/>
        <w:jc w:val="center"/>
        <w:rPr>
          <w:rFonts w:hint="eastAsia" w:ascii="黑体" w:hAnsi="黑体" w:eastAsia="黑体" w:cs="仿宋_GB2312"/>
          <w:bCs/>
          <w:sz w:val="32"/>
          <w:szCs w:val="32"/>
        </w:rPr>
      </w:pPr>
      <w:r>
        <w:rPr>
          <w:rFonts w:hint="eastAsia" w:ascii="黑体" w:hAnsi="黑体" w:eastAsia="黑体" w:cs="仿宋_GB2312"/>
          <w:bCs/>
          <w:sz w:val="36"/>
          <w:szCs w:val="36"/>
        </w:rPr>
        <w:t>项目收益与融资自求平衡调整方案</w:t>
      </w:r>
    </w:p>
    <w:p>
      <w:pPr>
        <w:spacing w:line="700" w:lineRule="exact"/>
        <w:jc w:val="center"/>
        <w:rPr>
          <w:rFonts w:hint="eastAsia" w:ascii="黑体" w:hAnsi="黑体" w:eastAsia="黑体" w:cs="仿宋_GB2312"/>
          <w:bCs/>
          <w:sz w:val="32"/>
          <w:szCs w:val="32"/>
        </w:rPr>
      </w:pPr>
    </w:p>
    <w:p>
      <w:pPr>
        <w:spacing w:line="700" w:lineRule="exact"/>
        <w:jc w:val="center"/>
        <w:rPr>
          <w:rFonts w:hint="eastAsia" w:ascii="黑体" w:hAnsi="黑体" w:eastAsia="黑体" w:cs="仿宋_GB2312"/>
          <w:bCs/>
          <w:sz w:val="32"/>
          <w:szCs w:val="32"/>
        </w:rPr>
      </w:pPr>
    </w:p>
    <w:p>
      <w:pPr>
        <w:spacing w:line="700" w:lineRule="exact"/>
        <w:jc w:val="center"/>
        <w:rPr>
          <w:rFonts w:hint="eastAsia" w:ascii="黑体" w:hAnsi="黑体" w:eastAsia="黑体" w:cs="仿宋_GB2312"/>
          <w:bCs/>
          <w:sz w:val="32"/>
          <w:szCs w:val="32"/>
        </w:rPr>
      </w:pPr>
    </w:p>
    <w:p>
      <w:pPr>
        <w:spacing w:line="700" w:lineRule="exact"/>
        <w:jc w:val="center"/>
        <w:rPr>
          <w:rFonts w:hint="eastAsia" w:ascii="黑体" w:hAnsi="黑体" w:eastAsia="黑体" w:cs="仿宋_GB2312"/>
          <w:bCs/>
          <w:sz w:val="32"/>
          <w:szCs w:val="32"/>
        </w:rPr>
      </w:pPr>
    </w:p>
    <w:p>
      <w:pPr>
        <w:spacing w:line="700" w:lineRule="exact"/>
        <w:jc w:val="center"/>
        <w:rPr>
          <w:rFonts w:hint="eastAsia" w:ascii="黑体" w:hAnsi="黑体" w:eastAsia="黑体" w:cs="仿宋_GB2312"/>
          <w:bCs/>
          <w:sz w:val="32"/>
          <w:szCs w:val="32"/>
        </w:rPr>
      </w:pPr>
    </w:p>
    <w:p>
      <w:pPr>
        <w:spacing w:line="700" w:lineRule="exact"/>
        <w:jc w:val="center"/>
        <w:rPr>
          <w:rFonts w:hint="eastAsia" w:ascii="黑体" w:hAnsi="黑体" w:eastAsia="黑体" w:cs="仿宋_GB2312"/>
          <w:bCs/>
          <w:sz w:val="32"/>
          <w:szCs w:val="32"/>
        </w:rPr>
      </w:pPr>
      <w:r>
        <w:rPr>
          <w:rFonts w:hint="eastAsia" w:ascii="黑体" w:hAnsi="黑体" w:eastAsia="黑体" w:cs="仿宋_GB2312"/>
          <w:bCs/>
          <w:sz w:val="32"/>
          <w:szCs w:val="32"/>
        </w:rPr>
        <w:t>财政部门：海口市财政局</w:t>
      </w:r>
    </w:p>
    <w:p>
      <w:pPr>
        <w:spacing w:line="700" w:lineRule="exact"/>
        <w:jc w:val="center"/>
        <w:rPr>
          <w:rFonts w:hint="eastAsia" w:ascii="黑体" w:hAnsi="黑体" w:eastAsia="黑体" w:cs="仿宋_GB2312"/>
          <w:bCs/>
          <w:sz w:val="32"/>
          <w:szCs w:val="32"/>
        </w:rPr>
      </w:pPr>
    </w:p>
    <w:p>
      <w:pPr>
        <w:spacing w:line="700" w:lineRule="exact"/>
        <w:jc w:val="center"/>
        <w:rPr>
          <w:rFonts w:hint="eastAsia" w:ascii="黑体" w:hAnsi="黑体" w:eastAsia="黑体" w:cs="仿宋_GB2312"/>
          <w:bCs/>
          <w:sz w:val="32"/>
          <w:szCs w:val="32"/>
        </w:rPr>
      </w:pPr>
      <w:r>
        <w:rPr>
          <w:rFonts w:hint="eastAsia" w:ascii="黑体" w:hAnsi="黑体" w:eastAsia="黑体" w:cs="仿宋_GB2312"/>
          <w:bCs/>
          <w:sz w:val="32"/>
          <w:szCs w:val="32"/>
        </w:rPr>
        <w:t>主管部门：海口江东新区管理局</w:t>
      </w:r>
    </w:p>
    <w:p>
      <w:pPr>
        <w:spacing w:line="700" w:lineRule="exact"/>
        <w:jc w:val="center"/>
        <w:rPr>
          <w:rFonts w:hint="eastAsia" w:ascii="黑体" w:hAnsi="黑体" w:eastAsia="黑体" w:cs="仿宋_GB2312"/>
          <w:bCs/>
          <w:sz w:val="32"/>
          <w:szCs w:val="32"/>
        </w:rPr>
      </w:pPr>
    </w:p>
    <w:p>
      <w:pPr>
        <w:spacing w:line="700" w:lineRule="exact"/>
        <w:jc w:val="center"/>
        <w:rPr>
          <w:rFonts w:hint="eastAsia" w:ascii="黑体" w:hAnsi="黑体" w:eastAsia="黑体" w:cs="仿宋_GB2312"/>
          <w:bCs/>
          <w:sz w:val="32"/>
          <w:szCs w:val="32"/>
        </w:rPr>
      </w:pPr>
      <w:r>
        <w:rPr>
          <w:rFonts w:hint="eastAsia" w:ascii="黑体" w:hAnsi="黑体" w:eastAsia="黑体" w:cs="仿宋_GB2312"/>
          <w:bCs/>
          <w:sz w:val="32"/>
          <w:szCs w:val="32"/>
        </w:rPr>
        <w:t>项目单位：海口市路桥建设投资有限公司</w:t>
      </w:r>
    </w:p>
    <w:p>
      <w:pPr>
        <w:spacing w:line="700" w:lineRule="exact"/>
        <w:jc w:val="center"/>
        <w:rPr>
          <w:rFonts w:hint="eastAsia" w:ascii="黑体" w:hAnsi="黑体" w:eastAsia="黑体" w:cs="仿宋_GB2312"/>
          <w:bCs/>
          <w:sz w:val="32"/>
          <w:szCs w:val="32"/>
        </w:rPr>
      </w:pPr>
    </w:p>
    <w:p>
      <w:pPr>
        <w:spacing w:line="700" w:lineRule="exact"/>
        <w:jc w:val="center"/>
        <w:rPr>
          <w:rFonts w:hint="eastAsia" w:ascii="黑体" w:hAnsi="黑体" w:eastAsia="黑体" w:cs="仿宋_GB2312"/>
          <w:bCs/>
          <w:sz w:val="32"/>
          <w:szCs w:val="32"/>
        </w:rPr>
      </w:pPr>
      <w:r>
        <w:rPr>
          <w:rFonts w:hint="eastAsia" w:ascii="黑体" w:hAnsi="黑体" w:eastAsia="黑体" w:cs="仿宋_GB2312"/>
          <w:bCs/>
          <w:sz w:val="32"/>
          <w:szCs w:val="32"/>
        </w:rPr>
        <w:t>2</w:t>
      </w:r>
      <w:r>
        <w:rPr>
          <w:rFonts w:ascii="黑体" w:hAnsi="黑体" w:eastAsia="黑体" w:cs="仿宋_GB2312"/>
          <w:bCs/>
          <w:sz w:val="32"/>
          <w:szCs w:val="32"/>
        </w:rPr>
        <w:t>025</w:t>
      </w:r>
      <w:r>
        <w:rPr>
          <w:rFonts w:hint="eastAsia" w:ascii="黑体" w:hAnsi="黑体" w:eastAsia="黑体" w:cs="仿宋_GB2312"/>
          <w:bCs/>
          <w:sz w:val="32"/>
          <w:szCs w:val="32"/>
        </w:rPr>
        <w:t>年6月</w:t>
      </w:r>
    </w:p>
    <w:p>
      <w:pPr>
        <w:spacing w:line="700" w:lineRule="exact"/>
        <w:jc w:val="center"/>
        <w:rPr>
          <w:rFonts w:hint="eastAsia" w:ascii="黑体" w:hAnsi="黑体" w:eastAsia="黑体" w:cs="仿宋_GB2312"/>
          <w:bCs/>
          <w:sz w:val="32"/>
          <w:szCs w:val="32"/>
        </w:rPr>
        <w:sectPr>
          <w:headerReference r:id="rId4" w:type="first"/>
          <w:headerReference r:id="rId3" w:type="default"/>
          <w:footerReference r:id="rId5" w:type="default"/>
          <w:pgSz w:w="11906" w:h="16838"/>
          <w:pgMar w:top="2041" w:right="1701" w:bottom="2041" w:left="1701" w:header="851" w:footer="1361" w:gutter="0"/>
          <w:cols w:space="425" w:num="1"/>
          <w:titlePg/>
          <w:docGrid w:type="lines" w:linePitch="312" w:charSpace="0"/>
        </w:sectPr>
      </w:pPr>
      <w:bookmarkStart w:id="50" w:name="_GoBack"/>
      <w:bookmarkEnd w:id="50"/>
    </w:p>
    <w:p>
      <w:pPr>
        <w:pStyle w:val="2"/>
        <w:numPr>
          <w:ilvl w:val="0"/>
          <w:numId w:val="1"/>
        </w:numPr>
        <w:ind w:firstLine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区域经济情况</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（一）海口市概况</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国家历史文化名城”、“全国文明城市”、“全国双拥模范城市”等荣誉称号，荣获由住建部颁发的年度“中国人居环境奖”，</w:t>
      </w:r>
      <w:r>
        <w:rPr>
          <w:color w:val="000000" w:themeColor="text1"/>
          <w14:textFill>
            <w14:solidFill>
              <w14:schemeClr w14:val="tx1"/>
            </w14:solidFill>
          </w14:textFill>
        </w:rPr>
        <w:t>2018</w:t>
      </w:r>
      <w:r>
        <w:rPr>
          <w:rFonts w:hint="eastAsia"/>
          <w:color w:val="000000" w:themeColor="text1"/>
          <w14:textFill>
            <w14:solidFill>
              <w14:schemeClr w14:val="tx1"/>
            </w14:solidFill>
          </w14:textFill>
        </w:rPr>
        <w:t>年被联合国国际湿地公约组织评定为全球首批“国际湿地城市”。</w:t>
      </w:r>
    </w:p>
    <w:p>
      <w:pPr>
        <w:pStyle w:val="4"/>
        <w:ind w:firstLine="640"/>
        <w:rPr>
          <w:color w:val="000000" w:themeColor="text1"/>
          <w14:textFill>
            <w14:solidFill>
              <w14:schemeClr w14:val="tx1"/>
            </w14:solidFill>
          </w14:textFill>
        </w:rPr>
      </w:pPr>
      <w:bookmarkStart w:id="0" w:name="_Toc2316"/>
      <w:bookmarkStart w:id="1" w:name="_Toc115429643"/>
      <w:bookmarkStart w:id="2" w:name="_Toc26402"/>
      <w:bookmarkStart w:id="3" w:name="_Toc7392"/>
      <w:bookmarkStart w:id="4" w:name="_Toc9167"/>
      <w:bookmarkStart w:id="5" w:name="_Toc908"/>
      <w:bookmarkStart w:id="6" w:name="_Toc11289"/>
      <w:bookmarkStart w:id="7" w:name="_Toc158033775"/>
      <w:bookmarkStart w:id="8" w:name="_Toc24526"/>
      <w:bookmarkStart w:id="9" w:name="_Toc28017"/>
      <w:bookmarkStart w:id="10" w:name="_Toc158126903"/>
      <w:bookmarkStart w:id="11" w:name="_Toc400"/>
      <w:bookmarkStart w:id="12" w:name="_Toc142554209"/>
      <w:bookmarkStart w:id="13" w:name="_Toc5402"/>
      <w:r>
        <w:rPr>
          <w:rFonts w:hint="eastAsia"/>
          <w:color w:val="000000" w:themeColor="text1"/>
          <w14:textFill>
            <w14:solidFill>
              <w14:schemeClr w14:val="tx1"/>
            </w14:solidFill>
          </w14:textFill>
        </w:rPr>
        <w:t>（二）海口市经济发展情况及财政情况</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33"/>
        <w:rPr>
          <w:color w:val="000000" w:themeColor="text1"/>
          <w14:textFill>
            <w14:solidFill>
              <w14:schemeClr w14:val="tx1"/>
            </w14:solidFill>
          </w14:textFill>
        </w:rPr>
      </w:pPr>
      <w:bookmarkStart w:id="14" w:name="_Toc38898997"/>
      <w:bookmarkStart w:id="15" w:name="_Toc38920843"/>
      <w:bookmarkStart w:id="16" w:name="_Toc38905991"/>
      <w:bookmarkStart w:id="17" w:name="_Toc38966126"/>
      <w:bookmarkStart w:id="18" w:name="_Toc28675796"/>
      <w:bookmarkStart w:id="19" w:name="_Toc25162473"/>
      <w:bookmarkStart w:id="20" w:name="_Toc41496149"/>
      <w:r>
        <w:rPr>
          <w:rFonts w:hint="eastAsia"/>
          <w:color w:val="000000" w:themeColor="text1"/>
          <w14:textFill>
            <w14:solidFill>
              <w14:schemeClr w14:val="tx1"/>
            </w14:solidFill>
          </w14:textFill>
        </w:rPr>
        <w:t>表</w:t>
      </w:r>
      <w:r>
        <w:rPr>
          <w:color w:val="000000" w:themeColor="text1"/>
          <w14:textFill>
            <w14:solidFill>
              <w14:schemeClr w14:val="tx1"/>
            </w14:solidFill>
          </w14:textFill>
        </w:rPr>
        <w:t xml:space="preserve">1  </w:t>
      </w:r>
      <w:r>
        <w:rPr>
          <w:rFonts w:hint="eastAsia"/>
          <w:color w:val="000000" w:themeColor="text1"/>
          <w14:textFill>
            <w14:solidFill>
              <w14:schemeClr w14:val="tx1"/>
            </w14:solidFill>
          </w14:textFill>
        </w:rPr>
        <w:t>海口市</w:t>
      </w:r>
      <w:r>
        <w:rPr>
          <w:color w:val="000000" w:themeColor="text1"/>
          <w14:textFill>
            <w14:solidFill>
              <w14:schemeClr w14:val="tx1"/>
            </w14:solidFill>
          </w14:textFill>
        </w:rPr>
        <w:t>2022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2024</w:t>
      </w:r>
      <w:r>
        <w:rPr>
          <w:rFonts w:hint="eastAsia"/>
          <w:color w:val="000000" w:themeColor="text1"/>
          <w14:textFill>
            <w14:solidFill>
              <w14:schemeClr w14:val="tx1"/>
            </w14:solidFill>
          </w14:textFill>
        </w:rPr>
        <w:t>年财政经济数据</w:t>
      </w:r>
    </w:p>
    <w:p>
      <w:pPr>
        <w:pStyle w:val="33"/>
        <w:jc w:val="right"/>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单位：亿元</w:t>
      </w:r>
    </w:p>
    <w:tbl>
      <w:tblPr>
        <w:tblStyle w:val="1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738"/>
        <w:gridCol w:w="1327"/>
        <w:gridCol w:w="1327"/>
        <w:gridCol w:w="132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adjustRightInd w:val="0"/>
              <w:snapToGrid w:val="0"/>
              <w:jc w:val="center"/>
              <w:rPr>
                <w:rFonts w:hint="eastAsia" w:ascii="宋体" w:hAnsi="宋体" w:cs="Arial Unicode MS"/>
                <w:b/>
                <w:color w:val="000000" w:themeColor="text1"/>
                <w:kern w:val="0"/>
                <w:szCs w:val="21"/>
                <w14:textFill>
                  <w14:solidFill>
                    <w14:schemeClr w14:val="tx1"/>
                  </w14:solidFill>
                </w14:textFill>
              </w:rPr>
            </w:pPr>
            <w:r>
              <w:rPr>
                <w:rFonts w:hint="eastAsia" w:ascii="宋体" w:hAnsi="宋体" w:cs="Arial Unicode MS"/>
                <w:b/>
                <w:color w:val="000000" w:themeColor="text1"/>
                <w:kern w:val="0"/>
                <w:szCs w:val="21"/>
                <w14:textFill>
                  <w14:solidFill>
                    <w14:schemeClr w14:val="tx1"/>
                  </w14:solidFill>
                </w14:textFill>
              </w:rPr>
              <w:t>项目</w:t>
            </w:r>
          </w:p>
        </w:tc>
        <w:tc>
          <w:tcPr>
            <w:tcW w:w="761" w:type="pct"/>
            <w:vAlign w:val="center"/>
          </w:tcPr>
          <w:p>
            <w:pPr>
              <w:widowControl/>
              <w:adjustRightInd w:val="0"/>
              <w:snapToGrid w:val="0"/>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2022</w:t>
            </w:r>
            <w:r>
              <w:rPr>
                <w:rFonts w:hint="eastAsia"/>
                <w:b/>
                <w:color w:val="000000" w:themeColor="text1"/>
                <w:kern w:val="0"/>
                <w:szCs w:val="21"/>
                <w14:textFill>
                  <w14:solidFill>
                    <w14:schemeClr w14:val="tx1"/>
                  </w14:solidFill>
                </w14:textFill>
              </w:rPr>
              <w:t>年</w:t>
            </w:r>
          </w:p>
        </w:tc>
        <w:tc>
          <w:tcPr>
            <w:tcW w:w="761" w:type="pct"/>
            <w:vAlign w:val="center"/>
          </w:tcPr>
          <w:p>
            <w:pPr>
              <w:widowControl/>
              <w:adjustRightInd w:val="0"/>
              <w:snapToGrid w:val="0"/>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2023</w:t>
            </w:r>
            <w:r>
              <w:rPr>
                <w:rFonts w:hint="eastAsia"/>
                <w:b/>
                <w:color w:val="000000" w:themeColor="text1"/>
                <w:kern w:val="0"/>
                <w:szCs w:val="21"/>
                <w14:textFill>
                  <w14:solidFill>
                    <w14:schemeClr w14:val="tx1"/>
                  </w14:solidFill>
                </w14:textFill>
              </w:rPr>
              <w:t>年</w:t>
            </w:r>
          </w:p>
        </w:tc>
        <w:tc>
          <w:tcPr>
            <w:tcW w:w="761" w:type="pct"/>
            <w:vAlign w:val="center"/>
          </w:tcPr>
          <w:p>
            <w:pPr>
              <w:widowControl/>
              <w:adjustRightInd w:val="0"/>
              <w:snapToGrid w:val="0"/>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2024</w:t>
            </w:r>
            <w:r>
              <w:rPr>
                <w:rFonts w:hint="eastAsia"/>
                <w:b/>
                <w:color w:val="000000" w:themeColor="text1"/>
                <w:kern w:val="0"/>
                <w:szCs w:val="21"/>
                <w14:textFill>
                  <w14:solidFill>
                    <w14:schemeClr w14:val="tx1"/>
                  </w14:solidFill>
                </w14:textFill>
              </w:rPr>
              <w:t>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地区生产总值</w:t>
            </w:r>
          </w:p>
        </w:tc>
        <w:tc>
          <w:tcPr>
            <w:tcW w:w="761" w:type="pct"/>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2,134.80</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2,358.44</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2,470.63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一般预算收入（一般公共预算收入）</w:t>
            </w:r>
          </w:p>
        </w:tc>
        <w:tc>
          <w:tcPr>
            <w:tcW w:w="761" w:type="pct"/>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204.82</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266.87</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258.26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一般预算收入（一般公共预算总收入）</w:t>
            </w:r>
          </w:p>
        </w:tc>
        <w:tc>
          <w:tcPr>
            <w:tcW w:w="761" w:type="pct"/>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518.12</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578.08</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597.76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政府性基金收入</w:t>
            </w:r>
          </w:p>
        </w:tc>
        <w:tc>
          <w:tcPr>
            <w:tcW w:w="761" w:type="pct"/>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192.34</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140.39</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120.43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其中：国有土地出让收入</w:t>
            </w:r>
          </w:p>
        </w:tc>
        <w:tc>
          <w:tcPr>
            <w:tcW w:w="761" w:type="pct"/>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176.60</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124.67</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108.59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政府性基金支出</w:t>
            </w:r>
          </w:p>
        </w:tc>
        <w:tc>
          <w:tcPr>
            <w:tcW w:w="761" w:type="pct"/>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310.21</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264.76</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294.07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其中：国有土地出让支出</w:t>
            </w:r>
          </w:p>
        </w:tc>
        <w:tc>
          <w:tcPr>
            <w:tcW w:w="761" w:type="pct"/>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147.61</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109.46</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72.02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地方债务限额</w:t>
            </w:r>
          </w:p>
        </w:tc>
        <w:tc>
          <w:tcPr>
            <w:tcW w:w="761" w:type="pct"/>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752.70</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892.40</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1,161.30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其中：一般债务限额</w:t>
            </w:r>
          </w:p>
        </w:tc>
        <w:tc>
          <w:tcPr>
            <w:tcW w:w="761" w:type="pct"/>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219.77</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230.47</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235.24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专项债务限额</w:t>
            </w:r>
          </w:p>
        </w:tc>
        <w:tc>
          <w:tcPr>
            <w:tcW w:w="761" w:type="pct"/>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532.93</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661.93</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926.07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地方债务余额</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752.70</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889.45</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1,141.70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其中：一般债务余额</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219.77</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228.11</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227.33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vAlign w:val="center"/>
          </w:tcPr>
          <w:p>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专项债务余额</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532.93</w:t>
            </w:r>
          </w:p>
        </w:tc>
        <w:tc>
          <w:tcPr>
            <w:tcW w:w="761" w:type="pct"/>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661.34</w:t>
            </w:r>
          </w:p>
        </w:tc>
        <w:tc>
          <w:tcPr>
            <w:tcW w:w="1328" w:type="dxa"/>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914.37</w:t>
            </w:r>
          </w:p>
        </w:tc>
      </w:tr>
    </w:tbl>
    <w:p>
      <w:pPr>
        <w:pStyle w:val="3"/>
        <w:ind w:firstLine="0" w:firstLineChars="0"/>
        <w:rPr>
          <w:color w:val="000000" w:themeColor="text1"/>
          <w14:textFill>
            <w14:solidFill>
              <w14:schemeClr w14:val="tx1"/>
            </w14:solidFill>
          </w14:textFill>
        </w:rPr>
      </w:pPr>
      <w:r>
        <w:rPr>
          <w:rFonts w:hint="eastAsia" w:eastAsia="宋体"/>
          <w:color w:val="000000" w:themeColor="text1"/>
          <w:kern w:val="0"/>
          <w:sz w:val="20"/>
          <w:szCs w:val="20"/>
          <w14:textFill>
            <w14:solidFill>
              <w14:schemeClr w14:val="tx1"/>
            </w14:solidFill>
          </w14:textFill>
        </w:rPr>
        <w:t>注：以上数据来源于海口市财政局。</w:t>
      </w:r>
      <w:bookmarkEnd w:id="14"/>
      <w:bookmarkEnd w:id="15"/>
      <w:bookmarkEnd w:id="16"/>
      <w:bookmarkEnd w:id="17"/>
      <w:bookmarkEnd w:id="18"/>
      <w:bookmarkEnd w:id="19"/>
      <w:bookmarkEnd w:id="20"/>
    </w:p>
    <w:p>
      <w:pPr>
        <w:pStyle w:val="2"/>
        <w:ind w:firstLine="640"/>
      </w:pPr>
      <w:r>
        <w:rPr>
          <w:rFonts w:hint="eastAsia"/>
        </w:rPr>
        <w:t>二、项目基本情况</w:t>
      </w:r>
    </w:p>
    <w:p>
      <w:pPr>
        <w:pStyle w:val="4"/>
        <w:ind w:firstLine="640"/>
      </w:pPr>
      <w:bookmarkStart w:id="21" w:name="_Hlk200636331"/>
      <w:r>
        <w:rPr>
          <w:rFonts w:hint="eastAsia"/>
        </w:rPr>
        <w:t>（一）项目名称</w:t>
      </w:r>
    </w:p>
    <w:p>
      <w:pPr>
        <w:pStyle w:val="4"/>
        <w:ind w:firstLine="640"/>
        <w:rPr>
          <w:rFonts w:eastAsia="仿宋_GB2312" w:cstheme="minorBidi"/>
          <w:bCs w:val="0"/>
          <w:szCs w:val="22"/>
        </w:rPr>
      </w:pPr>
      <w:r>
        <w:rPr>
          <w:rFonts w:hint="eastAsia" w:eastAsia="仿宋_GB2312" w:cstheme="minorBidi"/>
          <w:bCs w:val="0"/>
          <w:szCs w:val="22"/>
        </w:rPr>
        <w:t>海口江东新区垃圾处理基础设施项目</w:t>
      </w:r>
    </w:p>
    <w:p>
      <w:pPr>
        <w:pStyle w:val="4"/>
        <w:ind w:firstLine="640"/>
      </w:pPr>
      <w:r>
        <w:rPr>
          <w:rFonts w:hint="eastAsia"/>
        </w:rPr>
        <w:t>（二）立项单位</w:t>
      </w:r>
    </w:p>
    <w:p>
      <w:pPr>
        <w:pStyle w:val="3"/>
        <w:ind w:firstLine="640"/>
      </w:pPr>
      <w:bookmarkStart w:id="22" w:name="OLE_LINK1"/>
      <w:r>
        <w:rPr>
          <w:rFonts w:hint="eastAsia"/>
        </w:rPr>
        <w:t>本项目的立项单位为海口市路桥建设投资有限公司</w:t>
      </w:r>
      <w:bookmarkEnd w:id="22"/>
      <w:r>
        <w:rPr>
          <w:rFonts w:hint="eastAsia"/>
        </w:rPr>
        <w:t>。</w:t>
      </w:r>
    </w:p>
    <w:p>
      <w:pPr>
        <w:pStyle w:val="3"/>
        <w:ind w:firstLine="640"/>
        <w:rPr>
          <w:bCs/>
        </w:rPr>
      </w:pPr>
      <w:r>
        <w:rPr>
          <w:rFonts w:hint="eastAsia"/>
        </w:rPr>
        <w:t>公司成立于2003年9月27日，系海口市建工集团有限公司的全资子公司，海口市建工集团有限公司股东为海口市国有资产监督管理委员会、海南省财政厅，持股比例分别为90%、10%；公司注册资本4,791.47万元，注册地位于海口市世纪广场路1号世纪大桥监控中心，法定代表人为冯所晓，统一社会信用代码为91460100754353726F，经营范围包括许可项目：建筑智能化系统设计（依法须经批准的项目，经相关部门批准后方可开展经营活动）一般项目：工程管理服务；市政设施管理；自有资金投资的资产管理服务；以自有资金从事投资活动；旅游开发项目策划咨询；城乡市容管理；城市绿化管理；与农业生产经营有关的技术、信息、设施建设运营等服务；农业专业及辅助性活动；科技中介服务；建筑材料销售；建筑装饰材料销售；广告设计、代理；医院管理；土地使用权租赁；非居住房地产租赁（除许可业务外，可自主依法经营法律法规非禁止或限制的项目）</w:t>
      </w:r>
    </w:p>
    <w:p>
      <w:pPr>
        <w:pStyle w:val="4"/>
        <w:ind w:firstLine="640"/>
      </w:pPr>
      <w:r>
        <w:rPr>
          <w:rFonts w:hint="eastAsia"/>
        </w:rPr>
        <w:t>（三）</w:t>
      </w:r>
      <w:bookmarkStart w:id="23" w:name="_Hlk121819982"/>
      <w:r>
        <w:rPr>
          <w:rFonts w:hint="eastAsia"/>
        </w:rPr>
        <w:t>项目规划审批</w:t>
      </w:r>
    </w:p>
    <w:bookmarkEnd w:id="23"/>
    <w:p>
      <w:pPr>
        <w:pStyle w:val="3"/>
        <w:ind w:firstLine="518" w:firstLineChars="162"/>
        <w:rPr>
          <w:bCs/>
        </w:rPr>
      </w:pPr>
      <w:r>
        <w:rPr>
          <w:rFonts w:hint="eastAsia"/>
          <w:bCs/>
        </w:rPr>
        <w:t>1、2023年10月23日，取得《海口江东新区管理局关于同意海口江东新区垃圾处理基础设施项目可行性研究报告的复函》(海江东审(2023)245号)， 项目估算总投资44,996.99万万元，其中，工程费37,059.52万元，工程建设其他费用4,195.96万元(含征地拆迁费797.13万元，该项费用以辖区政府批复为 准)，建设管理费504.84万元，基本预备费3,236.67万元。</w:t>
      </w:r>
    </w:p>
    <w:p>
      <w:pPr>
        <w:pStyle w:val="3"/>
        <w:ind w:firstLine="518" w:firstLineChars="162"/>
        <w:rPr>
          <w:bCs/>
        </w:rPr>
      </w:pPr>
      <w:r>
        <w:rPr>
          <w:rFonts w:hint="eastAsia"/>
          <w:bCs/>
        </w:rPr>
        <w:t>2、2023年11月14日，取得《海口江东新区管理局关于同意海口江东新区垃圾处理基础设施项目初步设计及概算的复函》(海江东审(2023)257号)， 项目概算总投资为 41,392.56万元，其中工程费用 35,255.26万元，工程建设其它费用 37,33.94万元(含征地拆迁费289.39万元，该项费用以辖区政府批复为准)，预备费468.37万元，建设单位管理费1,934.99万元。</w:t>
      </w:r>
    </w:p>
    <w:p>
      <w:pPr>
        <w:pStyle w:val="3"/>
        <w:ind w:firstLine="518" w:firstLineChars="162"/>
        <w:rPr>
          <w:bCs/>
        </w:rPr>
      </w:pPr>
      <w:r>
        <w:rPr>
          <w:rFonts w:hint="eastAsia"/>
          <w:bCs/>
        </w:rPr>
        <w:t>3、</w:t>
      </w:r>
      <w:r>
        <w:rPr>
          <w:bCs/>
        </w:rPr>
        <w:t xml:space="preserve"> </w:t>
      </w:r>
      <w:r>
        <w:rPr>
          <w:rFonts w:hint="eastAsia"/>
          <w:bCs/>
        </w:rPr>
        <w:t>2024年2月5日，取得《海口市财政局关于海口江东新区垃圾处理基础设施项目财政预算评审结果的函》，项目审定预算总投资为381,760,747.80 元，其中建安工程费金额为334,136,346.00元，工程建设其他费金额为 32,362,512.53元，建设单位管理费金额为4,353,740.</w:t>
      </w:r>
      <w:r>
        <w:rPr>
          <w:bCs/>
        </w:rPr>
        <w:t>50</w:t>
      </w:r>
      <w:r>
        <w:rPr>
          <w:rFonts w:hint="eastAsia"/>
          <w:bCs/>
        </w:rPr>
        <w:t>元，预备费金额为 10,908,148.76元。</w:t>
      </w:r>
    </w:p>
    <w:p>
      <w:pPr>
        <w:pStyle w:val="4"/>
        <w:ind w:firstLine="640"/>
      </w:pPr>
      <w:r>
        <w:rPr>
          <w:rFonts w:hint="eastAsia"/>
        </w:rPr>
        <w:t>（四）项目规模与主要建设内容</w:t>
      </w:r>
    </w:p>
    <w:p>
      <w:pPr>
        <w:pStyle w:val="3"/>
        <w:ind w:firstLine="640"/>
      </w:pPr>
      <w:r>
        <w:rPr>
          <w:rFonts w:hint="eastAsia"/>
        </w:rPr>
        <w:t>本项目建设规模和主要建设内容:</w:t>
      </w:r>
      <w:r>
        <w:t xml:space="preserve"> </w:t>
      </w:r>
      <w:r>
        <w:rPr>
          <w:rFonts w:hint="eastAsia"/>
        </w:rPr>
        <w:t>本项目主要改造提升垃圾转运设备设施，包括转运设备、自动化垃圾转运车32辆（车位）、垃圾分类设备56套（生活垃圾转运容器45套、厨余垃圾转运容器11套）、清洗设备4台等采购及辅助配套项目。项目建成后预计生活垃圾转运规模为1000t/d，其中其他垃圾800t/d、厨余垃圾转运规模为200t/d，大件垃圾转运规模70t/d，污水处理规模80m3/d。江东新区现有转运站为桂林洋生活垃圾中转站，配套转运车 14 辆，容器 28 个，设计转运规模 300 t/d，每日实际进站垃圾量约 900 t/d。</w:t>
      </w:r>
    </w:p>
    <w:p>
      <w:pPr>
        <w:pStyle w:val="4"/>
        <w:ind w:firstLine="640"/>
        <w:rPr>
          <w:caps/>
        </w:rPr>
      </w:pPr>
      <w:r>
        <w:rPr>
          <w:rFonts w:hint="eastAsia"/>
        </w:rPr>
        <w:t>（五）</w:t>
      </w:r>
      <w:bookmarkStart w:id="24" w:name="_Hlk121820053"/>
      <w:r>
        <w:rPr>
          <w:rFonts w:hint="eastAsia"/>
        </w:rPr>
        <w:t>项目建设期限</w:t>
      </w:r>
    </w:p>
    <w:p>
      <w:pPr>
        <w:pStyle w:val="3"/>
        <w:ind w:firstLine="640"/>
      </w:pPr>
      <w:r>
        <w:rPr>
          <w:rFonts w:hint="eastAsia"/>
        </w:rPr>
        <w:t>本项目预计工期为202</w:t>
      </w:r>
      <w:r>
        <w:t>4</w:t>
      </w:r>
      <w:r>
        <w:rPr>
          <w:rFonts w:hint="eastAsia"/>
        </w:rPr>
        <w:t>年</w:t>
      </w:r>
      <w:r>
        <w:t>11</w:t>
      </w:r>
      <w:r>
        <w:rPr>
          <w:rFonts w:hint="eastAsia"/>
        </w:rPr>
        <w:t>月至202</w:t>
      </w:r>
      <w:r>
        <w:t>7</w:t>
      </w:r>
      <w:r>
        <w:rPr>
          <w:rFonts w:hint="eastAsia"/>
        </w:rPr>
        <w:t>年</w:t>
      </w:r>
      <w:r>
        <w:t>11</w:t>
      </w:r>
      <w:r>
        <w:rPr>
          <w:rFonts w:hint="eastAsia"/>
        </w:rPr>
        <w:t>月。</w:t>
      </w:r>
    </w:p>
    <w:p>
      <w:pPr>
        <w:pStyle w:val="3"/>
        <w:ind w:firstLine="640"/>
        <w:rPr>
          <w:rFonts w:eastAsia="楷体_GB2312" w:cstheme="majorBidi"/>
          <w:bCs/>
          <w:szCs w:val="32"/>
        </w:rPr>
      </w:pPr>
      <w:r>
        <w:rPr>
          <w:rFonts w:hint="eastAsia" w:eastAsia="楷体_GB2312" w:cstheme="majorBidi"/>
          <w:bCs/>
          <w:szCs w:val="32"/>
        </w:rPr>
        <w:t>（六）项目进度</w:t>
      </w:r>
    </w:p>
    <w:p>
      <w:pPr>
        <w:pStyle w:val="3"/>
        <w:ind w:firstLine="640"/>
      </w:pPr>
      <w:r>
        <w:rPr>
          <w:rFonts w:hint="eastAsia"/>
        </w:rPr>
        <w:t>本项目已完成提交工作面部分的场地平整工作。</w:t>
      </w:r>
    </w:p>
    <w:bookmarkEnd w:id="21"/>
    <w:bookmarkEnd w:id="24"/>
    <w:p>
      <w:pPr>
        <w:pStyle w:val="2"/>
        <w:ind w:firstLine="640"/>
      </w:pPr>
      <w:r>
        <w:rPr>
          <w:rFonts w:hint="eastAsia"/>
        </w:rPr>
        <w:t>三、项目投资估算及资金筹措方案</w:t>
      </w:r>
    </w:p>
    <w:p>
      <w:pPr>
        <w:pStyle w:val="4"/>
        <w:ind w:firstLine="640"/>
      </w:pPr>
      <w:r>
        <w:rPr>
          <w:rFonts w:hint="eastAsia"/>
        </w:rPr>
        <w:t>（一）编制依据</w:t>
      </w:r>
    </w:p>
    <w:p>
      <w:pPr>
        <w:pStyle w:val="3"/>
        <w:ind w:firstLine="640"/>
      </w:pPr>
      <w:r>
        <w:rPr>
          <w:rFonts w:hint="eastAsia"/>
        </w:rPr>
        <w:t xml:space="preserve">1.编制依据 </w:t>
      </w:r>
    </w:p>
    <w:p>
      <w:pPr>
        <w:pStyle w:val="3"/>
        <w:ind w:firstLine="640"/>
      </w:pPr>
      <w:r>
        <w:rPr>
          <w:rFonts w:hint="eastAsia"/>
        </w:rPr>
        <w:t xml:space="preserve">（1）定额依据 </w:t>
      </w:r>
    </w:p>
    <w:p>
      <w:pPr>
        <w:pStyle w:val="3"/>
        <w:ind w:firstLine="640"/>
      </w:pPr>
      <w:r>
        <w:rPr>
          <w:rFonts w:hint="eastAsia"/>
        </w:rPr>
        <w:t xml:space="preserve">1）《海南省房屋建筑与装饰工程综合定额》(2017); </w:t>
      </w:r>
    </w:p>
    <w:p>
      <w:pPr>
        <w:pStyle w:val="3"/>
        <w:ind w:firstLine="640"/>
      </w:pPr>
      <w:r>
        <w:rPr>
          <w:rFonts w:hint="eastAsia"/>
        </w:rPr>
        <w:t xml:space="preserve">2）《海南省市政工程综合定额》（2017）； </w:t>
      </w:r>
    </w:p>
    <w:p>
      <w:pPr>
        <w:pStyle w:val="3"/>
        <w:ind w:firstLine="640"/>
      </w:pPr>
      <w:r>
        <w:rPr>
          <w:rFonts w:hint="eastAsia"/>
        </w:rPr>
        <w:t xml:space="preserve">3）《海南省安装工程综合定额》（2017）； </w:t>
      </w:r>
    </w:p>
    <w:p>
      <w:pPr>
        <w:pStyle w:val="3"/>
        <w:ind w:firstLine="640"/>
      </w:pPr>
      <w:r>
        <w:rPr>
          <w:rFonts w:hint="eastAsia"/>
        </w:rPr>
        <w:t xml:space="preserve">4）《海南省建设工程施工机械台班单价》（2017）； </w:t>
      </w:r>
    </w:p>
    <w:p>
      <w:pPr>
        <w:pStyle w:val="3"/>
        <w:ind w:firstLine="640"/>
      </w:pPr>
      <w:r>
        <w:rPr>
          <w:rFonts w:hint="eastAsia"/>
        </w:rPr>
        <w:t xml:space="preserve">（2）材料价格采用《海南工程造价信息》（2021 年第 10 期）； </w:t>
      </w:r>
    </w:p>
    <w:p>
      <w:pPr>
        <w:pStyle w:val="3"/>
        <w:ind w:firstLine="640"/>
      </w:pPr>
      <w:r>
        <w:rPr>
          <w:rFonts w:hint="eastAsia"/>
        </w:rPr>
        <w:t xml:space="preserve">（3）人工价格采用琼建规[2021]2 号、琼建标定函[2021]14 号； </w:t>
      </w:r>
    </w:p>
    <w:p>
      <w:pPr>
        <w:pStyle w:val="3"/>
        <w:ind w:firstLine="640"/>
      </w:pPr>
      <w:r>
        <w:rPr>
          <w:rFonts w:hint="eastAsia"/>
        </w:rPr>
        <w:t>（4）类似工程技术经济资料。</w:t>
      </w:r>
    </w:p>
    <w:p>
      <w:pPr>
        <w:pStyle w:val="3"/>
        <w:ind w:firstLine="640"/>
      </w:pPr>
      <w:r>
        <w:rPr>
          <w:rFonts w:hint="eastAsia"/>
        </w:rPr>
        <w:t>（5）《投资项目可行性研究指南》</w:t>
      </w:r>
      <w:r>
        <w:rPr>
          <w:rFonts w:hint="eastAsia"/>
          <w:bCs/>
        </w:rPr>
        <w:t>；</w:t>
      </w:r>
    </w:p>
    <w:p>
      <w:pPr>
        <w:pStyle w:val="3"/>
        <w:ind w:firstLine="640"/>
        <w:rPr>
          <w:bCs/>
        </w:rPr>
      </w:pPr>
      <w:r>
        <w:rPr>
          <w:rFonts w:hint="eastAsia"/>
        </w:rPr>
        <w:t>（6）承办单位提供的相关资料。</w:t>
      </w:r>
    </w:p>
    <w:p>
      <w:pPr>
        <w:pStyle w:val="4"/>
        <w:ind w:firstLine="640"/>
      </w:pPr>
      <w:r>
        <w:rPr>
          <w:rFonts w:hint="eastAsia"/>
        </w:rPr>
        <w:t>（二）资金筹措方案</w:t>
      </w:r>
    </w:p>
    <w:p>
      <w:pPr>
        <w:pStyle w:val="5"/>
        <w:ind w:firstLine="640"/>
      </w:pPr>
      <w:r>
        <w:rPr>
          <w:rFonts w:hint="eastAsia"/>
        </w:rPr>
        <w:t>1、资金筹措原则</w:t>
      </w:r>
    </w:p>
    <w:p>
      <w:pPr>
        <w:pStyle w:val="3"/>
        <w:ind w:firstLine="640"/>
      </w:pPr>
      <w:r>
        <w:rPr>
          <w:rFonts w:hint="eastAsia"/>
        </w:rPr>
        <w:t>（1）通过自筹投入一定资本金，保证项目顺利开工及后续融资的可能。</w:t>
      </w:r>
    </w:p>
    <w:p>
      <w:pPr>
        <w:pStyle w:val="3"/>
        <w:ind w:firstLine="640"/>
      </w:pPr>
      <w:r>
        <w:rPr>
          <w:rFonts w:hint="eastAsia"/>
        </w:rPr>
        <w:t>（2）发行政府专项债券向社会筹资。</w:t>
      </w:r>
    </w:p>
    <w:p>
      <w:pPr>
        <w:pStyle w:val="3"/>
        <w:ind w:firstLine="640"/>
      </w:pPr>
      <w:bookmarkStart w:id="25" w:name="OLE_LINK12"/>
      <w:r>
        <w:rPr>
          <w:rFonts w:hint="eastAsia"/>
        </w:rPr>
        <w:t>2、调整项目概况</w:t>
      </w:r>
    </w:p>
    <w:p>
      <w:pPr>
        <w:pStyle w:val="3"/>
        <w:ind w:firstLine="640"/>
      </w:pPr>
      <w:r>
        <w:rPr>
          <w:rFonts w:hint="eastAsia"/>
        </w:rPr>
        <w:t>2025年2月26日，2025海南省政府专项债券（一期）成功发行，其中用于海口市琼山区迈瀛片区（一期）城中村改造配套基础设施项目的发行规模为121,500.00万元，期限10年，票面利率为1.76%。根据《财政部办公厅关于进一步加快新增地方政府债券项目预算执行进度的通知》(财办预[2019]179 号) 要求加快新增债券项目预算执行进度的精神，经批准，拟对2025年海口市部分发行项目资金额度分配进行调整，并将调整出来的资金分配至本项目使用。具体情况如下：</w:t>
      </w:r>
    </w:p>
    <w:p>
      <w:pPr>
        <w:pStyle w:val="3"/>
        <w:ind w:firstLine="640"/>
        <w:jc w:val="center"/>
        <w:rPr>
          <w:rFonts w:eastAsia="楷体_GB2312"/>
        </w:rPr>
      </w:pPr>
      <w:r>
        <w:rPr>
          <w:rFonts w:hint="eastAsia" w:eastAsia="楷体_GB2312"/>
        </w:rPr>
        <w:t>表2  调整项目情况汇总表</w:t>
      </w:r>
    </w:p>
    <w:p>
      <w:pPr>
        <w:pStyle w:val="3"/>
        <w:ind w:firstLine="480"/>
        <w:jc w:val="right"/>
        <w:rPr>
          <w:sz w:val="24"/>
          <w:szCs w:val="24"/>
        </w:rPr>
      </w:pPr>
      <w:r>
        <w:rPr>
          <w:rFonts w:hint="eastAsia"/>
          <w:sz w:val="24"/>
          <w:szCs w:val="24"/>
        </w:rPr>
        <w:t>单位 ：人民币万元</w:t>
      </w:r>
    </w:p>
    <w:tbl>
      <w:tblPr>
        <w:tblStyle w:val="15"/>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1718"/>
        <w:gridCol w:w="1043"/>
        <w:gridCol w:w="844"/>
        <w:gridCol w:w="944"/>
        <w:gridCol w:w="1557"/>
        <w:gridCol w:w="944"/>
        <w:gridCol w:w="94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7" w:type="pct"/>
            <w:shd w:val="clear" w:color="auto" w:fill="auto"/>
            <w:vAlign w:val="bottom"/>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序号</w:t>
            </w:r>
          </w:p>
        </w:tc>
        <w:tc>
          <w:tcPr>
            <w:tcW w:w="985" w:type="pct"/>
            <w:shd w:val="clear" w:color="auto" w:fill="auto"/>
            <w:vAlign w:val="bottom"/>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项目名称</w:t>
            </w:r>
          </w:p>
        </w:tc>
        <w:tc>
          <w:tcPr>
            <w:tcW w:w="598" w:type="pct"/>
            <w:shd w:val="clear" w:color="auto" w:fill="auto"/>
            <w:vAlign w:val="bottom"/>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债券名称</w:t>
            </w:r>
          </w:p>
        </w:tc>
        <w:tc>
          <w:tcPr>
            <w:tcW w:w="484" w:type="pct"/>
            <w:shd w:val="clear" w:color="auto" w:fill="auto"/>
            <w:vAlign w:val="bottom"/>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发行利率</w:t>
            </w:r>
          </w:p>
        </w:tc>
        <w:tc>
          <w:tcPr>
            <w:tcW w:w="541" w:type="pct"/>
            <w:shd w:val="clear" w:color="auto" w:fill="auto"/>
            <w:vAlign w:val="bottom"/>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发行期限</w:t>
            </w:r>
          </w:p>
        </w:tc>
        <w:tc>
          <w:tcPr>
            <w:tcW w:w="893" w:type="pct"/>
            <w:shd w:val="clear" w:color="auto" w:fill="auto"/>
            <w:vAlign w:val="bottom"/>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调整前发债金额</w:t>
            </w:r>
          </w:p>
        </w:tc>
        <w:tc>
          <w:tcPr>
            <w:tcW w:w="541" w:type="pct"/>
            <w:shd w:val="clear" w:color="auto" w:fill="auto"/>
            <w:vAlign w:val="bottom"/>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调减金额（调整至本项目）</w:t>
            </w:r>
          </w:p>
        </w:tc>
        <w:tc>
          <w:tcPr>
            <w:tcW w:w="541" w:type="pct"/>
            <w:shd w:val="clear" w:color="auto" w:fill="auto"/>
            <w:vAlign w:val="bottom"/>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调增金额</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7" w:type="pct"/>
            <w:shd w:val="clear" w:color="auto" w:fill="auto"/>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985" w:type="pct"/>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海口市琼山区迈瀛片区（一期）城中村改造配套基础设施项目</w:t>
            </w:r>
          </w:p>
        </w:tc>
        <w:tc>
          <w:tcPr>
            <w:tcW w:w="598" w:type="pct"/>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2025年海南省政府专项债券（一期）</w:t>
            </w:r>
          </w:p>
        </w:tc>
        <w:tc>
          <w:tcPr>
            <w:tcW w:w="484" w:type="pct"/>
            <w:shd w:val="clear" w:color="auto" w:fill="auto"/>
            <w:vAlign w:val="center"/>
          </w:tcPr>
          <w:p>
            <w:pPr>
              <w:widowControl/>
              <w:jc w:val="center"/>
              <w:rPr>
                <w:rFonts w:hint="eastAsia" w:ascii="宋体" w:hAnsi="宋体" w:cs="仿宋_GB2312"/>
                <w:szCs w:val="21"/>
              </w:rPr>
            </w:pPr>
            <w:r>
              <w:rPr>
                <w:rFonts w:hint="eastAsia" w:ascii="宋体" w:hAnsi="宋体" w:cs="仿宋_GB2312"/>
                <w:szCs w:val="21"/>
              </w:rPr>
              <w:t>1.76%</w:t>
            </w:r>
          </w:p>
        </w:tc>
        <w:tc>
          <w:tcPr>
            <w:tcW w:w="541" w:type="pct"/>
            <w:shd w:val="clear" w:color="auto" w:fill="auto"/>
            <w:vAlign w:val="center"/>
          </w:tcPr>
          <w:p>
            <w:pPr>
              <w:widowControl/>
              <w:jc w:val="center"/>
              <w:rPr>
                <w:rFonts w:hint="eastAsia" w:ascii="宋体" w:hAnsi="宋体" w:cs="仿宋_GB2312"/>
                <w:szCs w:val="21"/>
              </w:rPr>
            </w:pPr>
            <w:r>
              <w:rPr>
                <w:rFonts w:hint="eastAsia" w:ascii="宋体" w:hAnsi="宋体" w:cs="仿宋_GB2312"/>
                <w:szCs w:val="21"/>
              </w:rPr>
              <w:t>10年</w:t>
            </w:r>
          </w:p>
        </w:tc>
        <w:tc>
          <w:tcPr>
            <w:tcW w:w="893" w:type="pct"/>
            <w:shd w:val="clear" w:color="auto" w:fill="auto"/>
            <w:vAlign w:val="center"/>
          </w:tcPr>
          <w:p>
            <w:pPr>
              <w:widowControl/>
              <w:jc w:val="center"/>
              <w:rPr>
                <w:rFonts w:hint="eastAsia" w:ascii="宋体" w:hAnsi="宋体" w:cs="仿宋_GB2312"/>
                <w:szCs w:val="21"/>
              </w:rPr>
            </w:pPr>
            <w:r>
              <w:rPr>
                <w:rFonts w:hint="eastAsia" w:ascii="宋体" w:hAnsi="宋体" w:cs="仿宋_GB2312"/>
                <w:szCs w:val="21"/>
              </w:rPr>
              <w:t xml:space="preserve">121,500.00 </w:t>
            </w:r>
          </w:p>
        </w:tc>
        <w:tc>
          <w:tcPr>
            <w:tcW w:w="541" w:type="pct"/>
            <w:shd w:val="clear" w:color="auto" w:fill="auto"/>
            <w:vAlign w:val="center"/>
          </w:tcPr>
          <w:p>
            <w:pPr>
              <w:widowControl/>
              <w:jc w:val="center"/>
              <w:rPr>
                <w:rFonts w:hint="eastAsia" w:ascii="宋体" w:hAnsi="宋体" w:cs="仿宋_GB2312"/>
                <w:szCs w:val="21"/>
              </w:rPr>
            </w:pPr>
            <w:r>
              <w:rPr>
                <w:rFonts w:hint="eastAsia" w:ascii="宋体" w:hAnsi="宋体" w:cs="仿宋_GB2312"/>
                <w:szCs w:val="21"/>
              </w:rPr>
              <w:t xml:space="preserve">800.00 </w:t>
            </w:r>
          </w:p>
        </w:tc>
        <w:tc>
          <w:tcPr>
            <w:tcW w:w="541" w:type="pct"/>
            <w:shd w:val="clear" w:color="auto" w:fill="auto"/>
            <w:vAlign w:val="center"/>
          </w:tcPr>
          <w:p>
            <w:pPr>
              <w:widowControl/>
              <w:jc w:val="center"/>
              <w:rPr>
                <w:rFonts w:hint="eastAsia" w:ascii="宋体" w:hAnsi="宋体" w:cs="仿宋_GB2312"/>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7" w:type="pct"/>
            <w:shd w:val="clear" w:color="auto" w:fill="auto"/>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985" w:type="pct"/>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海口江东新区垃圾处理基础设施项目</w:t>
            </w:r>
          </w:p>
        </w:tc>
        <w:tc>
          <w:tcPr>
            <w:tcW w:w="598" w:type="pct"/>
            <w:shd w:val="clear" w:color="auto" w:fill="auto"/>
            <w:vAlign w:val="center"/>
          </w:tcPr>
          <w:p>
            <w:pPr>
              <w:widowControl/>
              <w:jc w:val="left"/>
              <w:rPr>
                <w:rFonts w:hint="eastAsia" w:ascii="宋体" w:hAnsi="宋体" w:cs="宋体"/>
                <w:color w:val="000000"/>
                <w:kern w:val="0"/>
                <w:sz w:val="22"/>
                <w:szCs w:val="22"/>
              </w:rPr>
            </w:pPr>
          </w:p>
        </w:tc>
        <w:tc>
          <w:tcPr>
            <w:tcW w:w="484" w:type="pct"/>
            <w:shd w:val="clear" w:color="auto" w:fill="auto"/>
            <w:vAlign w:val="center"/>
          </w:tcPr>
          <w:p>
            <w:pPr>
              <w:widowControl/>
              <w:jc w:val="center"/>
              <w:rPr>
                <w:rFonts w:hint="eastAsia" w:ascii="宋体" w:hAnsi="宋体" w:cs="仿宋_GB2312"/>
                <w:szCs w:val="21"/>
              </w:rPr>
            </w:pPr>
          </w:p>
        </w:tc>
        <w:tc>
          <w:tcPr>
            <w:tcW w:w="541" w:type="pct"/>
            <w:shd w:val="clear" w:color="auto" w:fill="auto"/>
            <w:vAlign w:val="center"/>
          </w:tcPr>
          <w:p>
            <w:pPr>
              <w:widowControl/>
              <w:jc w:val="center"/>
              <w:rPr>
                <w:rFonts w:hint="eastAsia" w:ascii="宋体" w:hAnsi="宋体" w:cs="仿宋_GB2312"/>
                <w:szCs w:val="21"/>
              </w:rPr>
            </w:pPr>
          </w:p>
        </w:tc>
        <w:tc>
          <w:tcPr>
            <w:tcW w:w="893" w:type="pct"/>
            <w:shd w:val="clear" w:color="auto" w:fill="auto"/>
            <w:vAlign w:val="center"/>
          </w:tcPr>
          <w:p>
            <w:pPr>
              <w:widowControl/>
              <w:jc w:val="center"/>
              <w:rPr>
                <w:rFonts w:hint="eastAsia" w:ascii="宋体" w:hAnsi="宋体" w:cs="仿宋_GB2312"/>
                <w:szCs w:val="21"/>
              </w:rPr>
            </w:pPr>
          </w:p>
        </w:tc>
        <w:tc>
          <w:tcPr>
            <w:tcW w:w="541" w:type="pct"/>
            <w:shd w:val="clear" w:color="auto" w:fill="auto"/>
            <w:vAlign w:val="center"/>
          </w:tcPr>
          <w:p>
            <w:pPr>
              <w:widowControl/>
              <w:jc w:val="center"/>
              <w:rPr>
                <w:rFonts w:hint="eastAsia" w:ascii="宋体" w:hAnsi="宋体" w:cs="仿宋_GB2312"/>
                <w:szCs w:val="21"/>
              </w:rPr>
            </w:pPr>
          </w:p>
        </w:tc>
        <w:tc>
          <w:tcPr>
            <w:tcW w:w="541" w:type="pct"/>
            <w:shd w:val="clear" w:color="auto" w:fill="auto"/>
            <w:vAlign w:val="center"/>
          </w:tcPr>
          <w:p>
            <w:pPr>
              <w:widowControl/>
              <w:jc w:val="center"/>
              <w:rPr>
                <w:rFonts w:hint="eastAsia" w:ascii="宋体" w:hAnsi="宋体" w:cs="仿宋_GB2312"/>
                <w:szCs w:val="21"/>
              </w:rPr>
            </w:pPr>
            <w:r>
              <w:rPr>
                <w:rFonts w:hint="eastAsia" w:ascii="宋体" w:hAnsi="宋体" w:cs="仿宋_GB2312"/>
                <w:szCs w:val="21"/>
              </w:rPr>
              <w:t xml:space="preserve">800.00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918" w:type="pct"/>
            <w:gridSpan w:val="6"/>
            <w:shd w:val="clear" w:color="auto" w:fill="auto"/>
            <w:noWrap/>
            <w:vAlign w:val="center"/>
          </w:tcPr>
          <w:p>
            <w:pPr>
              <w:widowControl/>
              <w:jc w:val="center"/>
              <w:rPr>
                <w:rFonts w:hint="eastAsia" w:ascii="宋体" w:hAnsi="宋体" w:cs="仿宋_GB2312"/>
                <w:b/>
                <w:bCs/>
                <w:szCs w:val="21"/>
              </w:rPr>
            </w:pPr>
            <w:r>
              <w:rPr>
                <w:rFonts w:hint="eastAsia" w:ascii="宋体" w:hAnsi="宋体" w:cs="宋体"/>
                <w:b/>
                <w:bCs/>
                <w:color w:val="000000" w:themeColor="text1"/>
                <w:kern w:val="0"/>
                <w:sz w:val="22"/>
                <w:szCs w:val="22"/>
                <w14:textFill>
                  <w14:solidFill>
                    <w14:schemeClr w14:val="tx1"/>
                  </w14:solidFill>
                </w14:textFill>
              </w:rPr>
              <w:t>合  计</w:t>
            </w:r>
          </w:p>
        </w:tc>
        <w:tc>
          <w:tcPr>
            <w:tcW w:w="541" w:type="pct"/>
            <w:shd w:val="clear" w:color="auto" w:fill="auto"/>
            <w:vAlign w:val="center"/>
          </w:tcPr>
          <w:p>
            <w:pPr>
              <w:widowControl/>
              <w:jc w:val="left"/>
              <w:rPr>
                <w:rFonts w:hint="eastAsia" w:ascii="宋体" w:hAnsi="宋体" w:cs="仿宋_GB2312"/>
                <w:szCs w:val="21"/>
              </w:rPr>
            </w:pPr>
            <w:r>
              <w:rPr>
                <w:rFonts w:hint="eastAsia" w:ascii="宋体" w:hAnsi="宋体" w:cs="仿宋_GB2312"/>
                <w:szCs w:val="21"/>
              </w:rPr>
              <w:t xml:space="preserve">800.00 </w:t>
            </w:r>
          </w:p>
        </w:tc>
        <w:tc>
          <w:tcPr>
            <w:tcW w:w="541" w:type="pct"/>
            <w:shd w:val="clear" w:color="auto" w:fill="auto"/>
            <w:vAlign w:val="center"/>
          </w:tcPr>
          <w:p>
            <w:pPr>
              <w:widowControl/>
              <w:jc w:val="left"/>
              <w:rPr>
                <w:rFonts w:hint="eastAsia" w:ascii="宋体" w:hAnsi="宋体" w:cs="仿宋_GB2312"/>
                <w:szCs w:val="21"/>
              </w:rPr>
            </w:pPr>
            <w:r>
              <w:rPr>
                <w:rFonts w:hint="eastAsia" w:ascii="宋体" w:hAnsi="宋体" w:cs="仿宋_GB2312"/>
                <w:szCs w:val="21"/>
              </w:rPr>
              <w:t xml:space="preserve">800.00 </w:t>
            </w:r>
          </w:p>
        </w:tc>
      </w:tr>
    </w:tbl>
    <w:p>
      <w:pPr>
        <w:pStyle w:val="5"/>
        <w:ind w:firstLine="640"/>
      </w:pPr>
      <w:r>
        <w:rPr>
          <w:rFonts w:hint="eastAsia"/>
        </w:rPr>
        <w:t>3、资金来源</w:t>
      </w:r>
    </w:p>
    <w:p>
      <w:pPr>
        <w:pStyle w:val="3"/>
        <w:ind w:firstLine="640"/>
      </w:pPr>
      <w:r>
        <w:rPr>
          <w:rFonts w:hint="eastAsia"/>
        </w:rPr>
        <w:t>本项目估算总投资</w:t>
      </w:r>
      <w:bookmarkStart w:id="26" w:name="OLE_LINK2"/>
      <w:r>
        <w:t>41,39</w:t>
      </w:r>
      <w:r>
        <w:rPr>
          <w:rFonts w:hint="eastAsia"/>
        </w:rPr>
        <w:t>2</w:t>
      </w:r>
      <w:r>
        <w:t>.</w:t>
      </w:r>
      <w:r>
        <w:rPr>
          <w:rFonts w:hint="eastAsia"/>
        </w:rPr>
        <w:t>56</w:t>
      </w:r>
      <w:bookmarkEnd w:id="26"/>
      <w:r>
        <w:rPr>
          <w:rFonts w:hint="eastAsia"/>
        </w:rPr>
        <w:t>万元，其中，项目单位自有资金</w:t>
      </w:r>
      <w:bookmarkStart w:id="27" w:name="_Hlk200698512"/>
      <w:r>
        <w:t>15,999.56</w:t>
      </w:r>
      <w:bookmarkEnd w:id="27"/>
      <w:r>
        <w:rPr>
          <w:rFonts w:hint="eastAsia"/>
        </w:rPr>
        <w:t>万元（由政府通过财政资金统筹安排），已发行专项债券</w:t>
      </w:r>
      <w:r>
        <w:t>2,000.00</w:t>
      </w:r>
      <w:r>
        <w:rPr>
          <w:rFonts w:hint="eastAsia"/>
        </w:rPr>
        <w:t>万元，本期调增专项债券8</w:t>
      </w:r>
      <w:r>
        <w:t>00.00</w:t>
      </w:r>
      <w:r>
        <w:rPr>
          <w:rFonts w:hint="eastAsia"/>
        </w:rPr>
        <w:t>万元，后续拟发行专项债券</w:t>
      </w:r>
      <w:r>
        <w:t>22,593.00</w:t>
      </w:r>
      <w:r>
        <w:rPr>
          <w:rFonts w:hint="eastAsia"/>
        </w:rPr>
        <w:t>万元。</w:t>
      </w:r>
    </w:p>
    <w:p>
      <w:pPr>
        <w:pStyle w:val="33"/>
      </w:pPr>
      <w:r>
        <w:rPr>
          <w:rFonts w:hint="eastAsia"/>
        </w:rPr>
        <w:t xml:space="preserve">表3 </w:t>
      </w:r>
      <w:r>
        <w:t xml:space="preserve"> </w:t>
      </w:r>
      <w:r>
        <w:rPr>
          <w:rFonts w:hint="eastAsia"/>
        </w:rPr>
        <w:t>项目资金来源情况</w:t>
      </w:r>
    </w:p>
    <w:tbl>
      <w:tblPr>
        <w:tblStyle w:val="15"/>
        <w:tblpPr w:leftFromText="180" w:rightFromText="180" w:vertAnchor="text" w:horzAnchor="margin" w:tblpXSpec="center" w:tblpY="5"/>
        <w:tblW w:w="8296"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1701"/>
        <w:gridCol w:w="1276"/>
        <w:gridCol w:w="106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253" w:type="dxa"/>
            <w:shd w:val="clear" w:color="auto" w:fill="auto"/>
            <w:vAlign w:val="center"/>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资金来源</w:t>
            </w:r>
          </w:p>
        </w:tc>
        <w:tc>
          <w:tcPr>
            <w:tcW w:w="1701" w:type="dxa"/>
            <w:shd w:val="clear" w:color="auto" w:fill="auto"/>
            <w:vAlign w:val="center"/>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金额（万元）</w:t>
            </w:r>
          </w:p>
        </w:tc>
        <w:tc>
          <w:tcPr>
            <w:tcW w:w="1276" w:type="dxa"/>
            <w:shd w:val="clear" w:color="auto" w:fill="auto"/>
            <w:vAlign w:val="center"/>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占比</w:t>
            </w:r>
          </w:p>
        </w:tc>
        <w:tc>
          <w:tcPr>
            <w:tcW w:w="1066" w:type="dxa"/>
            <w:shd w:val="clear" w:color="auto" w:fill="auto"/>
            <w:vAlign w:val="center"/>
          </w:tcPr>
          <w:p>
            <w:pPr>
              <w:widowControl/>
              <w:jc w:val="center"/>
              <w:rPr>
                <w:rFonts w:hint="eastAsia" w:ascii="黑体" w:hAnsi="黑体" w:eastAsia="黑体" w:cs="仿宋_GB2312"/>
                <w:color w:val="000000"/>
                <w:kern w:val="0"/>
                <w:szCs w:val="21"/>
              </w:rPr>
            </w:pPr>
            <w:r>
              <w:rPr>
                <w:rFonts w:hint="eastAsia" w:ascii="黑体" w:hAnsi="黑体" w:eastAsia="黑体" w:cs="仿宋_GB2312"/>
                <w:color w:val="000000"/>
                <w:kern w:val="0"/>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253" w:type="dxa"/>
            <w:shd w:val="clear" w:color="auto" w:fill="auto"/>
            <w:vAlign w:val="center"/>
          </w:tcPr>
          <w:p>
            <w:pPr>
              <w:widowControl/>
              <w:jc w:val="left"/>
              <w:rPr>
                <w:rFonts w:hint="eastAsia" w:ascii="宋体" w:hAnsi="宋体" w:cs="仿宋_GB2312"/>
                <w:color w:val="000000"/>
                <w:kern w:val="0"/>
                <w:szCs w:val="21"/>
              </w:rPr>
            </w:pPr>
            <w:r>
              <w:rPr>
                <w:rFonts w:hint="eastAsia" w:ascii="宋体" w:hAnsi="宋体" w:cs="仿宋_GB2312"/>
                <w:color w:val="000000"/>
                <w:kern w:val="0"/>
                <w:szCs w:val="21"/>
              </w:rPr>
              <w:t>估算总投资</w:t>
            </w:r>
          </w:p>
        </w:tc>
        <w:tc>
          <w:tcPr>
            <w:tcW w:w="1701" w:type="dxa"/>
            <w:shd w:val="clear" w:color="auto" w:fill="auto"/>
            <w:vAlign w:val="center"/>
          </w:tcPr>
          <w:p>
            <w:pPr>
              <w:widowControl/>
              <w:jc w:val="center"/>
              <w:rPr>
                <w:rFonts w:hint="eastAsia" w:ascii="宋体" w:hAnsi="宋体" w:cs="仿宋_GB2312"/>
                <w:szCs w:val="21"/>
              </w:rPr>
            </w:pPr>
            <w:r>
              <w:rPr>
                <w:rFonts w:ascii="宋体" w:hAnsi="宋体" w:cs="仿宋_GB2312"/>
                <w:szCs w:val="21"/>
              </w:rPr>
              <w:t>41,39</w:t>
            </w:r>
            <w:r>
              <w:rPr>
                <w:rFonts w:hint="eastAsia" w:ascii="宋体" w:hAnsi="宋体" w:cs="仿宋_GB2312"/>
                <w:szCs w:val="21"/>
              </w:rPr>
              <w:t>2</w:t>
            </w:r>
            <w:r>
              <w:rPr>
                <w:rFonts w:ascii="宋体" w:hAnsi="宋体" w:cs="仿宋_GB2312"/>
                <w:szCs w:val="21"/>
              </w:rPr>
              <w:t>.</w:t>
            </w:r>
            <w:r>
              <w:rPr>
                <w:rFonts w:hint="eastAsia" w:ascii="宋体" w:hAnsi="宋体" w:cs="仿宋_GB2312"/>
                <w:szCs w:val="21"/>
              </w:rPr>
              <w:t>56</w:t>
            </w:r>
          </w:p>
        </w:tc>
        <w:tc>
          <w:tcPr>
            <w:tcW w:w="1276" w:type="dxa"/>
            <w:shd w:val="clear" w:color="auto" w:fill="auto"/>
            <w:vAlign w:val="center"/>
          </w:tcPr>
          <w:p>
            <w:pPr>
              <w:widowControl/>
              <w:jc w:val="center"/>
              <w:rPr>
                <w:rFonts w:hint="eastAsia" w:ascii="宋体" w:hAnsi="宋体" w:cs="仿宋_GB2312"/>
                <w:color w:val="000000"/>
                <w:kern w:val="0"/>
                <w:szCs w:val="21"/>
              </w:rPr>
            </w:pPr>
            <w:r>
              <w:rPr>
                <w:rFonts w:hint="eastAsia" w:ascii="宋体" w:hAnsi="宋体" w:cs="仿宋_GB2312"/>
                <w:color w:val="000000"/>
                <w:kern w:val="0"/>
                <w:szCs w:val="21"/>
              </w:rPr>
              <w:t>1</w:t>
            </w:r>
            <w:r>
              <w:rPr>
                <w:rFonts w:ascii="宋体" w:hAnsi="宋体" w:cs="仿宋_GB2312"/>
                <w:color w:val="000000"/>
                <w:kern w:val="0"/>
                <w:szCs w:val="21"/>
              </w:rPr>
              <w:t>00.00%</w:t>
            </w:r>
          </w:p>
        </w:tc>
        <w:tc>
          <w:tcPr>
            <w:tcW w:w="1066" w:type="dxa"/>
            <w:shd w:val="clear" w:color="auto" w:fill="auto"/>
            <w:vAlign w:val="center"/>
          </w:tcPr>
          <w:p>
            <w:pPr>
              <w:widowControl/>
              <w:jc w:val="center"/>
              <w:rPr>
                <w:rFonts w:hint="eastAsia" w:ascii="宋体" w:hAnsi="宋体" w:cs="仿宋_GB2312"/>
                <w:color w:val="000000"/>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253" w:type="dxa"/>
            <w:shd w:val="clear" w:color="auto" w:fill="auto"/>
            <w:vAlign w:val="center"/>
          </w:tcPr>
          <w:p>
            <w:pPr>
              <w:widowControl/>
              <w:jc w:val="left"/>
              <w:rPr>
                <w:rFonts w:hint="eastAsia" w:ascii="宋体" w:hAnsi="宋体" w:cs="仿宋_GB2312"/>
                <w:color w:val="000000"/>
                <w:kern w:val="0"/>
                <w:szCs w:val="21"/>
              </w:rPr>
            </w:pPr>
            <w:r>
              <w:rPr>
                <w:rFonts w:hint="eastAsia" w:ascii="宋体" w:hAnsi="宋体" w:cs="仿宋_GB2312"/>
                <w:color w:val="000000"/>
                <w:kern w:val="0"/>
                <w:szCs w:val="21"/>
              </w:rPr>
              <w:t>一、资本金</w:t>
            </w:r>
          </w:p>
        </w:tc>
        <w:tc>
          <w:tcPr>
            <w:tcW w:w="1701" w:type="dxa"/>
            <w:shd w:val="clear" w:color="auto" w:fill="auto"/>
            <w:vAlign w:val="center"/>
          </w:tcPr>
          <w:p>
            <w:pPr>
              <w:widowControl/>
              <w:jc w:val="center"/>
              <w:rPr>
                <w:rFonts w:hint="eastAsia" w:ascii="宋体" w:hAnsi="宋体" w:cs="仿宋_GB2312"/>
                <w:color w:val="000000"/>
                <w:szCs w:val="21"/>
              </w:rPr>
            </w:pPr>
            <w:r>
              <w:rPr>
                <w:rFonts w:ascii="宋体" w:hAnsi="宋体" w:cs="仿宋_GB2312"/>
                <w:color w:val="000000"/>
                <w:szCs w:val="21"/>
              </w:rPr>
              <w:t>15,999.56</w:t>
            </w:r>
          </w:p>
        </w:tc>
        <w:tc>
          <w:tcPr>
            <w:tcW w:w="1276" w:type="dxa"/>
            <w:shd w:val="clear" w:color="auto" w:fill="auto"/>
            <w:vAlign w:val="center"/>
          </w:tcPr>
          <w:p>
            <w:pPr>
              <w:widowControl/>
              <w:jc w:val="center"/>
              <w:rPr>
                <w:rFonts w:hint="eastAsia" w:ascii="宋体" w:hAnsi="宋体" w:cs="仿宋_GB2312"/>
                <w:color w:val="000000"/>
                <w:szCs w:val="21"/>
              </w:rPr>
            </w:pPr>
            <w:r>
              <w:rPr>
                <w:rFonts w:ascii="宋体" w:hAnsi="宋体" w:cs="仿宋_GB2312"/>
                <w:color w:val="000000"/>
                <w:szCs w:val="21"/>
              </w:rPr>
              <w:t>38.65%</w:t>
            </w:r>
          </w:p>
        </w:tc>
        <w:tc>
          <w:tcPr>
            <w:tcW w:w="1066" w:type="dxa"/>
            <w:shd w:val="clear" w:color="auto" w:fill="auto"/>
            <w:vAlign w:val="center"/>
          </w:tcPr>
          <w:p>
            <w:pPr>
              <w:widowControl/>
              <w:jc w:val="center"/>
              <w:rPr>
                <w:rFonts w:hint="eastAsia" w:ascii="宋体" w:hAnsi="宋体" w:cs="仿宋_GB2312"/>
                <w:color w:val="00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253" w:type="dxa"/>
            <w:shd w:val="clear" w:color="auto" w:fill="auto"/>
            <w:vAlign w:val="center"/>
          </w:tcPr>
          <w:p>
            <w:pPr>
              <w:widowControl/>
              <w:ind w:firstLine="420" w:firstLineChars="200"/>
              <w:jc w:val="left"/>
              <w:rPr>
                <w:rFonts w:hint="eastAsia" w:ascii="宋体" w:hAnsi="宋体" w:cs="仿宋_GB2312"/>
                <w:color w:val="000000"/>
                <w:kern w:val="0"/>
                <w:szCs w:val="21"/>
              </w:rPr>
            </w:pPr>
            <w:r>
              <w:rPr>
                <w:rFonts w:hint="eastAsia"/>
              </w:rPr>
              <w:t>（一）财政安排</w:t>
            </w:r>
          </w:p>
        </w:tc>
        <w:tc>
          <w:tcPr>
            <w:tcW w:w="1701" w:type="dxa"/>
            <w:shd w:val="clear" w:color="auto" w:fill="auto"/>
            <w:vAlign w:val="center"/>
          </w:tcPr>
          <w:p>
            <w:pPr>
              <w:widowControl/>
              <w:jc w:val="center"/>
              <w:rPr>
                <w:rFonts w:hint="eastAsia" w:ascii="宋体" w:hAnsi="宋体" w:cs="仿宋_GB2312"/>
                <w:color w:val="000000"/>
                <w:szCs w:val="21"/>
              </w:rPr>
            </w:pPr>
            <w:r>
              <w:rPr>
                <w:rFonts w:ascii="宋体" w:hAnsi="宋体" w:cs="仿宋_GB2312"/>
                <w:color w:val="000000"/>
                <w:szCs w:val="21"/>
              </w:rPr>
              <w:t>15,999.56</w:t>
            </w:r>
          </w:p>
        </w:tc>
        <w:tc>
          <w:tcPr>
            <w:tcW w:w="1276" w:type="dxa"/>
            <w:shd w:val="clear" w:color="auto" w:fill="auto"/>
            <w:vAlign w:val="center"/>
          </w:tcPr>
          <w:p>
            <w:pPr>
              <w:widowControl/>
              <w:jc w:val="center"/>
              <w:rPr>
                <w:rFonts w:hint="eastAsia" w:ascii="宋体" w:hAnsi="宋体" w:cs="仿宋_GB2312"/>
                <w:color w:val="000000"/>
                <w:szCs w:val="21"/>
              </w:rPr>
            </w:pPr>
            <w:r>
              <w:rPr>
                <w:rFonts w:ascii="宋体" w:hAnsi="宋体" w:cs="仿宋_GB2312"/>
                <w:color w:val="000000"/>
                <w:szCs w:val="21"/>
              </w:rPr>
              <w:t>38.65%</w:t>
            </w:r>
          </w:p>
        </w:tc>
        <w:tc>
          <w:tcPr>
            <w:tcW w:w="1066" w:type="dxa"/>
            <w:shd w:val="clear" w:color="auto" w:fill="auto"/>
            <w:vAlign w:val="center"/>
          </w:tcPr>
          <w:p>
            <w:pPr>
              <w:widowControl/>
              <w:jc w:val="center"/>
              <w:rPr>
                <w:rFonts w:hint="eastAsia" w:ascii="宋体" w:hAnsi="宋体" w:cs="仿宋_GB2312"/>
                <w:color w:val="000000"/>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253" w:type="dxa"/>
            <w:shd w:val="clear" w:color="auto" w:fill="auto"/>
            <w:vAlign w:val="center"/>
          </w:tcPr>
          <w:p>
            <w:pPr>
              <w:widowControl/>
              <w:ind w:firstLine="420" w:firstLineChars="200"/>
              <w:jc w:val="left"/>
              <w:rPr>
                <w:rFonts w:hint="eastAsia" w:ascii="宋体" w:hAnsi="宋体" w:cs="仿宋_GB2312"/>
                <w:color w:val="000000"/>
                <w:kern w:val="0"/>
                <w:szCs w:val="21"/>
              </w:rPr>
            </w:pPr>
            <w:r>
              <w:rPr>
                <w:rFonts w:hint="eastAsia"/>
              </w:rPr>
              <w:t>（二）专项债券</w:t>
            </w:r>
          </w:p>
        </w:tc>
        <w:tc>
          <w:tcPr>
            <w:tcW w:w="1701" w:type="dxa"/>
            <w:shd w:val="clear" w:color="auto" w:fill="auto"/>
            <w:vAlign w:val="center"/>
          </w:tcPr>
          <w:p>
            <w:pPr>
              <w:widowControl/>
              <w:jc w:val="center"/>
              <w:rPr>
                <w:rFonts w:hint="eastAsia" w:ascii="宋体" w:hAnsi="宋体" w:cs="仿宋_GB2312"/>
                <w:color w:val="000000"/>
                <w:szCs w:val="21"/>
              </w:rPr>
            </w:pPr>
          </w:p>
        </w:tc>
        <w:tc>
          <w:tcPr>
            <w:tcW w:w="1276" w:type="dxa"/>
            <w:shd w:val="clear" w:color="auto" w:fill="auto"/>
            <w:vAlign w:val="center"/>
          </w:tcPr>
          <w:p>
            <w:pPr>
              <w:widowControl/>
              <w:jc w:val="center"/>
              <w:rPr>
                <w:rFonts w:hint="eastAsia" w:ascii="宋体" w:hAnsi="宋体" w:cs="仿宋_GB2312"/>
                <w:color w:val="000000"/>
                <w:szCs w:val="21"/>
              </w:rPr>
            </w:pPr>
          </w:p>
        </w:tc>
        <w:tc>
          <w:tcPr>
            <w:tcW w:w="1066" w:type="dxa"/>
            <w:shd w:val="clear" w:color="auto" w:fill="auto"/>
            <w:vAlign w:val="center"/>
          </w:tcPr>
          <w:p>
            <w:pPr>
              <w:widowControl/>
              <w:jc w:val="center"/>
              <w:rPr>
                <w:rFonts w:hint="eastAsia" w:ascii="宋体" w:hAnsi="宋体" w:cs="仿宋_GB2312"/>
                <w:color w:val="000000"/>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253" w:type="dxa"/>
            <w:shd w:val="clear" w:color="auto" w:fill="auto"/>
            <w:vAlign w:val="center"/>
          </w:tcPr>
          <w:p>
            <w:pPr>
              <w:widowControl/>
              <w:jc w:val="left"/>
              <w:rPr>
                <w:rFonts w:hint="eastAsia" w:ascii="宋体" w:hAnsi="宋体" w:cs="仿宋_GB2312"/>
                <w:color w:val="000000"/>
                <w:kern w:val="0"/>
                <w:szCs w:val="21"/>
              </w:rPr>
            </w:pPr>
            <w:r>
              <w:rPr>
                <w:rFonts w:hint="eastAsia" w:ascii="宋体" w:hAnsi="宋体" w:cs="仿宋_GB2312"/>
                <w:color w:val="000000"/>
                <w:kern w:val="0"/>
                <w:szCs w:val="21"/>
              </w:rPr>
              <w:t>二、债务资金（不含用作资本金部分）</w:t>
            </w:r>
          </w:p>
        </w:tc>
        <w:tc>
          <w:tcPr>
            <w:tcW w:w="1701" w:type="dxa"/>
            <w:shd w:val="clear" w:color="auto" w:fill="auto"/>
            <w:vAlign w:val="center"/>
          </w:tcPr>
          <w:p>
            <w:pPr>
              <w:widowControl/>
              <w:jc w:val="center"/>
              <w:rPr>
                <w:rFonts w:hint="eastAsia" w:ascii="宋体" w:hAnsi="宋体" w:cs="仿宋_GB2312"/>
                <w:color w:val="000000"/>
                <w:kern w:val="0"/>
                <w:szCs w:val="21"/>
              </w:rPr>
            </w:pPr>
            <w:r>
              <w:rPr>
                <w:rFonts w:ascii="宋体" w:hAnsi="宋体" w:cs="仿宋_GB2312"/>
                <w:color w:val="000000"/>
                <w:kern w:val="0"/>
                <w:szCs w:val="21"/>
              </w:rPr>
              <w:t>25</w:t>
            </w:r>
            <w:r>
              <w:rPr>
                <w:rFonts w:hint="eastAsia" w:ascii="宋体" w:hAnsi="宋体" w:cs="仿宋_GB2312"/>
                <w:color w:val="000000"/>
                <w:kern w:val="0"/>
                <w:szCs w:val="21"/>
              </w:rPr>
              <w:t>,</w:t>
            </w:r>
            <w:r>
              <w:rPr>
                <w:rFonts w:ascii="宋体" w:hAnsi="宋体" w:cs="仿宋_GB2312"/>
                <w:color w:val="000000"/>
                <w:kern w:val="0"/>
                <w:szCs w:val="21"/>
              </w:rPr>
              <w:t>393</w:t>
            </w:r>
            <w:r>
              <w:rPr>
                <w:rFonts w:hint="eastAsia" w:ascii="宋体" w:hAnsi="宋体" w:cs="仿宋_GB2312"/>
                <w:color w:val="000000"/>
                <w:kern w:val="0"/>
                <w:szCs w:val="21"/>
              </w:rPr>
              <w:t xml:space="preserve">.00 </w:t>
            </w:r>
          </w:p>
        </w:tc>
        <w:tc>
          <w:tcPr>
            <w:tcW w:w="1276" w:type="dxa"/>
            <w:shd w:val="clear" w:color="auto" w:fill="auto"/>
            <w:vAlign w:val="center"/>
          </w:tcPr>
          <w:p>
            <w:pPr>
              <w:widowControl/>
              <w:jc w:val="center"/>
              <w:rPr>
                <w:rFonts w:hint="eastAsia" w:ascii="宋体" w:hAnsi="宋体" w:cs="仿宋_GB2312"/>
                <w:color w:val="000000"/>
                <w:kern w:val="0"/>
                <w:szCs w:val="21"/>
              </w:rPr>
            </w:pPr>
            <w:r>
              <w:rPr>
                <w:rFonts w:ascii="宋体" w:hAnsi="宋体" w:cs="仿宋_GB2312"/>
                <w:color w:val="000000"/>
                <w:kern w:val="0"/>
                <w:szCs w:val="21"/>
              </w:rPr>
              <w:t>61.35%</w:t>
            </w:r>
          </w:p>
        </w:tc>
        <w:tc>
          <w:tcPr>
            <w:tcW w:w="1066" w:type="dxa"/>
            <w:shd w:val="clear" w:color="auto" w:fill="auto"/>
            <w:vAlign w:val="center"/>
          </w:tcPr>
          <w:p>
            <w:pPr>
              <w:widowControl/>
              <w:jc w:val="center"/>
              <w:rPr>
                <w:rFonts w:hint="eastAsia" w:ascii="宋体" w:hAnsi="宋体" w:cs="仿宋_GB2312"/>
                <w:color w:val="000000"/>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253" w:type="dxa"/>
            <w:shd w:val="clear" w:color="auto" w:fill="auto"/>
            <w:vAlign w:val="center"/>
          </w:tcPr>
          <w:p>
            <w:pPr>
              <w:widowControl/>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（一）已发行专项债券</w:t>
            </w:r>
          </w:p>
        </w:tc>
        <w:tc>
          <w:tcPr>
            <w:tcW w:w="1701" w:type="dxa"/>
            <w:shd w:val="clear" w:color="auto" w:fill="auto"/>
            <w:vAlign w:val="center"/>
          </w:tcPr>
          <w:p>
            <w:pPr>
              <w:widowControl/>
              <w:jc w:val="center"/>
              <w:rPr>
                <w:rFonts w:hint="eastAsia" w:ascii="宋体" w:hAnsi="宋体" w:cs="仿宋_GB2312"/>
                <w:color w:val="000000"/>
                <w:kern w:val="0"/>
                <w:szCs w:val="21"/>
              </w:rPr>
            </w:pPr>
            <w:r>
              <w:rPr>
                <w:rFonts w:ascii="宋体" w:hAnsi="宋体" w:cs="仿宋_GB2312"/>
                <w:color w:val="000000"/>
                <w:kern w:val="0"/>
                <w:szCs w:val="21"/>
              </w:rPr>
              <w:t xml:space="preserve"> 2,000.00 </w:t>
            </w:r>
          </w:p>
        </w:tc>
        <w:tc>
          <w:tcPr>
            <w:tcW w:w="1276" w:type="dxa"/>
            <w:shd w:val="clear" w:color="auto" w:fill="auto"/>
            <w:vAlign w:val="center"/>
          </w:tcPr>
          <w:p>
            <w:pPr>
              <w:widowControl/>
              <w:jc w:val="center"/>
              <w:rPr>
                <w:rFonts w:hint="eastAsia" w:ascii="宋体" w:hAnsi="宋体" w:cs="仿宋_GB2312"/>
                <w:color w:val="000000"/>
                <w:kern w:val="0"/>
                <w:szCs w:val="21"/>
              </w:rPr>
            </w:pPr>
            <w:r>
              <w:rPr>
                <w:rFonts w:ascii="宋体" w:hAnsi="宋体" w:cs="仿宋_GB2312"/>
                <w:color w:val="000000"/>
                <w:kern w:val="0"/>
                <w:szCs w:val="21"/>
              </w:rPr>
              <w:t>4.83%</w:t>
            </w:r>
          </w:p>
        </w:tc>
        <w:tc>
          <w:tcPr>
            <w:tcW w:w="1066" w:type="dxa"/>
            <w:shd w:val="clear" w:color="auto" w:fill="auto"/>
            <w:vAlign w:val="center"/>
          </w:tcPr>
          <w:p>
            <w:pPr>
              <w:widowControl/>
              <w:jc w:val="center"/>
              <w:rPr>
                <w:rFonts w:hint="eastAsia" w:ascii="宋体" w:hAnsi="宋体" w:cs="仿宋_GB2312"/>
                <w:color w:val="000000"/>
                <w:kern w:val="0"/>
                <w:szCs w:val="21"/>
                <w:highlight w:val="yellow"/>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253" w:type="dxa"/>
            <w:shd w:val="clear" w:color="auto" w:fill="auto"/>
            <w:vAlign w:val="center"/>
          </w:tcPr>
          <w:p>
            <w:pPr>
              <w:widowControl/>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（二）本期调增专项债券</w:t>
            </w:r>
          </w:p>
        </w:tc>
        <w:tc>
          <w:tcPr>
            <w:tcW w:w="1701" w:type="dxa"/>
            <w:shd w:val="clear" w:color="auto" w:fill="auto"/>
            <w:vAlign w:val="center"/>
          </w:tcPr>
          <w:p>
            <w:pPr>
              <w:widowControl/>
              <w:jc w:val="center"/>
              <w:rPr>
                <w:rFonts w:hint="eastAsia" w:ascii="宋体" w:hAnsi="宋体" w:cs="仿宋_GB2312"/>
                <w:color w:val="000000"/>
                <w:kern w:val="0"/>
                <w:szCs w:val="21"/>
              </w:rPr>
            </w:pPr>
            <w:r>
              <w:rPr>
                <w:rFonts w:ascii="宋体" w:hAnsi="宋体" w:cs="仿宋_GB2312"/>
                <w:color w:val="000000"/>
                <w:kern w:val="0"/>
                <w:szCs w:val="21"/>
              </w:rPr>
              <w:t>800.00</w:t>
            </w:r>
          </w:p>
        </w:tc>
        <w:tc>
          <w:tcPr>
            <w:tcW w:w="1276" w:type="dxa"/>
            <w:shd w:val="clear" w:color="auto" w:fill="auto"/>
            <w:vAlign w:val="center"/>
          </w:tcPr>
          <w:p>
            <w:pPr>
              <w:widowControl/>
              <w:jc w:val="center"/>
              <w:rPr>
                <w:rFonts w:hint="eastAsia" w:ascii="宋体" w:hAnsi="宋体" w:cs="仿宋_GB2312"/>
                <w:color w:val="000000"/>
                <w:kern w:val="0"/>
                <w:szCs w:val="21"/>
              </w:rPr>
            </w:pPr>
            <w:r>
              <w:rPr>
                <w:rFonts w:ascii="宋体" w:hAnsi="宋体" w:cs="仿宋_GB2312"/>
                <w:color w:val="000000"/>
                <w:kern w:val="0"/>
                <w:szCs w:val="21"/>
              </w:rPr>
              <w:t>1.93%</w:t>
            </w:r>
          </w:p>
        </w:tc>
        <w:tc>
          <w:tcPr>
            <w:tcW w:w="1066" w:type="dxa"/>
            <w:shd w:val="clear" w:color="auto" w:fill="auto"/>
            <w:vAlign w:val="center"/>
          </w:tcPr>
          <w:p>
            <w:pPr>
              <w:widowControl/>
              <w:jc w:val="center"/>
              <w:rPr>
                <w:rFonts w:hint="eastAsia" w:ascii="宋体" w:hAnsi="宋体" w:cs="仿宋_GB2312"/>
                <w:color w:val="000000"/>
                <w:kern w:val="0"/>
                <w:szCs w:val="21"/>
                <w:highlight w:val="yellow"/>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253" w:type="dxa"/>
            <w:shd w:val="clear" w:color="auto" w:fill="auto"/>
            <w:vAlign w:val="center"/>
          </w:tcPr>
          <w:p>
            <w:pPr>
              <w:widowControl/>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（三）后续拟发行专项债券</w:t>
            </w:r>
          </w:p>
        </w:tc>
        <w:tc>
          <w:tcPr>
            <w:tcW w:w="1701" w:type="dxa"/>
            <w:shd w:val="clear" w:color="auto" w:fill="auto"/>
            <w:vAlign w:val="center"/>
          </w:tcPr>
          <w:p>
            <w:pPr>
              <w:widowControl/>
              <w:jc w:val="center"/>
              <w:rPr>
                <w:rFonts w:hint="eastAsia" w:ascii="宋体" w:hAnsi="宋体" w:cs="仿宋_GB2312"/>
                <w:color w:val="000000"/>
                <w:szCs w:val="21"/>
              </w:rPr>
            </w:pPr>
            <w:r>
              <w:rPr>
                <w:rFonts w:ascii="宋体" w:hAnsi="宋体" w:cs="仿宋_GB2312"/>
                <w:color w:val="000000"/>
                <w:szCs w:val="21"/>
              </w:rPr>
              <w:t>22,593.00</w:t>
            </w:r>
          </w:p>
        </w:tc>
        <w:tc>
          <w:tcPr>
            <w:tcW w:w="1276" w:type="dxa"/>
            <w:shd w:val="clear" w:color="auto" w:fill="auto"/>
            <w:vAlign w:val="center"/>
          </w:tcPr>
          <w:p>
            <w:pPr>
              <w:widowControl/>
              <w:jc w:val="center"/>
              <w:rPr>
                <w:rFonts w:hint="eastAsia" w:ascii="宋体" w:hAnsi="宋体" w:cs="仿宋_GB2312"/>
                <w:color w:val="000000"/>
                <w:kern w:val="0"/>
                <w:szCs w:val="21"/>
              </w:rPr>
            </w:pPr>
            <w:r>
              <w:rPr>
                <w:rFonts w:ascii="宋体" w:hAnsi="宋体" w:cs="仿宋_GB2312"/>
                <w:color w:val="000000"/>
                <w:kern w:val="0"/>
                <w:szCs w:val="21"/>
              </w:rPr>
              <w:t>54.58%</w:t>
            </w:r>
          </w:p>
        </w:tc>
        <w:tc>
          <w:tcPr>
            <w:tcW w:w="1066" w:type="dxa"/>
            <w:shd w:val="clear" w:color="auto" w:fill="auto"/>
            <w:vAlign w:val="center"/>
          </w:tcPr>
          <w:p>
            <w:pPr>
              <w:widowControl/>
              <w:jc w:val="center"/>
              <w:rPr>
                <w:rFonts w:hint="eastAsia" w:ascii="宋体" w:hAnsi="宋体" w:cs="仿宋_GB2312"/>
                <w:color w:val="000000"/>
                <w:kern w:val="0"/>
                <w:szCs w:val="21"/>
                <w:highlight w:val="yellow"/>
              </w:rPr>
            </w:pPr>
          </w:p>
        </w:tc>
      </w:tr>
      <w:bookmarkEnd w:id="25"/>
    </w:tbl>
    <w:p>
      <w:pPr>
        <w:pStyle w:val="2"/>
        <w:ind w:firstLine="640"/>
      </w:pPr>
      <w:bookmarkStart w:id="28" w:name="_Hlk24098697"/>
      <w:r>
        <w:rPr>
          <w:rFonts w:hint="eastAsia"/>
        </w:rPr>
        <w:t>四、项目预期现金流入、成本及融资平衡情况</w:t>
      </w:r>
      <w:bookmarkEnd w:id="28"/>
    </w:p>
    <w:p>
      <w:pPr>
        <w:pStyle w:val="4"/>
        <w:ind w:firstLine="640"/>
      </w:pPr>
      <w:r>
        <w:rPr>
          <w:rFonts w:hint="eastAsia"/>
        </w:rPr>
        <w:t>（</w:t>
      </w:r>
      <w:bookmarkStart w:id="29" w:name="OLE_LINK18"/>
      <w:r>
        <w:rPr>
          <w:rFonts w:hint="eastAsia"/>
        </w:rPr>
        <w:t>一）项目现金流入预测</w:t>
      </w:r>
    </w:p>
    <w:p>
      <w:pPr>
        <w:pStyle w:val="3"/>
        <w:ind w:firstLine="640"/>
      </w:pPr>
      <w:r>
        <w:rPr>
          <w:rFonts w:hint="eastAsia"/>
        </w:rPr>
        <w:t>根据可行性研究报告及项目单位提供的相关资料，本项目预期产生的现金流入主要来源于垃圾处理收入。详情如下：</w:t>
      </w:r>
    </w:p>
    <w:p>
      <w:pPr>
        <w:pStyle w:val="3"/>
        <w:ind w:firstLine="640"/>
      </w:pPr>
      <w:r>
        <w:rPr>
          <w:rFonts w:hint="eastAsia"/>
        </w:rPr>
        <w:t>垃圾处理收入预测</w:t>
      </w:r>
    </w:p>
    <w:p>
      <w:pPr>
        <w:pStyle w:val="3"/>
        <w:ind w:firstLine="640"/>
      </w:pPr>
      <w:r>
        <w:rPr>
          <w:rFonts w:hint="eastAsia"/>
        </w:rPr>
        <w:t>根据《海口江东新区管理局关于同意海口江东新区垃圾处理基础设施项目初步设计及概算的复函》（海江东审〔2023〕257号），海口江东新区垃圾处理基础设施项目完工后，海口江东新区垃圾处理基础设施项目生活垃圾转运设计规模为1,000.00吨/天，根据项目可行性研究报告，本项目垃圾处理收费标准暂按191.60元/吨计算，运营期每年均按32%计算负荷。</w:t>
      </w:r>
    </w:p>
    <w:p>
      <w:pPr>
        <w:pStyle w:val="4"/>
        <w:ind w:firstLine="640"/>
      </w:pPr>
      <w:r>
        <w:rPr>
          <w:rFonts w:hint="eastAsia"/>
        </w:rPr>
        <w:t>（二）项目成本预测</w:t>
      </w:r>
    </w:p>
    <w:p>
      <w:pPr>
        <w:pStyle w:val="3"/>
        <w:ind w:firstLine="640"/>
      </w:pPr>
      <w:r>
        <w:rPr>
          <w:rFonts w:hint="eastAsia"/>
        </w:rPr>
        <w:t>本项目总成本费用包括：外购原材料费、外购燃料及动力费、工资及福利费、修理费等。</w:t>
      </w:r>
    </w:p>
    <w:p>
      <w:pPr>
        <w:pStyle w:val="3"/>
        <w:ind w:firstLine="640"/>
      </w:pPr>
      <w:r>
        <w:rPr>
          <w:rFonts w:hint="eastAsia"/>
        </w:rPr>
        <w:t>（1）外购原材料费</w:t>
      </w:r>
    </w:p>
    <w:p>
      <w:pPr>
        <w:pStyle w:val="3"/>
        <w:ind w:firstLine="640"/>
      </w:pPr>
      <w:r>
        <w:rPr>
          <w:rFonts w:hint="eastAsia"/>
        </w:rPr>
        <w:t>根据项目可行性研究报告，外购原材料主要包括：水、液压油、可兰素、除臭费用、转运车辆维修费、转运车辆保险费、驾驶员保险费等。其中：水年用量为46,501.00吨、单价暂按4.00元/吨，液压油年用量为3,225.00升，单价暂按15.00元/升，可兰素年用量为33.08吨、单价暂按4,500.00元/吨，除臭年费用暂按45.70万元，转运车辆维修年费用暂按10.00万元，转运车辆保险年费用暂按2.40万元，驾驶员保险年费用暂按1.35万元。债券存续期内，外购原材料费预计为757.33万元。</w:t>
      </w:r>
    </w:p>
    <w:p>
      <w:pPr>
        <w:pStyle w:val="3"/>
        <w:ind w:firstLine="640"/>
      </w:pPr>
      <w:r>
        <w:rPr>
          <w:rFonts w:hint="eastAsia"/>
        </w:rPr>
        <w:t>（2）外购燃料及动力费</w:t>
      </w:r>
    </w:p>
    <w:p>
      <w:pPr>
        <w:pStyle w:val="3"/>
        <w:ind w:firstLine="640"/>
      </w:pPr>
      <w:r>
        <w:rPr>
          <w:rFonts w:hint="eastAsia"/>
        </w:rPr>
        <w:t>根据项目可行性研究报告，外购原材料主要包括：处置及其他费用、动力费用等。其中：处置及其他费用为油耗用、污水处理费用，油年用量为1,102.54升，单价暂按6,800.00元/吨，污水处理量为54,750.00吨、单价暂按15.00元/吨；动力费用为用电费用，年耗电量561.07万度，电费单价暂按1.00元/度。债券存续期内，外购燃料及动力费预计为8,078.97万元。</w:t>
      </w:r>
    </w:p>
    <w:p>
      <w:pPr>
        <w:pStyle w:val="3"/>
        <w:ind w:firstLine="640"/>
      </w:pPr>
      <w:r>
        <w:rPr>
          <w:rFonts w:hint="eastAsia"/>
        </w:rPr>
        <w:t>（3）工资及福利费</w:t>
      </w:r>
    </w:p>
    <w:p>
      <w:pPr>
        <w:pStyle w:val="3"/>
        <w:ind w:firstLine="640"/>
      </w:pPr>
      <w:r>
        <w:rPr>
          <w:rFonts w:hint="eastAsia"/>
        </w:rPr>
        <w:t>根据项目可行性研究报告，本项目配备管理人员5人、生产人员21人、运输人员38人、后勤人员13人。其中，管理人员20万元/人/年、生产人员暂按15万元/人/年、运输人员暂按10万元/人/年、后勤人员暂按8万元/人/年。债券存续期内，工资及福利费预计为8,091.00万元。</w:t>
      </w:r>
    </w:p>
    <w:p>
      <w:pPr>
        <w:pStyle w:val="3"/>
        <w:ind w:firstLine="640"/>
      </w:pPr>
      <w:r>
        <w:rPr>
          <w:rFonts w:hint="eastAsia"/>
        </w:rPr>
        <w:t>（4）修理费</w:t>
      </w:r>
    </w:p>
    <w:p>
      <w:pPr>
        <w:pStyle w:val="3"/>
        <w:ind w:firstLine="640"/>
      </w:pPr>
      <w:r>
        <w:rPr>
          <w:rFonts w:hint="eastAsia"/>
        </w:rPr>
        <w:t>根据项目可行性研究报告，本项目年修理费用暂按118.88万元。债券存续期内，修理费预计为1,069.92万元。</w:t>
      </w:r>
    </w:p>
    <w:bookmarkEnd w:id="29"/>
    <w:p>
      <w:pPr>
        <w:pStyle w:val="4"/>
        <w:ind w:firstLine="640"/>
      </w:pPr>
      <w:bookmarkStart w:id="30" w:name="_Hlk200637383"/>
      <w:r>
        <w:rPr>
          <w:rFonts w:hint="eastAsia"/>
        </w:rPr>
        <w:t>（三）应付本息情况</w:t>
      </w:r>
    </w:p>
    <w:p>
      <w:pPr>
        <w:pStyle w:val="3"/>
        <w:ind w:firstLine="640"/>
      </w:pPr>
      <w:r>
        <w:rPr>
          <w:rFonts w:hint="eastAsia"/>
        </w:rPr>
        <w:t>本项目</w:t>
      </w:r>
      <w:r>
        <w:t>2024</w:t>
      </w:r>
      <w:r>
        <w:rPr>
          <w:rFonts w:hint="eastAsia"/>
        </w:rPr>
        <w:t>年</w:t>
      </w:r>
      <w:r>
        <w:t>9</w:t>
      </w:r>
      <w:r>
        <w:rPr>
          <w:rFonts w:hint="eastAsia"/>
        </w:rPr>
        <w:t>月已发行专项债券</w:t>
      </w:r>
      <w:r>
        <w:t>2,000.00</w:t>
      </w:r>
      <w:r>
        <w:rPr>
          <w:rFonts w:hint="eastAsia"/>
        </w:rPr>
        <w:t>万元，期限</w:t>
      </w:r>
      <w:r>
        <w:t>10</w:t>
      </w:r>
      <w:r>
        <w:rPr>
          <w:rFonts w:hint="eastAsia"/>
        </w:rPr>
        <w:t>年，利率</w:t>
      </w:r>
      <w:r>
        <w:t>2.17%</w:t>
      </w:r>
      <w:r>
        <w:rPr>
          <w:rFonts w:hint="eastAsia"/>
        </w:rPr>
        <w:t>；本期调增专项债券</w:t>
      </w:r>
      <w:r>
        <w:t>800.00</w:t>
      </w:r>
      <w:r>
        <w:rPr>
          <w:rFonts w:hint="eastAsia"/>
        </w:rPr>
        <w:t>万元，期限</w:t>
      </w:r>
      <w:r>
        <w:t>10</w:t>
      </w:r>
      <w:r>
        <w:rPr>
          <w:rFonts w:hint="eastAsia"/>
        </w:rPr>
        <w:t>年，票面利率为</w:t>
      </w:r>
      <w:r>
        <w:t>1.76%</w:t>
      </w:r>
      <w:r>
        <w:rPr>
          <w:rFonts w:hint="eastAsia"/>
        </w:rPr>
        <w:t>；后续拟发行债券</w:t>
      </w:r>
      <w:r>
        <w:t>22,593.00</w:t>
      </w:r>
      <w:r>
        <w:rPr>
          <w:rFonts w:hint="eastAsia"/>
        </w:rPr>
        <w:t>万元，假设债券期限为</w:t>
      </w:r>
      <w:r>
        <w:t>20</w:t>
      </w:r>
      <w:r>
        <w:rPr>
          <w:rFonts w:hint="eastAsia"/>
        </w:rPr>
        <w:t>年，利率为</w:t>
      </w:r>
      <w:r>
        <w:t>3.20%</w:t>
      </w:r>
      <w:r>
        <w:rPr>
          <w:rFonts w:hint="eastAsia"/>
        </w:rPr>
        <w:t>，在债券存续期每半年支付债券利息，到期一次性偿还本金。专项债券还本付息情况如下。</w:t>
      </w:r>
    </w:p>
    <w:bookmarkEnd w:id="30"/>
    <w:p>
      <w:pPr>
        <w:pStyle w:val="33"/>
      </w:pPr>
      <w:bookmarkStart w:id="31" w:name="_Hlk200637441"/>
      <w:r>
        <w:rPr>
          <w:rFonts w:hint="eastAsia"/>
        </w:rPr>
        <w:t>表4</w:t>
      </w:r>
      <w:r>
        <w:t xml:space="preserve">-1  </w:t>
      </w:r>
      <w:r>
        <w:rPr>
          <w:rFonts w:hint="eastAsia"/>
        </w:rPr>
        <w:t>本项目专项债券还本付息情况</w:t>
      </w:r>
      <w:r>
        <w:t>-2024.9</w:t>
      </w:r>
      <w:r>
        <w:rPr>
          <w:rFonts w:hint="eastAsia"/>
        </w:rPr>
        <w:t>月发行（单位：万元）</w:t>
      </w:r>
    </w:p>
    <w:tbl>
      <w:tblPr>
        <w:tblStyle w:val="15"/>
        <w:tblpPr w:leftFromText="180" w:rightFromText="180" w:vertAnchor="text" w:horzAnchor="page" w:tblpXSpec="center" w:tblpY="286"/>
        <w:tblOverlap w:val="never"/>
        <w:tblW w:w="9495" w:type="dxa"/>
        <w:tblInd w:w="0" w:type="dxa"/>
        <w:tblLayout w:type="fixed"/>
        <w:tblCellMar>
          <w:top w:w="0" w:type="dxa"/>
          <w:left w:w="108" w:type="dxa"/>
          <w:bottom w:w="0" w:type="dxa"/>
          <w:right w:w="108" w:type="dxa"/>
        </w:tblCellMar>
      </w:tblPr>
      <w:tblGrid>
        <w:gridCol w:w="1128"/>
        <w:gridCol w:w="1280"/>
        <w:gridCol w:w="1275"/>
        <w:gridCol w:w="1134"/>
        <w:gridCol w:w="1134"/>
        <w:gridCol w:w="1134"/>
        <w:gridCol w:w="1134"/>
        <w:gridCol w:w="1276"/>
      </w:tblGrid>
      <w:tr>
        <w:trPr>
          <w:trHeight w:val="397" w:hRule="atLeast"/>
          <w:tblHeader/>
        </w:trPr>
        <w:tc>
          <w:tcPr>
            <w:tcW w:w="1129" w:type="dxa"/>
            <w:tcBorders>
              <w:top w:val="single" w:color="auto" w:sz="12" w:space="0"/>
              <w:left w:val="nil"/>
              <w:bottom w:val="single" w:color="auto" w:sz="8"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债券存续期</w:t>
            </w:r>
          </w:p>
        </w:tc>
        <w:tc>
          <w:tcPr>
            <w:tcW w:w="1281" w:type="dxa"/>
            <w:tcBorders>
              <w:top w:val="single" w:color="auto" w:sz="12" w:space="0"/>
              <w:left w:val="nil"/>
              <w:bottom w:val="single" w:color="auto" w:sz="8"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期初本金余额</w:t>
            </w:r>
          </w:p>
        </w:tc>
        <w:tc>
          <w:tcPr>
            <w:tcW w:w="1276" w:type="dxa"/>
            <w:tcBorders>
              <w:top w:val="single" w:color="auto" w:sz="12" w:space="0"/>
              <w:left w:val="nil"/>
              <w:bottom w:val="single" w:color="auto" w:sz="8"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本期增加金额</w:t>
            </w:r>
          </w:p>
        </w:tc>
        <w:tc>
          <w:tcPr>
            <w:tcW w:w="1134" w:type="dxa"/>
            <w:tcBorders>
              <w:top w:val="single" w:color="auto" w:sz="12" w:space="0"/>
              <w:left w:val="nil"/>
              <w:bottom w:val="single" w:color="auto" w:sz="8"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本期偿还金额</w:t>
            </w:r>
          </w:p>
        </w:tc>
        <w:tc>
          <w:tcPr>
            <w:tcW w:w="1134" w:type="dxa"/>
            <w:tcBorders>
              <w:top w:val="single" w:color="auto" w:sz="12" w:space="0"/>
              <w:left w:val="nil"/>
              <w:bottom w:val="single" w:color="auto" w:sz="8"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期末本金余额</w:t>
            </w:r>
          </w:p>
        </w:tc>
        <w:tc>
          <w:tcPr>
            <w:tcW w:w="1134" w:type="dxa"/>
            <w:tcBorders>
              <w:top w:val="single" w:color="auto" w:sz="12" w:space="0"/>
              <w:left w:val="nil"/>
              <w:bottom w:val="single" w:color="auto" w:sz="8"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融资利率</w:t>
            </w:r>
          </w:p>
        </w:tc>
        <w:tc>
          <w:tcPr>
            <w:tcW w:w="1134" w:type="dxa"/>
            <w:tcBorders>
              <w:top w:val="single" w:color="auto" w:sz="12" w:space="0"/>
              <w:left w:val="nil"/>
              <w:bottom w:val="single" w:color="auto" w:sz="8"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应付利息</w:t>
            </w:r>
          </w:p>
        </w:tc>
        <w:tc>
          <w:tcPr>
            <w:tcW w:w="1276" w:type="dxa"/>
            <w:tcBorders>
              <w:top w:val="single" w:color="auto" w:sz="12" w:space="0"/>
              <w:left w:val="nil"/>
              <w:bottom w:val="single" w:color="auto" w:sz="8" w:space="0"/>
              <w:right w:val="nil"/>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还本付息合计</w:t>
            </w:r>
          </w:p>
        </w:tc>
      </w:tr>
      <w:tr>
        <w:tblPrEx>
          <w:tblCellMar>
            <w:top w:w="0" w:type="dxa"/>
            <w:left w:w="108" w:type="dxa"/>
            <w:bottom w:w="0" w:type="dxa"/>
            <w:right w:w="108" w:type="dxa"/>
          </w:tblCellMar>
        </w:tblPrEx>
        <w:trPr>
          <w:trHeight w:val="397" w:hRule="atLeast"/>
        </w:trPr>
        <w:tc>
          <w:tcPr>
            <w:tcW w:w="1129"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2024</w:t>
            </w:r>
            <w:r>
              <w:rPr>
                <w:rFonts w:hint="eastAsia"/>
              </w:rPr>
              <w:t>年</w:t>
            </w:r>
          </w:p>
        </w:tc>
        <w:tc>
          <w:tcPr>
            <w:tcW w:w="1281"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276"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2.17%</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276" w:type="dxa"/>
            <w:tcBorders>
              <w:top w:val="single" w:color="auto" w:sz="4" w:space="0"/>
              <w:left w:val="nil"/>
              <w:bottom w:val="single" w:color="auto" w:sz="4" w:space="0"/>
              <w:right w:val="nil"/>
            </w:tcBorders>
            <w:vAlign w:val="center"/>
          </w:tcPr>
          <w:p>
            <w:pPr>
              <w:jc w:val="center"/>
              <w:textAlignment w:val="center"/>
              <w:rPr>
                <w:rFonts w:hint="eastAsia" w:ascii="仿宋_GB2312" w:hAnsi="仿宋_GB2312" w:eastAsia="仿宋_GB2312" w:cs="仿宋_GB2312"/>
                <w:bCs/>
                <w:sz w:val="18"/>
                <w:szCs w:val="18"/>
              </w:rPr>
            </w:pPr>
          </w:p>
        </w:tc>
      </w:tr>
      <w:tr>
        <w:tblPrEx>
          <w:tblCellMar>
            <w:top w:w="0" w:type="dxa"/>
            <w:left w:w="108" w:type="dxa"/>
            <w:bottom w:w="0" w:type="dxa"/>
            <w:right w:w="108" w:type="dxa"/>
          </w:tblCellMar>
        </w:tblPrEx>
        <w:trPr>
          <w:trHeight w:val="397" w:hRule="atLeast"/>
        </w:trPr>
        <w:tc>
          <w:tcPr>
            <w:tcW w:w="1129"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2025</w:t>
            </w:r>
            <w:r>
              <w:rPr>
                <w:rFonts w:hint="eastAsia"/>
              </w:rPr>
              <w:t>年</w:t>
            </w:r>
          </w:p>
        </w:tc>
        <w:tc>
          <w:tcPr>
            <w:tcW w:w="1281"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276"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2.17%</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43.40</w:t>
            </w:r>
          </w:p>
        </w:tc>
        <w:tc>
          <w:tcPr>
            <w:tcW w:w="1276" w:type="dxa"/>
            <w:tcBorders>
              <w:top w:val="single" w:color="auto" w:sz="4" w:space="0"/>
              <w:left w:val="nil"/>
              <w:bottom w:val="single" w:color="auto" w:sz="4" w:space="0"/>
              <w:right w:val="nil"/>
            </w:tcBorders>
            <w:vAlign w:val="center"/>
          </w:tcPr>
          <w:p>
            <w:pPr>
              <w:jc w:val="center"/>
              <w:textAlignment w:val="center"/>
              <w:rPr>
                <w:rFonts w:hint="eastAsia" w:ascii="仿宋_GB2312" w:hAnsi="仿宋_GB2312" w:eastAsia="仿宋_GB2312" w:cs="仿宋_GB2312"/>
                <w:bCs/>
                <w:sz w:val="18"/>
                <w:szCs w:val="18"/>
              </w:rPr>
            </w:pPr>
            <w:r>
              <w:t>43.40</w:t>
            </w:r>
          </w:p>
        </w:tc>
      </w:tr>
      <w:tr>
        <w:tblPrEx>
          <w:tblCellMar>
            <w:top w:w="0" w:type="dxa"/>
            <w:left w:w="108" w:type="dxa"/>
            <w:bottom w:w="0" w:type="dxa"/>
            <w:right w:w="108" w:type="dxa"/>
          </w:tblCellMar>
        </w:tblPrEx>
        <w:trPr>
          <w:trHeight w:val="397" w:hRule="atLeast"/>
        </w:trPr>
        <w:tc>
          <w:tcPr>
            <w:tcW w:w="1129"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2026</w:t>
            </w:r>
            <w:r>
              <w:rPr>
                <w:rFonts w:hint="eastAsia"/>
              </w:rPr>
              <w:t>年</w:t>
            </w:r>
          </w:p>
        </w:tc>
        <w:tc>
          <w:tcPr>
            <w:tcW w:w="1281"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276"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2.17%</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43.40</w:t>
            </w:r>
          </w:p>
        </w:tc>
        <w:tc>
          <w:tcPr>
            <w:tcW w:w="1276" w:type="dxa"/>
            <w:tcBorders>
              <w:top w:val="single" w:color="auto" w:sz="4" w:space="0"/>
              <w:left w:val="nil"/>
              <w:bottom w:val="single" w:color="auto" w:sz="4" w:space="0"/>
              <w:right w:val="nil"/>
            </w:tcBorders>
            <w:vAlign w:val="center"/>
          </w:tcPr>
          <w:p>
            <w:pPr>
              <w:jc w:val="center"/>
              <w:textAlignment w:val="center"/>
              <w:rPr>
                <w:rFonts w:hint="eastAsia" w:ascii="仿宋_GB2312" w:hAnsi="仿宋_GB2312" w:eastAsia="仿宋_GB2312" w:cs="仿宋_GB2312"/>
                <w:bCs/>
                <w:sz w:val="18"/>
                <w:szCs w:val="18"/>
              </w:rPr>
            </w:pPr>
            <w:r>
              <w:t>43.40</w:t>
            </w:r>
          </w:p>
        </w:tc>
      </w:tr>
      <w:tr>
        <w:trPr>
          <w:trHeight w:val="397" w:hRule="atLeast"/>
        </w:trPr>
        <w:tc>
          <w:tcPr>
            <w:tcW w:w="1129"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2027</w:t>
            </w:r>
            <w:r>
              <w:rPr>
                <w:rFonts w:hint="eastAsia"/>
              </w:rPr>
              <w:t>年</w:t>
            </w:r>
          </w:p>
        </w:tc>
        <w:tc>
          <w:tcPr>
            <w:tcW w:w="1281"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276"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2.17%</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43.40</w:t>
            </w:r>
          </w:p>
        </w:tc>
        <w:tc>
          <w:tcPr>
            <w:tcW w:w="1276" w:type="dxa"/>
            <w:tcBorders>
              <w:top w:val="single" w:color="auto" w:sz="4" w:space="0"/>
              <w:left w:val="nil"/>
              <w:bottom w:val="single" w:color="auto" w:sz="4" w:space="0"/>
              <w:right w:val="nil"/>
            </w:tcBorders>
            <w:vAlign w:val="center"/>
          </w:tcPr>
          <w:p>
            <w:pPr>
              <w:jc w:val="center"/>
              <w:textAlignment w:val="center"/>
              <w:rPr>
                <w:rFonts w:hint="eastAsia" w:ascii="仿宋_GB2312" w:hAnsi="仿宋_GB2312" w:eastAsia="仿宋_GB2312" w:cs="仿宋_GB2312"/>
                <w:bCs/>
                <w:sz w:val="18"/>
                <w:szCs w:val="18"/>
              </w:rPr>
            </w:pPr>
            <w:r>
              <w:t>43.40</w:t>
            </w:r>
          </w:p>
        </w:tc>
      </w:tr>
      <w:tr>
        <w:tblPrEx>
          <w:tblCellMar>
            <w:top w:w="0" w:type="dxa"/>
            <w:left w:w="108" w:type="dxa"/>
            <w:bottom w:w="0" w:type="dxa"/>
            <w:right w:w="108" w:type="dxa"/>
          </w:tblCellMar>
        </w:tblPrEx>
        <w:trPr>
          <w:trHeight w:val="397" w:hRule="atLeast"/>
        </w:trPr>
        <w:tc>
          <w:tcPr>
            <w:tcW w:w="1129"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2028</w:t>
            </w:r>
            <w:r>
              <w:rPr>
                <w:rFonts w:hint="eastAsia"/>
              </w:rPr>
              <w:t>年</w:t>
            </w:r>
          </w:p>
        </w:tc>
        <w:tc>
          <w:tcPr>
            <w:tcW w:w="1281"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276"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2.17%</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43.40</w:t>
            </w:r>
          </w:p>
        </w:tc>
        <w:tc>
          <w:tcPr>
            <w:tcW w:w="1276" w:type="dxa"/>
            <w:tcBorders>
              <w:top w:val="single" w:color="auto" w:sz="4" w:space="0"/>
              <w:left w:val="nil"/>
              <w:bottom w:val="single" w:color="auto" w:sz="4" w:space="0"/>
              <w:right w:val="nil"/>
            </w:tcBorders>
            <w:vAlign w:val="center"/>
          </w:tcPr>
          <w:p>
            <w:pPr>
              <w:jc w:val="center"/>
              <w:textAlignment w:val="center"/>
              <w:rPr>
                <w:rFonts w:hint="eastAsia" w:ascii="仿宋_GB2312" w:hAnsi="仿宋_GB2312" w:eastAsia="仿宋_GB2312" w:cs="仿宋_GB2312"/>
                <w:bCs/>
                <w:sz w:val="18"/>
                <w:szCs w:val="18"/>
              </w:rPr>
            </w:pPr>
            <w:r>
              <w:t>43.40</w:t>
            </w:r>
          </w:p>
        </w:tc>
      </w:tr>
      <w:tr>
        <w:tblPrEx>
          <w:tblCellMar>
            <w:top w:w="0" w:type="dxa"/>
            <w:left w:w="108" w:type="dxa"/>
            <w:bottom w:w="0" w:type="dxa"/>
            <w:right w:w="108" w:type="dxa"/>
          </w:tblCellMar>
        </w:tblPrEx>
        <w:trPr>
          <w:trHeight w:val="397" w:hRule="atLeast"/>
        </w:trPr>
        <w:tc>
          <w:tcPr>
            <w:tcW w:w="1129"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2029</w:t>
            </w:r>
            <w:r>
              <w:rPr>
                <w:rFonts w:hint="eastAsia"/>
              </w:rPr>
              <w:t>年</w:t>
            </w:r>
          </w:p>
        </w:tc>
        <w:tc>
          <w:tcPr>
            <w:tcW w:w="1281"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276"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2.17%</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43.40</w:t>
            </w:r>
          </w:p>
        </w:tc>
        <w:tc>
          <w:tcPr>
            <w:tcW w:w="1276" w:type="dxa"/>
            <w:tcBorders>
              <w:top w:val="single" w:color="auto" w:sz="4" w:space="0"/>
              <w:left w:val="nil"/>
              <w:bottom w:val="single" w:color="auto" w:sz="4" w:space="0"/>
              <w:right w:val="nil"/>
            </w:tcBorders>
            <w:vAlign w:val="center"/>
          </w:tcPr>
          <w:p>
            <w:pPr>
              <w:jc w:val="center"/>
              <w:textAlignment w:val="center"/>
              <w:rPr>
                <w:rFonts w:hint="eastAsia" w:ascii="仿宋_GB2312" w:hAnsi="仿宋_GB2312" w:eastAsia="仿宋_GB2312" w:cs="仿宋_GB2312"/>
                <w:bCs/>
                <w:sz w:val="18"/>
                <w:szCs w:val="18"/>
              </w:rPr>
            </w:pPr>
            <w:r>
              <w:t>43.40</w:t>
            </w:r>
          </w:p>
        </w:tc>
      </w:tr>
      <w:tr>
        <w:tblPrEx>
          <w:tblCellMar>
            <w:top w:w="0" w:type="dxa"/>
            <w:left w:w="108" w:type="dxa"/>
            <w:bottom w:w="0" w:type="dxa"/>
            <w:right w:w="108" w:type="dxa"/>
          </w:tblCellMar>
        </w:tblPrEx>
        <w:trPr>
          <w:trHeight w:val="397" w:hRule="atLeast"/>
        </w:trPr>
        <w:tc>
          <w:tcPr>
            <w:tcW w:w="1129"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2030</w:t>
            </w:r>
            <w:r>
              <w:rPr>
                <w:rFonts w:hint="eastAsia"/>
              </w:rPr>
              <w:t>年</w:t>
            </w:r>
          </w:p>
        </w:tc>
        <w:tc>
          <w:tcPr>
            <w:tcW w:w="1281"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276"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2.17%</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43.40</w:t>
            </w:r>
          </w:p>
        </w:tc>
        <w:tc>
          <w:tcPr>
            <w:tcW w:w="1276" w:type="dxa"/>
            <w:tcBorders>
              <w:top w:val="single" w:color="auto" w:sz="4" w:space="0"/>
              <w:left w:val="nil"/>
              <w:bottom w:val="single" w:color="auto" w:sz="4" w:space="0"/>
              <w:right w:val="nil"/>
            </w:tcBorders>
            <w:vAlign w:val="center"/>
          </w:tcPr>
          <w:p>
            <w:pPr>
              <w:jc w:val="center"/>
              <w:textAlignment w:val="center"/>
              <w:rPr>
                <w:rFonts w:hint="eastAsia" w:ascii="仿宋_GB2312" w:hAnsi="仿宋_GB2312" w:eastAsia="仿宋_GB2312" w:cs="仿宋_GB2312"/>
                <w:bCs/>
                <w:sz w:val="18"/>
                <w:szCs w:val="18"/>
              </w:rPr>
            </w:pPr>
            <w:r>
              <w:t>43.40</w:t>
            </w:r>
          </w:p>
        </w:tc>
      </w:tr>
      <w:tr>
        <w:tblPrEx>
          <w:tblCellMar>
            <w:top w:w="0" w:type="dxa"/>
            <w:left w:w="108" w:type="dxa"/>
            <w:bottom w:w="0" w:type="dxa"/>
            <w:right w:w="108" w:type="dxa"/>
          </w:tblCellMar>
        </w:tblPrEx>
        <w:trPr>
          <w:trHeight w:val="397" w:hRule="atLeast"/>
        </w:trPr>
        <w:tc>
          <w:tcPr>
            <w:tcW w:w="1129"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2031</w:t>
            </w:r>
            <w:r>
              <w:rPr>
                <w:rFonts w:hint="eastAsia"/>
              </w:rPr>
              <w:t>年</w:t>
            </w:r>
          </w:p>
        </w:tc>
        <w:tc>
          <w:tcPr>
            <w:tcW w:w="1281"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276"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2.17%</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43.40</w:t>
            </w:r>
          </w:p>
        </w:tc>
        <w:tc>
          <w:tcPr>
            <w:tcW w:w="1276" w:type="dxa"/>
            <w:tcBorders>
              <w:top w:val="single" w:color="auto" w:sz="4" w:space="0"/>
              <w:left w:val="nil"/>
              <w:bottom w:val="single" w:color="auto" w:sz="4" w:space="0"/>
              <w:right w:val="nil"/>
            </w:tcBorders>
            <w:vAlign w:val="center"/>
          </w:tcPr>
          <w:p>
            <w:pPr>
              <w:jc w:val="center"/>
              <w:textAlignment w:val="center"/>
              <w:rPr>
                <w:rFonts w:hint="eastAsia" w:ascii="仿宋_GB2312" w:hAnsi="仿宋_GB2312" w:eastAsia="仿宋_GB2312" w:cs="仿宋_GB2312"/>
                <w:bCs/>
                <w:sz w:val="18"/>
                <w:szCs w:val="18"/>
              </w:rPr>
            </w:pPr>
            <w:r>
              <w:t>43.40</w:t>
            </w:r>
          </w:p>
        </w:tc>
      </w:tr>
      <w:tr>
        <w:tblPrEx>
          <w:tblCellMar>
            <w:top w:w="0" w:type="dxa"/>
            <w:left w:w="108" w:type="dxa"/>
            <w:bottom w:w="0" w:type="dxa"/>
            <w:right w:w="108" w:type="dxa"/>
          </w:tblCellMar>
        </w:tblPrEx>
        <w:trPr>
          <w:trHeight w:val="397" w:hRule="atLeast"/>
        </w:trPr>
        <w:tc>
          <w:tcPr>
            <w:tcW w:w="1129"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2032</w:t>
            </w:r>
            <w:r>
              <w:rPr>
                <w:rFonts w:hint="eastAsia"/>
              </w:rPr>
              <w:t>年</w:t>
            </w:r>
          </w:p>
        </w:tc>
        <w:tc>
          <w:tcPr>
            <w:tcW w:w="1281"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276"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2.17%</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43.40</w:t>
            </w:r>
          </w:p>
        </w:tc>
        <w:tc>
          <w:tcPr>
            <w:tcW w:w="1276" w:type="dxa"/>
            <w:tcBorders>
              <w:top w:val="single" w:color="auto" w:sz="4" w:space="0"/>
              <w:left w:val="nil"/>
              <w:bottom w:val="single" w:color="auto" w:sz="4" w:space="0"/>
              <w:right w:val="nil"/>
            </w:tcBorders>
            <w:vAlign w:val="center"/>
          </w:tcPr>
          <w:p>
            <w:pPr>
              <w:jc w:val="center"/>
              <w:textAlignment w:val="center"/>
              <w:rPr>
                <w:rFonts w:hint="eastAsia" w:ascii="仿宋_GB2312" w:hAnsi="仿宋_GB2312" w:eastAsia="仿宋_GB2312" w:cs="仿宋_GB2312"/>
                <w:bCs/>
                <w:sz w:val="18"/>
                <w:szCs w:val="18"/>
              </w:rPr>
            </w:pPr>
            <w:r>
              <w:t>43.40</w:t>
            </w:r>
          </w:p>
        </w:tc>
      </w:tr>
      <w:tr>
        <w:tblPrEx>
          <w:tblCellMar>
            <w:top w:w="0" w:type="dxa"/>
            <w:left w:w="108" w:type="dxa"/>
            <w:bottom w:w="0" w:type="dxa"/>
            <w:right w:w="108" w:type="dxa"/>
          </w:tblCellMar>
        </w:tblPrEx>
        <w:trPr>
          <w:trHeight w:val="397" w:hRule="atLeast"/>
        </w:trPr>
        <w:tc>
          <w:tcPr>
            <w:tcW w:w="1129"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2033</w:t>
            </w:r>
            <w:r>
              <w:rPr>
                <w:rFonts w:hint="eastAsia"/>
              </w:rPr>
              <w:t>年</w:t>
            </w:r>
          </w:p>
        </w:tc>
        <w:tc>
          <w:tcPr>
            <w:tcW w:w="1281"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276"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2.17%</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43.40</w:t>
            </w:r>
          </w:p>
        </w:tc>
        <w:tc>
          <w:tcPr>
            <w:tcW w:w="1276" w:type="dxa"/>
            <w:tcBorders>
              <w:top w:val="single" w:color="auto" w:sz="4" w:space="0"/>
              <w:left w:val="nil"/>
              <w:bottom w:val="single" w:color="auto" w:sz="4" w:space="0"/>
              <w:right w:val="nil"/>
            </w:tcBorders>
            <w:vAlign w:val="center"/>
          </w:tcPr>
          <w:p>
            <w:pPr>
              <w:jc w:val="center"/>
              <w:textAlignment w:val="center"/>
              <w:rPr>
                <w:rFonts w:hint="eastAsia" w:ascii="仿宋_GB2312" w:hAnsi="仿宋_GB2312" w:eastAsia="仿宋_GB2312" w:cs="仿宋_GB2312"/>
                <w:bCs/>
                <w:sz w:val="18"/>
                <w:szCs w:val="18"/>
              </w:rPr>
            </w:pPr>
            <w:r>
              <w:t>43.40</w:t>
            </w:r>
          </w:p>
        </w:tc>
      </w:tr>
      <w:tr>
        <w:tblPrEx>
          <w:tblCellMar>
            <w:top w:w="0" w:type="dxa"/>
            <w:left w:w="108" w:type="dxa"/>
            <w:bottom w:w="0" w:type="dxa"/>
            <w:right w:w="108" w:type="dxa"/>
          </w:tblCellMar>
        </w:tblPrEx>
        <w:trPr>
          <w:trHeight w:val="397" w:hRule="atLeast"/>
        </w:trPr>
        <w:tc>
          <w:tcPr>
            <w:tcW w:w="1129"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2034</w:t>
            </w:r>
            <w:r>
              <w:rPr>
                <w:rFonts w:hint="eastAsia"/>
              </w:rPr>
              <w:t>年</w:t>
            </w:r>
          </w:p>
        </w:tc>
        <w:tc>
          <w:tcPr>
            <w:tcW w:w="1281"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2,000.00</w:t>
            </w:r>
          </w:p>
        </w:tc>
        <w:tc>
          <w:tcPr>
            <w:tcW w:w="1276"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 xml:space="preserve"> 2,000.00 </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2.17%</w:t>
            </w:r>
          </w:p>
        </w:tc>
        <w:tc>
          <w:tcPr>
            <w:tcW w:w="1134" w:type="dxa"/>
            <w:tcBorders>
              <w:top w:val="single" w:color="auto" w:sz="4" w:space="0"/>
              <w:left w:val="nil"/>
              <w:bottom w:val="single" w:color="auto" w:sz="4"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t>43.40</w:t>
            </w:r>
          </w:p>
        </w:tc>
        <w:tc>
          <w:tcPr>
            <w:tcW w:w="1276" w:type="dxa"/>
            <w:tcBorders>
              <w:top w:val="single" w:color="auto" w:sz="4" w:space="0"/>
              <w:left w:val="nil"/>
              <w:bottom w:val="single" w:color="auto" w:sz="4" w:space="0"/>
              <w:right w:val="nil"/>
            </w:tcBorders>
            <w:vAlign w:val="center"/>
          </w:tcPr>
          <w:p>
            <w:pPr>
              <w:jc w:val="center"/>
              <w:textAlignment w:val="center"/>
              <w:rPr>
                <w:rFonts w:hint="eastAsia" w:ascii="仿宋_GB2312" w:hAnsi="仿宋_GB2312" w:eastAsia="仿宋_GB2312" w:cs="仿宋_GB2312"/>
                <w:bCs/>
                <w:sz w:val="18"/>
                <w:szCs w:val="18"/>
              </w:rPr>
            </w:pPr>
            <w:r>
              <w:t>2,043.40</w:t>
            </w:r>
          </w:p>
        </w:tc>
      </w:tr>
      <w:tr>
        <w:tblPrEx>
          <w:tblCellMar>
            <w:top w:w="0" w:type="dxa"/>
            <w:left w:w="108" w:type="dxa"/>
            <w:bottom w:w="0" w:type="dxa"/>
            <w:right w:w="108" w:type="dxa"/>
          </w:tblCellMar>
        </w:tblPrEx>
        <w:trPr>
          <w:trHeight w:val="397" w:hRule="atLeast"/>
        </w:trPr>
        <w:tc>
          <w:tcPr>
            <w:tcW w:w="1129" w:type="dxa"/>
            <w:tcBorders>
              <w:top w:val="single" w:color="auto" w:sz="4" w:space="0"/>
              <w:left w:val="nil"/>
              <w:bottom w:val="single" w:color="auto" w:sz="12" w:space="0"/>
              <w:right w:val="single" w:color="auto" w:sz="4" w:space="0"/>
            </w:tcBorders>
            <w:vAlign w:val="center"/>
          </w:tcPr>
          <w:p>
            <w:pPr>
              <w:jc w:val="center"/>
              <w:textAlignment w:val="center"/>
              <w:rPr>
                <w:rFonts w:hint="eastAsia" w:ascii="仿宋_GB2312" w:hAnsi="仿宋_GB2312" w:eastAsia="仿宋_GB2312" w:cs="仿宋_GB2312"/>
                <w:b/>
                <w:bCs/>
                <w:sz w:val="18"/>
                <w:szCs w:val="18"/>
              </w:rPr>
            </w:pPr>
            <w:r>
              <w:rPr>
                <w:rFonts w:hint="eastAsia"/>
                <w:b/>
              </w:rPr>
              <w:t>合计</w:t>
            </w:r>
          </w:p>
        </w:tc>
        <w:tc>
          <w:tcPr>
            <w:tcW w:w="1281" w:type="dxa"/>
            <w:tcBorders>
              <w:top w:val="single" w:color="auto" w:sz="4" w:space="0"/>
              <w:left w:val="nil"/>
              <w:bottom w:val="single" w:color="auto" w:sz="12"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276" w:type="dxa"/>
            <w:tcBorders>
              <w:top w:val="single" w:color="auto" w:sz="4" w:space="0"/>
              <w:left w:val="nil"/>
              <w:bottom w:val="single" w:color="auto" w:sz="12"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rPr>
                <w:bCs/>
              </w:rPr>
              <w:t>2,000.00</w:t>
            </w:r>
          </w:p>
        </w:tc>
        <w:tc>
          <w:tcPr>
            <w:tcW w:w="1134" w:type="dxa"/>
            <w:tcBorders>
              <w:top w:val="single" w:color="auto" w:sz="4" w:space="0"/>
              <w:left w:val="nil"/>
              <w:bottom w:val="single" w:color="auto" w:sz="12"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rPr>
                <w:bCs/>
              </w:rPr>
              <w:t>2,000.00</w:t>
            </w:r>
          </w:p>
        </w:tc>
        <w:tc>
          <w:tcPr>
            <w:tcW w:w="1134" w:type="dxa"/>
            <w:tcBorders>
              <w:top w:val="single" w:color="auto" w:sz="4" w:space="0"/>
              <w:left w:val="nil"/>
              <w:bottom w:val="single" w:color="auto" w:sz="12"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12"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p>
        </w:tc>
        <w:tc>
          <w:tcPr>
            <w:tcW w:w="1134" w:type="dxa"/>
            <w:tcBorders>
              <w:top w:val="single" w:color="auto" w:sz="4" w:space="0"/>
              <w:left w:val="nil"/>
              <w:bottom w:val="single" w:color="auto" w:sz="12" w:space="0"/>
              <w:right w:val="single" w:color="auto" w:sz="4" w:space="0"/>
            </w:tcBorders>
            <w:vAlign w:val="center"/>
          </w:tcPr>
          <w:p>
            <w:pPr>
              <w:jc w:val="center"/>
              <w:textAlignment w:val="center"/>
              <w:rPr>
                <w:rFonts w:hint="eastAsia" w:ascii="仿宋_GB2312" w:hAnsi="仿宋_GB2312" w:eastAsia="仿宋_GB2312" w:cs="仿宋_GB2312"/>
                <w:bCs/>
                <w:sz w:val="18"/>
                <w:szCs w:val="18"/>
              </w:rPr>
            </w:pPr>
            <w:r>
              <w:rPr>
                <w:bCs/>
              </w:rPr>
              <w:t>434.00</w:t>
            </w:r>
          </w:p>
        </w:tc>
        <w:tc>
          <w:tcPr>
            <w:tcW w:w="1276" w:type="dxa"/>
            <w:tcBorders>
              <w:top w:val="single" w:color="auto" w:sz="4" w:space="0"/>
              <w:left w:val="nil"/>
              <w:bottom w:val="single" w:color="auto" w:sz="12" w:space="0"/>
              <w:right w:val="nil"/>
            </w:tcBorders>
            <w:vAlign w:val="center"/>
          </w:tcPr>
          <w:p>
            <w:pPr>
              <w:jc w:val="center"/>
              <w:textAlignment w:val="center"/>
              <w:rPr>
                <w:rFonts w:hint="eastAsia" w:ascii="仿宋_GB2312" w:hAnsi="仿宋_GB2312" w:eastAsia="仿宋_GB2312" w:cs="仿宋_GB2312"/>
                <w:bCs/>
                <w:sz w:val="18"/>
                <w:szCs w:val="18"/>
              </w:rPr>
            </w:pPr>
            <w:r>
              <w:rPr>
                <w:bCs/>
              </w:rPr>
              <w:t>2,434.00</w:t>
            </w:r>
          </w:p>
        </w:tc>
      </w:tr>
    </w:tbl>
    <w:p>
      <w:pPr>
        <w:pStyle w:val="33"/>
      </w:pPr>
      <w:r>
        <w:rPr>
          <w:rFonts w:hint="eastAsia"/>
        </w:rPr>
        <w:t>表4</w:t>
      </w:r>
      <w:r>
        <w:t xml:space="preserve">-2 </w:t>
      </w:r>
      <w:r>
        <w:rPr>
          <w:rFonts w:hint="eastAsia"/>
        </w:rPr>
        <w:t>本项目专项债券还本付息情况</w:t>
      </w:r>
      <w:r>
        <w:t>-</w:t>
      </w:r>
      <w:r>
        <w:rPr>
          <w:rFonts w:hint="eastAsia"/>
        </w:rPr>
        <w:t>本次调增（单位：万元）</w:t>
      </w:r>
    </w:p>
    <w:tbl>
      <w:tblPr>
        <w:tblStyle w:val="15"/>
        <w:tblW w:w="892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85" w:type="dxa"/>
          <w:bottom w:w="0" w:type="dxa"/>
          <w:right w:w="85" w:type="dxa"/>
        </w:tblCellMar>
      </w:tblPr>
      <w:tblGrid>
        <w:gridCol w:w="1116"/>
        <w:gridCol w:w="1116"/>
        <w:gridCol w:w="1116"/>
        <w:gridCol w:w="1115"/>
        <w:gridCol w:w="1115"/>
        <w:gridCol w:w="1116"/>
        <w:gridCol w:w="1115"/>
        <w:gridCol w:w="111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tblHeader/>
          <w:jc w:val="center"/>
        </w:trPr>
        <w:tc>
          <w:tcPr>
            <w:tcW w:w="1116" w:type="dxa"/>
            <w:tcBorders>
              <w:top w:val="single" w:color="auto" w:sz="12" w:space="0"/>
              <w:left w:val="nil"/>
              <w:bottom w:val="single" w:color="auto" w:sz="4" w:space="0"/>
              <w:right w:val="single" w:color="auto" w:sz="4" w:space="0"/>
            </w:tcBorders>
            <w:vAlign w:val="center"/>
          </w:tcPr>
          <w:p>
            <w:pPr>
              <w:jc w:val="center"/>
              <w:rPr>
                <w:rFonts w:hint="eastAsia" w:ascii="黑体" w:hAnsi="黑体" w:eastAsia="黑体"/>
                <w:b/>
                <w:sz w:val="18"/>
                <w:szCs w:val="18"/>
              </w:rPr>
            </w:pPr>
            <w:r>
              <w:rPr>
                <w:rFonts w:hint="eastAsia" w:ascii="黑体" w:hAnsi="黑体" w:eastAsia="黑体"/>
                <w:b/>
                <w:sz w:val="18"/>
                <w:szCs w:val="18"/>
              </w:rPr>
              <w:t>债券存续期</w:t>
            </w:r>
          </w:p>
        </w:tc>
        <w:tc>
          <w:tcPr>
            <w:tcW w:w="1116" w:type="dxa"/>
            <w:tcBorders>
              <w:top w:val="single" w:color="auto" w:sz="12" w:space="0"/>
              <w:left w:val="single" w:color="auto" w:sz="4" w:space="0"/>
              <w:bottom w:val="single" w:color="auto" w:sz="4" w:space="0"/>
              <w:right w:val="single" w:color="auto" w:sz="4" w:space="0"/>
            </w:tcBorders>
            <w:vAlign w:val="center"/>
          </w:tcPr>
          <w:p>
            <w:pPr>
              <w:jc w:val="center"/>
              <w:rPr>
                <w:rFonts w:hint="eastAsia" w:ascii="黑体" w:hAnsi="黑体" w:eastAsia="黑体"/>
                <w:b/>
                <w:sz w:val="18"/>
                <w:szCs w:val="18"/>
              </w:rPr>
            </w:pPr>
            <w:r>
              <w:rPr>
                <w:rFonts w:hint="eastAsia" w:ascii="黑体" w:hAnsi="黑体" w:eastAsia="黑体"/>
                <w:b/>
                <w:color w:val="000000"/>
                <w:kern w:val="0"/>
                <w:sz w:val="18"/>
                <w:szCs w:val="18"/>
              </w:rPr>
              <w:t>期初本金余额</w:t>
            </w:r>
          </w:p>
        </w:tc>
        <w:tc>
          <w:tcPr>
            <w:tcW w:w="1117" w:type="dxa"/>
            <w:tcBorders>
              <w:top w:val="single" w:color="auto" w:sz="12" w:space="0"/>
              <w:left w:val="single" w:color="auto" w:sz="4" w:space="0"/>
              <w:bottom w:val="single" w:color="auto" w:sz="4" w:space="0"/>
              <w:right w:val="single" w:color="auto" w:sz="4" w:space="0"/>
            </w:tcBorders>
            <w:vAlign w:val="center"/>
          </w:tcPr>
          <w:p>
            <w:pPr>
              <w:widowControl/>
              <w:jc w:val="center"/>
              <w:rPr>
                <w:rFonts w:hint="eastAsia" w:ascii="黑体" w:hAnsi="黑体" w:eastAsia="黑体"/>
                <w:b/>
                <w:color w:val="000000"/>
                <w:kern w:val="0"/>
                <w:sz w:val="18"/>
                <w:szCs w:val="18"/>
              </w:rPr>
            </w:pPr>
            <w:r>
              <w:rPr>
                <w:rFonts w:hint="eastAsia" w:ascii="黑体" w:hAnsi="黑体" w:eastAsia="黑体"/>
                <w:b/>
                <w:color w:val="000000"/>
                <w:kern w:val="0"/>
                <w:sz w:val="18"/>
                <w:szCs w:val="18"/>
              </w:rPr>
              <w:t>本期增加</w:t>
            </w:r>
          </w:p>
          <w:p>
            <w:pPr>
              <w:jc w:val="center"/>
              <w:rPr>
                <w:rFonts w:hint="eastAsia" w:ascii="黑体" w:hAnsi="黑体" w:eastAsia="黑体"/>
                <w:b/>
                <w:sz w:val="18"/>
                <w:szCs w:val="18"/>
              </w:rPr>
            </w:pPr>
            <w:r>
              <w:rPr>
                <w:rFonts w:hint="eastAsia" w:ascii="黑体" w:hAnsi="黑体" w:eastAsia="黑体"/>
                <w:b/>
                <w:color w:val="000000"/>
                <w:kern w:val="0"/>
                <w:sz w:val="18"/>
                <w:szCs w:val="18"/>
              </w:rPr>
              <w:t>金额</w:t>
            </w:r>
          </w:p>
        </w:tc>
        <w:tc>
          <w:tcPr>
            <w:tcW w:w="1116" w:type="dxa"/>
            <w:tcBorders>
              <w:top w:val="single" w:color="auto" w:sz="12" w:space="0"/>
              <w:left w:val="single" w:color="auto" w:sz="4" w:space="0"/>
              <w:bottom w:val="single" w:color="auto" w:sz="4" w:space="0"/>
              <w:right w:val="single" w:color="auto" w:sz="4" w:space="0"/>
            </w:tcBorders>
            <w:vAlign w:val="center"/>
          </w:tcPr>
          <w:p>
            <w:pPr>
              <w:widowControl/>
              <w:jc w:val="center"/>
              <w:rPr>
                <w:rFonts w:hint="eastAsia" w:ascii="黑体" w:hAnsi="黑体" w:eastAsia="黑体"/>
                <w:b/>
                <w:color w:val="000000"/>
                <w:kern w:val="0"/>
                <w:sz w:val="18"/>
                <w:szCs w:val="18"/>
              </w:rPr>
            </w:pPr>
            <w:r>
              <w:rPr>
                <w:rFonts w:hint="eastAsia" w:ascii="黑体" w:hAnsi="黑体" w:eastAsia="黑体"/>
                <w:b/>
                <w:color w:val="000000"/>
                <w:kern w:val="0"/>
                <w:sz w:val="18"/>
                <w:szCs w:val="18"/>
              </w:rPr>
              <w:t>本期偿还</w:t>
            </w:r>
          </w:p>
          <w:p>
            <w:pPr>
              <w:jc w:val="center"/>
              <w:rPr>
                <w:rFonts w:hint="eastAsia" w:ascii="黑体" w:hAnsi="黑体" w:eastAsia="黑体"/>
                <w:b/>
                <w:sz w:val="18"/>
                <w:szCs w:val="18"/>
              </w:rPr>
            </w:pPr>
            <w:r>
              <w:rPr>
                <w:rFonts w:hint="eastAsia" w:ascii="黑体" w:hAnsi="黑体" w:eastAsia="黑体"/>
                <w:b/>
                <w:color w:val="000000"/>
                <w:kern w:val="0"/>
                <w:sz w:val="18"/>
                <w:szCs w:val="18"/>
              </w:rPr>
              <w:t>本金</w:t>
            </w:r>
          </w:p>
        </w:tc>
        <w:tc>
          <w:tcPr>
            <w:tcW w:w="1116" w:type="dxa"/>
            <w:tcBorders>
              <w:top w:val="single" w:color="auto" w:sz="12" w:space="0"/>
              <w:left w:val="single" w:color="auto" w:sz="4" w:space="0"/>
              <w:bottom w:val="single" w:color="auto" w:sz="4" w:space="0"/>
              <w:right w:val="single" w:color="auto" w:sz="4" w:space="0"/>
            </w:tcBorders>
            <w:vAlign w:val="center"/>
          </w:tcPr>
          <w:p>
            <w:pPr>
              <w:jc w:val="center"/>
              <w:rPr>
                <w:rFonts w:hint="eastAsia" w:ascii="黑体" w:hAnsi="黑体" w:eastAsia="黑体"/>
                <w:b/>
                <w:sz w:val="18"/>
                <w:szCs w:val="18"/>
              </w:rPr>
            </w:pPr>
            <w:r>
              <w:rPr>
                <w:rFonts w:hint="eastAsia" w:ascii="黑体" w:hAnsi="黑体" w:eastAsia="黑体"/>
                <w:b/>
                <w:color w:val="000000"/>
                <w:kern w:val="0"/>
                <w:sz w:val="18"/>
                <w:szCs w:val="18"/>
              </w:rPr>
              <w:t>期末本金余额</w:t>
            </w:r>
          </w:p>
        </w:tc>
        <w:tc>
          <w:tcPr>
            <w:tcW w:w="1117" w:type="dxa"/>
            <w:tcBorders>
              <w:top w:val="single" w:color="auto" w:sz="12" w:space="0"/>
              <w:left w:val="single" w:color="auto" w:sz="4" w:space="0"/>
              <w:bottom w:val="single" w:color="auto" w:sz="4" w:space="0"/>
              <w:right w:val="single" w:color="auto" w:sz="4" w:space="0"/>
            </w:tcBorders>
            <w:vAlign w:val="center"/>
          </w:tcPr>
          <w:p>
            <w:pPr>
              <w:widowControl/>
              <w:jc w:val="center"/>
              <w:rPr>
                <w:rFonts w:hint="eastAsia" w:ascii="黑体" w:hAnsi="黑体" w:eastAsia="黑体"/>
                <w:b/>
                <w:color w:val="000000"/>
                <w:kern w:val="0"/>
                <w:sz w:val="18"/>
                <w:szCs w:val="18"/>
              </w:rPr>
            </w:pPr>
            <w:r>
              <w:rPr>
                <w:rFonts w:hint="eastAsia" w:ascii="黑体" w:hAnsi="黑体" w:eastAsia="黑体"/>
                <w:b/>
                <w:color w:val="000000"/>
                <w:kern w:val="0"/>
                <w:sz w:val="18"/>
                <w:szCs w:val="18"/>
              </w:rPr>
              <w:t>融资</w:t>
            </w:r>
          </w:p>
          <w:p>
            <w:pPr>
              <w:jc w:val="center"/>
              <w:rPr>
                <w:rFonts w:hint="eastAsia" w:ascii="黑体" w:hAnsi="黑体" w:eastAsia="黑体"/>
                <w:b/>
                <w:sz w:val="18"/>
                <w:szCs w:val="18"/>
              </w:rPr>
            </w:pPr>
            <w:r>
              <w:rPr>
                <w:rFonts w:hint="eastAsia" w:ascii="黑体" w:hAnsi="黑体" w:eastAsia="黑体"/>
                <w:b/>
                <w:color w:val="000000"/>
                <w:kern w:val="0"/>
                <w:sz w:val="18"/>
                <w:szCs w:val="18"/>
              </w:rPr>
              <w:t>利率</w:t>
            </w:r>
          </w:p>
        </w:tc>
        <w:tc>
          <w:tcPr>
            <w:tcW w:w="1116" w:type="dxa"/>
            <w:tcBorders>
              <w:top w:val="single" w:color="auto" w:sz="12" w:space="0"/>
              <w:left w:val="single" w:color="auto" w:sz="4" w:space="0"/>
              <w:bottom w:val="single" w:color="auto" w:sz="4" w:space="0"/>
              <w:right w:val="single" w:color="auto" w:sz="4" w:space="0"/>
            </w:tcBorders>
            <w:vAlign w:val="center"/>
          </w:tcPr>
          <w:p>
            <w:pPr>
              <w:widowControl/>
              <w:jc w:val="center"/>
              <w:rPr>
                <w:rFonts w:hint="eastAsia" w:ascii="黑体" w:hAnsi="黑体" w:eastAsia="黑体"/>
                <w:b/>
                <w:color w:val="000000"/>
                <w:kern w:val="0"/>
                <w:sz w:val="18"/>
                <w:szCs w:val="18"/>
              </w:rPr>
            </w:pPr>
            <w:r>
              <w:rPr>
                <w:rFonts w:hint="eastAsia" w:ascii="黑体" w:hAnsi="黑体" w:eastAsia="黑体"/>
                <w:b/>
                <w:color w:val="000000"/>
                <w:kern w:val="0"/>
                <w:sz w:val="18"/>
                <w:szCs w:val="18"/>
              </w:rPr>
              <w:t>应付</w:t>
            </w:r>
          </w:p>
          <w:p>
            <w:pPr>
              <w:jc w:val="center"/>
              <w:rPr>
                <w:rFonts w:hint="eastAsia" w:ascii="黑体" w:hAnsi="黑体" w:eastAsia="黑体"/>
                <w:b/>
                <w:sz w:val="18"/>
                <w:szCs w:val="18"/>
              </w:rPr>
            </w:pPr>
            <w:r>
              <w:rPr>
                <w:rFonts w:hint="eastAsia" w:ascii="黑体" w:hAnsi="黑体" w:eastAsia="黑体"/>
                <w:b/>
                <w:color w:val="000000"/>
                <w:kern w:val="0"/>
                <w:sz w:val="18"/>
                <w:szCs w:val="18"/>
              </w:rPr>
              <w:t>利息</w:t>
            </w:r>
          </w:p>
        </w:tc>
        <w:tc>
          <w:tcPr>
            <w:tcW w:w="1117" w:type="dxa"/>
            <w:tcBorders>
              <w:top w:val="single" w:color="auto" w:sz="12" w:space="0"/>
              <w:left w:val="single" w:color="auto" w:sz="4" w:space="0"/>
              <w:bottom w:val="single" w:color="auto" w:sz="4" w:space="0"/>
              <w:right w:val="nil"/>
            </w:tcBorders>
            <w:vAlign w:val="center"/>
          </w:tcPr>
          <w:p>
            <w:pPr>
              <w:jc w:val="center"/>
              <w:rPr>
                <w:rFonts w:hint="eastAsia" w:ascii="黑体" w:hAnsi="黑体" w:eastAsia="黑体"/>
                <w:b/>
                <w:color w:val="000000"/>
                <w:kern w:val="0"/>
                <w:sz w:val="18"/>
                <w:szCs w:val="18"/>
              </w:rPr>
            </w:pPr>
            <w:r>
              <w:rPr>
                <w:rFonts w:hint="eastAsia" w:ascii="黑体" w:hAnsi="黑体" w:eastAsia="黑体"/>
                <w:b/>
                <w:color w:val="000000"/>
                <w:kern w:val="0"/>
                <w:sz w:val="18"/>
                <w:szCs w:val="18"/>
              </w:rPr>
              <w:t>还本付息</w:t>
            </w:r>
          </w:p>
          <w:p>
            <w:pPr>
              <w:jc w:val="center"/>
              <w:rPr>
                <w:rFonts w:hint="eastAsia" w:ascii="黑体" w:hAnsi="黑体" w:eastAsia="黑体"/>
                <w:b/>
                <w:sz w:val="18"/>
                <w:szCs w:val="18"/>
              </w:rPr>
            </w:pPr>
            <w:r>
              <w:rPr>
                <w:rFonts w:hint="eastAsia" w:ascii="黑体" w:hAnsi="黑体" w:eastAsia="黑体"/>
                <w:b/>
                <w:color w:val="000000"/>
                <w:kern w:val="0"/>
                <w:sz w:val="18"/>
                <w:szCs w:val="18"/>
              </w:rPr>
              <w:t>合计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2025</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1.76%</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7.04</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2026</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1.76%</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14.08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14.08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2027</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1.76%</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14.08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14.08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2028</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1.76%</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14.08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14.08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2029</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1.76%</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14.08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14.08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2030</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1.76%</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14.08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14.08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2031</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1.76%</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14.08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14.08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2032</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1.76%</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14.08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14.08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2033</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1.76%</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14.08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14.08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2034</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1.76%</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14.08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14.08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2035</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1.76%</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7.04</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807.04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12" w:space="0"/>
              <w:right w:val="single" w:color="auto" w:sz="4" w:space="0"/>
            </w:tcBorders>
            <w:vAlign w:val="center"/>
          </w:tcPr>
          <w:p>
            <w:pPr>
              <w:jc w:val="center"/>
              <w:rPr>
                <w:rFonts w:hint="eastAsia" w:ascii="仿宋" w:hAnsi="仿宋" w:eastAsia="仿宋"/>
                <w:sz w:val="18"/>
                <w:szCs w:val="18"/>
              </w:rPr>
            </w:pPr>
            <w:r>
              <w:rPr>
                <w:rFonts w:hint="eastAsia"/>
              </w:rPr>
              <w:t>合计</w:t>
            </w:r>
          </w:p>
        </w:tc>
        <w:tc>
          <w:tcPr>
            <w:tcW w:w="1116"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color w:val="000000"/>
                <w:sz w:val="18"/>
                <w:szCs w:val="18"/>
              </w:rPr>
            </w:pPr>
          </w:p>
        </w:tc>
        <w:tc>
          <w:tcPr>
            <w:tcW w:w="1117"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6"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color w:val="000000"/>
                <w:sz w:val="18"/>
                <w:szCs w:val="18"/>
              </w:rPr>
            </w:pPr>
            <w:r>
              <w:t>800.00</w:t>
            </w:r>
          </w:p>
        </w:tc>
        <w:tc>
          <w:tcPr>
            <w:tcW w:w="1116"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color w:val="000000"/>
                <w:sz w:val="18"/>
                <w:szCs w:val="18"/>
              </w:rPr>
            </w:pPr>
          </w:p>
        </w:tc>
        <w:tc>
          <w:tcPr>
            <w:tcW w:w="1117"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color w:val="000000"/>
                <w:sz w:val="18"/>
                <w:szCs w:val="18"/>
              </w:rPr>
            </w:pPr>
            <w:r>
              <w:t>140.80</w:t>
            </w:r>
          </w:p>
        </w:tc>
        <w:tc>
          <w:tcPr>
            <w:tcW w:w="1117" w:type="dxa"/>
            <w:tcBorders>
              <w:top w:val="single" w:color="auto" w:sz="4" w:space="0"/>
              <w:left w:val="single" w:color="auto" w:sz="4" w:space="0"/>
              <w:bottom w:val="single" w:color="auto" w:sz="12" w:space="0"/>
              <w:right w:val="nil"/>
            </w:tcBorders>
            <w:noWrap/>
            <w:vAlign w:val="center"/>
          </w:tcPr>
          <w:p>
            <w:pPr>
              <w:widowControl/>
              <w:jc w:val="right"/>
              <w:rPr>
                <w:rFonts w:hint="eastAsia" w:ascii="仿宋" w:hAnsi="仿宋" w:eastAsia="仿宋"/>
                <w:color w:val="000000"/>
                <w:sz w:val="18"/>
                <w:szCs w:val="18"/>
              </w:rPr>
            </w:pPr>
            <w:r>
              <w:t>940.80</w:t>
            </w:r>
          </w:p>
        </w:tc>
      </w:tr>
    </w:tbl>
    <w:p>
      <w:pPr>
        <w:overflowPunct w:val="0"/>
        <w:jc w:val="center"/>
        <w:textAlignment w:val="center"/>
        <w:rPr>
          <w:rFonts w:eastAsia="楷体_GB2312" w:cstheme="minorBidi"/>
          <w:sz w:val="32"/>
          <w:szCs w:val="22"/>
        </w:rPr>
      </w:pPr>
      <w:r>
        <w:rPr>
          <w:rFonts w:hint="eastAsia" w:eastAsia="楷体_GB2312" w:cstheme="minorBidi"/>
          <w:sz w:val="32"/>
          <w:szCs w:val="22"/>
        </w:rPr>
        <w:t>表4</w:t>
      </w:r>
      <w:r>
        <w:rPr>
          <w:rFonts w:eastAsia="楷体_GB2312" w:cstheme="minorBidi"/>
          <w:sz w:val="32"/>
          <w:szCs w:val="22"/>
        </w:rPr>
        <w:t xml:space="preserve">-3 </w:t>
      </w:r>
      <w:r>
        <w:rPr>
          <w:rFonts w:hint="eastAsia" w:eastAsia="楷体_GB2312" w:cstheme="minorBidi"/>
          <w:sz w:val="32"/>
          <w:szCs w:val="22"/>
        </w:rPr>
        <w:t>本项目专项债券还本付息情况</w:t>
      </w:r>
      <w:r>
        <w:rPr>
          <w:rFonts w:eastAsia="楷体_GB2312" w:cstheme="minorBidi"/>
          <w:sz w:val="32"/>
          <w:szCs w:val="22"/>
        </w:rPr>
        <w:t>-</w:t>
      </w:r>
      <w:r>
        <w:rPr>
          <w:rFonts w:hint="eastAsia" w:eastAsia="楷体_GB2312" w:cstheme="minorBidi"/>
          <w:sz w:val="32"/>
          <w:szCs w:val="22"/>
        </w:rPr>
        <w:t>后续拟发行（单位：万元）</w:t>
      </w:r>
    </w:p>
    <w:tbl>
      <w:tblPr>
        <w:tblStyle w:val="15"/>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85" w:type="dxa"/>
          <w:bottom w:w="0" w:type="dxa"/>
          <w:right w:w="85" w:type="dxa"/>
        </w:tblCellMar>
      </w:tblPr>
      <w:tblGrid>
        <w:gridCol w:w="1116"/>
        <w:gridCol w:w="1116"/>
        <w:gridCol w:w="1117"/>
        <w:gridCol w:w="1116"/>
        <w:gridCol w:w="1116"/>
        <w:gridCol w:w="1117"/>
        <w:gridCol w:w="1116"/>
        <w:gridCol w:w="111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tblHeader/>
          <w:jc w:val="center"/>
        </w:trPr>
        <w:tc>
          <w:tcPr>
            <w:tcW w:w="1116" w:type="dxa"/>
            <w:tcBorders>
              <w:top w:val="single" w:color="auto" w:sz="12" w:space="0"/>
              <w:left w:val="nil"/>
              <w:bottom w:val="single" w:color="auto" w:sz="4" w:space="0"/>
              <w:right w:val="single" w:color="auto" w:sz="4" w:space="0"/>
            </w:tcBorders>
            <w:vAlign w:val="center"/>
          </w:tcPr>
          <w:p>
            <w:pPr>
              <w:jc w:val="center"/>
              <w:rPr>
                <w:rFonts w:hint="eastAsia" w:ascii="黑体" w:hAnsi="黑体" w:eastAsia="黑体"/>
                <w:b/>
                <w:sz w:val="18"/>
                <w:szCs w:val="18"/>
              </w:rPr>
            </w:pPr>
            <w:r>
              <w:rPr>
                <w:rFonts w:hint="eastAsia" w:ascii="黑体" w:hAnsi="黑体" w:eastAsia="黑体"/>
                <w:b/>
                <w:sz w:val="18"/>
                <w:szCs w:val="18"/>
              </w:rPr>
              <w:t>债券存续期</w:t>
            </w:r>
          </w:p>
        </w:tc>
        <w:tc>
          <w:tcPr>
            <w:tcW w:w="1116" w:type="dxa"/>
            <w:tcBorders>
              <w:top w:val="single" w:color="auto" w:sz="12" w:space="0"/>
              <w:left w:val="single" w:color="auto" w:sz="4" w:space="0"/>
              <w:bottom w:val="single" w:color="auto" w:sz="4" w:space="0"/>
              <w:right w:val="single" w:color="auto" w:sz="4" w:space="0"/>
            </w:tcBorders>
            <w:vAlign w:val="center"/>
          </w:tcPr>
          <w:p>
            <w:pPr>
              <w:jc w:val="center"/>
              <w:rPr>
                <w:rFonts w:hint="eastAsia" w:ascii="黑体" w:hAnsi="黑体" w:eastAsia="黑体"/>
                <w:b/>
                <w:sz w:val="18"/>
                <w:szCs w:val="18"/>
              </w:rPr>
            </w:pPr>
            <w:r>
              <w:rPr>
                <w:rFonts w:hint="eastAsia" w:ascii="黑体" w:hAnsi="黑体" w:eastAsia="黑体"/>
                <w:b/>
                <w:color w:val="000000"/>
                <w:kern w:val="0"/>
                <w:sz w:val="18"/>
                <w:szCs w:val="18"/>
              </w:rPr>
              <w:t>期初本金余额</w:t>
            </w:r>
          </w:p>
        </w:tc>
        <w:tc>
          <w:tcPr>
            <w:tcW w:w="1117" w:type="dxa"/>
            <w:tcBorders>
              <w:top w:val="single" w:color="auto" w:sz="12" w:space="0"/>
              <w:left w:val="single" w:color="auto" w:sz="4" w:space="0"/>
              <w:bottom w:val="single" w:color="auto" w:sz="4" w:space="0"/>
              <w:right w:val="single" w:color="auto" w:sz="4" w:space="0"/>
            </w:tcBorders>
            <w:vAlign w:val="center"/>
          </w:tcPr>
          <w:p>
            <w:pPr>
              <w:widowControl/>
              <w:jc w:val="center"/>
              <w:rPr>
                <w:rFonts w:hint="eastAsia" w:ascii="黑体" w:hAnsi="黑体" w:eastAsia="黑体"/>
                <w:b/>
                <w:color w:val="000000"/>
                <w:kern w:val="0"/>
                <w:sz w:val="18"/>
                <w:szCs w:val="18"/>
              </w:rPr>
            </w:pPr>
            <w:r>
              <w:rPr>
                <w:rFonts w:hint="eastAsia" w:ascii="黑体" w:hAnsi="黑体" w:eastAsia="黑体"/>
                <w:b/>
                <w:color w:val="000000"/>
                <w:kern w:val="0"/>
                <w:sz w:val="18"/>
                <w:szCs w:val="18"/>
              </w:rPr>
              <w:t>本期增加</w:t>
            </w:r>
          </w:p>
          <w:p>
            <w:pPr>
              <w:jc w:val="center"/>
              <w:rPr>
                <w:rFonts w:hint="eastAsia" w:ascii="黑体" w:hAnsi="黑体" w:eastAsia="黑体"/>
                <w:b/>
                <w:sz w:val="18"/>
                <w:szCs w:val="18"/>
              </w:rPr>
            </w:pPr>
            <w:r>
              <w:rPr>
                <w:rFonts w:hint="eastAsia" w:ascii="黑体" w:hAnsi="黑体" w:eastAsia="黑体"/>
                <w:b/>
                <w:color w:val="000000"/>
                <w:kern w:val="0"/>
                <w:sz w:val="18"/>
                <w:szCs w:val="18"/>
              </w:rPr>
              <w:t>金额</w:t>
            </w:r>
          </w:p>
        </w:tc>
        <w:tc>
          <w:tcPr>
            <w:tcW w:w="1116" w:type="dxa"/>
            <w:tcBorders>
              <w:top w:val="single" w:color="auto" w:sz="12" w:space="0"/>
              <w:left w:val="single" w:color="auto" w:sz="4" w:space="0"/>
              <w:bottom w:val="single" w:color="auto" w:sz="4" w:space="0"/>
              <w:right w:val="single" w:color="auto" w:sz="4" w:space="0"/>
            </w:tcBorders>
            <w:vAlign w:val="center"/>
          </w:tcPr>
          <w:p>
            <w:pPr>
              <w:widowControl/>
              <w:jc w:val="center"/>
              <w:rPr>
                <w:rFonts w:hint="eastAsia" w:ascii="黑体" w:hAnsi="黑体" w:eastAsia="黑体"/>
                <w:b/>
                <w:color w:val="000000"/>
                <w:kern w:val="0"/>
                <w:sz w:val="18"/>
                <w:szCs w:val="18"/>
              </w:rPr>
            </w:pPr>
            <w:r>
              <w:rPr>
                <w:rFonts w:hint="eastAsia" w:ascii="黑体" w:hAnsi="黑体" w:eastAsia="黑体"/>
                <w:b/>
                <w:color w:val="000000"/>
                <w:kern w:val="0"/>
                <w:sz w:val="18"/>
                <w:szCs w:val="18"/>
              </w:rPr>
              <w:t>本期偿还</w:t>
            </w:r>
          </w:p>
          <w:p>
            <w:pPr>
              <w:jc w:val="center"/>
              <w:rPr>
                <w:rFonts w:hint="eastAsia" w:ascii="黑体" w:hAnsi="黑体" w:eastAsia="黑体"/>
                <w:b/>
                <w:sz w:val="18"/>
                <w:szCs w:val="18"/>
              </w:rPr>
            </w:pPr>
            <w:r>
              <w:rPr>
                <w:rFonts w:hint="eastAsia" w:ascii="黑体" w:hAnsi="黑体" w:eastAsia="黑体"/>
                <w:b/>
                <w:color w:val="000000"/>
                <w:kern w:val="0"/>
                <w:sz w:val="18"/>
                <w:szCs w:val="18"/>
              </w:rPr>
              <w:t>本金</w:t>
            </w:r>
          </w:p>
        </w:tc>
        <w:tc>
          <w:tcPr>
            <w:tcW w:w="1116" w:type="dxa"/>
            <w:tcBorders>
              <w:top w:val="single" w:color="auto" w:sz="12" w:space="0"/>
              <w:left w:val="single" w:color="auto" w:sz="4" w:space="0"/>
              <w:bottom w:val="single" w:color="auto" w:sz="4" w:space="0"/>
              <w:right w:val="single" w:color="auto" w:sz="4" w:space="0"/>
            </w:tcBorders>
            <w:vAlign w:val="center"/>
          </w:tcPr>
          <w:p>
            <w:pPr>
              <w:jc w:val="center"/>
              <w:rPr>
                <w:rFonts w:hint="eastAsia" w:ascii="黑体" w:hAnsi="黑体" w:eastAsia="黑体"/>
                <w:b/>
                <w:sz w:val="18"/>
                <w:szCs w:val="18"/>
              </w:rPr>
            </w:pPr>
            <w:r>
              <w:rPr>
                <w:rFonts w:hint="eastAsia" w:ascii="黑体" w:hAnsi="黑体" w:eastAsia="黑体"/>
                <w:b/>
                <w:color w:val="000000"/>
                <w:kern w:val="0"/>
                <w:sz w:val="18"/>
                <w:szCs w:val="18"/>
              </w:rPr>
              <w:t>期末本金余额</w:t>
            </w:r>
          </w:p>
        </w:tc>
        <w:tc>
          <w:tcPr>
            <w:tcW w:w="1117" w:type="dxa"/>
            <w:tcBorders>
              <w:top w:val="single" w:color="auto" w:sz="12" w:space="0"/>
              <w:left w:val="single" w:color="auto" w:sz="4" w:space="0"/>
              <w:bottom w:val="single" w:color="auto" w:sz="4" w:space="0"/>
              <w:right w:val="single" w:color="auto" w:sz="4" w:space="0"/>
            </w:tcBorders>
            <w:vAlign w:val="center"/>
          </w:tcPr>
          <w:p>
            <w:pPr>
              <w:widowControl/>
              <w:jc w:val="center"/>
              <w:rPr>
                <w:rFonts w:hint="eastAsia" w:ascii="黑体" w:hAnsi="黑体" w:eastAsia="黑体"/>
                <w:b/>
                <w:color w:val="000000"/>
                <w:kern w:val="0"/>
                <w:sz w:val="18"/>
                <w:szCs w:val="18"/>
              </w:rPr>
            </w:pPr>
            <w:r>
              <w:rPr>
                <w:rFonts w:hint="eastAsia" w:ascii="黑体" w:hAnsi="黑体" w:eastAsia="黑体"/>
                <w:b/>
                <w:color w:val="000000"/>
                <w:kern w:val="0"/>
                <w:sz w:val="18"/>
                <w:szCs w:val="18"/>
              </w:rPr>
              <w:t>融资</w:t>
            </w:r>
          </w:p>
          <w:p>
            <w:pPr>
              <w:jc w:val="center"/>
              <w:rPr>
                <w:rFonts w:hint="eastAsia" w:ascii="黑体" w:hAnsi="黑体" w:eastAsia="黑体"/>
                <w:b/>
                <w:sz w:val="18"/>
                <w:szCs w:val="18"/>
              </w:rPr>
            </w:pPr>
            <w:r>
              <w:rPr>
                <w:rFonts w:hint="eastAsia" w:ascii="黑体" w:hAnsi="黑体" w:eastAsia="黑体"/>
                <w:b/>
                <w:color w:val="000000"/>
                <w:kern w:val="0"/>
                <w:sz w:val="18"/>
                <w:szCs w:val="18"/>
              </w:rPr>
              <w:t>利率</w:t>
            </w:r>
          </w:p>
        </w:tc>
        <w:tc>
          <w:tcPr>
            <w:tcW w:w="1116" w:type="dxa"/>
            <w:tcBorders>
              <w:top w:val="single" w:color="auto" w:sz="12" w:space="0"/>
              <w:left w:val="single" w:color="auto" w:sz="4" w:space="0"/>
              <w:bottom w:val="single" w:color="auto" w:sz="4" w:space="0"/>
              <w:right w:val="single" w:color="auto" w:sz="4" w:space="0"/>
            </w:tcBorders>
            <w:vAlign w:val="center"/>
          </w:tcPr>
          <w:p>
            <w:pPr>
              <w:widowControl/>
              <w:jc w:val="center"/>
              <w:rPr>
                <w:rFonts w:hint="eastAsia" w:ascii="黑体" w:hAnsi="黑体" w:eastAsia="黑体"/>
                <w:b/>
                <w:color w:val="000000"/>
                <w:kern w:val="0"/>
                <w:sz w:val="18"/>
                <w:szCs w:val="18"/>
              </w:rPr>
            </w:pPr>
            <w:r>
              <w:rPr>
                <w:rFonts w:hint="eastAsia" w:ascii="黑体" w:hAnsi="黑体" w:eastAsia="黑体"/>
                <w:b/>
                <w:color w:val="000000"/>
                <w:kern w:val="0"/>
                <w:sz w:val="18"/>
                <w:szCs w:val="18"/>
              </w:rPr>
              <w:t>应付</w:t>
            </w:r>
          </w:p>
          <w:p>
            <w:pPr>
              <w:jc w:val="center"/>
              <w:rPr>
                <w:rFonts w:hint="eastAsia" w:ascii="黑体" w:hAnsi="黑体" w:eastAsia="黑体"/>
                <w:b/>
                <w:sz w:val="18"/>
                <w:szCs w:val="18"/>
              </w:rPr>
            </w:pPr>
            <w:r>
              <w:rPr>
                <w:rFonts w:hint="eastAsia" w:ascii="黑体" w:hAnsi="黑体" w:eastAsia="黑体"/>
                <w:b/>
                <w:color w:val="000000"/>
                <w:kern w:val="0"/>
                <w:sz w:val="18"/>
                <w:szCs w:val="18"/>
              </w:rPr>
              <w:t>利息</w:t>
            </w:r>
          </w:p>
        </w:tc>
        <w:tc>
          <w:tcPr>
            <w:tcW w:w="1117" w:type="dxa"/>
            <w:tcBorders>
              <w:top w:val="single" w:color="auto" w:sz="12" w:space="0"/>
              <w:left w:val="single" w:color="auto" w:sz="4" w:space="0"/>
              <w:bottom w:val="single" w:color="auto" w:sz="4" w:space="0"/>
              <w:right w:val="nil"/>
            </w:tcBorders>
            <w:vAlign w:val="center"/>
          </w:tcPr>
          <w:p>
            <w:pPr>
              <w:jc w:val="center"/>
              <w:rPr>
                <w:rFonts w:hint="eastAsia" w:ascii="黑体" w:hAnsi="黑体" w:eastAsia="黑体"/>
                <w:b/>
                <w:color w:val="000000"/>
                <w:kern w:val="0"/>
                <w:sz w:val="18"/>
                <w:szCs w:val="18"/>
              </w:rPr>
            </w:pPr>
            <w:r>
              <w:rPr>
                <w:rFonts w:hint="eastAsia" w:ascii="黑体" w:hAnsi="黑体" w:eastAsia="黑体"/>
                <w:b/>
                <w:color w:val="000000"/>
                <w:kern w:val="0"/>
                <w:sz w:val="18"/>
                <w:szCs w:val="18"/>
              </w:rPr>
              <w:t>还本付息</w:t>
            </w:r>
          </w:p>
          <w:p>
            <w:pPr>
              <w:jc w:val="center"/>
              <w:rPr>
                <w:rFonts w:hint="eastAsia" w:ascii="黑体" w:hAnsi="黑体" w:eastAsia="黑体"/>
                <w:b/>
                <w:sz w:val="18"/>
                <w:szCs w:val="18"/>
              </w:rPr>
            </w:pPr>
            <w:r>
              <w:rPr>
                <w:rFonts w:hint="eastAsia" w:ascii="黑体" w:hAnsi="黑体" w:eastAsia="黑体"/>
                <w:b/>
                <w:color w:val="000000"/>
                <w:kern w:val="0"/>
                <w:sz w:val="18"/>
                <w:szCs w:val="18"/>
              </w:rPr>
              <w:t>合计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2026</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361.49</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361.49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2027</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2028</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2029</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2030</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2031</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2032</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2033</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2034</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2035</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2036</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2037</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2038</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2039</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2040</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2041</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2042</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2043</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2044</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2045</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722.98</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sz w:val="18"/>
                <w:szCs w:val="18"/>
              </w:rPr>
            </w:pPr>
            <w:r>
              <w:t>2046</w:t>
            </w:r>
            <w:r>
              <w:rPr>
                <w:rFonts w:hint="eastAsia"/>
              </w:rPr>
              <w:t>年</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22,593.00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p>
        </w:tc>
        <w:tc>
          <w:tcPr>
            <w:tcW w:w="1117"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3.20%</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 w:hAnsi="仿宋" w:eastAsia="仿宋"/>
                <w:color w:val="000000"/>
                <w:sz w:val="18"/>
                <w:szCs w:val="18"/>
              </w:rPr>
            </w:pPr>
            <w:r>
              <w:t>361.49</w:t>
            </w:r>
          </w:p>
        </w:tc>
        <w:tc>
          <w:tcPr>
            <w:tcW w:w="1117" w:type="dxa"/>
            <w:tcBorders>
              <w:top w:val="single" w:color="auto" w:sz="4" w:space="0"/>
              <w:left w:val="single" w:color="auto" w:sz="4" w:space="0"/>
              <w:bottom w:val="single" w:color="auto" w:sz="4" w:space="0"/>
              <w:right w:val="nil"/>
            </w:tcBorders>
            <w:noWrap/>
            <w:vAlign w:val="center"/>
          </w:tcPr>
          <w:p>
            <w:pPr>
              <w:widowControl/>
              <w:jc w:val="right"/>
              <w:rPr>
                <w:rFonts w:hint="eastAsia" w:ascii="仿宋" w:hAnsi="仿宋" w:eastAsia="仿宋"/>
                <w:color w:val="000000"/>
                <w:sz w:val="18"/>
                <w:szCs w:val="18"/>
              </w:rPr>
            </w:pPr>
            <w:r>
              <w:t>22,954.49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85" w:type="dxa"/>
            <w:bottom w:w="0" w:type="dxa"/>
            <w:right w:w="85" w:type="dxa"/>
          </w:tblCellMar>
        </w:tblPrEx>
        <w:trPr>
          <w:trHeight w:val="397" w:hRule="atLeast"/>
          <w:jc w:val="center"/>
        </w:trPr>
        <w:tc>
          <w:tcPr>
            <w:tcW w:w="1116" w:type="dxa"/>
            <w:tcBorders>
              <w:top w:val="single" w:color="auto" w:sz="4" w:space="0"/>
              <w:left w:val="nil"/>
              <w:bottom w:val="single" w:color="auto" w:sz="12" w:space="0"/>
              <w:right w:val="single" w:color="auto" w:sz="4" w:space="0"/>
            </w:tcBorders>
            <w:vAlign w:val="center"/>
          </w:tcPr>
          <w:p>
            <w:pPr>
              <w:jc w:val="center"/>
              <w:rPr>
                <w:rFonts w:hint="eastAsia" w:ascii="仿宋" w:hAnsi="仿宋" w:eastAsia="仿宋"/>
                <w:b/>
                <w:sz w:val="18"/>
                <w:szCs w:val="18"/>
              </w:rPr>
            </w:pPr>
            <w:r>
              <w:t xml:space="preserve"> </w:t>
            </w:r>
            <w:r>
              <w:rPr>
                <w:rFonts w:hint="eastAsia"/>
              </w:rPr>
              <w:t>合计</w:t>
            </w:r>
            <w:r>
              <w:t xml:space="preserve"> </w:t>
            </w:r>
          </w:p>
        </w:tc>
        <w:tc>
          <w:tcPr>
            <w:tcW w:w="1116"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b/>
                <w:color w:val="000000"/>
                <w:sz w:val="18"/>
                <w:szCs w:val="18"/>
              </w:rPr>
            </w:pPr>
          </w:p>
        </w:tc>
        <w:tc>
          <w:tcPr>
            <w:tcW w:w="1117"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b/>
                <w:color w:val="000000"/>
                <w:sz w:val="18"/>
                <w:szCs w:val="18"/>
              </w:rPr>
            </w:pPr>
            <w:r>
              <w:t>22,593.00</w:t>
            </w:r>
          </w:p>
        </w:tc>
        <w:tc>
          <w:tcPr>
            <w:tcW w:w="1116"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b/>
                <w:color w:val="000000"/>
                <w:sz w:val="18"/>
                <w:szCs w:val="18"/>
              </w:rPr>
            </w:pPr>
            <w:r>
              <w:t>22,593.00</w:t>
            </w:r>
          </w:p>
        </w:tc>
        <w:tc>
          <w:tcPr>
            <w:tcW w:w="1116"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b/>
                <w:color w:val="000000"/>
                <w:sz w:val="18"/>
                <w:szCs w:val="18"/>
              </w:rPr>
            </w:pPr>
          </w:p>
        </w:tc>
        <w:tc>
          <w:tcPr>
            <w:tcW w:w="1117"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b/>
                <w:color w:val="000000"/>
                <w:sz w:val="18"/>
                <w:szCs w:val="18"/>
              </w:rPr>
            </w:pPr>
          </w:p>
        </w:tc>
        <w:tc>
          <w:tcPr>
            <w:tcW w:w="1116" w:type="dxa"/>
            <w:tcBorders>
              <w:top w:val="single" w:color="auto" w:sz="4" w:space="0"/>
              <w:left w:val="single" w:color="auto" w:sz="4" w:space="0"/>
              <w:bottom w:val="single" w:color="auto" w:sz="12" w:space="0"/>
              <w:right w:val="single" w:color="auto" w:sz="4" w:space="0"/>
            </w:tcBorders>
            <w:vAlign w:val="center"/>
          </w:tcPr>
          <w:p>
            <w:pPr>
              <w:widowControl/>
              <w:jc w:val="right"/>
              <w:rPr>
                <w:rFonts w:hint="eastAsia" w:ascii="仿宋" w:hAnsi="仿宋" w:eastAsia="仿宋"/>
                <w:b/>
                <w:color w:val="000000"/>
                <w:sz w:val="18"/>
                <w:szCs w:val="18"/>
              </w:rPr>
            </w:pPr>
            <w:r>
              <w:t>14,459.52</w:t>
            </w:r>
          </w:p>
        </w:tc>
        <w:tc>
          <w:tcPr>
            <w:tcW w:w="1117" w:type="dxa"/>
            <w:tcBorders>
              <w:top w:val="single" w:color="auto" w:sz="4" w:space="0"/>
              <w:left w:val="single" w:color="auto" w:sz="4" w:space="0"/>
              <w:bottom w:val="single" w:color="auto" w:sz="12" w:space="0"/>
              <w:right w:val="nil"/>
            </w:tcBorders>
            <w:noWrap/>
            <w:vAlign w:val="center"/>
          </w:tcPr>
          <w:p>
            <w:pPr>
              <w:widowControl/>
              <w:jc w:val="right"/>
              <w:rPr>
                <w:rFonts w:hint="eastAsia" w:ascii="仿宋" w:hAnsi="仿宋" w:eastAsia="仿宋"/>
                <w:b/>
                <w:color w:val="000000"/>
                <w:sz w:val="18"/>
                <w:szCs w:val="18"/>
              </w:rPr>
            </w:pPr>
            <w:r>
              <w:t>37,052.52</w:t>
            </w:r>
          </w:p>
        </w:tc>
      </w:tr>
    </w:tbl>
    <w:p>
      <w:pPr>
        <w:pStyle w:val="33"/>
        <w:tabs>
          <w:tab w:val="center" w:pos="4252"/>
        </w:tabs>
        <w:jc w:val="both"/>
      </w:pPr>
      <w:r>
        <w:rPr>
          <w:rFonts w:hint="eastAsia"/>
        </w:rPr>
        <w:t>表4</w:t>
      </w:r>
      <w:r>
        <w:t>-4</w:t>
      </w:r>
      <w:r>
        <w:rPr>
          <w:rFonts w:hint="eastAsia"/>
        </w:rPr>
        <w:t>本项目专项债券还本付息情况</w:t>
      </w:r>
      <w:r>
        <w:t>-</w:t>
      </w:r>
      <w:r>
        <w:rPr>
          <w:rFonts w:hint="eastAsia"/>
        </w:rPr>
        <w:t>发债合计（单位：万元）</w:t>
      </w:r>
    </w:p>
    <w:tbl>
      <w:tblPr>
        <w:tblStyle w:val="15"/>
        <w:tblpPr w:leftFromText="180" w:rightFromText="180" w:vertAnchor="text" w:horzAnchor="page" w:tblpXSpec="center" w:tblpY="286"/>
        <w:tblOverlap w:val="never"/>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247"/>
        <w:gridCol w:w="1247"/>
        <w:gridCol w:w="1247"/>
        <w:gridCol w:w="1247"/>
        <w:gridCol w:w="1247"/>
        <w:gridCol w:w="124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247" w:type="dxa"/>
            <w:tcBorders>
              <w:top w:val="single" w:color="auto" w:sz="12" w:space="0"/>
              <w:left w:val="nil"/>
              <w:bottom w:val="single" w:color="auto" w:sz="4"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债券存续期</w:t>
            </w:r>
          </w:p>
        </w:tc>
        <w:tc>
          <w:tcPr>
            <w:tcW w:w="1247" w:type="dxa"/>
            <w:tcBorders>
              <w:top w:val="single" w:color="auto" w:sz="12"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期初本金余额</w:t>
            </w:r>
          </w:p>
        </w:tc>
        <w:tc>
          <w:tcPr>
            <w:tcW w:w="1247" w:type="dxa"/>
            <w:tcBorders>
              <w:top w:val="single" w:color="auto" w:sz="12"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本期增加金额</w:t>
            </w:r>
          </w:p>
        </w:tc>
        <w:tc>
          <w:tcPr>
            <w:tcW w:w="1247" w:type="dxa"/>
            <w:tcBorders>
              <w:top w:val="single" w:color="auto" w:sz="12"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本期偿还金额</w:t>
            </w:r>
          </w:p>
        </w:tc>
        <w:tc>
          <w:tcPr>
            <w:tcW w:w="1247" w:type="dxa"/>
            <w:tcBorders>
              <w:top w:val="single" w:color="auto" w:sz="12"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期末本金余额</w:t>
            </w:r>
          </w:p>
        </w:tc>
        <w:tc>
          <w:tcPr>
            <w:tcW w:w="1247" w:type="dxa"/>
            <w:tcBorders>
              <w:top w:val="single" w:color="auto" w:sz="12"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应付利息</w:t>
            </w:r>
          </w:p>
        </w:tc>
        <w:tc>
          <w:tcPr>
            <w:tcW w:w="1247" w:type="dxa"/>
            <w:tcBorders>
              <w:top w:val="single" w:color="auto" w:sz="12" w:space="0"/>
              <w:left w:val="single" w:color="auto" w:sz="4" w:space="0"/>
              <w:bottom w:val="single" w:color="auto" w:sz="4" w:space="0"/>
              <w:right w:val="nil"/>
            </w:tcBorders>
            <w:vAlign w:val="center"/>
          </w:tcPr>
          <w:p>
            <w:pPr>
              <w:jc w:val="center"/>
              <w:textAlignment w:val="center"/>
              <w:rPr>
                <w:rFonts w:hint="eastAsia" w:ascii="黑体" w:hAnsi="黑体" w:eastAsia="黑体" w:cs="仿宋_GB2312"/>
                <w:b/>
                <w:bCs/>
                <w:sz w:val="18"/>
                <w:szCs w:val="18"/>
              </w:rPr>
            </w:pPr>
            <w:r>
              <w:rPr>
                <w:rFonts w:hint="eastAsia" w:ascii="黑体" w:hAnsi="黑体" w:eastAsia="黑体" w:cs="仿宋_GB2312"/>
                <w:b/>
                <w:bCs/>
                <w:sz w:val="18"/>
                <w:szCs w:val="18"/>
              </w:rPr>
              <w:t>还本付息合计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2024</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Cs/>
                <w:sz w:val="18"/>
                <w:szCs w:val="18"/>
              </w:rP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Cs/>
                <w:sz w:val="18"/>
                <w:szCs w:val="18"/>
              </w:rPr>
            </w:pPr>
            <w:r>
              <w:t>2,000.00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Cs/>
                <w:sz w:val="18"/>
                <w:szCs w:val="18"/>
              </w:rP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Cs/>
                <w:sz w:val="18"/>
                <w:szCs w:val="18"/>
              </w:rPr>
            </w:pPr>
            <w:r>
              <w:t>2,000.00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Cs/>
                <w:sz w:val="18"/>
                <w:szCs w:val="18"/>
              </w:rPr>
            </w:pPr>
          </w:p>
        </w:tc>
        <w:tc>
          <w:tcPr>
            <w:tcW w:w="1247" w:type="dxa"/>
            <w:tcBorders>
              <w:top w:val="single" w:color="auto" w:sz="4" w:space="0"/>
              <w:left w:val="single" w:color="auto" w:sz="4" w:space="0"/>
              <w:bottom w:val="single" w:color="auto" w:sz="4" w:space="0"/>
              <w:right w:val="nil"/>
            </w:tcBorders>
            <w:vAlign w:val="center"/>
          </w:tcPr>
          <w:p>
            <w:pPr>
              <w:jc w:val="center"/>
              <w:textAlignment w:val="center"/>
              <w:rPr>
                <w:rFonts w:hint="eastAsia" w:ascii="黑体" w:hAnsi="黑体" w:eastAsia="黑体" w:cs="仿宋_GB2312"/>
                <w:bCs/>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2025</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Cs/>
                <w:sz w:val="18"/>
                <w:szCs w:val="18"/>
              </w:rPr>
            </w:pPr>
            <w:r>
              <w:t>2,000.00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Cs/>
                <w:sz w:val="18"/>
                <w:szCs w:val="18"/>
              </w:rPr>
            </w:pPr>
            <w:r>
              <w:t>800.00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Cs/>
                <w:sz w:val="18"/>
                <w:szCs w:val="18"/>
              </w:rP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Cs/>
                <w:sz w:val="18"/>
                <w:szCs w:val="18"/>
              </w:rPr>
            </w:pPr>
            <w:r>
              <w:t>2,800.00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黑体" w:hAnsi="黑体" w:eastAsia="黑体" w:cs="仿宋_GB2312"/>
                <w:bCs/>
                <w:sz w:val="18"/>
                <w:szCs w:val="18"/>
              </w:rPr>
            </w:pPr>
            <w:r>
              <w:t>50.44</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rPr>
                <w:rFonts w:hint="eastAsia" w:ascii="黑体" w:hAnsi="黑体" w:eastAsia="黑体" w:cs="仿宋_GB2312"/>
                <w:bCs/>
                <w:sz w:val="18"/>
                <w:szCs w:val="18"/>
              </w:rPr>
            </w:pPr>
            <w:r>
              <w:t>50.44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2026</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2,800.00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418.97</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418.97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2027</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780.46</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780.46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2028</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780.46</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780.46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2029</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780.46</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780.46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2030</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780.46</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780.46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2031</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780.46</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780.46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2032</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780.46</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780.46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2033</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780.46</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780.46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2034</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25,393.00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2,000.00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23,393.00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780.46</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2,780.46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2035</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23,393.00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800.00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730.02</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1,530.02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2036</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722.98</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2037</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722.98</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2038</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722.98</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2039</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722.98</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2040</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722.98</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2041</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722.98</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2042</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722.98</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2043</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722.98</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2044</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722.98</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2045</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722.98</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4" w:space="0"/>
              <w:right w:val="single" w:color="auto" w:sz="4" w:space="0"/>
            </w:tcBorders>
            <w:vAlign w:val="center"/>
          </w:tcPr>
          <w:p>
            <w:pPr>
              <w:jc w:val="center"/>
              <w:rPr>
                <w:bCs/>
              </w:rPr>
            </w:pPr>
            <w:r>
              <w:rPr>
                <w:bCs/>
              </w:rPr>
              <w:t>2046</w:t>
            </w:r>
            <w:r>
              <w:rPr>
                <w:rFonts w:hint="eastAsia"/>
                <w:bCs/>
              </w:rPr>
              <w:t>年</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22,593.00</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textAlignment w:val="center"/>
            </w:pPr>
            <w:r>
              <w:t>361.49</w:t>
            </w:r>
          </w:p>
        </w:tc>
        <w:tc>
          <w:tcPr>
            <w:tcW w:w="1247" w:type="dxa"/>
            <w:tcBorders>
              <w:top w:val="single" w:color="auto" w:sz="4" w:space="0"/>
              <w:left w:val="single" w:color="auto" w:sz="4" w:space="0"/>
              <w:bottom w:val="single" w:color="auto" w:sz="4" w:space="0"/>
              <w:right w:val="nil"/>
            </w:tcBorders>
            <w:vAlign w:val="center"/>
          </w:tcPr>
          <w:p>
            <w:pPr>
              <w:jc w:val="center"/>
              <w:textAlignment w:val="center"/>
            </w:pPr>
            <w:r>
              <w:t>22,954.49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7" w:type="dxa"/>
            <w:tcBorders>
              <w:top w:val="single" w:color="auto" w:sz="4" w:space="0"/>
              <w:left w:val="nil"/>
              <w:bottom w:val="single" w:color="auto" w:sz="12" w:space="0"/>
              <w:right w:val="single" w:color="auto" w:sz="4" w:space="0"/>
            </w:tcBorders>
            <w:vAlign w:val="center"/>
          </w:tcPr>
          <w:p>
            <w:pPr>
              <w:jc w:val="center"/>
              <w:rPr>
                <w:bCs/>
              </w:rPr>
            </w:pPr>
            <w:r>
              <w:rPr>
                <w:rFonts w:hint="eastAsia"/>
                <w:bCs/>
              </w:rPr>
              <w:t>合计</w:t>
            </w:r>
          </w:p>
        </w:tc>
        <w:tc>
          <w:tcPr>
            <w:tcW w:w="1247" w:type="dxa"/>
            <w:tcBorders>
              <w:top w:val="single" w:color="auto" w:sz="4" w:space="0"/>
              <w:left w:val="single" w:color="auto" w:sz="4" w:space="0"/>
              <w:bottom w:val="single" w:color="auto" w:sz="12" w:space="0"/>
              <w:right w:val="single" w:color="auto" w:sz="4" w:space="0"/>
            </w:tcBorders>
            <w:vAlign w:val="center"/>
          </w:tcPr>
          <w:p>
            <w:pPr>
              <w:jc w:val="center"/>
              <w:textAlignment w:val="center"/>
              <w:rPr>
                <w:b/>
              </w:rPr>
            </w:pPr>
          </w:p>
        </w:tc>
        <w:tc>
          <w:tcPr>
            <w:tcW w:w="1247" w:type="dxa"/>
            <w:tcBorders>
              <w:top w:val="single" w:color="auto" w:sz="4" w:space="0"/>
              <w:left w:val="single" w:color="auto" w:sz="4" w:space="0"/>
              <w:bottom w:val="single" w:color="auto" w:sz="12" w:space="0"/>
              <w:right w:val="single" w:color="auto" w:sz="4" w:space="0"/>
            </w:tcBorders>
            <w:vAlign w:val="center"/>
          </w:tcPr>
          <w:p>
            <w:pPr>
              <w:jc w:val="center"/>
              <w:textAlignment w:val="center"/>
              <w:rPr>
                <w:b/>
              </w:rPr>
            </w:pPr>
            <w:r>
              <w:t>25,393.00</w:t>
            </w:r>
          </w:p>
        </w:tc>
        <w:tc>
          <w:tcPr>
            <w:tcW w:w="1247" w:type="dxa"/>
            <w:tcBorders>
              <w:top w:val="single" w:color="auto" w:sz="4" w:space="0"/>
              <w:left w:val="single" w:color="auto" w:sz="4" w:space="0"/>
              <w:bottom w:val="single" w:color="auto" w:sz="12" w:space="0"/>
              <w:right w:val="single" w:color="auto" w:sz="4" w:space="0"/>
            </w:tcBorders>
            <w:vAlign w:val="center"/>
          </w:tcPr>
          <w:p>
            <w:pPr>
              <w:jc w:val="center"/>
              <w:textAlignment w:val="center"/>
              <w:rPr>
                <w:b/>
              </w:rPr>
            </w:pPr>
            <w:r>
              <w:t>25,393.00</w:t>
            </w:r>
          </w:p>
        </w:tc>
        <w:tc>
          <w:tcPr>
            <w:tcW w:w="1247" w:type="dxa"/>
            <w:tcBorders>
              <w:top w:val="single" w:color="auto" w:sz="4" w:space="0"/>
              <w:left w:val="single" w:color="auto" w:sz="4" w:space="0"/>
              <w:bottom w:val="single" w:color="auto" w:sz="12" w:space="0"/>
              <w:right w:val="single" w:color="auto" w:sz="4" w:space="0"/>
            </w:tcBorders>
            <w:vAlign w:val="center"/>
          </w:tcPr>
          <w:p>
            <w:pPr>
              <w:jc w:val="center"/>
              <w:textAlignment w:val="center"/>
              <w:rPr>
                <w:b/>
              </w:rPr>
            </w:pPr>
          </w:p>
        </w:tc>
        <w:tc>
          <w:tcPr>
            <w:tcW w:w="1247" w:type="dxa"/>
            <w:tcBorders>
              <w:top w:val="single" w:color="auto" w:sz="4" w:space="0"/>
              <w:left w:val="single" w:color="auto" w:sz="4" w:space="0"/>
              <w:bottom w:val="single" w:color="auto" w:sz="12" w:space="0"/>
              <w:right w:val="single" w:color="auto" w:sz="4" w:space="0"/>
            </w:tcBorders>
            <w:vAlign w:val="center"/>
          </w:tcPr>
          <w:p>
            <w:pPr>
              <w:jc w:val="center"/>
              <w:textAlignment w:val="center"/>
              <w:rPr>
                <w:b/>
              </w:rPr>
            </w:pPr>
            <w:r>
              <w:t>15,034.32</w:t>
            </w:r>
          </w:p>
        </w:tc>
        <w:tc>
          <w:tcPr>
            <w:tcW w:w="1247" w:type="dxa"/>
            <w:tcBorders>
              <w:top w:val="single" w:color="auto" w:sz="4" w:space="0"/>
              <w:left w:val="single" w:color="auto" w:sz="4" w:space="0"/>
              <w:bottom w:val="single" w:color="auto" w:sz="12" w:space="0"/>
              <w:right w:val="nil"/>
            </w:tcBorders>
            <w:vAlign w:val="center"/>
          </w:tcPr>
          <w:p>
            <w:pPr>
              <w:jc w:val="center"/>
              <w:textAlignment w:val="center"/>
              <w:rPr>
                <w:b/>
              </w:rPr>
            </w:pPr>
            <w:r>
              <w:t>40,427.32</w:t>
            </w:r>
          </w:p>
        </w:tc>
      </w:tr>
      <w:bookmarkEnd w:id="31"/>
    </w:tbl>
    <w:p>
      <w:pPr>
        <w:pStyle w:val="4"/>
        <w:ind w:firstLine="640"/>
      </w:pPr>
      <w:bookmarkStart w:id="32" w:name="_Toc39820845"/>
      <w:bookmarkStart w:id="33" w:name="_Toc28935659"/>
      <w:r>
        <w:rPr>
          <w:rFonts w:hint="eastAsia"/>
        </w:rPr>
        <w:t>（四）</w:t>
      </w:r>
      <w:bookmarkEnd w:id="32"/>
      <w:bookmarkEnd w:id="33"/>
      <w:bookmarkStart w:id="34" w:name="_Hlk200637715"/>
      <w:r>
        <w:rPr>
          <w:rFonts w:hint="eastAsia"/>
        </w:rPr>
        <w:t>项目资金测算平衡表</w:t>
      </w:r>
    </w:p>
    <w:bookmarkEnd w:id="34"/>
    <w:p>
      <w:pPr>
        <w:pStyle w:val="33"/>
      </w:pPr>
      <w:bookmarkStart w:id="35" w:name="_Toc39820847"/>
    </w:p>
    <w:p>
      <w:pPr>
        <w:pStyle w:val="33"/>
        <w:sectPr>
          <w:pgSz w:w="11906" w:h="16838"/>
          <w:pgMar w:top="2041" w:right="1701" w:bottom="2041" w:left="1701" w:header="851" w:footer="1361" w:gutter="0"/>
          <w:pgNumType w:start="1"/>
          <w:cols w:space="425" w:num="1"/>
          <w:docGrid w:type="lines" w:linePitch="312" w:charSpace="0"/>
        </w:sectPr>
      </w:pPr>
    </w:p>
    <w:p>
      <w:pPr>
        <w:pStyle w:val="33"/>
      </w:pPr>
      <w:bookmarkStart w:id="36" w:name="OLE_LINK22"/>
      <w:r>
        <w:rPr>
          <w:rFonts w:hint="eastAsia"/>
        </w:rPr>
        <w:t>表5  项目资金测算平衡表（单位：万元）</w:t>
      </w:r>
    </w:p>
    <w:tbl>
      <w:tblPr>
        <w:tblStyle w:val="1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1219"/>
        <w:gridCol w:w="1181"/>
        <w:gridCol w:w="1129"/>
        <w:gridCol w:w="1129"/>
        <w:gridCol w:w="1129"/>
        <w:gridCol w:w="1129"/>
        <w:gridCol w:w="1129"/>
        <w:gridCol w:w="1129"/>
        <w:gridCol w:w="112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50" w:hRule="atLeast"/>
        </w:trPr>
        <w:tc>
          <w:tcPr>
            <w:tcW w:w="1029" w:type="pct"/>
            <w:tcBorders>
              <w:top w:val="single" w:color="auto" w:sz="12" w:space="0"/>
            </w:tcBorders>
            <w:vAlign w:val="center"/>
          </w:tcPr>
          <w:p>
            <w:pPr>
              <w:jc w:val="center"/>
              <w:rPr>
                <w:rFonts w:hint="eastAsia" w:ascii="黑体" w:hAnsi="黑体" w:eastAsia="黑体" w:cs="仿宋_GB2312"/>
                <w:sz w:val="18"/>
                <w:szCs w:val="18"/>
              </w:rPr>
            </w:pPr>
            <w:r>
              <w:rPr>
                <w:rFonts w:hint="eastAsia" w:ascii="黑体" w:hAnsi="黑体" w:eastAsia="黑体" w:cs="仿宋_GB2312"/>
                <w:sz w:val="18"/>
                <w:szCs w:val="18"/>
              </w:rPr>
              <w:t>项目/年度</w:t>
            </w:r>
          </w:p>
        </w:tc>
        <w:tc>
          <w:tcPr>
            <w:tcW w:w="470" w:type="pct"/>
            <w:tcBorders>
              <w:top w:val="single" w:color="auto" w:sz="12"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公式</w:t>
            </w:r>
          </w:p>
        </w:tc>
        <w:tc>
          <w:tcPr>
            <w:tcW w:w="455" w:type="pct"/>
            <w:tcBorders>
              <w:top w:val="single" w:color="auto" w:sz="12"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合计</w:t>
            </w:r>
          </w:p>
        </w:tc>
        <w:tc>
          <w:tcPr>
            <w:tcW w:w="435" w:type="pct"/>
            <w:tcBorders>
              <w:top w:val="single" w:color="auto" w:sz="12"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2</w:t>
            </w:r>
            <w:r>
              <w:rPr>
                <w:rFonts w:ascii="黑体" w:hAnsi="黑体" w:eastAsia="黑体" w:cs="仿宋_GB2312"/>
                <w:color w:val="000000"/>
                <w:sz w:val="18"/>
                <w:szCs w:val="18"/>
              </w:rPr>
              <w:t>024</w:t>
            </w:r>
            <w:r>
              <w:rPr>
                <w:rFonts w:hint="eastAsia" w:ascii="黑体" w:hAnsi="黑体" w:eastAsia="黑体" w:cs="仿宋_GB2312"/>
                <w:color w:val="000000"/>
                <w:sz w:val="18"/>
                <w:szCs w:val="18"/>
              </w:rPr>
              <w:t>年</w:t>
            </w:r>
          </w:p>
        </w:tc>
        <w:tc>
          <w:tcPr>
            <w:tcW w:w="435" w:type="pct"/>
            <w:tcBorders>
              <w:top w:val="single" w:color="auto" w:sz="12"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2</w:t>
            </w:r>
            <w:r>
              <w:rPr>
                <w:rFonts w:ascii="黑体" w:hAnsi="黑体" w:eastAsia="黑体" w:cs="仿宋_GB2312"/>
                <w:color w:val="000000"/>
                <w:sz w:val="18"/>
                <w:szCs w:val="18"/>
              </w:rPr>
              <w:t>025</w:t>
            </w:r>
            <w:r>
              <w:rPr>
                <w:rFonts w:hint="eastAsia" w:ascii="黑体" w:hAnsi="黑体" w:eastAsia="黑体" w:cs="仿宋_GB2312"/>
                <w:color w:val="000000"/>
                <w:sz w:val="18"/>
                <w:szCs w:val="18"/>
              </w:rPr>
              <w:t>年</w:t>
            </w:r>
          </w:p>
        </w:tc>
        <w:tc>
          <w:tcPr>
            <w:tcW w:w="435" w:type="pct"/>
            <w:tcBorders>
              <w:top w:val="single" w:color="auto" w:sz="12"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2</w:t>
            </w:r>
            <w:r>
              <w:rPr>
                <w:rFonts w:ascii="黑体" w:hAnsi="黑体" w:eastAsia="黑体" w:cs="仿宋_GB2312"/>
                <w:color w:val="000000"/>
                <w:sz w:val="18"/>
                <w:szCs w:val="18"/>
              </w:rPr>
              <w:t>026</w:t>
            </w:r>
            <w:r>
              <w:rPr>
                <w:rFonts w:hint="eastAsia" w:ascii="黑体" w:hAnsi="黑体" w:eastAsia="黑体" w:cs="仿宋_GB2312"/>
                <w:color w:val="000000"/>
                <w:sz w:val="18"/>
                <w:szCs w:val="18"/>
              </w:rPr>
              <w:t>年</w:t>
            </w:r>
          </w:p>
        </w:tc>
        <w:tc>
          <w:tcPr>
            <w:tcW w:w="435" w:type="pct"/>
            <w:tcBorders>
              <w:top w:val="single" w:color="auto" w:sz="12"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2027年</w:t>
            </w:r>
          </w:p>
        </w:tc>
        <w:tc>
          <w:tcPr>
            <w:tcW w:w="435" w:type="pct"/>
            <w:tcBorders>
              <w:top w:val="single" w:color="auto" w:sz="12"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2</w:t>
            </w:r>
            <w:r>
              <w:rPr>
                <w:rFonts w:ascii="黑体" w:hAnsi="黑体" w:eastAsia="黑体" w:cs="仿宋_GB2312"/>
                <w:color w:val="000000"/>
                <w:sz w:val="18"/>
                <w:szCs w:val="18"/>
              </w:rPr>
              <w:t>028</w:t>
            </w:r>
            <w:r>
              <w:rPr>
                <w:rFonts w:hint="eastAsia" w:ascii="黑体" w:hAnsi="黑体" w:eastAsia="黑体" w:cs="仿宋_GB2312"/>
                <w:color w:val="000000"/>
                <w:sz w:val="18"/>
                <w:szCs w:val="18"/>
              </w:rPr>
              <w:t>年</w:t>
            </w:r>
          </w:p>
        </w:tc>
        <w:tc>
          <w:tcPr>
            <w:tcW w:w="435" w:type="pct"/>
            <w:tcBorders>
              <w:top w:val="single" w:color="auto" w:sz="12"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2</w:t>
            </w:r>
            <w:r>
              <w:rPr>
                <w:rFonts w:ascii="黑体" w:hAnsi="黑体" w:eastAsia="黑体" w:cs="仿宋_GB2312"/>
                <w:color w:val="000000"/>
                <w:sz w:val="18"/>
                <w:szCs w:val="18"/>
              </w:rPr>
              <w:t>029</w:t>
            </w:r>
            <w:r>
              <w:rPr>
                <w:rFonts w:hint="eastAsia" w:ascii="黑体" w:hAnsi="黑体" w:eastAsia="黑体" w:cs="仿宋_GB2312"/>
                <w:color w:val="000000"/>
                <w:sz w:val="18"/>
                <w:szCs w:val="18"/>
              </w:rPr>
              <w:t>年</w:t>
            </w:r>
          </w:p>
        </w:tc>
        <w:tc>
          <w:tcPr>
            <w:tcW w:w="435" w:type="pct"/>
            <w:tcBorders>
              <w:top w:val="single" w:color="auto" w:sz="12"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2</w:t>
            </w:r>
            <w:r>
              <w:rPr>
                <w:rFonts w:ascii="黑体" w:hAnsi="黑体" w:eastAsia="黑体" w:cs="仿宋_GB2312"/>
                <w:color w:val="000000"/>
                <w:sz w:val="18"/>
                <w:szCs w:val="18"/>
              </w:rPr>
              <w:t>030</w:t>
            </w:r>
            <w:r>
              <w:rPr>
                <w:rFonts w:hint="eastAsia" w:ascii="黑体" w:hAnsi="黑体" w:eastAsia="黑体" w:cs="仿宋_GB2312"/>
                <w:color w:val="000000"/>
                <w:sz w:val="18"/>
                <w:szCs w:val="18"/>
              </w:rPr>
              <w:t>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tcBorders>
              <w:top w:val="single" w:color="auto" w:sz="8" w:space="0"/>
            </w:tcBorders>
            <w:vAlign w:val="center"/>
          </w:tcPr>
          <w:p>
            <w:pPr>
              <w:rPr>
                <w:rFonts w:hint="eastAsia" w:ascii="宋体" w:hAnsi="宋体" w:cs="仿宋_GB2312"/>
                <w:sz w:val="18"/>
                <w:szCs w:val="18"/>
              </w:rPr>
            </w:pPr>
            <w:r>
              <w:rPr>
                <w:rFonts w:hint="eastAsia" w:ascii="宋体" w:hAnsi="宋体" w:cs="仿宋_GB2312"/>
                <w:sz w:val="18"/>
                <w:szCs w:val="18"/>
              </w:rPr>
              <w:t>一、经营活动产生的现金</w:t>
            </w:r>
          </w:p>
        </w:tc>
        <w:tc>
          <w:tcPr>
            <w:tcW w:w="470" w:type="pct"/>
            <w:tcBorders>
              <w:top w:val="single" w:color="auto" w:sz="8" w:space="0"/>
            </w:tcBorders>
            <w:vAlign w:val="center"/>
          </w:tcPr>
          <w:p>
            <w:pPr>
              <w:jc w:val="center"/>
              <w:rPr>
                <w:rFonts w:hint="eastAsia" w:ascii="宋体" w:hAnsi="宋体" w:cs="仿宋_GB2312"/>
                <w:sz w:val="18"/>
                <w:szCs w:val="18"/>
              </w:rPr>
            </w:pPr>
            <w:r>
              <w:rPr>
                <w:rFonts w:hint="eastAsia" w:ascii="宋体" w:hAnsi="宋体" w:cs="仿宋_GB2312"/>
                <w:sz w:val="18"/>
                <w:szCs w:val="18"/>
              </w:rPr>
              <w:t>—</w:t>
            </w:r>
          </w:p>
        </w:tc>
        <w:tc>
          <w:tcPr>
            <w:tcW w:w="455" w:type="pct"/>
            <w:tcBorders>
              <w:top w:val="single" w:color="auto" w:sz="8" w:space="0"/>
            </w:tcBorders>
            <w:vAlign w:val="center"/>
          </w:tcPr>
          <w:p>
            <w:pPr>
              <w:jc w:val="right"/>
              <w:rPr>
                <w:sz w:val="20"/>
              </w:rPr>
            </w:pPr>
          </w:p>
        </w:tc>
        <w:tc>
          <w:tcPr>
            <w:tcW w:w="435" w:type="pct"/>
            <w:tcBorders>
              <w:top w:val="single" w:color="auto" w:sz="8" w:space="0"/>
            </w:tcBorders>
            <w:vAlign w:val="center"/>
          </w:tcPr>
          <w:p>
            <w:pPr>
              <w:jc w:val="right"/>
              <w:rPr>
                <w:sz w:val="20"/>
              </w:rPr>
            </w:pPr>
          </w:p>
        </w:tc>
        <w:tc>
          <w:tcPr>
            <w:tcW w:w="435" w:type="pct"/>
            <w:tcBorders>
              <w:top w:val="single" w:color="auto" w:sz="8" w:space="0"/>
            </w:tcBorders>
            <w:shd w:val="clear" w:color="auto" w:fill="auto"/>
            <w:vAlign w:val="center"/>
          </w:tcPr>
          <w:p>
            <w:pPr>
              <w:jc w:val="right"/>
              <w:rPr>
                <w:sz w:val="20"/>
              </w:rPr>
            </w:pPr>
          </w:p>
        </w:tc>
        <w:tc>
          <w:tcPr>
            <w:tcW w:w="435" w:type="pct"/>
            <w:tcBorders>
              <w:top w:val="single" w:color="auto" w:sz="8" w:space="0"/>
            </w:tcBorders>
            <w:shd w:val="clear" w:color="auto" w:fill="auto"/>
            <w:vAlign w:val="center"/>
          </w:tcPr>
          <w:p>
            <w:pPr>
              <w:jc w:val="right"/>
              <w:rPr>
                <w:sz w:val="20"/>
              </w:rPr>
            </w:pPr>
          </w:p>
        </w:tc>
        <w:tc>
          <w:tcPr>
            <w:tcW w:w="435" w:type="pct"/>
            <w:tcBorders>
              <w:top w:val="single" w:color="auto" w:sz="8" w:space="0"/>
            </w:tcBorders>
            <w:shd w:val="clear" w:color="auto" w:fill="auto"/>
            <w:vAlign w:val="center"/>
          </w:tcPr>
          <w:p>
            <w:pPr>
              <w:jc w:val="right"/>
              <w:rPr>
                <w:sz w:val="20"/>
              </w:rPr>
            </w:pPr>
          </w:p>
        </w:tc>
        <w:tc>
          <w:tcPr>
            <w:tcW w:w="435" w:type="pct"/>
            <w:tcBorders>
              <w:top w:val="single" w:color="auto" w:sz="8" w:space="0"/>
            </w:tcBorders>
          </w:tcPr>
          <w:p>
            <w:pPr>
              <w:jc w:val="right"/>
              <w:rPr>
                <w:sz w:val="20"/>
              </w:rPr>
            </w:pPr>
          </w:p>
        </w:tc>
        <w:tc>
          <w:tcPr>
            <w:tcW w:w="435" w:type="pct"/>
            <w:tcBorders>
              <w:top w:val="single" w:color="auto" w:sz="8" w:space="0"/>
            </w:tcBorders>
          </w:tcPr>
          <w:p>
            <w:pPr>
              <w:jc w:val="right"/>
              <w:rPr>
                <w:sz w:val="20"/>
              </w:rPr>
            </w:pPr>
          </w:p>
        </w:tc>
        <w:tc>
          <w:tcPr>
            <w:tcW w:w="435" w:type="pct"/>
            <w:tcBorders>
              <w:top w:val="single" w:color="auto" w:sz="8" w:space="0"/>
            </w:tcBorders>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经营活动收入</w:t>
            </w:r>
          </w:p>
        </w:tc>
        <w:tc>
          <w:tcPr>
            <w:tcW w:w="470" w:type="pct"/>
            <w:vAlign w:val="center"/>
          </w:tcPr>
          <w:p>
            <w:pPr>
              <w:jc w:val="center"/>
              <w:rPr>
                <w:rFonts w:hint="eastAsia" w:ascii="宋体" w:hAnsi="宋体" w:cs="仿宋_GB2312"/>
                <w:sz w:val="18"/>
                <w:szCs w:val="18"/>
              </w:rPr>
            </w:pPr>
            <w:r>
              <w:rPr>
                <w:rFonts w:ascii="宋体" w:hAnsi="宋体" w:cs="仿宋_GB2312"/>
                <w:sz w:val="18"/>
                <w:szCs w:val="18"/>
              </w:rPr>
              <w:t>A</w:t>
            </w:r>
          </w:p>
        </w:tc>
        <w:tc>
          <w:tcPr>
            <w:tcW w:w="455" w:type="pct"/>
          </w:tcPr>
          <w:p>
            <w:pPr>
              <w:jc w:val="right"/>
              <w:rPr>
                <w:sz w:val="20"/>
              </w:rPr>
            </w:pPr>
            <w:r>
              <w:rPr>
                <w:sz w:val="20"/>
              </w:rPr>
              <w:t>428,928.53</w:t>
            </w:r>
          </w:p>
        </w:tc>
        <w:tc>
          <w:tcPr>
            <w:tcW w:w="435" w:type="pct"/>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r>
              <w:rPr>
                <w:sz w:val="20"/>
              </w:rPr>
              <w:t>3,729.81</w:t>
            </w:r>
          </w:p>
        </w:tc>
        <w:tc>
          <w:tcPr>
            <w:tcW w:w="435" w:type="pct"/>
          </w:tcPr>
          <w:p>
            <w:pPr>
              <w:jc w:val="right"/>
              <w:rPr>
                <w:sz w:val="20"/>
              </w:rPr>
            </w:pPr>
            <w:r>
              <w:rPr>
                <w:sz w:val="20"/>
              </w:rPr>
              <w:t>22,378.88</w:t>
            </w:r>
          </w:p>
        </w:tc>
        <w:tc>
          <w:tcPr>
            <w:tcW w:w="435" w:type="pct"/>
          </w:tcPr>
          <w:p>
            <w:pPr>
              <w:jc w:val="right"/>
              <w:rPr>
                <w:sz w:val="20"/>
              </w:rPr>
            </w:pPr>
            <w:r>
              <w:rPr>
                <w:sz w:val="20"/>
              </w:rPr>
              <w:t>22,378.88</w:t>
            </w:r>
          </w:p>
        </w:tc>
        <w:tc>
          <w:tcPr>
            <w:tcW w:w="435" w:type="pct"/>
          </w:tcPr>
          <w:p>
            <w:pPr>
              <w:jc w:val="right"/>
              <w:rPr>
                <w:sz w:val="20"/>
              </w:rPr>
            </w:pPr>
            <w:r>
              <w:rPr>
                <w:sz w:val="20"/>
              </w:rPr>
              <w:t>22,378.88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经营活动支出</w:t>
            </w:r>
          </w:p>
        </w:tc>
        <w:tc>
          <w:tcPr>
            <w:tcW w:w="470" w:type="pct"/>
            <w:vAlign w:val="center"/>
          </w:tcPr>
          <w:p>
            <w:pPr>
              <w:jc w:val="center"/>
              <w:rPr>
                <w:rFonts w:hint="eastAsia" w:ascii="宋体" w:hAnsi="宋体" w:cs="仿宋_GB2312"/>
                <w:sz w:val="18"/>
                <w:szCs w:val="18"/>
              </w:rPr>
            </w:pPr>
            <w:r>
              <w:rPr>
                <w:rFonts w:ascii="宋体" w:hAnsi="宋体" w:cs="仿宋_GB2312"/>
                <w:sz w:val="18"/>
                <w:szCs w:val="18"/>
              </w:rPr>
              <w:t>B</w:t>
            </w:r>
          </w:p>
        </w:tc>
        <w:tc>
          <w:tcPr>
            <w:tcW w:w="455" w:type="pct"/>
          </w:tcPr>
          <w:p>
            <w:pPr>
              <w:jc w:val="right"/>
              <w:rPr>
                <w:sz w:val="20"/>
              </w:rPr>
            </w:pPr>
            <w:r>
              <w:rPr>
                <w:sz w:val="20"/>
              </w:rPr>
              <w:t>348,780.05</w:t>
            </w:r>
          </w:p>
        </w:tc>
        <w:tc>
          <w:tcPr>
            <w:tcW w:w="435" w:type="pct"/>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r>
              <w:rPr>
                <w:sz w:val="20"/>
              </w:rPr>
              <w:t>3,032.87</w:t>
            </w:r>
          </w:p>
        </w:tc>
        <w:tc>
          <w:tcPr>
            <w:tcW w:w="435" w:type="pct"/>
          </w:tcPr>
          <w:p>
            <w:pPr>
              <w:jc w:val="right"/>
              <w:rPr>
                <w:sz w:val="20"/>
              </w:rPr>
            </w:pPr>
            <w:r>
              <w:rPr>
                <w:sz w:val="20"/>
              </w:rPr>
              <w:t>18,197.22</w:t>
            </w:r>
          </w:p>
        </w:tc>
        <w:tc>
          <w:tcPr>
            <w:tcW w:w="435" w:type="pct"/>
          </w:tcPr>
          <w:p>
            <w:pPr>
              <w:jc w:val="right"/>
              <w:rPr>
                <w:sz w:val="20"/>
              </w:rPr>
            </w:pPr>
            <w:r>
              <w:rPr>
                <w:sz w:val="20"/>
              </w:rPr>
              <w:t>18,197.22</w:t>
            </w:r>
          </w:p>
        </w:tc>
        <w:tc>
          <w:tcPr>
            <w:tcW w:w="435" w:type="pct"/>
          </w:tcPr>
          <w:p>
            <w:pPr>
              <w:jc w:val="right"/>
              <w:rPr>
                <w:sz w:val="20"/>
              </w:rPr>
            </w:pPr>
            <w:r>
              <w:rPr>
                <w:sz w:val="20"/>
              </w:rPr>
              <w:t>18,197.22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支付的各项税费</w:t>
            </w:r>
          </w:p>
        </w:tc>
        <w:tc>
          <w:tcPr>
            <w:tcW w:w="470" w:type="pct"/>
            <w:shd w:val="clear" w:color="000000" w:fill="FFFFFF"/>
            <w:vAlign w:val="center"/>
          </w:tcPr>
          <w:p>
            <w:pPr>
              <w:jc w:val="center"/>
              <w:rPr>
                <w:rFonts w:hint="eastAsia" w:ascii="宋体" w:hAnsi="宋体" w:cs="仿宋_GB2312"/>
                <w:sz w:val="18"/>
                <w:szCs w:val="18"/>
              </w:rPr>
            </w:pPr>
            <w:r>
              <w:rPr>
                <w:rFonts w:hint="eastAsia" w:ascii="宋体" w:hAnsi="宋体" w:cs="仿宋_GB2312"/>
                <w:sz w:val="18"/>
                <w:szCs w:val="18"/>
              </w:rPr>
              <w:t>C</w:t>
            </w:r>
          </w:p>
        </w:tc>
        <w:tc>
          <w:tcPr>
            <w:tcW w:w="455" w:type="pct"/>
            <w:shd w:val="clear" w:color="000000" w:fill="FFFFFF"/>
          </w:tcPr>
          <w:p>
            <w:pPr>
              <w:jc w:val="right"/>
              <w:rPr>
                <w:sz w:val="20"/>
              </w:rPr>
            </w:pPr>
            <w:r>
              <w:rPr>
                <w:sz w:val="20"/>
              </w:rPr>
              <w:t>3,596.71</w:t>
            </w: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r>
              <w:rPr>
                <w:sz w:val="20"/>
              </w:rPr>
              <w:t>257.96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经营活动现金净流量</w:t>
            </w:r>
          </w:p>
        </w:tc>
        <w:tc>
          <w:tcPr>
            <w:tcW w:w="470" w:type="pct"/>
            <w:vAlign w:val="center"/>
          </w:tcPr>
          <w:p>
            <w:pPr>
              <w:jc w:val="center"/>
              <w:rPr>
                <w:rFonts w:hint="eastAsia" w:ascii="宋体" w:hAnsi="宋体" w:cs="仿宋_GB2312"/>
                <w:sz w:val="18"/>
                <w:szCs w:val="18"/>
              </w:rPr>
            </w:pPr>
            <w:r>
              <w:rPr>
                <w:rFonts w:hint="eastAsia" w:ascii="宋体" w:hAnsi="宋体" w:cs="仿宋_GB2312"/>
                <w:sz w:val="18"/>
                <w:szCs w:val="18"/>
              </w:rPr>
              <w:t>D</w:t>
            </w:r>
            <w:r>
              <w:rPr>
                <w:rFonts w:ascii="宋体" w:hAnsi="宋体" w:cs="仿宋_GB2312"/>
                <w:sz w:val="18"/>
                <w:szCs w:val="18"/>
              </w:rPr>
              <w:t>=A-B-C</w:t>
            </w:r>
          </w:p>
        </w:tc>
        <w:tc>
          <w:tcPr>
            <w:tcW w:w="455" w:type="pct"/>
          </w:tcPr>
          <w:p>
            <w:pPr>
              <w:jc w:val="right"/>
              <w:rPr>
                <w:sz w:val="20"/>
              </w:rPr>
            </w:pPr>
            <w:r>
              <w:rPr>
                <w:sz w:val="20"/>
              </w:rPr>
              <w:t>76,551.77</w:t>
            </w:r>
          </w:p>
        </w:tc>
        <w:tc>
          <w:tcPr>
            <w:tcW w:w="435" w:type="pct"/>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r>
              <w:rPr>
                <w:sz w:val="20"/>
              </w:rPr>
              <w:t>696.94</w:t>
            </w:r>
          </w:p>
        </w:tc>
        <w:tc>
          <w:tcPr>
            <w:tcW w:w="435" w:type="pct"/>
          </w:tcPr>
          <w:p>
            <w:pPr>
              <w:jc w:val="right"/>
              <w:rPr>
                <w:sz w:val="20"/>
              </w:rPr>
            </w:pPr>
            <w:r>
              <w:rPr>
                <w:sz w:val="20"/>
              </w:rPr>
              <w:t>4,181.66</w:t>
            </w:r>
          </w:p>
        </w:tc>
        <w:tc>
          <w:tcPr>
            <w:tcW w:w="435" w:type="pct"/>
          </w:tcPr>
          <w:p>
            <w:pPr>
              <w:jc w:val="right"/>
              <w:rPr>
                <w:sz w:val="20"/>
              </w:rPr>
            </w:pPr>
            <w:r>
              <w:rPr>
                <w:sz w:val="20"/>
              </w:rPr>
              <w:t>4,181.66</w:t>
            </w:r>
          </w:p>
        </w:tc>
        <w:tc>
          <w:tcPr>
            <w:tcW w:w="435" w:type="pct"/>
          </w:tcPr>
          <w:p>
            <w:pPr>
              <w:jc w:val="right"/>
              <w:rPr>
                <w:sz w:val="20"/>
              </w:rPr>
            </w:pPr>
            <w:r>
              <w:rPr>
                <w:sz w:val="20"/>
              </w:rPr>
              <w:t>3,923.70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rPr>
                <w:rFonts w:hint="eastAsia" w:ascii="宋体" w:hAnsi="宋体" w:cs="仿宋_GB2312"/>
                <w:sz w:val="18"/>
                <w:szCs w:val="18"/>
              </w:rPr>
            </w:pPr>
            <w:r>
              <w:rPr>
                <w:rFonts w:hint="eastAsia" w:ascii="宋体" w:hAnsi="宋体" w:cs="仿宋_GB2312"/>
                <w:sz w:val="18"/>
                <w:szCs w:val="18"/>
              </w:rPr>
              <w:t>二、投资活动产生的现金</w:t>
            </w:r>
          </w:p>
        </w:tc>
        <w:tc>
          <w:tcPr>
            <w:tcW w:w="470" w:type="pct"/>
            <w:vAlign w:val="center"/>
          </w:tcPr>
          <w:p>
            <w:pPr>
              <w:jc w:val="center"/>
              <w:rPr>
                <w:rFonts w:hint="eastAsia" w:ascii="宋体" w:hAnsi="宋体" w:cs="仿宋_GB2312"/>
                <w:sz w:val="18"/>
                <w:szCs w:val="18"/>
              </w:rPr>
            </w:pPr>
            <w:r>
              <w:rPr>
                <w:rFonts w:hint="eastAsia" w:ascii="宋体" w:hAnsi="宋体" w:cs="仿宋_GB2312"/>
                <w:sz w:val="18"/>
                <w:szCs w:val="18"/>
              </w:rPr>
              <w:t>—</w:t>
            </w:r>
          </w:p>
        </w:tc>
        <w:tc>
          <w:tcPr>
            <w:tcW w:w="455" w:type="pct"/>
          </w:tcPr>
          <w:p>
            <w:pPr>
              <w:jc w:val="right"/>
              <w:rPr>
                <w:sz w:val="20"/>
              </w:rPr>
            </w:pPr>
          </w:p>
        </w:tc>
        <w:tc>
          <w:tcPr>
            <w:tcW w:w="435" w:type="pct"/>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tcPr>
          <w:p>
            <w:pPr>
              <w:jc w:val="right"/>
              <w:rPr>
                <w:sz w:val="20"/>
              </w:rPr>
            </w:pPr>
          </w:p>
        </w:tc>
        <w:tc>
          <w:tcPr>
            <w:tcW w:w="435" w:type="pct"/>
          </w:tcPr>
          <w:p>
            <w:pPr>
              <w:jc w:val="right"/>
              <w:rPr>
                <w:sz w:val="20"/>
              </w:rPr>
            </w:pPr>
          </w:p>
        </w:tc>
        <w:tc>
          <w:tcPr>
            <w:tcW w:w="435"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建设成本支出</w:t>
            </w:r>
          </w:p>
        </w:tc>
        <w:tc>
          <w:tcPr>
            <w:tcW w:w="470" w:type="pct"/>
            <w:vAlign w:val="center"/>
          </w:tcPr>
          <w:p>
            <w:pPr>
              <w:jc w:val="center"/>
              <w:rPr>
                <w:rFonts w:hint="eastAsia" w:ascii="宋体" w:hAnsi="宋体" w:cs="仿宋_GB2312"/>
                <w:sz w:val="18"/>
                <w:szCs w:val="18"/>
              </w:rPr>
            </w:pPr>
            <w:r>
              <w:rPr>
                <w:rFonts w:hint="eastAsia" w:ascii="宋体" w:hAnsi="宋体" w:cs="仿宋_GB2312"/>
                <w:sz w:val="18"/>
                <w:szCs w:val="18"/>
              </w:rPr>
              <w:t>E</w:t>
            </w:r>
          </w:p>
        </w:tc>
        <w:tc>
          <w:tcPr>
            <w:tcW w:w="455" w:type="pct"/>
          </w:tcPr>
          <w:p>
            <w:pPr>
              <w:jc w:val="right"/>
              <w:rPr>
                <w:sz w:val="20"/>
              </w:rPr>
            </w:pPr>
            <w:r>
              <w:rPr>
                <w:sz w:val="20"/>
              </w:rPr>
              <w:t>40,142.70</w:t>
            </w:r>
          </w:p>
        </w:tc>
        <w:tc>
          <w:tcPr>
            <w:tcW w:w="435" w:type="pct"/>
          </w:tcPr>
          <w:p>
            <w:pPr>
              <w:widowControl/>
              <w:jc w:val="right"/>
              <w:rPr>
                <w:color w:val="000000"/>
                <w:kern w:val="0"/>
                <w:sz w:val="20"/>
              </w:rPr>
            </w:pPr>
            <w:r>
              <w:rPr>
                <w:sz w:val="20"/>
              </w:rPr>
              <w:t>4,000.00</w:t>
            </w:r>
          </w:p>
        </w:tc>
        <w:tc>
          <w:tcPr>
            <w:tcW w:w="435" w:type="pct"/>
            <w:shd w:val="clear" w:color="auto" w:fill="auto"/>
          </w:tcPr>
          <w:p>
            <w:pPr>
              <w:jc w:val="right"/>
              <w:rPr>
                <w:sz w:val="20"/>
              </w:rPr>
            </w:pPr>
            <w:r>
              <w:rPr>
                <w:sz w:val="20"/>
              </w:rPr>
              <w:t>9,749.12</w:t>
            </w:r>
          </w:p>
        </w:tc>
        <w:tc>
          <w:tcPr>
            <w:tcW w:w="435" w:type="pct"/>
            <w:shd w:val="clear" w:color="auto" w:fill="auto"/>
          </w:tcPr>
          <w:p>
            <w:pPr>
              <w:jc w:val="right"/>
              <w:rPr>
                <w:sz w:val="20"/>
              </w:rPr>
            </w:pPr>
            <w:r>
              <w:rPr>
                <w:sz w:val="20"/>
              </w:rPr>
              <w:t>25,174.03</w:t>
            </w:r>
          </w:p>
        </w:tc>
        <w:tc>
          <w:tcPr>
            <w:tcW w:w="435" w:type="pct"/>
            <w:shd w:val="clear" w:color="auto" w:fill="auto"/>
          </w:tcPr>
          <w:p>
            <w:pPr>
              <w:jc w:val="right"/>
              <w:rPr>
                <w:sz w:val="20"/>
              </w:rPr>
            </w:pPr>
            <w:r>
              <w:rPr>
                <w:sz w:val="20"/>
              </w:rPr>
              <w:t>1,219.54</w:t>
            </w:r>
          </w:p>
        </w:tc>
        <w:tc>
          <w:tcPr>
            <w:tcW w:w="435" w:type="pct"/>
          </w:tcPr>
          <w:p>
            <w:pPr>
              <w:jc w:val="right"/>
              <w:rPr>
                <w:sz w:val="20"/>
              </w:rPr>
            </w:pPr>
          </w:p>
        </w:tc>
        <w:tc>
          <w:tcPr>
            <w:tcW w:w="435" w:type="pct"/>
          </w:tcPr>
          <w:p>
            <w:pPr>
              <w:jc w:val="right"/>
              <w:rPr>
                <w:sz w:val="20"/>
              </w:rPr>
            </w:pPr>
          </w:p>
        </w:tc>
        <w:tc>
          <w:tcPr>
            <w:tcW w:w="435"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流动资金支出</w:t>
            </w:r>
          </w:p>
        </w:tc>
        <w:tc>
          <w:tcPr>
            <w:tcW w:w="470" w:type="pct"/>
            <w:vAlign w:val="center"/>
          </w:tcPr>
          <w:p>
            <w:pPr>
              <w:jc w:val="center"/>
              <w:rPr>
                <w:rFonts w:hint="eastAsia" w:ascii="宋体" w:hAnsi="宋体" w:cs="仿宋_GB2312"/>
                <w:sz w:val="18"/>
                <w:szCs w:val="18"/>
              </w:rPr>
            </w:pPr>
            <w:r>
              <w:rPr>
                <w:rFonts w:hint="eastAsia" w:ascii="宋体" w:hAnsi="宋体" w:cs="仿宋_GB2312"/>
                <w:sz w:val="18"/>
                <w:szCs w:val="18"/>
              </w:rPr>
              <w:t>F</w:t>
            </w:r>
          </w:p>
        </w:tc>
        <w:tc>
          <w:tcPr>
            <w:tcW w:w="455" w:type="pct"/>
          </w:tcPr>
          <w:p>
            <w:pPr>
              <w:jc w:val="right"/>
              <w:rPr>
                <w:sz w:val="20"/>
              </w:rPr>
            </w:pPr>
          </w:p>
        </w:tc>
        <w:tc>
          <w:tcPr>
            <w:tcW w:w="435" w:type="pct"/>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tcPr>
          <w:p>
            <w:pPr>
              <w:jc w:val="right"/>
              <w:rPr>
                <w:sz w:val="20"/>
              </w:rPr>
            </w:pPr>
          </w:p>
        </w:tc>
        <w:tc>
          <w:tcPr>
            <w:tcW w:w="435" w:type="pct"/>
          </w:tcPr>
          <w:p>
            <w:pPr>
              <w:jc w:val="right"/>
              <w:rPr>
                <w:sz w:val="20"/>
              </w:rPr>
            </w:pPr>
          </w:p>
        </w:tc>
        <w:tc>
          <w:tcPr>
            <w:tcW w:w="435"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投资活动现金净流量</w:t>
            </w:r>
          </w:p>
        </w:tc>
        <w:tc>
          <w:tcPr>
            <w:tcW w:w="470" w:type="pct"/>
            <w:vAlign w:val="center"/>
          </w:tcPr>
          <w:p>
            <w:pPr>
              <w:jc w:val="center"/>
              <w:rPr>
                <w:rFonts w:hint="eastAsia" w:ascii="宋体" w:hAnsi="宋体" w:cs="仿宋_GB2312"/>
                <w:sz w:val="18"/>
                <w:szCs w:val="18"/>
              </w:rPr>
            </w:pPr>
            <w:r>
              <w:rPr>
                <w:rFonts w:hint="eastAsia" w:ascii="宋体" w:hAnsi="宋体" w:cs="仿宋_GB2312"/>
                <w:sz w:val="18"/>
                <w:szCs w:val="18"/>
              </w:rPr>
              <w:t>G</w:t>
            </w:r>
            <w:r>
              <w:rPr>
                <w:rFonts w:ascii="宋体" w:hAnsi="宋体" w:cs="仿宋_GB2312"/>
                <w:sz w:val="18"/>
                <w:szCs w:val="18"/>
              </w:rPr>
              <w:t>=-E-F</w:t>
            </w:r>
          </w:p>
        </w:tc>
        <w:tc>
          <w:tcPr>
            <w:tcW w:w="455" w:type="pct"/>
          </w:tcPr>
          <w:p>
            <w:pPr>
              <w:jc w:val="right"/>
              <w:rPr>
                <w:sz w:val="20"/>
              </w:rPr>
            </w:pPr>
            <w:r>
              <w:rPr>
                <w:sz w:val="20"/>
              </w:rPr>
              <w:t>-40,142.70</w:t>
            </w:r>
          </w:p>
        </w:tc>
        <w:tc>
          <w:tcPr>
            <w:tcW w:w="435" w:type="pct"/>
          </w:tcPr>
          <w:p>
            <w:pPr>
              <w:widowControl/>
              <w:jc w:val="right"/>
              <w:rPr>
                <w:color w:val="000000"/>
                <w:kern w:val="0"/>
                <w:sz w:val="20"/>
              </w:rPr>
            </w:pPr>
            <w:r>
              <w:rPr>
                <w:sz w:val="20"/>
              </w:rPr>
              <w:t>-4,000.00</w:t>
            </w:r>
          </w:p>
        </w:tc>
        <w:tc>
          <w:tcPr>
            <w:tcW w:w="435" w:type="pct"/>
            <w:shd w:val="clear" w:color="auto" w:fill="auto"/>
          </w:tcPr>
          <w:p>
            <w:pPr>
              <w:jc w:val="right"/>
              <w:rPr>
                <w:sz w:val="20"/>
              </w:rPr>
            </w:pPr>
            <w:r>
              <w:rPr>
                <w:sz w:val="20"/>
              </w:rPr>
              <w:t>-9,749.12</w:t>
            </w:r>
          </w:p>
        </w:tc>
        <w:tc>
          <w:tcPr>
            <w:tcW w:w="435" w:type="pct"/>
            <w:shd w:val="clear" w:color="auto" w:fill="auto"/>
          </w:tcPr>
          <w:p>
            <w:pPr>
              <w:jc w:val="right"/>
              <w:rPr>
                <w:sz w:val="20"/>
              </w:rPr>
            </w:pPr>
            <w:r>
              <w:rPr>
                <w:sz w:val="20"/>
              </w:rPr>
              <w:t>-25,174.03</w:t>
            </w:r>
          </w:p>
        </w:tc>
        <w:tc>
          <w:tcPr>
            <w:tcW w:w="435" w:type="pct"/>
            <w:shd w:val="clear" w:color="auto" w:fill="auto"/>
          </w:tcPr>
          <w:p>
            <w:pPr>
              <w:jc w:val="right"/>
              <w:rPr>
                <w:sz w:val="20"/>
              </w:rPr>
            </w:pPr>
            <w:r>
              <w:rPr>
                <w:sz w:val="20"/>
              </w:rPr>
              <w:t>-1,219.54</w:t>
            </w:r>
          </w:p>
        </w:tc>
        <w:tc>
          <w:tcPr>
            <w:tcW w:w="435" w:type="pct"/>
          </w:tcPr>
          <w:p>
            <w:pPr>
              <w:jc w:val="right"/>
              <w:rPr>
                <w:sz w:val="20"/>
              </w:rPr>
            </w:pPr>
          </w:p>
        </w:tc>
        <w:tc>
          <w:tcPr>
            <w:tcW w:w="435" w:type="pct"/>
          </w:tcPr>
          <w:p>
            <w:pPr>
              <w:jc w:val="right"/>
              <w:rPr>
                <w:sz w:val="20"/>
              </w:rPr>
            </w:pPr>
          </w:p>
        </w:tc>
        <w:tc>
          <w:tcPr>
            <w:tcW w:w="435"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rPr>
                <w:rFonts w:hint="eastAsia" w:ascii="宋体" w:hAnsi="宋体" w:cs="仿宋_GB2312"/>
                <w:sz w:val="18"/>
                <w:szCs w:val="18"/>
              </w:rPr>
            </w:pPr>
            <w:r>
              <w:rPr>
                <w:rFonts w:hint="eastAsia" w:ascii="宋体" w:hAnsi="宋体" w:cs="仿宋_GB2312"/>
                <w:sz w:val="18"/>
                <w:szCs w:val="18"/>
              </w:rPr>
              <w:t>三、融资活动产生的现金</w:t>
            </w:r>
          </w:p>
        </w:tc>
        <w:tc>
          <w:tcPr>
            <w:tcW w:w="470" w:type="pct"/>
            <w:vAlign w:val="center"/>
          </w:tcPr>
          <w:p>
            <w:pPr>
              <w:jc w:val="center"/>
              <w:rPr>
                <w:rFonts w:hint="eastAsia" w:ascii="宋体" w:hAnsi="宋体" w:cs="仿宋_GB2312"/>
                <w:color w:val="000000"/>
                <w:sz w:val="18"/>
                <w:szCs w:val="18"/>
              </w:rPr>
            </w:pPr>
            <w:r>
              <w:rPr>
                <w:rFonts w:hint="eastAsia" w:ascii="宋体" w:hAnsi="宋体" w:cs="仿宋_GB2312"/>
                <w:sz w:val="18"/>
                <w:szCs w:val="18"/>
              </w:rPr>
              <w:t>—</w:t>
            </w:r>
          </w:p>
        </w:tc>
        <w:tc>
          <w:tcPr>
            <w:tcW w:w="455" w:type="pct"/>
          </w:tcPr>
          <w:p>
            <w:pPr>
              <w:jc w:val="right"/>
              <w:rPr>
                <w:sz w:val="20"/>
              </w:rPr>
            </w:pPr>
          </w:p>
        </w:tc>
        <w:tc>
          <w:tcPr>
            <w:tcW w:w="435" w:type="pct"/>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tcPr>
          <w:p>
            <w:pPr>
              <w:jc w:val="right"/>
              <w:rPr>
                <w:sz w:val="20"/>
              </w:rPr>
            </w:pPr>
          </w:p>
        </w:tc>
        <w:tc>
          <w:tcPr>
            <w:tcW w:w="435" w:type="pct"/>
          </w:tcPr>
          <w:p>
            <w:pPr>
              <w:jc w:val="right"/>
              <w:rPr>
                <w:sz w:val="20"/>
              </w:rPr>
            </w:pPr>
          </w:p>
        </w:tc>
        <w:tc>
          <w:tcPr>
            <w:tcW w:w="435"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tcPr>
          <w:p>
            <w:pPr>
              <w:ind w:firstLine="360" w:firstLineChars="200"/>
              <w:rPr>
                <w:rFonts w:hint="eastAsia" w:ascii="宋体" w:hAnsi="宋体" w:cs="仿宋_GB2312"/>
                <w:sz w:val="18"/>
                <w:szCs w:val="18"/>
              </w:rPr>
            </w:pPr>
            <w:r>
              <w:rPr>
                <w:rFonts w:hint="eastAsia" w:ascii="宋体" w:hAnsi="宋体" w:cs="仿宋_GB2312"/>
                <w:sz w:val="18"/>
                <w:szCs w:val="18"/>
              </w:rPr>
              <w:t>资本金（自有资金）</w:t>
            </w:r>
          </w:p>
        </w:tc>
        <w:tc>
          <w:tcPr>
            <w:tcW w:w="470" w:type="pct"/>
            <w:vAlign w:val="center"/>
          </w:tcPr>
          <w:p>
            <w:pPr>
              <w:jc w:val="center"/>
              <w:rPr>
                <w:rFonts w:hint="eastAsia" w:ascii="宋体" w:hAnsi="宋体" w:cs="仿宋_GB2312"/>
                <w:color w:val="000000"/>
                <w:sz w:val="18"/>
                <w:szCs w:val="18"/>
              </w:rPr>
            </w:pPr>
            <w:r>
              <w:rPr>
                <w:rFonts w:hint="eastAsia" w:ascii="宋体" w:hAnsi="宋体" w:cs="仿宋_GB2312"/>
                <w:color w:val="000000"/>
                <w:sz w:val="18"/>
                <w:szCs w:val="18"/>
              </w:rPr>
              <w:t>H</w:t>
            </w:r>
          </w:p>
        </w:tc>
        <w:tc>
          <w:tcPr>
            <w:tcW w:w="455" w:type="pct"/>
          </w:tcPr>
          <w:p>
            <w:pPr>
              <w:jc w:val="right"/>
              <w:rPr>
                <w:sz w:val="20"/>
              </w:rPr>
            </w:pPr>
            <w:r>
              <w:rPr>
                <w:sz w:val="20"/>
              </w:rPr>
              <w:t>15,999.56</w:t>
            </w:r>
          </w:p>
        </w:tc>
        <w:tc>
          <w:tcPr>
            <w:tcW w:w="435" w:type="pct"/>
          </w:tcPr>
          <w:p>
            <w:pPr>
              <w:jc w:val="right"/>
              <w:rPr>
                <w:sz w:val="20"/>
              </w:rPr>
            </w:pPr>
            <w:r>
              <w:rPr>
                <w:sz w:val="20"/>
              </w:rPr>
              <w:t>2,000.00</w:t>
            </w:r>
          </w:p>
        </w:tc>
        <w:tc>
          <w:tcPr>
            <w:tcW w:w="435" w:type="pct"/>
            <w:shd w:val="clear" w:color="auto" w:fill="auto"/>
          </w:tcPr>
          <w:p>
            <w:pPr>
              <w:jc w:val="right"/>
              <w:rPr>
                <w:sz w:val="20"/>
              </w:rPr>
            </w:pPr>
            <w:r>
              <w:rPr>
                <w:sz w:val="20"/>
              </w:rPr>
              <w:t>8,999.56</w:t>
            </w:r>
          </w:p>
        </w:tc>
        <w:tc>
          <w:tcPr>
            <w:tcW w:w="435" w:type="pct"/>
            <w:shd w:val="clear" w:color="auto" w:fill="auto"/>
          </w:tcPr>
          <w:p>
            <w:pPr>
              <w:jc w:val="right"/>
              <w:rPr>
                <w:sz w:val="20"/>
              </w:rPr>
            </w:pPr>
            <w:r>
              <w:rPr>
                <w:sz w:val="20"/>
              </w:rPr>
              <w:t>3,000.00</w:t>
            </w:r>
          </w:p>
        </w:tc>
        <w:tc>
          <w:tcPr>
            <w:tcW w:w="435" w:type="pct"/>
            <w:shd w:val="clear" w:color="auto" w:fill="auto"/>
          </w:tcPr>
          <w:p>
            <w:pPr>
              <w:jc w:val="right"/>
              <w:rPr>
                <w:sz w:val="20"/>
              </w:rPr>
            </w:pPr>
            <w:r>
              <w:rPr>
                <w:sz w:val="20"/>
              </w:rPr>
              <w:t>2,000.00</w:t>
            </w:r>
          </w:p>
        </w:tc>
        <w:tc>
          <w:tcPr>
            <w:tcW w:w="435" w:type="pct"/>
          </w:tcPr>
          <w:p>
            <w:pPr>
              <w:jc w:val="right"/>
              <w:rPr>
                <w:sz w:val="20"/>
              </w:rPr>
            </w:pPr>
          </w:p>
        </w:tc>
        <w:tc>
          <w:tcPr>
            <w:tcW w:w="435" w:type="pct"/>
          </w:tcPr>
          <w:p>
            <w:pPr>
              <w:jc w:val="right"/>
              <w:rPr>
                <w:sz w:val="20"/>
              </w:rPr>
            </w:pPr>
          </w:p>
        </w:tc>
        <w:tc>
          <w:tcPr>
            <w:tcW w:w="435"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tcPr>
          <w:p>
            <w:pPr>
              <w:ind w:firstLine="360" w:firstLineChars="200"/>
              <w:rPr>
                <w:rFonts w:hint="eastAsia" w:ascii="宋体" w:hAnsi="宋体" w:cs="仿宋_GB2312"/>
                <w:sz w:val="18"/>
                <w:szCs w:val="18"/>
              </w:rPr>
            </w:pPr>
            <w:r>
              <w:rPr>
                <w:rFonts w:hint="eastAsia" w:ascii="宋体" w:hAnsi="宋体" w:cs="仿宋_GB2312"/>
                <w:sz w:val="18"/>
                <w:szCs w:val="18"/>
              </w:rPr>
              <w:t>专项债券</w:t>
            </w:r>
          </w:p>
        </w:tc>
        <w:tc>
          <w:tcPr>
            <w:tcW w:w="470"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I</w:t>
            </w:r>
          </w:p>
        </w:tc>
        <w:tc>
          <w:tcPr>
            <w:tcW w:w="455" w:type="pct"/>
          </w:tcPr>
          <w:p>
            <w:pPr>
              <w:jc w:val="right"/>
              <w:rPr>
                <w:sz w:val="20"/>
              </w:rPr>
            </w:pPr>
            <w:r>
              <w:rPr>
                <w:sz w:val="20"/>
              </w:rPr>
              <w:t>25,393.00</w:t>
            </w:r>
          </w:p>
        </w:tc>
        <w:tc>
          <w:tcPr>
            <w:tcW w:w="435" w:type="pct"/>
          </w:tcPr>
          <w:p>
            <w:pPr>
              <w:jc w:val="right"/>
              <w:rPr>
                <w:sz w:val="20"/>
              </w:rPr>
            </w:pPr>
            <w:r>
              <w:rPr>
                <w:sz w:val="20"/>
              </w:rPr>
              <w:t>2,000.00</w:t>
            </w:r>
          </w:p>
        </w:tc>
        <w:tc>
          <w:tcPr>
            <w:tcW w:w="435" w:type="pct"/>
            <w:shd w:val="clear" w:color="auto" w:fill="auto"/>
          </w:tcPr>
          <w:p>
            <w:pPr>
              <w:jc w:val="right"/>
              <w:rPr>
                <w:sz w:val="20"/>
              </w:rPr>
            </w:pPr>
            <w:r>
              <w:rPr>
                <w:sz w:val="20"/>
              </w:rPr>
              <w:t>800.00</w:t>
            </w:r>
          </w:p>
        </w:tc>
        <w:tc>
          <w:tcPr>
            <w:tcW w:w="435" w:type="pct"/>
            <w:shd w:val="clear" w:color="auto" w:fill="auto"/>
          </w:tcPr>
          <w:p>
            <w:pPr>
              <w:jc w:val="right"/>
              <w:rPr>
                <w:sz w:val="20"/>
              </w:rPr>
            </w:pPr>
            <w:r>
              <w:rPr>
                <w:sz w:val="20"/>
              </w:rPr>
              <w:t>22,593.00</w:t>
            </w:r>
          </w:p>
        </w:tc>
        <w:tc>
          <w:tcPr>
            <w:tcW w:w="435" w:type="pct"/>
            <w:shd w:val="clear" w:color="auto" w:fill="auto"/>
          </w:tcPr>
          <w:p>
            <w:pPr>
              <w:jc w:val="right"/>
              <w:rPr>
                <w:sz w:val="20"/>
              </w:rPr>
            </w:pPr>
          </w:p>
        </w:tc>
        <w:tc>
          <w:tcPr>
            <w:tcW w:w="435" w:type="pct"/>
          </w:tcPr>
          <w:p>
            <w:pPr>
              <w:jc w:val="right"/>
              <w:rPr>
                <w:sz w:val="20"/>
              </w:rPr>
            </w:pPr>
          </w:p>
        </w:tc>
        <w:tc>
          <w:tcPr>
            <w:tcW w:w="435" w:type="pct"/>
          </w:tcPr>
          <w:p>
            <w:pPr>
              <w:jc w:val="right"/>
              <w:rPr>
                <w:sz w:val="20"/>
              </w:rPr>
            </w:pPr>
          </w:p>
        </w:tc>
        <w:tc>
          <w:tcPr>
            <w:tcW w:w="435"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tcPr>
          <w:p>
            <w:pPr>
              <w:ind w:firstLine="360" w:firstLineChars="200"/>
              <w:rPr>
                <w:rFonts w:hint="eastAsia" w:ascii="宋体" w:hAnsi="宋体" w:cs="仿宋_GB2312"/>
                <w:sz w:val="18"/>
                <w:szCs w:val="18"/>
              </w:rPr>
            </w:pPr>
            <w:r>
              <w:rPr>
                <w:rFonts w:hint="eastAsia" w:ascii="宋体" w:hAnsi="宋体" w:cs="仿宋_GB2312"/>
                <w:sz w:val="18"/>
                <w:szCs w:val="18"/>
              </w:rPr>
              <w:t>银行借款</w:t>
            </w:r>
          </w:p>
        </w:tc>
        <w:tc>
          <w:tcPr>
            <w:tcW w:w="470"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J</w:t>
            </w:r>
          </w:p>
        </w:tc>
        <w:tc>
          <w:tcPr>
            <w:tcW w:w="455" w:type="pct"/>
            <w:shd w:val="clear" w:color="000000" w:fill="FFFFFF"/>
          </w:tcPr>
          <w:p>
            <w:pPr>
              <w:jc w:val="right"/>
              <w:rPr>
                <w:sz w:val="20"/>
              </w:rPr>
            </w:pPr>
            <w:r>
              <w:rPr>
                <w:sz w:val="20"/>
              </w:rPr>
              <w:t>-</w:t>
            </w: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tcPr>
          <w:p>
            <w:pPr>
              <w:ind w:firstLine="360" w:firstLineChars="200"/>
              <w:rPr>
                <w:rFonts w:hint="eastAsia" w:ascii="宋体" w:hAnsi="宋体" w:cs="仿宋_GB2312"/>
                <w:sz w:val="18"/>
                <w:szCs w:val="18"/>
              </w:rPr>
            </w:pPr>
            <w:r>
              <w:rPr>
                <w:rFonts w:hint="eastAsia" w:ascii="宋体" w:hAnsi="宋体" w:cs="仿宋_GB2312"/>
                <w:sz w:val="18"/>
                <w:szCs w:val="18"/>
              </w:rPr>
              <w:t>偿还债券本金</w:t>
            </w:r>
          </w:p>
        </w:tc>
        <w:tc>
          <w:tcPr>
            <w:tcW w:w="470"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K</w:t>
            </w:r>
          </w:p>
        </w:tc>
        <w:tc>
          <w:tcPr>
            <w:tcW w:w="455" w:type="pct"/>
            <w:shd w:val="clear" w:color="000000" w:fill="FFFFFF"/>
          </w:tcPr>
          <w:p>
            <w:pPr>
              <w:jc w:val="right"/>
              <w:rPr>
                <w:sz w:val="20"/>
              </w:rPr>
            </w:pPr>
            <w:r>
              <w:rPr>
                <w:sz w:val="20"/>
              </w:rPr>
              <w:t>25,393.00</w:t>
            </w: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tcPr>
          <w:p>
            <w:pPr>
              <w:ind w:firstLine="360" w:firstLineChars="200"/>
              <w:rPr>
                <w:rFonts w:hint="eastAsia" w:ascii="宋体" w:hAnsi="宋体" w:cs="仿宋_GB2312"/>
                <w:sz w:val="18"/>
                <w:szCs w:val="18"/>
              </w:rPr>
            </w:pPr>
            <w:r>
              <w:rPr>
                <w:rFonts w:hint="eastAsia" w:ascii="宋体" w:hAnsi="宋体" w:cs="仿宋_GB2312"/>
                <w:sz w:val="18"/>
                <w:szCs w:val="18"/>
              </w:rPr>
              <w:t>偿还银行借款本金</w:t>
            </w:r>
          </w:p>
        </w:tc>
        <w:tc>
          <w:tcPr>
            <w:tcW w:w="470"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L</w:t>
            </w:r>
          </w:p>
        </w:tc>
        <w:tc>
          <w:tcPr>
            <w:tcW w:w="45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tcPr>
          <w:p>
            <w:pPr>
              <w:ind w:firstLine="360" w:firstLineChars="200"/>
              <w:rPr>
                <w:rFonts w:hint="eastAsia" w:ascii="宋体" w:hAnsi="宋体" w:cs="仿宋_GB2312"/>
                <w:sz w:val="18"/>
                <w:szCs w:val="18"/>
              </w:rPr>
            </w:pPr>
            <w:r>
              <w:rPr>
                <w:rFonts w:hint="eastAsia" w:ascii="宋体" w:hAnsi="宋体" w:cs="仿宋_GB2312"/>
                <w:sz w:val="18"/>
                <w:szCs w:val="18"/>
              </w:rPr>
              <w:t>支付债券利息</w:t>
            </w:r>
          </w:p>
        </w:tc>
        <w:tc>
          <w:tcPr>
            <w:tcW w:w="470"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M</w:t>
            </w:r>
          </w:p>
        </w:tc>
        <w:tc>
          <w:tcPr>
            <w:tcW w:w="455" w:type="pct"/>
            <w:shd w:val="clear" w:color="000000" w:fill="FFFFFF"/>
          </w:tcPr>
          <w:p>
            <w:pPr>
              <w:jc w:val="right"/>
              <w:rPr>
                <w:sz w:val="20"/>
              </w:rPr>
            </w:pPr>
            <w:r>
              <w:rPr>
                <w:sz w:val="20"/>
              </w:rPr>
              <w:t>15,034.32</w:t>
            </w:r>
          </w:p>
        </w:tc>
        <w:tc>
          <w:tcPr>
            <w:tcW w:w="435" w:type="pct"/>
            <w:shd w:val="clear" w:color="000000" w:fill="FFFFFF"/>
          </w:tcPr>
          <w:p>
            <w:pPr>
              <w:jc w:val="right"/>
              <w:rPr>
                <w:sz w:val="20"/>
              </w:rPr>
            </w:pPr>
            <w:r>
              <w:rPr>
                <w:sz w:val="20"/>
              </w:rPr>
              <w:t>-</w:t>
            </w:r>
          </w:p>
        </w:tc>
        <w:tc>
          <w:tcPr>
            <w:tcW w:w="435" w:type="pct"/>
            <w:shd w:val="clear" w:color="000000" w:fill="FFFFFF"/>
          </w:tcPr>
          <w:p>
            <w:pPr>
              <w:jc w:val="right"/>
              <w:rPr>
                <w:sz w:val="20"/>
              </w:rPr>
            </w:pPr>
            <w:r>
              <w:rPr>
                <w:sz w:val="20"/>
              </w:rPr>
              <w:t>50.44</w:t>
            </w:r>
          </w:p>
        </w:tc>
        <w:tc>
          <w:tcPr>
            <w:tcW w:w="435" w:type="pct"/>
            <w:shd w:val="clear" w:color="000000" w:fill="FFFFFF"/>
          </w:tcPr>
          <w:p>
            <w:pPr>
              <w:jc w:val="right"/>
              <w:rPr>
                <w:sz w:val="20"/>
              </w:rPr>
            </w:pPr>
            <w:r>
              <w:rPr>
                <w:sz w:val="20"/>
              </w:rPr>
              <w:t>418.97</w:t>
            </w:r>
          </w:p>
        </w:tc>
        <w:tc>
          <w:tcPr>
            <w:tcW w:w="435" w:type="pct"/>
            <w:shd w:val="clear" w:color="000000" w:fill="FFFFFF"/>
          </w:tcPr>
          <w:p>
            <w:pPr>
              <w:jc w:val="right"/>
              <w:rPr>
                <w:sz w:val="20"/>
              </w:rPr>
            </w:pPr>
            <w:r>
              <w:rPr>
                <w:sz w:val="20"/>
              </w:rPr>
              <w:t>780.46</w:t>
            </w:r>
          </w:p>
        </w:tc>
        <w:tc>
          <w:tcPr>
            <w:tcW w:w="435" w:type="pct"/>
            <w:shd w:val="clear" w:color="000000" w:fill="FFFFFF"/>
          </w:tcPr>
          <w:p>
            <w:pPr>
              <w:jc w:val="right"/>
              <w:rPr>
                <w:sz w:val="20"/>
              </w:rPr>
            </w:pPr>
            <w:r>
              <w:rPr>
                <w:sz w:val="20"/>
              </w:rPr>
              <w:t>780.46</w:t>
            </w:r>
          </w:p>
        </w:tc>
        <w:tc>
          <w:tcPr>
            <w:tcW w:w="435" w:type="pct"/>
            <w:shd w:val="clear" w:color="000000" w:fill="FFFFFF"/>
          </w:tcPr>
          <w:p>
            <w:pPr>
              <w:jc w:val="right"/>
              <w:rPr>
                <w:sz w:val="20"/>
              </w:rPr>
            </w:pPr>
            <w:r>
              <w:rPr>
                <w:sz w:val="20"/>
              </w:rPr>
              <w:t>780.46</w:t>
            </w:r>
          </w:p>
        </w:tc>
        <w:tc>
          <w:tcPr>
            <w:tcW w:w="435" w:type="pct"/>
            <w:shd w:val="clear" w:color="000000" w:fill="FFFFFF"/>
          </w:tcPr>
          <w:p>
            <w:pPr>
              <w:jc w:val="right"/>
              <w:rPr>
                <w:sz w:val="20"/>
              </w:rPr>
            </w:pPr>
            <w:r>
              <w:rPr>
                <w:sz w:val="20"/>
              </w:rPr>
              <w:t>780.46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tcPr>
          <w:p>
            <w:pPr>
              <w:ind w:firstLine="360" w:firstLineChars="200"/>
              <w:rPr>
                <w:rFonts w:hint="eastAsia" w:ascii="宋体" w:hAnsi="宋体" w:cs="仿宋_GB2312"/>
                <w:sz w:val="18"/>
                <w:szCs w:val="18"/>
              </w:rPr>
            </w:pPr>
            <w:r>
              <w:rPr>
                <w:rFonts w:hint="eastAsia" w:ascii="宋体" w:hAnsi="宋体" w:cs="仿宋_GB2312"/>
                <w:sz w:val="18"/>
                <w:szCs w:val="18"/>
              </w:rPr>
              <w:t>支付银行借款利息</w:t>
            </w:r>
          </w:p>
        </w:tc>
        <w:tc>
          <w:tcPr>
            <w:tcW w:w="470"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N</w:t>
            </w:r>
          </w:p>
        </w:tc>
        <w:tc>
          <w:tcPr>
            <w:tcW w:w="45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c>
          <w:tcPr>
            <w:tcW w:w="435" w:type="pct"/>
            <w:shd w:val="clear" w:color="000000" w:fill="FFFFFF"/>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融资活动现金净流量</w:t>
            </w:r>
          </w:p>
        </w:tc>
        <w:tc>
          <w:tcPr>
            <w:tcW w:w="470" w:type="pct"/>
          </w:tcPr>
          <w:p>
            <w:pPr>
              <w:jc w:val="center"/>
              <w:rPr>
                <w:rFonts w:hint="eastAsia" w:ascii="宋体" w:hAnsi="宋体" w:cs="仿宋_GB2312"/>
                <w:color w:val="000000"/>
                <w:sz w:val="18"/>
                <w:szCs w:val="18"/>
              </w:rPr>
            </w:pPr>
            <w:r>
              <w:rPr>
                <w:rFonts w:ascii="宋体" w:hAnsi="宋体" w:cs="仿宋_GB2312"/>
                <w:color w:val="000000"/>
                <w:sz w:val="13"/>
                <w:szCs w:val="13"/>
              </w:rPr>
              <w:t>O=H+I+J-K-L-M-N</w:t>
            </w:r>
          </w:p>
        </w:tc>
        <w:tc>
          <w:tcPr>
            <w:tcW w:w="455" w:type="pct"/>
          </w:tcPr>
          <w:p>
            <w:pPr>
              <w:jc w:val="right"/>
              <w:rPr>
                <w:sz w:val="20"/>
              </w:rPr>
            </w:pPr>
            <w:r>
              <w:rPr>
                <w:sz w:val="20"/>
              </w:rPr>
              <w:t>965.24</w:t>
            </w:r>
          </w:p>
        </w:tc>
        <w:tc>
          <w:tcPr>
            <w:tcW w:w="435" w:type="pct"/>
          </w:tcPr>
          <w:p>
            <w:pPr>
              <w:jc w:val="right"/>
              <w:rPr>
                <w:sz w:val="20"/>
              </w:rPr>
            </w:pPr>
            <w:r>
              <w:rPr>
                <w:sz w:val="20"/>
              </w:rPr>
              <w:t>4,000.00</w:t>
            </w:r>
          </w:p>
        </w:tc>
        <w:tc>
          <w:tcPr>
            <w:tcW w:w="435" w:type="pct"/>
            <w:shd w:val="clear" w:color="auto" w:fill="auto"/>
          </w:tcPr>
          <w:p>
            <w:pPr>
              <w:jc w:val="right"/>
              <w:rPr>
                <w:sz w:val="20"/>
              </w:rPr>
            </w:pPr>
            <w:r>
              <w:rPr>
                <w:sz w:val="20"/>
              </w:rPr>
              <w:t>9,749.12</w:t>
            </w:r>
          </w:p>
        </w:tc>
        <w:tc>
          <w:tcPr>
            <w:tcW w:w="435" w:type="pct"/>
            <w:shd w:val="clear" w:color="auto" w:fill="auto"/>
          </w:tcPr>
          <w:p>
            <w:pPr>
              <w:jc w:val="right"/>
              <w:rPr>
                <w:sz w:val="20"/>
              </w:rPr>
            </w:pPr>
            <w:r>
              <w:rPr>
                <w:sz w:val="20"/>
              </w:rPr>
              <w:t>25,174.03</w:t>
            </w:r>
          </w:p>
        </w:tc>
        <w:tc>
          <w:tcPr>
            <w:tcW w:w="435" w:type="pct"/>
            <w:shd w:val="clear" w:color="auto" w:fill="auto"/>
          </w:tcPr>
          <w:p>
            <w:pPr>
              <w:jc w:val="right"/>
              <w:rPr>
                <w:sz w:val="20"/>
              </w:rPr>
            </w:pPr>
            <w:r>
              <w:rPr>
                <w:sz w:val="20"/>
              </w:rPr>
              <w:t>1,219.54</w:t>
            </w:r>
          </w:p>
        </w:tc>
        <w:tc>
          <w:tcPr>
            <w:tcW w:w="435" w:type="pct"/>
          </w:tcPr>
          <w:p>
            <w:pPr>
              <w:jc w:val="right"/>
              <w:rPr>
                <w:sz w:val="20"/>
              </w:rPr>
            </w:pPr>
            <w:r>
              <w:rPr>
                <w:sz w:val="20"/>
              </w:rPr>
              <w:t>-780.46</w:t>
            </w:r>
          </w:p>
        </w:tc>
        <w:tc>
          <w:tcPr>
            <w:tcW w:w="435" w:type="pct"/>
          </w:tcPr>
          <w:p>
            <w:pPr>
              <w:jc w:val="right"/>
              <w:rPr>
                <w:sz w:val="20"/>
              </w:rPr>
            </w:pPr>
            <w:r>
              <w:rPr>
                <w:sz w:val="20"/>
              </w:rPr>
              <w:t>-780.46</w:t>
            </w:r>
          </w:p>
        </w:tc>
        <w:tc>
          <w:tcPr>
            <w:tcW w:w="435" w:type="pct"/>
          </w:tcPr>
          <w:p>
            <w:pPr>
              <w:jc w:val="right"/>
              <w:rPr>
                <w:sz w:val="20"/>
              </w:rPr>
            </w:pPr>
            <w:r>
              <w:rPr>
                <w:sz w:val="20"/>
              </w:rPr>
              <w:t>-780.46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rPr>
                <w:rFonts w:hint="eastAsia" w:ascii="宋体" w:hAnsi="宋体" w:cs="仿宋_GB2312"/>
                <w:sz w:val="18"/>
                <w:szCs w:val="18"/>
              </w:rPr>
            </w:pPr>
            <w:r>
              <w:rPr>
                <w:rFonts w:hint="eastAsia" w:ascii="宋体" w:hAnsi="宋体" w:cs="仿宋_GB2312"/>
                <w:sz w:val="18"/>
                <w:szCs w:val="18"/>
              </w:rPr>
              <w:t>四、期初现金</w:t>
            </w:r>
          </w:p>
        </w:tc>
        <w:tc>
          <w:tcPr>
            <w:tcW w:w="470"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P</w:t>
            </w:r>
          </w:p>
        </w:tc>
        <w:tc>
          <w:tcPr>
            <w:tcW w:w="455" w:type="pct"/>
          </w:tcPr>
          <w:p>
            <w:pPr>
              <w:jc w:val="right"/>
              <w:rPr>
                <w:sz w:val="20"/>
              </w:rPr>
            </w:pPr>
          </w:p>
        </w:tc>
        <w:tc>
          <w:tcPr>
            <w:tcW w:w="435" w:type="pct"/>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tcPr>
          <w:p>
            <w:pPr>
              <w:jc w:val="right"/>
              <w:rPr>
                <w:sz w:val="20"/>
              </w:rPr>
            </w:pPr>
            <w:r>
              <w:rPr>
                <w:sz w:val="20"/>
              </w:rPr>
              <w:t>696.94</w:t>
            </w:r>
          </w:p>
        </w:tc>
        <w:tc>
          <w:tcPr>
            <w:tcW w:w="435" w:type="pct"/>
          </w:tcPr>
          <w:p>
            <w:pPr>
              <w:jc w:val="right"/>
              <w:rPr>
                <w:sz w:val="20"/>
              </w:rPr>
            </w:pPr>
            <w:r>
              <w:rPr>
                <w:sz w:val="20"/>
              </w:rPr>
              <w:t>4,098.15</w:t>
            </w:r>
          </w:p>
        </w:tc>
        <w:tc>
          <w:tcPr>
            <w:tcW w:w="435" w:type="pct"/>
          </w:tcPr>
          <w:p>
            <w:pPr>
              <w:jc w:val="right"/>
              <w:rPr>
                <w:sz w:val="20"/>
              </w:rPr>
            </w:pPr>
            <w:r>
              <w:rPr>
                <w:sz w:val="20"/>
              </w:rPr>
              <w:t>7,499.35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期内现金变动</w:t>
            </w:r>
          </w:p>
        </w:tc>
        <w:tc>
          <w:tcPr>
            <w:tcW w:w="470"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Q=D+G+O</w:t>
            </w:r>
          </w:p>
        </w:tc>
        <w:tc>
          <w:tcPr>
            <w:tcW w:w="455" w:type="pct"/>
          </w:tcPr>
          <w:p>
            <w:pPr>
              <w:jc w:val="right"/>
              <w:rPr>
                <w:sz w:val="20"/>
              </w:rPr>
            </w:pPr>
            <w:r>
              <w:rPr>
                <w:sz w:val="20"/>
              </w:rPr>
              <w:t>37,374.32</w:t>
            </w:r>
          </w:p>
        </w:tc>
        <w:tc>
          <w:tcPr>
            <w:tcW w:w="435" w:type="pct"/>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p>
        </w:tc>
        <w:tc>
          <w:tcPr>
            <w:tcW w:w="435" w:type="pct"/>
            <w:shd w:val="clear" w:color="auto" w:fill="auto"/>
          </w:tcPr>
          <w:p>
            <w:pPr>
              <w:jc w:val="right"/>
              <w:rPr>
                <w:sz w:val="20"/>
              </w:rPr>
            </w:pPr>
            <w:r>
              <w:rPr>
                <w:sz w:val="20"/>
              </w:rPr>
              <w:t>696.94</w:t>
            </w:r>
          </w:p>
        </w:tc>
        <w:tc>
          <w:tcPr>
            <w:tcW w:w="435" w:type="pct"/>
          </w:tcPr>
          <w:p>
            <w:pPr>
              <w:jc w:val="right"/>
              <w:rPr>
                <w:sz w:val="20"/>
              </w:rPr>
            </w:pPr>
            <w:r>
              <w:rPr>
                <w:sz w:val="20"/>
              </w:rPr>
              <w:t>3,401.20</w:t>
            </w:r>
          </w:p>
        </w:tc>
        <w:tc>
          <w:tcPr>
            <w:tcW w:w="435" w:type="pct"/>
          </w:tcPr>
          <w:p>
            <w:pPr>
              <w:jc w:val="right"/>
              <w:rPr>
                <w:sz w:val="20"/>
              </w:rPr>
            </w:pPr>
            <w:r>
              <w:rPr>
                <w:sz w:val="20"/>
              </w:rPr>
              <w:t>3,401.20</w:t>
            </w:r>
          </w:p>
        </w:tc>
        <w:tc>
          <w:tcPr>
            <w:tcW w:w="435" w:type="pct"/>
          </w:tcPr>
          <w:p>
            <w:pPr>
              <w:jc w:val="right"/>
              <w:rPr>
                <w:sz w:val="20"/>
              </w:rPr>
            </w:pPr>
            <w:r>
              <w:rPr>
                <w:sz w:val="20"/>
              </w:rPr>
              <w:t>3,143.24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029" w:type="pct"/>
            <w:tcBorders>
              <w:bottom w:val="single" w:color="auto" w:sz="12" w:space="0"/>
            </w:tcBorders>
            <w:vAlign w:val="center"/>
          </w:tcPr>
          <w:p>
            <w:pPr>
              <w:rPr>
                <w:rFonts w:hint="eastAsia" w:ascii="宋体" w:hAnsi="宋体" w:cs="仿宋_GB2312"/>
                <w:sz w:val="18"/>
                <w:szCs w:val="18"/>
              </w:rPr>
            </w:pPr>
            <w:r>
              <w:rPr>
                <w:rFonts w:hint="eastAsia" w:ascii="宋体" w:hAnsi="宋体" w:cs="仿宋_GB2312"/>
                <w:sz w:val="18"/>
                <w:szCs w:val="18"/>
              </w:rPr>
              <w:t>五、期末现金</w:t>
            </w:r>
          </w:p>
        </w:tc>
        <w:tc>
          <w:tcPr>
            <w:tcW w:w="470" w:type="pct"/>
            <w:tcBorders>
              <w:bottom w:val="single" w:color="auto" w:sz="12" w:space="0"/>
            </w:tcBorders>
            <w:vAlign w:val="center"/>
          </w:tcPr>
          <w:p>
            <w:pPr>
              <w:jc w:val="center"/>
              <w:rPr>
                <w:rFonts w:hint="eastAsia" w:ascii="宋体" w:hAnsi="宋体" w:cs="仿宋_GB2312"/>
                <w:color w:val="000000"/>
                <w:sz w:val="18"/>
                <w:szCs w:val="18"/>
              </w:rPr>
            </w:pPr>
            <w:r>
              <w:rPr>
                <w:rFonts w:ascii="宋体" w:hAnsi="宋体" w:cs="仿宋_GB2312"/>
                <w:color w:val="000000"/>
                <w:sz w:val="18"/>
                <w:szCs w:val="18"/>
              </w:rPr>
              <w:t>R=P+Q</w:t>
            </w:r>
          </w:p>
        </w:tc>
        <w:tc>
          <w:tcPr>
            <w:tcW w:w="455" w:type="pct"/>
            <w:tcBorders>
              <w:bottom w:val="single" w:color="auto" w:sz="12" w:space="0"/>
            </w:tcBorders>
          </w:tcPr>
          <w:p>
            <w:pPr>
              <w:jc w:val="right"/>
              <w:rPr>
                <w:sz w:val="20"/>
              </w:rPr>
            </w:pPr>
          </w:p>
        </w:tc>
        <w:tc>
          <w:tcPr>
            <w:tcW w:w="435" w:type="pct"/>
            <w:tcBorders>
              <w:bottom w:val="single" w:color="auto" w:sz="12" w:space="0"/>
            </w:tcBorders>
          </w:tcPr>
          <w:p>
            <w:pPr>
              <w:jc w:val="right"/>
              <w:rPr>
                <w:sz w:val="20"/>
              </w:rPr>
            </w:pPr>
          </w:p>
        </w:tc>
        <w:tc>
          <w:tcPr>
            <w:tcW w:w="435" w:type="pct"/>
            <w:tcBorders>
              <w:bottom w:val="single" w:color="auto" w:sz="12" w:space="0"/>
            </w:tcBorders>
            <w:shd w:val="clear" w:color="auto" w:fill="auto"/>
          </w:tcPr>
          <w:p>
            <w:pPr>
              <w:jc w:val="right"/>
              <w:rPr>
                <w:sz w:val="20"/>
              </w:rPr>
            </w:pPr>
          </w:p>
        </w:tc>
        <w:tc>
          <w:tcPr>
            <w:tcW w:w="435" w:type="pct"/>
            <w:tcBorders>
              <w:bottom w:val="single" w:color="auto" w:sz="12" w:space="0"/>
            </w:tcBorders>
            <w:shd w:val="clear" w:color="auto" w:fill="auto"/>
          </w:tcPr>
          <w:p>
            <w:pPr>
              <w:jc w:val="right"/>
              <w:rPr>
                <w:sz w:val="20"/>
              </w:rPr>
            </w:pPr>
          </w:p>
        </w:tc>
        <w:tc>
          <w:tcPr>
            <w:tcW w:w="435" w:type="pct"/>
            <w:tcBorders>
              <w:bottom w:val="single" w:color="auto" w:sz="12" w:space="0"/>
            </w:tcBorders>
            <w:shd w:val="clear" w:color="auto" w:fill="auto"/>
          </w:tcPr>
          <w:p>
            <w:pPr>
              <w:jc w:val="right"/>
              <w:rPr>
                <w:sz w:val="20"/>
              </w:rPr>
            </w:pPr>
            <w:r>
              <w:rPr>
                <w:sz w:val="20"/>
              </w:rPr>
              <w:t>696.94</w:t>
            </w:r>
          </w:p>
        </w:tc>
        <w:tc>
          <w:tcPr>
            <w:tcW w:w="435" w:type="pct"/>
            <w:tcBorders>
              <w:bottom w:val="single" w:color="auto" w:sz="12" w:space="0"/>
            </w:tcBorders>
          </w:tcPr>
          <w:p>
            <w:pPr>
              <w:jc w:val="right"/>
              <w:rPr>
                <w:sz w:val="20"/>
              </w:rPr>
            </w:pPr>
            <w:r>
              <w:rPr>
                <w:sz w:val="20"/>
              </w:rPr>
              <w:t>4,098.15</w:t>
            </w:r>
          </w:p>
        </w:tc>
        <w:tc>
          <w:tcPr>
            <w:tcW w:w="435" w:type="pct"/>
            <w:tcBorders>
              <w:bottom w:val="single" w:color="auto" w:sz="12" w:space="0"/>
            </w:tcBorders>
          </w:tcPr>
          <w:p>
            <w:pPr>
              <w:jc w:val="right"/>
              <w:rPr>
                <w:sz w:val="20"/>
              </w:rPr>
            </w:pPr>
            <w:r>
              <w:rPr>
                <w:sz w:val="20"/>
              </w:rPr>
              <w:t>7,499.35</w:t>
            </w:r>
          </w:p>
        </w:tc>
        <w:tc>
          <w:tcPr>
            <w:tcW w:w="435" w:type="pct"/>
            <w:tcBorders>
              <w:bottom w:val="single" w:color="auto" w:sz="12" w:space="0"/>
            </w:tcBorders>
          </w:tcPr>
          <w:p>
            <w:pPr>
              <w:jc w:val="right"/>
              <w:rPr>
                <w:sz w:val="20"/>
              </w:rPr>
            </w:pPr>
            <w:r>
              <w:rPr>
                <w:sz w:val="20"/>
              </w:rPr>
              <w:t>10,642.59</w:t>
            </w:r>
          </w:p>
        </w:tc>
      </w:tr>
    </w:tbl>
    <w:p>
      <w:pPr>
        <w:pStyle w:val="33"/>
      </w:pPr>
      <w:r>
        <w:rPr>
          <w:rFonts w:hint="eastAsia"/>
        </w:rPr>
        <w:t>表5  项目资金测算平衡表（单位：万元）（续）</w:t>
      </w:r>
    </w:p>
    <w:tbl>
      <w:tblPr>
        <w:tblStyle w:val="1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1233"/>
        <w:gridCol w:w="1152"/>
        <w:gridCol w:w="1152"/>
        <w:gridCol w:w="1152"/>
        <w:gridCol w:w="1152"/>
        <w:gridCol w:w="1152"/>
        <w:gridCol w:w="1153"/>
        <w:gridCol w:w="1153"/>
        <w:gridCol w:w="115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tcBorders>
              <w:top w:val="single" w:color="auto" w:sz="8" w:space="0"/>
            </w:tcBorders>
            <w:vAlign w:val="center"/>
          </w:tcPr>
          <w:p>
            <w:pPr>
              <w:jc w:val="center"/>
              <w:rPr>
                <w:rFonts w:hint="eastAsia" w:ascii="黑体" w:hAnsi="黑体" w:eastAsia="黑体" w:cs="仿宋_GB2312"/>
                <w:sz w:val="18"/>
                <w:szCs w:val="18"/>
              </w:rPr>
            </w:pPr>
            <w:bookmarkStart w:id="37" w:name="_Hlk121853032"/>
            <w:r>
              <w:rPr>
                <w:rFonts w:hint="eastAsia" w:ascii="黑体" w:hAnsi="黑体" w:eastAsia="黑体" w:cs="仿宋_GB2312"/>
                <w:sz w:val="18"/>
                <w:szCs w:val="18"/>
              </w:rPr>
              <w:t>项目/年度</w:t>
            </w:r>
          </w:p>
        </w:tc>
        <w:tc>
          <w:tcPr>
            <w:tcW w:w="475" w:type="pct"/>
            <w:tcBorders>
              <w:top w:val="single" w:color="auto" w:sz="8"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公式</w:t>
            </w:r>
          </w:p>
        </w:tc>
        <w:tc>
          <w:tcPr>
            <w:tcW w:w="444" w:type="pct"/>
            <w:tcBorders>
              <w:top w:val="single" w:color="auto" w:sz="8" w:space="0"/>
            </w:tcBorders>
          </w:tcPr>
          <w:p>
            <w:pPr>
              <w:jc w:val="center"/>
              <w:rPr>
                <w:rFonts w:hint="eastAsia" w:ascii="黑体" w:hAnsi="黑体" w:eastAsia="黑体" w:cs="仿宋_GB2312"/>
                <w:color w:val="000000"/>
                <w:sz w:val="18"/>
                <w:szCs w:val="18"/>
              </w:rPr>
            </w:pPr>
            <w:r>
              <w:rPr>
                <w:rFonts w:hint="eastAsia"/>
              </w:rPr>
              <w:t>2031年</w:t>
            </w:r>
          </w:p>
        </w:tc>
        <w:tc>
          <w:tcPr>
            <w:tcW w:w="444" w:type="pct"/>
            <w:tcBorders>
              <w:top w:val="single" w:color="auto" w:sz="8" w:space="0"/>
            </w:tcBorders>
          </w:tcPr>
          <w:p>
            <w:pPr>
              <w:jc w:val="center"/>
              <w:rPr>
                <w:rFonts w:hint="eastAsia" w:ascii="黑体" w:hAnsi="黑体" w:eastAsia="黑体" w:cs="仿宋_GB2312"/>
                <w:color w:val="000000"/>
                <w:sz w:val="18"/>
                <w:szCs w:val="18"/>
              </w:rPr>
            </w:pPr>
            <w:r>
              <w:rPr>
                <w:rFonts w:hint="eastAsia"/>
              </w:rPr>
              <w:t>2032年</w:t>
            </w:r>
          </w:p>
        </w:tc>
        <w:tc>
          <w:tcPr>
            <w:tcW w:w="444" w:type="pct"/>
            <w:tcBorders>
              <w:top w:val="single" w:color="auto" w:sz="8" w:space="0"/>
            </w:tcBorders>
          </w:tcPr>
          <w:p>
            <w:pPr>
              <w:jc w:val="center"/>
              <w:rPr>
                <w:rFonts w:hint="eastAsia" w:ascii="黑体" w:hAnsi="黑体" w:eastAsia="黑体" w:cs="仿宋_GB2312"/>
                <w:color w:val="000000"/>
                <w:sz w:val="18"/>
                <w:szCs w:val="18"/>
              </w:rPr>
            </w:pPr>
            <w:r>
              <w:rPr>
                <w:rFonts w:hint="eastAsia"/>
              </w:rPr>
              <w:t>2033年</w:t>
            </w:r>
          </w:p>
        </w:tc>
        <w:tc>
          <w:tcPr>
            <w:tcW w:w="444" w:type="pct"/>
            <w:tcBorders>
              <w:top w:val="single" w:color="auto" w:sz="8" w:space="0"/>
            </w:tcBorders>
          </w:tcPr>
          <w:p>
            <w:pPr>
              <w:jc w:val="center"/>
              <w:rPr>
                <w:rFonts w:hint="eastAsia" w:ascii="黑体" w:hAnsi="黑体" w:eastAsia="黑体" w:cs="仿宋_GB2312"/>
                <w:color w:val="000000"/>
                <w:sz w:val="18"/>
                <w:szCs w:val="18"/>
              </w:rPr>
            </w:pPr>
            <w:r>
              <w:rPr>
                <w:rFonts w:hint="eastAsia"/>
              </w:rPr>
              <w:t>2034年</w:t>
            </w:r>
          </w:p>
        </w:tc>
        <w:tc>
          <w:tcPr>
            <w:tcW w:w="444" w:type="pct"/>
            <w:tcBorders>
              <w:top w:val="single" w:color="auto" w:sz="8" w:space="0"/>
            </w:tcBorders>
          </w:tcPr>
          <w:p>
            <w:pPr>
              <w:jc w:val="center"/>
              <w:rPr>
                <w:rFonts w:hint="eastAsia" w:ascii="黑体" w:hAnsi="黑体" w:eastAsia="黑体" w:cs="仿宋_GB2312"/>
                <w:color w:val="000000"/>
                <w:sz w:val="18"/>
                <w:szCs w:val="18"/>
              </w:rPr>
            </w:pPr>
            <w:r>
              <w:rPr>
                <w:rFonts w:hint="eastAsia"/>
              </w:rPr>
              <w:t>2035年</w:t>
            </w:r>
          </w:p>
        </w:tc>
        <w:tc>
          <w:tcPr>
            <w:tcW w:w="444" w:type="pct"/>
            <w:tcBorders>
              <w:top w:val="single" w:color="auto" w:sz="8" w:space="0"/>
            </w:tcBorders>
          </w:tcPr>
          <w:p>
            <w:pPr>
              <w:jc w:val="center"/>
              <w:rPr>
                <w:rFonts w:hint="eastAsia" w:ascii="黑体" w:hAnsi="黑体" w:eastAsia="黑体" w:cs="仿宋_GB2312"/>
                <w:color w:val="000000"/>
                <w:sz w:val="18"/>
                <w:szCs w:val="18"/>
              </w:rPr>
            </w:pPr>
            <w:r>
              <w:rPr>
                <w:rFonts w:hint="eastAsia"/>
              </w:rPr>
              <w:t>2036年</w:t>
            </w:r>
          </w:p>
        </w:tc>
        <w:tc>
          <w:tcPr>
            <w:tcW w:w="444" w:type="pct"/>
            <w:tcBorders>
              <w:top w:val="single" w:color="auto" w:sz="8" w:space="0"/>
            </w:tcBorders>
          </w:tcPr>
          <w:p>
            <w:pPr>
              <w:jc w:val="center"/>
              <w:rPr>
                <w:rFonts w:hint="eastAsia" w:ascii="黑体" w:hAnsi="黑体" w:eastAsia="黑体" w:cs="仿宋_GB2312"/>
                <w:color w:val="000000"/>
                <w:sz w:val="18"/>
                <w:szCs w:val="18"/>
              </w:rPr>
            </w:pPr>
            <w:r>
              <w:rPr>
                <w:rFonts w:hint="eastAsia"/>
              </w:rPr>
              <w:t>2037年</w:t>
            </w:r>
          </w:p>
        </w:tc>
        <w:tc>
          <w:tcPr>
            <w:tcW w:w="444" w:type="pct"/>
            <w:tcBorders>
              <w:top w:val="single" w:color="auto" w:sz="8" w:space="0"/>
            </w:tcBorders>
          </w:tcPr>
          <w:p>
            <w:pPr>
              <w:jc w:val="center"/>
              <w:rPr>
                <w:rFonts w:hint="eastAsia" w:ascii="黑体" w:hAnsi="黑体" w:eastAsia="黑体" w:cs="仿宋_GB2312"/>
                <w:color w:val="000000"/>
                <w:sz w:val="18"/>
                <w:szCs w:val="18"/>
              </w:rPr>
            </w:pPr>
            <w:r>
              <w:rPr>
                <w:rFonts w:hint="eastAsia"/>
              </w:rPr>
              <w:t>2038年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tcBorders>
              <w:top w:val="single" w:color="auto" w:sz="8" w:space="0"/>
            </w:tcBorders>
            <w:vAlign w:val="center"/>
          </w:tcPr>
          <w:p>
            <w:pPr>
              <w:rPr>
                <w:rFonts w:hint="eastAsia" w:ascii="宋体" w:hAnsi="宋体" w:cs="仿宋_GB2312"/>
                <w:sz w:val="18"/>
                <w:szCs w:val="18"/>
              </w:rPr>
            </w:pPr>
            <w:r>
              <w:rPr>
                <w:rFonts w:hint="eastAsia" w:ascii="宋体" w:hAnsi="宋体" w:cs="仿宋_GB2312"/>
                <w:sz w:val="18"/>
                <w:szCs w:val="18"/>
              </w:rPr>
              <w:t>一、经营活动产生的现金</w:t>
            </w:r>
          </w:p>
        </w:tc>
        <w:tc>
          <w:tcPr>
            <w:tcW w:w="475" w:type="pct"/>
            <w:tcBorders>
              <w:top w:val="single" w:color="auto" w:sz="8" w:space="0"/>
            </w:tcBorders>
            <w:vAlign w:val="center"/>
          </w:tcPr>
          <w:p>
            <w:pPr>
              <w:jc w:val="center"/>
              <w:rPr>
                <w:rFonts w:hint="eastAsia" w:ascii="宋体" w:hAnsi="宋体" w:cs="仿宋_GB2312"/>
                <w:sz w:val="18"/>
                <w:szCs w:val="18"/>
              </w:rPr>
            </w:pPr>
            <w:r>
              <w:rPr>
                <w:rFonts w:hint="eastAsia" w:ascii="宋体" w:hAnsi="宋体" w:cs="仿宋_GB2312"/>
                <w:sz w:val="18"/>
                <w:szCs w:val="18"/>
              </w:rPr>
              <w:t>—</w:t>
            </w:r>
          </w:p>
        </w:tc>
        <w:tc>
          <w:tcPr>
            <w:tcW w:w="444" w:type="pct"/>
            <w:tcBorders>
              <w:top w:val="single" w:color="auto" w:sz="8" w:space="0"/>
            </w:tcBorders>
            <w:vAlign w:val="center"/>
          </w:tcPr>
          <w:p>
            <w:pPr>
              <w:jc w:val="right"/>
              <w:rPr>
                <w:rFonts w:hint="eastAsia" w:ascii="宋体" w:hAnsi="宋体" w:cs="仿宋_GB2312"/>
                <w:sz w:val="18"/>
                <w:szCs w:val="18"/>
              </w:rPr>
            </w:pPr>
          </w:p>
        </w:tc>
        <w:tc>
          <w:tcPr>
            <w:tcW w:w="444" w:type="pct"/>
            <w:tcBorders>
              <w:top w:val="single" w:color="auto" w:sz="8" w:space="0"/>
            </w:tcBorders>
            <w:shd w:val="clear" w:color="auto" w:fill="auto"/>
            <w:vAlign w:val="center"/>
          </w:tcPr>
          <w:p>
            <w:pPr>
              <w:jc w:val="right"/>
              <w:rPr>
                <w:rFonts w:hint="eastAsia" w:ascii="宋体" w:hAnsi="宋体" w:cs="仿宋_GB2312"/>
                <w:sz w:val="18"/>
                <w:szCs w:val="18"/>
              </w:rPr>
            </w:pPr>
          </w:p>
        </w:tc>
        <w:tc>
          <w:tcPr>
            <w:tcW w:w="444" w:type="pct"/>
            <w:tcBorders>
              <w:top w:val="single" w:color="auto" w:sz="8" w:space="0"/>
            </w:tcBorders>
          </w:tcPr>
          <w:p>
            <w:pPr>
              <w:jc w:val="right"/>
              <w:rPr>
                <w:rFonts w:hint="eastAsia" w:ascii="宋体" w:hAnsi="宋体" w:cs="仿宋_GB2312"/>
                <w:sz w:val="18"/>
                <w:szCs w:val="18"/>
              </w:rPr>
            </w:pPr>
          </w:p>
        </w:tc>
        <w:tc>
          <w:tcPr>
            <w:tcW w:w="444" w:type="pct"/>
            <w:tcBorders>
              <w:top w:val="single" w:color="auto" w:sz="8" w:space="0"/>
            </w:tcBorders>
            <w:shd w:val="clear" w:color="auto" w:fill="auto"/>
            <w:vAlign w:val="center"/>
          </w:tcPr>
          <w:p>
            <w:pPr>
              <w:jc w:val="right"/>
              <w:rPr>
                <w:rFonts w:hint="eastAsia" w:ascii="宋体" w:hAnsi="宋体" w:cs="仿宋_GB2312"/>
                <w:sz w:val="18"/>
                <w:szCs w:val="18"/>
              </w:rPr>
            </w:pPr>
          </w:p>
        </w:tc>
        <w:tc>
          <w:tcPr>
            <w:tcW w:w="444" w:type="pct"/>
            <w:tcBorders>
              <w:top w:val="single" w:color="auto" w:sz="8" w:space="0"/>
            </w:tcBorders>
            <w:shd w:val="clear" w:color="auto" w:fill="auto"/>
            <w:vAlign w:val="center"/>
          </w:tcPr>
          <w:p>
            <w:pPr>
              <w:jc w:val="right"/>
              <w:rPr>
                <w:rFonts w:hint="eastAsia" w:ascii="宋体" w:hAnsi="宋体" w:cs="仿宋_GB2312"/>
                <w:sz w:val="18"/>
                <w:szCs w:val="18"/>
              </w:rPr>
            </w:pPr>
          </w:p>
        </w:tc>
        <w:tc>
          <w:tcPr>
            <w:tcW w:w="444" w:type="pct"/>
            <w:tcBorders>
              <w:top w:val="single" w:color="auto" w:sz="8" w:space="0"/>
            </w:tcBorders>
          </w:tcPr>
          <w:p>
            <w:pPr>
              <w:jc w:val="right"/>
              <w:rPr>
                <w:rFonts w:hint="eastAsia" w:ascii="宋体" w:hAnsi="宋体" w:cs="仿宋_GB2312"/>
                <w:sz w:val="18"/>
                <w:szCs w:val="18"/>
              </w:rPr>
            </w:pPr>
          </w:p>
        </w:tc>
        <w:tc>
          <w:tcPr>
            <w:tcW w:w="444" w:type="pct"/>
            <w:tcBorders>
              <w:top w:val="single" w:color="auto" w:sz="8" w:space="0"/>
            </w:tcBorders>
          </w:tcPr>
          <w:p>
            <w:pPr>
              <w:jc w:val="right"/>
              <w:rPr>
                <w:rFonts w:hint="eastAsia" w:ascii="宋体" w:hAnsi="宋体" w:cs="仿宋_GB2312"/>
                <w:sz w:val="18"/>
                <w:szCs w:val="18"/>
              </w:rPr>
            </w:pPr>
          </w:p>
        </w:tc>
        <w:tc>
          <w:tcPr>
            <w:tcW w:w="444" w:type="pct"/>
            <w:tcBorders>
              <w:top w:val="single" w:color="auto" w:sz="8" w:space="0"/>
            </w:tcBorders>
            <w:shd w:val="clear" w:color="auto" w:fill="auto"/>
            <w:vAlign w:val="center"/>
          </w:tcPr>
          <w:p>
            <w:pPr>
              <w:jc w:val="right"/>
              <w:rPr>
                <w:rFonts w:hint="eastAsia" w:ascii="宋体" w:hAnsi="宋体" w:cs="仿宋_GB2312"/>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经营活动收入</w:t>
            </w:r>
          </w:p>
        </w:tc>
        <w:tc>
          <w:tcPr>
            <w:tcW w:w="475" w:type="pct"/>
            <w:vAlign w:val="center"/>
          </w:tcPr>
          <w:p>
            <w:pPr>
              <w:jc w:val="center"/>
              <w:rPr>
                <w:rFonts w:hint="eastAsia" w:ascii="宋体" w:hAnsi="宋体" w:cs="仿宋_GB2312"/>
                <w:sz w:val="18"/>
                <w:szCs w:val="18"/>
              </w:rPr>
            </w:pPr>
            <w:r>
              <w:rPr>
                <w:rFonts w:ascii="宋体" w:hAnsi="宋体" w:cs="仿宋_GB2312"/>
                <w:sz w:val="18"/>
                <w:szCs w:val="18"/>
              </w:rPr>
              <w:t>A</w:t>
            </w:r>
          </w:p>
        </w:tc>
        <w:tc>
          <w:tcPr>
            <w:tcW w:w="444" w:type="pct"/>
          </w:tcPr>
          <w:p>
            <w:pPr>
              <w:jc w:val="right"/>
              <w:rPr>
                <w:sz w:val="20"/>
              </w:rPr>
            </w:pPr>
            <w:r>
              <w:t>22,378.88</w:t>
            </w:r>
          </w:p>
        </w:tc>
        <w:tc>
          <w:tcPr>
            <w:tcW w:w="444" w:type="pct"/>
            <w:shd w:val="clear" w:color="auto" w:fill="auto"/>
          </w:tcPr>
          <w:p>
            <w:pPr>
              <w:jc w:val="right"/>
              <w:rPr>
                <w:sz w:val="20"/>
              </w:rPr>
            </w:pPr>
            <w:r>
              <w:t>22,378.88</w:t>
            </w:r>
          </w:p>
        </w:tc>
        <w:tc>
          <w:tcPr>
            <w:tcW w:w="444" w:type="pct"/>
          </w:tcPr>
          <w:p>
            <w:pPr>
              <w:jc w:val="right"/>
              <w:rPr>
                <w:sz w:val="20"/>
              </w:rPr>
            </w:pPr>
            <w:r>
              <w:t>22,378.88</w:t>
            </w:r>
          </w:p>
        </w:tc>
        <w:tc>
          <w:tcPr>
            <w:tcW w:w="444" w:type="pct"/>
            <w:shd w:val="clear" w:color="auto" w:fill="auto"/>
          </w:tcPr>
          <w:p>
            <w:pPr>
              <w:jc w:val="right"/>
              <w:rPr>
                <w:sz w:val="20"/>
              </w:rPr>
            </w:pPr>
            <w:r>
              <w:t>22,378.88</w:t>
            </w:r>
          </w:p>
        </w:tc>
        <w:tc>
          <w:tcPr>
            <w:tcW w:w="444" w:type="pct"/>
            <w:shd w:val="clear" w:color="auto" w:fill="auto"/>
          </w:tcPr>
          <w:p>
            <w:pPr>
              <w:jc w:val="right"/>
              <w:rPr>
                <w:sz w:val="20"/>
              </w:rPr>
            </w:pPr>
            <w:r>
              <w:t>22,378.88</w:t>
            </w:r>
          </w:p>
        </w:tc>
        <w:tc>
          <w:tcPr>
            <w:tcW w:w="444" w:type="pct"/>
          </w:tcPr>
          <w:p>
            <w:pPr>
              <w:jc w:val="right"/>
              <w:rPr>
                <w:sz w:val="20"/>
              </w:rPr>
            </w:pPr>
            <w:r>
              <w:t>22,378.88</w:t>
            </w:r>
          </w:p>
        </w:tc>
        <w:tc>
          <w:tcPr>
            <w:tcW w:w="444" w:type="pct"/>
          </w:tcPr>
          <w:p>
            <w:pPr>
              <w:jc w:val="right"/>
              <w:rPr>
                <w:sz w:val="20"/>
              </w:rPr>
            </w:pPr>
            <w:r>
              <w:t>22,378.88</w:t>
            </w:r>
          </w:p>
        </w:tc>
        <w:tc>
          <w:tcPr>
            <w:tcW w:w="444" w:type="pct"/>
            <w:shd w:val="clear" w:color="auto" w:fill="auto"/>
          </w:tcPr>
          <w:p>
            <w:pPr>
              <w:jc w:val="right"/>
              <w:rPr>
                <w:sz w:val="20"/>
              </w:rPr>
            </w:pPr>
            <w:r>
              <w:t>22,378.88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经营活动支出</w:t>
            </w:r>
          </w:p>
        </w:tc>
        <w:tc>
          <w:tcPr>
            <w:tcW w:w="475" w:type="pct"/>
            <w:vAlign w:val="center"/>
          </w:tcPr>
          <w:p>
            <w:pPr>
              <w:jc w:val="center"/>
              <w:rPr>
                <w:rFonts w:hint="eastAsia" w:ascii="宋体" w:hAnsi="宋体" w:cs="仿宋_GB2312"/>
                <w:sz w:val="18"/>
                <w:szCs w:val="18"/>
              </w:rPr>
            </w:pPr>
            <w:r>
              <w:rPr>
                <w:rFonts w:ascii="宋体" w:hAnsi="宋体" w:cs="仿宋_GB2312"/>
                <w:sz w:val="18"/>
                <w:szCs w:val="18"/>
              </w:rPr>
              <w:t>B</w:t>
            </w:r>
          </w:p>
        </w:tc>
        <w:tc>
          <w:tcPr>
            <w:tcW w:w="444" w:type="pct"/>
          </w:tcPr>
          <w:p>
            <w:pPr>
              <w:jc w:val="right"/>
              <w:rPr>
                <w:sz w:val="20"/>
              </w:rPr>
            </w:pPr>
            <w:r>
              <w:t>18,197.22</w:t>
            </w:r>
          </w:p>
        </w:tc>
        <w:tc>
          <w:tcPr>
            <w:tcW w:w="444" w:type="pct"/>
            <w:shd w:val="clear" w:color="auto" w:fill="auto"/>
          </w:tcPr>
          <w:p>
            <w:pPr>
              <w:jc w:val="right"/>
              <w:rPr>
                <w:sz w:val="20"/>
              </w:rPr>
            </w:pPr>
            <w:r>
              <w:t>18,197.22</w:t>
            </w:r>
          </w:p>
        </w:tc>
        <w:tc>
          <w:tcPr>
            <w:tcW w:w="444" w:type="pct"/>
          </w:tcPr>
          <w:p>
            <w:pPr>
              <w:jc w:val="right"/>
              <w:rPr>
                <w:sz w:val="20"/>
              </w:rPr>
            </w:pPr>
            <w:r>
              <w:t>18,197.22</w:t>
            </w:r>
          </w:p>
        </w:tc>
        <w:tc>
          <w:tcPr>
            <w:tcW w:w="444" w:type="pct"/>
            <w:shd w:val="clear" w:color="auto" w:fill="auto"/>
          </w:tcPr>
          <w:p>
            <w:pPr>
              <w:jc w:val="right"/>
              <w:rPr>
                <w:sz w:val="20"/>
              </w:rPr>
            </w:pPr>
            <w:r>
              <w:t>18,197.22</w:t>
            </w:r>
          </w:p>
        </w:tc>
        <w:tc>
          <w:tcPr>
            <w:tcW w:w="444" w:type="pct"/>
            <w:shd w:val="clear" w:color="auto" w:fill="auto"/>
          </w:tcPr>
          <w:p>
            <w:pPr>
              <w:jc w:val="right"/>
              <w:rPr>
                <w:sz w:val="20"/>
              </w:rPr>
            </w:pPr>
            <w:r>
              <w:t>18,197.22</w:t>
            </w:r>
          </w:p>
        </w:tc>
        <w:tc>
          <w:tcPr>
            <w:tcW w:w="444" w:type="pct"/>
          </w:tcPr>
          <w:p>
            <w:pPr>
              <w:jc w:val="right"/>
              <w:rPr>
                <w:sz w:val="20"/>
              </w:rPr>
            </w:pPr>
            <w:r>
              <w:t>18,197.22</w:t>
            </w:r>
          </w:p>
        </w:tc>
        <w:tc>
          <w:tcPr>
            <w:tcW w:w="444" w:type="pct"/>
          </w:tcPr>
          <w:p>
            <w:pPr>
              <w:jc w:val="right"/>
              <w:rPr>
                <w:sz w:val="20"/>
              </w:rPr>
            </w:pPr>
            <w:r>
              <w:t>18,197.22</w:t>
            </w:r>
          </w:p>
        </w:tc>
        <w:tc>
          <w:tcPr>
            <w:tcW w:w="444" w:type="pct"/>
            <w:shd w:val="clear" w:color="auto" w:fill="auto"/>
          </w:tcPr>
          <w:p>
            <w:pPr>
              <w:jc w:val="right"/>
              <w:rPr>
                <w:sz w:val="20"/>
              </w:rPr>
            </w:pPr>
            <w:r>
              <w:t>18,197.22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支付的各项税费</w:t>
            </w:r>
          </w:p>
        </w:tc>
        <w:tc>
          <w:tcPr>
            <w:tcW w:w="475" w:type="pct"/>
            <w:shd w:val="clear" w:color="000000" w:fill="FFFFFF"/>
            <w:vAlign w:val="center"/>
          </w:tcPr>
          <w:p>
            <w:pPr>
              <w:jc w:val="center"/>
              <w:rPr>
                <w:rFonts w:hint="eastAsia" w:ascii="宋体" w:hAnsi="宋体" w:cs="仿宋_GB2312"/>
                <w:sz w:val="18"/>
                <w:szCs w:val="18"/>
              </w:rPr>
            </w:pPr>
            <w:r>
              <w:rPr>
                <w:rFonts w:hint="eastAsia" w:ascii="宋体" w:hAnsi="宋体" w:cs="仿宋_GB2312"/>
                <w:sz w:val="18"/>
                <w:szCs w:val="18"/>
              </w:rPr>
              <w:t>C</w:t>
            </w:r>
          </w:p>
        </w:tc>
        <w:tc>
          <w:tcPr>
            <w:tcW w:w="444" w:type="pct"/>
            <w:shd w:val="clear" w:color="000000" w:fill="FFFFFF"/>
          </w:tcPr>
          <w:p>
            <w:pPr>
              <w:jc w:val="right"/>
              <w:rPr>
                <w:sz w:val="20"/>
              </w:rPr>
            </w:pPr>
            <w:r>
              <w:t>202.15</w:t>
            </w:r>
          </w:p>
        </w:tc>
        <w:tc>
          <w:tcPr>
            <w:tcW w:w="444" w:type="pct"/>
            <w:shd w:val="clear" w:color="000000" w:fill="FFFFFF"/>
          </w:tcPr>
          <w:p>
            <w:pPr>
              <w:jc w:val="right"/>
              <w:rPr>
                <w:sz w:val="20"/>
              </w:rPr>
            </w:pPr>
            <w:r>
              <w:t>202.15</w:t>
            </w:r>
          </w:p>
        </w:tc>
        <w:tc>
          <w:tcPr>
            <w:tcW w:w="444" w:type="pct"/>
            <w:shd w:val="clear" w:color="000000" w:fill="FFFFFF"/>
          </w:tcPr>
          <w:p>
            <w:pPr>
              <w:jc w:val="right"/>
              <w:rPr>
                <w:sz w:val="20"/>
              </w:rPr>
            </w:pPr>
            <w:r>
              <w:t>202.15</w:t>
            </w:r>
          </w:p>
        </w:tc>
        <w:tc>
          <w:tcPr>
            <w:tcW w:w="444" w:type="pct"/>
            <w:shd w:val="clear" w:color="000000" w:fill="FFFFFF"/>
          </w:tcPr>
          <w:p>
            <w:pPr>
              <w:jc w:val="right"/>
              <w:rPr>
                <w:sz w:val="20"/>
              </w:rPr>
            </w:pPr>
            <w:r>
              <w:t>202.15</w:t>
            </w:r>
          </w:p>
        </w:tc>
        <w:tc>
          <w:tcPr>
            <w:tcW w:w="444" w:type="pct"/>
            <w:shd w:val="clear" w:color="000000" w:fill="FFFFFF"/>
          </w:tcPr>
          <w:p>
            <w:pPr>
              <w:jc w:val="right"/>
              <w:rPr>
                <w:sz w:val="20"/>
              </w:rPr>
            </w:pPr>
            <w:r>
              <w:t>207.19</w:t>
            </w:r>
          </w:p>
        </w:tc>
        <w:tc>
          <w:tcPr>
            <w:tcW w:w="444" w:type="pct"/>
            <w:shd w:val="clear" w:color="000000" w:fill="FFFFFF"/>
          </w:tcPr>
          <w:p>
            <w:pPr>
              <w:jc w:val="right"/>
              <w:rPr>
                <w:sz w:val="20"/>
              </w:rPr>
            </w:pPr>
            <w:r>
              <w:t>207.89</w:t>
            </w:r>
          </w:p>
        </w:tc>
        <w:tc>
          <w:tcPr>
            <w:tcW w:w="444" w:type="pct"/>
            <w:shd w:val="clear" w:color="000000" w:fill="FFFFFF"/>
          </w:tcPr>
          <w:p>
            <w:pPr>
              <w:jc w:val="right"/>
              <w:rPr>
                <w:sz w:val="20"/>
              </w:rPr>
            </w:pPr>
            <w:r>
              <w:t>207.89</w:t>
            </w:r>
          </w:p>
        </w:tc>
        <w:tc>
          <w:tcPr>
            <w:tcW w:w="444" w:type="pct"/>
            <w:shd w:val="clear" w:color="000000" w:fill="FFFFFF"/>
          </w:tcPr>
          <w:p>
            <w:pPr>
              <w:jc w:val="right"/>
              <w:rPr>
                <w:sz w:val="20"/>
              </w:rPr>
            </w:pPr>
            <w:r>
              <w:t>207.89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经营活动现金净流量</w:t>
            </w:r>
          </w:p>
        </w:tc>
        <w:tc>
          <w:tcPr>
            <w:tcW w:w="475" w:type="pct"/>
            <w:vAlign w:val="center"/>
          </w:tcPr>
          <w:p>
            <w:pPr>
              <w:jc w:val="center"/>
              <w:rPr>
                <w:rFonts w:hint="eastAsia" w:ascii="宋体" w:hAnsi="宋体" w:cs="仿宋_GB2312"/>
                <w:sz w:val="18"/>
                <w:szCs w:val="18"/>
              </w:rPr>
            </w:pPr>
            <w:r>
              <w:rPr>
                <w:rFonts w:hint="eastAsia" w:ascii="宋体" w:hAnsi="宋体" w:cs="仿宋_GB2312"/>
                <w:sz w:val="18"/>
                <w:szCs w:val="18"/>
              </w:rPr>
              <w:t>D</w:t>
            </w:r>
            <w:r>
              <w:rPr>
                <w:rFonts w:ascii="宋体" w:hAnsi="宋体" w:cs="仿宋_GB2312"/>
                <w:sz w:val="18"/>
                <w:szCs w:val="18"/>
              </w:rPr>
              <w:t>=A-B-C</w:t>
            </w:r>
          </w:p>
        </w:tc>
        <w:tc>
          <w:tcPr>
            <w:tcW w:w="444" w:type="pct"/>
          </w:tcPr>
          <w:p>
            <w:pPr>
              <w:jc w:val="right"/>
              <w:rPr>
                <w:sz w:val="20"/>
              </w:rPr>
            </w:pPr>
            <w:r>
              <w:t>3,979.51</w:t>
            </w:r>
          </w:p>
        </w:tc>
        <w:tc>
          <w:tcPr>
            <w:tcW w:w="444" w:type="pct"/>
            <w:shd w:val="clear" w:color="auto" w:fill="auto"/>
          </w:tcPr>
          <w:p>
            <w:pPr>
              <w:jc w:val="right"/>
              <w:rPr>
                <w:sz w:val="20"/>
              </w:rPr>
            </w:pPr>
            <w:r>
              <w:t>3,979.51</w:t>
            </w:r>
          </w:p>
        </w:tc>
        <w:tc>
          <w:tcPr>
            <w:tcW w:w="444" w:type="pct"/>
          </w:tcPr>
          <w:p>
            <w:pPr>
              <w:jc w:val="right"/>
              <w:rPr>
                <w:sz w:val="20"/>
              </w:rPr>
            </w:pPr>
            <w:r>
              <w:t>3,979.51</w:t>
            </w:r>
          </w:p>
        </w:tc>
        <w:tc>
          <w:tcPr>
            <w:tcW w:w="444" w:type="pct"/>
            <w:shd w:val="clear" w:color="auto" w:fill="auto"/>
          </w:tcPr>
          <w:p>
            <w:pPr>
              <w:jc w:val="right"/>
              <w:rPr>
                <w:sz w:val="20"/>
              </w:rPr>
            </w:pPr>
            <w:r>
              <w:t>3,979.51</w:t>
            </w:r>
          </w:p>
        </w:tc>
        <w:tc>
          <w:tcPr>
            <w:tcW w:w="444" w:type="pct"/>
            <w:shd w:val="clear" w:color="auto" w:fill="auto"/>
          </w:tcPr>
          <w:p>
            <w:pPr>
              <w:jc w:val="right"/>
              <w:rPr>
                <w:sz w:val="20"/>
              </w:rPr>
            </w:pPr>
            <w:r>
              <w:t>3,974.47</w:t>
            </w:r>
          </w:p>
        </w:tc>
        <w:tc>
          <w:tcPr>
            <w:tcW w:w="444" w:type="pct"/>
          </w:tcPr>
          <w:p>
            <w:pPr>
              <w:jc w:val="right"/>
              <w:rPr>
                <w:sz w:val="20"/>
              </w:rPr>
            </w:pPr>
            <w:r>
              <w:t>3,973.77</w:t>
            </w:r>
          </w:p>
        </w:tc>
        <w:tc>
          <w:tcPr>
            <w:tcW w:w="444" w:type="pct"/>
          </w:tcPr>
          <w:p>
            <w:pPr>
              <w:jc w:val="right"/>
              <w:rPr>
                <w:sz w:val="20"/>
              </w:rPr>
            </w:pPr>
            <w:r>
              <w:t>3,973.77</w:t>
            </w:r>
          </w:p>
        </w:tc>
        <w:tc>
          <w:tcPr>
            <w:tcW w:w="444" w:type="pct"/>
            <w:shd w:val="clear" w:color="auto" w:fill="auto"/>
          </w:tcPr>
          <w:p>
            <w:pPr>
              <w:jc w:val="right"/>
              <w:rPr>
                <w:sz w:val="20"/>
              </w:rPr>
            </w:pPr>
            <w:r>
              <w:t>3,973.77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rPr>
                <w:rFonts w:hint="eastAsia" w:ascii="宋体" w:hAnsi="宋体" w:cs="仿宋_GB2312"/>
                <w:sz w:val="18"/>
                <w:szCs w:val="18"/>
              </w:rPr>
            </w:pPr>
            <w:r>
              <w:rPr>
                <w:rFonts w:hint="eastAsia" w:ascii="宋体" w:hAnsi="宋体" w:cs="仿宋_GB2312"/>
                <w:sz w:val="18"/>
                <w:szCs w:val="18"/>
              </w:rPr>
              <w:t>二、投资活动产生的现金</w:t>
            </w:r>
          </w:p>
        </w:tc>
        <w:tc>
          <w:tcPr>
            <w:tcW w:w="475" w:type="pct"/>
            <w:vAlign w:val="center"/>
          </w:tcPr>
          <w:p>
            <w:pPr>
              <w:jc w:val="center"/>
              <w:rPr>
                <w:rFonts w:hint="eastAsia" w:ascii="宋体" w:hAnsi="宋体" w:cs="仿宋_GB2312"/>
                <w:sz w:val="18"/>
                <w:szCs w:val="18"/>
              </w:rPr>
            </w:pPr>
            <w:r>
              <w:rPr>
                <w:rFonts w:hint="eastAsia" w:ascii="宋体" w:hAnsi="宋体" w:cs="仿宋_GB2312"/>
                <w:sz w:val="18"/>
                <w:szCs w:val="18"/>
              </w:rPr>
              <w:t>—</w:t>
            </w:r>
          </w:p>
        </w:tc>
        <w:tc>
          <w:tcPr>
            <w:tcW w:w="444" w:type="pct"/>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建设成本支出</w:t>
            </w:r>
          </w:p>
        </w:tc>
        <w:tc>
          <w:tcPr>
            <w:tcW w:w="475" w:type="pct"/>
            <w:vAlign w:val="center"/>
          </w:tcPr>
          <w:p>
            <w:pPr>
              <w:jc w:val="center"/>
              <w:rPr>
                <w:rFonts w:hint="eastAsia" w:ascii="宋体" w:hAnsi="宋体" w:cs="仿宋_GB2312"/>
                <w:sz w:val="18"/>
                <w:szCs w:val="18"/>
              </w:rPr>
            </w:pPr>
            <w:r>
              <w:rPr>
                <w:rFonts w:hint="eastAsia" w:ascii="宋体" w:hAnsi="宋体" w:cs="仿宋_GB2312"/>
                <w:sz w:val="18"/>
                <w:szCs w:val="18"/>
              </w:rPr>
              <w:t>E</w:t>
            </w:r>
          </w:p>
        </w:tc>
        <w:tc>
          <w:tcPr>
            <w:tcW w:w="444" w:type="pct"/>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流动资金支出</w:t>
            </w:r>
          </w:p>
        </w:tc>
        <w:tc>
          <w:tcPr>
            <w:tcW w:w="475" w:type="pct"/>
            <w:vAlign w:val="center"/>
          </w:tcPr>
          <w:p>
            <w:pPr>
              <w:jc w:val="center"/>
              <w:rPr>
                <w:rFonts w:hint="eastAsia" w:ascii="宋体" w:hAnsi="宋体" w:cs="仿宋_GB2312"/>
                <w:sz w:val="18"/>
                <w:szCs w:val="18"/>
              </w:rPr>
            </w:pPr>
            <w:r>
              <w:rPr>
                <w:rFonts w:hint="eastAsia" w:ascii="宋体" w:hAnsi="宋体" w:cs="仿宋_GB2312"/>
                <w:sz w:val="18"/>
                <w:szCs w:val="18"/>
              </w:rPr>
              <w:t>F</w:t>
            </w:r>
          </w:p>
        </w:tc>
        <w:tc>
          <w:tcPr>
            <w:tcW w:w="444" w:type="pct"/>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投资活动现金净流量</w:t>
            </w:r>
          </w:p>
        </w:tc>
        <w:tc>
          <w:tcPr>
            <w:tcW w:w="475" w:type="pct"/>
            <w:vAlign w:val="center"/>
          </w:tcPr>
          <w:p>
            <w:pPr>
              <w:jc w:val="center"/>
              <w:rPr>
                <w:rFonts w:hint="eastAsia" w:ascii="宋体" w:hAnsi="宋体" w:cs="仿宋_GB2312"/>
                <w:sz w:val="18"/>
                <w:szCs w:val="18"/>
              </w:rPr>
            </w:pPr>
            <w:r>
              <w:rPr>
                <w:rFonts w:hint="eastAsia" w:ascii="宋体" w:hAnsi="宋体" w:cs="仿宋_GB2312"/>
                <w:sz w:val="18"/>
                <w:szCs w:val="18"/>
              </w:rPr>
              <w:t>G</w:t>
            </w:r>
            <w:r>
              <w:rPr>
                <w:rFonts w:ascii="宋体" w:hAnsi="宋体" w:cs="仿宋_GB2312"/>
                <w:sz w:val="18"/>
                <w:szCs w:val="18"/>
              </w:rPr>
              <w:t>=-E-F</w:t>
            </w:r>
          </w:p>
        </w:tc>
        <w:tc>
          <w:tcPr>
            <w:tcW w:w="444" w:type="pct"/>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rPr>
                <w:rFonts w:hint="eastAsia" w:ascii="宋体" w:hAnsi="宋体" w:cs="仿宋_GB2312"/>
                <w:sz w:val="18"/>
                <w:szCs w:val="18"/>
              </w:rPr>
            </w:pPr>
            <w:r>
              <w:rPr>
                <w:rFonts w:hint="eastAsia" w:ascii="宋体" w:hAnsi="宋体" w:cs="仿宋_GB2312"/>
                <w:sz w:val="18"/>
                <w:szCs w:val="18"/>
              </w:rPr>
              <w:t>三、融资活动产生的现金</w:t>
            </w:r>
          </w:p>
        </w:tc>
        <w:tc>
          <w:tcPr>
            <w:tcW w:w="475" w:type="pct"/>
            <w:vAlign w:val="center"/>
          </w:tcPr>
          <w:p>
            <w:pPr>
              <w:jc w:val="center"/>
              <w:rPr>
                <w:rFonts w:hint="eastAsia" w:ascii="宋体" w:hAnsi="宋体" w:cs="仿宋_GB2312"/>
                <w:color w:val="000000"/>
                <w:sz w:val="18"/>
                <w:szCs w:val="18"/>
              </w:rPr>
            </w:pPr>
            <w:r>
              <w:rPr>
                <w:rFonts w:hint="eastAsia" w:ascii="宋体" w:hAnsi="宋体" w:cs="仿宋_GB2312"/>
                <w:sz w:val="18"/>
                <w:szCs w:val="18"/>
              </w:rPr>
              <w:t>—</w:t>
            </w:r>
          </w:p>
        </w:tc>
        <w:tc>
          <w:tcPr>
            <w:tcW w:w="444" w:type="pct"/>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tcPr>
          <w:p>
            <w:pPr>
              <w:ind w:firstLine="360" w:firstLineChars="200"/>
              <w:rPr>
                <w:rFonts w:hint="eastAsia" w:ascii="宋体" w:hAnsi="宋体" w:cs="仿宋_GB2312"/>
                <w:sz w:val="18"/>
                <w:szCs w:val="18"/>
              </w:rPr>
            </w:pPr>
            <w:r>
              <w:rPr>
                <w:rFonts w:hint="eastAsia" w:ascii="宋体" w:hAnsi="宋体" w:cs="仿宋_GB2312"/>
                <w:sz w:val="18"/>
                <w:szCs w:val="18"/>
              </w:rPr>
              <w:t>资本金（自有资金）</w:t>
            </w:r>
          </w:p>
        </w:tc>
        <w:tc>
          <w:tcPr>
            <w:tcW w:w="475" w:type="pct"/>
            <w:vAlign w:val="center"/>
          </w:tcPr>
          <w:p>
            <w:pPr>
              <w:jc w:val="center"/>
              <w:rPr>
                <w:rFonts w:hint="eastAsia" w:ascii="宋体" w:hAnsi="宋体" w:cs="仿宋_GB2312"/>
                <w:color w:val="000000"/>
                <w:sz w:val="18"/>
                <w:szCs w:val="18"/>
              </w:rPr>
            </w:pPr>
            <w:r>
              <w:rPr>
                <w:rFonts w:hint="eastAsia" w:ascii="宋体" w:hAnsi="宋体" w:cs="仿宋_GB2312"/>
                <w:color w:val="000000"/>
                <w:sz w:val="18"/>
                <w:szCs w:val="18"/>
              </w:rPr>
              <w:t>H</w:t>
            </w:r>
          </w:p>
        </w:tc>
        <w:tc>
          <w:tcPr>
            <w:tcW w:w="444" w:type="pct"/>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tcPr>
          <w:p>
            <w:pPr>
              <w:ind w:firstLine="360" w:firstLineChars="200"/>
              <w:rPr>
                <w:rFonts w:hint="eastAsia" w:ascii="宋体" w:hAnsi="宋体" w:cs="仿宋_GB2312"/>
                <w:sz w:val="18"/>
                <w:szCs w:val="18"/>
              </w:rPr>
            </w:pPr>
            <w:r>
              <w:rPr>
                <w:rFonts w:hint="eastAsia" w:ascii="宋体" w:hAnsi="宋体" w:cs="仿宋_GB2312"/>
                <w:sz w:val="18"/>
                <w:szCs w:val="18"/>
              </w:rPr>
              <w:t>专项债券</w:t>
            </w:r>
          </w:p>
        </w:tc>
        <w:tc>
          <w:tcPr>
            <w:tcW w:w="475"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I</w:t>
            </w:r>
          </w:p>
        </w:tc>
        <w:tc>
          <w:tcPr>
            <w:tcW w:w="444" w:type="pct"/>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c>
          <w:tcPr>
            <w:tcW w:w="444" w:type="pct"/>
            <w:shd w:val="clear" w:color="auto" w:fill="auto"/>
          </w:tcPr>
          <w:p>
            <w:pPr>
              <w:jc w:val="right"/>
              <w:rPr>
                <w:sz w:val="20"/>
              </w:rPr>
            </w:pPr>
          </w:p>
        </w:tc>
        <w:tc>
          <w:tcPr>
            <w:tcW w:w="444" w:type="pct"/>
          </w:tcPr>
          <w:p>
            <w:pPr>
              <w:jc w:val="right"/>
              <w:rPr>
                <w:sz w:val="20"/>
              </w:rPr>
            </w:pPr>
          </w:p>
        </w:tc>
        <w:tc>
          <w:tcPr>
            <w:tcW w:w="444" w:type="pct"/>
          </w:tcPr>
          <w:p>
            <w:pPr>
              <w:jc w:val="right"/>
              <w:rPr>
                <w:sz w:val="20"/>
              </w:rPr>
            </w:pPr>
          </w:p>
        </w:tc>
        <w:tc>
          <w:tcPr>
            <w:tcW w:w="444" w:type="pct"/>
            <w:shd w:val="clear" w:color="auto" w:fill="auto"/>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tcPr>
          <w:p>
            <w:pPr>
              <w:ind w:firstLine="360" w:firstLineChars="200"/>
              <w:rPr>
                <w:rFonts w:hint="eastAsia" w:ascii="宋体" w:hAnsi="宋体" w:cs="仿宋_GB2312"/>
                <w:sz w:val="18"/>
                <w:szCs w:val="18"/>
              </w:rPr>
            </w:pPr>
            <w:r>
              <w:rPr>
                <w:rFonts w:hint="eastAsia" w:ascii="宋体" w:hAnsi="宋体" w:cs="仿宋_GB2312"/>
                <w:sz w:val="18"/>
                <w:szCs w:val="18"/>
              </w:rPr>
              <w:t>银行借款</w:t>
            </w:r>
          </w:p>
        </w:tc>
        <w:tc>
          <w:tcPr>
            <w:tcW w:w="475"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J</w:t>
            </w: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tcPr>
          <w:p>
            <w:pPr>
              <w:ind w:firstLine="360" w:firstLineChars="200"/>
              <w:rPr>
                <w:rFonts w:hint="eastAsia" w:ascii="宋体" w:hAnsi="宋体" w:cs="仿宋_GB2312"/>
                <w:sz w:val="18"/>
                <w:szCs w:val="18"/>
              </w:rPr>
            </w:pPr>
            <w:r>
              <w:rPr>
                <w:rFonts w:hint="eastAsia" w:ascii="宋体" w:hAnsi="宋体" w:cs="仿宋_GB2312"/>
                <w:sz w:val="18"/>
                <w:szCs w:val="18"/>
              </w:rPr>
              <w:t>偿还债券本金</w:t>
            </w:r>
          </w:p>
        </w:tc>
        <w:tc>
          <w:tcPr>
            <w:tcW w:w="475"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K</w:t>
            </w: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r>
              <w:t>2,000.00</w:t>
            </w:r>
          </w:p>
        </w:tc>
        <w:tc>
          <w:tcPr>
            <w:tcW w:w="444" w:type="pct"/>
            <w:shd w:val="clear" w:color="000000" w:fill="FFFFFF"/>
          </w:tcPr>
          <w:p>
            <w:pPr>
              <w:jc w:val="right"/>
              <w:rPr>
                <w:sz w:val="20"/>
              </w:rPr>
            </w:pPr>
            <w:r>
              <w:t>800.00</w:t>
            </w: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tcPr>
          <w:p>
            <w:pPr>
              <w:ind w:firstLine="360" w:firstLineChars="200"/>
              <w:rPr>
                <w:rFonts w:hint="eastAsia" w:ascii="宋体" w:hAnsi="宋体" w:cs="仿宋_GB2312"/>
                <w:sz w:val="18"/>
                <w:szCs w:val="18"/>
              </w:rPr>
            </w:pPr>
            <w:r>
              <w:rPr>
                <w:rFonts w:hint="eastAsia" w:ascii="宋体" w:hAnsi="宋体" w:cs="仿宋_GB2312"/>
                <w:sz w:val="18"/>
                <w:szCs w:val="18"/>
              </w:rPr>
              <w:t>偿还银行借款本金</w:t>
            </w:r>
          </w:p>
        </w:tc>
        <w:tc>
          <w:tcPr>
            <w:tcW w:w="475"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L</w:t>
            </w: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tcPr>
          <w:p>
            <w:pPr>
              <w:ind w:firstLine="360" w:firstLineChars="200"/>
              <w:rPr>
                <w:rFonts w:hint="eastAsia" w:ascii="宋体" w:hAnsi="宋体" w:cs="仿宋_GB2312"/>
                <w:sz w:val="18"/>
                <w:szCs w:val="18"/>
              </w:rPr>
            </w:pPr>
            <w:r>
              <w:rPr>
                <w:rFonts w:hint="eastAsia" w:ascii="宋体" w:hAnsi="宋体" w:cs="仿宋_GB2312"/>
                <w:sz w:val="18"/>
                <w:szCs w:val="18"/>
              </w:rPr>
              <w:t>支付债券利息</w:t>
            </w:r>
          </w:p>
        </w:tc>
        <w:tc>
          <w:tcPr>
            <w:tcW w:w="475"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M</w:t>
            </w:r>
          </w:p>
        </w:tc>
        <w:tc>
          <w:tcPr>
            <w:tcW w:w="444" w:type="pct"/>
            <w:shd w:val="clear" w:color="000000" w:fill="FFFFFF"/>
          </w:tcPr>
          <w:p>
            <w:pPr>
              <w:jc w:val="right"/>
              <w:rPr>
                <w:sz w:val="20"/>
              </w:rPr>
            </w:pPr>
            <w:r>
              <w:t>780.46</w:t>
            </w:r>
          </w:p>
        </w:tc>
        <w:tc>
          <w:tcPr>
            <w:tcW w:w="444" w:type="pct"/>
            <w:shd w:val="clear" w:color="000000" w:fill="FFFFFF"/>
          </w:tcPr>
          <w:p>
            <w:pPr>
              <w:jc w:val="right"/>
              <w:rPr>
                <w:sz w:val="20"/>
              </w:rPr>
            </w:pPr>
            <w:r>
              <w:t>780.46</w:t>
            </w:r>
          </w:p>
        </w:tc>
        <w:tc>
          <w:tcPr>
            <w:tcW w:w="444" w:type="pct"/>
            <w:shd w:val="clear" w:color="000000" w:fill="FFFFFF"/>
          </w:tcPr>
          <w:p>
            <w:pPr>
              <w:jc w:val="right"/>
              <w:rPr>
                <w:sz w:val="20"/>
              </w:rPr>
            </w:pPr>
            <w:r>
              <w:t>780.46</w:t>
            </w:r>
          </w:p>
        </w:tc>
        <w:tc>
          <w:tcPr>
            <w:tcW w:w="444" w:type="pct"/>
            <w:shd w:val="clear" w:color="000000" w:fill="FFFFFF"/>
          </w:tcPr>
          <w:p>
            <w:pPr>
              <w:jc w:val="right"/>
              <w:rPr>
                <w:sz w:val="20"/>
              </w:rPr>
            </w:pPr>
            <w:r>
              <w:t>780.46</w:t>
            </w:r>
          </w:p>
        </w:tc>
        <w:tc>
          <w:tcPr>
            <w:tcW w:w="444" w:type="pct"/>
            <w:shd w:val="clear" w:color="000000" w:fill="FFFFFF"/>
          </w:tcPr>
          <w:p>
            <w:pPr>
              <w:jc w:val="right"/>
              <w:rPr>
                <w:sz w:val="20"/>
              </w:rPr>
            </w:pPr>
            <w:r>
              <w:t>730.02</w:t>
            </w:r>
          </w:p>
        </w:tc>
        <w:tc>
          <w:tcPr>
            <w:tcW w:w="444" w:type="pct"/>
            <w:shd w:val="clear" w:color="000000" w:fill="FFFFFF"/>
          </w:tcPr>
          <w:p>
            <w:pPr>
              <w:jc w:val="right"/>
              <w:rPr>
                <w:sz w:val="20"/>
              </w:rPr>
            </w:pPr>
            <w:r>
              <w:t>722.98</w:t>
            </w:r>
          </w:p>
        </w:tc>
        <w:tc>
          <w:tcPr>
            <w:tcW w:w="444" w:type="pct"/>
            <w:shd w:val="clear" w:color="000000" w:fill="FFFFFF"/>
          </w:tcPr>
          <w:p>
            <w:pPr>
              <w:jc w:val="right"/>
              <w:rPr>
                <w:sz w:val="20"/>
              </w:rPr>
            </w:pPr>
            <w:r>
              <w:t>722.98</w:t>
            </w:r>
          </w:p>
        </w:tc>
        <w:tc>
          <w:tcPr>
            <w:tcW w:w="444" w:type="pct"/>
            <w:shd w:val="clear" w:color="000000" w:fill="FFFFFF"/>
          </w:tcPr>
          <w:p>
            <w:pPr>
              <w:jc w:val="right"/>
              <w:rPr>
                <w:sz w:val="20"/>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tcPr>
          <w:p>
            <w:pPr>
              <w:ind w:firstLine="360" w:firstLineChars="200"/>
              <w:rPr>
                <w:rFonts w:hint="eastAsia" w:ascii="宋体" w:hAnsi="宋体" w:cs="仿宋_GB2312"/>
                <w:sz w:val="18"/>
                <w:szCs w:val="18"/>
              </w:rPr>
            </w:pPr>
            <w:r>
              <w:rPr>
                <w:rFonts w:hint="eastAsia" w:ascii="宋体" w:hAnsi="宋体" w:cs="仿宋_GB2312"/>
                <w:sz w:val="18"/>
                <w:szCs w:val="18"/>
              </w:rPr>
              <w:t>支付银行借款利息</w:t>
            </w:r>
          </w:p>
        </w:tc>
        <w:tc>
          <w:tcPr>
            <w:tcW w:w="475"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N</w:t>
            </w: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c>
          <w:tcPr>
            <w:tcW w:w="444" w:type="pct"/>
            <w:shd w:val="clear" w:color="000000" w:fill="FFFFFF"/>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融资活动现金净流量</w:t>
            </w:r>
          </w:p>
        </w:tc>
        <w:tc>
          <w:tcPr>
            <w:tcW w:w="475" w:type="pct"/>
          </w:tcPr>
          <w:p>
            <w:pPr>
              <w:jc w:val="center"/>
              <w:rPr>
                <w:rFonts w:hint="eastAsia" w:ascii="宋体" w:hAnsi="宋体" w:cs="仿宋_GB2312"/>
                <w:color w:val="000000"/>
                <w:sz w:val="18"/>
                <w:szCs w:val="18"/>
              </w:rPr>
            </w:pPr>
            <w:r>
              <w:rPr>
                <w:rFonts w:ascii="宋体" w:hAnsi="宋体" w:cs="仿宋_GB2312"/>
                <w:color w:val="000000"/>
                <w:sz w:val="13"/>
                <w:szCs w:val="13"/>
              </w:rPr>
              <w:t>O=H+I+J-K-L-M-N</w:t>
            </w:r>
          </w:p>
        </w:tc>
        <w:tc>
          <w:tcPr>
            <w:tcW w:w="444" w:type="pct"/>
          </w:tcPr>
          <w:p>
            <w:pPr>
              <w:jc w:val="right"/>
              <w:rPr>
                <w:sz w:val="20"/>
              </w:rPr>
            </w:pPr>
            <w:r>
              <w:t>-780.46</w:t>
            </w:r>
          </w:p>
        </w:tc>
        <w:tc>
          <w:tcPr>
            <w:tcW w:w="444" w:type="pct"/>
            <w:shd w:val="clear" w:color="auto" w:fill="auto"/>
          </w:tcPr>
          <w:p>
            <w:pPr>
              <w:jc w:val="right"/>
              <w:rPr>
                <w:sz w:val="20"/>
              </w:rPr>
            </w:pPr>
            <w:r>
              <w:t>-780.46</w:t>
            </w:r>
          </w:p>
        </w:tc>
        <w:tc>
          <w:tcPr>
            <w:tcW w:w="444" w:type="pct"/>
          </w:tcPr>
          <w:p>
            <w:pPr>
              <w:jc w:val="right"/>
              <w:rPr>
                <w:sz w:val="20"/>
              </w:rPr>
            </w:pPr>
            <w:r>
              <w:t>-780.46</w:t>
            </w:r>
          </w:p>
        </w:tc>
        <w:tc>
          <w:tcPr>
            <w:tcW w:w="444" w:type="pct"/>
            <w:shd w:val="clear" w:color="auto" w:fill="auto"/>
          </w:tcPr>
          <w:p>
            <w:pPr>
              <w:jc w:val="right"/>
              <w:rPr>
                <w:sz w:val="20"/>
              </w:rPr>
            </w:pPr>
            <w:r>
              <w:t>-2,780.46</w:t>
            </w:r>
          </w:p>
        </w:tc>
        <w:tc>
          <w:tcPr>
            <w:tcW w:w="444" w:type="pct"/>
            <w:shd w:val="clear" w:color="auto" w:fill="auto"/>
          </w:tcPr>
          <w:p>
            <w:pPr>
              <w:jc w:val="right"/>
              <w:rPr>
                <w:sz w:val="20"/>
              </w:rPr>
            </w:pPr>
            <w:r>
              <w:t>-1,530.02</w:t>
            </w:r>
          </w:p>
        </w:tc>
        <w:tc>
          <w:tcPr>
            <w:tcW w:w="444" w:type="pct"/>
          </w:tcPr>
          <w:p>
            <w:pPr>
              <w:jc w:val="right"/>
              <w:rPr>
                <w:sz w:val="20"/>
              </w:rPr>
            </w:pPr>
            <w:r>
              <w:t>-722.98</w:t>
            </w:r>
          </w:p>
        </w:tc>
        <w:tc>
          <w:tcPr>
            <w:tcW w:w="444" w:type="pct"/>
          </w:tcPr>
          <w:p>
            <w:pPr>
              <w:jc w:val="right"/>
              <w:rPr>
                <w:sz w:val="20"/>
              </w:rPr>
            </w:pPr>
            <w:r>
              <w:t>-722.98</w:t>
            </w:r>
          </w:p>
        </w:tc>
        <w:tc>
          <w:tcPr>
            <w:tcW w:w="444" w:type="pct"/>
            <w:shd w:val="clear" w:color="auto" w:fill="auto"/>
          </w:tcPr>
          <w:p>
            <w:pPr>
              <w:jc w:val="right"/>
              <w:rPr>
                <w:sz w:val="20"/>
              </w:rPr>
            </w:pPr>
            <w:r>
              <w:t>-722.98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rPr>
                <w:rFonts w:hint="eastAsia" w:ascii="宋体" w:hAnsi="宋体" w:cs="仿宋_GB2312"/>
                <w:sz w:val="18"/>
                <w:szCs w:val="18"/>
              </w:rPr>
            </w:pPr>
            <w:r>
              <w:rPr>
                <w:rFonts w:hint="eastAsia" w:ascii="宋体" w:hAnsi="宋体" w:cs="仿宋_GB2312"/>
                <w:sz w:val="18"/>
                <w:szCs w:val="18"/>
              </w:rPr>
              <w:t>四、期初现金</w:t>
            </w:r>
          </w:p>
        </w:tc>
        <w:tc>
          <w:tcPr>
            <w:tcW w:w="475"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P</w:t>
            </w:r>
          </w:p>
        </w:tc>
        <w:tc>
          <w:tcPr>
            <w:tcW w:w="444" w:type="pct"/>
          </w:tcPr>
          <w:p>
            <w:pPr>
              <w:jc w:val="right"/>
              <w:rPr>
                <w:sz w:val="20"/>
              </w:rPr>
            </w:pPr>
            <w:r>
              <w:t>10,642.59</w:t>
            </w:r>
          </w:p>
        </w:tc>
        <w:tc>
          <w:tcPr>
            <w:tcW w:w="444" w:type="pct"/>
            <w:shd w:val="clear" w:color="auto" w:fill="auto"/>
          </w:tcPr>
          <w:p>
            <w:pPr>
              <w:jc w:val="right"/>
              <w:rPr>
                <w:sz w:val="20"/>
              </w:rPr>
            </w:pPr>
            <w:r>
              <w:t>13,841.65</w:t>
            </w:r>
          </w:p>
        </w:tc>
        <w:tc>
          <w:tcPr>
            <w:tcW w:w="444" w:type="pct"/>
          </w:tcPr>
          <w:p>
            <w:pPr>
              <w:jc w:val="right"/>
              <w:rPr>
                <w:sz w:val="20"/>
              </w:rPr>
            </w:pPr>
            <w:r>
              <w:t>17,040.71</w:t>
            </w:r>
          </w:p>
        </w:tc>
        <w:tc>
          <w:tcPr>
            <w:tcW w:w="444" w:type="pct"/>
            <w:shd w:val="clear" w:color="auto" w:fill="auto"/>
          </w:tcPr>
          <w:p>
            <w:pPr>
              <w:jc w:val="right"/>
              <w:rPr>
                <w:sz w:val="20"/>
              </w:rPr>
            </w:pPr>
            <w:r>
              <w:t>20,239.77</w:t>
            </w:r>
          </w:p>
        </w:tc>
        <w:tc>
          <w:tcPr>
            <w:tcW w:w="444" w:type="pct"/>
            <w:shd w:val="clear" w:color="auto" w:fill="auto"/>
          </w:tcPr>
          <w:p>
            <w:pPr>
              <w:jc w:val="right"/>
              <w:rPr>
                <w:sz w:val="20"/>
              </w:rPr>
            </w:pPr>
            <w:r>
              <w:t>21,438.83</w:t>
            </w:r>
          </w:p>
        </w:tc>
        <w:tc>
          <w:tcPr>
            <w:tcW w:w="444" w:type="pct"/>
          </w:tcPr>
          <w:p>
            <w:pPr>
              <w:jc w:val="right"/>
              <w:rPr>
                <w:sz w:val="20"/>
              </w:rPr>
            </w:pPr>
            <w:r>
              <w:t>23,883.28</w:t>
            </w:r>
          </w:p>
        </w:tc>
        <w:tc>
          <w:tcPr>
            <w:tcW w:w="444" w:type="pct"/>
          </w:tcPr>
          <w:p>
            <w:pPr>
              <w:jc w:val="right"/>
              <w:rPr>
                <w:sz w:val="20"/>
              </w:rPr>
            </w:pPr>
            <w:r>
              <w:t>27,134.07</w:t>
            </w:r>
          </w:p>
        </w:tc>
        <w:tc>
          <w:tcPr>
            <w:tcW w:w="444" w:type="pct"/>
            <w:shd w:val="clear" w:color="auto" w:fill="auto"/>
          </w:tcPr>
          <w:p>
            <w:pPr>
              <w:jc w:val="right"/>
              <w:rPr>
                <w:sz w:val="20"/>
              </w:rPr>
            </w:pPr>
            <w:r>
              <w:t>30,384.86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期内现金变动</w:t>
            </w:r>
          </w:p>
        </w:tc>
        <w:tc>
          <w:tcPr>
            <w:tcW w:w="475"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Q=D+G+O</w:t>
            </w:r>
          </w:p>
        </w:tc>
        <w:tc>
          <w:tcPr>
            <w:tcW w:w="444" w:type="pct"/>
          </w:tcPr>
          <w:p>
            <w:pPr>
              <w:jc w:val="right"/>
              <w:rPr>
                <w:sz w:val="20"/>
              </w:rPr>
            </w:pPr>
            <w:r>
              <w:t>3,199.06</w:t>
            </w:r>
          </w:p>
        </w:tc>
        <w:tc>
          <w:tcPr>
            <w:tcW w:w="444" w:type="pct"/>
            <w:shd w:val="clear" w:color="auto" w:fill="auto"/>
          </w:tcPr>
          <w:p>
            <w:pPr>
              <w:jc w:val="right"/>
              <w:rPr>
                <w:sz w:val="20"/>
              </w:rPr>
            </w:pPr>
            <w:r>
              <w:t>3,199.06</w:t>
            </w:r>
          </w:p>
        </w:tc>
        <w:tc>
          <w:tcPr>
            <w:tcW w:w="444" w:type="pct"/>
          </w:tcPr>
          <w:p>
            <w:pPr>
              <w:jc w:val="right"/>
              <w:rPr>
                <w:sz w:val="20"/>
              </w:rPr>
            </w:pPr>
            <w:r>
              <w:t>3,199.06</w:t>
            </w:r>
          </w:p>
        </w:tc>
        <w:tc>
          <w:tcPr>
            <w:tcW w:w="444" w:type="pct"/>
            <w:shd w:val="clear" w:color="auto" w:fill="auto"/>
          </w:tcPr>
          <w:p>
            <w:pPr>
              <w:jc w:val="right"/>
              <w:rPr>
                <w:sz w:val="20"/>
              </w:rPr>
            </w:pPr>
            <w:r>
              <w:t>1,199.06</w:t>
            </w:r>
          </w:p>
        </w:tc>
        <w:tc>
          <w:tcPr>
            <w:tcW w:w="444" w:type="pct"/>
            <w:shd w:val="clear" w:color="auto" w:fill="auto"/>
          </w:tcPr>
          <w:p>
            <w:pPr>
              <w:jc w:val="right"/>
              <w:rPr>
                <w:sz w:val="20"/>
              </w:rPr>
            </w:pPr>
            <w:r>
              <w:t>2,444.45</w:t>
            </w:r>
          </w:p>
        </w:tc>
        <w:tc>
          <w:tcPr>
            <w:tcW w:w="444" w:type="pct"/>
          </w:tcPr>
          <w:p>
            <w:pPr>
              <w:jc w:val="right"/>
              <w:rPr>
                <w:sz w:val="20"/>
              </w:rPr>
            </w:pPr>
            <w:r>
              <w:t>3,250.79</w:t>
            </w:r>
          </w:p>
        </w:tc>
        <w:tc>
          <w:tcPr>
            <w:tcW w:w="444" w:type="pct"/>
          </w:tcPr>
          <w:p>
            <w:pPr>
              <w:jc w:val="right"/>
              <w:rPr>
                <w:sz w:val="20"/>
              </w:rPr>
            </w:pPr>
            <w:r>
              <w:t>3,250.79</w:t>
            </w:r>
          </w:p>
        </w:tc>
        <w:tc>
          <w:tcPr>
            <w:tcW w:w="444" w:type="pct"/>
            <w:shd w:val="clear" w:color="auto" w:fill="auto"/>
          </w:tcPr>
          <w:p>
            <w:pPr>
              <w:jc w:val="right"/>
              <w:rPr>
                <w:sz w:val="20"/>
              </w:rPr>
            </w:pPr>
            <w:r>
              <w:t>3,250.79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971" w:type="pct"/>
            <w:tcBorders>
              <w:bottom w:val="single" w:color="auto" w:sz="8" w:space="0"/>
            </w:tcBorders>
            <w:vAlign w:val="center"/>
          </w:tcPr>
          <w:p>
            <w:pPr>
              <w:rPr>
                <w:rFonts w:hint="eastAsia" w:ascii="宋体" w:hAnsi="宋体" w:cs="仿宋_GB2312"/>
                <w:sz w:val="18"/>
                <w:szCs w:val="18"/>
              </w:rPr>
            </w:pPr>
            <w:r>
              <w:rPr>
                <w:rFonts w:hint="eastAsia" w:ascii="宋体" w:hAnsi="宋体" w:cs="仿宋_GB2312"/>
                <w:sz w:val="18"/>
                <w:szCs w:val="18"/>
              </w:rPr>
              <w:t>五、期末现金</w:t>
            </w:r>
          </w:p>
        </w:tc>
        <w:tc>
          <w:tcPr>
            <w:tcW w:w="475" w:type="pct"/>
            <w:tcBorders>
              <w:bottom w:val="single" w:color="auto" w:sz="8" w:space="0"/>
            </w:tcBorders>
            <w:vAlign w:val="center"/>
          </w:tcPr>
          <w:p>
            <w:pPr>
              <w:jc w:val="center"/>
              <w:rPr>
                <w:rFonts w:hint="eastAsia" w:ascii="宋体" w:hAnsi="宋体" w:cs="仿宋_GB2312"/>
                <w:color w:val="000000"/>
                <w:sz w:val="18"/>
                <w:szCs w:val="18"/>
              </w:rPr>
            </w:pPr>
            <w:r>
              <w:rPr>
                <w:rFonts w:ascii="宋体" w:hAnsi="宋体" w:cs="仿宋_GB2312"/>
                <w:color w:val="000000"/>
                <w:sz w:val="18"/>
                <w:szCs w:val="18"/>
              </w:rPr>
              <w:t>R=P+Q</w:t>
            </w:r>
          </w:p>
        </w:tc>
        <w:tc>
          <w:tcPr>
            <w:tcW w:w="444" w:type="pct"/>
            <w:tcBorders>
              <w:bottom w:val="single" w:color="auto" w:sz="8" w:space="0"/>
            </w:tcBorders>
          </w:tcPr>
          <w:p>
            <w:pPr>
              <w:jc w:val="right"/>
              <w:rPr>
                <w:sz w:val="20"/>
              </w:rPr>
            </w:pPr>
            <w:r>
              <w:t>13,841.65</w:t>
            </w:r>
          </w:p>
        </w:tc>
        <w:tc>
          <w:tcPr>
            <w:tcW w:w="444" w:type="pct"/>
            <w:tcBorders>
              <w:bottom w:val="single" w:color="auto" w:sz="8" w:space="0"/>
            </w:tcBorders>
            <w:shd w:val="clear" w:color="auto" w:fill="auto"/>
          </w:tcPr>
          <w:p>
            <w:pPr>
              <w:jc w:val="right"/>
              <w:rPr>
                <w:sz w:val="20"/>
              </w:rPr>
            </w:pPr>
            <w:r>
              <w:t>17,040.71</w:t>
            </w:r>
          </w:p>
        </w:tc>
        <w:tc>
          <w:tcPr>
            <w:tcW w:w="444" w:type="pct"/>
            <w:tcBorders>
              <w:bottom w:val="single" w:color="auto" w:sz="8" w:space="0"/>
            </w:tcBorders>
          </w:tcPr>
          <w:p>
            <w:pPr>
              <w:jc w:val="right"/>
              <w:rPr>
                <w:sz w:val="20"/>
              </w:rPr>
            </w:pPr>
            <w:r>
              <w:t>20,239.77</w:t>
            </w:r>
          </w:p>
        </w:tc>
        <w:tc>
          <w:tcPr>
            <w:tcW w:w="444" w:type="pct"/>
            <w:tcBorders>
              <w:bottom w:val="single" w:color="auto" w:sz="8" w:space="0"/>
            </w:tcBorders>
            <w:shd w:val="clear" w:color="auto" w:fill="auto"/>
          </w:tcPr>
          <w:p>
            <w:pPr>
              <w:jc w:val="right"/>
              <w:rPr>
                <w:sz w:val="20"/>
              </w:rPr>
            </w:pPr>
            <w:r>
              <w:t>21,438.83</w:t>
            </w:r>
          </w:p>
        </w:tc>
        <w:tc>
          <w:tcPr>
            <w:tcW w:w="444" w:type="pct"/>
            <w:tcBorders>
              <w:bottom w:val="single" w:color="auto" w:sz="8" w:space="0"/>
            </w:tcBorders>
            <w:shd w:val="clear" w:color="auto" w:fill="auto"/>
          </w:tcPr>
          <w:p>
            <w:pPr>
              <w:jc w:val="right"/>
              <w:rPr>
                <w:sz w:val="20"/>
              </w:rPr>
            </w:pPr>
            <w:r>
              <w:t>23,883.28</w:t>
            </w:r>
          </w:p>
        </w:tc>
        <w:tc>
          <w:tcPr>
            <w:tcW w:w="444" w:type="pct"/>
            <w:tcBorders>
              <w:bottom w:val="single" w:color="auto" w:sz="8" w:space="0"/>
            </w:tcBorders>
          </w:tcPr>
          <w:p>
            <w:pPr>
              <w:jc w:val="right"/>
              <w:rPr>
                <w:sz w:val="20"/>
              </w:rPr>
            </w:pPr>
            <w:r>
              <w:t>27,134.07</w:t>
            </w:r>
          </w:p>
        </w:tc>
        <w:tc>
          <w:tcPr>
            <w:tcW w:w="444" w:type="pct"/>
            <w:tcBorders>
              <w:bottom w:val="single" w:color="auto" w:sz="8" w:space="0"/>
            </w:tcBorders>
          </w:tcPr>
          <w:p>
            <w:pPr>
              <w:jc w:val="right"/>
              <w:rPr>
                <w:sz w:val="20"/>
              </w:rPr>
            </w:pPr>
            <w:r>
              <w:t>30,384.86</w:t>
            </w:r>
          </w:p>
        </w:tc>
        <w:tc>
          <w:tcPr>
            <w:tcW w:w="444" w:type="pct"/>
            <w:tcBorders>
              <w:bottom w:val="single" w:color="auto" w:sz="8" w:space="0"/>
            </w:tcBorders>
            <w:shd w:val="clear" w:color="auto" w:fill="auto"/>
          </w:tcPr>
          <w:p>
            <w:pPr>
              <w:jc w:val="right"/>
              <w:rPr>
                <w:sz w:val="20"/>
              </w:rPr>
            </w:pPr>
            <w:r>
              <w:t>33,635.65</w:t>
            </w:r>
          </w:p>
        </w:tc>
      </w:tr>
      <w:bookmarkEnd w:id="37"/>
    </w:tbl>
    <w:p>
      <w:pPr>
        <w:pStyle w:val="33"/>
        <w:spacing w:line="240" w:lineRule="exact"/>
      </w:pPr>
    </w:p>
    <w:p>
      <w:pPr>
        <w:overflowPunct w:val="0"/>
        <w:jc w:val="center"/>
        <w:textAlignment w:val="center"/>
        <w:rPr>
          <w:rFonts w:eastAsia="楷体_GB2312" w:cstheme="minorBidi"/>
          <w:sz w:val="32"/>
          <w:szCs w:val="22"/>
        </w:rPr>
      </w:pPr>
      <w:r>
        <w:rPr>
          <w:rFonts w:hint="eastAsia" w:eastAsia="楷体_GB2312" w:cstheme="minorBidi"/>
          <w:sz w:val="32"/>
          <w:szCs w:val="22"/>
        </w:rPr>
        <w:t>表5  项目资金测算平衡表（单位：万元）（续）</w:t>
      </w:r>
    </w:p>
    <w:tbl>
      <w:tblPr>
        <w:tblStyle w:val="1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1245"/>
        <w:gridCol w:w="1074"/>
        <w:gridCol w:w="1183"/>
        <w:gridCol w:w="1191"/>
        <w:gridCol w:w="1191"/>
        <w:gridCol w:w="1191"/>
        <w:gridCol w:w="1191"/>
        <w:gridCol w:w="1191"/>
        <w:gridCol w:w="118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tcBorders>
              <w:top w:val="single" w:color="auto" w:sz="8" w:space="0"/>
            </w:tcBorders>
            <w:vAlign w:val="center"/>
          </w:tcPr>
          <w:p>
            <w:pPr>
              <w:jc w:val="center"/>
              <w:rPr>
                <w:rFonts w:hint="eastAsia" w:ascii="黑体" w:hAnsi="黑体" w:eastAsia="黑体" w:cs="仿宋_GB2312"/>
                <w:sz w:val="18"/>
                <w:szCs w:val="18"/>
              </w:rPr>
            </w:pPr>
            <w:r>
              <w:rPr>
                <w:rFonts w:hint="eastAsia" w:ascii="黑体" w:hAnsi="黑体" w:eastAsia="黑体" w:cs="仿宋_GB2312"/>
                <w:sz w:val="18"/>
                <w:szCs w:val="18"/>
              </w:rPr>
              <w:t>项目/年度</w:t>
            </w:r>
          </w:p>
        </w:tc>
        <w:tc>
          <w:tcPr>
            <w:tcW w:w="480" w:type="pct"/>
            <w:tcBorders>
              <w:top w:val="single" w:color="auto" w:sz="8"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公式</w:t>
            </w:r>
          </w:p>
        </w:tc>
        <w:tc>
          <w:tcPr>
            <w:tcW w:w="414" w:type="pct"/>
            <w:tcBorders>
              <w:top w:val="single" w:color="auto" w:sz="8" w:space="0"/>
            </w:tcBorders>
          </w:tcPr>
          <w:p>
            <w:pPr>
              <w:jc w:val="center"/>
            </w:pPr>
            <w:r>
              <w:rPr>
                <w:rFonts w:hint="eastAsia"/>
              </w:rPr>
              <w:t>2</w:t>
            </w:r>
            <w:r>
              <w:t>039</w:t>
            </w:r>
            <w:r>
              <w:rPr>
                <w:rFonts w:hint="eastAsia"/>
              </w:rPr>
              <w:t>年</w:t>
            </w:r>
          </w:p>
        </w:tc>
        <w:tc>
          <w:tcPr>
            <w:tcW w:w="456" w:type="pct"/>
            <w:tcBorders>
              <w:top w:val="single" w:color="auto" w:sz="8" w:space="0"/>
            </w:tcBorders>
          </w:tcPr>
          <w:p>
            <w:pPr>
              <w:jc w:val="center"/>
              <w:rPr>
                <w:rFonts w:hint="eastAsia" w:ascii="黑体" w:hAnsi="黑体" w:eastAsia="黑体" w:cs="仿宋_GB2312"/>
                <w:color w:val="000000"/>
                <w:sz w:val="18"/>
                <w:szCs w:val="18"/>
              </w:rPr>
            </w:pPr>
            <w:r>
              <w:rPr>
                <w:rFonts w:hint="eastAsia"/>
              </w:rPr>
              <w:t>2040年</w:t>
            </w:r>
          </w:p>
        </w:tc>
        <w:tc>
          <w:tcPr>
            <w:tcW w:w="459" w:type="pct"/>
            <w:tcBorders>
              <w:top w:val="single" w:color="auto" w:sz="8" w:space="0"/>
            </w:tcBorders>
          </w:tcPr>
          <w:p>
            <w:pPr>
              <w:jc w:val="center"/>
              <w:rPr>
                <w:rFonts w:hint="eastAsia" w:ascii="黑体" w:hAnsi="黑体" w:eastAsia="黑体" w:cs="仿宋_GB2312"/>
                <w:color w:val="000000"/>
                <w:sz w:val="18"/>
                <w:szCs w:val="18"/>
              </w:rPr>
            </w:pPr>
            <w:r>
              <w:rPr>
                <w:rFonts w:hint="eastAsia"/>
              </w:rPr>
              <w:t>2041年</w:t>
            </w:r>
          </w:p>
        </w:tc>
        <w:tc>
          <w:tcPr>
            <w:tcW w:w="459" w:type="pct"/>
            <w:tcBorders>
              <w:top w:val="single" w:color="auto" w:sz="8" w:space="0"/>
            </w:tcBorders>
          </w:tcPr>
          <w:p>
            <w:pPr>
              <w:jc w:val="center"/>
              <w:rPr>
                <w:rFonts w:hint="eastAsia" w:ascii="黑体" w:hAnsi="黑体" w:eastAsia="黑体" w:cs="仿宋_GB2312"/>
                <w:color w:val="000000"/>
                <w:sz w:val="18"/>
                <w:szCs w:val="18"/>
              </w:rPr>
            </w:pPr>
            <w:r>
              <w:rPr>
                <w:rFonts w:hint="eastAsia"/>
              </w:rPr>
              <w:t>2042年</w:t>
            </w:r>
          </w:p>
        </w:tc>
        <w:tc>
          <w:tcPr>
            <w:tcW w:w="459" w:type="pct"/>
            <w:tcBorders>
              <w:top w:val="single" w:color="auto" w:sz="8" w:space="0"/>
            </w:tcBorders>
          </w:tcPr>
          <w:p>
            <w:pPr>
              <w:jc w:val="center"/>
              <w:rPr>
                <w:rFonts w:hint="eastAsia" w:ascii="黑体" w:hAnsi="黑体" w:eastAsia="黑体" w:cs="仿宋_GB2312"/>
                <w:color w:val="000000"/>
                <w:sz w:val="18"/>
                <w:szCs w:val="18"/>
              </w:rPr>
            </w:pPr>
            <w:r>
              <w:rPr>
                <w:rFonts w:hint="eastAsia"/>
              </w:rPr>
              <w:t>2043年</w:t>
            </w:r>
          </w:p>
        </w:tc>
        <w:tc>
          <w:tcPr>
            <w:tcW w:w="459" w:type="pct"/>
            <w:tcBorders>
              <w:top w:val="single" w:color="auto" w:sz="8" w:space="0"/>
            </w:tcBorders>
          </w:tcPr>
          <w:p>
            <w:pPr>
              <w:jc w:val="center"/>
              <w:rPr>
                <w:rFonts w:hint="eastAsia" w:ascii="黑体" w:hAnsi="黑体" w:eastAsia="黑体" w:cs="仿宋_GB2312"/>
                <w:color w:val="000000"/>
                <w:sz w:val="18"/>
                <w:szCs w:val="18"/>
              </w:rPr>
            </w:pPr>
            <w:r>
              <w:rPr>
                <w:rFonts w:hint="eastAsia"/>
              </w:rPr>
              <w:t>2044年</w:t>
            </w:r>
          </w:p>
        </w:tc>
        <w:tc>
          <w:tcPr>
            <w:tcW w:w="459" w:type="pct"/>
            <w:tcBorders>
              <w:top w:val="single" w:color="auto" w:sz="8" w:space="0"/>
            </w:tcBorders>
          </w:tcPr>
          <w:p>
            <w:pPr>
              <w:jc w:val="center"/>
              <w:rPr>
                <w:rFonts w:hint="eastAsia" w:ascii="黑体" w:hAnsi="黑体" w:eastAsia="黑体" w:cs="仿宋_GB2312"/>
                <w:color w:val="000000"/>
                <w:sz w:val="18"/>
                <w:szCs w:val="18"/>
              </w:rPr>
            </w:pPr>
            <w:r>
              <w:rPr>
                <w:rFonts w:hint="eastAsia"/>
              </w:rPr>
              <w:t>2045年</w:t>
            </w:r>
          </w:p>
        </w:tc>
        <w:tc>
          <w:tcPr>
            <w:tcW w:w="457" w:type="pct"/>
            <w:tcBorders>
              <w:top w:val="single" w:color="auto" w:sz="8" w:space="0"/>
            </w:tcBorders>
          </w:tcPr>
          <w:p>
            <w:pPr>
              <w:jc w:val="center"/>
            </w:pPr>
            <w:r>
              <w:rPr>
                <w:rFonts w:hint="eastAsia"/>
              </w:rPr>
              <w:t>2</w:t>
            </w:r>
            <w:r>
              <w:t>046</w:t>
            </w:r>
            <w:r>
              <w:rPr>
                <w:rFonts w:hint="eastAsia"/>
              </w:rPr>
              <w:t>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tcBorders>
              <w:top w:val="single" w:color="auto" w:sz="8" w:space="0"/>
            </w:tcBorders>
            <w:vAlign w:val="center"/>
          </w:tcPr>
          <w:p>
            <w:pPr>
              <w:rPr>
                <w:rFonts w:hint="eastAsia" w:ascii="宋体" w:hAnsi="宋体" w:cs="仿宋_GB2312"/>
                <w:sz w:val="18"/>
                <w:szCs w:val="18"/>
              </w:rPr>
            </w:pPr>
            <w:r>
              <w:rPr>
                <w:rFonts w:hint="eastAsia" w:ascii="宋体" w:hAnsi="宋体" w:cs="仿宋_GB2312"/>
                <w:sz w:val="18"/>
                <w:szCs w:val="18"/>
              </w:rPr>
              <w:t>一、经营活动产生的现金</w:t>
            </w:r>
          </w:p>
        </w:tc>
        <w:tc>
          <w:tcPr>
            <w:tcW w:w="480" w:type="pct"/>
            <w:tcBorders>
              <w:top w:val="single" w:color="auto" w:sz="8" w:space="0"/>
            </w:tcBorders>
            <w:vAlign w:val="center"/>
          </w:tcPr>
          <w:p>
            <w:pPr>
              <w:jc w:val="center"/>
              <w:rPr>
                <w:rFonts w:hint="eastAsia" w:ascii="宋体" w:hAnsi="宋体" w:cs="仿宋_GB2312"/>
                <w:sz w:val="18"/>
                <w:szCs w:val="18"/>
              </w:rPr>
            </w:pPr>
            <w:r>
              <w:rPr>
                <w:rFonts w:hint="eastAsia" w:ascii="宋体" w:hAnsi="宋体" w:cs="仿宋_GB2312"/>
                <w:sz w:val="18"/>
                <w:szCs w:val="18"/>
              </w:rPr>
              <w:t>—</w:t>
            </w:r>
          </w:p>
        </w:tc>
        <w:tc>
          <w:tcPr>
            <w:tcW w:w="414" w:type="pct"/>
            <w:tcBorders>
              <w:top w:val="single" w:color="auto" w:sz="8" w:space="0"/>
            </w:tcBorders>
          </w:tcPr>
          <w:p>
            <w:pPr>
              <w:jc w:val="right"/>
              <w:rPr>
                <w:rFonts w:hint="eastAsia" w:ascii="宋体" w:hAnsi="宋体" w:cs="仿宋_GB2312"/>
                <w:sz w:val="18"/>
                <w:szCs w:val="18"/>
              </w:rPr>
            </w:pPr>
          </w:p>
        </w:tc>
        <w:tc>
          <w:tcPr>
            <w:tcW w:w="456" w:type="pct"/>
            <w:tcBorders>
              <w:top w:val="single" w:color="auto" w:sz="8" w:space="0"/>
            </w:tcBorders>
          </w:tcPr>
          <w:p>
            <w:pPr>
              <w:jc w:val="right"/>
              <w:rPr>
                <w:rFonts w:hint="eastAsia" w:ascii="宋体" w:hAnsi="宋体" w:cs="仿宋_GB2312"/>
                <w:sz w:val="18"/>
                <w:szCs w:val="18"/>
              </w:rPr>
            </w:pPr>
          </w:p>
        </w:tc>
        <w:tc>
          <w:tcPr>
            <w:tcW w:w="459" w:type="pct"/>
            <w:tcBorders>
              <w:top w:val="single" w:color="auto" w:sz="8" w:space="0"/>
            </w:tcBorders>
            <w:shd w:val="clear" w:color="auto" w:fill="auto"/>
          </w:tcPr>
          <w:p>
            <w:pPr>
              <w:jc w:val="right"/>
              <w:rPr>
                <w:rFonts w:hint="eastAsia" w:ascii="宋体" w:hAnsi="宋体" w:cs="仿宋_GB2312"/>
                <w:sz w:val="18"/>
                <w:szCs w:val="18"/>
              </w:rPr>
            </w:pPr>
          </w:p>
        </w:tc>
        <w:tc>
          <w:tcPr>
            <w:tcW w:w="459" w:type="pct"/>
            <w:tcBorders>
              <w:top w:val="single" w:color="auto" w:sz="8" w:space="0"/>
            </w:tcBorders>
          </w:tcPr>
          <w:p>
            <w:pPr>
              <w:jc w:val="right"/>
              <w:rPr>
                <w:rFonts w:hint="eastAsia" w:ascii="宋体" w:hAnsi="宋体" w:cs="仿宋_GB2312"/>
                <w:sz w:val="18"/>
                <w:szCs w:val="18"/>
              </w:rPr>
            </w:pPr>
          </w:p>
        </w:tc>
        <w:tc>
          <w:tcPr>
            <w:tcW w:w="459" w:type="pct"/>
            <w:tcBorders>
              <w:top w:val="single" w:color="auto" w:sz="8" w:space="0"/>
            </w:tcBorders>
            <w:shd w:val="clear" w:color="auto" w:fill="auto"/>
          </w:tcPr>
          <w:p>
            <w:pPr>
              <w:jc w:val="right"/>
              <w:rPr>
                <w:rFonts w:hint="eastAsia" w:ascii="宋体" w:hAnsi="宋体" w:cs="仿宋_GB2312"/>
                <w:sz w:val="18"/>
                <w:szCs w:val="18"/>
              </w:rPr>
            </w:pPr>
          </w:p>
        </w:tc>
        <w:tc>
          <w:tcPr>
            <w:tcW w:w="459" w:type="pct"/>
            <w:tcBorders>
              <w:top w:val="single" w:color="auto" w:sz="8" w:space="0"/>
            </w:tcBorders>
            <w:shd w:val="clear" w:color="auto" w:fill="auto"/>
          </w:tcPr>
          <w:p>
            <w:pPr>
              <w:jc w:val="right"/>
              <w:rPr>
                <w:rFonts w:hint="eastAsia" w:ascii="宋体" w:hAnsi="宋体" w:cs="仿宋_GB2312"/>
                <w:sz w:val="18"/>
                <w:szCs w:val="18"/>
              </w:rPr>
            </w:pPr>
          </w:p>
        </w:tc>
        <w:tc>
          <w:tcPr>
            <w:tcW w:w="459" w:type="pct"/>
            <w:tcBorders>
              <w:top w:val="single" w:color="auto" w:sz="8" w:space="0"/>
            </w:tcBorders>
          </w:tcPr>
          <w:p>
            <w:pPr>
              <w:jc w:val="right"/>
              <w:rPr>
                <w:rFonts w:hint="eastAsia" w:ascii="宋体" w:hAnsi="宋体" w:cs="仿宋_GB2312"/>
                <w:sz w:val="18"/>
                <w:szCs w:val="18"/>
              </w:rPr>
            </w:pPr>
          </w:p>
        </w:tc>
        <w:tc>
          <w:tcPr>
            <w:tcW w:w="457" w:type="pct"/>
            <w:tcBorders>
              <w:top w:val="single" w:color="auto" w:sz="8" w:space="0"/>
            </w:tcBorders>
          </w:tcPr>
          <w:p>
            <w:pPr>
              <w:jc w:val="right"/>
              <w:rPr>
                <w:rFonts w:hint="eastAsia" w:ascii="宋体" w:hAnsi="宋体" w:cs="仿宋_GB2312"/>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经营活动收入</w:t>
            </w:r>
          </w:p>
        </w:tc>
        <w:tc>
          <w:tcPr>
            <w:tcW w:w="480" w:type="pct"/>
            <w:vAlign w:val="center"/>
          </w:tcPr>
          <w:p>
            <w:pPr>
              <w:jc w:val="center"/>
              <w:rPr>
                <w:rFonts w:hint="eastAsia" w:ascii="宋体" w:hAnsi="宋体" w:cs="仿宋_GB2312"/>
                <w:sz w:val="18"/>
                <w:szCs w:val="18"/>
              </w:rPr>
            </w:pPr>
            <w:r>
              <w:rPr>
                <w:rFonts w:ascii="宋体" w:hAnsi="宋体" w:cs="仿宋_GB2312"/>
                <w:sz w:val="18"/>
                <w:szCs w:val="18"/>
              </w:rPr>
              <w:t>A</w:t>
            </w:r>
          </w:p>
        </w:tc>
        <w:tc>
          <w:tcPr>
            <w:tcW w:w="414" w:type="pct"/>
          </w:tcPr>
          <w:p>
            <w:pPr>
              <w:jc w:val="right"/>
              <w:rPr>
                <w:color w:val="000000"/>
                <w:sz w:val="20"/>
              </w:rPr>
            </w:pPr>
            <w:r>
              <w:t>22,378.88</w:t>
            </w:r>
          </w:p>
        </w:tc>
        <w:tc>
          <w:tcPr>
            <w:tcW w:w="456" w:type="pct"/>
          </w:tcPr>
          <w:p>
            <w:pPr>
              <w:jc w:val="right"/>
              <w:rPr>
                <w:sz w:val="20"/>
              </w:rPr>
            </w:pPr>
            <w:r>
              <w:t>22,378.88</w:t>
            </w:r>
          </w:p>
        </w:tc>
        <w:tc>
          <w:tcPr>
            <w:tcW w:w="459" w:type="pct"/>
            <w:shd w:val="clear" w:color="auto" w:fill="auto"/>
          </w:tcPr>
          <w:p>
            <w:pPr>
              <w:jc w:val="right"/>
              <w:rPr>
                <w:sz w:val="20"/>
              </w:rPr>
            </w:pPr>
            <w:r>
              <w:t>22,378.88</w:t>
            </w:r>
          </w:p>
        </w:tc>
        <w:tc>
          <w:tcPr>
            <w:tcW w:w="459" w:type="pct"/>
          </w:tcPr>
          <w:p>
            <w:pPr>
              <w:jc w:val="right"/>
              <w:rPr>
                <w:sz w:val="20"/>
              </w:rPr>
            </w:pPr>
            <w:r>
              <w:t>22,378.88</w:t>
            </w:r>
          </w:p>
        </w:tc>
        <w:tc>
          <w:tcPr>
            <w:tcW w:w="459" w:type="pct"/>
            <w:shd w:val="clear" w:color="auto" w:fill="auto"/>
          </w:tcPr>
          <w:p>
            <w:pPr>
              <w:jc w:val="right"/>
              <w:rPr>
                <w:sz w:val="20"/>
              </w:rPr>
            </w:pPr>
            <w:r>
              <w:t>22,378.88</w:t>
            </w:r>
          </w:p>
        </w:tc>
        <w:tc>
          <w:tcPr>
            <w:tcW w:w="459" w:type="pct"/>
            <w:shd w:val="clear" w:color="auto" w:fill="auto"/>
          </w:tcPr>
          <w:p>
            <w:pPr>
              <w:jc w:val="right"/>
              <w:rPr>
                <w:sz w:val="20"/>
              </w:rPr>
            </w:pPr>
            <w:r>
              <w:t>22,378.88</w:t>
            </w:r>
          </w:p>
        </w:tc>
        <w:tc>
          <w:tcPr>
            <w:tcW w:w="459" w:type="pct"/>
          </w:tcPr>
          <w:p>
            <w:pPr>
              <w:jc w:val="right"/>
              <w:rPr>
                <w:sz w:val="20"/>
              </w:rPr>
            </w:pPr>
            <w:r>
              <w:t>22,378.88</w:t>
            </w:r>
          </w:p>
        </w:tc>
        <w:tc>
          <w:tcPr>
            <w:tcW w:w="457" w:type="pct"/>
          </w:tcPr>
          <w:p>
            <w:pPr>
              <w:jc w:val="right"/>
              <w:rPr>
                <w:sz w:val="20"/>
              </w:rPr>
            </w:pPr>
            <w:r>
              <w:t>22,378.88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经营活动支出</w:t>
            </w:r>
          </w:p>
        </w:tc>
        <w:tc>
          <w:tcPr>
            <w:tcW w:w="480" w:type="pct"/>
            <w:vAlign w:val="center"/>
          </w:tcPr>
          <w:p>
            <w:pPr>
              <w:jc w:val="center"/>
              <w:rPr>
                <w:rFonts w:hint="eastAsia" w:ascii="宋体" w:hAnsi="宋体" w:cs="仿宋_GB2312"/>
                <w:sz w:val="18"/>
                <w:szCs w:val="18"/>
              </w:rPr>
            </w:pPr>
            <w:r>
              <w:rPr>
                <w:rFonts w:ascii="宋体" w:hAnsi="宋体" w:cs="仿宋_GB2312"/>
                <w:sz w:val="18"/>
                <w:szCs w:val="18"/>
              </w:rPr>
              <w:t>B</w:t>
            </w:r>
          </w:p>
        </w:tc>
        <w:tc>
          <w:tcPr>
            <w:tcW w:w="414" w:type="pct"/>
          </w:tcPr>
          <w:p>
            <w:pPr>
              <w:jc w:val="right"/>
              <w:rPr>
                <w:color w:val="000000"/>
                <w:sz w:val="20"/>
              </w:rPr>
            </w:pPr>
            <w:r>
              <w:t>18,197.22</w:t>
            </w:r>
          </w:p>
        </w:tc>
        <w:tc>
          <w:tcPr>
            <w:tcW w:w="456" w:type="pct"/>
          </w:tcPr>
          <w:p>
            <w:pPr>
              <w:jc w:val="right"/>
              <w:rPr>
                <w:sz w:val="20"/>
              </w:rPr>
            </w:pPr>
            <w:r>
              <w:t>18,197.22</w:t>
            </w:r>
          </w:p>
        </w:tc>
        <w:tc>
          <w:tcPr>
            <w:tcW w:w="459" w:type="pct"/>
            <w:shd w:val="clear" w:color="auto" w:fill="auto"/>
          </w:tcPr>
          <w:p>
            <w:pPr>
              <w:jc w:val="right"/>
              <w:rPr>
                <w:sz w:val="20"/>
              </w:rPr>
            </w:pPr>
            <w:r>
              <w:t>18,197.22</w:t>
            </w:r>
          </w:p>
        </w:tc>
        <w:tc>
          <w:tcPr>
            <w:tcW w:w="459" w:type="pct"/>
          </w:tcPr>
          <w:p>
            <w:pPr>
              <w:jc w:val="right"/>
              <w:rPr>
                <w:sz w:val="20"/>
              </w:rPr>
            </w:pPr>
            <w:r>
              <w:t>18,197.22</w:t>
            </w:r>
          </w:p>
        </w:tc>
        <w:tc>
          <w:tcPr>
            <w:tcW w:w="459" w:type="pct"/>
            <w:shd w:val="clear" w:color="auto" w:fill="auto"/>
          </w:tcPr>
          <w:p>
            <w:pPr>
              <w:jc w:val="right"/>
              <w:rPr>
                <w:sz w:val="20"/>
              </w:rPr>
            </w:pPr>
            <w:r>
              <w:t>18,197.22</w:t>
            </w:r>
          </w:p>
        </w:tc>
        <w:tc>
          <w:tcPr>
            <w:tcW w:w="459" w:type="pct"/>
            <w:shd w:val="clear" w:color="auto" w:fill="auto"/>
          </w:tcPr>
          <w:p>
            <w:pPr>
              <w:jc w:val="right"/>
              <w:rPr>
                <w:sz w:val="20"/>
              </w:rPr>
            </w:pPr>
            <w:r>
              <w:t>18,197.22</w:t>
            </w:r>
          </w:p>
        </w:tc>
        <w:tc>
          <w:tcPr>
            <w:tcW w:w="459" w:type="pct"/>
          </w:tcPr>
          <w:p>
            <w:pPr>
              <w:jc w:val="right"/>
              <w:rPr>
                <w:sz w:val="20"/>
              </w:rPr>
            </w:pPr>
            <w:r>
              <w:t>18,197.22</w:t>
            </w:r>
          </w:p>
        </w:tc>
        <w:tc>
          <w:tcPr>
            <w:tcW w:w="457" w:type="pct"/>
          </w:tcPr>
          <w:p>
            <w:pPr>
              <w:jc w:val="right"/>
              <w:rPr>
                <w:sz w:val="20"/>
              </w:rPr>
            </w:pPr>
            <w:r>
              <w:t>18,197.22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支付的各项税费</w:t>
            </w:r>
          </w:p>
        </w:tc>
        <w:tc>
          <w:tcPr>
            <w:tcW w:w="480" w:type="pct"/>
            <w:shd w:val="clear" w:color="000000" w:fill="FFFFFF"/>
            <w:vAlign w:val="center"/>
          </w:tcPr>
          <w:p>
            <w:pPr>
              <w:jc w:val="center"/>
              <w:rPr>
                <w:rFonts w:hint="eastAsia" w:ascii="宋体" w:hAnsi="宋体" w:cs="仿宋_GB2312"/>
                <w:sz w:val="18"/>
                <w:szCs w:val="18"/>
              </w:rPr>
            </w:pPr>
            <w:r>
              <w:rPr>
                <w:rFonts w:hint="eastAsia" w:ascii="宋体" w:hAnsi="宋体" w:cs="仿宋_GB2312"/>
                <w:sz w:val="18"/>
                <w:szCs w:val="18"/>
              </w:rPr>
              <w:t>C</w:t>
            </w:r>
          </w:p>
        </w:tc>
        <w:tc>
          <w:tcPr>
            <w:tcW w:w="414" w:type="pct"/>
            <w:shd w:val="clear" w:color="000000" w:fill="FFFFFF"/>
          </w:tcPr>
          <w:p>
            <w:pPr>
              <w:jc w:val="right"/>
              <w:rPr>
                <w:color w:val="000000"/>
                <w:sz w:val="20"/>
              </w:rPr>
            </w:pPr>
            <w:r>
              <w:t>207.89</w:t>
            </w:r>
          </w:p>
        </w:tc>
        <w:tc>
          <w:tcPr>
            <w:tcW w:w="456" w:type="pct"/>
            <w:shd w:val="clear" w:color="000000" w:fill="FFFFFF"/>
          </w:tcPr>
          <w:p>
            <w:pPr>
              <w:jc w:val="right"/>
              <w:rPr>
                <w:sz w:val="20"/>
              </w:rPr>
            </w:pPr>
            <w:r>
              <w:t>207.89</w:t>
            </w:r>
          </w:p>
        </w:tc>
        <w:tc>
          <w:tcPr>
            <w:tcW w:w="459" w:type="pct"/>
            <w:shd w:val="clear" w:color="000000" w:fill="FFFFFF"/>
          </w:tcPr>
          <w:p>
            <w:pPr>
              <w:jc w:val="right"/>
              <w:rPr>
                <w:sz w:val="20"/>
              </w:rPr>
            </w:pPr>
            <w:r>
              <w:t>207.89</w:t>
            </w:r>
          </w:p>
        </w:tc>
        <w:tc>
          <w:tcPr>
            <w:tcW w:w="459" w:type="pct"/>
            <w:shd w:val="clear" w:color="000000" w:fill="FFFFFF"/>
          </w:tcPr>
          <w:p>
            <w:pPr>
              <w:jc w:val="right"/>
              <w:rPr>
                <w:sz w:val="20"/>
              </w:rPr>
            </w:pPr>
            <w:r>
              <w:t>207.89</w:t>
            </w:r>
          </w:p>
        </w:tc>
        <w:tc>
          <w:tcPr>
            <w:tcW w:w="459" w:type="pct"/>
            <w:shd w:val="clear" w:color="000000" w:fill="FFFFFF"/>
          </w:tcPr>
          <w:p>
            <w:pPr>
              <w:jc w:val="right"/>
              <w:rPr>
                <w:sz w:val="20"/>
              </w:rPr>
            </w:pPr>
            <w:r>
              <w:t>207.89</w:t>
            </w:r>
          </w:p>
        </w:tc>
        <w:tc>
          <w:tcPr>
            <w:tcW w:w="459" w:type="pct"/>
            <w:shd w:val="clear" w:color="000000" w:fill="FFFFFF"/>
          </w:tcPr>
          <w:p>
            <w:pPr>
              <w:jc w:val="right"/>
              <w:rPr>
                <w:sz w:val="20"/>
              </w:rPr>
            </w:pPr>
            <w:r>
              <w:t>207.89</w:t>
            </w:r>
          </w:p>
        </w:tc>
        <w:tc>
          <w:tcPr>
            <w:tcW w:w="459" w:type="pct"/>
            <w:shd w:val="clear" w:color="000000" w:fill="FFFFFF"/>
          </w:tcPr>
          <w:p>
            <w:pPr>
              <w:jc w:val="right"/>
              <w:rPr>
                <w:sz w:val="20"/>
              </w:rPr>
            </w:pPr>
            <w:r>
              <w:t>207.89</w:t>
            </w:r>
          </w:p>
        </w:tc>
        <w:tc>
          <w:tcPr>
            <w:tcW w:w="457" w:type="pct"/>
            <w:shd w:val="clear" w:color="000000" w:fill="FFFFFF"/>
          </w:tcPr>
          <w:p>
            <w:pPr>
              <w:jc w:val="right"/>
              <w:rPr>
                <w:sz w:val="20"/>
              </w:rPr>
            </w:pPr>
            <w:r>
              <w:t>244.04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经营活动现金净流量</w:t>
            </w:r>
          </w:p>
        </w:tc>
        <w:tc>
          <w:tcPr>
            <w:tcW w:w="480" w:type="pct"/>
            <w:vAlign w:val="center"/>
          </w:tcPr>
          <w:p>
            <w:pPr>
              <w:jc w:val="center"/>
              <w:rPr>
                <w:rFonts w:hint="eastAsia" w:ascii="宋体" w:hAnsi="宋体" w:cs="仿宋_GB2312"/>
                <w:sz w:val="18"/>
                <w:szCs w:val="18"/>
              </w:rPr>
            </w:pPr>
            <w:r>
              <w:rPr>
                <w:rFonts w:hint="eastAsia" w:ascii="宋体" w:hAnsi="宋体" w:cs="仿宋_GB2312"/>
                <w:sz w:val="18"/>
                <w:szCs w:val="18"/>
              </w:rPr>
              <w:t>D</w:t>
            </w:r>
            <w:r>
              <w:rPr>
                <w:rFonts w:ascii="宋体" w:hAnsi="宋体" w:cs="仿宋_GB2312"/>
                <w:sz w:val="18"/>
                <w:szCs w:val="18"/>
              </w:rPr>
              <w:t>=A-B-C</w:t>
            </w:r>
          </w:p>
        </w:tc>
        <w:tc>
          <w:tcPr>
            <w:tcW w:w="414" w:type="pct"/>
          </w:tcPr>
          <w:p>
            <w:pPr>
              <w:jc w:val="right"/>
              <w:rPr>
                <w:color w:val="000000"/>
                <w:sz w:val="20"/>
              </w:rPr>
            </w:pPr>
            <w:r>
              <w:t>3,973.77</w:t>
            </w:r>
          </w:p>
        </w:tc>
        <w:tc>
          <w:tcPr>
            <w:tcW w:w="456" w:type="pct"/>
          </w:tcPr>
          <w:p>
            <w:pPr>
              <w:jc w:val="right"/>
              <w:rPr>
                <w:sz w:val="20"/>
              </w:rPr>
            </w:pPr>
            <w:r>
              <w:t>3,973.77</w:t>
            </w:r>
          </w:p>
        </w:tc>
        <w:tc>
          <w:tcPr>
            <w:tcW w:w="459" w:type="pct"/>
            <w:shd w:val="clear" w:color="auto" w:fill="auto"/>
          </w:tcPr>
          <w:p>
            <w:pPr>
              <w:jc w:val="right"/>
              <w:rPr>
                <w:sz w:val="20"/>
              </w:rPr>
            </w:pPr>
            <w:r>
              <w:t>3,973.77</w:t>
            </w:r>
          </w:p>
        </w:tc>
        <w:tc>
          <w:tcPr>
            <w:tcW w:w="459" w:type="pct"/>
          </w:tcPr>
          <w:p>
            <w:pPr>
              <w:jc w:val="right"/>
              <w:rPr>
                <w:sz w:val="20"/>
              </w:rPr>
            </w:pPr>
            <w:r>
              <w:t>3,973.77</w:t>
            </w:r>
          </w:p>
        </w:tc>
        <w:tc>
          <w:tcPr>
            <w:tcW w:w="459" w:type="pct"/>
            <w:shd w:val="clear" w:color="auto" w:fill="auto"/>
          </w:tcPr>
          <w:p>
            <w:pPr>
              <w:jc w:val="right"/>
              <w:rPr>
                <w:sz w:val="20"/>
              </w:rPr>
            </w:pPr>
            <w:r>
              <w:t>3,973.77</w:t>
            </w:r>
          </w:p>
        </w:tc>
        <w:tc>
          <w:tcPr>
            <w:tcW w:w="459" w:type="pct"/>
            <w:shd w:val="clear" w:color="auto" w:fill="auto"/>
          </w:tcPr>
          <w:p>
            <w:pPr>
              <w:jc w:val="right"/>
              <w:rPr>
                <w:sz w:val="20"/>
              </w:rPr>
            </w:pPr>
            <w:r>
              <w:t>3,973.77</w:t>
            </w:r>
          </w:p>
        </w:tc>
        <w:tc>
          <w:tcPr>
            <w:tcW w:w="459" w:type="pct"/>
          </w:tcPr>
          <w:p>
            <w:pPr>
              <w:jc w:val="right"/>
              <w:rPr>
                <w:sz w:val="20"/>
              </w:rPr>
            </w:pPr>
            <w:r>
              <w:t>3,973.77</w:t>
            </w:r>
          </w:p>
        </w:tc>
        <w:tc>
          <w:tcPr>
            <w:tcW w:w="457" w:type="pct"/>
          </w:tcPr>
          <w:p>
            <w:pPr>
              <w:jc w:val="right"/>
              <w:rPr>
                <w:sz w:val="20"/>
              </w:rPr>
            </w:pPr>
            <w:r>
              <w:t>3,937.62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rPr>
                <w:rFonts w:hint="eastAsia" w:ascii="宋体" w:hAnsi="宋体" w:cs="仿宋_GB2312"/>
                <w:sz w:val="18"/>
                <w:szCs w:val="18"/>
              </w:rPr>
            </w:pPr>
            <w:r>
              <w:rPr>
                <w:rFonts w:hint="eastAsia" w:ascii="宋体" w:hAnsi="宋体" w:cs="仿宋_GB2312"/>
                <w:sz w:val="18"/>
                <w:szCs w:val="18"/>
              </w:rPr>
              <w:t>二、投资活动产生的现金</w:t>
            </w:r>
          </w:p>
        </w:tc>
        <w:tc>
          <w:tcPr>
            <w:tcW w:w="480" w:type="pct"/>
            <w:vAlign w:val="center"/>
          </w:tcPr>
          <w:p>
            <w:pPr>
              <w:jc w:val="center"/>
              <w:rPr>
                <w:rFonts w:hint="eastAsia" w:ascii="宋体" w:hAnsi="宋体" w:cs="仿宋_GB2312"/>
                <w:sz w:val="18"/>
                <w:szCs w:val="18"/>
              </w:rPr>
            </w:pPr>
            <w:r>
              <w:rPr>
                <w:rFonts w:hint="eastAsia" w:ascii="宋体" w:hAnsi="宋体" w:cs="仿宋_GB2312"/>
                <w:sz w:val="18"/>
                <w:szCs w:val="18"/>
              </w:rPr>
              <w:t>—</w:t>
            </w:r>
          </w:p>
        </w:tc>
        <w:tc>
          <w:tcPr>
            <w:tcW w:w="414" w:type="pct"/>
          </w:tcPr>
          <w:p>
            <w:pPr>
              <w:jc w:val="right"/>
              <w:rPr>
                <w:color w:val="000000"/>
                <w:sz w:val="20"/>
              </w:rPr>
            </w:pPr>
          </w:p>
        </w:tc>
        <w:tc>
          <w:tcPr>
            <w:tcW w:w="456" w:type="pct"/>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9" w:type="pct"/>
            <w:shd w:val="clear" w:color="auto" w:fill="auto"/>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7"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建设成本支出</w:t>
            </w:r>
          </w:p>
        </w:tc>
        <w:tc>
          <w:tcPr>
            <w:tcW w:w="480" w:type="pct"/>
            <w:vAlign w:val="center"/>
          </w:tcPr>
          <w:p>
            <w:pPr>
              <w:jc w:val="center"/>
              <w:rPr>
                <w:rFonts w:hint="eastAsia" w:ascii="宋体" w:hAnsi="宋体" w:cs="仿宋_GB2312"/>
                <w:sz w:val="18"/>
                <w:szCs w:val="18"/>
              </w:rPr>
            </w:pPr>
            <w:r>
              <w:rPr>
                <w:rFonts w:hint="eastAsia" w:ascii="宋体" w:hAnsi="宋体" w:cs="仿宋_GB2312"/>
                <w:sz w:val="18"/>
                <w:szCs w:val="18"/>
              </w:rPr>
              <w:t>E</w:t>
            </w:r>
          </w:p>
        </w:tc>
        <w:tc>
          <w:tcPr>
            <w:tcW w:w="414" w:type="pct"/>
          </w:tcPr>
          <w:p>
            <w:pPr>
              <w:jc w:val="right"/>
              <w:rPr>
                <w:color w:val="000000"/>
                <w:sz w:val="20"/>
              </w:rPr>
            </w:pPr>
          </w:p>
        </w:tc>
        <w:tc>
          <w:tcPr>
            <w:tcW w:w="456" w:type="pct"/>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9" w:type="pct"/>
            <w:shd w:val="clear" w:color="auto" w:fill="auto"/>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7"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流动资金支出</w:t>
            </w:r>
          </w:p>
        </w:tc>
        <w:tc>
          <w:tcPr>
            <w:tcW w:w="480" w:type="pct"/>
            <w:vAlign w:val="center"/>
          </w:tcPr>
          <w:p>
            <w:pPr>
              <w:jc w:val="center"/>
              <w:rPr>
                <w:rFonts w:hint="eastAsia" w:ascii="宋体" w:hAnsi="宋体" w:cs="仿宋_GB2312"/>
                <w:sz w:val="18"/>
                <w:szCs w:val="18"/>
              </w:rPr>
            </w:pPr>
            <w:r>
              <w:rPr>
                <w:rFonts w:hint="eastAsia" w:ascii="宋体" w:hAnsi="宋体" w:cs="仿宋_GB2312"/>
                <w:sz w:val="18"/>
                <w:szCs w:val="18"/>
              </w:rPr>
              <w:t>F</w:t>
            </w:r>
          </w:p>
        </w:tc>
        <w:tc>
          <w:tcPr>
            <w:tcW w:w="414" w:type="pct"/>
          </w:tcPr>
          <w:p>
            <w:pPr>
              <w:jc w:val="right"/>
              <w:rPr>
                <w:color w:val="000000"/>
                <w:sz w:val="20"/>
              </w:rPr>
            </w:pPr>
          </w:p>
        </w:tc>
        <w:tc>
          <w:tcPr>
            <w:tcW w:w="456" w:type="pct"/>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9" w:type="pct"/>
            <w:shd w:val="clear" w:color="auto" w:fill="auto"/>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7"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投资活动现金净流量</w:t>
            </w:r>
          </w:p>
        </w:tc>
        <w:tc>
          <w:tcPr>
            <w:tcW w:w="480" w:type="pct"/>
            <w:vAlign w:val="center"/>
          </w:tcPr>
          <w:p>
            <w:pPr>
              <w:jc w:val="center"/>
              <w:rPr>
                <w:rFonts w:hint="eastAsia" w:ascii="宋体" w:hAnsi="宋体" w:cs="仿宋_GB2312"/>
                <w:sz w:val="18"/>
                <w:szCs w:val="18"/>
              </w:rPr>
            </w:pPr>
            <w:r>
              <w:rPr>
                <w:rFonts w:hint="eastAsia" w:ascii="宋体" w:hAnsi="宋体" w:cs="仿宋_GB2312"/>
                <w:sz w:val="18"/>
                <w:szCs w:val="18"/>
              </w:rPr>
              <w:t>G</w:t>
            </w:r>
            <w:r>
              <w:rPr>
                <w:rFonts w:ascii="宋体" w:hAnsi="宋体" w:cs="仿宋_GB2312"/>
                <w:sz w:val="18"/>
                <w:szCs w:val="18"/>
              </w:rPr>
              <w:t>=-E-F</w:t>
            </w:r>
          </w:p>
        </w:tc>
        <w:tc>
          <w:tcPr>
            <w:tcW w:w="414" w:type="pct"/>
          </w:tcPr>
          <w:p>
            <w:pPr>
              <w:jc w:val="right"/>
              <w:rPr>
                <w:color w:val="000000"/>
                <w:sz w:val="20"/>
              </w:rPr>
            </w:pPr>
          </w:p>
        </w:tc>
        <w:tc>
          <w:tcPr>
            <w:tcW w:w="456" w:type="pct"/>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9" w:type="pct"/>
            <w:shd w:val="clear" w:color="auto" w:fill="auto"/>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7"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rPr>
                <w:rFonts w:hint="eastAsia" w:ascii="宋体" w:hAnsi="宋体" w:cs="仿宋_GB2312"/>
                <w:sz w:val="18"/>
                <w:szCs w:val="18"/>
              </w:rPr>
            </w:pPr>
            <w:r>
              <w:rPr>
                <w:rFonts w:hint="eastAsia" w:ascii="宋体" w:hAnsi="宋体" w:cs="仿宋_GB2312"/>
                <w:sz w:val="18"/>
                <w:szCs w:val="18"/>
              </w:rPr>
              <w:t>三、融资活动产生的现金</w:t>
            </w:r>
          </w:p>
        </w:tc>
        <w:tc>
          <w:tcPr>
            <w:tcW w:w="480" w:type="pct"/>
            <w:vAlign w:val="center"/>
          </w:tcPr>
          <w:p>
            <w:pPr>
              <w:jc w:val="center"/>
              <w:rPr>
                <w:rFonts w:hint="eastAsia" w:ascii="宋体" w:hAnsi="宋体" w:cs="仿宋_GB2312"/>
                <w:color w:val="000000"/>
                <w:sz w:val="18"/>
                <w:szCs w:val="18"/>
              </w:rPr>
            </w:pPr>
            <w:r>
              <w:rPr>
                <w:rFonts w:hint="eastAsia" w:ascii="宋体" w:hAnsi="宋体" w:cs="仿宋_GB2312"/>
                <w:sz w:val="18"/>
                <w:szCs w:val="18"/>
              </w:rPr>
              <w:t>—</w:t>
            </w:r>
          </w:p>
        </w:tc>
        <w:tc>
          <w:tcPr>
            <w:tcW w:w="414" w:type="pct"/>
          </w:tcPr>
          <w:p>
            <w:pPr>
              <w:jc w:val="right"/>
              <w:rPr>
                <w:color w:val="000000"/>
                <w:sz w:val="20"/>
              </w:rPr>
            </w:pPr>
          </w:p>
        </w:tc>
        <w:tc>
          <w:tcPr>
            <w:tcW w:w="456" w:type="pct"/>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9" w:type="pct"/>
            <w:shd w:val="clear" w:color="auto" w:fill="auto"/>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7"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tcPr>
          <w:p>
            <w:pPr>
              <w:ind w:firstLine="360" w:firstLineChars="200"/>
              <w:rPr>
                <w:rFonts w:hint="eastAsia" w:ascii="宋体" w:hAnsi="宋体" w:cs="仿宋_GB2312"/>
                <w:sz w:val="18"/>
                <w:szCs w:val="18"/>
              </w:rPr>
            </w:pPr>
            <w:r>
              <w:rPr>
                <w:rFonts w:hint="eastAsia" w:ascii="宋体" w:hAnsi="宋体" w:cs="仿宋_GB2312"/>
                <w:sz w:val="18"/>
                <w:szCs w:val="18"/>
              </w:rPr>
              <w:t>资本金（自有资金）</w:t>
            </w:r>
          </w:p>
        </w:tc>
        <w:tc>
          <w:tcPr>
            <w:tcW w:w="480" w:type="pct"/>
            <w:vAlign w:val="center"/>
          </w:tcPr>
          <w:p>
            <w:pPr>
              <w:jc w:val="center"/>
              <w:rPr>
                <w:rFonts w:hint="eastAsia" w:ascii="宋体" w:hAnsi="宋体" w:cs="仿宋_GB2312"/>
                <w:color w:val="000000"/>
                <w:sz w:val="18"/>
                <w:szCs w:val="18"/>
              </w:rPr>
            </w:pPr>
            <w:r>
              <w:rPr>
                <w:rFonts w:hint="eastAsia" w:ascii="宋体" w:hAnsi="宋体" w:cs="仿宋_GB2312"/>
                <w:color w:val="000000"/>
                <w:sz w:val="18"/>
                <w:szCs w:val="18"/>
              </w:rPr>
              <w:t>H</w:t>
            </w:r>
          </w:p>
        </w:tc>
        <w:tc>
          <w:tcPr>
            <w:tcW w:w="414" w:type="pct"/>
          </w:tcPr>
          <w:p>
            <w:pPr>
              <w:jc w:val="right"/>
              <w:rPr>
                <w:color w:val="000000"/>
                <w:sz w:val="20"/>
              </w:rPr>
            </w:pPr>
          </w:p>
        </w:tc>
        <w:tc>
          <w:tcPr>
            <w:tcW w:w="456" w:type="pct"/>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9" w:type="pct"/>
            <w:shd w:val="clear" w:color="auto" w:fill="auto"/>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7"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tcPr>
          <w:p>
            <w:pPr>
              <w:ind w:firstLine="360" w:firstLineChars="200"/>
              <w:rPr>
                <w:rFonts w:hint="eastAsia" w:ascii="宋体" w:hAnsi="宋体" w:cs="仿宋_GB2312"/>
                <w:sz w:val="18"/>
                <w:szCs w:val="18"/>
              </w:rPr>
            </w:pPr>
            <w:r>
              <w:rPr>
                <w:rFonts w:hint="eastAsia" w:ascii="宋体" w:hAnsi="宋体" w:cs="仿宋_GB2312"/>
                <w:sz w:val="18"/>
                <w:szCs w:val="18"/>
              </w:rPr>
              <w:t>专项债券</w:t>
            </w:r>
          </w:p>
        </w:tc>
        <w:tc>
          <w:tcPr>
            <w:tcW w:w="480"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I</w:t>
            </w:r>
          </w:p>
        </w:tc>
        <w:tc>
          <w:tcPr>
            <w:tcW w:w="414" w:type="pct"/>
          </w:tcPr>
          <w:p>
            <w:pPr>
              <w:jc w:val="right"/>
              <w:rPr>
                <w:color w:val="000000"/>
                <w:sz w:val="20"/>
              </w:rPr>
            </w:pPr>
          </w:p>
        </w:tc>
        <w:tc>
          <w:tcPr>
            <w:tcW w:w="456" w:type="pct"/>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9" w:type="pct"/>
            <w:shd w:val="clear" w:color="auto" w:fill="auto"/>
          </w:tcPr>
          <w:p>
            <w:pPr>
              <w:jc w:val="right"/>
              <w:rPr>
                <w:sz w:val="20"/>
              </w:rPr>
            </w:pPr>
          </w:p>
        </w:tc>
        <w:tc>
          <w:tcPr>
            <w:tcW w:w="459" w:type="pct"/>
            <w:shd w:val="clear" w:color="auto" w:fill="auto"/>
          </w:tcPr>
          <w:p>
            <w:pPr>
              <w:jc w:val="right"/>
              <w:rPr>
                <w:sz w:val="20"/>
              </w:rPr>
            </w:pPr>
          </w:p>
        </w:tc>
        <w:tc>
          <w:tcPr>
            <w:tcW w:w="459" w:type="pct"/>
          </w:tcPr>
          <w:p>
            <w:pPr>
              <w:jc w:val="right"/>
              <w:rPr>
                <w:sz w:val="20"/>
              </w:rPr>
            </w:pPr>
          </w:p>
        </w:tc>
        <w:tc>
          <w:tcPr>
            <w:tcW w:w="457" w:type="pct"/>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tcPr>
          <w:p>
            <w:pPr>
              <w:ind w:firstLine="360" w:firstLineChars="200"/>
              <w:rPr>
                <w:rFonts w:hint="eastAsia" w:ascii="宋体" w:hAnsi="宋体" w:cs="仿宋_GB2312"/>
                <w:sz w:val="18"/>
                <w:szCs w:val="18"/>
              </w:rPr>
            </w:pPr>
            <w:r>
              <w:rPr>
                <w:rFonts w:hint="eastAsia" w:ascii="宋体" w:hAnsi="宋体" w:cs="仿宋_GB2312"/>
                <w:sz w:val="18"/>
                <w:szCs w:val="18"/>
              </w:rPr>
              <w:t>银行借款</w:t>
            </w:r>
          </w:p>
        </w:tc>
        <w:tc>
          <w:tcPr>
            <w:tcW w:w="480"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J</w:t>
            </w:r>
          </w:p>
        </w:tc>
        <w:tc>
          <w:tcPr>
            <w:tcW w:w="414" w:type="pct"/>
            <w:shd w:val="clear" w:color="000000" w:fill="FFFFFF"/>
          </w:tcPr>
          <w:p>
            <w:pPr>
              <w:jc w:val="right"/>
              <w:rPr>
                <w:color w:val="000000"/>
                <w:sz w:val="20"/>
              </w:rPr>
            </w:pPr>
          </w:p>
        </w:tc>
        <w:tc>
          <w:tcPr>
            <w:tcW w:w="456"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7" w:type="pct"/>
            <w:shd w:val="clear" w:color="000000" w:fill="FFFFFF"/>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tcPr>
          <w:p>
            <w:pPr>
              <w:ind w:firstLine="360" w:firstLineChars="200"/>
              <w:rPr>
                <w:rFonts w:hint="eastAsia" w:ascii="宋体" w:hAnsi="宋体" w:cs="仿宋_GB2312"/>
                <w:sz w:val="18"/>
                <w:szCs w:val="18"/>
              </w:rPr>
            </w:pPr>
            <w:r>
              <w:rPr>
                <w:rFonts w:hint="eastAsia" w:ascii="宋体" w:hAnsi="宋体" w:cs="仿宋_GB2312"/>
                <w:sz w:val="18"/>
                <w:szCs w:val="18"/>
              </w:rPr>
              <w:t>偿还债券本金</w:t>
            </w:r>
          </w:p>
        </w:tc>
        <w:tc>
          <w:tcPr>
            <w:tcW w:w="480"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K</w:t>
            </w:r>
          </w:p>
        </w:tc>
        <w:tc>
          <w:tcPr>
            <w:tcW w:w="414" w:type="pct"/>
            <w:shd w:val="clear" w:color="000000" w:fill="FFFFFF"/>
          </w:tcPr>
          <w:p>
            <w:pPr>
              <w:jc w:val="right"/>
              <w:rPr>
                <w:color w:val="000000"/>
                <w:sz w:val="20"/>
              </w:rPr>
            </w:pPr>
          </w:p>
        </w:tc>
        <w:tc>
          <w:tcPr>
            <w:tcW w:w="456"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7" w:type="pct"/>
            <w:shd w:val="clear" w:color="000000" w:fill="FFFFFF"/>
          </w:tcPr>
          <w:p>
            <w:pPr>
              <w:jc w:val="right"/>
              <w:rPr>
                <w:sz w:val="20"/>
              </w:rPr>
            </w:pPr>
            <w:r>
              <w:t>22,593.00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tcPr>
          <w:p>
            <w:pPr>
              <w:ind w:firstLine="360" w:firstLineChars="200"/>
              <w:rPr>
                <w:rFonts w:hint="eastAsia" w:ascii="宋体" w:hAnsi="宋体" w:cs="仿宋_GB2312"/>
                <w:sz w:val="18"/>
                <w:szCs w:val="18"/>
              </w:rPr>
            </w:pPr>
            <w:r>
              <w:rPr>
                <w:rFonts w:hint="eastAsia" w:ascii="宋体" w:hAnsi="宋体" w:cs="仿宋_GB2312"/>
                <w:sz w:val="18"/>
                <w:szCs w:val="18"/>
              </w:rPr>
              <w:t>偿还银行借款本金</w:t>
            </w:r>
          </w:p>
        </w:tc>
        <w:tc>
          <w:tcPr>
            <w:tcW w:w="480"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L</w:t>
            </w:r>
          </w:p>
        </w:tc>
        <w:tc>
          <w:tcPr>
            <w:tcW w:w="414" w:type="pct"/>
            <w:shd w:val="clear" w:color="000000" w:fill="FFFFFF"/>
          </w:tcPr>
          <w:p>
            <w:pPr>
              <w:jc w:val="right"/>
              <w:rPr>
                <w:color w:val="000000"/>
                <w:sz w:val="20"/>
              </w:rPr>
            </w:pPr>
          </w:p>
        </w:tc>
        <w:tc>
          <w:tcPr>
            <w:tcW w:w="456"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7" w:type="pct"/>
            <w:shd w:val="clear" w:color="000000" w:fill="FFFFFF"/>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tcPr>
          <w:p>
            <w:pPr>
              <w:ind w:firstLine="360" w:firstLineChars="200"/>
              <w:rPr>
                <w:rFonts w:hint="eastAsia" w:ascii="宋体" w:hAnsi="宋体" w:cs="仿宋_GB2312"/>
                <w:sz w:val="18"/>
                <w:szCs w:val="18"/>
              </w:rPr>
            </w:pPr>
            <w:r>
              <w:rPr>
                <w:rFonts w:hint="eastAsia" w:ascii="宋体" w:hAnsi="宋体" w:cs="仿宋_GB2312"/>
                <w:sz w:val="18"/>
                <w:szCs w:val="18"/>
              </w:rPr>
              <w:t>支付债券利息</w:t>
            </w:r>
          </w:p>
        </w:tc>
        <w:tc>
          <w:tcPr>
            <w:tcW w:w="480"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M</w:t>
            </w:r>
          </w:p>
        </w:tc>
        <w:tc>
          <w:tcPr>
            <w:tcW w:w="414" w:type="pct"/>
            <w:shd w:val="clear" w:color="000000" w:fill="FFFFFF"/>
          </w:tcPr>
          <w:p>
            <w:pPr>
              <w:jc w:val="right"/>
              <w:rPr>
                <w:color w:val="000000"/>
                <w:sz w:val="20"/>
              </w:rPr>
            </w:pPr>
            <w:r>
              <w:t>722.98</w:t>
            </w:r>
          </w:p>
        </w:tc>
        <w:tc>
          <w:tcPr>
            <w:tcW w:w="456" w:type="pct"/>
            <w:shd w:val="clear" w:color="000000" w:fill="FFFFFF"/>
          </w:tcPr>
          <w:p>
            <w:pPr>
              <w:jc w:val="right"/>
              <w:rPr>
                <w:sz w:val="20"/>
              </w:rPr>
            </w:pPr>
            <w:r>
              <w:t>722.98</w:t>
            </w:r>
          </w:p>
        </w:tc>
        <w:tc>
          <w:tcPr>
            <w:tcW w:w="459" w:type="pct"/>
            <w:shd w:val="clear" w:color="000000" w:fill="FFFFFF"/>
          </w:tcPr>
          <w:p>
            <w:pPr>
              <w:jc w:val="right"/>
              <w:rPr>
                <w:sz w:val="20"/>
              </w:rPr>
            </w:pPr>
            <w:r>
              <w:t>722.98</w:t>
            </w:r>
          </w:p>
        </w:tc>
        <w:tc>
          <w:tcPr>
            <w:tcW w:w="459" w:type="pct"/>
            <w:shd w:val="clear" w:color="000000" w:fill="FFFFFF"/>
          </w:tcPr>
          <w:p>
            <w:pPr>
              <w:jc w:val="right"/>
              <w:rPr>
                <w:sz w:val="20"/>
              </w:rPr>
            </w:pPr>
            <w:r>
              <w:t>722.98</w:t>
            </w:r>
          </w:p>
        </w:tc>
        <w:tc>
          <w:tcPr>
            <w:tcW w:w="459" w:type="pct"/>
            <w:shd w:val="clear" w:color="000000" w:fill="FFFFFF"/>
          </w:tcPr>
          <w:p>
            <w:pPr>
              <w:jc w:val="right"/>
              <w:rPr>
                <w:sz w:val="20"/>
              </w:rPr>
            </w:pPr>
            <w:r>
              <w:t>722.98</w:t>
            </w:r>
          </w:p>
        </w:tc>
        <w:tc>
          <w:tcPr>
            <w:tcW w:w="459" w:type="pct"/>
            <w:shd w:val="clear" w:color="000000" w:fill="FFFFFF"/>
          </w:tcPr>
          <w:p>
            <w:pPr>
              <w:jc w:val="right"/>
              <w:rPr>
                <w:sz w:val="20"/>
              </w:rPr>
            </w:pPr>
            <w:r>
              <w:t>722.98</w:t>
            </w:r>
          </w:p>
        </w:tc>
        <w:tc>
          <w:tcPr>
            <w:tcW w:w="459" w:type="pct"/>
            <w:shd w:val="clear" w:color="000000" w:fill="FFFFFF"/>
          </w:tcPr>
          <w:p>
            <w:pPr>
              <w:jc w:val="right"/>
              <w:rPr>
                <w:sz w:val="20"/>
              </w:rPr>
            </w:pPr>
            <w:r>
              <w:t>722.98</w:t>
            </w:r>
          </w:p>
        </w:tc>
        <w:tc>
          <w:tcPr>
            <w:tcW w:w="457" w:type="pct"/>
            <w:shd w:val="clear" w:color="000000" w:fill="FFFFFF"/>
          </w:tcPr>
          <w:p>
            <w:pPr>
              <w:jc w:val="right"/>
              <w:rPr>
                <w:sz w:val="20"/>
              </w:rPr>
            </w:pPr>
            <w:r>
              <w:t>361.49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tcPr>
          <w:p>
            <w:pPr>
              <w:ind w:firstLine="360" w:firstLineChars="200"/>
              <w:rPr>
                <w:rFonts w:hint="eastAsia" w:ascii="宋体" w:hAnsi="宋体" w:cs="仿宋_GB2312"/>
                <w:sz w:val="18"/>
                <w:szCs w:val="18"/>
              </w:rPr>
            </w:pPr>
            <w:r>
              <w:rPr>
                <w:rFonts w:hint="eastAsia" w:ascii="宋体" w:hAnsi="宋体" w:cs="仿宋_GB2312"/>
                <w:sz w:val="18"/>
                <w:szCs w:val="18"/>
              </w:rPr>
              <w:t>支付银行借款利息</w:t>
            </w:r>
          </w:p>
        </w:tc>
        <w:tc>
          <w:tcPr>
            <w:tcW w:w="480"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N</w:t>
            </w:r>
          </w:p>
        </w:tc>
        <w:tc>
          <w:tcPr>
            <w:tcW w:w="414" w:type="pct"/>
            <w:shd w:val="clear" w:color="000000" w:fill="FFFFFF"/>
          </w:tcPr>
          <w:p>
            <w:pPr>
              <w:jc w:val="right"/>
              <w:rPr>
                <w:color w:val="000000"/>
                <w:sz w:val="20"/>
              </w:rPr>
            </w:pPr>
          </w:p>
        </w:tc>
        <w:tc>
          <w:tcPr>
            <w:tcW w:w="456"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9" w:type="pct"/>
            <w:shd w:val="clear" w:color="000000" w:fill="FFFFFF"/>
          </w:tcPr>
          <w:p>
            <w:pPr>
              <w:jc w:val="right"/>
              <w:rPr>
                <w:sz w:val="20"/>
              </w:rPr>
            </w:pPr>
          </w:p>
        </w:tc>
        <w:tc>
          <w:tcPr>
            <w:tcW w:w="457" w:type="pct"/>
            <w:shd w:val="clear" w:color="000000" w:fill="FFFFFF"/>
          </w:tcPr>
          <w:p>
            <w:pPr>
              <w:jc w:val="right"/>
              <w:rPr>
                <w:sz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融资活动现金净流量</w:t>
            </w:r>
          </w:p>
        </w:tc>
        <w:tc>
          <w:tcPr>
            <w:tcW w:w="480" w:type="pct"/>
          </w:tcPr>
          <w:p>
            <w:pPr>
              <w:jc w:val="center"/>
              <w:rPr>
                <w:rFonts w:hint="eastAsia" w:ascii="宋体" w:hAnsi="宋体" w:cs="仿宋_GB2312"/>
                <w:color w:val="000000"/>
                <w:sz w:val="18"/>
                <w:szCs w:val="18"/>
              </w:rPr>
            </w:pPr>
            <w:r>
              <w:rPr>
                <w:rFonts w:ascii="宋体" w:hAnsi="宋体" w:cs="仿宋_GB2312"/>
                <w:color w:val="000000"/>
                <w:sz w:val="13"/>
                <w:szCs w:val="13"/>
              </w:rPr>
              <w:t>O=H+I+J-K-L-M-N</w:t>
            </w:r>
          </w:p>
        </w:tc>
        <w:tc>
          <w:tcPr>
            <w:tcW w:w="414" w:type="pct"/>
          </w:tcPr>
          <w:p>
            <w:pPr>
              <w:jc w:val="right"/>
              <w:rPr>
                <w:color w:val="000000"/>
                <w:sz w:val="20"/>
              </w:rPr>
            </w:pPr>
            <w:r>
              <w:t>-722.98</w:t>
            </w:r>
          </w:p>
        </w:tc>
        <w:tc>
          <w:tcPr>
            <w:tcW w:w="456" w:type="pct"/>
          </w:tcPr>
          <w:p>
            <w:pPr>
              <w:jc w:val="right"/>
              <w:rPr>
                <w:sz w:val="20"/>
              </w:rPr>
            </w:pPr>
            <w:r>
              <w:t>-722.98</w:t>
            </w:r>
          </w:p>
        </w:tc>
        <w:tc>
          <w:tcPr>
            <w:tcW w:w="459" w:type="pct"/>
            <w:shd w:val="clear" w:color="auto" w:fill="auto"/>
          </w:tcPr>
          <w:p>
            <w:pPr>
              <w:jc w:val="right"/>
              <w:rPr>
                <w:sz w:val="20"/>
              </w:rPr>
            </w:pPr>
            <w:r>
              <w:t>-722.98</w:t>
            </w:r>
          </w:p>
        </w:tc>
        <w:tc>
          <w:tcPr>
            <w:tcW w:w="459" w:type="pct"/>
          </w:tcPr>
          <w:p>
            <w:pPr>
              <w:jc w:val="right"/>
              <w:rPr>
                <w:sz w:val="20"/>
              </w:rPr>
            </w:pPr>
            <w:r>
              <w:t>-722.98</w:t>
            </w:r>
          </w:p>
        </w:tc>
        <w:tc>
          <w:tcPr>
            <w:tcW w:w="459" w:type="pct"/>
            <w:shd w:val="clear" w:color="auto" w:fill="auto"/>
          </w:tcPr>
          <w:p>
            <w:pPr>
              <w:jc w:val="right"/>
              <w:rPr>
                <w:sz w:val="20"/>
              </w:rPr>
            </w:pPr>
            <w:r>
              <w:t>-722.98</w:t>
            </w:r>
          </w:p>
        </w:tc>
        <w:tc>
          <w:tcPr>
            <w:tcW w:w="459" w:type="pct"/>
            <w:shd w:val="clear" w:color="auto" w:fill="auto"/>
          </w:tcPr>
          <w:p>
            <w:pPr>
              <w:jc w:val="right"/>
              <w:rPr>
                <w:sz w:val="20"/>
              </w:rPr>
            </w:pPr>
            <w:r>
              <w:t>-722.98</w:t>
            </w:r>
          </w:p>
        </w:tc>
        <w:tc>
          <w:tcPr>
            <w:tcW w:w="459" w:type="pct"/>
          </w:tcPr>
          <w:p>
            <w:pPr>
              <w:jc w:val="right"/>
              <w:rPr>
                <w:sz w:val="20"/>
              </w:rPr>
            </w:pPr>
            <w:r>
              <w:t>-722.98</w:t>
            </w:r>
          </w:p>
        </w:tc>
        <w:tc>
          <w:tcPr>
            <w:tcW w:w="457" w:type="pct"/>
          </w:tcPr>
          <w:p>
            <w:pPr>
              <w:jc w:val="right"/>
              <w:rPr>
                <w:sz w:val="20"/>
              </w:rPr>
            </w:pPr>
            <w:r>
              <w:t>-22,954.49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rPr>
                <w:rFonts w:hint="eastAsia" w:ascii="宋体" w:hAnsi="宋体" w:cs="仿宋_GB2312"/>
                <w:sz w:val="18"/>
                <w:szCs w:val="18"/>
              </w:rPr>
            </w:pPr>
            <w:r>
              <w:rPr>
                <w:rFonts w:hint="eastAsia" w:ascii="宋体" w:hAnsi="宋体" w:cs="仿宋_GB2312"/>
                <w:sz w:val="18"/>
                <w:szCs w:val="18"/>
              </w:rPr>
              <w:t>四、期初现金</w:t>
            </w:r>
          </w:p>
        </w:tc>
        <w:tc>
          <w:tcPr>
            <w:tcW w:w="480"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P</w:t>
            </w:r>
          </w:p>
        </w:tc>
        <w:tc>
          <w:tcPr>
            <w:tcW w:w="414" w:type="pct"/>
          </w:tcPr>
          <w:p>
            <w:pPr>
              <w:jc w:val="right"/>
              <w:rPr>
                <w:color w:val="000000"/>
                <w:sz w:val="20"/>
              </w:rPr>
            </w:pPr>
            <w:r>
              <w:t>33,635.65</w:t>
            </w:r>
          </w:p>
        </w:tc>
        <w:tc>
          <w:tcPr>
            <w:tcW w:w="456" w:type="pct"/>
          </w:tcPr>
          <w:p>
            <w:pPr>
              <w:jc w:val="right"/>
              <w:rPr>
                <w:sz w:val="20"/>
              </w:rPr>
            </w:pPr>
            <w:r>
              <w:t>36,886.44</w:t>
            </w:r>
          </w:p>
        </w:tc>
        <w:tc>
          <w:tcPr>
            <w:tcW w:w="459" w:type="pct"/>
            <w:shd w:val="clear" w:color="auto" w:fill="auto"/>
          </w:tcPr>
          <w:p>
            <w:pPr>
              <w:jc w:val="right"/>
              <w:rPr>
                <w:sz w:val="20"/>
              </w:rPr>
            </w:pPr>
            <w:r>
              <w:t>40,137.23</w:t>
            </w:r>
          </w:p>
        </w:tc>
        <w:tc>
          <w:tcPr>
            <w:tcW w:w="459" w:type="pct"/>
          </w:tcPr>
          <w:p>
            <w:pPr>
              <w:jc w:val="right"/>
              <w:rPr>
                <w:sz w:val="20"/>
              </w:rPr>
            </w:pPr>
            <w:r>
              <w:t>43,388.02</w:t>
            </w:r>
          </w:p>
        </w:tc>
        <w:tc>
          <w:tcPr>
            <w:tcW w:w="459" w:type="pct"/>
            <w:shd w:val="clear" w:color="auto" w:fill="auto"/>
          </w:tcPr>
          <w:p>
            <w:pPr>
              <w:jc w:val="right"/>
              <w:rPr>
                <w:sz w:val="20"/>
              </w:rPr>
            </w:pPr>
            <w:r>
              <w:t>46,638.81</w:t>
            </w:r>
          </w:p>
        </w:tc>
        <w:tc>
          <w:tcPr>
            <w:tcW w:w="459" w:type="pct"/>
            <w:shd w:val="clear" w:color="auto" w:fill="auto"/>
          </w:tcPr>
          <w:p>
            <w:pPr>
              <w:jc w:val="right"/>
              <w:rPr>
                <w:sz w:val="20"/>
              </w:rPr>
            </w:pPr>
            <w:r>
              <w:t>49,889.60</w:t>
            </w:r>
          </w:p>
        </w:tc>
        <w:tc>
          <w:tcPr>
            <w:tcW w:w="459" w:type="pct"/>
          </w:tcPr>
          <w:p>
            <w:pPr>
              <w:jc w:val="right"/>
              <w:rPr>
                <w:sz w:val="20"/>
              </w:rPr>
            </w:pPr>
            <w:r>
              <w:t>53,140.40</w:t>
            </w:r>
          </w:p>
        </w:tc>
        <w:tc>
          <w:tcPr>
            <w:tcW w:w="457" w:type="pct"/>
          </w:tcPr>
          <w:p>
            <w:pPr>
              <w:jc w:val="right"/>
              <w:rPr>
                <w:sz w:val="20"/>
              </w:rPr>
            </w:pPr>
            <w:r>
              <w:t>56,391.19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期内现金变动</w:t>
            </w:r>
          </w:p>
        </w:tc>
        <w:tc>
          <w:tcPr>
            <w:tcW w:w="480"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Q=D+G+O</w:t>
            </w:r>
          </w:p>
        </w:tc>
        <w:tc>
          <w:tcPr>
            <w:tcW w:w="414" w:type="pct"/>
          </w:tcPr>
          <w:p>
            <w:pPr>
              <w:jc w:val="right"/>
              <w:rPr>
                <w:color w:val="000000"/>
                <w:sz w:val="20"/>
              </w:rPr>
            </w:pPr>
            <w:r>
              <w:t>3,250.79</w:t>
            </w:r>
          </w:p>
        </w:tc>
        <w:tc>
          <w:tcPr>
            <w:tcW w:w="456" w:type="pct"/>
          </w:tcPr>
          <w:p>
            <w:pPr>
              <w:jc w:val="right"/>
              <w:rPr>
                <w:sz w:val="20"/>
              </w:rPr>
            </w:pPr>
            <w:r>
              <w:t>3,250.79</w:t>
            </w:r>
          </w:p>
        </w:tc>
        <w:tc>
          <w:tcPr>
            <w:tcW w:w="459" w:type="pct"/>
            <w:shd w:val="clear" w:color="auto" w:fill="auto"/>
          </w:tcPr>
          <w:p>
            <w:pPr>
              <w:jc w:val="right"/>
              <w:rPr>
                <w:sz w:val="20"/>
              </w:rPr>
            </w:pPr>
            <w:r>
              <w:t>3,250.79</w:t>
            </w:r>
          </w:p>
        </w:tc>
        <w:tc>
          <w:tcPr>
            <w:tcW w:w="459" w:type="pct"/>
          </w:tcPr>
          <w:p>
            <w:pPr>
              <w:jc w:val="right"/>
              <w:rPr>
                <w:sz w:val="20"/>
              </w:rPr>
            </w:pPr>
            <w:r>
              <w:t>3,250.79</w:t>
            </w:r>
          </w:p>
        </w:tc>
        <w:tc>
          <w:tcPr>
            <w:tcW w:w="459" w:type="pct"/>
            <w:shd w:val="clear" w:color="auto" w:fill="auto"/>
          </w:tcPr>
          <w:p>
            <w:pPr>
              <w:jc w:val="right"/>
              <w:rPr>
                <w:sz w:val="20"/>
              </w:rPr>
            </w:pPr>
            <w:r>
              <w:t>3,250.79</w:t>
            </w:r>
          </w:p>
        </w:tc>
        <w:tc>
          <w:tcPr>
            <w:tcW w:w="459" w:type="pct"/>
            <w:shd w:val="clear" w:color="auto" w:fill="auto"/>
          </w:tcPr>
          <w:p>
            <w:pPr>
              <w:jc w:val="right"/>
              <w:rPr>
                <w:sz w:val="20"/>
              </w:rPr>
            </w:pPr>
            <w:r>
              <w:t>3,250.79</w:t>
            </w:r>
          </w:p>
        </w:tc>
        <w:tc>
          <w:tcPr>
            <w:tcW w:w="459" w:type="pct"/>
          </w:tcPr>
          <w:p>
            <w:pPr>
              <w:jc w:val="right"/>
              <w:rPr>
                <w:sz w:val="20"/>
              </w:rPr>
            </w:pPr>
            <w:r>
              <w:t>3,250.79</w:t>
            </w:r>
          </w:p>
        </w:tc>
        <w:tc>
          <w:tcPr>
            <w:tcW w:w="457" w:type="pct"/>
          </w:tcPr>
          <w:p>
            <w:pPr>
              <w:jc w:val="right"/>
              <w:rPr>
                <w:sz w:val="20"/>
              </w:rPr>
            </w:pPr>
            <w:r>
              <w:t>-19,016.87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trPr>
        <w:tc>
          <w:tcPr>
            <w:tcW w:w="898" w:type="pct"/>
            <w:tcBorders>
              <w:bottom w:val="single" w:color="auto" w:sz="8" w:space="0"/>
            </w:tcBorders>
            <w:vAlign w:val="center"/>
          </w:tcPr>
          <w:p>
            <w:pPr>
              <w:rPr>
                <w:rFonts w:hint="eastAsia" w:ascii="宋体" w:hAnsi="宋体" w:cs="仿宋_GB2312"/>
                <w:sz w:val="18"/>
                <w:szCs w:val="18"/>
              </w:rPr>
            </w:pPr>
            <w:r>
              <w:rPr>
                <w:rFonts w:hint="eastAsia" w:ascii="宋体" w:hAnsi="宋体" w:cs="仿宋_GB2312"/>
                <w:sz w:val="18"/>
                <w:szCs w:val="18"/>
              </w:rPr>
              <w:t>五、期末现金</w:t>
            </w:r>
          </w:p>
        </w:tc>
        <w:tc>
          <w:tcPr>
            <w:tcW w:w="480" w:type="pct"/>
            <w:tcBorders>
              <w:bottom w:val="single" w:color="auto" w:sz="8" w:space="0"/>
            </w:tcBorders>
            <w:vAlign w:val="center"/>
          </w:tcPr>
          <w:p>
            <w:pPr>
              <w:jc w:val="center"/>
              <w:rPr>
                <w:rFonts w:hint="eastAsia" w:ascii="宋体" w:hAnsi="宋体" w:cs="仿宋_GB2312"/>
                <w:color w:val="000000"/>
                <w:sz w:val="18"/>
                <w:szCs w:val="18"/>
              </w:rPr>
            </w:pPr>
            <w:r>
              <w:rPr>
                <w:rFonts w:ascii="宋体" w:hAnsi="宋体" w:cs="仿宋_GB2312"/>
                <w:color w:val="000000"/>
                <w:sz w:val="18"/>
                <w:szCs w:val="18"/>
              </w:rPr>
              <w:t>R=P+Q</w:t>
            </w:r>
          </w:p>
        </w:tc>
        <w:tc>
          <w:tcPr>
            <w:tcW w:w="414" w:type="pct"/>
            <w:tcBorders>
              <w:bottom w:val="single" w:color="auto" w:sz="8" w:space="0"/>
            </w:tcBorders>
          </w:tcPr>
          <w:p>
            <w:pPr>
              <w:jc w:val="right"/>
              <w:rPr>
                <w:color w:val="000000"/>
                <w:sz w:val="20"/>
              </w:rPr>
            </w:pPr>
            <w:r>
              <w:t>36,886.44</w:t>
            </w:r>
          </w:p>
        </w:tc>
        <w:tc>
          <w:tcPr>
            <w:tcW w:w="456" w:type="pct"/>
            <w:tcBorders>
              <w:bottom w:val="single" w:color="auto" w:sz="8" w:space="0"/>
            </w:tcBorders>
          </w:tcPr>
          <w:p>
            <w:pPr>
              <w:jc w:val="right"/>
              <w:rPr>
                <w:sz w:val="20"/>
              </w:rPr>
            </w:pPr>
            <w:r>
              <w:t>40,137.23</w:t>
            </w:r>
          </w:p>
        </w:tc>
        <w:tc>
          <w:tcPr>
            <w:tcW w:w="459" w:type="pct"/>
            <w:tcBorders>
              <w:bottom w:val="single" w:color="auto" w:sz="8" w:space="0"/>
            </w:tcBorders>
            <w:shd w:val="clear" w:color="auto" w:fill="auto"/>
          </w:tcPr>
          <w:p>
            <w:pPr>
              <w:jc w:val="right"/>
              <w:rPr>
                <w:sz w:val="20"/>
              </w:rPr>
            </w:pPr>
            <w:r>
              <w:t>43,388.02</w:t>
            </w:r>
          </w:p>
        </w:tc>
        <w:tc>
          <w:tcPr>
            <w:tcW w:w="459" w:type="pct"/>
            <w:tcBorders>
              <w:bottom w:val="single" w:color="auto" w:sz="8" w:space="0"/>
            </w:tcBorders>
          </w:tcPr>
          <w:p>
            <w:pPr>
              <w:jc w:val="right"/>
              <w:rPr>
                <w:sz w:val="20"/>
              </w:rPr>
            </w:pPr>
            <w:r>
              <w:t>46,638.81</w:t>
            </w:r>
          </w:p>
        </w:tc>
        <w:tc>
          <w:tcPr>
            <w:tcW w:w="459" w:type="pct"/>
            <w:tcBorders>
              <w:bottom w:val="single" w:color="auto" w:sz="8" w:space="0"/>
            </w:tcBorders>
            <w:shd w:val="clear" w:color="auto" w:fill="auto"/>
          </w:tcPr>
          <w:p>
            <w:pPr>
              <w:jc w:val="right"/>
              <w:rPr>
                <w:sz w:val="20"/>
              </w:rPr>
            </w:pPr>
            <w:r>
              <w:t>49,889.60</w:t>
            </w:r>
          </w:p>
        </w:tc>
        <w:tc>
          <w:tcPr>
            <w:tcW w:w="459" w:type="pct"/>
            <w:tcBorders>
              <w:bottom w:val="single" w:color="auto" w:sz="8" w:space="0"/>
            </w:tcBorders>
            <w:shd w:val="clear" w:color="auto" w:fill="auto"/>
          </w:tcPr>
          <w:p>
            <w:pPr>
              <w:jc w:val="right"/>
              <w:rPr>
                <w:sz w:val="20"/>
              </w:rPr>
            </w:pPr>
            <w:r>
              <w:t>53,140.40</w:t>
            </w:r>
          </w:p>
        </w:tc>
        <w:tc>
          <w:tcPr>
            <w:tcW w:w="459" w:type="pct"/>
            <w:tcBorders>
              <w:bottom w:val="single" w:color="auto" w:sz="8" w:space="0"/>
            </w:tcBorders>
          </w:tcPr>
          <w:p>
            <w:pPr>
              <w:jc w:val="right"/>
              <w:rPr>
                <w:sz w:val="20"/>
              </w:rPr>
            </w:pPr>
            <w:r>
              <w:t>56,391.19</w:t>
            </w:r>
          </w:p>
        </w:tc>
        <w:tc>
          <w:tcPr>
            <w:tcW w:w="457" w:type="pct"/>
            <w:tcBorders>
              <w:bottom w:val="single" w:color="auto" w:sz="8" w:space="0"/>
            </w:tcBorders>
          </w:tcPr>
          <w:p>
            <w:pPr>
              <w:jc w:val="right"/>
              <w:rPr>
                <w:sz w:val="20"/>
              </w:rPr>
            </w:pPr>
            <w:r>
              <w:t>37,374.32</w:t>
            </w:r>
          </w:p>
        </w:tc>
      </w:tr>
    </w:tbl>
    <w:p>
      <w:pPr>
        <w:pStyle w:val="4"/>
        <w:ind w:firstLine="0" w:firstLineChars="0"/>
        <w:sectPr>
          <w:footerReference r:id="rId6" w:type="default"/>
          <w:pgSz w:w="16838" w:h="11906" w:orient="landscape"/>
          <w:pgMar w:top="1701" w:right="2041" w:bottom="1701" w:left="2041" w:header="850" w:footer="567" w:gutter="0"/>
          <w:cols w:space="0" w:num="1"/>
          <w:docGrid w:type="lines" w:linePitch="314" w:charSpace="0"/>
        </w:sectPr>
      </w:pPr>
    </w:p>
    <w:bookmarkEnd w:id="35"/>
    <w:bookmarkEnd w:id="36"/>
    <w:p>
      <w:pPr>
        <w:pStyle w:val="4"/>
        <w:ind w:firstLine="640"/>
      </w:pPr>
      <w:bookmarkStart w:id="38" w:name="_Toc39820849"/>
      <w:bookmarkStart w:id="39" w:name="_Toc39771666"/>
      <w:bookmarkStart w:id="40" w:name="_Toc39779689"/>
      <w:r>
        <w:rPr>
          <w:rFonts w:hint="eastAsia"/>
        </w:rPr>
        <w:t>（五）</w:t>
      </w:r>
      <w:bookmarkEnd w:id="38"/>
      <w:bookmarkEnd w:id="39"/>
      <w:bookmarkEnd w:id="40"/>
      <w:r>
        <w:rPr>
          <w:rFonts w:hint="eastAsia"/>
        </w:rPr>
        <w:t>本息覆盖倍数</w:t>
      </w:r>
    </w:p>
    <w:p>
      <w:pPr>
        <w:pStyle w:val="33"/>
      </w:pPr>
      <w:bookmarkStart w:id="41" w:name="_Hlk200638031"/>
      <w:r>
        <w:rPr>
          <w:rFonts w:hint="eastAsia"/>
        </w:rPr>
        <w:t>表6</w:t>
      </w:r>
      <w:r>
        <w:t xml:space="preserve"> </w:t>
      </w:r>
      <w:r>
        <w:rPr>
          <w:rFonts w:hint="eastAsia"/>
        </w:rPr>
        <w:t>现金流覆盖情况表</w:t>
      </w:r>
    </w:p>
    <w:p>
      <w:pPr>
        <w:pStyle w:val="33"/>
        <w:jc w:val="right"/>
        <w:rPr>
          <w:sz w:val="21"/>
          <w:szCs w:val="21"/>
        </w:rPr>
      </w:pPr>
      <w:r>
        <w:rPr>
          <w:rFonts w:hint="eastAsia"/>
          <w:sz w:val="21"/>
          <w:szCs w:val="21"/>
        </w:rPr>
        <w:t>（单位：万元）</w:t>
      </w:r>
    </w:p>
    <w:tbl>
      <w:tblPr>
        <w:tblStyle w:val="15"/>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1453"/>
        <w:gridCol w:w="1453"/>
        <w:gridCol w:w="1622"/>
        <w:gridCol w:w="209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97" w:hRule="atLeast"/>
        </w:trPr>
        <w:tc>
          <w:tcPr>
            <w:tcW w:w="1201" w:type="pct"/>
            <w:vMerge w:val="restart"/>
            <w:tcBorders>
              <w:top w:val="single" w:color="auto" w:sz="8" w:space="0"/>
            </w:tcBorders>
            <w:noWrap/>
            <w:vAlign w:val="center"/>
          </w:tcPr>
          <w:p>
            <w:pPr>
              <w:pStyle w:val="33"/>
              <w:ind w:firstLine="360"/>
              <w:rPr>
                <w:rFonts w:hint="eastAsia" w:ascii="黑体" w:hAnsi="黑体" w:eastAsia="黑体" w:cs="仿宋_GB2312"/>
                <w:sz w:val="21"/>
                <w:szCs w:val="21"/>
              </w:rPr>
            </w:pPr>
            <w:bookmarkStart w:id="42" w:name="OLE_LINK10"/>
            <w:r>
              <w:rPr>
                <w:rFonts w:hint="eastAsia" w:ascii="黑体" w:hAnsi="黑体" w:eastAsia="黑体" w:cs="仿宋_GB2312"/>
                <w:sz w:val="21"/>
                <w:szCs w:val="21"/>
              </w:rPr>
              <w:t>融资方式</w:t>
            </w:r>
          </w:p>
        </w:tc>
        <w:tc>
          <w:tcPr>
            <w:tcW w:w="2596" w:type="pct"/>
            <w:gridSpan w:val="3"/>
            <w:tcBorders>
              <w:top w:val="single" w:color="auto" w:sz="8" w:space="0"/>
            </w:tcBorders>
            <w:noWrap/>
            <w:vAlign w:val="center"/>
          </w:tcPr>
          <w:p>
            <w:pPr>
              <w:pStyle w:val="33"/>
              <w:ind w:firstLine="360"/>
              <w:rPr>
                <w:rFonts w:hint="eastAsia" w:ascii="黑体" w:hAnsi="黑体" w:eastAsia="黑体" w:cs="仿宋_GB2312"/>
                <w:sz w:val="21"/>
                <w:szCs w:val="21"/>
              </w:rPr>
            </w:pPr>
            <w:r>
              <w:rPr>
                <w:rFonts w:hint="eastAsia" w:ascii="黑体" w:hAnsi="黑体" w:eastAsia="黑体" w:cs="仿宋_GB2312"/>
                <w:sz w:val="21"/>
                <w:szCs w:val="21"/>
              </w:rPr>
              <w:t>借贷本息支付</w:t>
            </w:r>
          </w:p>
        </w:tc>
        <w:tc>
          <w:tcPr>
            <w:tcW w:w="1203" w:type="pct"/>
            <w:vMerge w:val="restart"/>
            <w:tcBorders>
              <w:top w:val="single" w:color="auto" w:sz="8" w:space="0"/>
            </w:tcBorders>
            <w:noWrap/>
            <w:vAlign w:val="center"/>
          </w:tcPr>
          <w:p>
            <w:pPr>
              <w:pStyle w:val="33"/>
              <w:ind w:firstLine="360"/>
              <w:rPr>
                <w:rFonts w:hint="eastAsia" w:ascii="黑体" w:hAnsi="黑体" w:eastAsia="黑体" w:cs="仿宋_GB2312"/>
                <w:sz w:val="21"/>
                <w:szCs w:val="21"/>
              </w:rPr>
            </w:pPr>
            <w:r>
              <w:rPr>
                <w:rFonts w:hint="eastAsia" w:ascii="黑体" w:hAnsi="黑体" w:eastAsia="黑体" w:cs="仿宋_GB2312"/>
                <w:sz w:val="21"/>
                <w:szCs w:val="21"/>
              </w:rPr>
              <w:t>项目净现金流入</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1" w:type="pct"/>
            <w:vMerge w:val="continue"/>
            <w:tcBorders>
              <w:bottom w:val="single" w:color="auto" w:sz="8" w:space="0"/>
            </w:tcBorders>
            <w:noWrap/>
            <w:vAlign w:val="center"/>
          </w:tcPr>
          <w:p>
            <w:pPr>
              <w:pStyle w:val="33"/>
              <w:ind w:firstLine="360"/>
              <w:rPr>
                <w:rFonts w:hint="eastAsia" w:ascii="黑体" w:hAnsi="黑体" w:eastAsia="黑体" w:cs="仿宋_GB2312"/>
                <w:sz w:val="18"/>
                <w:szCs w:val="18"/>
              </w:rPr>
            </w:pPr>
          </w:p>
        </w:tc>
        <w:tc>
          <w:tcPr>
            <w:tcW w:w="833" w:type="pct"/>
            <w:tcBorders>
              <w:bottom w:val="single" w:color="auto" w:sz="8" w:space="0"/>
            </w:tcBorders>
            <w:noWrap/>
            <w:vAlign w:val="center"/>
          </w:tcPr>
          <w:p>
            <w:pPr>
              <w:pStyle w:val="33"/>
              <w:ind w:firstLine="360"/>
              <w:rPr>
                <w:rFonts w:hint="eastAsia" w:ascii="黑体" w:hAnsi="黑体" w:eastAsia="黑体" w:cs="仿宋_GB2312"/>
                <w:sz w:val="18"/>
                <w:szCs w:val="18"/>
              </w:rPr>
            </w:pPr>
            <w:r>
              <w:rPr>
                <w:rFonts w:hint="eastAsia" w:ascii="黑体" w:hAnsi="黑体" w:eastAsia="黑体" w:cs="仿宋_GB2312"/>
                <w:sz w:val="18"/>
                <w:szCs w:val="18"/>
              </w:rPr>
              <w:t>本金</w:t>
            </w:r>
          </w:p>
        </w:tc>
        <w:tc>
          <w:tcPr>
            <w:tcW w:w="833" w:type="pct"/>
            <w:tcBorders>
              <w:bottom w:val="single" w:color="auto" w:sz="8" w:space="0"/>
            </w:tcBorders>
            <w:noWrap/>
            <w:vAlign w:val="center"/>
          </w:tcPr>
          <w:p>
            <w:pPr>
              <w:pStyle w:val="33"/>
              <w:ind w:firstLine="360"/>
              <w:rPr>
                <w:rFonts w:hint="eastAsia" w:ascii="黑体" w:hAnsi="黑体" w:eastAsia="黑体" w:cs="仿宋_GB2312"/>
                <w:sz w:val="18"/>
                <w:szCs w:val="18"/>
              </w:rPr>
            </w:pPr>
            <w:r>
              <w:rPr>
                <w:rFonts w:hint="eastAsia" w:ascii="黑体" w:hAnsi="黑体" w:eastAsia="黑体" w:cs="仿宋_GB2312"/>
                <w:sz w:val="18"/>
                <w:szCs w:val="18"/>
              </w:rPr>
              <w:t>利息</w:t>
            </w:r>
          </w:p>
        </w:tc>
        <w:tc>
          <w:tcPr>
            <w:tcW w:w="930" w:type="pct"/>
            <w:tcBorders>
              <w:bottom w:val="single" w:color="auto" w:sz="8" w:space="0"/>
            </w:tcBorders>
            <w:noWrap/>
            <w:vAlign w:val="center"/>
          </w:tcPr>
          <w:p>
            <w:pPr>
              <w:pStyle w:val="33"/>
              <w:ind w:firstLine="360"/>
              <w:rPr>
                <w:rFonts w:hint="eastAsia" w:ascii="黑体" w:hAnsi="黑体" w:eastAsia="黑体" w:cs="仿宋_GB2312"/>
                <w:sz w:val="18"/>
                <w:szCs w:val="18"/>
              </w:rPr>
            </w:pPr>
            <w:r>
              <w:rPr>
                <w:rFonts w:hint="eastAsia" w:ascii="黑体" w:hAnsi="黑体" w:eastAsia="黑体" w:cs="仿宋_GB2312"/>
                <w:sz w:val="18"/>
                <w:szCs w:val="18"/>
              </w:rPr>
              <w:t>本息合计</w:t>
            </w:r>
          </w:p>
        </w:tc>
        <w:tc>
          <w:tcPr>
            <w:tcW w:w="1203" w:type="pct"/>
            <w:vMerge w:val="continue"/>
            <w:tcBorders>
              <w:bottom w:val="single" w:color="auto" w:sz="8" w:space="0"/>
            </w:tcBorders>
            <w:noWrap/>
            <w:vAlign w:val="center"/>
          </w:tcPr>
          <w:p>
            <w:pPr>
              <w:pStyle w:val="33"/>
              <w:ind w:firstLine="360"/>
              <w:rPr>
                <w:rFonts w:hint="eastAsia" w:ascii="仿宋_GB2312" w:hAnsi="仿宋_GB2312" w:eastAsia="仿宋_GB2312" w:cs="仿宋_GB2312"/>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1" w:type="pct"/>
            <w:tcBorders>
              <w:top w:val="single" w:color="auto" w:sz="8" w:space="0"/>
            </w:tcBorders>
            <w:noWrap/>
            <w:vAlign w:val="center"/>
          </w:tcPr>
          <w:p>
            <w:pPr>
              <w:pStyle w:val="33"/>
              <w:ind w:firstLine="360"/>
              <w:jc w:val="both"/>
              <w:rPr>
                <w:rFonts w:hint="eastAsia" w:ascii="宋体" w:hAnsi="宋体" w:eastAsia="宋体" w:cs="仿宋_GB2312"/>
                <w:sz w:val="21"/>
                <w:szCs w:val="21"/>
              </w:rPr>
            </w:pPr>
            <w:r>
              <w:rPr>
                <w:rFonts w:hint="eastAsia" w:ascii="宋体" w:hAnsi="宋体" w:eastAsia="宋体" w:cs="仿宋_GB2312"/>
                <w:sz w:val="21"/>
                <w:szCs w:val="21"/>
              </w:rPr>
              <w:t>专项债券</w:t>
            </w:r>
          </w:p>
        </w:tc>
        <w:tc>
          <w:tcPr>
            <w:tcW w:w="833" w:type="pct"/>
            <w:tcBorders>
              <w:top w:val="single" w:color="auto" w:sz="8" w:space="0"/>
            </w:tcBorders>
            <w:noWrap/>
            <w:vAlign w:val="center"/>
          </w:tcPr>
          <w:p>
            <w:pPr>
              <w:pStyle w:val="33"/>
              <w:ind w:firstLine="360"/>
              <w:jc w:val="right"/>
              <w:rPr>
                <w:rFonts w:hint="eastAsia" w:ascii="仿宋" w:hAnsi="仿宋" w:eastAsia="仿宋" w:cs="仿宋_GB2312"/>
                <w:color w:val="000000" w:themeColor="text1"/>
                <w:sz w:val="21"/>
                <w:szCs w:val="21"/>
                <w14:textFill>
                  <w14:solidFill>
                    <w14:schemeClr w14:val="tx1"/>
                  </w14:solidFill>
                </w14:textFill>
              </w:rPr>
            </w:pPr>
            <w:r>
              <w:rPr>
                <w:rFonts w:cs="Times New Roman"/>
                <w:color w:val="000000" w:themeColor="text1"/>
                <w:sz w:val="21"/>
                <w:szCs w:val="21"/>
                <w14:textFill>
                  <w14:solidFill>
                    <w14:schemeClr w14:val="tx1"/>
                  </w14:solidFill>
                </w14:textFill>
              </w:rPr>
              <w:t xml:space="preserve">25,393.00 </w:t>
            </w:r>
          </w:p>
        </w:tc>
        <w:tc>
          <w:tcPr>
            <w:tcW w:w="833" w:type="pct"/>
            <w:tcBorders>
              <w:top w:val="single" w:color="auto" w:sz="8" w:space="0"/>
            </w:tcBorders>
            <w:noWrap/>
            <w:vAlign w:val="center"/>
          </w:tcPr>
          <w:p>
            <w:pPr>
              <w:pStyle w:val="33"/>
              <w:ind w:firstLine="360"/>
              <w:jc w:val="right"/>
              <w:rPr>
                <w:rFonts w:hint="eastAsia" w:ascii="仿宋" w:hAnsi="仿宋" w:eastAsia="仿宋" w:cs="仿宋_GB2312"/>
                <w:color w:val="000000" w:themeColor="text1"/>
                <w:sz w:val="21"/>
                <w:szCs w:val="21"/>
                <w14:textFill>
                  <w14:solidFill>
                    <w14:schemeClr w14:val="tx1"/>
                  </w14:solidFill>
                </w14:textFill>
              </w:rPr>
            </w:pPr>
            <w:r>
              <w:rPr>
                <w:rFonts w:cs="Times New Roman"/>
                <w:color w:val="000000" w:themeColor="text1"/>
                <w:sz w:val="21"/>
                <w:szCs w:val="21"/>
                <w14:textFill>
                  <w14:solidFill>
                    <w14:schemeClr w14:val="tx1"/>
                  </w14:solidFill>
                </w14:textFill>
              </w:rPr>
              <w:t xml:space="preserve">15,034.32  </w:t>
            </w:r>
          </w:p>
        </w:tc>
        <w:tc>
          <w:tcPr>
            <w:tcW w:w="930" w:type="pct"/>
            <w:tcBorders>
              <w:top w:val="single" w:color="auto" w:sz="8" w:space="0"/>
            </w:tcBorders>
            <w:noWrap/>
            <w:vAlign w:val="center"/>
          </w:tcPr>
          <w:p>
            <w:pPr>
              <w:pStyle w:val="33"/>
              <w:ind w:firstLine="360"/>
              <w:jc w:val="right"/>
              <w:rPr>
                <w:rFonts w:hint="eastAsia" w:ascii="仿宋" w:hAnsi="仿宋" w:eastAsia="仿宋" w:cs="仿宋_GB2312"/>
                <w:color w:val="000000" w:themeColor="text1"/>
                <w:sz w:val="21"/>
                <w:szCs w:val="21"/>
                <w14:textFill>
                  <w14:solidFill>
                    <w14:schemeClr w14:val="tx1"/>
                  </w14:solidFill>
                </w14:textFill>
              </w:rPr>
            </w:pPr>
            <w:r>
              <w:rPr>
                <w:rFonts w:cs="Times New Roman"/>
                <w:color w:val="000000" w:themeColor="text1"/>
                <w:sz w:val="21"/>
                <w:szCs w:val="21"/>
                <w14:textFill>
                  <w14:solidFill>
                    <w14:schemeClr w14:val="tx1"/>
                  </w14:solidFill>
                </w14:textFill>
              </w:rPr>
              <w:t xml:space="preserve">40,427.32  </w:t>
            </w:r>
          </w:p>
        </w:tc>
        <w:tc>
          <w:tcPr>
            <w:tcW w:w="1203" w:type="pct"/>
            <w:vMerge w:val="restart"/>
            <w:tcBorders>
              <w:top w:val="single" w:color="auto" w:sz="8" w:space="0"/>
            </w:tcBorders>
            <w:noWrap/>
            <w:vAlign w:val="center"/>
          </w:tcPr>
          <w:p>
            <w:pPr>
              <w:widowControl/>
              <w:jc w:val="righ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 xml:space="preserve">76,551.77      </w:t>
            </w:r>
          </w:p>
          <w:p>
            <w:pPr>
              <w:pStyle w:val="33"/>
              <w:ind w:firstLine="360"/>
              <w:jc w:val="right"/>
              <w:rPr>
                <w:rFonts w:eastAsia="仿宋" w:cs="Times New Roman"/>
                <w:color w:val="000000" w:themeColor="text1"/>
                <w:sz w:val="2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1" w:type="pct"/>
            <w:noWrap/>
            <w:vAlign w:val="center"/>
          </w:tcPr>
          <w:p>
            <w:pPr>
              <w:pStyle w:val="33"/>
              <w:ind w:firstLine="360"/>
              <w:jc w:val="both"/>
              <w:rPr>
                <w:rFonts w:hint="eastAsia" w:ascii="宋体" w:hAnsi="宋体" w:eastAsia="宋体" w:cs="仿宋_GB2312"/>
                <w:sz w:val="21"/>
                <w:szCs w:val="21"/>
              </w:rPr>
            </w:pPr>
            <w:r>
              <w:rPr>
                <w:rFonts w:hint="eastAsia" w:ascii="宋体" w:hAnsi="宋体" w:eastAsia="宋体" w:cs="仿宋_GB2312"/>
                <w:sz w:val="21"/>
                <w:szCs w:val="21"/>
              </w:rPr>
              <w:t>其他融资</w:t>
            </w:r>
          </w:p>
        </w:tc>
        <w:tc>
          <w:tcPr>
            <w:tcW w:w="833" w:type="pct"/>
            <w:noWrap/>
            <w:vAlign w:val="center"/>
          </w:tcPr>
          <w:p>
            <w:pPr>
              <w:pStyle w:val="33"/>
              <w:ind w:firstLine="360"/>
              <w:jc w:val="right"/>
              <w:rPr>
                <w:rFonts w:hint="eastAsia" w:ascii="仿宋" w:hAnsi="仿宋" w:eastAsia="仿宋" w:cs="仿宋_GB2312"/>
                <w:color w:val="000000" w:themeColor="text1"/>
                <w:sz w:val="21"/>
                <w:szCs w:val="21"/>
                <w14:textFill>
                  <w14:solidFill>
                    <w14:schemeClr w14:val="tx1"/>
                  </w14:solidFill>
                </w14:textFill>
              </w:rPr>
            </w:pPr>
          </w:p>
        </w:tc>
        <w:tc>
          <w:tcPr>
            <w:tcW w:w="833" w:type="pct"/>
            <w:noWrap/>
            <w:vAlign w:val="center"/>
          </w:tcPr>
          <w:p>
            <w:pPr>
              <w:pStyle w:val="33"/>
              <w:ind w:firstLine="360"/>
              <w:jc w:val="right"/>
              <w:rPr>
                <w:rFonts w:hint="eastAsia" w:ascii="仿宋" w:hAnsi="仿宋" w:eastAsia="仿宋" w:cs="仿宋_GB2312"/>
                <w:color w:val="000000" w:themeColor="text1"/>
                <w:sz w:val="21"/>
                <w:szCs w:val="21"/>
                <w14:textFill>
                  <w14:solidFill>
                    <w14:schemeClr w14:val="tx1"/>
                  </w14:solidFill>
                </w14:textFill>
              </w:rPr>
            </w:pPr>
          </w:p>
        </w:tc>
        <w:tc>
          <w:tcPr>
            <w:tcW w:w="930" w:type="pct"/>
            <w:noWrap/>
            <w:vAlign w:val="center"/>
          </w:tcPr>
          <w:p>
            <w:pPr>
              <w:pStyle w:val="33"/>
              <w:ind w:firstLine="360"/>
              <w:jc w:val="right"/>
              <w:rPr>
                <w:rFonts w:hint="eastAsia" w:ascii="仿宋" w:hAnsi="仿宋" w:eastAsia="仿宋" w:cs="仿宋_GB2312"/>
                <w:color w:val="000000" w:themeColor="text1"/>
                <w:sz w:val="21"/>
                <w:szCs w:val="21"/>
                <w14:textFill>
                  <w14:solidFill>
                    <w14:schemeClr w14:val="tx1"/>
                  </w14:solidFill>
                </w14:textFill>
              </w:rPr>
            </w:pPr>
          </w:p>
        </w:tc>
        <w:tc>
          <w:tcPr>
            <w:tcW w:w="1203" w:type="pct"/>
            <w:vMerge w:val="continue"/>
            <w:noWrap/>
            <w:vAlign w:val="center"/>
          </w:tcPr>
          <w:p>
            <w:pPr>
              <w:pStyle w:val="33"/>
              <w:ind w:firstLine="360"/>
              <w:jc w:val="right"/>
              <w:rPr>
                <w:rFonts w:hint="eastAsia" w:ascii="仿宋" w:hAnsi="仿宋" w:eastAsia="仿宋" w:cs="仿宋_GB2312"/>
                <w:color w:val="000000" w:themeColor="text1"/>
                <w:sz w:val="18"/>
                <w:szCs w:val="18"/>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1" w:type="pct"/>
            <w:noWrap/>
            <w:vAlign w:val="center"/>
          </w:tcPr>
          <w:p>
            <w:pPr>
              <w:pStyle w:val="33"/>
              <w:ind w:firstLine="360"/>
              <w:jc w:val="both"/>
              <w:rPr>
                <w:rFonts w:hint="eastAsia" w:ascii="宋体" w:hAnsi="宋体" w:eastAsia="宋体" w:cs="仿宋_GB2312"/>
                <w:sz w:val="21"/>
                <w:szCs w:val="21"/>
              </w:rPr>
            </w:pPr>
            <w:r>
              <w:rPr>
                <w:rFonts w:hint="eastAsia" w:ascii="宋体" w:hAnsi="宋体" w:eastAsia="宋体" w:cs="仿宋_GB2312"/>
                <w:sz w:val="21"/>
                <w:szCs w:val="21"/>
              </w:rPr>
              <w:t>融资合计</w:t>
            </w:r>
          </w:p>
        </w:tc>
        <w:tc>
          <w:tcPr>
            <w:tcW w:w="833" w:type="pct"/>
            <w:noWrap/>
            <w:vAlign w:val="center"/>
          </w:tcPr>
          <w:p>
            <w:pPr>
              <w:pStyle w:val="33"/>
              <w:ind w:firstLine="360"/>
              <w:jc w:val="right"/>
              <w:rPr>
                <w:rFonts w:hint="eastAsia" w:ascii="仿宋" w:hAnsi="仿宋" w:eastAsia="仿宋" w:cs="仿宋_GB2312"/>
                <w:color w:val="000000" w:themeColor="text1"/>
                <w:sz w:val="21"/>
                <w:szCs w:val="21"/>
                <w14:textFill>
                  <w14:solidFill>
                    <w14:schemeClr w14:val="tx1"/>
                  </w14:solidFill>
                </w14:textFill>
              </w:rPr>
            </w:pPr>
            <w:r>
              <w:rPr>
                <w:rFonts w:cs="Times New Roman"/>
                <w:color w:val="000000" w:themeColor="text1"/>
                <w:sz w:val="21"/>
                <w:szCs w:val="21"/>
                <w14:textFill>
                  <w14:solidFill>
                    <w14:schemeClr w14:val="tx1"/>
                  </w14:solidFill>
                </w14:textFill>
              </w:rPr>
              <w:t xml:space="preserve">25,393.00 </w:t>
            </w:r>
          </w:p>
        </w:tc>
        <w:tc>
          <w:tcPr>
            <w:tcW w:w="833" w:type="pct"/>
            <w:noWrap/>
            <w:vAlign w:val="center"/>
          </w:tcPr>
          <w:p>
            <w:pPr>
              <w:pStyle w:val="33"/>
              <w:ind w:firstLine="360"/>
              <w:jc w:val="right"/>
              <w:rPr>
                <w:rFonts w:hint="eastAsia" w:ascii="仿宋" w:hAnsi="仿宋" w:eastAsia="仿宋" w:cs="仿宋_GB2312"/>
                <w:color w:val="000000" w:themeColor="text1"/>
                <w:sz w:val="21"/>
                <w:szCs w:val="21"/>
                <w14:textFill>
                  <w14:solidFill>
                    <w14:schemeClr w14:val="tx1"/>
                  </w14:solidFill>
                </w14:textFill>
              </w:rPr>
            </w:pPr>
            <w:r>
              <w:rPr>
                <w:rFonts w:cs="Times New Roman"/>
                <w:color w:val="000000" w:themeColor="text1"/>
                <w:sz w:val="21"/>
                <w:szCs w:val="21"/>
                <w14:textFill>
                  <w14:solidFill>
                    <w14:schemeClr w14:val="tx1"/>
                  </w14:solidFill>
                </w14:textFill>
              </w:rPr>
              <w:t xml:space="preserve">15,034.32  </w:t>
            </w:r>
          </w:p>
        </w:tc>
        <w:tc>
          <w:tcPr>
            <w:tcW w:w="930" w:type="pct"/>
            <w:noWrap/>
            <w:vAlign w:val="center"/>
          </w:tcPr>
          <w:p>
            <w:pPr>
              <w:pStyle w:val="33"/>
              <w:ind w:firstLine="360"/>
              <w:jc w:val="right"/>
              <w:rPr>
                <w:rFonts w:hint="eastAsia" w:ascii="仿宋" w:hAnsi="仿宋" w:eastAsia="仿宋" w:cs="仿宋_GB2312"/>
                <w:color w:val="000000" w:themeColor="text1"/>
                <w:sz w:val="21"/>
                <w:szCs w:val="21"/>
                <w14:textFill>
                  <w14:solidFill>
                    <w14:schemeClr w14:val="tx1"/>
                  </w14:solidFill>
                </w14:textFill>
              </w:rPr>
            </w:pPr>
            <w:r>
              <w:rPr>
                <w:rFonts w:cs="Times New Roman"/>
                <w:color w:val="000000" w:themeColor="text1"/>
                <w:sz w:val="21"/>
                <w:szCs w:val="21"/>
                <w14:textFill>
                  <w14:solidFill>
                    <w14:schemeClr w14:val="tx1"/>
                  </w14:solidFill>
                </w14:textFill>
              </w:rPr>
              <w:t>40,427.32</w:t>
            </w:r>
          </w:p>
        </w:tc>
        <w:tc>
          <w:tcPr>
            <w:tcW w:w="1203" w:type="pct"/>
            <w:vMerge w:val="continue"/>
            <w:noWrap/>
            <w:vAlign w:val="center"/>
          </w:tcPr>
          <w:p>
            <w:pPr>
              <w:pStyle w:val="33"/>
              <w:ind w:firstLine="360"/>
              <w:jc w:val="right"/>
              <w:rPr>
                <w:rFonts w:hint="eastAsia" w:ascii="仿宋" w:hAnsi="仿宋" w:eastAsia="仿宋" w:cs="仿宋_GB2312"/>
                <w:color w:val="000000" w:themeColor="text1"/>
                <w:sz w:val="18"/>
                <w:szCs w:val="18"/>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1" w:type="pct"/>
            <w:tcBorders>
              <w:bottom w:val="single" w:color="auto" w:sz="8" w:space="0"/>
            </w:tcBorders>
            <w:noWrap/>
            <w:vAlign w:val="center"/>
          </w:tcPr>
          <w:p>
            <w:pPr>
              <w:pStyle w:val="33"/>
              <w:ind w:firstLine="360"/>
              <w:jc w:val="both"/>
              <w:rPr>
                <w:rFonts w:hint="eastAsia" w:ascii="宋体" w:hAnsi="宋体" w:eastAsia="宋体" w:cs="仿宋_GB2312"/>
                <w:sz w:val="21"/>
                <w:szCs w:val="21"/>
              </w:rPr>
            </w:pPr>
            <w:r>
              <w:rPr>
                <w:rFonts w:hint="eastAsia" w:ascii="宋体" w:hAnsi="宋体" w:eastAsia="宋体" w:cs="仿宋_GB2312"/>
                <w:sz w:val="21"/>
                <w:szCs w:val="21"/>
              </w:rPr>
              <w:t>覆盖倍数</w:t>
            </w:r>
          </w:p>
        </w:tc>
        <w:tc>
          <w:tcPr>
            <w:tcW w:w="3799" w:type="pct"/>
            <w:gridSpan w:val="4"/>
            <w:tcBorders>
              <w:bottom w:val="single" w:color="auto" w:sz="8" w:space="0"/>
            </w:tcBorders>
            <w:noWrap/>
            <w:vAlign w:val="center"/>
          </w:tcPr>
          <w:p>
            <w:pPr>
              <w:pStyle w:val="33"/>
              <w:ind w:right="319" w:rightChars="152" w:firstLine="360"/>
              <w:jc w:val="right"/>
              <w:rPr>
                <w:rFonts w:eastAsia="仿宋" w:cs="Times New Roman"/>
                <w:color w:val="000000" w:themeColor="text1"/>
                <w:sz w:val="21"/>
                <w:szCs w:val="21"/>
                <w14:textFill>
                  <w14:solidFill>
                    <w14:schemeClr w14:val="tx1"/>
                  </w14:solidFill>
                </w14:textFill>
              </w:rPr>
            </w:pPr>
            <w:r>
              <w:rPr>
                <w:rFonts w:hint="eastAsia" w:eastAsia="仿宋" w:cs="Times New Roman"/>
                <w:color w:val="000000" w:themeColor="text1"/>
                <w:sz w:val="21"/>
                <w:szCs w:val="21"/>
                <w14:textFill>
                  <w14:solidFill>
                    <w14:schemeClr w14:val="tx1"/>
                  </w14:solidFill>
                </w14:textFill>
              </w:rPr>
              <w:t>1.89</w:t>
            </w:r>
          </w:p>
        </w:tc>
      </w:tr>
      <w:bookmarkEnd w:id="42"/>
    </w:tbl>
    <w:p>
      <w:pPr>
        <w:pStyle w:val="3"/>
        <w:ind w:firstLine="640"/>
      </w:pPr>
      <w:bookmarkStart w:id="43" w:name="_Toc39820851"/>
      <w:r>
        <w:rPr>
          <w:rFonts w:hint="eastAsia"/>
        </w:rPr>
        <w:t>本项目可用于资金平衡的息前净现金流为</w:t>
      </w:r>
      <w:r>
        <w:t>76,551.77</w:t>
      </w:r>
      <w:r>
        <w:rPr>
          <w:rFonts w:hint="eastAsia"/>
        </w:rPr>
        <w:t>万元，融资本息合计</w:t>
      </w:r>
      <w:r>
        <w:t>40,427.32</w:t>
      </w:r>
      <w:r>
        <w:rPr>
          <w:rFonts w:hint="eastAsia"/>
        </w:rPr>
        <w:t>万元，项目净现金流覆盖融资本息的覆盖倍数为</w:t>
      </w:r>
      <w:r>
        <w:t>1.8</w:t>
      </w:r>
      <w:r>
        <w:rPr>
          <w:rFonts w:hint="eastAsia"/>
        </w:rPr>
        <w:t>9。</w:t>
      </w:r>
    </w:p>
    <w:bookmarkEnd w:id="41"/>
    <w:p>
      <w:pPr>
        <w:pStyle w:val="4"/>
        <w:ind w:firstLine="640"/>
      </w:pPr>
      <w:r>
        <w:rPr>
          <w:rFonts w:hint="eastAsia"/>
        </w:rPr>
        <w:t>（六）压力测试</w:t>
      </w:r>
    </w:p>
    <w:p>
      <w:pPr>
        <w:pStyle w:val="3"/>
        <w:ind w:firstLine="640"/>
      </w:pPr>
      <w:r>
        <w:rPr>
          <w:rFonts w:hint="eastAsia"/>
        </w:rPr>
        <w:t>根据本项目收益与融资平衡的压力测试结果，当项目的运营收入下降15%的情况下，项目的债券本息覆盖率仍然&gt;1;当项目的运营成本上升15%的情况下，项目的债券本息覆盖率仍然&gt;1；当项目的债券利率上升15%的情况下，项目的债券本息覆盖率仍然&gt;1。因此，本项目的项目收益对债券还本付息保障性较高，项目可通过压力测试，还本付息资金具有一定的稳定性与风险抵抗能力。压力测试情况详见下表:</w:t>
      </w:r>
    </w:p>
    <w:p>
      <w:pPr>
        <w:pStyle w:val="33"/>
      </w:pPr>
      <w:r>
        <w:rPr>
          <w:rFonts w:hint="eastAsia"/>
        </w:rPr>
        <w:t>表7 压力测试表</w:t>
      </w:r>
    </w:p>
    <w:tbl>
      <w:tblPr>
        <w:tblStyle w:val="15"/>
        <w:tblW w:w="8782" w:type="dxa"/>
        <w:tblInd w:w="0" w:type="dxa"/>
        <w:tblBorders>
          <w:top w:val="single" w:color="auto" w:sz="8" w:space="0"/>
          <w:left w:val="none" w:color="auto" w:sz="0" w:space="0"/>
          <w:bottom w:val="single" w:color="auto" w:sz="8"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2687"/>
        <w:gridCol w:w="878"/>
        <w:gridCol w:w="878"/>
        <w:gridCol w:w="878"/>
        <w:gridCol w:w="878"/>
        <w:gridCol w:w="878"/>
        <w:gridCol w:w="878"/>
        <w:gridCol w:w="827"/>
      </w:tblGrid>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trPr>
        <w:tc>
          <w:tcPr>
            <w:tcW w:w="1530" w:type="pct"/>
            <w:shd w:val="clear" w:color="auto" w:fill="FFFFFF" w:themeFill="background1"/>
            <w:vAlign w:val="center"/>
          </w:tcPr>
          <w:p>
            <w:pPr>
              <w:widowControl/>
              <w:jc w:val="center"/>
              <w:rPr>
                <w:rFonts w:hint="eastAsia" w:ascii="黑体" w:hAnsi="黑体" w:eastAsia="黑体" w:cs="宋体"/>
                <w:b/>
                <w:bCs/>
                <w:kern w:val="0"/>
                <w:szCs w:val="21"/>
              </w:rPr>
            </w:pPr>
            <w:r>
              <w:rPr>
                <w:rFonts w:hint="eastAsia" w:ascii="黑体" w:hAnsi="黑体" w:eastAsia="黑体" w:cs="宋体"/>
                <w:b/>
                <w:bCs/>
                <w:kern w:val="0"/>
                <w:szCs w:val="21"/>
              </w:rPr>
              <w:t>资金覆盖率-压力测试（单因素敏感性分析）</w:t>
            </w:r>
          </w:p>
        </w:tc>
        <w:tc>
          <w:tcPr>
            <w:tcW w:w="500" w:type="pct"/>
            <w:shd w:val="clear" w:color="auto" w:fill="FFFFFF" w:themeFill="background1"/>
            <w:vAlign w:val="center"/>
          </w:tcPr>
          <w:p>
            <w:pPr>
              <w:widowControl/>
              <w:jc w:val="center"/>
              <w:rPr>
                <w:rFonts w:hint="eastAsia" w:ascii="黑体" w:hAnsi="黑体" w:eastAsia="黑体"/>
                <w:b/>
                <w:bCs/>
                <w:kern w:val="0"/>
                <w:szCs w:val="21"/>
              </w:rPr>
            </w:pPr>
            <w:r>
              <w:rPr>
                <w:rFonts w:ascii="黑体" w:hAnsi="黑体" w:eastAsia="黑体"/>
                <w:b/>
                <w:bCs/>
                <w:kern w:val="0"/>
                <w:szCs w:val="21"/>
              </w:rPr>
              <w:t>-15%</w:t>
            </w:r>
          </w:p>
        </w:tc>
        <w:tc>
          <w:tcPr>
            <w:tcW w:w="500" w:type="pct"/>
            <w:shd w:val="clear" w:color="auto" w:fill="FFFFFF" w:themeFill="background1"/>
            <w:vAlign w:val="center"/>
          </w:tcPr>
          <w:p>
            <w:pPr>
              <w:widowControl/>
              <w:jc w:val="center"/>
              <w:rPr>
                <w:rFonts w:hint="eastAsia" w:ascii="黑体" w:hAnsi="黑体" w:eastAsia="黑体"/>
                <w:b/>
                <w:bCs/>
                <w:kern w:val="0"/>
                <w:szCs w:val="21"/>
              </w:rPr>
            </w:pPr>
            <w:r>
              <w:rPr>
                <w:rFonts w:ascii="黑体" w:hAnsi="黑体" w:eastAsia="黑体"/>
                <w:b/>
                <w:bCs/>
                <w:kern w:val="0"/>
                <w:szCs w:val="21"/>
              </w:rPr>
              <w:t>-10%</w:t>
            </w:r>
          </w:p>
        </w:tc>
        <w:tc>
          <w:tcPr>
            <w:tcW w:w="500" w:type="pct"/>
            <w:shd w:val="clear" w:color="auto" w:fill="FFFFFF" w:themeFill="background1"/>
            <w:vAlign w:val="center"/>
          </w:tcPr>
          <w:p>
            <w:pPr>
              <w:widowControl/>
              <w:jc w:val="center"/>
              <w:rPr>
                <w:rFonts w:hint="eastAsia" w:ascii="黑体" w:hAnsi="黑体" w:eastAsia="黑体"/>
                <w:b/>
                <w:bCs/>
                <w:kern w:val="0"/>
                <w:szCs w:val="21"/>
              </w:rPr>
            </w:pPr>
            <w:r>
              <w:rPr>
                <w:rFonts w:ascii="黑体" w:hAnsi="黑体" w:eastAsia="黑体"/>
                <w:b/>
                <w:bCs/>
                <w:kern w:val="0"/>
                <w:szCs w:val="21"/>
              </w:rPr>
              <w:t>-5%</w:t>
            </w:r>
          </w:p>
        </w:tc>
        <w:tc>
          <w:tcPr>
            <w:tcW w:w="500" w:type="pct"/>
            <w:shd w:val="clear" w:color="auto" w:fill="FFFFFF" w:themeFill="background1"/>
            <w:vAlign w:val="center"/>
          </w:tcPr>
          <w:p>
            <w:pPr>
              <w:widowControl/>
              <w:jc w:val="center"/>
              <w:rPr>
                <w:rFonts w:hint="eastAsia" w:ascii="黑体" w:hAnsi="黑体" w:eastAsia="黑体"/>
                <w:b/>
                <w:bCs/>
                <w:kern w:val="0"/>
                <w:szCs w:val="21"/>
              </w:rPr>
            </w:pPr>
            <w:r>
              <w:rPr>
                <w:rFonts w:ascii="黑体" w:hAnsi="黑体" w:eastAsia="黑体"/>
                <w:b/>
                <w:bCs/>
                <w:kern w:val="0"/>
                <w:szCs w:val="21"/>
              </w:rPr>
              <w:t>0%</w:t>
            </w:r>
          </w:p>
        </w:tc>
        <w:tc>
          <w:tcPr>
            <w:tcW w:w="500" w:type="pct"/>
            <w:shd w:val="clear" w:color="auto" w:fill="FFFFFF" w:themeFill="background1"/>
            <w:vAlign w:val="center"/>
          </w:tcPr>
          <w:p>
            <w:pPr>
              <w:widowControl/>
              <w:jc w:val="center"/>
              <w:rPr>
                <w:rFonts w:hint="eastAsia" w:ascii="黑体" w:hAnsi="黑体" w:eastAsia="黑体"/>
                <w:b/>
                <w:bCs/>
                <w:kern w:val="0"/>
                <w:szCs w:val="21"/>
              </w:rPr>
            </w:pPr>
            <w:r>
              <w:rPr>
                <w:rFonts w:ascii="黑体" w:hAnsi="黑体" w:eastAsia="黑体"/>
                <w:b/>
                <w:bCs/>
                <w:kern w:val="0"/>
                <w:szCs w:val="21"/>
              </w:rPr>
              <w:t>5%</w:t>
            </w:r>
          </w:p>
        </w:tc>
        <w:tc>
          <w:tcPr>
            <w:tcW w:w="500" w:type="pct"/>
            <w:shd w:val="clear" w:color="auto" w:fill="FFFFFF" w:themeFill="background1"/>
            <w:vAlign w:val="center"/>
          </w:tcPr>
          <w:p>
            <w:pPr>
              <w:widowControl/>
              <w:jc w:val="center"/>
              <w:rPr>
                <w:rFonts w:hint="eastAsia" w:ascii="黑体" w:hAnsi="黑体" w:eastAsia="黑体"/>
                <w:b/>
                <w:bCs/>
                <w:kern w:val="0"/>
                <w:szCs w:val="21"/>
              </w:rPr>
            </w:pPr>
            <w:r>
              <w:rPr>
                <w:rFonts w:ascii="黑体" w:hAnsi="黑体" w:eastAsia="黑体"/>
                <w:b/>
                <w:bCs/>
                <w:kern w:val="0"/>
                <w:szCs w:val="21"/>
              </w:rPr>
              <w:t>10%</w:t>
            </w:r>
          </w:p>
        </w:tc>
        <w:tc>
          <w:tcPr>
            <w:tcW w:w="470" w:type="pct"/>
            <w:shd w:val="clear" w:color="auto" w:fill="FFFFFF" w:themeFill="background1"/>
            <w:vAlign w:val="center"/>
          </w:tcPr>
          <w:p>
            <w:pPr>
              <w:widowControl/>
              <w:jc w:val="center"/>
              <w:rPr>
                <w:rFonts w:hint="eastAsia" w:ascii="黑体" w:hAnsi="黑体" w:eastAsia="黑体"/>
                <w:b/>
                <w:bCs/>
                <w:kern w:val="0"/>
                <w:szCs w:val="21"/>
              </w:rPr>
            </w:pPr>
            <w:r>
              <w:rPr>
                <w:rFonts w:ascii="黑体" w:hAnsi="黑体" w:eastAsia="黑体"/>
                <w:b/>
                <w:bCs/>
                <w:kern w:val="0"/>
                <w:szCs w:val="21"/>
              </w:rPr>
              <w:t>15%</w:t>
            </w: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30" w:type="pct"/>
            <w:shd w:val="clear" w:color="auto" w:fill="FFFFFF" w:themeFill="background1"/>
            <w:vAlign w:val="center"/>
          </w:tcPr>
          <w:p>
            <w:pPr>
              <w:widowControl/>
              <w:jc w:val="left"/>
              <w:rPr>
                <w:rFonts w:hint="eastAsia" w:ascii="宋体" w:hAnsi="宋体" w:cs="宋体"/>
                <w:b/>
                <w:bCs/>
                <w:kern w:val="0"/>
                <w:szCs w:val="21"/>
              </w:rPr>
            </w:pPr>
            <w:r>
              <w:rPr>
                <w:rFonts w:hint="eastAsia" w:ascii="宋体" w:hAnsi="宋体" w:cs="宋体"/>
                <w:b/>
                <w:bCs/>
                <w:kern w:val="0"/>
                <w:szCs w:val="21"/>
              </w:rPr>
              <w:t>运营收入变动敏感性分析</w:t>
            </w:r>
          </w:p>
        </w:tc>
        <w:tc>
          <w:tcPr>
            <w:tcW w:w="500" w:type="pct"/>
            <w:shd w:val="clear" w:color="auto" w:fill="FFFFFF" w:themeFill="background1"/>
            <w:vAlign w:val="center"/>
          </w:tcPr>
          <w:p>
            <w:pPr>
              <w:widowControl/>
              <w:jc w:val="right"/>
              <w:rPr>
                <w:kern w:val="0"/>
                <w:sz w:val="18"/>
                <w:szCs w:val="18"/>
              </w:rPr>
            </w:pPr>
          </w:p>
        </w:tc>
        <w:tc>
          <w:tcPr>
            <w:tcW w:w="500" w:type="pct"/>
            <w:shd w:val="clear" w:color="auto" w:fill="FFFFFF" w:themeFill="background1"/>
            <w:vAlign w:val="center"/>
          </w:tcPr>
          <w:p>
            <w:pPr>
              <w:widowControl/>
              <w:jc w:val="right"/>
              <w:rPr>
                <w:kern w:val="0"/>
                <w:sz w:val="18"/>
                <w:szCs w:val="18"/>
              </w:rPr>
            </w:pPr>
          </w:p>
        </w:tc>
        <w:tc>
          <w:tcPr>
            <w:tcW w:w="500" w:type="pct"/>
            <w:shd w:val="clear" w:color="auto" w:fill="FFFFFF" w:themeFill="background1"/>
            <w:vAlign w:val="center"/>
          </w:tcPr>
          <w:p>
            <w:pPr>
              <w:widowControl/>
              <w:jc w:val="right"/>
              <w:rPr>
                <w:kern w:val="0"/>
                <w:sz w:val="18"/>
                <w:szCs w:val="18"/>
              </w:rPr>
            </w:pPr>
          </w:p>
        </w:tc>
        <w:tc>
          <w:tcPr>
            <w:tcW w:w="500" w:type="pct"/>
            <w:shd w:val="clear" w:color="auto" w:fill="FFFFFF" w:themeFill="background1"/>
            <w:vAlign w:val="center"/>
          </w:tcPr>
          <w:p>
            <w:pPr>
              <w:widowControl/>
              <w:jc w:val="right"/>
              <w:rPr>
                <w:kern w:val="0"/>
                <w:sz w:val="18"/>
                <w:szCs w:val="18"/>
              </w:rPr>
            </w:pPr>
          </w:p>
        </w:tc>
        <w:tc>
          <w:tcPr>
            <w:tcW w:w="500" w:type="pct"/>
            <w:shd w:val="clear" w:color="auto" w:fill="FFFFFF" w:themeFill="background1"/>
            <w:vAlign w:val="center"/>
          </w:tcPr>
          <w:p>
            <w:pPr>
              <w:widowControl/>
              <w:jc w:val="right"/>
              <w:rPr>
                <w:kern w:val="0"/>
                <w:sz w:val="18"/>
                <w:szCs w:val="18"/>
              </w:rPr>
            </w:pPr>
          </w:p>
        </w:tc>
        <w:tc>
          <w:tcPr>
            <w:tcW w:w="500" w:type="pct"/>
            <w:shd w:val="clear" w:color="auto" w:fill="FFFFFF" w:themeFill="background1"/>
            <w:vAlign w:val="center"/>
          </w:tcPr>
          <w:p>
            <w:pPr>
              <w:widowControl/>
              <w:jc w:val="right"/>
              <w:rPr>
                <w:kern w:val="0"/>
                <w:sz w:val="18"/>
                <w:szCs w:val="18"/>
              </w:rPr>
            </w:pPr>
          </w:p>
        </w:tc>
        <w:tc>
          <w:tcPr>
            <w:tcW w:w="470" w:type="pct"/>
            <w:shd w:val="clear" w:color="auto" w:fill="FFFFFF" w:themeFill="background1"/>
            <w:vAlign w:val="center"/>
          </w:tcPr>
          <w:p>
            <w:pPr>
              <w:widowControl/>
              <w:jc w:val="right"/>
              <w:rPr>
                <w:kern w:val="0"/>
                <w:sz w:val="18"/>
                <w:szCs w:val="18"/>
              </w:rPr>
            </w:pP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30" w:type="pct"/>
            <w:shd w:val="clear" w:color="auto" w:fill="FFFFFF" w:themeFill="background1"/>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债券本金资金覆盖率</w:t>
            </w:r>
          </w:p>
        </w:tc>
        <w:tc>
          <w:tcPr>
            <w:tcW w:w="500" w:type="pct"/>
            <w:shd w:val="clear" w:color="auto" w:fill="FFFFFF" w:themeFill="background1"/>
          </w:tcPr>
          <w:p>
            <w:pPr>
              <w:widowControl/>
              <w:jc w:val="right"/>
              <w:rPr>
                <w:color w:val="EE0000"/>
                <w:kern w:val="0"/>
                <w:sz w:val="18"/>
                <w:szCs w:val="18"/>
              </w:rPr>
            </w:pPr>
            <w:r>
              <w:t xml:space="preserve">2.02 </w:t>
            </w:r>
          </w:p>
        </w:tc>
        <w:tc>
          <w:tcPr>
            <w:tcW w:w="500" w:type="pct"/>
            <w:shd w:val="clear" w:color="auto" w:fill="FFFFFF" w:themeFill="background1"/>
          </w:tcPr>
          <w:p>
            <w:pPr>
              <w:widowControl/>
              <w:jc w:val="right"/>
              <w:rPr>
                <w:color w:val="EE0000"/>
                <w:kern w:val="0"/>
                <w:sz w:val="18"/>
                <w:szCs w:val="18"/>
              </w:rPr>
            </w:pPr>
            <w:r>
              <w:t xml:space="preserve">2.17 </w:t>
            </w:r>
          </w:p>
        </w:tc>
        <w:tc>
          <w:tcPr>
            <w:tcW w:w="500" w:type="pct"/>
            <w:shd w:val="clear" w:color="auto" w:fill="FFFFFF" w:themeFill="background1"/>
          </w:tcPr>
          <w:p>
            <w:pPr>
              <w:widowControl/>
              <w:jc w:val="right"/>
              <w:rPr>
                <w:color w:val="EE0000"/>
                <w:kern w:val="0"/>
                <w:sz w:val="18"/>
                <w:szCs w:val="18"/>
              </w:rPr>
            </w:pPr>
            <w:r>
              <w:t xml:space="preserve">2.32 </w:t>
            </w:r>
          </w:p>
        </w:tc>
        <w:tc>
          <w:tcPr>
            <w:tcW w:w="500" w:type="pct"/>
            <w:shd w:val="clear" w:color="auto" w:fill="FFFFFF" w:themeFill="background1"/>
          </w:tcPr>
          <w:p>
            <w:pPr>
              <w:widowControl/>
              <w:jc w:val="right"/>
              <w:rPr>
                <w:color w:val="EE0000"/>
                <w:kern w:val="0"/>
                <w:sz w:val="18"/>
                <w:szCs w:val="18"/>
              </w:rPr>
            </w:pPr>
            <w:r>
              <w:t xml:space="preserve">2.47 </w:t>
            </w:r>
          </w:p>
        </w:tc>
        <w:tc>
          <w:tcPr>
            <w:tcW w:w="500" w:type="pct"/>
            <w:shd w:val="clear" w:color="auto" w:fill="FFFFFF" w:themeFill="background1"/>
          </w:tcPr>
          <w:p>
            <w:pPr>
              <w:widowControl/>
              <w:jc w:val="right"/>
              <w:rPr>
                <w:color w:val="EE0000"/>
                <w:kern w:val="0"/>
                <w:sz w:val="18"/>
                <w:szCs w:val="18"/>
              </w:rPr>
            </w:pPr>
            <w:r>
              <w:t xml:space="preserve">2.62 </w:t>
            </w:r>
          </w:p>
        </w:tc>
        <w:tc>
          <w:tcPr>
            <w:tcW w:w="500" w:type="pct"/>
            <w:shd w:val="clear" w:color="auto" w:fill="FFFFFF" w:themeFill="background1"/>
          </w:tcPr>
          <w:p>
            <w:pPr>
              <w:widowControl/>
              <w:jc w:val="right"/>
              <w:rPr>
                <w:color w:val="EE0000"/>
                <w:kern w:val="0"/>
                <w:sz w:val="18"/>
                <w:szCs w:val="18"/>
              </w:rPr>
            </w:pPr>
            <w:r>
              <w:t xml:space="preserve">2.77 </w:t>
            </w:r>
          </w:p>
        </w:tc>
        <w:tc>
          <w:tcPr>
            <w:tcW w:w="470" w:type="pct"/>
            <w:shd w:val="clear" w:color="auto" w:fill="FFFFFF" w:themeFill="background1"/>
          </w:tcPr>
          <w:p>
            <w:pPr>
              <w:widowControl/>
              <w:jc w:val="right"/>
              <w:rPr>
                <w:color w:val="EE0000"/>
                <w:kern w:val="0"/>
                <w:sz w:val="18"/>
                <w:szCs w:val="18"/>
              </w:rPr>
            </w:pPr>
            <w:r>
              <w:t xml:space="preserve">2.92 </w:t>
            </w: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30" w:type="pct"/>
            <w:shd w:val="clear" w:color="auto" w:fill="FFFFFF" w:themeFill="background1"/>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债券本息资金覆盖率</w:t>
            </w:r>
          </w:p>
        </w:tc>
        <w:tc>
          <w:tcPr>
            <w:tcW w:w="500" w:type="pct"/>
            <w:shd w:val="clear" w:color="auto" w:fill="FFFFFF" w:themeFill="background1"/>
          </w:tcPr>
          <w:p>
            <w:pPr>
              <w:widowControl/>
              <w:jc w:val="right"/>
              <w:rPr>
                <w:color w:val="EE0000"/>
                <w:kern w:val="0"/>
                <w:sz w:val="18"/>
                <w:szCs w:val="18"/>
              </w:rPr>
            </w:pPr>
            <w:r>
              <w:t xml:space="preserve">1.64 </w:t>
            </w:r>
          </w:p>
        </w:tc>
        <w:tc>
          <w:tcPr>
            <w:tcW w:w="500" w:type="pct"/>
            <w:shd w:val="clear" w:color="auto" w:fill="FFFFFF" w:themeFill="background1"/>
          </w:tcPr>
          <w:p>
            <w:pPr>
              <w:widowControl/>
              <w:jc w:val="right"/>
              <w:rPr>
                <w:color w:val="EE0000"/>
                <w:kern w:val="0"/>
                <w:sz w:val="18"/>
                <w:szCs w:val="18"/>
              </w:rPr>
            </w:pPr>
            <w:r>
              <w:t xml:space="preserve">1.74 </w:t>
            </w:r>
          </w:p>
        </w:tc>
        <w:tc>
          <w:tcPr>
            <w:tcW w:w="500" w:type="pct"/>
            <w:shd w:val="clear" w:color="auto" w:fill="FFFFFF" w:themeFill="background1"/>
          </w:tcPr>
          <w:p>
            <w:pPr>
              <w:widowControl/>
              <w:jc w:val="right"/>
              <w:rPr>
                <w:color w:val="EE0000"/>
                <w:kern w:val="0"/>
                <w:sz w:val="18"/>
                <w:szCs w:val="18"/>
              </w:rPr>
            </w:pPr>
            <w:r>
              <w:t xml:space="preserve">1.83 </w:t>
            </w:r>
          </w:p>
        </w:tc>
        <w:tc>
          <w:tcPr>
            <w:tcW w:w="500" w:type="pct"/>
            <w:shd w:val="clear" w:color="auto" w:fill="FFFFFF" w:themeFill="background1"/>
          </w:tcPr>
          <w:p>
            <w:pPr>
              <w:widowControl/>
              <w:jc w:val="right"/>
              <w:rPr>
                <w:color w:val="EE0000"/>
                <w:kern w:val="0"/>
                <w:sz w:val="18"/>
                <w:szCs w:val="18"/>
              </w:rPr>
            </w:pPr>
            <w:r>
              <w:t xml:space="preserve">1.92 </w:t>
            </w:r>
          </w:p>
        </w:tc>
        <w:tc>
          <w:tcPr>
            <w:tcW w:w="500" w:type="pct"/>
            <w:shd w:val="clear" w:color="auto" w:fill="FFFFFF" w:themeFill="background1"/>
          </w:tcPr>
          <w:p>
            <w:pPr>
              <w:widowControl/>
              <w:jc w:val="right"/>
              <w:rPr>
                <w:color w:val="EE0000"/>
                <w:kern w:val="0"/>
                <w:sz w:val="18"/>
                <w:szCs w:val="18"/>
              </w:rPr>
            </w:pPr>
            <w:r>
              <w:t xml:space="preserve">2.02 </w:t>
            </w:r>
          </w:p>
        </w:tc>
        <w:tc>
          <w:tcPr>
            <w:tcW w:w="500" w:type="pct"/>
            <w:shd w:val="clear" w:color="auto" w:fill="FFFFFF" w:themeFill="background1"/>
          </w:tcPr>
          <w:p>
            <w:pPr>
              <w:widowControl/>
              <w:jc w:val="right"/>
              <w:rPr>
                <w:color w:val="EE0000"/>
                <w:kern w:val="0"/>
                <w:sz w:val="18"/>
                <w:szCs w:val="18"/>
              </w:rPr>
            </w:pPr>
            <w:r>
              <w:t xml:space="preserve">2.11 </w:t>
            </w:r>
          </w:p>
        </w:tc>
        <w:tc>
          <w:tcPr>
            <w:tcW w:w="470" w:type="pct"/>
            <w:shd w:val="clear" w:color="auto" w:fill="FFFFFF" w:themeFill="background1"/>
          </w:tcPr>
          <w:p>
            <w:pPr>
              <w:widowControl/>
              <w:jc w:val="right"/>
              <w:rPr>
                <w:color w:val="EE0000"/>
                <w:kern w:val="0"/>
                <w:sz w:val="18"/>
                <w:szCs w:val="18"/>
              </w:rPr>
            </w:pPr>
            <w:r>
              <w:t xml:space="preserve">2.21 </w:t>
            </w: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30" w:type="pct"/>
            <w:shd w:val="clear" w:color="auto" w:fill="FFFFFF" w:themeFill="background1"/>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债券本息资金覆盖倍数</w:t>
            </w:r>
          </w:p>
        </w:tc>
        <w:tc>
          <w:tcPr>
            <w:tcW w:w="500" w:type="pct"/>
            <w:shd w:val="clear" w:color="auto" w:fill="FFFFFF" w:themeFill="background1"/>
          </w:tcPr>
          <w:p>
            <w:pPr>
              <w:widowControl/>
              <w:jc w:val="right"/>
              <w:rPr>
                <w:color w:val="EE0000"/>
                <w:kern w:val="0"/>
                <w:sz w:val="18"/>
                <w:szCs w:val="18"/>
              </w:rPr>
            </w:pPr>
            <w:r>
              <w:t xml:space="preserve">1.60 </w:t>
            </w:r>
          </w:p>
        </w:tc>
        <w:tc>
          <w:tcPr>
            <w:tcW w:w="500" w:type="pct"/>
            <w:shd w:val="clear" w:color="auto" w:fill="FFFFFF" w:themeFill="background1"/>
          </w:tcPr>
          <w:p>
            <w:pPr>
              <w:widowControl/>
              <w:jc w:val="right"/>
              <w:rPr>
                <w:color w:val="EE0000"/>
                <w:kern w:val="0"/>
                <w:sz w:val="18"/>
                <w:szCs w:val="18"/>
              </w:rPr>
            </w:pPr>
            <w:r>
              <w:t xml:space="preserve">1.70 </w:t>
            </w:r>
          </w:p>
        </w:tc>
        <w:tc>
          <w:tcPr>
            <w:tcW w:w="500" w:type="pct"/>
            <w:shd w:val="clear" w:color="auto" w:fill="FFFFFF" w:themeFill="background1"/>
          </w:tcPr>
          <w:p>
            <w:pPr>
              <w:widowControl/>
              <w:jc w:val="right"/>
              <w:rPr>
                <w:color w:val="EE0000"/>
                <w:kern w:val="0"/>
                <w:sz w:val="18"/>
                <w:szCs w:val="18"/>
              </w:rPr>
            </w:pPr>
            <w:r>
              <w:t xml:space="preserve">1.79 </w:t>
            </w:r>
          </w:p>
        </w:tc>
        <w:tc>
          <w:tcPr>
            <w:tcW w:w="500" w:type="pct"/>
            <w:shd w:val="clear" w:color="auto" w:fill="FFFFFF" w:themeFill="background1"/>
          </w:tcPr>
          <w:p>
            <w:pPr>
              <w:widowControl/>
              <w:jc w:val="right"/>
              <w:rPr>
                <w:color w:val="EE0000"/>
                <w:kern w:val="0"/>
                <w:sz w:val="18"/>
                <w:szCs w:val="18"/>
              </w:rPr>
            </w:pPr>
            <w:r>
              <w:t xml:space="preserve">1.89 </w:t>
            </w:r>
          </w:p>
        </w:tc>
        <w:tc>
          <w:tcPr>
            <w:tcW w:w="500" w:type="pct"/>
            <w:shd w:val="clear" w:color="auto" w:fill="FFFFFF" w:themeFill="background1"/>
          </w:tcPr>
          <w:p>
            <w:pPr>
              <w:widowControl/>
              <w:jc w:val="right"/>
              <w:rPr>
                <w:color w:val="EE0000"/>
                <w:kern w:val="0"/>
                <w:sz w:val="18"/>
                <w:szCs w:val="18"/>
              </w:rPr>
            </w:pPr>
            <w:r>
              <w:t xml:space="preserve">1.98 </w:t>
            </w:r>
          </w:p>
        </w:tc>
        <w:tc>
          <w:tcPr>
            <w:tcW w:w="500" w:type="pct"/>
            <w:shd w:val="clear" w:color="auto" w:fill="FFFFFF" w:themeFill="background1"/>
          </w:tcPr>
          <w:p>
            <w:pPr>
              <w:widowControl/>
              <w:jc w:val="right"/>
              <w:rPr>
                <w:color w:val="EE0000"/>
                <w:kern w:val="0"/>
                <w:sz w:val="18"/>
                <w:szCs w:val="18"/>
              </w:rPr>
            </w:pPr>
            <w:r>
              <w:t xml:space="preserve">2.08 </w:t>
            </w:r>
          </w:p>
        </w:tc>
        <w:tc>
          <w:tcPr>
            <w:tcW w:w="470" w:type="pct"/>
            <w:shd w:val="clear" w:color="auto" w:fill="FFFFFF" w:themeFill="background1"/>
          </w:tcPr>
          <w:p>
            <w:pPr>
              <w:widowControl/>
              <w:jc w:val="right"/>
              <w:rPr>
                <w:color w:val="EE0000"/>
                <w:kern w:val="0"/>
                <w:sz w:val="18"/>
                <w:szCs w:val="18"/>
              </w:rPr>
            </w:pPr>
            <w:r>
              <w:t xml:space="preserve">2.17 </w:t>
            </w: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30" w:type="pct"/>
            <w:shd w:val="clear" w:color="auto" w:fill="FFFFFF" w:themeFill="background1"/>
            <w:vAlign w:val="center"/>
          </w:tcPr>
          <w:p>
            <w:pPr>
              <w:widowControl/>
              <w:jc w:val="left"/>
              <w:rPr>
                <w:rFonts w:hint="eastAsia" w:ascii="宋体" w:hAnsi="宋体" w:cs="宋体"/>
                <w:b/>
                <w:bCs/>
                <w:color w:val="000000"/>
                <w:kern w:val="0"/>
                <w:szCs w:val="21"/>
              </w:rPr>
            </w:pPr>
            <w:r>
              <w:rPr>
                <w:rFonts w:hint="eastAsia" w:ascii="宋体" w:hAnsi="宋体" w:cs="宋体"/>
                <w:b/>
                <w:bCs/>
                <w:color w:val="000000"/>
                <w:kern w:val="0"/>
                <w:szCs w:val="21"/>
              </w:rPr>
              <w:t>运营成本变动敏感性分析</w:t>
            </w:r>
          </w:p>
        </w:tc>
        <w:tc>
          <w:tcPr>
            <w:tcW w:w="500" w:type="pct"/>
            <w:shd w:val="clear" w:color="auto" w:fill="FFFFFF" w:themeFill="background1"/>
          </w:tcPr>
          <w:p>
            <w:pPr>
              <w:widowControl/>
              <w:jc w:val="right"/>
              <w:rPr>
                <w:color w:val="EE0000"/>
                <w:kern w:val="0"/>
                <w:sz w:val="18"/>
                <w:szCs w:val="18"/>
              </w:rPr>
            </w:pPr>
          </w:p>
        </w:tc>
        <w:tc>
          <w:tcPr>
            <w:tcW w:w="500" w:type="pct"/>
            <w:shd w:val="clear" w:color="auto" w:fill="FFFFFF" w:themeFill="background1"/>
          </w:tcPr>
          <w:p>
            <w:pPr>
              <w:widowControl/>
              <w:jc w:val="right"/>
              <w:rPr>
                <w:color w:val="EE0000"/>
                <w:kern w:val="0"/>
                <w:sz w:val="18"/>
                <w:szCs w:val="18"/>
              </w:rPr>
            </w:pPr>
          </w:p>
        </w:tc>
        <w:tc>
          <w:tcPr>
            <w:tcW w:w="500" w:type="pct"/>
            <w:shd w:val="clear" w:color="auto" w:fill="FFFFFF" w:themeFill="background1"/>
          </w:tcPr>
          <w:p>
            <w:pPr>
              <w:widowControl/>
              <w:jc w:val="right"/>
              <w:rPr>
                <w:color w:val="EE0000"/>
                <w:kern w:val="0"/>
                <w:sz w:val="18"/>
                <w:szCs w:val="18"/>
              </w:rPr>
            </w:pPr>
          </w:p>
        </w:tc>
        <w:tc>
          <w:tcPr>
            <w:tcW w:w="500" w:type="pct"/>
            <w:shd w:val="clear" w:color="auto" w:fill="FFFFFF" w:themeFill="background1"/>
          </w:tcPr>
          <w:p>
            <w:pPr>
              <w:widowControl/>
              <w:jc w:val="right"/>
              <w:rPr>
                <w:color w:val="EE0000"/>
                <w:kern w:val="0"/>
                <w:sz w:val="18"/>
                <w:szCs w:val="18"/>
              </w:rPr>
            </w:pPr>
          </w:p>
        </w:tc>
        <w:tc>
          <w:tcPr>
            <w:tcW w:w="500" w:type="pct"/>
            <w:shd w:val="clear" w:color="auto" w:fill="FFFFFF" w:themeFill="background1"/>
          </w:tcPr>
          <w:p>
            <w:pPr>
              <w:widowControl/>
              <w:jc w:val="right"/>
              <w:rPr>
                <w:color w:val="EE0000"/>
                <w:kern w:val="0"/>
                <w:sz w:val="18"/>
                <w:szCs w:val="18"/>
              </w:rPr>
            </w:pPr>
          </w:p>
        </w:tc>
        <w:tc>
          <w:tcPr>
            <w:tcW w:w="500" w:type="pct"/>
            <w:shd w:val="clear" w:color="auto" w:fill="FFFFFF" w:themeFill="background1"/>
          </w:tcPr>
          <w:p>
            <w:pPr>
              <w:widowControl/>
              <w:jc w:val="right"/>
              <w:rPr>
                <w:color w:val="EE0000"/>
                <w:kern w:val="0"/>
                <w:sz w:val="18"/>
                <w:szCs w:val="18"/>
              </w:rPr>
            </w:pPr>
          </w:p>
        </w:tc>
        <w:tc>
          <w:tcPr>
            <w:tcW w:w="470" w:type="pct"/>
            <w:shd w:val="clear" w:color="auto" w:fill="FFFFFF" w:themeFill="background1"/>
          </w:tcPr>
          <w:p>
            <w:pPr>
              <w:widowControl/>
              <w:jc w:val="right"/>
              <w:rPr>
                <w:color w:val="EE0000"/>
                <w:kern w:val="0"/>
                <w:sz w:val="18"/>
                <w:szCs w:val="18"/>
              </w:rPr>
            </w:pP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30" w:type="pct"/>
            <w:shd w:val="clear" w:color="auto" w:fill="FFFFFF" w:themeFill="background1"/>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债券本金资金覆盖率</w:t>
            </w:r>
          </w:p>
        </w:tc>
        <w:tc>
          <w:tcPr>
            <w:tcW w:w="500" w:type="pct"/>
            <w:shd w:val="clear" w:color="auto" w:fill="FFFFFF" w:themeFill="background1"/>
          </w:tcPr>
          <w:p>
            <w:pPr>
              <w:widowControl/>
              <w:jc w:val="right"/>
              <w:rPr>
                <w:color w:val="EE0000"/>
                <w:kern w:val="0"/>
                <w:sz w:val="18"/>
                <w:szCs w:val="18"/>
              </w:rPr>
            </w:pPr>
            <w:r>
              <w:t xml:space="preserve">2.47 </w:t>
            </w:r>
          </w:p>
        </w:tc>
        <w:tc>
          <w:tcPr>
            <w:tcW w:w="500" w:type="pct"/>
            <w:shd w:val="clear" w:color="auto" w:fill="FFFFFF" w:themeFill="background1"/>
          </w:tcPr>
          <w:p>
            <w:pPr>
              <w:widowControl/>
              <w:jc w:val="right"/>
              <w:rPr>
                <w:color w:val="EE0000"/>
                <w:kern w:val="0"/>
                <w:sz w:val="18"/>
                <w:szCs w:val="18"/>
              </w:rPr>
            </w:pPr>
            <w:r>
              <w:t xml:space="preserve">2.47 </w:t>
            </w:r>
          </w:p>
        </w:tc>
        <w:tc>
          <w:tcPr>
            <w:tcW w:w="500" w:type="pct"/>
            <w:shd w:val="clear" w:color="auto" w:fill="FFFFFF" w:themeFill="background1"/>
          </w:tcPr>
          <w:p>
            <w:pPr>
              <w:widowControl/>
              <w:jc w:val="right"/>
              <w:rPr>
                <w:color w:val="EE0000"/>
                <w:kern w:val="0"/>
                <w:sz w:val="18"/>
                <w:szCs w:val="18"/>
              </w:rPr>
            </w:pPr>
            <w:r>
              <w:t xml:space="preserve">2.47 </w:t>
            </w:r>
          </w:p>
        </w:tc>
        <w:tc>
          <w:tcPr>
            <w:tcW w:w="500" w:type="pct"/>
            <w:shd w:val="clear" w:color="auto" w:fill="FFFFFF" w:themeFill="background1"/>
          </w:tcPr>
          <w:p>
            <w:pPr>
              <w:widowControl/>
              <w:jc w:val="right"/>
              <w:rPr>
                <w:color w:val="EE0000"/>
                <w:kern w:val="0"/>
                <w:sz w:val="18"/>
                <w:szCs w:val="18"/>
              </w:rPr>
            </w:pPr>
            <w:r>
              <w:t xml:space="preserve">2.47 </w:t>
            </w:r>
          </w:p>
        </w:tc>
        <w:tc>
          <w:tcPr>
            <w:tcW w:w="500" w:type="pct"/>
            <w:shd w:val="clear" w:color="auto" w:fill="FFFFFF" w:themeFill="background1"/>
          </w:tcPr>
          <w:p>
            <w:pPr>
              <w:widowControl/>
              <w:jc w:val="right"/>
              <w:rPr>
                <w:color w:val="EE0000"/>
                <w:kern w:val="0"/>
                <w:sz w:val="18"/>
                <w:szCs w:val="18"/>
              </w:rPr>
            </w:pPr>
            <w:r>
              <w:t xml:space="preserve">2.47 </w:t>
            </w:r>
          </w:p>
        </w:tc>
        <w:tc>
          <w:tcPr>
            <w:tcW w:w="500" w:type="pct"/>
            <w:shd w:val="clear" w:color="auto" w:fill="FFFFFF" w:themeFill="background1"/>
          </w:tcPr>
          <w:p>
            <w:pPr>
              <w:widowControl/>
              <w:jc w:val="right"/>
              <w:rPr>
                <w:color w:val="EE0000"/>
                <w:kern w:val="0"/>
                <w:sz w:val="18"/>
                <w:szCs w:val="18"/>
              </w:rPr>
            </w:pPr>
            <w:r>
              <w:t xml:space="preserve">2.47 </w:t>
            </w:r>
          </w:p>
        </w:tc>
        <w:tc>
          <w:tcPr>
            <w:tcW w:w="470" w:type="pct"/>
            <w:shd w:val="clear" w:color="auto" w:fill="FFFFFF" w:themeFill="background1"/>
          </w:tcPr>
          <w:p>
            <w:pPr>
              <w:widowControl/>
              <w:jc w:val="right"/>
              <w:rPr>
                <w:color w:val="EE0000"/>
                <w:kern w:val="0"/>
                <w:sz w:val="18"/>
                <w:szCs w:val="18"/>
              </w:rPr>
            </w:pPr>
            <w:r>
              <w:t xml:space="preserve">2.47 </w:t>
            </w: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30" w:type="pct"/>
            <w:shd w:val="clear" w:color="auto" w:fill="FFFFFF" w:themeFill="background1"/>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债券本息资金覆盖率</w:t>
            </w:r>
          </w:p>
        </w:tc>
        <w:tc>
          <w:tcPr>
            <w:tcW w:w="500" w:type="pct"/>
            <w:shd w:val="clear" w:color="auto" w:fill="FFFFFF" w:themeFill="background1"/>
          </w:tcPr>
          <w:p>
            <w:pPr>
              <w:widowControl/>
              <w:jc w:val="right"/>
              <w:rPr>
                <w:color w:val="EE0000"/>
                <w:kern w:val="0"/>
                <w:sz w:val="18"/>
                <w:szCs w:val="18"/>
              </w:rPr>
            </w:pPr>
            <w:r>
              <w:t xml:space="preserve">1.92 </w:t>
            </w:r>
          </w:p>
        </w:tc>
        <w:tc>
          <w:tcPr>
            <w:tcW w:w="500" w:type="pct"/>
            <w:shd w:val="clear" w:color="auto" w:fill="FFFFFF" w:themeFill="background1"/>
          </w:tcPr>
          <w:p>
            <w:pPr>
              <w:widowControl/>
              <w:jc w:val="right"/>
              <w:rPr>
                <w:color w:val="EE0000"/>
                <w:kern w:val="0"/>
                <w:sz w:val="18"/>
                <w:szCs w:val="18"/>
              </w:rPr>
            </w:pPr>
            <w:r>
              <w:t xml:space="preserve">1.92 </w:t>
            </w:r>
          </w:p>
        </w:tc>
        <w:tc>
          <w:tcPr>
            <w:tcW w:w="500" w:type="pct"/>
            <w:shd w:val="clear" w:color="auto" w:fill="FFFFFF" w:themeFill="background1"/>
          </w:tcPr>
          <w:p>
            <w:pPr>
              <w:widowControl/>
              <w:jc w:val="right"/>
              <w:rPr>
                <w:color w:val="EE0000"/>
                <w:kern w:val="0"/>
                <w:sz w:val="18"/>
                <w:szCs w:val="18"/>
              </w:rPr>
            </w:pPr>
            <w:r>
              <w:t xml:space="preserve">1.92 </w:t>
            </w:r>
          </w:p>
        </w:tc>
        <w:tc>
          <w:tcPr>
            <w:tcW w:w="500" w:type="pct"/>
            <w:shd w:val="clear" w:color="auto" w:fill="FFFFFF" w:themeFill="background1"/>
          </w:tcPr>
          <w:p>
            <w:pPr>
              <w:widowControl/>
              <w:jc w:val="right"/>
              <w:rPr>
                <w:color w:val="EE0000"/>
                <w:kern w:val="0"/>
                <w:sz w:val="18"/>
                <w:szCs w:val="18"/>
              </w:rPr>
            </w:pPr>
            <w:r>
              <w:t xml:space="preserve">1.92 </w:t>
            </w:r>
          </w:p>
        </w:tc>
        <w:tc>
          <w:tcPr>
            <w:tcW w:w="500" w:type="pct"/>
            <w:shd w:val="clear" w:color="auto" w:fill="FFFFFF" w:themeFill="background1"/>
          </w:tcPr>
          <w:p>
            <w:pPr>
              <w:widowControl/>
              <w:jc w:val="right"/>
              <w:rPr>
                <w:color w:val="EE0000"/>
                <w:kern w:val="0"/>
                <w:sz w:val="18"/>
                <w:szCs w:val="18"/>
              </w:rPr>
            </w:pPr>
            <w:r>
              <w:t xml:space="preserve">1.92 </w:t>
            </w:r>
          </w:p>
        </w:tc>
        <w:tc>
          <w:tcPr>
            <w:tcW w:w="500" w:type="pct"/>
            <w:shd w:val="clear" w:color="auto" w:fill="FFFFFF" w:themeFill="background1"/>
          </w:tcPr>
          <w:p>
            <w:pPr>
              <w:widowControl/>
              <w:jc w:val="right"/>
              <w:rPr>
                <w:color w:val="EE0000"/>
                <w:kern w:val="0"/>
                <w:sz w:val="18"/>
                <w:szCs w:val="18"/>
              </w:rPr>
            </w:pPr>
            <w:r>
              <w:t xml:space="preserve">1.93 </w:t>
            </w:r>
          </w:p>
        </w:tc>
        <w:tc>
          <w:tcPr>
            <w:tcW w:w="470" w:type="pct"/>
            <w:shd w:val="clear" w:color="auto" w:fill="FFFFFF" w:themeFill="background1"/>
          </w:tcPr>
          <w:p>
            <w:pPr>
              <w:widowControl/>
              <w:jc w:val="right"/>
              <w:rPr>
                <w:color w:val="EE0000"/>
                <w:kern w:val="0"/>
                <w:sz w:val="18"/>
                <w:szCs w:val="18"/>
              </w:rPr>
            </w:pPr>
            <w:r>
              <w:t xml:space="preserve">1.93 </w:t>
            </w: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30" w:type="pct"/>
            <w:shd w:val="clear" w:color="auto" w:fill="FFFFFF" w:themeFill="background1"/>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债券本息资金覆盖倍数</w:t>
            </w:r>
          </w:p>
        </w:tc>
        <w:tc>
          <w:tcPr>
            <w:tcW w:w="500" w:type="pct"/>
            <w:shd w:val="clear" w:color="auto" w:fill="FFFFFF" w:themeFill="background1"/>
          </w:tcPr>
          <w:p>
            <w:pPr>
              <w:widowControl/>
              <w:jc w:val="right"/>
              <w:rPr>
                <w:color w:val="EE0000"/>
                <w:kern w:val="0"/>
                <w:sz w:val="18"/>
                <w:szCs w:val="18"/>
              </w:rPr>
            </w:pPr>
            <w:r>
              <w:t xml:space="preserve">1.89 </w:t>
            </w:r>
          </w:p>
        </w:tc>
        <w:tc>
          <w:tcPr>
            <w:tcW w:w="500" w:type="pct"/>
            <w:shd w:val="clear" w:color="auto" w:fill="FFFFFF" w:themeFill="background1"/>
          </w:tcPr>
          <w:p>
            <w:pPr>
              <w:widowControl/>
              <w:jc w:val="right"/>
              <w:rPr>
                <w:color w:val="EE0000"/>
                <w:kern w:val="0"/>
                <w:sz w:val="18"/>
                <w:szCs w:val="18"/>
              </w:rPr>
            </w:pPr>
            <w:r>
              <w:t xml:space="preserve">1.89 </w:t>
            </w:r>
          </w:p>
        </w:tc>
        <w:tc>
          <w:tcPr>
            <w:tcW w:w="500" w:type="pct"/>
            <w:shd w:val="clear" w:color="auto" w:fill="FFFFFF" w:themeFill="background1"/>
          </w:tcPr>
          <w:p>
            <w:pPr>
              <w:widowControl/>
              <w:jc w:val="right"/>
              <w:rPr>
                <w:color w:val="EE0000"/>
                <w:kern w:val="0"/>
                <w:sz w:val="18"/>
                <w:szCs w:val="18"/>
              </w:rPr>
            </w:pPr>
            <w:r>
              <w:t xml:space="preserve">1.89 </w:t>
            </w:r>
          </w:p>
        </w:tc>
        <w:tc>
          <w:tcPr>
            <w:tcW w:w="500" w:type="pct"/>
            <w:shd w:val="clear" w:color="auto" w:fill="FFFFFF" w:themeFill="background1"/>
          </w:tcPr>
          <w:p>
            <w:pPr>
              <w:widowControl/>
              <w:jc w:val="right"/>
              <w:rPr>
                <w:color w:val="EE0000"/>
                <w:kern w:val="0"/>
                <w:sz w:val="18"/>
                <w:szCs w:val="18"/>
              </w:rPr>
            </w:pPr>
            <w:r>
              <w:t xml:space="preserve">1.89 </w:t>
            </w:r>
          </w:p>
        </w:tc>
        <w:tc>
          <w:tcPr>
            <w:tcW w:w="500" w:type="pct"/>
            <w:shd w:val="clear" w:color="auto" w:fill="FFFFFF" w:themeFill="background1"/>
          </w:tcPr>
          <w:p>
            <w:pPr>
              <w:widowControl/>
              <w:jc w:val="right"/>
              <w:rPr>
                <w:color w:val="EE0000"/>
                <w:kern w:val="0"/>
                <w:sz w:val="18"/>
                <w:szCs w:val="18"/>
              </w:rPr>
            </w:pPr>
            <w:r>
              <w:t xml:space="preserve">1.89 </w:t>
            </w:r>
          </w:p>
        </w:tc>
        <w:tc>
          <w:tcPr>
            <w:tcW w:w="500" w:type="pct"/>
            <w:shd w:val="clear" w:color="auto" w:fill="FFFFFF" w:themeFill="background1"/>
          </w:tcPr>
          <w:p>
            <w:pPr>
              <w:widowControl/>
              <w:jc w:val="right"/>
              <w:rPr>
                <w:color w:val="EE0000"/>
                <w:kern w:val="0"/>
                <w:sz w:val="18"/>
                <w:szCs w:val="18"/>
              </w:rPr>
            </w:pPr>
            <w:r>
              <w:t xml:space="preserve">1.89 </w:t>
            </w:r>
          </w:p>
        </w:tc>
        <w:tc>
          <w:tcPr>
            <w:tcW w:w="470" w:type="pct"/>
            <w:shd w:val="clear" w:color="auto" w:fill="FFFFFF" w:themeFill="background1"/>
          </w:tcPr>
          <w:p>
            <w:pPr>
              <w:widowControl/>
              <w:jc w:val="right"/>
              <w:rPr>
                <w:color w:val="EE0000"/>
                <w:kern w:val="0"/>
                <w:sz w:val="18"/>
                <w:szCs w:val="18"/>
              </w:rPr>
            </w:pPr>
            <w:r>
              <w:t xml:space="preserve">1.89 </w:t>
            </w: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30" w:type="pct"/>
            <w:shd w:val="clear" w:color="auto" w:fill="FFFFFF" w:themeFill="background1"/>
            <w:vAlign w:val="center"/>
          </w:tcPr>
          <w:p>
            <w:pPr>
              <w:widowControl/>
              <w:jc w:val="left"/>
              <w:rPr>
                <w:rFonts w:hint="eastAsia" w:ascii="宋体" w:hAnsi="宋体" w:cs="宋体"/>
                <w:b/>
                <w:bCs/>
                <w:color w:val="000000"/>
                <w:kern w:val="0"/>
                <w:szCs w:val="21"/>
              </w:rPr>
            </w:pPr>
            <w:r>
              <w:rPr>
                <w:rFonts w:hint="eastAsia" w:ascii="宋体" w:hAnsi="宋体" w:cs="宋体"/>
                <w:b/>
                <w:bCs/>
                <w:color w:val="000000"/>
                <w:kern w:val="0"/>
                <w:szCs w:val="21"/>
              </w:rPr>
              <w:t>利率变动敏感性分析</w:t>
            </w:r>
          </w:p>
        </w:tc>
        <w:tc>
          <w:tcPr>
            <w:tcW w:w="500" w:type="pct"/>
            <w:shd w:val="clear" w:color="auto" w:fill="FFFFFF" w:themeFill="background1"/>
          </w:tcPr>
          <w:p>
            <w:pPr>
              <w:widowControl/>
              <w:jc w:val="right"/>
              <w:rPr>
                <w:color w:val="EE0000"/>
                <w:kern w:val="0"/>
                <w:sz w:val="18"/>
                <w:szCs w:val="18"/>
              </w:rPr>
            </w:pPr>
          </w:p>
        </w:tc>
        <w:tc>
          <w:tcPr>
            <w:tcW w:w="500" w:type="pct"/>
            <w:shd w:val="clear" w:color="auto" w:fill="FFFFFF" w:themeFill="background1"/>
          </w:tcPr>
          <w:p>
            <w:pPr>
              <w:widowControl/>
              <w:jc w:val="right"/>
              <w:rPr>
                <w:color w:val="EE0000"/>
                <w:kern w:val="0"/>
                <w:sz w:val="18"/>
                <w:szCs w:val="18"/>
              </w:rPr>
            </w:pPr>
          </w:p>
        </w:tc>
        <w:tc>
          <w:tcPr>
            <w:tcW w:w="500" w:type="pct"/>
            <w:shd w:val="clear" w:color="auto" w:fill="FFFFFF" w:themeFill="background1"/>
          </w:tcPr>
          <w:p>
            <w:pPr>
              <w:widowControl/>
              <w:jc w:val="right"/>
              <w:rPr>
                <w:color w:val="EE0000"/>
                <w:kern w:val="0"/>
                <w:sz w:val="18"/>
                <w:szCs w:val="18"/>
              </w:rPr>
            </w:pPr>
          </w:p>
        </w:tc>
        <w:tc>
          <w:tcPr>
            <w:tcW w:w="500" w:type="pct"/>
            <w:shd w:val="clear" w:color="auto" w:fill="FFFFFF" w:themeFill="background1"/>
          </w:tcPr>
          <w:p>
            <w:pPr>
              <w:widowControl/>
              <w:jc w:val="right"/>
              <w:rPr>
                <w:color w:val="EE0000"/>
                <w:kern w:val="0"/>
                <w:sz w:val="18"/>
                <w:szCs w:val="18"/>
              </w:rPr>
            </w:pPr>
          </w:p>
        </w:tc>
        <w:tc>
          <w:tcPr>
            <w:tcW w:w="500" w:type="pct"/>
            <w:shd w:val="clear" w:color="auto" w:fill="FFFFFF" w:themeFill="background1"/>
          </w:tcPr>
          <w:p>
            <w:pPr>
              <w:widowControl/>
              <w:jc w:val="right"/>
              <w:rPr>
                <w:color w:val="EE0000"/>
                <w:kern w:val="0"/>
                <w:sz w:val="18"/>
                <w:szCs w:val="18"/>
              </w:rPr>
            </w:pPr>
          </w:p>
        </w:tc>
        <w:tc>
          <w:tcPr>
            <w:tcW w:w="500" w:type="pct"/>
            <w:shd w:val="clear" w:color="auto" w:fill="FFFFFF" w:themeFill="background1"/>
          </w:tcPr>
          <w:p>
            <w:pPr>
              <w:widowControl/>
              <w:jc w:val="right"/>
              <w:rPr>
                <w:color w:val="EE0000"/>
                <w:kern w:val="0"/>
                <w:sz w:val="18"/>
                <w:szCs w:val="18"/>
              </w:rPr>
            </w:pPr>
          </w:p>
        </w:tc>
        <w:tc>
          <w:tcPr>
            <w:tcW w:w="470" w:type="pct"/>
            <w:shd w:val="clear" w:color="auto" w:fill="FFFFFF" w:themeFill="background1"/>
          </w:tcPr>
          <w:p>
            <w:pPr>
              <w:widowControl/>
              <w:jc w:val="right"/>
              <w:rPr>
                <w:color w:val="EE0000"/>
                <w:kern w:val="0"/>
                <w:sz w:val="18"/>
                <w:szCs w:val="18"/>
              </w:rPr>
            </w:pP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30" w:type="pct"/>
            <w:shd w:val="clear" w:color="auto" w:fill="FFFFFF" w:themeFill="background1"/>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债券本金资金覆盖率</w:t>
            </w:r>
          </w:p>
        </w:tc>
        <w:tc>
          <w:tcPr>
            <w:tcW w:w="500" w:type="pct"/>
            <w:shd w:val="clear" w:color="auto" w:fill="FFFFFF" w:themeFill="background1"/>
          </w:tcPr>
          <w:p>
            <w:pPr>
              <w:widowControl/>
              <w:jc w:val="right"/>
              <w:rPr>
                <w:color w:val="EE0000"/>
                <w:kern w:val="0"/>
                <w:sz w:val="18"/>
                <w:szCs w:val="18"/>
              </w:rPr>
            </w:pPr>
            <w:r>
              <w:t xml:space="preserve">2.56 </w:t>
            </w:r>
          </w:p>
        </w:tc>
        <w:tc>
          <w:tcPr>
            <w:tcW w:w="500" w:type="pct"/>
            <w:shd w:val="clear" w:color="auto" w:fill="FFFFFF" w:themeFill="background1"/>
          </w:tcPr>
          <w:p>
            <w:pPr>
              <w:widowControl/>
              <w:jc w:val="right"/>
              <w:rPr>
                <w:color w:val="EE0000"/>
                <w:kern w:val="0"/>
                <w:sz w:val="18"/>
                <w:szCs w:val="18"/>
              </w:rPr>
            </w:pPr>
            <w:r>
              <w:t xml:space="preserve">2.53 </w:t>
            </w:r>
          </w:p>
        </w:tc>
        <w:tc>
          <w:tcPr>
            <w:tcW w:w="500" w:type="pct"/>
            <w:shd w:val="clear" w:color="auto" w:fill="FFFFFF" w:themeFill="background1"/>
          </w:tcPr>
          <w:p>
            <w:pPr>
              <w:widowControl/>
              <w:jc w:val="right"/>
              <w:rPr>
                <w:color w:val="EE0000"/>
                <w:kern w:val="0"/>
                <w:sz w:val="18"/>
                <w:szCs w:val="18"/>
              </w:rPr>
            </w:pPr>
            <w:r>
              <w:t xml:space="preserve">2.50 </w:t>
            </w:r>
          </w:p>
        </w:tc>
        <w:tc>
          <w:tcPr>
            <w:tcW w:w="500" w:type="pct"/>
            <w:shd w:val="clear" w:color="auto" w:fill="FFFFFF" w:themeFill="background1"/>
          </w:tcPr>
          <w:p>
            <w:pPr>
              <w:widowControl/>
              <w:jc w:val="right"/>
              <w:rPr>
                <w:color w:val="EE0000"/>
                <w:kern w:val="0"/>
                <w:sz w:val="18"/>
                <w:szCs w:val="18"/>
              </w:rPr>
            </w:pPr>
            <w:r>
              <w:t xml:space="preserve">2.47 </w:t>
            </w:r>
          </w:p>
        </w:tc>
        <w:tc>
          <w:tcPr>
            <w:tcW w:w="500" w:type="pct"/>
            <w:shd w:val="clear" w:color="auto" w:fill="FFFFFF" w:themeFill="background1"/>
          </w:tcPr>
          <w:p>
            <w:pPr>
              <w:widowControl/>
              <w:jc w:val="right"/>
              <w:rPr>
                <w:color w:val="EE0000"/>
                <w:kern w:val="0"/>
                <w:sz w:val="18"/>
                <w:szCs w:val="18"/>
              </w:rPr>
            </w:pPr>
            <w:r>
              <w:t xml:space="preserve">2.44 </w:t>
            </w:r>
          </w:p>
        </w:tc>
        <w:tc>
          <w:tcPr>
            <w:tcW w:w="500" w:type="pct"/>
            <w:shd w:val="clear" w:color="auto" w:fill="FFFFFF" w:themeFill="background1"/>
          </w:tcPr>
          <w:p>
            <w:pPr>
              <w:widowControl/>
              <w:jc w:val="right"/>
              <w:rPr>
                <w:color w:val="EE0000"/>
                <w:kern w:val="0"/>
                <w:sz w:val="18"/>
                <w:szCs w:val="18"/>
              </w:rPr>
            </w:pPr>
            <w:r>
              <w:t xml:space="preserve">2.41 </w:t>
            </w:r>
          </w:p>
        </w:tc>
        <w:tc>
          <w:tcPr>
            <w:tcW w:w="470" w:type="pct"/>
            <w:shd w:val="clear" w:color="auto" w:fill="FFFFFF" w:themeFill="background1"/>
          </w:tcPr>
          <w:p>
            <w:pPr>
              <w:widowControl/>
              <w:jc w:val="right"/>
              <w:rPr>
                <w:color w:val="EE0000"/>
                <w:kern w:val="0"/>
                <w:sz w:val="18"/>
                <w:szCs w:val="18"/>
              </w:rPr>
            </w:pPr>
            <w:r>
              <w:t xml:space="preserve">2.38 </w:t>
            </w: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PrEx>
        <w:trPr>
          <w:trHeight w:val="340" w:hRule="atLeast"/>
        </w:trPr>
        <w:tc>
          <w:tcPr>
            <w:tcW w:w="1530" w:type="pct"/>
            <w:shd w:val="clear" w:color="auto" w:fill="FFFFFF" w:themeFill="background1"/>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债券本息资金覆盖率</w:t>
            </w:r>
          </w:p>
        </w:tc>
        <w:tc>
          <w:tcPr>
            <w:tcW w:w="500" w:type="pct"/>
            <w:shd w:val="clear" w:color="auto" w:fill="FFFFFF" w:themeFill="background1"/>
          </w:tcPr>
          <w:p>
            <w:pPr>
              <w:widowControl/>
              <w:jc w:val="right"/>
              <w:rPr>
                <w:color w:val="EE0000"/>
                <w:kern w:val="0"/>
                <w:sz w:val="18"/>
                <w:szCs w:val="18"/>
              </w:rPr>
            </w:pPr>
            <w:r>
              <w:t xml:space="preserve">2.04 </w:t>
            </w:r>
          </w:p>
        </w:tc>
        <w:tc>
          <w:tcPr>
            <w:tcW w:w="500" w:type="pct"/>
            <w:shd w:val="clear" w:color="auto" w:fill="FFFFFF" w:themeFill="background1"/>
          </w:tcPr>
          <w:p>
            <w:pPr>
              <w:widowControl/>
              <w:jc w:val="right"/>
              <w:rPr>
                <w:color w:val="EE0000"/>
                <w:kern w:val="0"/>
                <w:sz w:val="18"/>
                <w:szCs w:val="18"/>
              </w:rPr>
            </w:pPr>
            <w:r>
              <w:t xml:space="preserve">2.00 </w:t>
            </w:r>
          </w:p>
        </w:tc>
        <w:tc>
          <w:tcPr>
            <w:tcW w:w="500" w:type="pct"/>
            <w:shd w:val="clear" w:color="auto" w:fill="FFFFFF" w:themeFill="background1"/>
          </w:tcPr>
          <w:p>
            <w:pPr>
              <w:widowControl/>
              <w:jc w:val="right"/>
              <w:rPr>
                <w:color w:val="EE0000"/>
                <w:kern w:val="0"/>
                <w:sz w:val="18"/>
                <w:szCs w:val="18"/>
              </w:rPr>
            </w:pPr>
            <w:r>
              <w:t xml:space="preserve">1.96 </w:t>
            </w:r>
          </w:p>
        </w:tc>
        <w:tc>
          <w:tcPr>
            <w:tcW w:w="500" w:type="pct"/>
            <w:shd w:val="clear" w:color="auto" w:fill="FFFFFF" w:themeFill="background1"/>
          </w:tcPr>
          <w:p>
            <w:pPr>
              <w:widowControl/>
              <w:jc w:val="right"/>
              <w:rPr>
                <w:color w:val="EE0000"/>
                <w:kern w:val="0"/>
                <w:sz w:val="18"/>
                <w:szCs w:val="18"/>
              </w:rPr>
            </w:pPr>
            <w:r>
              <w:t xml:space="preserve">1.92 </w:t>
            </w:r>
          </w:p>
        </w:tc>
        <w:tc>
          <w:tcPr>
            <w:tcW w:w="500" w:type="pct"/>
            <w:shd w:val="clear" w:color="auto" w:fill="FFFFFF" w:themeFill="background1"/>
          </w:tcPr>
          <w:p>
            <w:pPr>
              <w:widowControl/>
              <w:jc w:val="right"/>
              <w:rPr>
                <w:color w:val="EE0000"/>
                <w:kern w:val="0"/>
                <w:sz w:val="18"/>
                <w:szCs w:val="18"/>
              </w:rPr>
            </w:pPr>
            <w:r>
              <w:t xml:space="preserve">1.89 </w:t>
            </w:r>
          </w:p>
        </w:tc>
        <w:tc>
          <w:tcPr>
            <w:tcW w:w="500" w:type="pct"/>
            <w:shd w:val="clear" w:color="auto" w:fill="FFFFFF" w:themeFill="background1"/>
          </w:tcPr>
          <w:p>
            <w:pPr>
              <w:widowControl/>
              <w:jc w:val="right"/>
              <w:rPr>
                <w:color w:val="EE0000"/>
                <w:kern w:val="0"/>
                <w:sz w:val="18"/>
                <w:szCs w:val="18"/>
              </w:rPr>
            </w:pPr>
            <w:r>
              <w:t xml:space="preserve">1.86 </w:t>
            </w:r>
          </w:p>
        </w:tc>
        <w:tc>
          <w:tcPr>
            <w:tcW w:w="470" w:type="pct"/>
            <w:shd w:val="clear" w:color="auto" w:fill="FFFFFF" w:themeFill="background1"/>
          </w:tcPr>
          <w:p>
            <w:pPr>
              <w:widowControl/>
              <w:jc w:val="right"/>
              <w:rPr>
                <w:color w:val="EE0000"/>
                <w:kern w:val="0"/>
                <w:sz w:val="18"/>
                <w:szCs w:val="18"/>
              </w:rPr>
            </w:pPr>
            <w:r>
              <w:t xml:space="preserve">1.82 </w:t>
            </w:r>
          </w:p>
        </w:tc>
      </w:tr>
      <w:tr>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30" w:type="pct"/>
            <w:shd w:val="clear" w:color="auto" w:fill="FFFFFF" w:themeFill="background1"/>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债券本息资金覆盖倍数</w:t>
            </w:r>
          </w:p>
        </w:tc>
        <w:tc>
          <w:tcPr>
            <w:tcW w:w="500" w:type="pct"/>
            <w:shd w:val="clear" w:color="auto" w:fill="FFFFFF" w:themeFill="background1"/>
          </w:tcPr>
          <w:p>
            <w:pPr>
              <w:widowControl/>
              <w:jc w:val="right"/>
              <w:rPr>
                <w:color w:val="EE0000"/>
                <w:kern w:val="0"/>
                <w:sz w:val="18"/>
                <w:szCs w:val="18"/>
              </w:rPr>
            </w:pPr>
            <w:r>
              <w:t xml:space="preserve">2.00 </w:t>
            </w:r>
          </w:p>
        </w:tc>
        <w:tc>
          <w:tcPr>
            <w:tcW w:w="500" w:type="pct"/>
            <w:shd w:val="clear" w:color="auto" w:fill="FFFFFF" w:themeFill="background1"/>
          </w:tcPr>
          <w:p>
            <w:pPr>
              <w:widowControl/>
              <w:jc w:val="right"/>
              <w:rPr>
                <w:color w:val="EE0000"/>
                <w:kern w:val="0"/>
                <w:sz w:val="18"/>
                <w:szCs w:val="18"/>
              </w:rPr>
            </w:pPr>
            <w:r>
              <w:t xml:space="preserve">1.96 </w:t>
            </w:r>
          </w:p>
        </w:tc>
        <w:tc>
          <w:tcPr>
            <w:tcW w:w="500" w:type="pct"/>
            <w:shd w:val="clear" w:color="auto" w:fill="FFFFFF" w:themeFill="background1"/>
          </w:tcPr>
          <w:p>
            <w:pPr>
              <w:widowControl/>
              <w:jc w:val="right"/>
              <w:rPr>
                <w:color w:val="EE0000"/>
                <w:kern w:val="0"/>
                <w:sz w:val="18"/>
                <w:szCs w:val="18"/>
              </w:rPr>
            </w:pPr>
            <w:r>
              <w:t xml:space="preserve">1.92 </w:t>
            </w:r>
          </w:p>
        </w:tc>
        <w:tc>
          <w:tcPr>
            <w:tcW w:w="500" w:type="pct"/>
            <w:shd w:val="clear" w:color="auto" w:fill="FFFFFF" w:themeFill="background1"/>
          </w:tcPr>
          <w:p>
            <w:pPr>
              <w:widowControl/>
              <w:jc w:val="right"/>
              <w:rPr>
                <w:color w:val="EE0000"/>
                <w:kern w:val="0"/>
                <w:sz w:val="18"/>
                <w:szCs w:val="18"/>
              </w:rPr>
            </w:pPr>
            <w:r>
              <w:t xml:space="preserve">1.89 </w:t>
            </w:r>
          </w:p>
        </w:tc>
        <w:tc>
          <w:tcPr>
            <w:tcW w:w="500" w:type="pct"/>
            <w:shd w:val="clear" w:color="auto" w:fill="FFFFFF" w:themeFill="background1"/>
          </w:tcPr>
          <w:p>
            <w:pPr>
              <w:widowControl/>
              <w:jc w:val="right"/>
              <w:rPr>
                <w:color w:val="EE0000"/>
                <w:kern w:val="0"/>
                <w:sz w:val="18"/>
                <w:szCs w:val="18"/>
              </w:rPr>
            </w:pPr>
            <w:r>
              <w:t xml:space="preserve">1.85 </w:t>
            </w:r>
          </w:p>
        </w:tc>
        <w:tc>
          <w:tcPr>
            <w:tcW w:w="500" w:type="pct"/>
            <w:shd w:val="clear" w:color="auto" w:fill="FFFFFF" w:themeFill="background1"/>
          </w:tcPr>
          <w:p>
            <w:pPr>
              <w:widowControl/>
              <w:jc w:val="right"/>
              <w:rPr>
                <w:color w:val="EE0000"/>
                <w:kern w:val="0"/>
                <w:sz w:val="18"/>
                <w:szCs w:val="18"/>
              </w:rPr>
            </w:pPr>
            <w:r>
              <w:t xml:space="preserve">1.82 </w:t>
            </w:r>
          </w:p>
        </w:tc>
        <w:tc>
          <w:tcPr>
            <w:tcW w:w="470" w:type="pct"/>
            <w:shd w:val="clear" w:color="auto" w:fill="FFFFFF" w:themeFill="background1"/>
          </w:tcPr>
          <w:p>
            <w:pPr>
              <w:widowControl/>
              <w:jc w:val="right"/>
              <w:rPr>
                <w:color w:val="EE0000"/>
                <w:kern w:val="0"/>
                <w:sz w:val="18"/>
                <w:szCs w:val="18"/>
              </w:rPr>
            </w:pPr>
            <w:r>
              <w:t xml:space="preserve">1.79 </w:t>
            </w:r>
          </w:p>
        </w:tc>
      </w:tr>
      <w:bookmarkEnd w:id="43"/>
    </w:tbl>
    <w:p>
      <w:pPr>
        <w:pStyle w:val="2"/>
        <w:ind w:firstLine="640"/>
      </w:pPr>
      <w:bookmarkStart w:id="44" w:name="_Toc28935665"/>
      <w:bookmarkStart w:id="45" w:name="_Toc39820852"/>
      <w:r>
        <w:rPr>
          <w:rFonts w:hint="eastAsia"/>
        </w:rPr>
        <w:t>五、项目风险分析</w:t>
      </w:r>
      <w:bookmarkEnd w:id="44"/>
      <w:bookmarkEnd w:id="45"/>
    </w:p>
    <w:p>
      <w:pPr>
        <w:pStyle w:val="4"/>
        <w:ind w:firstLine="640"/>
      </w:pPr>
      <w:bookmarkStart w:id="46" w:name="_Toc28935666"/>
      <w:bookmarkStart w:id="47" w:name="_Toc39820853"/>
      <w:r>
        <w:rPr>
          <w:rFonts w:hint="eastAsia"/>
        </w:rPr>
        <w:t>（一）</w:t>
      </w:r>
      <w:bookmarkEnd w:id="46"/>
      <w:r>
        <w:rPr>
          <w:rFonts w:hint="eastAsia"/>
        </w:rPr>
        <w:t>与项目建设相关的风险</w:t>
      </w:r>
      <w:bookmarkEnd w:id="47"/>
    </w:p>
    <w:p>
      <w:pPr>
        <w:pStyle w:val="3"/>
        <w:ind w:firstLine="640"/>
      </w:pPr>
      <w:bookmarkStart w:id="48" w:name="_Toc24187687"/>
      <w:r>
        <w:rPr>
          <w:rFonts w:hint="eastAsia"/>
        </w:rPr>
        <w:t>本项目建设期间，不可避免地会给道路交通带来影响。施工期间的交通组织和安全问题应该引起足够重视。建议有关部门制定周密的计划和可行措施，合理疏导交通，将施工对交通的影响降到最低。</w:t>
      </w:r>
    </w:p>
    <w:p>
      <w:pPr>
        <w:pStyle w:val="4"/>
        <w:ind w:firstLine="640"/>
      </w:pPr>
      <w:bookmarkStart w:id="49" w:name="_Toc39820854"/>
      <w:r>
        <w:rPr>
          <w:rFonts w:hint="eastAsia"/>
        </w:rPr>
        <w:t>（二）与项目收益相关的风险</w:t>
      </w:r>
      <w:bookmarkEnd w:id="48"/>
      <w:bookmarkEnd w:id="49"/>
    </w:p>
    <w:p>
      <w:pPr>
        <w:pStyle w:val="3"/>
        <w:ind w:firstLine="640"/>
      </w:pPr>
      <w:r>
        <w:rPr>
          <w:rFonts w:hint="eastAsia"/>
        </w:rPr>
        <w:t>1、数量达不到预期风险</w:t>
      </w:r>
    </w:p>
    <w:p>
      <w:pPr>
        <w:pStyle w:val="3"/>
        <w:ind w:firstLine="640"/>
      </w:pPr>
      <w:r>
        <w:rPr>
          <w:rFonts w:hint="eastAsia"/>
        </w:rPr>
        <w:t>从财务分析中的敏感性分析计算表可知，项目收益对数量较为敏感，如果市场供需态势发生较大变化，用量项目需求减少，将会对项目的收益带来一定风险。</w:t>
      </w:r>
    </w:p>
    <w:p>
      <w:pPr>
        <w:pStyle w:val="3"/>
        <w:ind w:firstLine="640"/>
      </w:pPr>
      <w:r>
        <w:rPr>
          <w:rFonts w:hint="eastAsia"/>
        </w:rPr>
        <w:t>2、运营成本增加风险</w:t>
      </w:r>
    </w:p>
    <w:p>
      <w:pPr>
        <w:pStyle w:val="3"/>
        <w:ind w:firstLine="640"/>
      </w:pPr>
      <w:r>
        <w:rPr>
          <w:rFonts w:hint="eastAsia"/>
        </w:rPr>
        <w:t>项目建成后，居住环境进一步改善，生活质量进一步提高，所需维修养护费增加，以及其他管理、能源管理等方面的管理存在一定的风险，项目管理部门的运营管理水平直接关系到项目投入运营后的正常安全运营、抢险救灾及运营效益。同时项目潜在的危险将造成项目运营成本的增加。</w:t>
      </w:r>
    </w:p>
    <w:p>
      <w:pPr>
        <w:pStyle w:val="2"/>
        <w:ind w:firstLine="640"/>
      </w:pPr>
      <w:r>
        <w:rPr>
          <w:rFonts w:hint="eastAsia"/>
        </w:rPr>
        <w:t>六、项目事前绩效评估</w:t>
      </w:r>
    </w:p>
    <w:p>
      <w:pPr>
        <w:pStyle w:val="4"/>
        <w:ind w:firstLine="640"/>
      </w:pPr>
      <w:r>
        <w:rPr>
          <w:rFonts w:hint="eastAsia"/>
        </w:rPr>
        <w:t>（一）项目概况</w:t>
      </w:r>
    </w:p>
    <w:p>
      <w:pPr>
        <w:pStyle w:val="3"/>
        <w:ind w:firstLine="640"/>
      </w:pPr>
      <w:r>
        <w:rPr>
          <w:rFonts w:hint="eastAsia"/>
        </w:rPr>
        <w:t>海口江东新区垃圾处理基础设施项目主管部门为海口江东新区管理局，项目单位为海口市路桥建设投资有限公司，本次调增专项债券800.00万元用于项目建设。</w:t>
      </w:r>
    </w:p>
    <w:p>
      <w:pPr>
        <w:pStyle w:val="4"/>
        <w:ind w:firstLine="640"/>
      </w:pPr>
      <w:r>
        <w:rPr>
          <w:rFonts w:hint="eastAsia"/>
        </w:rPr>
        <w:t>（二）评估内容</w:t>
      </w:r>
    </w:p>
    <w:p>
      <w:pPr>
        <w:pStyle w:val="3"/>
        <w:ind w:firstLine="640"/>
      </w:pPr>
      <w:r>
        <w:rPr>
          <w:rFonts w:hint="eastAsia"/>
        </w:rPr>
        <w:t>1、项目实施的必要性</w:t>
      </w:r>
    </w:p>
    <w:p>
      <w:pPr>
        <w:pStyle w:val="3"/>
        <w:ind w:firstLine="640"/>
      </w:pPr>
      <w:r>
        <w:rPr>
          <w:rFonts w:hint="eastAsia"/>
        </w:rPr>
        <w:t>本项目的建设是完善垃圾收运体系的需要，目前，江东新区生活垃圾主要运到江东生活垃圾转运站，江东生活垃圾转运站 设计规模为 300td，每日实际进站垃圾量约 900 吨/日，主要收运美兰区的生活垃圾 已远远超出生活垃圾设计转运能力，导致生活垃圾无法得到及时转运处理，对周围环境影响较大，同时，按照江东新区控规要求，需进一步实现垃圾转运全覆盖；是全面推行生活垃圾分类的需要，根据《海口市生活垃圾分类和减量工作方案》中要求:加强生活垃圾分类配套 体系的建设，建立与分类品种相配套的收运体系，改造转运站以适应和满足生活垃 圾分类要求。因江东新区现状转运站未配套相应的垃圾分类转运设施，无法实现生 活垃圾和厨余垃圾的分类转运，本项目的建设可有效避免垃圾分类投放后重新混合转运，推进生活垃圾分类处理工作。江东新区环卫基地（含转运站）的建设是江东新区城市化建设的必然要求，针对江东新区环卫现状存在的问题，结合江东新区社会经济实际，该项目是可行的，同时也是必要的。</w:t>
      </w:r>
    </w:p>
    <w:p>
      <w:pPr>
        <w:pStyle w:val="3"/>
        <w:ind w:firstLine="640"/>
      </w:pPr>
      <w:r>
        <w:rPr>
          <w:rFonts w:hint="eastAsia"/>
        </w:rPr>
        <w:t>2、项目实施的公益性</w:t>
      </w:r>
    </w:p>
    <w:p>
      <w:pPr>
        <w:pStyle w:val="3"/>
        <w:ind w:firstLine="640"/>
      </w:pPr>
      <w:r>
        <w:rPr>
          <w:rFonts w:hint="eastAsia"/>
        </w:rPr>
        <w:t>本项目建成后将可有效保证江东新区生活垃圾、厨余垃圾及大件垃圾的有效转运，为周边居民提供良好的生活环境，保障人民群众身体健康，实现环境和资源可持续发展，加强江东新区市容环境卫生管理，为创造整洁、优美、文明的生活和工作环境，按照发展先进文化的要求和打造“绿色城市”的理念，实现精神文明建设的新突破，对提高江东新区市容环境卫生水平，改善城市面貌，促进对外交往，加快经济和社会发展，具有十分重要的意义。</w:t>
      </w:r>
    </w:p>
    <w:p>
      <w:pPr>
        <w:pStyle w:val="3"/>
        <w:ind w:firstLine="640"/>
      </w:pPr>
      <w:r>
        <w:rPr>
          <w:rFonts w:hint="eastAsia"/>
        </w:rPr>
        <w:t>3、项目实施的收益性</w:t>
      </w:r>
    </w:p>
    <w:p>
      <w:pPr>
        <w:pStyle w:val="3"/>
        <w:ind w:firstLine="640"/>
      </w:pPr>
      <w:r>
        <w:rPr>
          <w:rFonts w:hint="eastAsia"/>
        </w:rPr>
        <w:t>本项目专项债券本息优先从自身项目现金流入中偿还，可以覆盖项目融资本息的合计，具有收益性。</w:t>
      </w:r>
    </w:p>
    <w:p>
      <w:pPr>
        <w:pStyle w:val="3"/>
        <w:ind w:firstLine="640"/>
      </w:pPr>
      <w:r>
        <w:rPr>
          <w:rFonts w:hint="eastAsia"/>
        </w:rPr>
        <w:t>4、项目建设投资合规性</w:t>
      </w:r>
    </w:p>
    <w:p>
      <w:pPr>
        <w:pStyle w:val="3"/>
        <w:ind w:firstLine="518" w:firstLineChars="162"/>
        <w:rPr>
          <w:bCs/>
        </w:rPr>
      </w:pPr>
      <w:r>
        <w:rPr>
          <w:rFonts w:hint="eastAsia"/>
        </w:rPr>
        <w:t>本项目已取得以下政府相关批复：</w:t>
      </w:r>
      <w:r>
        <w:rPr>
          <w:bCs/>
        </w:rPr>
        <w:t xml:space="preserve"> </w:t>
      </w:r>
      <w:r>
        <w:rPr>
          <w:rFonts w:hint="eastAsia"/>
          <w:bCs/>
        </w:rPr>
        <w:t>2023年10月23日，取得《海口江东新区管理局关于同意海口江东新区垃圾处理基础设施项目可行性研究报告的复函》(海江东审(2023)245号)</w:t>
      </w:r>
      <w:r>
        <w:rPr>
          <w:bCs/>
        </w:rPr>
        <w:t xml:space="preserve"> </w:t>
      </w:r>
      <w:r>
        <w:rPr>
          <w:rFonts w:hint="eastAsia"/>
          <w:bCs/>
        </w:rPr>
        <w:t>；2023年11月14日，取得《海口江东新区管理局关于同意海口江东新区垃圾处理基础设施项目初步设计及概算的复函》(海江东审(2023)257号)；</w:t>
      </w:r>
      <w:r>
        <w:rPr>
          <w:bCs/>
        </w:rPr>
        <w:t xml:space="preserve"> </w:t>
      </w:r>
      <w:r>
        <w:rPr>
          <w:rFonts w:hint="eastAsia"/>
          <w:bCs/>
        </w:rPr>
        <w:t>2024年2月5日，取得《海口市财政局关于海口江东新区垃圾处理基础设施项目财政预算评审结果的函》，因此本</w:t>
      </w:r>
      <w:r>
        <w:rPr>
          <w:rFonts w:hint="eastAsia"/>
        </w:rPr>
        <w:t>项目建设投资具备合规性。</w:t>
      </w:r>
    </w:p>
    <w:p>
      <w:pPr>
        <w:pStyle w:val="3"/>
        <w:ind w:firstLine="640"/>
      </w:pPr>
      <w:r>
        <w:rPr>
          <w:rFonts w:hint="eastAsia"/>
        </w:rPr>
        <w:t>5、项目成熟度</w:t>
      </w:r>
    </w:p>
    <w:p>
      <w:pPr>
        <w:pStyle w:val="3"/>
        <w:ind w:firstLine="640"/>
      </w:pPr>
      <w:r>
        <w:rPr>
          <w:rFonts w:hint="eastAsia"/>
        </w:rPr>
        <w:t>本项目前期手续已办理完成，正在按照实施计划有序推进，本项目技术经济合理，有较好的可实施性，具备在要求时限内的开工条件且能够形成实物工作量，项目成熟度较高。</w:t>
      </w:r>
    </w:p>
    <w:p>
      <w:pPr>
        <w:pStyle w:val="3"/>
        <w:ind w:firstLine="640"/>
      </w:pPr>
      <w:r>
        <w:rPr>
          <w:rFonts w:hint="eastAsia"/>
        </w:rPr>
        <w:t>6、项目资金来源和到位可行性</w:t>
      </w:r>
    </w:p>
    <w:p>
      <w:pPr>
        <w:pStyle w:val="3"/>
        <w:ind w:firstLine="640"/>
      </w:pPr>
      <w:r>
        <w:rPr>
          <w:rFonts w:hint="eastAsia"/>
        </w:rPr>
        <w:t>项目资金来源以自筹资金及专项债资金为主。</w:t>
      </w:r>
    </w:p>
    <w:p>
      <w:pPr>
        <w:pStyle w:val="3"/>
        <w:ind w:firstLine="640"/>
      </w:pPr>
      <w:r>
        <w:rPr>
          <w:rFonts w:hint="eastAsia"/>
        </w:rPr>
        <w:t>7、项目收入、成本、收益预测合理性</w:t>
      </w:r>
    </w:p>
    <w:p>
      <w:pPr>
        <w:pStyle w:val="3"/>
        <w:ind w:firstLine="640"/>
      </w:pPr>
      <w:r>
        <w:rPr>
          <w:rFonts w:hint="eastAsia"/>
        </w:rPr>
        <w:t>项目收入来源及成本都参考可研报告进行披露，具备合理性。</w:t>
      </w:r>
    </w:p>
    <w:p>
      <w:pPr>
        <w:pStyle w:val="3"/>
        <w:ind w:firstLine="640"/>
      </w:pPr>
      <w:r>
        <w:rPr>
          <w:rFonts w:hint="eastAsia"/>
        </w:rPr>
        <w:t>8、债券资金需求合理性</w:t>
      </w:r>
    </w:p>
    <w:p>
      <w:pPr>
        <w:pStyle w:val="3"/>
        <w:ind w:firstLine="640"/>
      </w:pPr>
      <w:r>
        <w:rPr>
          <w:rFonts w:hint="eastAsia"/>
        </w:rPr>
        <w:t>按照“资金跟着项目走”原则，该项目本次调增债券资金8</w:t>
      </w:r>
      <w:r>
        <w:t>00.00</w:t>
      </w:r>
      <w:r>
        <w:rPr>
          <w:rFonts w:hint="eastAsia"/>
        </w:rPr>
        <w:t>万元，与投资支出进度相匹配，需求合理。</w:t>
      </w:r>
    </w:p>
    <w:p>
      <w:pPr>
        <w:pStyle w:val="3"/>
        <w:ind w:firstLine="640"/>
      </w:pPr>
      <w:r>
        <w:t>9</w:t>
      </w:r>
      <w:r>
        <w:rPr>
          <w:rFonts w:hint="eastAsia"/>
        </w:rPr>
        <w:t>、项目偿债计划可行性和偿债风险点</w:t>
      </w:r>
    </w:p>
    <w:p>
      <w:pPr>
        <w:pStyle w:val="3"/>
        <w:ind w:firstLine="640"/>
      </w:pPr>
      <w:r>
        <w:rPr>
          <w:rFonts w:hint="eastAsia"/>
        </w:rPr>
        <w:t>项目建成后，每年可产生稳定的现金流，能够满足偿债资金充足性的要求。</w:t>
      </w:r>
    </w:p>
    <w:p>
      <w:pPr>
        <w:pStyle w:val="3"/>
        <w:ind w:firstLine="640"/>
      </w:pPr>
      <w:r>
        <w:rPr>
          <w:rFonts w:hint="eastAsia"/>
        </w:rPr>
        <w:t>1</w:t>
      </w:r>
      <w:r>
        <w:t>0</w:t>
      </w:r>
      <w:r>
        <w:rPr>
          <w:rFonts w:hint="eastAsia"/>
        </w:rPr>
        <w:t>、绩效目标合理性</w:t>
      </w:r>
    </w:p>
    <w:p>
      <w:pPr>
        <w:pStyle w:val="3"/>
        <w:ind w:firstLine="640"/>
      </w:pPr>
      <w:r>
        <w:rPr>
          <w:rFonts w:hint="eastAsia"/>
        </w:rPr>
        <w:t>本项目经事前绩效评估，已具备申请专项债券资金支持的必要性和可行性。为保障本项目合理融资需求，按照《新预算法》（2014年修订）、《国务院关于加强地方政府性债务管理的意见》（国发〔2014〕43号）、《关于做好2018年地方政府债券发行工作的意见》（财库〔2018〕61号）等文件精神，结合本项目建设计划和海口市202</w:t>
      </w:r>
      <w:r>
        <w:t>5</w:t>
      </w:r>
      <w:r>
        <w:rPr>
          <w:rFonts w:hint="eastAsia"/>
        </w:rPr>
        <w:t>年发债计划，海口市政府决定通过发行地方政府专项债券实施本项目，以满足海口市生态环保建设的融资需求。该项目设置了决策、管理、产出和效益四个一级指标，项目立项、绩效目标、资金投入、资金管理、组织实施、债券还本付息、信息公开、产出数量、产出质量、产出时效、产出成本、项目效益等二级指标，以及多个具体细化的三级指标。项目建成运营后可产生较为稳定的垃圾处理收入，经济效益和社会效益明显，绩效目标明确合理。</w:t>
      </w:r>
    </w:p>
    <w:p>
      <w:pPr>
        <w:pStyle w:val="4"/>
        <w:ind w:firstLine="640"/>
      </w:pPr>
      <w:r>
        <w:rPr>
          <w:rFonts w:hint="eastAsia"/>
        </w:rPr>
        <w:t>（三）评估结论</w:t>
      </w:r>
    </w:p>
    <w:p>
      <w:pPr>
        <w:pStyle w:val="3"/>
        <w:ind w:firstLine="640"/>
        <w:rPr>
          <w:rFonts w:hint="eastAsia"/>
        </w:rPr>
      </w:pPr>
      <w:r>
        <w:rPr>
          <w:rFonts w:hint="eastAsia"/>
        </w:rPr>
        <w:t>本项目可用于资金平衡的项目的息前净现金流量为</w:t>
      </w:r>
      <w:r>
        <w:rPr>
          <w:kern w:val="0"/>
        </w:rPr>
        <w:t>76,551.77</w:t>
      </w:r>
      <w:r>
        <w:rPr>
          <w:rFonts w:hint="eastAsia"/>
          <w:kern w:val="0"/>
        </w:rPr>
        <w:t>万元</w:t>
      </w:r>
      <w:r>
        <w:rPr>
          <w:rFonts w:hint="eastAsia"/>
        </w:rPr>
        <w:t>，融资本息合计为</w:t>
      </w:r>
      <w:r>
        <w:t>40,427.32</w:t>
      </w:r>
      <w:r>
        <w:rPr>
          <w:rFonts w:hint="eastAsia"/>
        </w:rPr>
        <w:t>万元，项目本息覆盖倍数为</w:t>
      </w:r>
      <w:r>
        <w:rPr>
          <w:kern w:val="0"/>
        </w:rPr>
        <w:t>1.8</w:t>
      </w:r>
      <w:r>
        <w:rPr>
          <w:rFonts w:hint="eastAsia"/>
          <w:kern w:val="0"/>
        </w:rPr>
        <w:t>9</w:t>
      </w:r>
      <w:r>
        <w:rPr>
          <w:rFonts w:hint="eastAsia"/>
        </w:rPr>
        <w:t>，符合专项债发行要求；项目可以通过自筹、发行专项债券方式完成资金筹措，为本项目提供足够的资金支持，保证本项目的顺利施工。总的来说，本项目绩效目标明确，可实施性较强，资金投入风险基本可控，本项目事前绩效评估符合专项债券申报使用要求。</w:t>
      </w:r>
    </w:p>
    <w:sectPr>
      <w:footerReference r:id="rId7" w:type="default"/>
      <w:pgSz w:w="11906" w:h="16838"/>
      <w:pgMar w:top="2041" w:right="1701" w:bottom="2041" w:left="1701" w:header="851" w:footer="136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1368487"/>
    </w:sdtPr>
    <w:sdtEndPr>
      <w:rPr>
        <w:sz w:val="24"/>
        <w:szCs w:val="24"/>
      </w:rPr>
    </w:sdtEndPr>
    <w:sdtContent>
      <w:p>
        <w:pPr>
          <w:pStyle w:val="11"/>
          <w:jc w:val="center"/>
          <w:rPr>
            <w:sz w:val="24"/>
            <w:szCs w:val="24"/>
          </w:rPr>
        </w:pPr>
        <w:r>
          <w:rPr>
            <w:rFonts w:hint="eastAsia"/>
            <w:sz w:val="24"/>
            <w:szCs w:val="24"/>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rPr>
          <w:t>5</w:t>
        </w:r>
        <w:r>
          <w:rPr>
            <w:sz w:val="24"/>
            <w:szCs w:val="24"/>
          </w:rPr>
          <w:fldChar w:fldCharType="end"/>
        </w:r>
        <w:r>
          <w:rPr>
            <w:sz w:val="24"/>
            <w:szCs w:val="24"/>
          </w:rPr>
          <w:t xml:space="preserve"> </w:t>
        </w:r>
        <w:r>
          <w:rPr>
            <w:rFonts w:hint="eastAsia"/>
            <w:sz w:val="24"/>
            <w:szCs w:val="24"/>
          </w:rPr>
          <w:t>—</w:t>
        </w:r>
      </w:p>
    </w:sdtContent>
  </w:sdt>
  <w:p>
    <w:pPr>
      <w:pStyle w:val="11"/>
      <w:ind w:firstLine="640"/>
      <w:jc w:val="center"/>
      <w:rPr>
        <w:sz w:val="24"/>
        <w:szCs w:val="24"/>
      </w:rP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2841604"/>
    </w:sdtPr>
    <w:sdtEndPr>
      <w:rPr>
        <w:sz w:val="24"/>
        <w:szCs w:val="24"/>
      </w:rPr>
    </w:sdtEndPr>
    <w:sdtContent>
      <w:p>
        <w:pPr>
          <w:pStyle w:val="11"/>
          <w:jc w:val="center"/>
          <w:rPr>
            <w:sz w:val="24"/>
            <w:szCs w:val="24"/>
          </w:rPr>
        </w:pPr>
        <w:r>
          <w:rPr>
            <w:rFonts w:hint="eastAsia"/>
            <w:sz w:val="24"/>
            <w:szCs w:val="24"/>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rPr>
          <w:t>8</w:t>
        </w:r>
        <w:r>
          <w:rPr>
            <w:sz w:val="24"/>
            <w:szCs w:val="24"/>
          </w:rPr>
          <w:fldChar w:fldCharType="end"/>
        </w:r>
        <w:r>
          <w:rPr>
            <w:sz w:val="24"/>
            <w:szCs w:val="24"/>
          </w:rPr>
          <w:t xml:space="preserve"> </w:t>
        </w:r>
        <w:r>
          <w:rPr>
            <w:rFonts w:hint="eastAsia"/>
            <w:sz w:val="24"/>
            <w:szCs w:val="24"/>
          </w:rPr>
          <w:t>—</w:t>
        </w:r>
      </w:p>
    </w:sdtContent>
  </w:sdt>
  <w:p>
    <w:pPr>
      <w:pStyle w:val="11"/>
      <w:ind w:firstLine="640"/>
      <w:jc w:val="center"/>
      <w:rPr>
        <w:sz w:val="24"/>
        <w:szCs w:val="24"/>
      </w:rPr>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43424"/>
    </w:sdtPr>
    <w:sdtEndPr>
      <w:rPr>
        <w:sz w:val="24"/>
        <w:szCs w:val="24"/>
      </w:rPr>
    </w:sdtEndPr>
    <w:sdtContent>
      <w:p>
        <w:pPr>
          <w:pStyle w:val="11"/>
          <w:jc w:val="center"/>
          <w:rPr>
            <w:sz w:val="24"/>
            <w:szCs w:val="24"/>
          </w:rPr>
        </w:pPr>
        <w:r>
          <w:rPr>
            <w:rFonts w:hint="eastAsia"/>
            <w:sz w:val="24"/>
            <w:szCs w:val="24"/>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rPr>
          <w:t>19</w:t>
        </w:r>
        <w:r>
          <w:rPr>
            <w:sz w:val="24"/>
            <w:szCs w:val="24"/>
          </w:rPr>
          <w:fldChar w:fldCharType="end"/>
        </w:r>
        <w:r>
          <w:rPr>
            <w:sz w:val="24"/>
            <w:szCs w:val="24"/>
          </w:rPr>
          <w:t xml:space="preserve"> </w:t>
        </w:r>
        <w:r>
          <w:rPr>
            <w:rFonts w:hint="eastAsia"/>
            <w:sz w:val="24"/>
            <w:szCs w:val="24"/>
          </w:rPr>
          <w:t>—</w:t>
        </w:r>
      </w:p>
    </w:sdtContent>
  </w:sdt>
  <w:p>
    <w:pPr>
      <w:pStyle w:val="11"/>
      <w:ind w:firstLine="640"/>
      <w:jc w:val="center"/>
      <w:rPr>
        <w:sz w:val="24"/>
        <w:szCs w:val="24"/>
      </w:rPr>
    </w:pP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01888"/>
    <w:multiLevelType w:val="multilevel"/>
    <w:tmpl w:val="1F401888"/>
    <w:lvl w:ilvl="0" w:tentative="0">
      <w:start w:val="1"/>
      <w:numFmt w:val="japaneseCounting"/>
      <w:lvlText w:val="%1、"/>
      <w:lvlJc w:val="left"/>
      <w:pPr>
        <w:ind w:left="1360" w:hanging="720"/>
      </w:p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HorizontalSpacing w:val="105"/>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75B"/>
    <w:rsid w:val="00001842"/>
    <w:rsid w:val="000023A1"/>
    <w:rsid w:val="00005293"/>
    <w:rsid w:val="00006667"/>
    <w:rsid w:val="00010FE7"/>
    <w:rsid w:val="00014453"/>
    <w:rsid w:val="00014D51"/>
    <w:rsid w:val="0001500F"/>
    <w:rsid w:val="00017B88"/>
    <w:rsid w:val="000225D8"/>
    <w:rsid w:val="00023246"/>
    <w:rsid w:val="00023961"/>
    <w:rsid w:val="00034228"/>
    <w:rsid w:val="000452B7"/>
    <w:rsid w:val="000526CB"/>
    <w:rsid w:val="00052946"/>
    <w:rsid w:val="00053243"/>
    <w:rsid w:val="00055510"/>
    <w:rsid w:val="00060EFD"/>
    <w:rsid w:val="0006572C"/>
    <w:rsid w:val="000665E2"/>
    <w:rsid w:val="00070558"/>
    <w:rsid w:val="00070DD8"/>
    <w:rsid w:val="0007663D"/>
    <w:rsid w:val="00080E5F"/>
    <w:rsid w:val="000811B8"/>
    <w:rsid w:val="000815E9"/>
    <w:rsid w:val="000833F4"/>
    <w:rsid w:val="000843F1"/>
    <w:rsid w:val="00086940"/>
    <w:rsid w:val="00092959"/>
    <w:rsid w:val="00093972"/>
    <w:rsid w:val="000940C7"/>
    <w:rsid w:val="00094BF2"/>
    <w:rsid w:val="00095BA6"/>
    <w:rsid w:val="0009690A"/>
    <w:rsid w:val="000A04F1"/>
    <w:rsid w:val="000A2D5D"/>
    <w:rsid w:val="000B1B53"/>
    <w:rsid w:val="000B6EE7"/>
    <w:rsid w:val="000C07ED"/>
    <w:rsid w:val="000C1566"/>
    <w:rsid w:val="000C30F7"/>
    <w:rsid w:val="000C67B6"/>
    <w:rsid w:val="000D22B6"/>
    <w:rsid w:val="000D299C"/>
    <w:rsid w:val="000D6170"/>
    <w:rsid w:val="000D753D"/>
    <w:rsid w:val="000F2C16"/>
    <w:rsid w:val="000F3445"/>
    <w:rsid w:val="00100DF1"/>
    <w:rsid w:val="00116F88"/>
    <w:rsid w:val="00120C2F"/>
    <w:rsid w:val="001215B1"/>
    <w:rsid w:val="0012498E"/>
    <w:rsid w:val="00133B34"/>
    <w:rsid w:val="001348A6"/>
    <w:rsid w:val="001366A7"/>
    <w:rsid w:val="001615DB"/>
    <w:rsid w:val="00162AF2"/>
    <w:rsid w:val="00166623"/>
    <w:rsid w:val="00167F89"/>
    <w:rsid w:val="0017040D"/>
    <w:rsid w:val="00177C0F"/>
    <w:rsid w:val="00181671"/>
    <w:rsid w:val="00182905"/>
    <w:rsid w:val="00194AC3"/>
    <w:rsid w:val="001966B4"/>
    <w:rsid w:val="00196737"/>
    <w:rsid w:val="001A108E"/>
    <w:rsid w:val="001A3FCD"/>
    <w:rsid w:val="001B060B"/>
    <w:rsid w:val="001B6161"/>
    <w:rsid w:val="001C3131"/>
    <w:rsid w:val="001C42EB"/>
    <w:rsid w:val="001C7951"/>
    <w:rsid w:val="001D4877"/>
    <w:rsid w:val="001D6755"/>
    <w:rsid w:val="001E78CD"/>
    <w:rsid w:val="00212664"/>
    <w:rsid w:val="002153C0"/>
    <w:rsid w:val="00215578"/>
    <w:rsid w:val="00217885"/>
    <w:rsid w:val="0022073B"/>
    <w:rsid w:val="002213A9"/>
    <w:rsid w:val="0022280D"/>
    <w:rsid w:val="00224946"/>
    <w:rsid w:val="002305FA"/>
    <w:rsid w:val="00237F1C"/>
    <w:rsid w:val="00242CB4"/>
    <w:rsid w:val="0024617D"/>
    <w:rsid w:val="00247596"/>
    <w:rsid w:val="002510E4"/>
    <w:rsid w:val="0025134D"/>
    <w:rsid w:val="0025192A"/>
    <w:rsid w:val="00256D59"/>
    <w:rsid w:val="00265D46"/>
    <w:rsid w:val="00270630"/>
    <w:rsid w:val="0027236A"/>
    <w:rsid w:val="00275057"/>
    <w:rsid w:val="00280DCA"/>
    <w:rsid w:val="00282280"/>
    <w:rsid w:val="00282F9E"/>
    <w:rsid w:val="00283438"/>
    <w:rsid w:val="00284E75"/>
    <w:rsid w:val="002858E5"/>
    <w:rsid w:val="002920BB"/>
    <w:rsid w:val="00293DC5"/>
    <w:rsid w:val="002A0D41"/>
    <w:rsid w:val="002A1848"/>
    <w:rsid w:val="002A2469"/>
    <w:rsid w:val="002A43A2"/>
    <w:rsid w:val="002A620C"/>
    <w:rsid w:val="002A6742"/>
    <w:rsid w:val="002A7C97"/>
    <w:rsid w:val="002A7EAF"/>
    <w:rsid w:val="002B3790"/>
    <w:rsid w:val="002C03A9"/>
    <w:rsid w:val="002C6022"/>
    <w:rsid w:val="002C6FDA"/>
    <w:rsid w:val="002D43FF"/>
    <w:rsid w:val="002E597D"/>
    <w:rsid w:val="002E65C9"/>
    <w:rsid w:val="00305123"/>
    <w:rsid w:val="00321334"/>
    <w:rsid w:val="0032263D"/>
    <w:rsid w:val="00326753"/>
    <w:rsid w:val="00335B17"/>
    <w:rsid w:val="00343C4E"/>
    <w:rsid w:val="00346C13"/>
    <w:rsid w:val="003519CB"/>
    <w:rsid w:val="003612A7"/>
    <w:rsid w:val="00367879"/>
    <w:rsid w:val="00372958"/>
    <w:rsid w:val="00373191"/>
    <w:rsid w:val="00381799"/>
    <w:rsid w:val="00383ED8"/>
    <w:rsid w:val="00384B7B"/>
    <w:rsid w:val="00385767"/>
    <w:rsid w:val="00386268"/>
    <w:rsid w:val="00393CC5"/>
    <w:rsid w:val="00396763"/>
    <w:rsid w:val="003973B4"/>
    <w:rsid w:val="003A7529"/>
    <w:rsid w:val="003C5E6B"/>
    <w:rsid w:val="003D5C4E"/>
    <w:rsid w:val="003E0968"/>
    <w:rsid w:val="003E4454"/>
    <w:rsid w:val="003E5C13"/>
    <w:rsid w:val="003F1A58"/>
    <w:rsid w:val="003F6348"/>
    <w:rsid w:val="004043E1"/>
    <w:rsid w:val="0040799C"/>
    <w:rsid w:val="00413224"/>
    <w:rsid w:val="00414DE3"/>
    <w:rsid w:val="0041568C"/>
    <w:rsid w:val="00415BFE"/>
    <w:rsid w:val="004167B8"/>
    <w:rsid w:val="004241E1"/>
    <w:rsid w:val="004258AE"/>
    <w:rsid w:val="00432274"/>
    <w:rsid w:val="00432AE4"/>
    <w:rsid w:val="00437983"/>
    <w:rsid w:val="00441252"/>
    <w:rsid w:val="004446BD"/>
    <w:rsid w:val="00445F27"/>
    <w:rsid w:val="00451551"/>
    <w:rsid w:val="00454864"/>
    <w:rsid w:val="00457C66"/>
    <w:rsid w:val="00465D3F"/>
    <w:rsid w:val="0048067E"/>
    <w:rsid w:val="004846E4"/>
    <w:rsid w:val="00485A67"/>
    <w:rsid w:val="00490EC2"/>
    <w:rsid w:val="00496195"/>
    <w:rsid w:val="004A0082"/>
    <w:rsid w:val="004A1D1D"/>
    <w:rsid w:val="004A4C80"/>
    <w:rsid w:val="004A5CD7"/>
    <w:rsid w:val="004A6593"/>
    <w:rsid w:val="004B779B"/>
    <w:rsid w:val="004C385B"/>
    <w:rsid w:val="004C46BC"/>
    <w:rsid w:val="004D2074"/>
    <w:rsid w:val="004D4004"/>
    <w:rsid w:val="004E1190"/>
    <w:rsid w:val="004E159C"/>
    <w:rsid w:val="004E1929"/>
    <w:rsid w:val="004E55B2"/>
    <w:rsid w:val="00504706"/>
    <w:rsid w:val="0050559E"/>
    <w:rsid w:val="00513776"/>
    <w:rsid w:val="0052182A"/>
    <w:rsid w:val="00521F5A"/>
    <w:rsid w:val="00523003"/>
    <w:rsid w:val="00525ADB"/>
    <w:rsid w:val="00530A0A"/>
    <w:rsid w:val="00530FFA"/>
    <w:rsid w:val="0053195C"/>
    <w:rsid w:val="00534C8E"/>
    <w:rsid w:val="005508A1"/>
    <w:rsid w:val="00555D34"/>
    <w:rsid w:val="005568A1"/>
    <w:rsid w:val="00556D5A"/>
    <w:rsid w:val="005632CC"/>
    <w:rsid w:val="005778F0"/>
    <w:rsid w:val="005814FE"/>
    <w:rsid w:val="00590027"/>
    <w:rsid w:val="005A1635"/>
    <w:rsid w:val="005A17D2"/>
    <w:rsid w:val="005B4703"/>
    <w:rsid w:val="005C451D"/>
    <w:rsid w:val="005D3C14"/>
    <w:rsid w:val="005D79FD"/>
    <w:rsid w:val="005E3DCE"/>
    <w:rsid w:val="005E551B"/>
    <w:rsid w:val="005E5F67"/>
    <w:rsid w:val="005F1833"/>
    <w:rsid w:val="005F34F4"/>
    <w:rsid w:val="0060030A"/>
    <w:rsid w:val="006033EF"/>
    <w:rsid w:val="006051CE"/>
    <w:rsid w:val="00607219"/>
    <w:rsid w:val="006250AD"/>
    <w:rsid w:val="00625A11"/>
    <w:rsid w:val="00651ADA"/>
    <w:rsid w:val="006540D5"/>
    <w:rsid w:val="006624BD"/>
    <w:rsid w:val="00670CAE"/>
    <w:rsid w:val="00671FFD"/>
    <w:rsid w:val="00680E07"/>
    <w:rsid w:val="00683BE7"/>
    <w:rsid w:val="006A07C9"/>
    <w:rsid w:val="006A5ECB"/>
    <w:rsid w:val="006A689E"/>
    <w:rsid w:val="006A704B"/>
    <w:rsid w:val="006B1038"/>
    <w:rsid w:val="006B2C7E"/>
    <w:rsid w:val="006D0A2B"/>
    <w:rsid w:val="006D1374"/>
    <w:rsid w:val="006D1394"/>
    <w:rsid w:val="006D3045"/>
    <w:rsid w:val="006D3707"/>
    <w:rsid w:val="006D6705"/>
    <w:rsid w:val="006E0D73"/>
    <w:rsid w:val="006E167C"/>
    <w:rsid w:val="006E20F7"/>
    <w:rsid w:val="006F49A7"/>
    <w:rsid w:val="00705CC1"/>
    <w:rsid w:val="007103BA"/>
    <w:rsid w:val="0071712A"/>
    <w:rsid w:val="00721163"/>
    <w:rsid w:val="0072220B"/>
    <w:rsid w:val="0072405F"/>
    <w:rsid w:val="0072628B"/>
    <w:rsid w:val="00734728"/>
    <w:rsid w:val="00734FFC"/>
    <w:rsid w:val="00740E85"/>
    <w:rsid w:val="00751EE4"/>
    <w:rsid w:val="00753FE6"/>
    <w:rsid w:val="007575B6"/>
    <w:rsid w:val="00763221"/>
    <w:rsid w:val="00763DDA"/>
    <w:rsid w:val="00766DB4"/>
    <w:rsid w:val="00773420"/>
    <w:rsid w:val="00773A3A"/>
    <w:rsid w:val="0077406B"/>
    <w:rsid w:val="00774BFD"/>
    <w:rsid w:val="007750D1"/>
    <w:rsid w:val="00776E3F"/>
    <w:rsid w:val="00781BC9"/>
    <w:rsid w:val="00784487"/>
    <w:rsid w:val="00787CBE"/>
    <w:rsid w:val="007A05C9"/>
    <w:rsid w:val="007A3658"/>
    <w:rsid w:val="007A5944"/>
    <w:rsid w:val="007B12C3"/>
    <w:rsid w:val="007C48B1"/>
    <w:rsid w:val="007C4932"/>
    <w:rsid w:val="007C7379"/>
    <w:rsid w:val="007D0633"/>
    <w:rsid w:val="007D573B"/>
    <w:rsid w:val="007E2424"/>
    <w:rsid w:val="007E331B"/>
    <w:rsid w:val="007E48F9"/>
    <w:rsid w:val="007E501C"/>
    <w:rsid w:val="007E701F"/>
    <w:rsid w:val="007F0DEC"/>
    <w:rsid w:val="007F43C1"/>
    <w:rsid w:val="007F62AE"/>
    <w:rsid w:val="0080335E"/>
    <w:rsid w:val="0082144E"/>
    <w:rsid w:val="00831755"/>
    <w:rsid w:val="008338D3"/>
    <w:rsid w:val="00834D92"/>
    <w:rsid w:val="00836532"/>
    <w:rsid w:val="00836DFC"/>
    <w:rsid w:val="00837A95"/>
    <w:rsid w:val="00852A4F"/>
    <w:rsid w:val="008540D9"/>
    <w:rsid w:val="008559C3"/>
    <w:rsid w:val="00862FAC"/>
    <w:rsid w:val="00863873"/>
    <w:rsid w:val="00865CFD"/>
    <w:rsid w:val="008705C4"/>
    <w:rsid w:val="008737DA"/>
    <w:rsid w:val="008871FA"/>
    <w:rsid w:val="00892B34"/>
    <w:rsid w:val="0089346C"/>
    <w:rsid w:val="008944DC"/>
    <w:rsid w:val="00896059"/>
    <w:rsid w:val="008A42CB"/>
    <w:rsid w:val="008A4823"/>
    <w:rsid w:val="008A5916"/>
    <w:rsid w:val="008A5917"/>
    <w:rsid w:val="008B7B8B"/>
    <w:rsid w:val="008C62FB"/>
    <w:rsid w:val="008C79FF"/>
    <w:rsid w:val="008D1478"/>
    <w:rsid w:val="008E1373"/>
    <w:rsid w:val="008E29D0"/>
    <w:rsid w:val="008E7872"/>
    <w:rsid w:val="008E7E40"/>
    <w:rsid w:val="008F03D1"/>
    <w:rsid w:val="008F0E5D"/>
    <w:rsid w:val="008F1F86"/>
    <w:rsid w:val="008F47C7"/>
    <w:rsid w:val="00902CD0"/>
    <w:rsid w:val="00903E8F"/>
    <w:rsid w:val="00906E4B"/>
    <w:rsid w:val="00911D4D"/>
    <w:rsid w:val="0092075B"/>
    <w:rsid w:val="0092569D"/>
    <w:rsid w:val="009261D6"/>
    <w:rsid w:val="00930274"/>
    <w:rsid w:val="009337C6"/>
    <w:rsid w:val="009466A9"/>
    <w:rsid w:val="009471DA"/>
    <w:rsid w:val="00947613"/>
    <w:rsid w:val="009574D8"/>
    <w:rsid w:val="00957F9E"/>
    <w:rsid w:val="009617A5"/>
    <w:rsid w:val="00965134"/>
    <w:rsid w:val="009656E2"/>
    <w:rsid w:val="00966843"/>
    <w:rsid w:val="00981913"/>
    <w:rsid w:val="0098242A"/>
    <w:rsid w:val="0098272A"/>
    <w:rsid w:val="00987658"/>
    <w:rsid w:val="009953CB"/>
    <w:rsid w:val="009A12C6"/>
    <w:rsid w:val="009C1A3E"/>
    <w:rsid w:val="009C5645"/>
    <w:rsid w:val="009C5A70"/>
    <w:rsid w:val="009E661B"/>
    <w:rsid w:val="009F1A12"/>
    <w:rsid w:val="009F1C8C"/>
    <w:rsid w:val="009F2EF6"/>
    <w:rsid w:val="009F38B7"/>
    <w:rsid w:val="009F46B9"/>
    <w:rsid w:val="00A240D8"/>
    <w:rsid w:val="00A26D9F"/>
    <w:rsid w:val="00A34362"/>
    <w:rsid w:val="00A3678C"/>
    <w:rsid w:val="00A418B5"/>
    <w:rsid w:val="00A464EF"/>
    <w:rsid w:val="00A52F99"/>
    <w:rsid w:val="00A71761"/>
    <w:rsid w:val="00A80B27"/>
    <w:rsid w:val="00A81734"/>
    <w:rsid w:val="00A822AE"/>
    <w:rsid w:val="00A87461"/>
    <w:rsid w:val="00A93B97"/>
    <w:rsid w:val="00A967F3"/>
    <w:rsid w:val="00AA1446"/>
    <w:rsid w:val="00AA3318"/>
    <w:rsid w:val="00AA637F"/>
    <w:rsid w:val="00AA6A21"/>
    <w:rsid w:val="00AB09C6"/>
    <w:rsid w:val="00AB26FB"/>
    <w:rsid w:val="00AB500C"/>
    <w:rsid w:val="00AB5E96"/>
    <w:rsid w:val="00AB7A69"/>
    <w:rsid w:val="00AB7FE6"/>
    <w:rsid w:val="00AC2A0A"/>
    <w:rsid w:val="00AC7D48"/>
    <w:rsid w:val="00AE06C8"/>
    <w:rsid w:val="00AF4515"/>
    <w:rsid w:val="00AF61F1"/>
    <w:rsid w:val="00AF71BB"/>
    <w:rsid w:val="00B021C9"/>
    <w:rsid w:val="00B1179C"/>
    <w:rsid w:val="00B118FC"/>
    <w:rsid w:val="00B2157B"/>
    <w:rsid w:val="00B23E42"/>
    <w:rsid w:val="00B32C18"/>
    <w:rsid w:val="00B3571B"/>
    <w:rsid w:val="00B362F2"/>
    <w:rsid w:val="00B41BEF"/>
    <w:rsid w:val="00B5137E"/>
    <w:rsid w:val="00B53411"/>
    <w:rsid w:val="00B629E2"/>
    <w:rsid w:val="00B641E4"/>
    <w:rsid w:val="00B65507"/>
    <w:rsid w:val="00B66474"/>
    <w:rsid w:val="00B70EC2"/>
    <w:rsid w:val="00B7389A"/>
    <w:rsid w:val="00B77B32"/>
    <w:rsid w:val="00BA3D9F"/>
    <w:rsid w:val="00BA5BCA"/>
    <w:rsid w:val="00BC1ABC"/>
    <w:rsid w:val="00BC278B"/>
    <w:rsid w:val="00BC6062"/>
    <w:rsid w:val="00BD2A67"/>
    <w:rsid w:val="00BD2F29"/>
    <w:rsid w:val="00BD3827"/>
    <w:rsid w:val="00BD3C16"/>
    <w:rsid w:val="00BE129B"/>
    <w:rsid w:val="00BE2D0B"/>
    <w:rsid w:val="00BF3787"/>
    <w:rsid w:val="00C01FC8"/>
    <w:rsid w:val="00C01FD2"/>
    <w:rsid w:val="00C0297A"/>
    <w:rsid w:val="00C141B0"/>
    <w:rsid w:val="00C1598A"/>
    <w:rsid w:val="00C2205E"/>
    <w:rsid w:val="00C27E9C"/>
    <w:rsid w:val="00C31B2B"/>
    <w:rsid w:val="00C37ADC"/>
    <w:rsid w:val="00C41845"/>
    <w:rsid w:val="00C42DA0"/>
    <w:rsid w:val="00C45D1E"/>
    <w:rsid w:val="00C52DF6"/>
    <w:rsid w:val="00C54FBF"/>
    <w:rsid w:val="00C562E2"/>
    <w:rsid w:val="00C60246"/>
    <w:rsid w:val="00C61004"/>
    <w:rsid w:val="00C6452E"/>
    <w:rsid w:val="00C71076"/>
    <w:rsid w:val="00C72D2D"/>
    <w:rsid w:val="00C76012"/>
    <w:rsid w:val="00C7790F"/>
    <w:rsid w:val="00C90A35"/>
    <w:rsid w:val="00C932AD"/>
    <w:rsid w:val="00C974E9"/>
    <w:rsid w:val="00CA17B4"/>
    <w:rsid w:val="00CA789C"/>
    <w:rsid w:val="00CA78D0"/>
    <w:rsid w:val="00CB6C2F"/>
    <w:rsid w:val="00CC2D35"/>
    <w:rsid w:val="00CE1163"/>
    <w:rsid w:val="00CE3729"/>
    <w:rsid w:val="00CE695D"/>
    <w:rsid w:val="00D0056B"/>
    <w:rsid w:val="00D10116"/>
    <w:rsid w:val="00D13F7A"/>
    <w:rsid w:val="00D14AF2"/>
    <w:rsid w:val="00D20839"/>
    <w:rsid w:val="00D2324F"/>
    <w:rsid w:val="00D264D8"/>
    <w:rsid w:val="00D305B0"/>
    <w:rsid w:val="00D32A86"/>
    <w:rsid w:val="00D32F8D"/>
    <w:rsid w:val="00D51619"/>
    <w:rsid w:val="00D52E39"/>
    <w:rsid w:val="00D6041A"/>
    <w:rsid w:val="00D647CF"/>
    <w:rsid w:val="00D67104"/>
    <w:rsid w:val="00D7265F"/>
    <w:rsid w:val="00D73FE1"/>
    <w:rsid w:val="00D76301"/>
    <w:rsid w:val="00D76B85"/>
    <w:rsid w:val="00D77DEA"/>
    <w:rsid w:val="00DA3A85"/>
    <w:rsid w:val="00DA463B"/>
    <w:rsid w:val="00DC359B"/>
    <w:rsid w:val="00DC4A89"/>
    <w:rsid w:val="00DC4D00"/>
    <w:rsid w:val="00DC6935"/>
    <w:rsid w:val="00DC7785"/>
    <w:rsid w:val="00DD156A"/>
    <w:rsid w:val="00DD29C7"/>
    <w:rsid w:val="00DD3C5D"/>
    <w:rsid w:val="00DF1150"/>
    <w:rsid w:val="00E0004D"/>
    <w:rsid w:val="00E00FDC"/>
    <w:rsid w:val="00E0203A"/>
    <w:rsid w:val="00E034BE"/>
    <w:rsid w:val="00E04DCC"/>
    <w:rsid w:val="00E10137"/>
    <w:rsid w:val="00E17DD8"/>
    <w:rsid w:val="00E20E43"/>
    <w:rsid w:val="00E246E0"/>
    <w:rsid w:val="00E24A0F"/>
    <w:rsid w:val="00E3165F"/>
    <w:rsid w:val="00E43634"/>
    <w:rsid w:val="00E43E2D"/>
    <w:rsid w:val="00E46D40"/>
    <w:rsid w:val="00E54452"/>
    <w:rsid w:val="00E55B8B"/>
    <w:rsid w:val="00E61CB9"/>
    <w:rsid w:val="00E64593"/>
    <w:rsid w:val="00E71EA0"/>
    <w:rsid w:val="00E743E8"/>
    <w:rsid w:val="00E7522A"/>
    <w:rsid w:val="00E77CB7"/>
    <w:rsid w:val="00E8005B"/>
    <w:rsid w:val="00E83399"/>
    <w:rsid w:val="00E85CCA"/>
    <w:rsid w:val="00E87802"/>
    <w:rsid w:val="00E91C99"/>
    <w:rsid w:val="00EB43AA"/>
    <w:rsid w:val="00EB4AC3"/>
    <w:rsid w:val="00EB59C3"/>
    <w:rsid w:val="00EB6F64"/>
    <w:rsid w:val="00EC04F8"/>
    <w:rsid w:val="00EC1F6D"/>
    <w:rsid w:val="00EC2CB6"/>
    <w:rsid w:val="00EC512B"/>
    <w:rsid w:val="00ED28D8"/>
    <w:rsid w:val="00ED2930"/>
    <w:rsid w:val="00EE12C6"/>
    <w:rsid w:val="00EE3ABF"/>
    <w:rsid w:val="00EF4891"/>
    <w:rsid w:val="00EF703C"/>
    <w:rsid w:val="00F00D0B"/>
    <w:rsid w:val="00F011E8"/>
    <w:rsid w:val="00F027B5"/>
    <w:rsid w:val="00F0471C"/>
    <w:rsid w:val="00F062C7"/>
    <w:rsid w:val="00F06C29"/>
    <w:rsid w:val="00F06F3B"/>
    <w:rsid w:val="00F16A42"/>
    <w:rsid w:val="00F265F1"/>
    <w:rsid w:val="00F27E55"/>
    <w:rsid w:val="00F31CEC"/>
    <w:rsid w:val="00F31F9D"/>
    <w:rsid w:val="00F33FB8"/>
    <w:rsid w:val="00F36E7C"/>
    <w:rsid w:val="00F42371"/>
    <w:rsid w:val="00F43EA5"/>
    <w:rsid w:val="00F449F3"/>
    <w:rsid w:val="00F46475"/>
    <w:rsid w:val="00F47ACC"/>
    <w:rsid w:val="00F53ADA"/>
    <w:rsid w:val="00F706A9"/>
    <w:rsid w:val="00F91DF3"/>
    <w:rsid w:val="00F942FF"/>
    <w:rsid w:val="00FA3D8E"/>
    <w:rsid w:val="00FB2DE3"/>
    <w:rsid w:val="00FB5C34"/>
    <w:rsid w:val="00FB7D37"/>
    <w:rsid w:val="00FC0C46"/>
    <w:rsid w:val="00FC130D"/>
    <w:rsid w:val="00FC6634"/>
    <w:rsid w:val="00FD2693"/>
    <w:rsid w:val="00FE3438"/>
    <w:rsid w:val="00FE4B5D"/>
    <w:rsid w:val="00FE7134"/>
    <w:rsid w:val="00FE74C4"/>
    <w:rsid w:val="00FF2ADA"/>
    <w:rsid w:val="00FF47EB"/>
    <w:rsid w:val="00FF5C05"/>
    <w:rsid w:val="00FF6427"/>
    <w:rsid w:val="042033D6"/>
    <w:rsid w:val="054F3944"/>
    <w:rsid w:val="057A1088"/>
    <w:rsid w:val="0E3C75E8"/>
    <w:rsid w:val="16F7073B"/>
    <w:rsid w:val="1D701948"/>
    <w:rsid w:val="29D45745"/>
    <w:rsid w:val="2B0A5828"/>
    <w:rsid w:val="2BD32DC7"/>
    <w:rsid w:val="2DFF7E04"/>
    <w:rsid w:val="302A5878"/>
    <w:rsid w:val="341D288D"/>
    <w:rsid w:val="343E6645"/>
    <w:rsid w:val="35AC22C9"/>
    <w:rsid w:val="39BB3AC3"/>
    <w:rsid w:val="3A6A61E5"/>
    <w:rsid w:val="3CDA6EE3"/>
    <w:rsid w:val="3DCE0A75"/>
    <w:rsid w:val="4BAA21AF"/>
    <w:rsid w:val="4CD928A1"/>
    <w:rsid w:val="4F0444B0"/>
    <w:rsid w:val="54ED44E0"/>
    <w:rsid w:val="56126841"/>
    <w:rsid w:val="5CC475BF"/>
    <w:rsid w:val="5EF50B59"/>
    <w:rsid w:val="62826B2B"/>
    <w:rsid w:val="6B2039AA"/>
    <w:rsid w:val="74E310F3"/>
    <w:rsid w:val="76D46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link w:val="19"/>
    <w:qFormat/>
    <w:uiPriority w:val="9"/>
    <w:pPr>
      <w:outlineLvl w:val="0"/>
    </w:pPr>
    <w:rPr>
      <w:rFonts w:eastAsia="黑体"/>
      <w:bCs/>
      <w:kern w:val="44"/>
      <w:szCs w:val="44"/>
    </w:rPr>
  </w:style>
  <w:style w:type="paragraph" w:styleId="4">
    <w:name w:val="heading 2"/>
    <w:basedOn w:val="1"/>
    <w:next w:val="3"/>
    <w:link w:val="22"/>
    <w:unhideWhenUsed/>
    <w:qFormat/>
    <w:uiPriority w:val="9"/>
    <w:pPr>
      <w:spacing w:line="600" w:lineRule="exact"/>
      <w:ind w:firstLine="200" w:firstLineChars="200"/>
      <w:textAlignment w:val="center"/>
      <w:outlineLvl w:val="1"/>
    </w:pPr>
    <w:rPr>
      <w:rFonts w:eastAsia="楷体_GB2312" w:cstheme="majorBidi"/>
      <w:bCs/>
      <w:sz w:val="32"/>
      <w:szCs w:val="32"/>
    </w:rPr>
  </w:style>
  <w:style w:type="paragraph" w:styleId="5">
    <w:name w:val="heading 3"/>
    <w:basedOn w:val="1"/>
    <w:next w:val="3"/>
    <w:link w:val="26"/>
    <w:unhideWhenUsed/>
    <w:qFormat/>
    <w:uiPriority w:val="9"/>
    <w:pPr>
      <w:spacing w:line="600" w:lineRule="exact"/>
      <w:ind w:firstLine="200" w:firstLineChars="200"/>
      <w:textAlignment w:val="center"/>
      <w:outlineLvl w:val="2"/>
    </w:pPr>
    <w:rPr>
      <w:rFonts w:eastAsia="仿宋_GB2312"/>
      <w:bCs/>
      <w:sz w:val="32"/>
      <w:szCs w:val="32"/>
    </w:rPr>
  </w:style>
  <w:style w:type="paragraph" w:styleId="6">
    <w:name w:val="heading 4"/>
    <w:basedOn w:val="1"/>
    <w:next w:val="3"/>
    <w:link w:val="27"/>
    <w:unhideWhenUsed/>
    <w:qFormat/>
    <w:uiPriority w:val="9"/>
    <w:pPr>
      <w:spacing w:line="600" w:lineRule="exact"/>
      <w:ind w:firstLine="200" w:firstLineChars="200"/>
      <w:textAlignment w:val="center"/>
      <w:outlineLvl w:val="3"/>
    </w:pPr>
    <w:rPr>
      <w:rFonts w:eastAsia="仿宋_GB2312" w:cstheme="majorBidi"/>
      <w:bCs/>
      <w:sz w:val="32"/>
      <w:szCs w:val="28"/>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customStyle="1" w:styleId="3">
    <w:name w:val="文本正文"/>
    <w:link w:val="20"/>
    <w:qFormat/>
    <w:uiPriority w:val="0"/>
    <w:pPr>
      <w:widowControl w:val="0"/>
      <w:overflowPunct w:val="0"/>
      <w:spacing w:line="600" w:lineRule="exact"/>
      <w:ind w:firstLine="200" w:firstLineChars="200"/>
      <w:jc w:val="both"/>
      <w:textAlignment w:val="center"/>
    </w:pPr>
    <w:rPr>
      <w:rFonts w:ascii="Times New Roman" w:hAnsi="Times New Roman" w:eastAsia="仿宋_GB2312" w:cstheme="minorBidi"/>
      <w:kern w:val="2"/>
      <w:sz w:val="32"/>
      <w:szCs w:val="22"/>
      <w:lang w:val="en-US" w:eastAsia="zh-CN" w:bidi="ar-SA"/>
    </w:rPr>
  </w:style>
  <w:style w:type="paragraph" w:styleId="7">
    <w:name w:val="annotation text"/>
    <w:basedOn w:val="1"/>
    <w:link w:val="28"/>
    <w:semiHidden/>
    <w:unhideWhenUsed/>
    <w:qFormat/>
    <w:uiPriority w:val="99"/>
    <w:pPr>
      <w:jc w:val="left"/>
    </w:pPr>
  </w:style>
  <w:style w:type="paragraph" w:styleId="8">
    <w:name w:val="Body Text"/>
    <w:basedOn w:val="1"/>
    <w:link w:val="35"/>
    <w:qFormat/>
    <w:uiPriority w:val="99"/>
    <w:rPr>
      <w:rFonts w:ascii="仿宋_GB2312" w:hAnsi="宋体" w:eastAsia="仿宋_GB2312"/>
      <w:color w:val="FF6600"/>
      <w:sz w:val="18"/>
      <w:szCs w:val="18"/>
    </w:rPr>
  </w:style>
  <w:style w:type="paragraph" w:styleId="9">
    <w:name w:val="Date"/>
    <w:basedOn w:val="1"/>
    <w:next w:val="1"/>
    <w:link w:val="30"/>
    <w:semiHidden/>
    <w:unhideWhenUsed/>
    <w:qFormat/>
    <w:uiPriority w:val="99"/>
    <w:pPr>
      <w:ind w:left="100" w:leftChars="2500"/>
    </w:pPr>
  </w:style>
  <w:style w:type="paragraph" w:styleId="10">
    <w:name w:val="Balloon Text"/>
    <w:basedOn w:val="1"/>
    <w:link w:val="25"/>
    <w:semiHidden/>
    <w:unhideWhenUsed/>
    <w:qFormat/>
    <w:uiPriority w:val="99"/>
    <w:rPr>
      <w:sz w:val="18"/>
      <w:szCs w:val="18"/>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itle"/>
    <w:basedOn w:val="1"/>
    <w:next w:val="3"/>
    <w:link w:val="21"/>
    <w:qFormat/>
    <w:uiPriority w:val="10"/>
    <w:pPr>
      <w:spacing w:line="600" w:lineRule="exact"/>
      <w:jc w:val="center"/>
    </w:pPr>
    <w:rPr>
      <w:rFonts w:ascii="方正小标宋简体" w:hAnsi="方正小标宋简体" w:eastAsia="方正小标宋简体" w:cstheme="majorBidi"/>
      <w:bCs/>
      <w:sz w:val="44"/>
      <w:szCs w:val="32"/>
    </w:rPr>
  </w:style>
  <w:style w:type="paragraph" w:styleId="14">
    <w:name w:val="annotation subject"/>
    <w:basedOn w:val="7"/>
    <w:next w:val="7"/>
    <w:link w:val="29"/>
    <w:semiHidden/>
    <w:unhideWhenUsed/>
    <w:qFormat/>
    <w:uiPriority w:val="99"/>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semiHidden/>
    <w:unhideWhenUsed/>
    <w:qFormat/>
    <w:uiPriority w:val="99"/>
    <w:rPr>
      <w:sz w:val="21"/>
      <w:szCs w:val="21"/>
    </w:rPr>
  </w:style>
  <w:style w:type="character" w:customStyle="1" w:styleId="19">
    <w:name w:val="标题 1 字符"/>
    <w:basedOn w:val="17"/>
    <w:link w:val="2"/>
    <w:qFormat/>
    <w:uiPriority w:val="9"/>
    <w:rPr>
      <w:rFonts w:ascii="Times New Roman" w:hAnsi="Times New Roman" w:eastAsia="黑体"/>
      <w:bCs/>
      <w:kern w:val="44"/>
      <w:sz w:val="32"/>
      <w:szCs w:val="44"/>
    </w:rPr>
  </w:style>
  <w:style w:type="character" w:customStyle="1" w:styleId="20">
    <w:name w:val="文本正文 字符"/>
    <w:basedOn w:val="17"/>
    <w:link w:val="3"/>
    <w:qFormat/>
    <w:uiPriority w:val="0"/>
    <w:rPr>
      <w:rFonts w:ascii="Times New Roman" w:hAnsi="Times New Roman" w:eastAsia="仿宋_GB2312"/>
      <w:sz w:val="32"/>
    </w:rPr>
  </w:style>
  <w:style w:type="character" w:customStyle="1" w:styleId="21">
    <w:name w:val="标题 字符"/>
    <w:basedOn w:val="17"/>
    <w:link w:val="13"/>
    <w:qFormat/>
    <w:uiPriority w:val="10"/>
    <w:rPr>
      <w:rFonts w:ascii="方正小标宋简体" w:hAnsi="方正小标宋简体" w:eastAsia="方正小标宋简体" w:cstheme="majorBidi"/>
      <w:bCs/>
      <w:sz w:val="44"/>
      <w:szCs w:val="32"/>
    </w:rPr>
  </w:style>
  <w:style w:type="character" w:customStyle="1" w:styleId="22">
    <w:name w:val="标题 2 字符"/>
    <w:basedOn w:val="17"/>
    <w:link w:val="4"/>
    <w:qFormat/>
    <w:uiPriority w:val="9"/>
    <w:rPr>
      <w:rFonts w:ascii="Times New Roman" w:hAnsi="Times New Roman" w:eastAsia="楷体_GB2312" w:cstheme="majorBidi"/>
      <w:bCs/>
      <w:sz w:val="32"/>
      <w:szCs w:val="32"/>
    </w:rPr>
  </w:style>
  <w:style w:type="character" w:customStyle="1" w:styleId="23">
    <w:name w:val="页眉 字符"/>
    <w:basedOn w:val="17"/>
    <w:link w:val="12"/>
    <w:qFormat/>
    <w:uiPriority w:val="99"/>
    <w:rPr>
      <w:sz w:val="18"/>
      <w:szCs w:val="18"/>
    </w:rPr>
  </w:style>
  <w:style w:type="character" w:customStyle="1" w:styleId="24">
    <w:name w:val="页脚 字符"/>
    <w:basedOn w:val="17"/>
    <w:link w:val="11"/>
    <w:qFormat/>
    <w:uiPriority w:val="99"/>
    <w:rPr>
      <w:sz w:val="18"/>
      <w:szCs w:val="18"/>
    </w:rPr>
  </w:style>
  <w:style w:type="character" w:customStyle="1" w:styleId="25">
    <w:name w:val="批注框文本 字符"/>
    <w:basedOn w:val="17"/>
    <w:link w:val="10"/>
    <w:semiHidden/>
    <w:qFormat/>
    <w:uiPriority w:val="99"/>
    <w:rPr>
      <w:sz w:val="18"/>
      <w:szCs w:val="18"/>
    </w:rPr>
  </w:style>
  <w:style w:type="character" w:customStyle="1" w:styleId="26">
    <w:name w:val="标题 3 字符"/>
    <w:basedOn w:val="17"/>
    <w:link w:val="5"/>
    <w:qFormat/>
    <w:uiPriority w:val="9"/>
    <w:rPr>
      <w:rFonts w:ascii="Times New Roman" w:hAnsi="Times New Roman" w:eastAsia="仿宋_GB2312"/>
      <w:bCs/>
      <w:sz w:val="32"/>
      <w:szCs w:val="32"/>
    </w:rPr>
  </w:style>
  <w:style w:type="character" w:customStyle="1" w:styleId="27">
    <w:name w:val="标题 4 字符"/>
    <w:basedOn w:val="17"/>
    <w:link w:val="6"/>
    <w:qFormat/>
    <w:uiPriority w:val="9"/>
    <w:rPr>
      <w:rFonts w:ascii="Times New Roman" w:hAnsi="Times New Roman" w:eastAsia="仿宋_GB2312" w:cstheme="majorBidi"/>
      <w:bCs/>
      <w:sz w:val="32"/>
      <w:szCs w:val="28"/>
    </w:rPr>
  </w:style>
  <w:style w:type="character" w:customStyle="1" w:styleId="28">
    <w:name w:val="批注文字 字符"/>
    <w:basedOn w:val="17"/>
    <w:link w:val="7"/>
    <w:semiHidden/>
    <w:qFormat/>
    <w:uiPriority w:val="99"/>
  </w:style>
  <w:style w:type="character" w:customStyle="1" w:styleId="29">
    <w:name w:val="批注主题 字符"/>
    <w:basedOn w:val="28"/>
    <w:link w:val="14"/>
    <w:semiHidden/>
    <w:qFormat/>
    <w:uiPriority w:val="99"/>
    <w:rPr>
      <w:b/>
      <w:bCs/>
    </w:rPr>
  </w:style>
  <w:style w:type="character" w:customStyle="1" w:styleId="30">
    <w:name w:val="日期 字符"/>
    <w:basedOn w:val="17"/>
    <w:link w:val="9"/>
    <w:semiHidden/>
    <w:qFormat/>
    <w:uiPriority w:val="99"/>
  </w:style>
  <w:style w:type="paragraph" w:customStyle="1" w:styleId="31">
    <w:name w:val="落款"/>
    <w:basedOn w:val="3"/>
    <w:link w:val="32"/>
    <w:qFormat/>
    <w:uiPriority w:val="0"/>
    <w:pPr>
      <w:tabs>
        <w:tab w:val="center" w:pos="6510"/>
      </w:tabs>
      <w:ind w:firstLine="0" w:firstLineChars="0"/>
      <w:jc w:val="left"/>
    </w:pPr>
  </w:style>
  <w:style w:type="character" w:customStyle="1" w:styleId="32">
    <w:name w:val="落款 字符"/>
    <w:basedOn w:val="20"/>
    <w:link w:val="31"/>
    <w:qFormat/>
    <w:uiPriority w:val="0"/>
    <w:rPr>
      <w:rFonts w:ascii="Times New Roman" w:hAnsi="Times New Roman" w:eastAsia="仿宋"/>
      <w:sz w:val="32"/>
    </w:rPr>
  </w:style>
  <w:style w:type="paragraph" w:customStyle="1" w:styleId="33">
    <w:name w:val="图表"/>
    <w:basedOn w:val="3"/>
    <w:link w:val="34"/>
    <w:qFormat/>
    <w:uiPriority w:val="0"/>
    <w:pPr>
      <w:spacing w:line="240" w:lineRule="auto"/>
      <w:ind w:firstLine="0" w:firstLineChars="0"/>
      <w:jc w:val="center"/>
    </w:pPr>
    <w:rPr>
      <w:rFonts w:eastAsia="楷体_GB2312"/>
    </w:rPr>
  </w:style>
  <w:style w:type="character" w:customStyle="1" w:styleId="34">
    <w:name w:val="图表 字符"/>
    <w:basedOn w:val="20"/>
    <w:link w:val="33"/>
    <w:qFormat/>
    <w:uiPriority w:val="0"/>
    <w:rPr>
      <w:rFonts w:ascii="Times New Roman" w:hAnsi="Times New Roman" w:eastAsia="楷体_GB2312"/>
      <w:sz w:val="32"/>
    </w:rPr>
  </w:style>
  <w:style w:type="character" w:customStyle="1" w:styleId="35">
    <w:name w:val="正文文本 字符"/>
    <w:basedOn w:val="17"/>
    <w:link w:val="8"/>
    <w:qFormat/>
    <w:uiPriority w:val="99"/>
    <w:rPr>
      <w:rFonts w:ascii="仿宋_GB2312" w:hAnsi="宋体" w:eastAsia="仿宋_GB2312" w:cs="Times New Roman"/>
      <w:color w:val="FF66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o\Documents\Template\&#26085;&#24120;&#26448;&#26009;&#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FBADE-28E2-4C26-A956-D8BF4DF51ECF}">
  <ds:schemaRefs/>
</ds:datastoreItem>
</file>

<file path=docProps/app.xml><?xml version="1.0" encoding="utf-8"?>
<Properties xmlns="http://schemas.openxmlformats.org/officeDocument/2006/extended-properties" xmlns:vt="http://schemas.openxmlformats.org/officeDocument/2006/docPropsVTypes">
  <Template>日常材料模板</Template>
  <Company>Hewlett-Packard Company</Company>
  <Pages>22</Pages>
  <Words>5546</Words>
  <Characters>9097</Characters>
  <Lines>1516</Lines>
  <Paragraphs>1220</Paragraphs>
  <TotalTime>1701</TotalTime>
  <ScaleCrop>false</ScaleCrop>
  <LinksUpToDate>false</LinksUpToDate>
  <CharactersWithSpaces>13423</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2023-10-16T12:37:00Z</dcterms:created>
  <dc:creator>Hoo</dc:creator>
  <cp:lastModifiedBy>王芳</cp:lastModifiedBy>
  <cp:lastPrinted>2025-06-22T03:47:58Z</cp:lastPrinted>
  <dcterms:modified xsi:type="dcterms:W3CDTF">2025-06-22T03:48:06Z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0FC3D3D1972A4B21A0D5DA4358B7841C</vt:lpwstr>
  </property>
</Properties>
</file>