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bookmarkStart w:id="0" w:name="_Hlk121670811"/>
      <w:r>
        <w:rPr>
          <w:rFonts w:hint="eastAsia" w:ascii="黑体" w:hAnsi="黑体" w:eastAsia="黑体" w:cs="仿宋_GB2312"/>
          <w:bCs/>
          <w:color w:val="000000" w:themeColor="text1"/>
          <w:sz w:val="36"/>
          <w:szCs w:val="36"/>
          <w14:textFill>
            <w14:solidFill>
              <w14:schemeClr w14:val="tx1"/>
            </w14:solidFill>
          </w14:textFill>
        </w:rPr>
        <w:t>2025年海南省政府专项债券(一期) 、</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临空经济区北片区路网建设一期项目(原消费精品博览园配套路网项目）</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项目</w:t>
      </w:r>
      <w:bookmarkEnd w:id="0"/>
      <w:r>
        <w:rPr>
          <w:rFonts w:hint="eastAsia" w:ascii="黑体" w:hAnsi="黑体" w:eastAsia="黑体" w:cs="仿宋_GB2312"/>
          <w:bCs/>
          <w:color w:val="000000" w:themeColor="text1"/>
          <w:sz w:val="36"/>
          <w:szCs w:val="36"/>
          <w14:textFill>
            <w14:solidFill>
              <w14:schemeClr w14:val="tx1"/>
            </w14:solidFill>
          </w14:textFill>
        </w:rPr>
        <w:t>收益与融资自求平衡调整方案</w:t>
      </w: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财政部门：海口市财政局</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主管部门：海口江东新区管理局</w:t>
      </w: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pPr>
      <w:r>
        <w:rPr>
          <w:rFonts w:hint="eastAsia" w:ascii="黑体" w:hAnsi="黑体" w:eastAsia="黑体" w:cs="仿宋_GB2312"/>
          <w:bCs/>
          <w:color w:val="000000" w:themeColor="text1"/>
          <w:sz w:val="36"/>
          <w:szCs w:val="36"/>
          <w14:textFill>
            <w14:solidFill>
              <w14:schemeClr w14:val="tx1"/>
            </w14:solidFill>
          </w14:textFill>
        </w:rPr>
        <w:t>项目单位：海口市路桥建设投资有限公司</w:t>
      </w:r>
    </w:p>
    <w:p>
      <w:pPr>
        <w:spacing w:line="700" w:lineRule="exact"/>
        <w:jc w:val="center"/>
        <w:rPr>
          <w:rFonts w:hint="eastAsia" w:ascii="黑体" w:hAnsi="黑体" w:eastAsia="黑体" w:cs="仿宋_GB2312"/>
          <w:bCs/>
          <w:color w:val="000000" w:themeColor="text1"/>
          <w:sz w:val="32"/>
          <w:szCs w:val="32"/>
          <w14:textFill>
            <w14:solidFill>
              <w14:schemeClr w14:val="tx1"/>
            </w14:solidFill>
          </w14:textFill>
        </w:rPr>
      </w:pPr>
    </w:p>
    <w:p>
      <w:pPr>
        <w:spacing w:line="700" w:lineRule="exact"/>
        <w:jc w:val="center"/>
        <w:rPr>
          <w:rFonts w:hint="eastAsia" w:ascii="黑体" w:hAnsi="黑体" w:eastAsia="黑体" w:cs="仿宋_GB2312"/>
          <w:bCs/>
          <w:color w:val="000000" w:themeColor="text1"/>
          <w:sz w:val="36"/>
          <w:szCs w:val="36"/>
          <w14:textFill>
            <w14:solidFill>
              <w14:schemeClr w14:val="tx1"/>
            </w14:solidFill>
          </w14:textFill>
        </w:rPr>
        <w:sectPr>
          <w:headerReference r:id="rId4" w:type="first"/>
          <w:headerReference r:id="rId3" w:type="default"/>
          <w:footerReference r:id="rId5" w:type="default"/>
          <w:pgSz w:w="11906" w:h="16838"/>
          <w:pgMar w:top="2041" w:right="1701" w:bottom="2041" w:left="1701" w:header="851" w:footer="1361" w:gutter="0"/>
          <w:cols w:space="425" w:num="1"/>
          <w:titlePg/>
          <w:docGrid w:type="lines" w:linePitch="312" w:charSpace="0"/>
        </w:sectPr>
      </w:pPr>
      <w:r>
        <w:rPr>
          <w:rFonts w:hint="eastAsia" w:ascii="黑体" w:hAnsi="黑体" w:eastAsia="黑体" w:cs="仿宋_GB2312"/>
          <w:bCs/>
          <w:color w:val="000000" w:themeColor="text1"/>
          <w:sz w:val="36"/>
          <w:szCs w:val="36"/>
          <w14:textFill>
            <w14:solidFill>
              <w14:schemeClr w14:val="tx1"/>
            </w14:solidFill>
          </w14:textFill>
        </w:rPr>
        <w:t>2025年6月</w:t>
      </w:r>
    </w:p>
    <w:p>
      <w:pPr>
        <w:pStyle w:val="2"/>
        <w:numPr>
          <w:ilvl w:val="0"/>
          <w:numId w:val="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区域经济情况</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（一）海口市概况</w:t>
      </w:r>
    </w:p>
    <w:p>
      <w:pPr>
        <w:pStyle w:val="3"/>
        <w:ind w:firstLine="640"/>
      </w:pPr>
      <w:r>
        <w:rPr>
          <w:rFonts w:hint="eastAsia"/>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国家历史文化名城”、“全国文明城市”、“全国双拥模范城市”等荣誉称号，荣获由住建部颁发的年度“中国人居环境奖”，</w:t>
      </w:r>
      <w:r>
        <w:t>2018</w:t>
      </w:r>
      <w:r>
        <w:rPr>
          <w:rFonts w:hint="eastAsia"/>
        </w:rPr>
        <w:t>年被联合国国际湿地公约组织评定为全球首批“国际湿地城市”。</w:t>
      </w:r>
    </w:p>
    <w:p>
      <w:pPr>
        <w:pStyle w:val="4"/>
        <w:ind w:firstLine="640"/>
        <w:rPr>
          <w:color w:val="000000" w:themeColor="text1"/>
          <w14:textFill>
            <w14:solidFill>
              <w14:schemeClr w14:val="tx1"/>
            </w14:solidFill>
          </w14:textFill>
        </w:rPr>
      </w:pPr>
      <w:bookmarkStart w:id="1" w:name="_Toc115429643"/>
      <w:bookmarkStart w:id="2" w:name="_Toc2316"/>
      <w:bookmarkStart w:id="3" w:name="_Toc158033775"/>
      <w:bookmarkStart w:id="4" w:name="_Toc24526"/>
      <w:bookmarkStart w:id="5" w:name="_Toc400"/>
      <w:bookmarkStart w:id="6" w:name="_Toc142554209"/>
      <w:bookmarkStart w:id="7" w:name="_Toc11289"/>
      <w:bookmarkStart w:id="8" w:name="_Toc158126903"/>
      <w:bookmarkStart w:id="9" w:name="_Toc28017"/>
      <w:bookmarkStart w:id="10" w:name="_Toc7392"/>
      <w:bookmarkStart w:id="11" w:name="_Toc5402"/>
      <w:bookmarkStart w:id="12" w:name="_Toc9167"/>
      <w:bookmarkStart w:id="13" w:name="_Toc26402"/>
      <w:bookmarkStart w:id="14" w:name="_Toc908"/>
      <w:r>
        <w:rPr>
          <w:rFonts w:hint="eastAsia"/>
          <w:color w:val="000000" w:themeColor="text1"/>
          <w14:textFill>
            <w14:solidFill>
              <w14:schemeClr w14:val="tx1"/>
            </w14:solidFill>
          </w14:textFill>
        </w:rPr>
        <w:t>（二）海口市经济发展情况及财政情况</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36"/>
        <w:rPr>
          <w:color w:val="000000" w:themeColor="text1"/>
          <w14:textFill>
            <w14:solidFill>
              <w14:schemeClr w14:val="tx1"/>
            </w14:solidFill>
          </w14:textFill>
        </w:rPr>
      </w:pPr>
      <w:bookmarkStart w:id="15" w:name="_Toc38966126"/>
      <w:bookmarkStart w:id="16" w:name="_Toc41496149"/>
      <w:bookmarkStart w:id="17" w:name="_Toc38920843"/>
      <w:bookmarkStart w:id="18" w:name="_Toc28675796"/>
      <w:bookmarkStart w:id="19" w:name="_Toc38905991"/>
      <w:bookmarkStart w:id="20" w:name="_Toc38898997"/>
      <w:bookmarkStart w:id="21" w:name="_Toc25162473"/>
      <w:r>
        <w:rPr>
          <w:rFonts w:hint="eastAsia"/>
          <w:color w:val="000000" w:themeColor="text1"/>
          <w14:textFill>
            <w14:solidFill>
              <w14:schemeClr w14:val="tx1"/>
            </w14:solidFill>
          </w14:textFill>
        </w:rPr>
        <w:t>表1  海口市20</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2—2024年财政经济数据</w:t>
      </w:r>
    </w:p>
    <w:p>
      <w:pPr>
        <w:pStyle w:val="36"/>
        <w:jc w:val="right"/>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单位：亿元</w:t>
      </w:r>
    </w:p>
    <w:tbl>
      <w:tblPr>
        <w:tblStyle w:val="18"/>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38"/>
        <w:gridCol w:w="1327"/>
        <w:gridCol w:w="1327"/>
        <w:gridCol w:w="132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adjustRightInd w:val="0"/>
              <w:snapToGrid w:val="0"/>
              <w:jc w:val="center"/>
              <w:rPr>
                <w:rFonts w:hint="eastAsia" w:ascii="宋体" w:hAnsi="宋体" w:cs="Arial Unicode MS"/>
                <w:b/>
                <w:color w:val="000000" w:themeColor="text1"/>
                <w:kern w:val="0"/>
                <w:szCs w:val="21"/>
                <w14:textFill>
                  <w14:solidFill>
                    <w14:schemeClr w14:val="tx1"/>
                  </w14:solidFill>
                </w14:textFill>
              </w:rPr>
            </w:pPr>
            <w:r>
              <w:rPr>
                <w:rFonts w:hint="eastAsia" w:ascii="宋体" w:hAnsi="宋体" w:cs="Arial Unicode MS"/>
                <w:b/>
                <w:color w:val="000000" w:themeColor="text1"/>
                <w:kern w:val="0"/>
                <w:szCs w:val="21"/>
                <w14:textFill>
                  <w14:solidFill>
                    <w14:schemeClr w14:val="tx1"/>
                  </w14:solidFill>
                </w14:textFill>
              </w:rPr>
              <w:t>项目</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2022年</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2023年</w:t>
            </w:r>
          </w:p>
        </w:tc>
        <w:tc>
          <w:tcPr>
            <w:tcW w:w="761" w:type="pct"/>
            <w:shd w:val="clear" w:color="auto" w:fill="auto"/>
            <w:vAlign w:val="center"/>
          </w:tcPr>
          <w:p>
            <w:pPr>
              <w:widowControl/>
              <w:adjustRightInd w:val="0"/>
              <w:snapToGrid w:val="0"/>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2024年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地区生产总值</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2,134.80</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2,358.44</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2,470.63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一般预算收入（一般公共预算收入）</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204.82</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266.87</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258.26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一般预算收入（一般公共预算总收入）</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518.12</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578.08</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597.76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政府性基金收入</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192.34</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140.39</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120.4</w:t>
            </w:r>
            <w:r>
              <w:rPr>
                <w:rFonts w:hint="eastAsia"/>
                <w:color w:val="000000" w:themeColor="text1"/>
                <w:kern w:val="0"/>
                <w:szCs w:val="21"/>
                <w:lang w:bidi="ar"/>
                <w14:textFill>
                  <w14:solidFill>
                    <w14:schemeClr w14:val="tx1"/>
                  </w14:solidFill>
                </w14:textFill>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其中：国有土地出让收入</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176.60</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124.67</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108.59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政府性基金支出</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310.21</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264.76</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294.</w:t>
            </w:r>
            <w:r>
              <w:rPr>
                <w:rFonts w:hint="eastAsia"/>
                <w:color w:val="000000" w:themeColor="text1"/>
                <w:kern w:val="0"/>
                <w:szCs w:val="21"/>
                <w:lang w:bidi="ar"/>
                <w14:textFill>
                  <w14:solidFill>
                    <w14:schemeClr w14:val="tx1"/>
                  </w14:solidFill>
                </w14:textFill>
              </w:rPr>
              <w:t>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其中：国有土地出让支出</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147.61</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109.46</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72.02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地方债务限额</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892.40</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w:t>
            </w:r>
            <w:r>
              <w:rPr>
                <w:rFonts w:hint="eastAsia"/>
                <w:color w:val="000000" w:themeColor="text1"/>
                <w:kern w:val="0"/>
                <w:szCs w:val="21"/>
                <w:lang w:bidi="ar"/>
                <w14:textFill>
                  <w14:solidFill>
                    <w14:schemeClr w14:val="tx1"/>
                  </w14:solidFill>
                </w14:textFill>
              </w:rPr>
              <w:t>6</w:t>
            </w:r>
            <w:r>
              <w:rPr>
                <w:color w:val="000000" w:themeColor="text1"/>
                <w:kern w:val="0"/>
                <w:szCs w:val="21"/>
                <w:lang w:bidi="ar"/>
                <w14:textFill>
                  <w14:solidFill>
                    <w14:schemeClr w14:val="tx1"/>
                  </w14:solidFill>
                </w14:textFill>
              </w:rPr>
              <w:t>1.</w:t>
            </w:r>
            <w:r>
              <w:rPr>
                <w:rFonts w:hint="eastAsia"/>
                <w:color w:val="000000" w:themeColor="text1"/>
                <w:kern w:val="0"/>
                <w:szCs w:val="21"/>
                <w:lang w:bidi="ar"/>
                <w14:textFill>
                  <w14:solidFill>
                    <w14:schemeClr w14:val="tx1"/>
                  </w14:solidFill>
                </w14:textFill>
              </w:rPr>
              <w:t>3</w:t>
            </w:r>
            <w:r>
              <w:rPr>
                <w:color w:val="000000" w:themeColor="text1"/>
                <w:kern w:val="0"/>
                <w:szCs w:val="21"/>
                <w:lang w:bidi="ar"/>
                <w14:textFill>
                  <w14:solidFill>
                    <w14:schemeClr w14:val="tx1"/>
                  </w14:solidFill>
                </w14:textFill>
              </w:rPr>
              <w:t>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其中：一般债务限额</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230.47</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235.24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textAlignment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专项债务限额</w:t>
            </w:r>
          </w:p>
        </w:tc>
        <w:tc>
          <w:tcPr>
            <w:tcW w:w="761" w:type="pct"/>
            <w:shd w:val="clear" w:color="auto" w:fill="auto"/>
            <w:vAlign w:val="center"/>
          </w:tcPr>
          <w:p>
            <w:pPr>
              <w:widowControl/>
              <w:jc w:val="center"/>
              <w:textAlignment w:val="center"/>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661.93</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rFonts w:hint="eastAsia"/>
                <w:color w:val="000000" w:themeColor="text1"/>
                <w:kern w:val="0"/>
                <w:szCs w:val="21"/>
                <w:lang w:bidi="ar"/>
                <w14:textFill>
                  <w14:solidFill>
                    <w14:schemeClr w14:val="tx1"/>
                  </w14:solidFill>
                </w14:textFill>
              </w:rPr>
              <w:t>926.07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地方债务余额</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752.70</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889.45</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1,141.70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其中：一般债务余额</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219.77</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228.11</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227.3</w:t>
            </w:r>
            <w:r>
              <w:rPr>
                <w:rFonts w:hint="eastAsia"/>
                <w:color w:val="000000" w:themeColor="text1"/>
                <w:kern w:val="0"/>
                <w:szCs w:val="21"/>
                <w:lang w:bidi="ar"/>
                <w14:textFill>
                  <w14:solidFill>
                    <w14:schemeClr w14:val="tx1"/>
                  </w14:solidFill>
                </w14:textFill>
              </w:rPr>
              <w:t>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716" w:type="pct"/>
            <w:shd w:val="clear" w:color="auto" w:fill="auto"/>
            <w:vAlign w:val="center"/>
          </w:tcPr>
          <w:p>
            <w:pPr>
              <w:widowControl/>
              <w:jc w:val="center"/>
              <w:textAlignment w:val="center"/>
              <w:rPr>
                <w:rFonts w:hint="eastAsia" w:ascii="宋体" w:hAnsi="宋体" w:cs="宋体"/>
                <w:color w:val="000000" w:themeColor="text1"/>
                <w:kern w:val="0"/>
                <w:szCs w:val="21"/>
                <w:lang w:bidi="ar"/>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专项债务余额</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532.93</w:t>
            </w:r>
          </w:p>
        </w:tc>
        <w:tc>
          <w:tcPr>
            <w:tcW w:w="761" w:type="pct"/>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661.34</w:t>
            </w:r>
          </w:p>
        </w:tc>
        <w:tc>
          <w:tcPr>
            <w:tcW w:w="1328" w:type="dxa"/>
            <w:shd w:val="clear" w:color="auto" w:fill="auto"/>
            <w:vAlign w:val="center"/>
          </w:tcPr>
          <w:p>
            <w:pPr>
              <w:widowControl/>
              <w:jc w:val="center"/>
              <w:textAlignment w:val="center"/>
              <w:rPr>
                <w:color w:val="000000" w:themeColor="text1"/>
                <w:kern w:val="0"/>
                <w:szCs w:val="21"/>
                <w:lang w:bidi="ar"/>
                <w14:textFill>
                  <w14:solidFill>
                    <w14:schemeClr w14:val="tx1"/>
                  </w14:solidFill>
                </w14:textFill>
              </w:rPr>
            </w:pPr>
            <w:r>
              <w:rPr>
                <w:color w:val="000000" w:themeColor="text1"/>
                <w:kern w:val="0"/>
                <w:szCs w:val="21"/>
                <w:lang w:bidi="ar"/>
                <w14:textFill>
                  <w14:solidFill>
                    <w14:schemeClr w14:val="tx1"/>
                  </w14:solidFill>
                </w14:textFill>
              </w:rPr>
              <w:t>914.</w:t>
            </w:r>
            <w:r>
              <w:rPr>
                <w:rFonts w:hint="eastAsia"/>
                <w:color w:val="000000" w:themeColor="text1"/>
                <w:kern w:val="0"/>
                <w:szCs w:val="21"/>
                <w:lang w:bidi="ar"/>
                <w14:textFill>
                  <w14:solidFill>
                    <w14:schemeClr w14:val="tx1"/>
                  </w14:solidFill>
                </w14:textFill>
              </w:rPr>
              <w:t>37</w:t>
            </w:r>
          </w:p>
        </w:tc>
      </w:tr>
    </w:tbl>
    <w:p>
      <w:pPr>
        <w:pStyle w:val="3"/>
        <w:ind w:firstLine="0" w:firstLineChars="0"/>
        <w:rPr>
          <w:color w:val="000000" w:themeColor="text1"/>
          <w14:textFill>
            <w14:solidFill>
              <w14:schemeClr w14:val="tx1"/>
            </w14:solidFill>
          </w14:textFill>
        </w:rPr>
      </w:pPr>
      <w:r>
        <w:rPr>
          <w:rFonts w:hint="eastAsia" w:eastAsia="宋体"/>
          <w:color w:val="000000" w:themeColor="text1"/>
          <w:kern w:val="0"/>
          <w:sz w:val="20"/>
          <w:szCs w:val="20"/>
          <w:shd w:val="clear" w:color="auto" w:fill="FFFFFF"/>
          <w14:textFill>
            <w14:solidFill>
              <w14:schemeClr w14:val="tx1"/>
            </w14:solidFill>
          </w14:textFill>
        </w:rPr>
        <w:t>注：以上数据来源于海口市财政局。</w:t>
      </w:r>
      <w:bookmarkEnd w:id="15"/>
      <w:bookmarkEnd w:id="16"/>
      <w:bookmarkEnd w:id="17"/>
      <w:bookmarkEnd w:id="18"/>
      <w:bookmarkEnd w:id="19"/>
      <w:bookmarkEnd w:id="20"/>
      <w:bookmarkEnd w:id="21"/>
    </w:p>
    <w:p>
      <w:pPr>
        <w:pStyle w:val="2"/>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二、项目概况</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（一）项目名称</w:t>
      </w:r>
    </w:p>
    <w:p>
      <w:pPr>
        <w:pStyle w:val="3"/>
        <w:ind w:firstLine="640"/>
        <w:rPr>
          <w:color w:val="000000" w:themeColor="text1"/>
          <w14:textFill>
            <w14:solidFill>
              <w14:schemeClr w14:val="tx1"/>
            </w14:solidFill>
          </w14:textFill>
        </w:rPr>
      </w:pPr>
      <w:bookmarkStart w:id="22" w:name="OLE_LINK1"/>
      <w:r>
        <w:rPr>
          <w:rFonts w:hint="eastAsia"/>
          <w:color w:val="000000" w:themeColor="text1"/>
          <w14:textFill>
            <w14:solidFill>
              <w14:schemeClr w14:val="tx1"/>
            </w14:solidFill>
          </w14:textFill>
        </w:rPr>
        <w:t>临空经济区北片区路网建设一期项目(原消费精品博览园配套路网项目）</w:t>
      </w:r>
    </w:p>
    <w:bookmarkEnd w:id="22"/>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（二）立项单位</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项目立项单位：海口市路桥建设投资有限公司，该公司系海口市建工集团有限公司的全资子公司，海口市建工集团有限公司系海口市国有资产监督管理委员会持股90%，海南省财政厅持股10%的国有企业。</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海口市路桥建设投资有限公司，统一社会信用代码：91460100754353726F，法定代表人：冯所晓，注册资金：3,000.00万元，住所：海口市世纪广场路1号世纪大桥监控中心。经营范围：建筑智能化系统设计（依法须经批准的项目，经相关部门批准后方可开展经营活动）一般项目：工程管理服务；市政设施管理；自有资金投资的资产管理服务；以自有资金从事投资活动；旅游开发项目策划咨询；城乡市容管理；城市绿化管理；与农业生产经营有关的技术、信息、设施建设运营等服务；农业专业及辅助性活动；科技中介服务；建筑材料销售；建筑装饰材料销售；广告设计、代理；医院管理；土地使用权租赁；非居住房地产租赁（除许可业务外，可自主依法经营法律法规非禁止或限制的项目）。</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（三）</w:t>
      </w:r>
      <w:bookmarkStart w:id="23" w:name="_Hlk121819982"/>
      <w:r>
        <w:rPr>
          <w:rFonts w:hint="eastAsia"/>
          <w:color w:val="000000" w:themeColor="text1"/>
          <w14:textFill>
            <w14:solidFill>
              <w14:schemeClr w14:val="tx1"/>
            </w14:solidFill>
          </w14:textFill>
        </w:rPr>
        <w:t>项目规划审批</w:t>
      </w:r>
    </w:p>
    <w:p>
      <w:pPr>
        <w:pStyle w:val="3"/>
        <w:ind w:firstLine="640"/>
      </w:pPr>
      <w:r>
        <w:rPr>
          <w:rFonts w:hint="eastAsia"/>
        </w:rPr>
        <w:t>1、2022年9月30日，海口江东新区管理局出具《关于同意临空经济区北片区路网建设一期项目可行性研究报告的复函》（海江东审【2022】214号）；</w:t>
      </w:r>
    </w:p>
    <w:p>
      <w:pPr>
        <w:pStyle w:val="3"/>
        <w:ind w:firstLine="640"/>
      </w:pPr>
      <w:r>
        <w:rPr>
          <w:rFonts w:hint="eastAsia"/>
        </w:rPr>
        <w:t>2、2022年11月21日，海口江东新区管理局出具《关于同意临空经济区北片区路网建设一期项目(原消费精品博览园配套路网项目）初步设计及概算的复函》（海江东审【2022】243号）；</w:t>
      </w:r>
    </w:p>
    <w:p>
      <w:pPr>
        <w:pStyle w:val="3"/>
        <w:ind w:firstLine="640"/>
      </w:pPr>
      <w:r>
        <w:rPr>
          <w:rFonts w:hint="eastAsia"/>
        </w:rPr>
        <w:t>3、2022年11月10日，取得建设用地规划许可证，地字第</w:t>
      </w:r>
      <w:r>
        <w:t>465102202</w:t>
      </w:r>
      <w:r>
        <w:rPr>
          <w:rFonts w:hint="eastAsia"/>
        </w:rPr>
        <w:t>25</w:t>
      </w:r>
      <w:r>
        <w:t>00</w:t>
      </w:r>
      <w:r>
        <w:rPr>
          <w:rFonts w:hint="eastAsia"/>
        </w:rPr>
        <w:t>14</w:t>
      </w:r>
      <w:r>
        <w:t>号；</w:t>
      </w:r>
    </w:p>
    <w:p>
      <w:pPr>
        <w:pStyle w:val="3"/>
        <w:ind w:firstLine="640"/>
      </w:pPr>
      <w:r>
        <w:rPr>
          <w:rFonts w:hint="eastAsia"/>
        </w:rPr>
        <w:t>4、2022年11月17日，取得建设工程规划许可证，建字第</w:t>
      </w:r>
      <w:r>
        <w:t>465102202</w:t>
      </w:r>
      <w:r>
        <w:rPr>
          <w:rFonts w:hint="eastAsia"/>
        </w:rPr>
        <w:t>215022</w:t>
      </w:r>
      <w:r>
        <w:t>号。</w:t>
      </w:r>
    </w:p>
    <w:bookmarkEnd w:id="23"/>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（四）项目规模与主要建设内容</w:t>
      </w:r>
    </w:p>
    <w:p>
      <w:pPr>
        <w:pStyle w:val="3"/>
        <w:ind w:firstLine="640"/>
        <w:rPr>
          <w:color w:val="000000" w:themeColor="text1"/>
          <w14:textFill>
            <w14:solidFill>
              <w14:schemeClr w14:val="tx1"/>
            </w14:solidFill>
          </w14:textFill>
        </w:rPr>
      </w:pPr>
      <w:r>
        <w:rPr>
          <w:rFonts w:hint="eastAsia"/>
        </w:rPr>
        <w:t>项目南至桂江大道、东至海文高速、西至顺达路、北至桂灵大道，共包含2条市政道路，均为城市主干路，总长度约2.74km，其中临港大道1.43km，道路红线宽度40m-45m，设计车速为50公里/小时；临仙路1.31km，道路红线宽度40m，设计车速为60公里/小时，建设内容包括道路工程、交通工程、给水工程、排水工程、照明工程(含多杆)、缆线型管廊工程等。</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（五）</w:t>
      </w:r>
      <w:bookmarkStart w:id="24" w:name="_Hlk121820053"/>
      <w:r>
        <w:rPr>
          <w:rFonts w:hint="eastAsia"/>
          <w:color w:val="000000" w:themeColor="text1"/>
          <w14:textFill>
            <w14:solidFill>
              <w14:schemeClr w14:val="tx1"/>
            </w14:solidFill>
          </w14:textFill>
        </w:rPr>
        <w:t>项目建设期限</w:t>
      </w:r>
    </w:p>
    <w:p>
      <w:pPr>
        <w:pStyle w:val="3"/>
        <w:ind w:firstLine="640"/>
        <w:rPr>
          <w:color w:val="000000" w:themeColor="text1"/>
          <w14:textFill>
            <w14:solidFill>
              <w14:schemeClr w14:val="tx1"/>
            </w14:solidFill>
          </w14:textFill>
        </w:rPr>
      </w:pPr>
      <w:r>
        <w:rPr>
          <w:rFonts w:hint="eastAsia"/>
        </w:rPr>
        <w:t>本项目预计工期为2023年3月至2026年6月</w:t>
      </w:r>
      <w:r>
        <w:rPr>
          <w:rFonts w:hint="eastAsia"/>
          <w:color w:val="000000" w:themeColor="text1"/>
          <w14:textFill>
            <w14:solidFill>
              <w14:schemeClr w14:val="tx1"/>
            </w14:solidFill>
          </w14:textFill>
        </w:rPr>
        <w:t>。</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（六）项目进度</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项目总体已完成工程进度11.7%，其中排水工程完成9.2%，道路工程完成10%。</w:t>
      </w:r>
    </w:p>
    <w:bookmarkEnd w:id="24"/>
    <w:p>
      <w:pPr>
        <w:pStyle w:val="2"/>
        <w:ind w:firstLine="960" w:firstLineChars="300"/>
        <w:rPr>
          <w:color w:val="000000" w:themeColor="text1"/>
          <w14:textFill>
            <w14:solidFill>
              <w14:schemeClr w14:val="tx1"/>
            </w14:solidFill>
          </w14:textFill>
        </w:rPr>
      </w:pPr>
      <w:r>
        <w:rPr>
          <w:rFonts w:hint="eastAsia"/>
          <w:color w:val="000000" w:themeColor="text1"/>
          <w14:textFill>
            <w14:solidFill>
              <w14:schemeClr w14:val="tx1"/>
            </w14:solidFill>
          </w14:textFill>
        </w:rPr>
        <w:t>三、平衡方案</w:t>
      </w:r>
    </w:p>
    <w:p>
      <w:pPr>
        <w:pStyle w:val="4"/>
        <w:ind w:firstLine="640"/>
      </w:pPr>
      <w:r>
        <w:rPr>
          <w:rFonts w:hint="eastAsia"/>
        </w:rPr>
        <w:t>（一）编制依据</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1、国家建设部建标[2007]164号文颁布的《市政工投资估算编制方法》；</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2、国家建设部建标[2007]163号文颁布的《市政工投资估算指标》；</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3、2017年《海南省市政工程综合定额》；</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4、2017年《海南省安装工程综合定额》；</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5、2019年《海南省园林绿化工程综合定额》；</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6、2018年《海南省城市地下综合管廊工程综合定额》；</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7、琼建定[2019]100号文《关于调整海南省建设工程增值税税率的通知》；</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8、人工单价根据《琼建规[2022]3号》调整；</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9、地区近期完成的同类工程技术经济指标；</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10、国家、部门及地区有关规定。</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rPr>
        <w:t>建设单位提供的其他材料。</w:t>
      </w:r>
    </w:p>
    <w:p>
      <w:pPr>
        <w:pStyle w:val="4"/>
        <w:ind w:firstLine="640"/>
      </w:pPr>
      <w:r>
        <w:rPr>
          <w:rFonts w:hint="eastAsia"/>
        </w:rPr>
        <w:t>（二）资金筹措方案</w:t>
      </w:r>
    </w:p>
    <w:p>
      <w:pPr>
        <w:pStyle w:val="3"/>
        <w:ind w:firstLine="640"/>
      </w:pPr>
      <w:r>
        <w:rPr>
          <w:rFonts w:hint="eastAsia"/>
        </w:rPr>
        <w:t>1、资金筹措原则</w:t>
      </w:r>
    </w:p>
    <w:p>
      <w:pPr>
        <w:pStyle w:val="3"/>
        <w:ind w:firstLine="640"/>
      </w:pPr>
      <w:r>
        <w:rPr>
          <w:rFonts w:hint="eastAsia"/>
        </w:rPr>
        <w:t>（1）通过自筹投入一定资本金，保证项目顺利开工及后续融资的可能。</w:t>
      </w:r>
    </w:p>
    <w:p>
      <w:pPr>
        <w:pStyle w:val="3"/>
        <w:ind w:firstLine="640"/>
      </w:pPr>
      <w:r>
        <w:rPr>
          <w:rFonts w:hint="eastAsia"/>
        </w:rPr>
        <w:t>（2）发行政府专项债券向社会筹资。</w:t>
      </w:r>
    </w:p>
    <w:p>
      <w:pPr>
        <w:pStyle w:val="3"/>
        <w:ind w:firstLine="640"/>
      </w:pPr>
      <w:bookmarkStart w:id="25" w:name="_Hlk24098697"/>
      <w:r>
        <w:rPr>
          <w:rFonts w:hint="eastAsia"/>
        </w:rPr>
        <w:t>2、调整项目概况</w:t>
      </w:r>
    </w:p>
    <w:p>
      <w:pPr>
        <w:pStyle w:val="3"/>
        <w:ind w:firstLine="640"/>
      </w:pPr>
      <w:r>
        <w:rPr>
          <w:rFonts w:hint="eastAsia"/>
        </w:rPr>
        <w:t>2025年2月26日，2025海南省政府专项债券（一期）成功发行，其中用于海口市琼山区迈瀛片区（一期）城中村改造配套基础设施项目的发行规模为121,500.00万元，期限10年，票面利率为1.76%。根据《财政部办公厅关于进一步加快新增地方政府债券项目预算执行进度的通知》(财办预[2019]179 号) 要求加快新增债券项目预算执行进度的精神，经批准，拟对2025年海口市部分发行项目资金额度分配进行调整，并将调整出来的资金分配至本项目使用。具体情况如下：</w:t>
      </w:r>
    </w:p>
    <w:p>
      <w:pPr>
        <w:pStyle w:val="3"/>
        <w:ind w:firstLine="0" w:firstLineChars="0"/>
        <w:jc w:val="center"/>
        <w:rPr>
          <w:rFonts w:eastAsia="楷体_GB2312"/>
        </w:rPr>
      </w:pPr>
      <w:r>
        <w:rPr>
          <w:rFonts w:hint="eastAsia" w:eastAsia="楷体_GB2312"/>
        </w:rPr>
        <w:t>表2  调整项目情况汇总表</w:t>
      </w:r>
    </w:p>
    <w:p>
      <w:pPr>
        <w:pStyle w:val="3"/>
        <w:ind w:firstLine="480"/>
        <w:jc w:val="right"/>
        <w:rPr>
          <w:sz w:val="24"/>
          <w:szCs w:val="24"/>
        </w:rPr>
      </w:pPr>
      <w:r>
        <w:rPr>
          <w:rFonts w:hint="eastAsia"/>
          <w:sz w:val="24"/>
          <w:szCs w:val="24"/>
        </w:rPr>
        <w:t>单位 ：人民币万元</w:t>
      </w:r>
    </w:p>
    <w:tbl>
      <w:tblPr>
        <w:tblStyle w:val="18"/>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718"/>
        <w:gridCol w:w="1043"/>
        <w:gridCol w:w="844"/>
        <w:gridCol w:w="944"/>
        <w:gridCol w:w="1411"/>
        <w:gridCol w:w="1090"/>
        <w:gridCol w:w="94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序号</w:t>
            </w:r>
          </w:p>
        </w:tc>
        <w:tc>
          <w:tcPr>
            <w:tcW w:w="985"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项目名称</w:t>
            </w:r>
          </w:p>
        </w:tc>
        <w:tc>
          <w:tcPr>
            <w:tcW w:w="598"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债券名称</w:t>
            </w:r>
          </w:p>
        </w:tc>
        <w:tc>
          <w:tcPr>
            <w:tcW w:w="484"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发行利率</w:t>
            </w:r>
          </w:p>
        </w:tc>
        <w:tc>
          <w:tcPr>
            <w:tcW w:w="541"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发行期限</w:t>
            </w:r>
          </w:p>
        </w:tc>
        <w:tc>
          <w:tcPr>
            <w:tcW w:w="809"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调整前发债金额</w:t>
            </w:r>
          </w:p>
        </w:tc>
        <w:tc>
          <w:tcPr>
            <w:tcW w:w="625"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调减金额（调整至本项目）</w:t>
            </w:r>
          </w:p>
        </w:tc>
        <w:tc>
          <w:tcPr>
            <w:tcW w:w="541" w:type="pct"/>
            <w:shd w:val="clear" w:color="auto" w:fill="auto"/>
            <w:vAlign w:val="center"/>
          </w:tcPr>
          <w:p>
            <w:pPr>
              <w:widowControl/>
              <w:jc w:val="center"/>
              <w:rPr>
                <w:rFonts w:hint="eastAsia" w:ascii="宋体" w:hAnsi="宋体" w:cs="仿宋_GB2312"/>
                <w:b/>
                <w:bCs/>
                <w:color w:val="000000"/>
                <w:kern w:val="0"/>
                <w:sz w:val="18"/>
                <w:szCs w:val="18"/>
              </w:rPr>
            </w:pPr>
            <w:r>
              <w:rPr>
                <w:rFonts w:hint="eastAsia" w:ascii="宋体" w:hAnsi="宋体" w:cs="仿宋_GB2312"/>
                <w:b/>
                <w:bCs/>
                <w:color w:val="000000"/>
                <w:kern w:val="0"/>
                <w:sz w:val="18"/>
                <w:szCs w:val="18"/>
              </w:rPr>
              <w:t>调增金额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noWrap/>
            <w:vAlign w:val="center"/>
          </w:tcPr>
          <w:p>
            <w:pPr>
              <w:widowControl/>
              <w:jc w:val="center"/>
              <w:rPr>
                <w:color w:val="000000"/>
                <w:kern w:val="0"/>
                <w:sz w:val="18"/>
                <w:szCs w:val="18"/>
              </w:rPr>
            </w:pPr>
            <w:r>
              <w:rPr>
                <w:color w:val="000000"/>
                <w:kern w:val="0"/>
                <w:sz w:val="18"/>
                <w:szCs w:val="18"/>
              </w:rPr>
              <w:t>1</w:t>
            </w:r>
          </w:p>
        </w:tc>
        <w:tc>
          <w:tcPr>
            <w:tcW w:w="985" w:type="pct"/>
            <w:shd w:val="clear" w:color="auto" w:fill="auto"/>
            <w:vAlign w:val="center"/>
          </w:tcPr>
          <w:p>
            <w:pPr>
              <w:widowControl/>
              <w:jc w:val="left"/>
              <w:rPr>
                <w:color w:val="000000"/>
                <w:kern w:val="0"/>
                <w:sz w:val="18"/>
                <w:szCs w:val="18"/>
              </w:rPr>
            </w:pPr>
            <w:r>
              <w:rPr>
                <w:color w:val="000000"/>
                <w:kern w:val="0"/>
                <w:sz w:val="18"/>
                <w:szCs w:val="18"/>
              </w:rPr>
              <w:t>海口市琼山区迈瀛片区（一期）城中村改造配套基础设施项目</w:t>
            </w:r>
          </w:p>
        </w:tc>
        <w:tc>
          <w:tcPr>
            <w:tcW w:w="598" w:type="pct"/>
            <w:shd w:val="clear" w:color="auto" w:fill="auto"/>
            <w:vAlign w:val="center"/>
          </w:tcPr>
          <w:p>
            <w:pPr>
              <w:widowControl/>
              <w:jc w:val="left"/>
              <w:rPr>
                <w:color w:val="000000"/>
                <w:kern w:val="0"/>
                <w:sz w:val="18"/>
                <w:szCs w:val="18"/>
              </w:rPr>
            </w:pPr>
            <w:r>
              <w:rPr>
                <w:color w:val="000000"/>
                <w:kern w:val="0"/>
                <w:sz w:val="18"/>
                <w:szCs w:val="18"/>
              </w:rPr>
              <w:t>2025年海南省政府专项债券（一期）</w:t>
            </w:r>
          </w:p>
        </w:tc>
        <w:tc>
          <w:tcPr>
            <w:tcW w:w="484" w:type="pct"/>
            <w:shd w:val="clear" w:color="auto" w:fill="auto"/>
            <w:vAlign w:val="center"/>
          </w:tcPr>
          <w:p>
            <w:pPr>
              <w:widowControl/>
              <w:jc w:val="center"/>
              <w:rPr>
                <w:sz w:val="18"/>
                <w:szCs w:val="18"/>
              </w:rPr>
            </w:pPr>
            <w:r>
              <w:rPr>
                <w:sz w:val="18"/>
                <w:szCs w:val="18"/>
              </w:rPr>
              <w:t>1.76%</w:t>
            </w:r>
          </w:p>
        </w:tc>
        <w:tc>
          <w:tcPr>
            <w:tcW w:w="541" w:type="pct"/>
            <w:shd w:val="clear" w:color="auto" w:fill="auto"/>
            <w:vAlign w:val="center"/>
          </w:tcPr>
          <w:p>
            <w:pPr>
              <w:widowControl/>
              <w:jc w:val="center"/>
              <w:rPr>
                <w:sz w:val="18"/>
                <w:szCs w:val="18"/>
              </w:rPr>
            </w:pPr>
            <w:r>
              <w:rPr>
                <w:sz w:val="18"/>
                <w:szCs w:val="18"/>
              </w:rPr>
              <w:t>10年</w:t>
            </w:r>
          </w:p>
        </w:tc>
        <w:tc>
          <w:tcPr>
            <w:tcW w:w="809" w:type="pct"/>
            <w:shd w:val="clear" w:color="auto" w:fill="auto"/>
            <w:vAlign w:val="center"/>
          </w:tcPr>
          <w:p>
            <w:pPr>
              <w:widowControl/>
              <w:jc w:val="center"/>
              <w:rPr>
                <w:sz w:val="18"/>
                <w:szCs w:val="18"/>
              </w:rPr>
            </w:pPr>
            <w:r>
              <w:rPr>
                <w:sz w:val="18"/>
                <w:szCs w:val="18"/>
              </w:rPr>
              <w:t xml:space="preserve">121,500.00 </w:t>
            </w:r>
          </w:p>
        </w:tc>
        <w:tc>
          <w:tcPr>
            <w:tcW w:w="625" w:type="pct"/>
            <w:shd w:val="clear" w:color="auto" w:fill="auto"/>
            <w:vAlign w:val="center"/>
          </w:tcPr>
          <w:p>
            <w:pPr>
              <w:widowControl/>
              <w:jc w:val="right"/>
              <w:rPr>
                <w:sz w:val="18"/>
                <w:szCs w:val="18"/>
              </w:rPr>
            </w:pPr>
            <w:r>
              <w:rPr>
                <w:sz w:val="18"/>
                <w:szCs w:val="18"/>
              </w:rPr>
              <w:t>1,000.00</w:t>
            </w:r>
          </w:p>
        </w:tc>
        <w:tc>
          <w:tcPr>
            <w:tcW w:w="541" w:type="pct"/>
            <w:shd w:val="clear" w:color="auto" w:fill="auto"/>
            <w:vAlign w:val="center"/>
          </w:tcPr>
          <w:p>
            <w:pPr>
              <w:widowControl/>
              <w:jc w:val="right"/>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17" w:type="pct"/>
            <w:shd w:val="clear" w:color="auto" w:fill="auto"/>
            <w:noWrap/>
            <w:vAlign w:val="center"/>
          </w:tcPr>
          <w:p>
            <w:pPr>
              <w:widowControl/>
              <w:jc w:val="center"/>
              <w:rPr>
                <w:color w:val="000000"/>
                <w:kern w:val="0"/>
                <w:sz w:val="18"/>
                <w:szCs w:val="18"/>
              </w:rPr>
            </w:pPr>
            <w:r>
              <w:rPr>
                <w:color w:val="000000"/>
                <w:kern w:val="0"/>
                <w:sz w:val="18"/>
                <w:szCs w:val="18"/>
              </w:rPr>
              <w:t>2</w:t>
            </w:r>
          </w:p>
        </w:tc>
        <w:tc>
          <w:tcPr>
            <w:tcW w:w="985" w:type="pct"/>
            <w:shd w:val="clear" w:color="auto" w:fill="auto"/>
            <w:vAlign w:val="center"/>
          </w:tcPr>
          <w:p>
            <w:pPr>
              <w:widowControl/>
              <w:jc w:val="left"/>
              <w:rPr>
                <w:color w:val="000000"/>
                <w:kern w:val="0"/>
                <w:sz w:val="18"/>
                <w:szCs w:val="18"/>
              </w:rPr>
            </w:pPr>
            <w:r>
              <w:rPr>
                <w:rFonts w:hint="eastAsia"/>
                <w:color w:val="000000"/>
                <w:kern w:val="0"/>
                <w:sz w:val="18"/>
                <w:szCs w:val="18"/>
              </w:rPr>
              <w:t>临空经济区北片区路网建设一期项目(原消费精品博览园配套路网项目）</w:t>
            </w:r>
          </w:p>
        </w:tc>
        <w:tc>
          <w:tcPr>
            <w:tcW w:w="598" w:type="pct"/>
            <w:shd w:val="clear" w:color="auto" w:fill="auto"/>
            <w:vAlign w:val="center"/>
          </w:tcPr>
          <w:p>
            <w:pPr>
              <w:widowControl/>
              <w:jc w:val="left"/>
              <w:rPr>
                <w:color w:val="000000"/>
                <w:kern w:val="0"/>
                <w:sz w:val="18"/>
                <w:szCs w:val="18"/>
              </w:rPr>
            </w:pPr>
          </w:p>
        </w:tc>
        <w:tc>
          <w:tcPr>
            <w:tcW w:w="484" w:type="pct"/>
            <w:shd w:val="clear" w:color="auto" w:fill="auto"/>
            <w:vAlign w:val="center"/>
          </w:tcPr>
          <w:p>
            <w:pPr>
              <w:widowControl/>
              <w:jc w:val="center"/>
              <w:rPr>
                <w:sz w:val="18"/>
                <w:szCs w:val="18"/>
              </w:rPr>
            </w:pPr>
          </w:p>
        </w:tc>
        <w:tc>
          <w:tcPr>
            <w:tcW w:w="541" w:type="pct"/>
            <w:shd w:val="clear" w:color="auto" w:fill="auto"/>
            <w:vAlign w:val="center"/>
          </w:tcPr>
          <w:p>
            <w:pPr>
              <w:widowControl/>
              <w:jc w:val="center"/>
              <w:rPr>
                <w:sz w:val="18"/>
                <w:szCs w:val="18"/>
              </w:rPr>
            </w:pPr>
          </w:p>
        </w:tc>
        <w:tc>
          <w:tcPr>
            <w:tcW w:w="809" w:type="pct"/>
            <w:shd w:val="clear" w:color="auto" w:fill="auto"/>
            <w:vAlign w:val="center"/>
          </w:tcPr>
          <w:p>
            <w:pPr>
              <w:widowControl/>
              <w:jc w:val="center"/>
              <w:rPr>
                <w:sz w:val="18"/>
                <w:szCs w:val="18"/>
              </w:rPr>
            </w:pPr>
          </w:p>
        </w:tc>
        <w:tc>
          <w:tcPr>
            <w:tcW w:w="625" w:type="pct"/>
            <w:shd w:val="clear" w:color="auto" w:fill="auto"/>
            <w:vAlign w:val="center"/>
          </w:tcPr>
          <w:p>
            <w:pPr>
              <w:widowControl/>
              <w:jc w:val="right"/>
              <w:rPr>
                <w:sz w:val="18"/>
                <w:szCs w:val="18"/>
              </w:rPr>
            </w:pPr>
          </w:p>
        </w:tc>
        <w:tc>
          <w:tcPr>
            <w:tcW w:w="541" w:type="pct"/>
            <w:shd w:val="clear" w:color="auto" w:fill="auto"/>
            <w:vAlign w:val="center"/>
          </w:tcPr>
          <w:p>
            <w:pPr>
              <w:widowControl/>
              <w:jc w:val="right"/>
              <w:rPr>
                <w:sz w:val="18"/>
                <w:szCs w:val="18"/>
              </w:rPr>
            </w:pPr>
            <w:r>
              <w:rPr>
                <w:sz w:val="18"/>
                <w:szCs w:val="18"/>
              </w:rPr>
              <w:t>1,000.00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4" w:type="pct"/>
            <w:gridSpan w:val="6"/>
            <w:shd w:val="clear" w:color="auto" w:fill="auto"/>
            <w:noWrap/>
            <w:vAlign w:val="center"/>
          </w:tcPr>
          <w:p>
            <w:pPr>
              <w:widowControl/>
              <w:jc w:val="center"/>
              <w:rPr>
                <w:b/>
                <w:bCs/>
                <w:sz w:val="18"/>
                <w:szCs w:val="18"/>
              </w:rPr>
            </w:pPr>
            <w:r>
              <w:rPr>
                <w:b/>
                <w:bCs/>
                <w:color w:val="000000" w:themeColor="text1"/>
                <w:kern w:val="0"/>
                <w:sz w:val="18"/>
                <w:szCs w:val="18"/>
                <w14:textFill>
                  <w14:solidFill>
                    <w14:schemeClr w14:val="tx1"/>
                  </w14:solidFill>
                </w14:textFill>
              </w:rPr>
              <w:t>合  计</w:t>
            </w:r>
          </w:p>
        </w:tc>
        <w:tc>
          <w:tcPr>
            <w:tcW w:w="625" w:type="pct"/>
            <w:shd w:val="clear" w:color="auto" w:fill="auto"/>
            <w:vAlign w:val="center"/>
          </w:tcPr>
          <w:p>
            <w:pPr>
              <w:widowControl/>
              <w:jc w:val="right"/>
              <w:rPr>
                <w:sz w:val="18"/>
                <w:szCs w:val="18"/>
              </w:rPr>
            </w:pPr>
            <w:r>
              <w:rPr>
                <w:sz w:val="18"/>
                <w:szCs w:val="18"/>
              </w:rPr>
              <w:t>1,000.00</w:t>
            </w:r>
          </w:p>
        </w:tc>
        <w:tc>
          <w:tcPr>
            <w:tcW w:w="541" w:type="pct"/>
            <w:shd w:val="clear" w:color="auto" w:fill="auto"/>
            <w:vAlign w:val="center"/>
          </w:tcPr>
          <w:p>
            <w:pPr>
              <w:widowControl/>
              <w:jc w:val="right"/>
              <w:rPr>
                <w:sz w:val="18"/>
                <w:szCs w:val="18"/>
              </w:rPr>
            </w:pPr>
            <w:r>
              <w:rPr>
                <w:sz w:val="18"/>
                <w:szCs w:val="18"/>
              </w:rPr>
              <w:t>1,000.00</w:t>
            </w:r>
          </w:p>
        </w:tc>
      </w:tr>
    </w:tbl>
    <w:p>
      <w:pPr>
        <w:pStyle w:val="3"/>
        <w:ind w:firstLine="640"/>
      </w:pPr>
      <w:r>
        <w:rPr>
          <w:rFonts w:hint="eastAsia"/>
        </w:rPr>
        <w:t>3、资金来源</w:t>
      </w:r>
    </w:p>
    <w:p>
      <w:pPr>
        <w:pStyle w:val="3"/>
        <w:ind w:firstLine="640"/>
        <w:rPr>
          <w:color w:val="000000" w:themeColor="text1"/>
          <w14:textFill>
            <w14:solidFill>
              <w14:schemeClr w14:val="tx1"/>
            </w14:solidFill>
          </w14:textFill>
        </w:rPr>
      </w:pPr>
      <w:r>
        <w:rPr>
          <w:rFonts w:hint="eastAsia"/>
        </w:rPr>
        <w:t>本项目估算总投资</w:t>
      </w:r>
      <w:r>
        <w:t>137,507.60</w:t>
      </w:r>
      <w:r>
        <w:rPr>
          <w:rFonts w:hint="eastAsia"/>
        </w:rPr>
        <w:t>万元，其中，项目单位自有资金</w:t>
      </w:r>
      <w:r>
        <w:t>128,807.60</w:t>
      </w:r>
      <w:r>
        <w:rPr>
          <w:rFonts w:hint="eastAsia"/>
        </w:rPr>
        <w:t>万元（由政府通过财政资金统筹安排），已发行专项债券7</w:t>
      </w:r>
      <w:r>
        <w:t>,</w:t>
      </w:r>
      <w:r>
        <w:rPr>
          <w:rFonts w:hint="eastAsia"/>
        </w:rPr>
        <w:t>7</w:t>
      </w:r>
      <w:r>
        <w:t>00.00</w:t>
      </w:r>
      <w:r>
        <w:rPr>
          <w:rFonts w:hint="eastAsia"/>
        </w:rPr>
        <w:t>万元，本期调增专项债券1,0</w:t>
      </w:r>
      <w:r>
        <w:t>00.00</w:t>
      </w:r>
      <w:r>
        <w:rPr>
          <w:rFonts w:hint="eastAsia"/>
        </w:rPr>
        <w:t>万元</w:t>
      </w:r>
      <w:r>
        <w:rPr>
          <w:rFonts w:hint="eastAsia"/>
          <w:color w:val="000000" w:themeColor="text1"/>
          <w14:textFill>
            <w14:solidFill>
              <w14:schemeClr w14:val="tx1"/>
            </w14:solidFill>
          </w14:textFill>
        </w:rPr>
        <w:t>。</w:t>
      </w: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表3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项目资金来源情况</w:t>
      </w:r>
    </w:p>
    <w:tbl>
      <w:tblPr>
        <w:tblStyle w:val="18"/>
        <w:tblpPr w:leftFromText="180" w:rightFromText="180" w:vertAnchor="text" w:horzAnchor="margin" w:tblpXSpec="center" w:tblpY="5"/>
        <w:tblW w:w="5000"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2471"/>
        <w:gridCol w:w="1888"/>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tcBorders>
              <w:top w:val="single" w:color="auto" w:sz="8" w:space="0"/>
              <w:bottom w:val="single" w:color="auto" w:sz="8" w:space="0"/>
            </w:tcBorders>
            <w:shd w:val="clear" w:color="auto" w:fill="auto"/>
            <w:vAlign w:val="center"/>
          </w:tcPr>
          <w:p>
            <w:pPr>
              <w:widowControl/>
              <w:jc w:val="center"/>
              <w:rPr>
                <w:rFonts w:hint="eastAsia" w:ascii="宋体" w:hAnsi="宋体" w:cs="仿宋_GB2312"/>
                <w:b/>
                <w:bCs/>
                <w:color w:val="000000" w:themeColor="text1"/>
                <w:kern w:val="0"/>
                <w:szCs w:val="21"/>
                <w14:textFill>
                  <w14:solidFill>
                    <w14:schemeClr w14:val="tx1"/>
                  </w14:solidFill>
                </w14:textFill>
              </w:rPr>
            </w:pPr>
            <w:r>
              <w:rPr>
                <w:rFonts w:hint="eastAsia" w:ascii="宋体" w:hAnsi="宋体" w:cs="仿宋_GB2312"/>
                <w:b/>
                <w:bCs/>
                <w:color w:val="000000" w:themeColor="text1"/>
                <w:kern w:val="0"/>
                <w:szCs w:val="21"/>
                <w14:textFill>
                  <w14:solidFill>
                    <w14:schemeClr w14:val="tx1"/>
                  </w14:solidFill>
                </w14:textFill>
              </w:rPr>
              <w:t>资金来源</w:t>
            </w:r>
          </w:p>
        </w:tc>
        <w:tc>
          <w:tcPr>
            <w:tcW w:w="2410" w:type="dxa"/>
            <w:tcBorders>
              <w:top w:val="single" w:color="auto" w:sz="8" w:space="0"/>
              <w:bottom w:val="single" w:color="auto" w:sz="8" w:space="0"/>
            </w:tcBorders>
            <w:shd w:val="clear" w:color="auto" w:fill="auto"/>
            <w:vAlign w:val="center"/>
          </w:tcPr>
          <w:p>
            <w:pPr>
              <w:widowControl/>
              <w:jc w:val="center"/>
              <w:rPr>
                <w:rFonts w:hint="eastAsia" w:ascii="宋体" w:hAnsi="宋体" w:cs="仿宋_GB2312"/>
                <w:b/>
                <w:bCs/>
                <w:color w:val="000000" w:themeColor="text1"/>
                <w:kern w:val="0"/>
                <w:szCs w:val="21"/>
                <w14:textFill>
                  <w14:solidFill>
                    <w14:schemeClr w14:val="tx1"/>
                  </w14:solidFill>
                </w14:textFill>
              </w:rPr>
            </w:pPr>
            <w:r>
              <w:rPr>
                <w:rFonts w:hint="eastAsia" w:ascii="宋体" w:hAnsi="宋体" w:cs="仿宋_GB2312"/>
                <w:b/>
                <w:bCs/>
                <w:color w:val="000000" w:themeColor="text1"/>
                <w:kern w:val="0"/>
                <w:szCs w:val="21"/>
                <w14:textFill>
                  <w14:solidFill>
                    <w14:schemeClr w14:val="tx1"/>
                  </w14:solidFill>
                </w14:textFill>
              </w:rPr>
              <w:t>金额（万元）</w:t>
            </w:r>
          </w:p>
        </w:tc>
        <w:tc>
          <w:tcPr>
            <w:tcW w:w="1841" w:type="dxa"/>
            <w:tcBorders>
              <w:top w:val="single" w:color="auto" w:sz="8" w:space="0"/>
              <w:bottom w:val="single" w:color="auto" w:sz="8" w:space="0"/>
            </w:tcBorders>
            <w:shd w:val="clear" w:color="auto" w:fill="auto"/>
            <w:vAlign w:val="center"/>
          </w:tcPr>
          <w:p>
            <w:pPr>
              <w:widowControl/>
              <w:jc w:val="center"/>
              <w:rPr>
                <w:rFonts w:hint="eastAsia" w:ascii="宋体" w:hAnsi="宋体" w:cs="仿宋_GB2312"/>
                <w:b/>
                <w:bCs/>
                <w:color w:val="000000" w:themeColor="text1"/>
                <w:kern w:val="0"/>
                <w:szCs w:val="21"/>
                <w14:textFill>
                  <w14:solidFill>
                    <w14:schemeClr w14:val="tx1"/>
                  </w14:solidFill>
                </w14:textFill>
              </w:rPr>
            </w:pPr>
            <w:r>
              <w:rPr>
                <w:rFonts w:hint="eastAsia" w:ascii="宋体" w:hAnsi="宋体" w:cs="仿宋_GB2312"/>
                <w:b/>
                <w:bCs/>
                <w:color w:val="000000" w:themeColor="text1"/>
                <w:kern w:val="0"/>
                <w:szCs w:val="21"/>
                <w14:textFill>
                  <w14:solidFill>
                    <w14:schemeClr w14:val="tx1"/>
                  </w14:solidFill>
                </w14:textFill>
              </w:rPr>
              <w:t>占比</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tcBorders>
              <w:top w:val="single" w:color="auto" w:sz="8" w:space="0"/>
            </w:tcBorders>
            <w:shd w:val="clear" w:color="auto" w:fill="auto"/>
            <w:vAlign w:val="center"/>
          </w:tcPr>
          <w:p>
            <w:pPr>
              <w:widowControl/>
              <w:jc w:val="left"/>
              <w:rPr>
                <w:rFonts w:hint="eastAsia"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一、资本金</w:t>
            </w:r>
          </w:p>
        </w:tc>
        <w:tc>
          <w:tcPr>
            <w:tcW w:w="2410" w:type="dxa"/>
            <w:tcBorders>
              <w:top w:val="single" w:color="auto" w:sz="8" w:space="0"/>
            </w:tcBorders>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szCs w:val="21"/>
              </w:rPr>
              <w:t>128,807.60</w:t>
            </w:r>
          </w:p>
        </w:tc>
        <w:tc>
          <w:tcPr>
            <w:tcW w:w="1841" w:type="dxa"/>
            <w:tcBorders>
              <w:top w:val="single" w:color="auto" w:sz="8" w:space="0"/>
            </w:tcBorders>
            <w:shd w:val="clear" w:color="auto" w:fill="auto"/>
            <w:vAlign w:val="center"/>
          </w:tcPr>
          <w:p>
            <w:pPr>
              <w:widowControl/>
              <w:jc w:val="right"/>
              <w:textAlignment w:val="center"/>
              <w:rPr>
                <w:color w:val="000000" w:themeColor="text1"/>
                <w:kern w:val="0"/>
                <w:szCs w:val="21"/>
                <w14:textFill>
                  <w14:solidFill>
                    <w14:schemeClr w14:val="tx1"/>
                  </w14:solidFill>
                </w14:textFill>
              </w:rPr>
            </w:pPr>
            <w:r>
              <w:rPr>
                <w:color w:val="000000"/>
                <w:szCs w:val="21"/>
              </w:rPr>
              <w:t>93.67%</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shd w:val="clear" w:color="auto" w:fill="auto"/>
            <w:vAlign w:val="center"/>
          </w:tcPr>
          <w:p>
            <w:pPr>
              <w:widowControl/>
              <w:jc w:val="left"/>
              <w:rPr>
                <w:rFonts w:hint="eastAsia"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二、专项债券</w:t>
            </w:r>
          </w:p>
        </w:tc>
        <w:tc>
          <w:tcPr>
            <w:tcW w:w="2410" w:type="dxa"/>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szCs w:val="21"/>
              </w:rPr>
              <w:t>8,700.00</w:t>
            </w:r>
          </w:p>
        </w:tc>
        <w:tc>
          <w:tcPr>
            <w:tcW w:w="1841" w:type="dxa"/>
            <w:shd w:val="clear" w:color="auto" w:fill="auto"/>
            <w:vAlign w:val="center"/>
          </w:tcPr>
          <w:p>
            <w:pPr>
              <w:widowControl/>
              <w:jc w:val="right"/>
              <w:textAlignment w:val="center"/>
              <w:rPr>
                <w:color w:val="000000" w:themeColor="text1"/>
                <w:kern w:val="0"/>
                <w:szCs w:val="21"/>
                <w14:textFill>
                  <w14:solidFill>
                    <w14:schemeClr w14:val="tx1"/>
                  </w14:solidFill>
                </w14:textFill>
              </w:rPr>
            </w:pPr>
            <w:r>
              <w:rPr>
                <w:color w:val="000000"/>
                <w:szCs w:val="21"/>
              </w:rPr>
              <w:t>6.33%</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shd w:val="clear" w:color="auto" w:fill="auto"/>
            <w:vAlign w:val="center"/>
          </w:tcPr>
          <w:p>
            <w:pPr>
              <w:widowControl/>
              <w:ind w:firstLine="420" w:firstLineChars="200"/>
              <w:jc w:val="left"/>
              <w:rPr>
                <w:rFonts w:hint="eastAsia"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（一）已发行专项债券</w:t>
            </w:r>
          </w:p>
        </w:tc>
        <w:tc>
          <w:tcPr>
            <w:tcW w:w="2410" w:type="dxa"/>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szCs w:val="21"/>
              </w:rPr>
              <w:t>7,700.00</w:t>
            </w:r>
          </w:p>
        </w:tc>
        <w:tc>
          <w:tcPr>
            <w:tcW w:w="1841" w:type="dxa"/>
            <w:shd w:val="clear" w:color="auto" w:fill="auto"/>
            <w:vAlign w:val="center"/>
          </w:tcPr>
          <w:p>
            <w:pPr>
              <w:widowControl/>
              <w:jc w:val="right"/>
              <w:textAlignment w:val="center"/>
              <w:rPr>
                <w:color w:val="000000" w:themeColor="text1"/>
                <w:kern w:val="0"/>
                <w:szCs w:val="21"/>
                <w14:textFill>
                  <w14:solidFill>
                    <w14:schemeClr w14:val="tx1"/>
                  </w14:solidFill>
                </w14:textFill>
              </w:rPr>
            </w:pPr>
            <w:r>
              <w:rPr>
                <w:color w:val="000000"/>
                <w:szCs w:val="21"/>
              </w:rPr>
              <w:t>5.60%</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shd w:val="clear" w:color="auto" w:fill="auto"/>
            <w:vAlign w:val="center"/>
          </w:tcPr>
          <w:p>
            <w:pPr>
              <w:widowControl/>
              <w:ind w:firstLine="420" w:firstLineChars="200"/>
              <w:jc w:val="left"/>
              <w:rPr>
                <w:rFonts w:hint="eastAsia"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（二）本次调增专项债券</w:t>
            </w:r>
          </w:p>
        </w:tc>
        <w:tc>
          <w:tcPr>
            <w:tcW w:w="2410" w:type="dxa"/>
            <w:shd w:val="clear" w:color="auto" w:fill="auto"/>
            <w:vAlign w:val="center"/>
          </w:tcPr>
          <w:p>
            <w:pPr>
              <w:widowControl/>
              <w:jc w:val="right"/>
              <w:textAlignment w:val="center"/>
              <w:rPr>
                <w:color w:val="000000" w:themeColor="text1"/>
                <w14:textFill>
                  <w14:solidFill>
                    <w14:schemeClr w14:val="tx1"/>
                  </w14:solidFill>
                </w14:textFill>
              </w:rPr>
            </w:pPr>
            <w:r>
              <w:rPr>
                <w:color w:val="000000"/>
                <w:szCs w:val="21"/>
              </w:rPr>
              <w:t>1,000.00</w:t>
            </w:r>
          </w:p>
        </w:tc>
        <w:tc>
          <w:tcPr>
            <w:tcW w:w="1841" w:type="dxa"/>
            <w:shd w:val="clear" w:color="auto" w:fill="auto"/>
            <w:vAlign w:val="center"/>
          </w:tcPr>
          <w:p>
            <w:pPr>
              <w:widowControl/>
              <w:jc w:val="right"/>
              <w:textAlignment w:val="center"/>
              <w:rPr>
                <w:color w:val="000000" w:themeColor="text1"/>
                <w14:textFill>
                  <w14:solidFill>
                    <w14:schemeClr w14:val="tx1"/>
                  </w14:solidFill>
                </w14:textFill>
              </w:rPr>
            </w:pPr>
            <w:r>
              <w:rPr>
                <w:color w:val="000000"/>
                <w:szCs w:val="21"/>
              </w:rPr>
              <w:t>0.73%</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253" w:type="dxa"/>
            <w:shd w:val="clear" w:color="auto" w:fill="auto"/>
            <w:vAlign w:val="center"/>
          </w:tcPr>
          <w:p>
            <w:pPr>
              <w:widowControl/>
              <w:ind w:firstLine="420" w:firstLineChars="200"/>
              <w:jc w:val="left"/>
              <w:rPr>
                <w:rFonts w:hint="eastAsia" w:ascii="宋体" w:hAnsi="宋体" w:cs="仿宋_GB2312"/>
                <w:color w:val="000000" w:themeColor="text1"/>
                <w:kern w:val="0"/>
                <w:szCs w:val="21"/>
                <w14:textFill>
                  <w14:solidFill>
                    <w14:schemeClr w14:val="tx1"/>
                  </w14:solidFill>
                </w14:textFill>
              </w:rPr>
            </w:pPr>
            <w:r>
              <w:rPr>
                <w:rFonts w:hint="eastAsia" w:ascii="宋体" w:hAnsi="宋体" w:cs="仿宋_GB2312"/>
                <w:color w:val="000000" w:themeColor="text1"/>
                <w:kern w:val="0"/>
                <w:szCs w:val="21"/>
                <w14:textFill>
                  <w14:solidFill>
                    <w14:schemeClr w14:val="tx1"/>
                  </w14:solidFill>
                </w14:textFill>
              </w:rPr>
              <w:t>（三）后续拟发行专项债券</w:t>
            </w:r>
          </w:p>
        </w:tc>
        <w:tc>
          <w:tcPr>
            <w:tcW w:w="2410" w:type="dxa"/>
            <w:shd w:val="clear" w:color="auto" w:fill="auto"/>
            <w:vAlign w:val="center"/>
          </w:tcPr>
          <w:p>
            <w:pPr>
              <w:widowControl/>
              <w:jc w:val="right"/>
              <w:textAlignment w:val="center"/>
              <w:rPr>
                <w:color w:val="000000" w:themeColor="text1"/>
                <w:szCs w:val="21"/>
                <w14:textFill>
                  <w14:solidFill>
                    <w14:schemeClr w14:val="tx1"/>
                  </w14:solidFill>
                </w14:textFill>
              </w:rPr>
            </w:pPr>
          </w:p>
        </w:tc>
        <w:tc>
          <w:tcPr>
            <w:tcW w:w="1841" w:type="dxa"/>
            <w:shd w:val="clear" w:color="auto" w:fill="auto"/>
            <w:vAlign w:val="center"/>
          </w:tcPr>
          <w:p>
            <w:pPr>
              <w:widowControl/>
              <w:jc w:val="right"/>
              <w:textAlignment w:val="center"/>
              <w:rPr>
                <w:color w:val="000000" w:themeColor="text1"/>
                <w:kern w:val="0"/>
                <w:szCs w:val="21"/>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PrEx>
        <w:trPr>
          <w:trHeight w:val="397" w:hRule="exact"/>
        </w:trPr>
        <w:tc>
          <w:tcPr>
            <w:tcW w:w="4253" w:type="dxa"/>
            <w:shd w:val="clear" w:color="auto" w:fill="auto"/>
            <w:vAlign w:val="center"/>
          </w:tcPr>
          <w:p>
            <w:pPr>
              <w:widowControl/>
              <w:jc w:val="left"/>
              <w:rPr>
                <w:rFonts w:hint="eastAsia" w:ascii="宋体" w:hAnsi="宋体" w:cs="仿宋_GB2312"/>
                <w:b/>
                <w:bCs/>
                <w:color w:val="000000" w:themeColor="text1"/>
                <w:kern w:val="0"/>
                <w:szCs w:val="21"/>
                <w14:textFill>
                  <w14:solidFill>
                    <w14:schemeClr w14:val="tx1"/>
                  </w14:solidFill>
                </w14:textFill>
              </w:rPr>
            </w:pPr>
            <w:r>
              <w:rPr>
                <w:rFonts w:hint="eastAsia" w:ascii="宋体" w:hAnsi="宋体" w:cs="仿宋_GB2312"/>
                <w:b/>
                <w:bCs/>
                <w:color w:val="000000" w:themeColor="text1"/>
                <w:kern w:val="0"/>
                <w:szCs w:val="21"/>
                <w14:textFill>
                  <w14:solidFill>
                    <w14:schemeClr w14:val="tx1"/>
                  </w14:solidFill>
                </w14:textFill>
              </w:rPr>
              <w:t>三、合计</w:t>
            </w:r>
          </w:p>
        </w:tc>
        <w:tc>
          <w:tcPr>
            <w:tcW w:w="2410" w:type="dxa"/>
            <w:shd w:val="clear" w:color="auto" w:fill="auto"/>
            <w:vAlign w:val="center"/>
          </w:tcPr>
          <w:p>
            <w:pPr>
              <w:widowControl/>
              <w:jc w:val="right"/>
              <w:textAlignment w:val="center"/>
              <w:rPr>
                <w:color w:val="000000" w:themeColor="text1"/>
                <w:szCs w:val="21"/>
                <w14:textFill>
                  <w14:solidFill>
                    <w14:schemeClr w14:val="tx1"/>
                  </w14:solidFill>
                </w14:textFill>
              </w:rPr>
            </w:pPr>
            <w:r>
              <w:rPr>
                <w:color w:val="000000"/>
                <w:szCs w:val="21"/>
              </w:rPr>
              <w:t>137,507.60</w:t>
            </w:r>
          </w:p>
        </w:tc>
        <w:tc>
          <w:tcPr>
            <w:tcW w:w="1841" w:type="dxa"/>
            <w:shd w:val="clear" w:color="auto" w:fill="auto"/>
            <w:vAlign w:val="center"/>
          </w:tcPr>
          <w:p>
            <w:pPr>
              <w:widowControl/>
              <w:jc w:val="right"/>
              <w:textAlignment w:val="center"/>
              <w:rPr>
                <w:color w:val="000000" w:themeColor="text1"/>
                <w:kern w:val="0"/>
                <w:szCs w:val="21"/>
                <w14:textFill>
                  <w14:solidFill>
                    <w14:schemeClr w14:val="tx1"/>
                  </w14:solidFill>
                </w14:textFill>
              </w:rPr>
            </w:pPr>
            <w:r>
              <w:rPr>
                <w:color w:val="000000"/>
                <w:szCs w:val="21"/>
              </w:rPr>
              <w:t>100.00%</w:t>
            </w:r>
          </w:p>
        </w:tc>
      </w:tr>
    </w:tbl>
    <w:p>
      <w:pPr>
        <w:pStyle w:val="4"/>
        <w:ind w:firstLine="640"/>
      </w:pPr>
      <w:r>
        <w:rPr>
          <w:rFonts w:hint="eastAsia"/>
        </w:rPr>
        <w:t>（三）项目预期现金流入、成本及融资平衡情况</w:t>
      </w:r>
      <w:bookmarkEnd w:id="25"/>
    </w:p>
    <w:p>
      <w:pPr>
        <w:pStyle w:val="3"/>
        <w:ind w:firstLine="640"/>
        <w:rPr>
          <w:color w:val="000000" w:themeColor="text1"/>
          <w14:textFill>
            <w14:solidFill>
              <w14:schemeClr w14:val="tx1"/>
            </w14:solidFill>
          </w14:textFill>
        </w:rPr>
      </w:pPr>
      <w:bookmarkStart w:id="26" w:name="_Toc23747"/>
      <w:r>
        <w:rPr>
          <w:rFonts w:hint="eastAsia"/>
          <w:color w:val="000000" w:themeColor="text1"/>
          <w14:textFill>
            <w14:solidFill>
              <w14:schemeClr w14:val="tx1"/>
            </w14:solidFill>
          </w14:textFill>
        </w:rPr>
        <w:t>1、项目现金流入预测</w:t>
      </w:r>
      <w:bookmarkEnd w:id="26"/>
    </w:p>
    <w:p>
      <w:pPr>
        <w:pStyle w:val="3"/>
        <w:ind w:firstLine="640"/>
        <w:rPr>
          <w:color w:val="000000" w:themeColor="text1"/>
          <w14:textFill>
            <w14:solidFill>
              <w14:schemeClr w14:val="tx1"/>
            </w14:solidFill>
          </w14:textFill>
        </w:rPr>
      </w:pPr>
      <w:bookmarkStart w:id="27" w:name="_Hlk200978099"/>
      <w:r>
        <w:rPr>
          <w:rFonts w:hint="eastAsia"/>
          <w:color w:val="000000" w:themeColor="text1"/>
          <w14:textFill>
            <w14:solidFill>
              <w14:schemeClr w14:val="tx1"/>
            </w14:solidFill>
          </w14:textFill>
        </w:rPr>
        <w:t>本项目预期产生的现金流入主要来源于土地出让收益、路灯广告牌出租收入、公交站广告位出租收入</w:t>
      </w:r>
      <w:bookmarkEnd w:id="27"/>
      <w:r>
        <w:rPr>
          <w:rFonts w:hint="eastAsia"/>
          <w:color w:val="000000" w:themeColor="text1"/>
          <w14:textFill>
            <w14:solidFill>
              <w14:schemeClr w14:val="tx1"/>
            </w14:solidFill>
          </w14:textFill>
        </w:rPr>
        <w:t>。</w:t>
      </w:r>
    </w:p>
    <w:p>
      <w:pPr>
        <w:pStyle w:val="3"/>
        <w:ind w:firstLine="6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（1）土地出让收益</w:t>
      </w: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表4-1  地块基本情况表</w:t>
      </w:r>
    </w:p>
    <w:tbl>
      <w:tblPr>
        <w:tblStyle w:val="18"/>
        <w:tblW w:w="8504" w:type="dxa"/>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418"/>
        <w:gridCol w:w="1701"/>
        <w:gridCol w:w="1905"/>
        <w:gridCol w:w="1779"/>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7" w:hRule="exact"/>
        </w:trPr>
        <w:tc>
          <w:tcPr>
            <w:tcW w:w="1701"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地块编号</w:t>
            </w:r>
          </w:p>
        </w:tc>
        <w:tc>
          <w:tcPr>
            <w:tcW w:w="1418"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面积（亩）</w:t>
            </w:r>
          </w:p>
        </w:tc>
        <w:tc>
          <w:tcPr>
            <w:tcW w:w="1701" w:type="dxa"/>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地面面积（平方米）</w:t>
            </w:r>
          </w:p>
        </w:tc>
        <w:tc>
          <w:tcPr>
            <w:tcW w:w="1905"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土地性质</w:t>
            </w:r>
          </w:p>
        </w:tc>
        <w:tc>
          <w:tcPr>
            <w:tcW w:w="1779"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土地出让年限</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72" w:hRule="exact"/>
        </w:trPr>
        <w:tc>
          <w:tcPr>
            <w:tcW w:w="1701"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K2019-0024M</w:t>
            </w:r>
          </w:p>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K2022-0042M</w:t>
            </w:r>
          </w:p>
        </w:tc>
        <w:tc>
          <w:tcPr>
            <w:tcW w:w="1418"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23</w:t>
            </w:r>
          </w:p>
        </w:tc>
        <w:tc>
          <w:tcPr>
            <w:tcW w:w="1701"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15,333.41</w:t>
            </w:r>
          </w:p>
        </w:tc>
        <w:tc>
          <w:tcPr>
            <w:tcW w:w="1905"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商服用地</w:t>
            </w:r>
          </w:p>
        </w:tc>
        <w:tc>
          <w:tcPr>
            <w:tcW w:w="1779" w:type="dxa"/>
            <w:shd w:val="clear" w:color="auto" w:fill="auto"/>
            <w:noWrap/>
            <w:vAlign w:val="center"/>
          </w:tcPr>
          <w:p>
            <w:pPr>
              <w:widowControl/>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202</w:t>
            </w:r>
            <w:r>
              <w:rPr>
                <w:rFonts w:hint="eastAsia"/>
                <w:color w:val="000000" w:themeColor="text1"/>
                <w:kern w:val="0"/>
                <w:szCs w:val="21"/>
                <w14:textFill>
                  <w14:solidFill>
                    <w14:schemeClr w14:val="tx1"/>
                  </w14:solidFill>
                </w14:textFill>
              </w:rPr>
              <w:t>6</w:t>
            </w:r>
            <w:r>
              <w:rPr>
                <w:color w:val="000000" w:themeColor="text1"/>
                <w:kern w:val="0"/>
                <w:szCs w:val="21"/>
                <w14:textFill>
                  <w14:solidFill>
                    <w14:schemeClr w14:val="tx1"/>
                  </w14:solidFill>
                </w14:textFill>
              </w:rPr>
              <w:t>年</w:t>
            </w:r>
          </w:p>
        </w:tc>
      </w:tr>
    </w:tbl>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经查询周边土地出让信息，2022年该项目周边商服用地出让案例共计3宗，具体成交情况如下：</w:t>
      </w: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表4-2  周边地块情况表</w:t>
      </w:r>
    </w:p>
    <w:tbl>
      <w:tblPr>
        <w:tblStyle w:val="18"/>
        <w:tblW w:w="963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1843"/>
        <w:gridCol w:w="2126"/>
        <w:gridCol w:w="1843"/>
        <w:gridCol w:w="1559"/>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68"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地块位置</w:t>
            </w:r>
          </w:p>
        </w:tc>
        <w:tc>
          <w:tcPr>
            <w:tcW w:w="1843"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占地面积（㎡）</w:t>
            </w:r>
          </w:p>
        </w:tc>
        <w:tc>
          <w:tcPr>
            <w:tcW w:w="2126" w:type="dxa"/>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中标总地价（万元）</w:t>
            </w:r>
          </w:p>
        </w:tc>
        <w:tc>
          <w:tcPr>
            <w:tcW w:w="1843"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出让时间</w:t>
            </w:r>
          </w:p>
        </w:tc>
        <w:tc>
          <w:tcPr>
            <w:tcW w:w="1559"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用途</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68"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海口市江东新区起步区JDQB-C02-09地块</w:t>
            </w:r>
          </w:p>
        </w:tc>
        <w:tc>
          <w:tcPr>
            <w:tcW w:w="1843"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2,441.81</w:t>
            </w:r>
          </w:p>
        </w:tc>
        <w:tc>
          <w:tcPr>
            <w:tcW w:w="2126" w:type="dxa"/>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4,645.68</w:t>
            </w:r>
          </w:p>
        </w:tc>
        <w:tc>
          <w:tcPr>
            <w:tcW w:w="1843"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2022/12/25</w:t>
            </w:r>
          </w:p>
        </w:tc>
        <w:tc>
          <w:tcPr>
            <w:tcW w:w="1559"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商务金融用地</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68"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海口市江东新区JDQB-C02-01~03地块</w:t>
            </w:r>
          </w:p>
        </w:tc>
        <w:tc>
          <w:tcPr>
            <w:tcW w:w="1843"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11,599.94</w:t>
            </w:r>
          </w:p>
        </w:tc>
        <w:tc>
          <w:tcPr>
            <w:tcW w:w="2126" w:type="dxa"/>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19,173.45</w:t>
            </w:r>
          </w:p>
        </w:tc>
        <w:tc>
          <w:tcPr>
            <w:tcW w:w="1843"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2022/10/23</w:t>
            </w:r>
          </w:p>
        </w:tc>
        <w:tc>
          <w:tcPr>
            <w:tcW w:w="1559"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商务金融用地</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268"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海口市江东新区JDQB-C01-01~03地块</w:t>
            </w:r>
          </w:p>
        </w:tc>
        <w:tc>
          <w:tcPr>
            <w:tcW w:w="1843"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11,525.52</w:t>
            </w:r>
          </w:p>
        </w:tc>
        <w:tc>
          <w:tcPr>
            <w:tcW w:w="2126" w:type="dxa"/>
            <w:vAlign w:val="center"/>
          </w:tcPr>
          <w:p>
            <w:pPr>
              <w:widowControl/>
              <w:jc w:val="righ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18,927.21</w:t>
            </w:r>
          </w:p>
        </w:tc>
        <w:tc>
          <w:tcPr>
            <w:tcW w:w="1843"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2022/10/23</w:t>
            </w:r>
          </w:p>
        </w:tc>
        <w:tc>
          <w:tcPr>
            <w:tcW w:w="1559" w:type="dxa"/>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商务金融用地</w:t>
            </w:r>
          </w:p>
        </w:tc>
      </w:tr>
    </w:tbl>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根据周边地块出让情况，出于谨慎考虑使用加权平均单价作为本项目预测单价，详见下表：</w:t>
      </w: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表4-3  土地单价预测表</w:t>
      </w:r>
    </w:p>
    <w:tbl>
      <w:tblPr>
        <w:tblStyle w:val="18"/>
        <w:tblW w:w="9639"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05"/>
        <w:gridCol w:w="2398"/>
        <w:gridCol w:w="2337"/>
        <w:gridCol w:w="2199"/>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05"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地块位置</w:t>
            </w:r>
          </w:p>
        </w:tc>
        <w:tc>
          <w:tcPr>
            <w:tcW w:w="2398"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平均单价（万元/平方米）</w:t>
            </w:r>
          </w:p>
        </w:tc>
        <w:tc>
          <w:tcPr>
            <w:tcW w:w="2337" w:type="dxa"/>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单价权重</w:t>
            </w:r>
          </w:p>
        </w:tc>
        <w:tc>
          <w:tcPr>
            <w:tcW w:w="2199" w:type="dxa"/>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预测平均单价（万元/平方米）</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705"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海口市江东新区起步区JDQB-C02-09地块</w:t>
            </w:r>
          </w:p>
        </w:tc>
        <w:tc>
          <w:tcPr>
            <w:tcW w:w="2398"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szCs w:val="21"/>
              </w:rPr>
              <w:t>1.90</w:t>
            </w:r>
          </w:p>
        </w:tc>
        <w:tc>
          <w:tcPr>
            <w:tcW w:w="2337"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0.33</w:t>
            </w:r>
          </w:p>
        </w:tc>
        <w:tc>
          <w:tcPr>
            <w:tcW w:w="2199" w:type="dxa"/>
            <w:vMerge w:val="restart"/>
            <w:shd w:val="clear" w:color="auto" w:fill="auto"/>
            <w:noWrap/>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1.72</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705"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海口市江东新区JDQB-C02-01~03地块</w:t>
            </w:r>
          </w:p>
        </w:tc>
        <w:tc>
          <w:tcPr>
            <w:tcW w:w="2398"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szCs w:val="21"/>
              </w:rPr>
              <w:t>1.65</w:t>
            </w:r>
          </w:p>
        </w:tc>
        <w:tc>
          <w:tcPr>
            <w:tcW w:w="2337"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0.33</w:t>
            </w:r>
          </w:p>
        </w:tc>
        <w:tc>
          <w:tcPr>
            <w:tcW w:w="2199" w:type="dxa"/>
            <w:vMerge w:val="continue"/>
            <w:shd w:val="clear" w:color="auto" w:fill="auto"/>
            <w:noWrap/>
            <w:vAlign w:val="center"/>
          </w:tcPr>
          <w:p>
            <w:pPr>
              <w:widowControl/>
              <w:jc w:val="center"/>
              <w:rPr>
                <w:color w:val="000000" w:themeColor="text1"/>
                <w:kern w:val="0"/>
                <w:szCs w:val="21"/>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2705" w:type="dxa"/>
            <w:shd w:val="clear" w:color="auto" w:fill="auto"/>
            <w:noWrap/>
            <w:vAlign w:val="center"/>
          </w:tcPr>
          <w:p>
            <w:pPr>
              <w:widowControl/>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海口市江东新区JDQB-C01-01~03地块</w:t>
            </w:r>
          </w:p>
        </w:tc>
        <w:tc>
          <w:tcPr>
            <w:tcW w:w="2398" w:type="dxa"/>
            <w:shd w:val="clear" w:color="auto" w:fill="auto"/>
            <w:noWrap/>
            <w:vAlign w:val="center"/>
          </w:tcPr>
          <w:p>
            <w:pPr>
              <w:widowControl/>
              <w:jc w:val="right"/>
              <w:rPr>
                <w:color w:val="000000" w:themeColor="text1"/>
                <w:kern w:val="0"/>
                <w:szCs w:val="21"/>
                <w14:textFill>
                  <w14:solidFill>
                    <w14:schemeClr w14:val="tx1"/>
                  </w14:solidFill>
                </w14:textFill>
              </w:rPr>
            </w:pPr>
            <w:r>
              <w:rPr>
                <w:rFonts w:hint="eastAsia"/>
                <w:color w:val="000000"/>
                <w:szCs w:val="21"/>
              </w:rPr>
              <w:t>1.64</w:t>
            </w:r>
          </w:p>
        </w:tc>
        <w:tc>
          <w:tcPr>
            <w:tcW w:w="2337" w:type="dxa"/>
            <w:vAlign w:val="center"/>
          </w:tcPr>
          <w:p>
            <w:pPr>
              <w:widowControl/>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0.34</w:t>
            </w:r>
          </w:p>
        </w:tc>
        <w:tc>
          <w:tcPr>
            <w:tcW w:w="2199" w:type="dxa"/>
            <w:vMerge w:val="continue"/>
            <w:shd w:val="clear" w:color="auto" w:fill="auto"/>
            <w:noWrap/>
            <w:vAlign w:val="center"/>
          </w:tcPr>
          <w:p>
            <w:pPr>
              <w:widowControl/>
              <w:jc w:val="center"/>
              <w:rPr>
                <w:color w:val="000000" w:themeColor="text1"/>
                <w:kern w:val="0"/>
                <w:szCs w:val="21"/>
                <w14:textFill>
                  <w14:solidFill>
                    <w14:schemeClr w14:val="tx1"/>
                  </w14:solidFill>
                </w14:textFill>
              </w:rPr>
            </w:pPr>
          </w:p>
        </w:tc>
      </w:tr>
    </w:tbl>
    <w:p>
      <w:pPr>
        <w:pStyle w:val="3"/>
        <w:ind w:firstLine="640"/>
        <w:rPr>
          <w:color w:val="000000" w:themeColor="text1"/>
          <w14:textFill>
            <w14:solidFill>
              <w14:schemeClr w14:val="tx1"/>
            </w14:solidFill>
          </w14:textFill>
        </w:rPr>
      </w:pPr>
      <w:bookmarkStart w:id="28" w:name="_Hlk200978769"/>
      <w:bookmarkStart w:id="29" w:name="_Toc4659"/>
      <w:r>
        <w:rPr>
          <w:rFonts w:hint="eastAsia"/>
          <w:color w:val="000000" w:themeColor="text1"/>
          <w14:textFill>
            <w14:solidFill>
              <w14:schemeClr w14:val="tx1"/>
            </w14:solidFill>
          </w14:textFill>
        </w:rPr>
        <w:t>使用平均单价测算本项目土地出让收入为</w:t>
      </w:r>
      <w:r>
        <w:rPr>
          <w:color w:val="000000" w:themeColor="text1"/>
          <w14:textFill>
            <w14:solidFill>
              <w14:schemeClr w14:val="tx1"/>
            </w14:solidFill>
          </w14:textFill>
        </w:rPr>
        <w:t>26,527.00</w:t>
      </w:r>
      <w:r>
        <w:rPr>
          <w:rFonts w:hint="eastAsia"/>
          <w:color w:val="000000" w:themeColor="text1"/>
          <w14:textFill>
            <w14:solidFill>
              <w14:schemeClr w14:val="tx1"/>
            </w14:solidFill>
          </w14:textFill>
        </w:rPr>
        <w:t>万元，预计使用土地出让收益的80%用于平衡本项目运营及发债还本付息</w:t>
      </w:r>
      <w:bookmarkEnd w:id="28"/>
      <w:r>
        <w:rPr>
          <w:rFonts w:hint="eastAsia"/>
          <w:color w:val="000000" w:themeColor="text1"/>
          <w14:textFill>
            <w14:solidFill>
              <w14:schemeClr w14:val="tx1"/>
            </w14:solidFill>
          </w14:textFill>
        </w:rPr>
        <w:t>。</w:t>
      </w:r>
    </w:p>
    <w:p>
      <w:pPr>
        <w:pStyle w:val="3"/>
        <w:ind w:firstLine="6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bookmarkStart w:id="30" w:name="_Hlk200978137"/>
      <w:r>
        <w:rPr>
          <w:rFonts w:hint="eastAsia"/>
          <w:color w:val="000000" w:themeColor="text1"/>
          <w14:textFill>
            <w14:solidFill>
              <w14:schemeClr w14:val="tx1"/>
            </w14:solidFill>
          </w14:textFill>
        </w:rPr>
        <w:t>路灯广告牌出租收入</w:t>
      </w:r>
      <w:bookmarkEnd w:id="30"/>
    </w:p>
    <w:p>
      <w:pPr>
        <w:pStyle w:val="3"/>
        <w:ind w:firstLine="640"/>
        <w:rPr>
          <w:color w:val="000000" w:themeColor="text1"/>
          <w14:textFill>
            <w14:solidFill>
              <w14:schemeClr w14:val="tx1"/>
            </w14:solidFill>
          </w14:textFill>
        </w:rPr>
      </w:pPr>
      <w:bookmarkStart w:id="31" w:name="_Hlk200978148"/>
      <w:r>
        <w:rPr>
          <w:rFonts w:hint="eastAsia"/>
          <w:color w:val="000000" w:themeColor="text1"/>
          <w14:textFill>
            <w14:solidFill>
              <w14:schemeClr w14:val="tx1"/>
            </w14:solidFill>
          </w14:textFill>
        </w:rPr>
        <w:t>本项目道路两侧广告牌数量按60个计取，参照周边同类型项目及当地物价，广告牌年租金按5万元/个。</w:t>
      </w:r>
      <w:bookmarkEnd w:id="31"/>
    </w:p>
    <w:p>
      <w:pPr>
        <w:pStyle w:val="3"/>
        <w:ind w:firstLine="6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bookmarkStart w:id="32" w:name="_Hlk200978155"/>
      <w:r>
        <w:rPr>
          <w:rFonts w:hint="eastAsia"/>
          <w:color w:val="000000" w:themeColor="text1"/>
          <w14:textFill>
            <w14:solidFill>
              <w14:schemeClr w14:val="tx1"/>
            </w14:solidFill>
          </w14:textFill>
        </w:rPr>
        <w:t>公交站广告位出租收入</w:t>
      </w:r>
      <w:bookmarkEnd w:id="32"/>
    </w:p>
    <w:p>
      <w:pPr>
        <w:pStyle w:val="3"/>
        <w:ind w:firstLine="640"/>
        <w:rPr>
          <w:rFonts w:hint="eastAsia"/>
          <w:color w:val="000000" w:themeColor="text1"/>
          <w14:textFill>
            <w14:solidFill>
              <w14:schemeClr w14:val="tx1"/>
            </w14:solidFill>
          </w14:textFill>
        </w:rPr>
      </w:pPr>
      <w:bookmarkStart w:id="33" w:name="_Hlk200978238"/>
      <w:r>
        <w:rPr>
          <w:rFonts w:hint="eastAsia"/>
          <w:color w:val="000000" w:themeColor="text1"/>
          <w14:textFill>
            <w14:solidFill>
              <w14:schemeClr w14:val="tx1"/>
            </w14:solidFill>
          </w14:textFill>
        </w:rPr>
        <w:t>本项目公交站广告位数量按20个计取，参照周边同类型项目及当地物价，公交站广告位年租金按18万元/个。</w:t>
      </w:r>
      <w:bookmarkEnd w:id="33"/>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2、项目成本预测</w:t>
      </w:r>
      <w:bookmarkEnd w:id="29"/>
    </w:p>
    <w:p>
      <w:pPr>
        <w:pStyle w:val="3"/>
        <w:ind w:firstLine="640"/>
        <w:rPr>
          <w:color w:val="000000" w:themeColor="text1"/>
          <w14:textFill>
            <w14:solidFill>
              <w14:schemeClr w14:val="tx1"/>
            </w14:solidFill>
          </w14:textFill>
        </w:rPr>
      </w:pPr>
      <w:bookmarkStart w:id="34" w:name="_Hlk200978257"/>
      <w:bookmarkStart w:id="35" w:name="_Hlk200651316"/>
      <w:r>
        <w:rPr>
          <w:rFonts w:hint="eastAsia"/>
          <w:color w:val="000000" w:themeColor="text1"/>
          <w14:textFill>
            <w14:solidFill>
              <w14:schemeClr w14:val="tx1"/>
            </w14:solidFill>
          </w14:textFill>
        </w:rPr>
        <w:t>本项目总成本费用包括：土地出让成本、维修养护费、利息支出。</w:t>
      </w:r>
      <w:bookmarkEnd w:id="34"/>
    </w:p>
    <w:p>
      <w:pPr>
        <w:pStyle w:val="3"/>
        <w:ind w:firstLine="640"/>
        <w:rPr>
          <w:color w:val="000000" w:themeColor="text1"/>
          <w14:textFill>
            <w14:solidFill>
              <w14:schemeClr w14:val="tx1"/>
            </w14:solidFill>
          </w14:textFill>
        </w:rPr>
      </w:pPr>
      <w:bookmarkStart w:id="36" w:name="_Toc8183"/>
      <w:r>
        <w:rPr>
          <w:rFonts w:hint="eastAsia"/>
          <w:color w:val="000000" w:themeColor="text1"/>
          <w14:textFill>
            <w14:solidFill>
              <w14:schemeClr w14:val="tx1"/>
            </w14:solidFill>
          </w14:textFill>
        </w:rPr>
        <w:t>（1）土地出让成本</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财政部关于印发&lt;国有土地使用权出让收支管理办法&gt;的通知》(财综〔2006〕68号)等相关文件要求，海口市土地出让收入需计提国有土地收益基金、农业土地开发资金、教育资金以及农田水利建设资金等各项资金，上述各项资金计提比例暂按土地出让总价款的25%计提。</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w:t>
      </w:r>
      <w:bookmarkStart w:id="37" w:name="_Hlk200978301"/>
      <w:r>
        <w:rPr>
          <w:rFonts w:hint="eastAsia"/>
          <w:color w:val="000000" w:themeColor="text1"/>
          <w14:textFill>
            <w14:solidFill>
              <w14:schemeClr w14:val="tx1"/>
            </w14:solidFill>
          </w14:textFill>
        </w:rPr>
        <w:t>维修养护费</w:t>
      </w:r>
      <w:bookmarkEnd w:id="37"/>
    </w:p>
    <w:p>
      <w:pPr>
        <w:pStyle w:val="3"/>
        <w:ind w:firstLine="640"/>
        <w:rPr>
          <w:rFonts w:hint="eastAsia"/>
          <w:color w:val="000000" w:themeColor="text1"/>
          <w14:textFill>
            <w14:solidFill>
              <w14:schemeClr w14:val="tx1"/>
            </w14:solidFill>
          </w14:textFill>
        </w:rPr>
      </w:pPr>
      <w:bookmarkStart w:id="38" w:name="_Hlk200978307"/>
      <w:r>
        <w:rPr>
          <w:rFonts w:hint="eastAsia"/>
          <w:color w:val="000000" w:themeColor="text1"/>
          <w14:textFill>
            <w14:solidFill>
              <w14:schemeClr w14:val="tx1"/>
            </w14:solidFill>
          </w14:textFill>
        </w:rPr>
        <w:t>根据同类型项目历史数据，运营期维修养护费按25万元/年。</w:t>
      </w:r>
    </w:p>
    <w:bookmarkEnd w:id="38"/>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（3）利息支出</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本项目利息支出详见后文应付本息情况的预测。</w:t>
      </w:r>
    </w:p>
    <w:bookmarkEnd w:id="35"/>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3、应付本息情况</w:t>
      </w:r>
      <w:bookmarkEnd w:id="36"/>
    </w:p>
    <w:p>
      <w:pPr>
        <w:pStyle w:val="3"/>
        <w:ind w:firstLine="640"/>
      </w:pPr>
      <w:bookmarkStart w:id="39" w:name="_Hlk200651352"/>
      <w:bookmarkStart w:id="40" w:name="_Toc39820845"/>
      <w:bookmarkStart w:id="41" w:name="_Toc28935659"/>
      <w:r>
        <w:rPr>
          <w:rFonts w:hint="eastAsia"/>
        </w:rPr>
        <w:t>本项目已于2023年6月发行专项债券7,700.00万元，期限10年，利率为2.79%；本次调增专项债券1,000.00万元，债券期限为10年，利率为1.76%，在债券存续期每半年支付债券利息，到期一次性偿还本金。专项债券还本付息情况如下</w:t>
      </w:r>
      <w:bookmarkEnd w:id="39"/>
      <w:r>
        <w:rPr>
          <w:rFonts w:hint="eastAsia"/>
        </w:rPr>
        <w:t>。</w:t>
      </w:r>
    </w:p>
    <w:p>
      <w:pPr>
        <w:pStyle w:val="36"/>
        <w:rPr>
          <w:color w:val="000000" w:themeColor="text1"/>
          <w14:textFill>
            <w14:solidFill>
              <w14:schemeClr w14:val="tx1"/>
            </w14:solidFill>
          </w14:textFill>
        </w:rPr>
      </w:pPr>
      <w:bookmarkStart w:id="42" w:name="_Hlk200651375"/>
      <w:r>
        <w:rPr>
          <w:rFonts w:hint="eastAsia"/>
          <w:color w:val="000000" w:themeColor="text1"/>
          <w14:textFill>
            <w14:solidFill>
              <w14:schemeClr w14:val="tx1"/>
            </w14:solidFill>
          </w14:textFill>
        </w:rPr>
        <w:t>表5-1  本项目专项债券还本付息情况-2023年6月发行（单位：万元）</w:t>
      </w:r>
    </w:p>
    <w:tbl>
      <w:tblPr>
        <w:tblStyle w:val="18"/>
        <w:tblpPr w:leftFromText="180" w:rightFromText="180" w:vertAnchor="text" w:horzAnchor="page" w:tblpXSpec="center" w:tblpY="286"/>
        <w:tblOverlap w:val="never"/>
        <w:tblW w:w="9498" w:type="dxa"/>
        <w:tblInd w:w="0" w:type="dxa"/>
        <w:tblLayout w:type="fixed"/>
        <w:tblCellMar>
          <w:top w:w="0" w:type="dxa"/>
          <w:left w:w="108" w:type="dxa"/>
          <w:bottom w:w="0" w:type="dxa"/>
          <w:right w:w="108" w:type="dxa"/>
        </w:tblCellMar>
      </w:tblPr>
      <w:tblGrid>
        <w:gridCol w:w="1129"/>
        <w:gridCol w:w="1281"/>
        <w:gridCol w:w="1276"/>
        <w:gridCol w:w="1134"/>
        <w:gridCol w:w="1276"/>
        <w:gridCol w:w="992"/>
        <w:gridCol w:w="1134"/>
        <w:gridCol w:w="1276"/>
      </w:tblGrid>
      <w:tr>
        <w:tblPrEx>
          <w:tblCellMar>
            <w:top w:w="0" w:type="dxa"/>
            <w:left w:w="108" w:type="dxa"/>
            <w:bottom w:w="0" w:type="dxa"/>
            <w:right w:w="108" w:type="dxa"/>
          </w:tblCellMar>
        </w:tblPrEx>
        <w:trPr>
          <w:trHeight w:val="560" w:hRule="atLeast"/>
          <w:tblHeader/>
        </w:trPr>
        <w:tc>
          <w:tcPr>
            <w:tcW w:w="1129" w:type="dxa"/>
            <w:tcBorders>
              <w:top w:val="single" w:color="auto" w:sz="8" w:space="0"/>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债券存续期</w:t>
            </w:r>
          </w:p>
        </w:tc>
        <w:tc>
          <w:tcPr>
            <w:tcW w:w="1281"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期初本金余额</w:t>
            </w:r>
          </w:p>
        </w:tc>
        <w:tc>
          <w:tcPr>
            <w:tcW w:w="127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本期增加金额</w:t>
            </w:r>
          </w:p>
        </w:tc>
        <w:tc>
          <w:tcPr>
            <w:tcW w:w="1134"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本期偿还金额</w:t>
            </w:r>
          </w:p>
        </w:tc>
        <w:tc>
          <w:tcPr>
            <w:tcW w:w="127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期末本金余额</w:t>
            </w:r>
          </w:p>
        </w:tc>
        <w:tc>
          <w:tcPr>
            <w:tcW w:w="992"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融资利率</w:t>
            </w:r>
          </w:p>
        </w:tc>
        <w:tc>
          <w:tcPr>
            <w:tcW w:w="1134"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应付利息</w:t>
            </w:r>
          </w:p>
        </w:tc>
        <w:tc>
          <w:tcPr>
            <w:tcW w:w="1276" w:type="dxa"/>
            <w:tcBorders>
              <w:top w:val="single" w:color="auto" w:sz="8" w:space="0"/>
              <w:left w:val="nil"/>
              <w:bottom w:val="single" w:color="auto" w:sz="8"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还本付息合计</w:t>
            </w:r>
          </w:p>
        </w:tc>
      </w:tr>
      <w:tr>
        <w:tblPrEx>
          <w:tblCellMar>
            <w:top w:w="0" w:type="dxa"/>
            <w:left w:w="108" w:type="dxa"/>
            <w:bottom w:w="0" w:type="dxa"/>
            <w:right w:w="108" w:type="dxa"/>
          </w:tblCellMar>
        </w:tblPrEx>
        <w:trPr>
          <w:trHeight w:val="560" w:hRule="atLeast"/>
        </w:trPr>
        <w:tc>
          <w:tcPr>
            <w:tcW w:w="1129" w:type="dxa"/>
            <w:tcBorders>
              <w:top w:val="single" w:color="auto" w:sz="8"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2023年</w:t>
            </w:r>
          </w:p>
        </w:tc>
        <w:tc>
          <w:tcPr>
            <w:tcW w:w="1281"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7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134"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992"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107.42</w:t>
            </w:r>
          </w:p>
        </w:tc>
        <w:tc>
          <w:tcPr>
            <w:tcW w:w="1276" w:type="dxa"/>
            <w:tcBorders>
              <w:top w:val="single" w:color="auto" w:sz="8" w:space="0"/>
              <w:left w:val="nil"/>
              <w:bottom w:val="single" w:color="auto" w:sz="4" w:space="0"/>
            </w:tcBorders>
            <w:shd w:val="clear" w:color="auto" w:fill="auto"/>
            <w:vAlign w:val="center"/>
          </w:tcPr>
          <w:p>
            <w:pPr>
              <w:jc w:val="right"/>
              <w:textAlignment w:val="center"/>
              <w:rPr>
                <w:szCs w:val="21"/>
              </w:rPr>
            </w:pPr>
            <w:r>
              <w:rPr>
                <w:color w:val="000000"/>
                <w:szCs w:val="21"/>
              </w:rPr>
              <w:t>107.42</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2024年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2025年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2026年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2027年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2028年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2029年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2030年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2031年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2032年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2033年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2.79%</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107.42</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7,807.42</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pPr>
            <w:r>
              <w:rPr>
                <w:rFonts w:hint="eastAsia" w:ascii="仿宋" w:hAnsi="仿宋" w:eastAsia="仿宋"/>
                <w:color w:val="000000"/>
                <w:szCs w:val="21"/>
              </w:rPr>
              <w:t>合计</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szCs w:val="21"/>
              </w:rPr>
              <w:t>7,700.00</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2,148.31</w:t>
            </w:r>
          </w:p>
        </w:tc>
        <w:tc>
          <w:tcPr>
            <w:tcW w:w="1276" w:type="dxa"/>
            <w:tcBorders>
              <w:top w:val="single" w:color="auto" w:sz="4" w:space="0"/>
              <w:left w:val="nil"/>
              <w:bottom w:val="single" w:color="auto" w:sz="4" w:space="0"/>
            </w:tcBorders>
            <w:shd w:val="clear" w:color="auto" w:fill="auto"/>
            <w:vAlign w:val="center"/>
          </w:tcPr>
          <w:p>
            <w:pPr>
              <w:jc w:val="right"/>
              <w:textAlignment w:val="center"/>
              <w:rPr>
                <w:color w:val="000000"/>
                <w:szCs w:val="21"/>
              </w:rPr>
            </w:pPr>
            <w:r>
              <w:rPr>
                <w:color w:val="000000"/>
                <w:szCs w:val="21"/>
              </w:rPr>
              <w:t>9,848.31</w:t>
            </w:r>
          </w:p>
        </w:tc>
      </w:tr>
    </w:tbl>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表5-2  本次调整专项债券还本付息情况（单位：万元）</w:t>
      </w:r>
    </w:p>
    <w:tbl>
      <w:tblPr>
        <w:tblStyle w:val="18"/>
        <w:tblpPr w:leftFromText="180" w:rightFromText="180" w:vertAnchor="text" w:horzAnchor="page" w:tblpXSpec="center" w:tblpY="286"/>
        <w:tblOverlap w:val="never"/>
        <w:tblW w:w="9498" w:type="dxa"/>
        <w:tblInd w:w="0" w:type="dxa"/>
        <w:tblLayout w:type="fixed"/>
        <w:tblCellMar>
          <w:top w:w="0" w:type="dxa"/>
          <w:left w:w="108" w:type="dxa"/>
          <w:bottom w:w="0" w:type="dxa"/>
          <w:right w:w="108" w:type="dxa"/>
        </w:tblCellMar>
      </w:tblPr>
      <w:tblGrid>
        <w:gridCol w:w="1129"/>
        <w:gridCol w:w="1281"/>
        <w:gridCol w:w="1276"/>
        <w:gridCol w:w="1134"/>
        <w:gridCol w:w="1276"/>
        <w:gridCol w:w="992"/>
        <w:gridCol w:w="1134"/>
        <w:gridCol w:w="1276"/>
      </w:tblGrid>
      <w:tr>
        <w:tblPrEx>
          <w:tblCellMar>
            <w:top w:w="0" w:type="dxa"/>
            <w:left w:w="108" w:type="dxa"/>
            <w:bottom w:w="0" w:type="dxa"/>
            <w:right w:w="108" w:type="dxa"/>
          </w:tblCellMar>
        </w:tblPrEx>
        <w:trPr>
          <w:trHeight w:val="560" w:hRule="atLeast"/>
          <w:tblHeader/>
        </w:trPr>
        <w:tc>
          <w:tcPr>
            <w:tcW w:w="1129" w:type="dxa"/>
            <w:tcBorders>
              <w:top w:val="single" w:color="auto" w:sz="8" w:space="0"/>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债券存续期</w:t>
            </w:r>
          </w:p>
        </w:tc>
        <w:tc>
          <w:tcPr>
            <w:tcW w:w="1281"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期初本金余额</w:t>
            </w:r>
          </w:p>
        </w:tc>
        <w:tc>
          <w:tcPr>
            <w:tcW w:w="127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本期增加金额</w:t>
            </w:r>
          </w:p>
        </w:tc>
        <w:tc>
          <w:tcPr>
            <w:tcW w:w="1134"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本期偿还金额</w:t>
            </w:r>
          </w:p>
        </w:tc>
        <w:tc>
          <w:tcPr>
            <w:tcW w:w="127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期末本金余额</w:t>
            </w:r>
          </w:p>
        </w:tc>
        <w:tc>
          <w:tcPr>
            <w:tcW w:w="992"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融资利率</w:t>
            </w:r>
          </w:p>
        </w:tc>
        <w:tc>
          <w:tcPr>
            <w:tcW w:w="1134"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应付利息</w:t>
            </w:r>
          </w:p>
        </w:tc>
        <w:tc>
          <w:tcPr>
            <w:tcW w:w="1276" w:type="dxa"/>
            <w:tcBorders>
              <w:top w:val="single" w:color="auto" w:sz="8" w:space="0"/>
              <w:left w:val="nil"/>
              <w:bottom w:val="single" w:color="auto" w:sz="8"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还本付息合计</w:t>
            </w:r>
          </w:p>
        </w:tc>
      </w:tr>
      <w:tr>
        <w:tblPrEx>
          <w:tblCellMar>
            <w:top w:w="0" w:type="dxa"/>
            <w:left w:w="108" w:type="dxa"/>
            <w:bottom w:w="0" w:type="dxa"/>
            <w:right w:w="108" w:type="dxa"/>
          </w:tblCellMar>
        </w:tblPrEx>
        <w:trPr>
          <w:trHeight w:val="560" w:hRule="atLeast"/>
        </w:trPr>
        <w:tc>
          <w:tcPr>
            <w:tcW w:w="1129" w:type="dxa"/>
            <w:tcBorders>
              <w:top w:val="single" w:color="auto" w:sz="8"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2025年</w:t>
            </w:r>
          </w:p>
        </w:tc>
        <w:tc>
          <w:tcPr>
            <w:tcW w:w="1281"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7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134"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8.80</w:t>
            </w:r>
          </w:p>
        </w:tc>
        <w:tc>
          <w:tcPr>
            <w:tcW w:w="1276" w:type="dxa"/>
            <w:tcBorders>
              <w:top w:val="single" w:color="auto" w:sz="8" w:space="0"/>
              <w:left w:val="nil"/>
              <w:bottom w:val="single" w:color="auto" w:sz="4" w:space="0"/>
            </w:tcBorders>
            <w:shd w:val="clear" w:color="auto" w:fill="auto"/>
            <w:vAlign w:val="center"/>
          </w:tcPr>
          <w:p>
            <w:pPr>
              <w:jc w:val="right"/>
              <w:textAlignment w:val="center"/>
              <w:rPr>
                <w:szCs w:val="21"/>
              </w:rPr>
            </w:pPr>
            <w:r>
              <w:rPr>
                <w:color w:val="000000"/>
                <w:szCs w:val="21"/>
              </w:rPr>
              <w:t>8.80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2026年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2027年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2028年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2029年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2030年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2031年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2032年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2033年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2034年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2035年</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8.80</w:t>
            </w:r>
          </w:p>
        </w:tc>
        <w:tc>
          <w:tcPr>
            <w:tcW w:w="1276"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1,008.80</w:t>
            </w:r>
          </w:p>
        </w:tc>
      </w:tr>
      <w:tr>
        <w:tblPrEx>
          <w:tblCellMar>
            <w:top w:w="0" w:type="dxa"/>
            <w:left w:w="108" w:type="dxa"/>
            <w:bottom w:w="0" w:type="dxa"/>
            <w:right w:w="108" w:type="dxa"/>
          </w:tblCellMar>
        </w:tblPrEx>
        <w:trPr>
          <w:trHeight w:val="560" w:hRule="atLeast"/>
        </w:trPr>
        <w:tc>
          <w:tcPr>
            <w:tcW w:w="1129" w:type="dxa"/>
            <w:tcBorders>
              <w:top w:val="single" w:color="auto" w:sz="4" w:space="0"/>
              <w:bottom w:val="single" w:color="auto" w:sz="4" w:space="0"/>
              <w:right w:val="single" w:color="auto" w:sz="4" w:space="0"/>
            </w:tcBorders>
            <w:shd w:val="clear" w:color="auto" w:fill="auto"/>
            <w:vAlign w:val="center"/>
          </w:tcPr>
          <w:p>
            <w:pPr>
              <w:jc w:val="center"/>
              <w:textAlignment w:val="center"/>
              <w:rPr>
                <w:szCs w:val="21"/>
              </w:rPr>
            </w:pPr>
            <w:r>
              <w:rPr>
                <w:rFonts w:hint="eastAsia" w:ascii="仿宋" w:hAnsi="仿宋" w:eastAsia="仿宋"/>
                <w:color w:val="000000"/>
                <w:szCs w:val="21"/>
              </w:rPr>
              <w:t>合计</w:t>
            </w:r>
          </w:p>
        </w:tc>
        <w:tc>
          <w:tcPr>
            <w:tcW w:w="1281"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1,000.00</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p>
        </w:tc>
        <w:tc>
          <w:tcPr>
            <w:tcW w:w="1134"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176.00</w:t>
            </w:r>
          </w:p>
        </w:tc>
        <w:tc>
          <w:tcPr>
            <w:tcW w:w="1276" w:type="dxa"/>
            <w:tcBorders>
              <w:top w:val="single" w:color="auto" w:sz="4" w:space="0"/>
              <w:left w:val="nil"/>
              <w:bottom w:val="single" w:color="auto" w:sz="4" w:space="0"/>
            </w:tcBorders>
            <w:shd w:val="clear" w:color="auto" w:fill="auto"/>
            <w:vAlign w:val="center"/>
          </w:tcPr>
          <w:p>
            <w:pPr>
              <w:jc w:val="right"/>
              <w:textAlignment w:val="center"/>
              <w:rPr>
                <w:color w:val="000000"/>
                <w:szCs w:val="21"/>
              </w:rPr>
            </w:pPr>
            <w:r>
              <w:rPr>
                <w:color w:val="000000"/>
                <w:szCs w:val="21"/>
              </w:rPr>
              <w:t>1,176.00</w:t>
            </w:r>
          </w:p>
        </w:tc>
      </w:tr>
      <w:bookmarkEnd w:id="40"/>
      <w:bookmarkEnd w:id="41"/>
    </w:tbl>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表5</w:t>
      </w:r>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本项目专项债券还本付息情况汇总</w:t>
      </w:r>
    </w:p>
    <w:tbl>
      <w:tblPr>
        <w:tblStyle w:val="18"/>
        <w:tblpPr w:leftFromText="180" w:rightFromText="180" w:vertAnchor="text" w:horzAnchor="page" w:tblpXSpec="center" w:tblpY="286"/>
        <w:tblOverlap w:val="never"/>
        <w:tblW w:w="9497" w:type="dxa"/>
        <w:tblInd w:w="0" w:type="dxa"/>
        <w:tblLayout w:type="fixed"/>
        <w:tblCellMar>
          <w:top w:w="0" w:type="dxa"/>
          <w:left w:w="108" w:type="dxa"/>
          <w:bottom w:w="0" w:type="dxa"/>
          <w:right w:w="108" w:type="dxa"/>
        </w:tblCellMar>
      </w:tblPr>
      <w:tblGrid>
        <w:gridCol w:w="1260"/>
        <w:gridCol w:w="1430"/>
        <w:gridCol w:w="1425"/>
        <w:gridCol w:w="1266"/>
        <w:gridCol w:w="1425"/>
        <w:gridCol w:w="1266"/>
        <w:gridCol w:w="1425"/>
      </w:tblGrid>
      <w:tr>
        <w:tblPrEx>
          <w:tblCellMar>
            <w:top w:w="0" w:type="dxa"/>
            <w:left w:w="108" w:type="dxa"/>
            <w:bottom w:w="0" w:type="dxa"/>
            <w:right w:w="108" w:type="dxa"/>
          </w:tblCellMar>
        </w:tblPrEx>
        <w:trPr>
          <w:trHeight w:val="560" w:hRule="atLeast"/>
          <w:tblHeader/>
        </w:trPr>
        <w:tc>
          <w:tcPr>
            <w:tcW w:w="1260" w:type="dxa"/>
            <w:tcBorders>
              <w:top w:val="single" w:color="auto" w:sz="8" w:space="0"/>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债券存续期</w:t>
            </w:r>
          </w:p>
        </w:tc>
        <w:tc>
          <w:tcPr>
            <w:tcW w:w="1430"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期初本金余额</w:t>
            </w:r>
          </w:p>
        </w:tc>
        <w:tc>
          <w:tcPr>
            <w:tcW w:w="1425"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本期增加金额</w:t>
            </w:r>
          </w:p>
        </w:tc>
        <w:tc>
          <w:tcPr>
            <w:tcW w:w="126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本期偿还金额</w:t>
            </w:r>
          </w:p>
        </w:tc>
        <w:tc>
          <w:tcPr>
            <w:tcW w:w="1425"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期末本金余额</w:t>
            </w:r>
          </w:p>
        </w:tc>
        <w:tc>
          <w:tcPr>
            <w:tcW w:w="1266" w:type="dxa"/>
            <w:tcBorders>
              <w:top w:val="single" w:color="auto" w:sz="8" w:space="0"/>
              <w:left w:val="nil"/>
              <w:bottom w:val="single" w:color="auto" w:sz="8" w:space="0"/>
              <w:right w:val="single" w:color="auto" w:sz="4"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应付利息</w:t>
            </w:r>
          </w:p>
        </w:tc>
        <w:tc>
          <w:tcPr>
            <w:tcW w:w="1425" w:type="dxa"/>
            <w:tcBorders>
              <w:top w:val="single" w:color="auto" w:sz="8" w:space="0"/>
              <w:left w:val="nil"/>
              <w:bottom w:val="single" w:color="auto" w:sz="8" w:space="0"/>
            </w:tcBorders>
            <w:shd w:val="clear" w:color="auto" w:fill="auto"/>
            <w:vAlign w:val="center"/>
          </w:tcPr>
          <w:p>
            <w:pPr>
              <w:jc w:val="center"/>
              <w:textAlignment w:val="center"/>
              <w:rPr>
                <w:rFonts w:hint="eastAsia" w:ascii="宋体" w:hAnsi="宋体" w:cs="仿宋_GB2312"/>
                <w:b/>
                <w:sz w:val="18"/>
                <w:szCs w:val="18"/>
              </w:rPr>
            </w:pPr>
            <w:r>
              <w:rPr>
                <w:rFonts w:hint="eastAsia" w:ascii="宋体" w:hAnsi="宋体" w:cs="仿宋_GB2312"/>
                <w:b/>
                <w:sz w:val="18"/>
                <w:szCs w:val="18"/>
              </w:rPr>
              <w:t>还本付息合计</w:t>
            </w:r>
          </w:p>
        </w:tc>
      </w:tr>
      <w:tr>
        <w:tblPrEx>
          <w:tblCellMar>
            <w:top w:w="0" w:type="dxa"/>
            <w:left w:w="108" w:type="dxa"/>
            <w:bottom w:w="0" w:type="dxa"/>
            <w:right w:w="108" w:type="dxa"/>
          </w:tblCellMar>
        </w:tblPrEx>
        <w:trPr>
          <w:trHeight w:val="560" w:hRule="atLeast"/>
        </w:trPr>
        <w:tc>
          <w:tcPr>
            <w:tcW w:w="1260" w:type="dxa"/>
            <w:tcBorders>
              <w:top w:val="single" w:color="auto" w:sz="8"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2023年</w:t>
            </w:r>
          </w:p>
        </w:tc>
        <w:tc>
          <w:tcPr>
            <w:tcW w:w="1430"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6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266" w:type="dxa"/>
            <w:tcBorders>
              <w:top w:val="single" w:color="auto" w:sz="8"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107.42</w:t>
            </w:r>
          </w:p>
        </w:tc>
        <w:tc>
          <w:tcPr>
            <w:tcW w:w="1425" w:type="dxa"/>
            <w:tcBorders>
              <w:top w:val="single" w:color="auto" w:sz="8" w:space="0"/>
              <w:left w:val="nil"/>
              <w:bottom w:val="single" w:color="auto" w:sz="4" w:space="0"/>
            </w:tcBorders>
            <w:shd w:val="clear" w:color="auto" w:fill="auto"/>
            <w:vAlign w:val="center"/>
          </w:tcPr>
          <w:p>
            <w:pPr>
              <w:jc w:val="right"/>
              <w:textAlignment w:val="center"/>
              <w:rPr>
                <w:szCs w:val="21"/>
              </w:rPr>
            </w:pPr>
            <w:r>
              <w:rPr>
                <w:color w:val="000000"/>
                <w:szCs w:val="21"/>
              </w:rPr>
              <w:t>107.42</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2024年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214.83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214.83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2025年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7,700.00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223.63</w:t>
            </w:r>
          </w:p>
        </w:tc>
        <w:tc>
          <w:tcPr>
            <w:tcW w:w="1425" w:type="dxa"/>
            <w:tcBorders>
              <w:top w:val="single" w:color="auto" w:sz="4" w:space="0"/>
              <w:left w:val="nil"/>
              <w:bottom w:val="single" w:color="auto" w:sz="4" w:space="0"/>
            </w:tcBorders>
            <w:shd w:val="clear" w:color="auto" w:fill="auto"/>
            <w:vAlign w:val="center"/>
          </w:tcPr>
          <w:p>
            <w:pPr>
              <w:jc w:val="right"/>
              <w:textAlignment w:val="center"/>
              <w:rPr>
                <w:color w:val="000000"/>
                <w:szCs w:val="21"/>
              </w:rPr>
            </w:pPr>
            <w:r>
              <w:rPr>
                <w:color w:val="000000"/>
                <w:szCs w:val="21"/>
              </w:rPr>
              <w:t>223.63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2026年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color w:val="000000"/>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2027年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2028年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2029年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2030年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2031年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2032年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232.43</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232.43</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2033年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7,700.00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125.02</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7,825.02</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2034年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17.60</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17.60</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rFonts w:eastAsia="仿宋"/>
                <w:szCs w:val="21"/>
              </w:rPr>
            </w:pPr>
            <w:r>
              <w:rPr>
                <w:rFonts w:hint="eastAsia" w:eastAsia="仿宋"/>
                <w:szCs w:val="21"/>
              </w:rPr>
              <w:t>2035年</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1,000.00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8.80</w:t>
            </w:r>
          </w:p>
        </w:tc>
        <w:tc>
          <w:tcPr>
            <w:tcW w:w="1425" w:type="dxa"/>
            <w:tcBorders>
              <w:top w:val="single" w:color="auto" w:sz="4" w:space="0"/>
              <w:left w:val="nil"/>
              <w:bottom w:val="single" w:color="auto" w:sz="4" w:space="0"/>
            </w:tcBorders>
            <w:shd w:val="clear" w:color="auto" w:fill="auto"/>
            <w:vAlign w:val="center"/>
          </w:tcPr>
          <w:p>
            <w:pPr>
              <w:jc w:val="right"/>
              <w:textAlignment w:val="center"/>
              <w:rPr>
                <w:szCs w:val="21"/>
              </w:rPr>
            </w:pPr>
            <w:r>
              <w:rPr>
                <w:color w:val="000000"/>
                <w:szCs w:val="21"/>
              </w:rPr>
              <w:t>1,008.80</w:t>
            </w:r>
          </w:p>
        </w:tc>
      </w:tr>
      <w:tr>
        <w:tblPrEx>
          <w:tblCellMar>
            <w:top w:w="0" w:type="dxa"/>
            <w:left w:w="108" w:type="dxa"/>
            <w:bottom w:w="0" w:type="dxa"/>
            <w:right w:w="108" w:type="dxa"/>
          </w:tblCellMar>
        </w:tblPrEx>
        <w:trPr>
          <w:trHeight w:val="560" w:hRule="atLeast"/>
        </w:trPr>
        <w:tc>
          <w:tcPr>
            <w:tcW w:w="1260" w:type="dxa"/>
            <w:tcBorders>
              <w:top w:val="single" w:color="auto" w:sz="4" w:space="0"/>
              <w:bottom w:val="single" w:color="auto" w:sz="4" w:space="0"/>
              <w:right w:val="single" w:color="auto" w:sz="4" w:space="0"/>
            </w:tcBorders>
            <w:shd w:val="clear" w:color="auto" w:fill="auto"/>
            <w:vAlign w:val="center"/>
          </w:tcPr>
          <w:p>
            <w:pPr>
              <w:jc w:val="center"/>
              <w:textAlignment w:val="center"/>
              <w:rPr>
                <w:szCs w:val="21"/>
              </w:rPr>
            </w:pPr>
            <w:r>
              <w:rPr>
                <w:rFonts w:hint="eastAsia" w:ascii="仿宋" w:hAnsi="仿宋" w:eastAsia="仿宋"/>
                <w:color w:val="000000"/>
                <w:szCs w:val="21"/>
              </w:rPr>
              <w:t>合计</w:t>
            </w:r>
          </w:p>
        </w:tc>
        <w:tc>
          <w:tcPr>
            <w:tcW w:w="1430"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8,700.00</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8,700.00</w:t>
            </w:r>
          </w:p>
        </w:tc>
        <w:tc>
          <w:tcPr>
            <w:tcW w:w="1425"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szCs w:val="21"/>
              </w:rPr>
            </w:pPr>
            <w:r>
              <w:rPr>
                <w:color w:val="000000"/>
                <w:szCs w:val="21"/>
              </w:rPr>
              <w:t>　</w:t>
            </w:r>
          </w:p>
        </w:tc>
        <w:tc>
          <w:tcPr>
            <w:tcW w:w="1266" w:type="dxa"/>
            <w:tcBorders>
              <w:top w:val="single" w:color="auto" w:sz="4" w:space="0"/>
              <w:left w:val="nil"/>
              <w:bottom w:val="single" w:color="auto" w:sz="4" w:space="0"/>
              <w:right w:val="single" w:color="auto" w:sz="4" w:space="0"/>
            </w:tcBorders>
            <w:shd w:val="clear" w:color="auto" w:fill="auto"/>
            <w:vAlign w:val="center"/>
          </w:tcPr>
          <w:p>
            <w:pPr>
              <w:jc w:val="right"/>
              <w:textAlignment w:val="center"/>
              <w:rPr>
                <w:color w:val="000000"/>
                <w:szCs w:val="21"/>
              </w:rPr>
            </w:pPr>
            <w:r>
              <w:rPr>
                <w:color w:val="000000"/>
                <w:szCs w:val="21"/>
              </w:rPr>
              <w:t>2,324.31</w:t>
            </w:r>
          </w:p>
        </w:tc>
        <w:tc>
          <w:tcPr>
            <w:tcW w:w="1425" w:type="dxa"/>
            <w:tcBorders>
              <w:top w:val="single" w:color="auto" w:sz="4" w:space="0"/>
              <w:left w:val="nil"/>
              <w:bottom w:val="single" w:color="auto" w:sz="4" w:space="0"/>
            </w:tcBorders>
            <w:shd w:val="clear" w:color="auto" w:fill="auto"/>
            <w:vAlign w:val="center"/>
          </w:tcPr>
          <w:p>
            <w:pPr>
              <w:jc w:val="right"/>
              <w:textAlignment w:val="center"/>
              <w:rPr>
                <w:color w:val="000000"/>
                <w:szCs w:val="21"/>
              </w:rPr>
            </w:pPr>
            <w:r>
              <w:rPr>
                <w:color w:val="000000"/>
                <w:szCs w:val="21"/>
              </w:rPr>
              <w:t>11,024.31</w:t>
            </w:r>
          </w:p>
        </w:tc>
      </w:tr>
      <w:bookmarkEnd w:id="42"/>
    </w:tbl>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4、项目资金测算平衡表</w:t>
      </w:r>
    </w:p>
    <w:p>
      <w:pPr>
        <w:pStyle w:val="36"/>
        <w:rPr>
          <w:color w:val="000000" w:themeColor="text1"/>
          <w14:textFill>
            <w14:solidFill>
              <w14:schemeClr w14:val="tx1"/>
            </w14:solidFill>
          </w14:textFill>
        </w:rPr>
      </w:pPr>
      <w:bookmarkStart w:id="43" w:name="_Toc39820847"/>
    </w:p>
    <w:p>
      <w:pPr>
        <w:pStyle w:val="36"/>
        <w:rPr>
          <w:color w:val="000000" w:themeColor="text1"/>
          <w14:textFill>
            <w14:solidFill>
              <w14:schemeClr w14:val="tx1"/>
            </w14:solidFill>
          </w14:textFill>
        </w:rPr>
        <w:sectPr>
          <w:pgSz w:w="11906" w:h="16838"/>
          <w:pgMar w:top="2041" w:right="1701" w:bottom="2041" w:left="1701" w:header="851" w:footer="1361" w:gutter="0"/>
          <w:pgNumType w:start="1"/>
          <w:cols w:space="425" w:num="1"/>
          <w:docGrid w:type="lines" w:linePitch="312" w:charSpace="0"/>
        </w:sectPr>
      </w:pPr>
    </w:p>
    <w:p>
      <w:pPr>
        <w:pStyle w:val="36"/>
        <w:rPr>
          <w:color w:val="000000" w:themeColor="text1"/>
          <w14:textFill>
            <w14:solidFill>
              <w14:schemeClr w14:val="tx1"/>
            </w14:solidFill>
          </w14:textFill>
        </w:rPr>
      </w:pPr>
      <w:bookmarkStart w:id="44" w:name="_Hlk200651401"/>
      <w:r>
        <w:rPr>
          <w:rFonts w:hint="eastAsia"/>
          <w:color w:val="000000" w:themeColor="text1"/>
          <w14:textFill>
            <w14:solidFill>
              <w14:schemeClr w14:val="tx1"/>
            </w14:solidFill>
          </w14:textFill>
        </w:rPr>
        <w:t>表6  项目资金测算平衡表（单位：万元）</w:t>
      </w:r>
    </w:p>
    <w:tbl>
      <w:tblPr>
        <w:tblStyle w:val="19"/>
        <w:tblW w:w="557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1422"/>
        <w:gridCol w:w="1423"/>
        <w:gridCol w:w="1496"/>
        <w:gridCol w:w="1496"/>
        <w:gridCol w:w="1496"/>
        <w:gridCol w:w="1496"/>
        <w:gridCol w:w="1496"/>
        <w:gridCol w:w="148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918" w:type="pct"/>
            <w:tcBorders>
              <w:top w:val="single" w:color="auto" w:sz="8" w:space="0"/>
            </w:tcBorders>
            <w:vAlign w:val="center"/>
          </w:tcPr>
          <w:p>
            <w:pPr>
              <w:jc w:val="center"/>
              <w:rPr>
                <w:rFonts w:hint="eastAsia" w:ascii="黑体" w:hAnsi="黑体" w:eastAsia="黑体" w:cs="仿宋_GB2312"/>
                <w:sz w:val="18"/>
                <w:szCs w:val="18"/>
              </w:rPr>
            </w:pPr>
            <w:bookmarkStart w:id="45" w:name="_Hlk121853032"/>
            <w:r>
              <w:rPr>
                <w:rFonts w:hint="eastAsia" w:ascii="黑体" w:hAnsi="黑体" w:eastAsia="黑体" w:cs="仿宋_GB2312"/>
                <w:sz w:val="18"/>
                <w:szCs w:val="18"/>
              </w:rPr>
              <w:t>项目/年度</w:t>
            </w:r>
          </w:p>
        </w:tc>
        <w:tc>
          <w:tcPr>
            <w:tcW w:w="492" w:type="pct"/>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公式</w:t>
            </w:r>
          </w:p>
        </w:tc>
        <w:tc>
          <w:tcPr>
            <w:tcW w:w="492" w:type="pct"/>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合计</w:t>
            </w:r>
          </w:p>
        </w:tc>
        <w:tc>
          <w:tcPr>
            <w:tcW w:w="517" w:type="pct"/>
            <w:tcBorders>
              <w:top w:val="single" w:color="auto" w:sz="8" w:space="0"/>
            </w:tcBorders>
            <w:vAlign w:val="center"/>
          </w:tcPr>
          <w:p>
            <w:pPr>
              <w:jc w:val="center"/>
              <w:rPr>
                <w:rFonts w:hint="eastAsia" w:ascii="黑体" w:hAnsi="黑体" w:eastAsia="黑体"/>
                <w:sz w:val="18"/>
                <w:szCs w:val="18"/>
              </w:rPr>
            </w:pPr>
            <w:r>
              <w:rPr>
                <w:rFonts w:hint="eastAsia" w:ascii="黑体" w:hAnsi="黑体" w:eastAsia="黑体"/>
                <w:sz w:val="18"/>
                <w:szCs w:val="18"/>
              </w:rPr>
              <w:t>2023年</w:t>
            </w:r>
          </w:p>
        </w:tc>
        <w:tc>
          <w:tcPr>
            <w:tcW w:w="517"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2024年</w:t>
            </w:r>
          </w:p>
        </w:tc>
        <w:tc>
          <w:tcPr>
            <w:tcW w:w="517"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2025年</w:t>
            </w:r>
          </w:p>
        </w:tc>
        <w:tc>
          <w:tcPr>
            <w:tcW w:w="517"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2026年</w:t>
            </w:r>
          </w:p>
        </w:tc>
        <w:tc>
          <w:tcPr>
            <w:tcW w:w="517"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2027年</w:t>
            </w:r>
          </w:p>
        </w:tc>
        <w:tc>
          <w:tcPr>
            <w:tcW w:w="513" w:type="pct"/>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2028年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Borders>
              <w:top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一、经营活动产生的现金</w:t>
            </w:r>
          </w:p>
        </w:tc>
        <w:tc>
          <w:tcPr>
            <w:tcW w:w="492" w:type="pct"/>
            <w:tcBorders>
              <w:top w:val="single" w:color="auto" w:sz="8" w:space="0"/>
            </w:tcBorders>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92" w:type="pct"/>
            <w:tcBorders>
              <w:top w:val="single" w:color="auto" w:sz="8" w:space="0"/>
            </w:tcBorders>
            <w:vAlign w:val="center"/>
          </w:tcPr>
          <w:p>
            <w:pPr>
              <w:jc w:val="right"/>
              <w:rPr>
                <w:szCs w:val="21"/>
              </w:rPr>
            </w:pPr>
          </w:p>
        </w:tc>
        <w:tc>
          <w:tcPr>
            <w:tcW w:w="517" w:type="pct"/>
            <w:tcBorders>
              <w:top w:val="single" w:color="auto" w:sz="8" w:space="0"/>
            </w:tcBorders>
          </w:tcPr>
          <w:p>
            <w:pPr>
              <w:jc w:val="right"/>
              <w:rPr>
                <w:szCs w:val="21"/>
              </w:rPr>
            </w:pPr>
          </w:p>
        </w:tc>
        <w:tc>
          <w:tcPr>
            <w:tcW w:w="517" w:type="pct"/>
            <w:tcBorders>
              <w:top w:val="single" w:color="auto" w:sz="8" w:space="0"/>
            </w:tcBorders>
            <w:vAlign w:val="center"/>
          </w:tcPr>
          <w:p>
            <w:pPr>
              <w:jc w:val="right"/>
              <w:rPr>
                <w:szCs w:val="21"/>
              </w:rPr>
            </w:pPr>
          </w:p>
        </w:tc>
        <w:tc>
          <w:tcPr>
            <w:tcW w:w="517" w:type="pct"/>
            <w:tcBorders>
              <w:top w:val="single" w:color="auto" w:sz="8" w:space="0"/>
            </w:tcBorders>
            <w:vAlign w:val="center"/>
          </w:tcPr>
          <w:p>
            <w:pPr>
              <w:jc w:val="right"/>
              <w:rPr>
                <w:szCs w:val="21"/>
              </w:rPr>
            </w:pPr>
          </w:p>
        </w:tc>
        <w:tc>
          <w:tcPr>
            <w:tcW w:w="517" w:type="pct"/>
            <w:tcBorders>
              <w:top w:val="single" w:color="auto" w:sz="8" w:space="0"/>
            </w:tcBorders>
            <w:shd w:val="clear" w:color="auto" w:fill="auto"/>
            <w:vAlign w:val="center"/>
          </w:tcPr>
          <w:p>
            <w:pPr>
              <w:jc w:val="right"/>
              <w:rPr>
                <w:szCs w:val="21"/>
              </w:rPr>
            </w:pPr>
          </w:p>
        </w:tc>
        <w:tc>
          <w:tcPr>
            <w:tcW w:w="517" w:type="pct"/>
            <w:tcBorders>
              <w:top w:val="single" w:color="auto" w:sz="8" w:space="0"/>
            </w:tcBorders>
            <w:shd w:val="clear" w:color="auto" w:fill="auto"/>
            <w:vAlign w:val="center"/>
          </w:tcPr>
          <w:p>
            <w:pPr>
              <w:jc w:val="right"/>
              <w:rPr>
                <w:szCs w:val="21"/>
              </w:rPr>
            </w:pPr>
          </w:p>
        </w:tc>
        <w:tc>
          <w:tcPr>
            <w:tcW w:w="513" w:type="pct"/>
            <w:tcBorders>
              <w:top w:val="single" w:color="auto" w:sz="8" w:space="0"/>
            </w:tcBorders>
            <w:vAlign w:val="center"/>
          </w:tcPr>
          <w:p>
            <w:pPr>
              <w:jc w:val="right"/>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经营活动收入</w:t>
            </w:r>
          </w:p>
        </w:tc>
        <w:tc>
          <w:tcPr>
            <w:tcW w:w="492" w:type="pct"/>
            <w:vAlign w:val="center"/>
          </w:tcPr>
          <w:p>
            <w:pPr>
              <w:jc w:val="center"/>
              <w:rPr>
                <w:rFonts w:hint="eastAsia" w:ascii="宋体" w:hAnsi="宋体" w:cs="仿宋_GB2312"/>
                <w:sz w:val="18"/>
                <w:szCs w:val="18"/>
              </w:rPr>
            </w:pPr>
            <w:r>
              <w:rPr>
                <w:rFonts w:ascii="宋体" w:hAnsi="宋体" w:cs="仿宋_GB2312"/>
                <w:sz w:val="18"/>
                <w:szCs w:val="18"/>
              </w:rPr>
              <w:t>A</w:t>
            </w:r>
          </w:p>
        </w:tc>
        <w:tc>
          <w:tcPr>
            <w:tcW w:w="492" w:type="pct"/>
            <w:vAlign w:val="center"/>
          </w:tcPr>
          <w:p>
            <w:pPr>
              <w:jc w:val="right"/>
              <w:rPr>
                <w:sz w:val="18"/>
                <w:szCs w:val="18"/>
              </w:rPr>
            </w:pPr>
            <w:r>
              <w:rPr>
                <w:color w:val="000000"/>
                <w:sz w:val="20"/>
              </w:rPr>
              <w:t>27,491.00</w:t>
            </w: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shd w:val="clear" w:color="auto" w:fill="auto"/>
            <w:vAlign w:val="center"/>
          </w:tcPr>
          <w:p>
            <w:pPr>
              <w:jc w:val="right"/>
              <w:rPr>
                <w:sz w:val="18"/>
                <w:szCs w:val="18"/>
              </w:rPr>
            </w:pPr>
            <w:r>
              <w:rPr>
                <w:color w:val="000000"/>
                <w:sz w:val="20"/>
              </w:rPr>
              <w:t>21,551.00</w:t>
            </w:r>
          </w:p>
        </w:tc>
        <w:tc>
          <w:tcPr>
            <w:tcW w:w="517" w:type="pct"/>
            <w:shd w:val="clear" w:color="auto" w:fill="auto"/>
            <w:vAlign w:val="center"/>
          </w:tcPr>
          <w:p>
            <w:pPr>
              <w:jc w:val="right"/>
              <w:rPr>
                <w:sz w:val="18"/>
                <w:szCs w:val="18"/>
              </w:rPr>
            </w:pPr>
            <w:r>
              <w:rPr>
                <w:color w:val="000000"/>
                <w:sz w:val="20"/>
              </w:rPr>
              <w:t>660.00</w:t>
            </w:r>
          </w:p>
        </w:tc>
        <w:tc>
          <w:tcPr>
            <w:tcW w:w="513" w:type="pct"/>
            <w:vAlign w:val="center"/>
          </w:tcPr>
          <w:p>
            <w:pPr>
              <w:jc w:val="right"/>
              <w:rPr>
                <w:sz w:val="18"/>
                <w:szCs w:val="18"/>
              </w:rPr>
            </w:pPr>
            <w:r>
              <w:rPr>
                <w:color w:val="000000"/>
                <w:sz w:val="20"/>
              </w:rPr>
              <w:t>660.00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64"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经营活动支出</w:t>
            </w:r>
          </w:p>
        </w:tc>
        <w:tc>
          <w:tcPr>
            <w:tcW w:w="492" w:type="pct"/>
            <w:vAlign w:val="center"/>
          </w:tcPr>
          <w:p>
            <w:pPr>
              <w:jc w:val="center"/>
              <w:rPr>
                <w:rFonts w:hint="eastAsia" w:ascii="宋体" w:hAnsi="宋体" w:cs="仿宋_GB2312"/>
                <w:sz w:val="18"/>
                <w:szCs w:val="18"/>
              </w:rPr>
            </w:pPr>
            <w:r>
              <w:rPr>
                <w:rFonts w:ascii="宋体" w:hAnsi="宋体" w:cs="仿宋_GB2312"/>
                <w:sz w:val="18"/>
                <w:szCs w:val="18"/>
              </w:rPr>
              <w:t>B</w:t>
            </w:r>
          </w:p>
        </w:tc>
        <w:tc>
          <w:tcPr>
            <w:tcW w:w="492" w:type="pct"/>
            <w:vAlign w:val="center"/>
          </w:tcPr>
          <w:p>
            <w:pPr>
              <w:jc w:val="right"/>
              <w:rPr>
                <w:sz w:val="18"/>
                <w:szCs w:val="18"/>
              </w:rPr>
            </w:pPr>
            <w:r>
              <w:rPr>
                <w:color w:val="000000"/>
                <w:sz w:val="20"/>
              </w:rPr>
              <w:t>6,881.75</w:t>
            </w: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shd w:val="clear" w:color="auto" w:fill="auto"/>
            <w:vAlign w:val="center"/>
          </w:tcPr>
          <w:p>
            <w:pPr>
              <w:jc w:val="right"/>
              <w:rPr>
                <w:sz w:val="18"/>
                <w:szCs w:val="18"/>
              </w:rPr>
            </w:pPr>
            <w:r>
              <w:rPr>
                <w:color w:val="000000"/>
                <w:sz w:val="20"/>
              </w:rPr>
              <w:t>6,656.75</w:t>
            </w:r>
          </w:p>
        </w:tc>
        <w:tc>
          <w:tcPr>
            <w:tcW w:w="517" w:type="pct"/>
            <w:shd w:val="clear" w:color="auto" w:fill="auto"/>
            <w:vAlign w:val="center"/>
          </w:tcPr>
          <w:p>
            <w:pPr>
              <w:jc w:val="right"/>
              <w:rPr>
                <w:sz w:val="18"/>
                <w:szCs w:val="18"/>
              </w:rPr>
            </w:pPr>
            <w:r>
              <w:rPr>
                <w:color w:val="000000"/>
                <w:sz w:val="20"/>
              </w:rPr>
              <w:t>25.00</w:t>
            </w:r>
          </w:p>
        </w:tc>
        <w:tc>
          <w:tcPr>
            <w:tcW w:w="513" w:type="pct"/>
            <w:vAlign w:val="center"/>
          </w:tcPr>
          <w:p>
            <w:pPr>
              <w:jc w:val="right"/>
              <w:rPr>
                <w:sz w:val="18"/>
                <w:szCs w:val="18"/>
              </w:rPr>
            </w:pPr>
            <w:r>
              <w:rPr>
                <w:color w:val="000000"/>
                <w:sz w:val="20"/>
              </w:rPr>
              <w:t>25.00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支付的各项税费</w:t>
            </w:r>
          </w:p>
        </w:tc>
        <w:tc>
          <w:tcPr>
            <w:tcW w:w="492" w:type="pct"/>
            <w:shd w:val="clear" w:color="000000" w:fill="FFFFFF"/>
            <w:vAlign w:val="center"/>
          </w:tcPr>
          <w:p>
            <w:pPr>
              <w:jc w:val="center"/>
              <w:rPr>
                <w:rFonts w:hint="eastAsia" w:ascii="宋体" w:hAnsi="宋体" w:cs="仿宋_GB2312"/>
                <w:sz w:val="18"/>
                <w:szCs w:val="18"/>
              </w:rPr>
            </w:pPr>
            <w:r>
              <w:rPr>
                <w:rFonts w:hint="eastAsia" w:ascii="宋体" w:hAnsi="宋体" w:cs="仿宋_GB2312"/>
                <w:sz w:val="18"/>
                <w:szCs w:val="18"/>
              </w:rPr>
              <w:t>C</w:t>
            </w:r>
          </w:p>
        </w:tc>
        <w:tc>
          <w:tcPr>
            <w:tcW w:w="492" w:type="pct"/>
            <w:shd w:val="clear" w:color="000000" w:fill="FFFFFF"/>
            <w:vAlign w:val="center"/>
          </w:tcPr>
          <w:p>
            <w:pPr>
              <w:jc w:val="right"/>
              <w:rPr>
                <w:sz w:val="18"/>
                <w:szCs w:val="18"/>
              </w:rPr>
            </w:pPr>
          </w:p>
        </w:tc>
        <w:tc>
          <w:tcPr>
            <w:tcW w:w="517" w:type="pct"/>
            <w:shd w:val="clear" w:color="000000" w:fill="FFFFFF"/>
            <w:vAlign w:val="center"/>
          </w:tcPr>
          <w:p>
            <w:pPr>
              <w:jc w:val="right"/>
              <w:rPr>
                <w:sz w:val="18"/>
                <w:szCs w:val="18"/>
              </w:rPr>
            </w:pPr>
            <w:r>
              <w:rPr>
                <w:color w:val="000000"/>
                <w:sz w:val="20"/>
              </w:rPr>
              <w:t>　</w:t>
            </w:r>
          </w:p>
        </w:tc>
        <w:tc>
          <w:tcPr>
            <w:tcW w:w="517" w:type="pct"/>
            <w:shd w:val="clear" w:color="000000" w:fill="FFFFFF"/>
            <w:vAlign w:val="center"/>
          </w:tcPr>
          <w:p>
            <w:pPr>
              <w:jc w:val="right"/>
              <w:rPr>
                <w:sz w:val="18"/>
                <w:szCs w:val="18"/>
              </w:rPr>
            </w:pPr>
            <w:r>
              <w:rPr>
                <w:color w:val="000000"/>
                <w:sz w:val="20"/>
              </w:rPr>
              <w:t>　</w:t>
            </w:r>
          </w:p>
        </w:tc>
        <w:tc>
          <w:tcPr>
            <w:tcW w:w="517" w:type="pct"/>
            <w:shd w:val="clear" w:color="000000" w:fill="FFFFFF"/>
            <w:vAlign w:val="center"/>
          </w:tcPr>
          <w:p>
            <w:pPr>
              <w:jc w:val="right"/>
              <w:rPr>
                <w:sz w:val="18"/>
                <w:szCs w:val="18"/>
              </w:rPr>
            </w:pPr>
            <w:r>
              <w:rPr>
                <w:color w:val="000000"/>
                <w:sz w:val="20"/>
              </w:rPr>
              <w:t>　</w:t>
            </w:r>
          </w:p>
        </w:tc>
        <w:tc>
          <w:tcPr>
            <w:tcW w:w="517" w:type="pct"/>
            <w:shd w:val="clear" w:color="000000" w:fill="FFFFFF"/>
            <w:vAlign w:val="center"/>
          </w:tcPr>
          <w:p>
            <w:pPr>
              <w:jc w:val="right"/>
              <w:rPr>
                <w:sz w:val="18"/>
                <w:szCs w:val="18"/>
              </w:rPr>
            </w:pPr>
            <w:r>
              <w:rPr>
                <w:color w:val="000000"/>
                <w:sz w:val="20"/>
              </w:rPr>
              <w:t>　</w:t>
            </w:r>
          </w:p>
        </w:tc>
        <w:tc>
          <w:tcPr>
            <w:tcW w:w="517" w:type="pct"/>
            <w:shd w:val="clear" w:color="000000" w:fill="FFFFFF"/>
            <w:vAlign w:val="center"/>
          </w:tcPr>
          <w:p>
            <w:pPr>
              <w:jc w:val="right"/>
              <w:rPr>
                <w:sz w:val="18"/>
                <w:szCs w:val="18"/>
              </w:rPr>
            </w:pPr>
            <w:r>
              <w:rPr>
                <w:color w:val="000000"/>
                <w:sz w:val="20"/>
              </w:rPr>
              <w:t>　</w:t>
            </w:r>
          </w:p>
        </w:tc>
        <w:tc>
          <w:tcPr>
            <w:tcW w:w="513" w:type="pct"/>
            <w:shd w:val="clear" w:color="000000" w:fill="FFFFFF"/>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经营活动现金净流量</w:t>
            </w:r>
          </w:p>
        </w:tc>
        <w:tc>
          <w:tcPr>
            <w:tcW w:w="492" w:type="pct"/>
            <w:vAlign w:val="center"/>
          </w:tcPr>
          <w:p>
            <w:pPr>
              <w:jc w:val="center"/>
              <w:rPr>
                <w:rFonts w:hint="eastAsia" w:ascii="宋体" w:hAnsi="宋体" w:cs="仿宋_GB2312"/>
                <w:sz w:val="18"/>
                <w:szCs w:val="18"/>
              </w:rPr>
            </w:pPr>
            <w:r>
              <w:rPr>
                <w:rFonts w:hint="eastAsia" w:ascii="宋体" w:hAnsi="宋体" w:cs="仿宋_GB2312"/>
                <w:sz w:val="18"/>
                <w:szCs w:val="18"/>
              </w:rPr>
              <w:t>D</w:t>
            </w:r>
            <w:r>
              <w:rPr>
                <w:rFonts w:ascii="宋体" w:hAnsi="宋体" w:cs="仿宋_GB2312"/>
                <w:sz w:val="18"/>
                <w:szCs w:val="18"/>
              </w:rPr>
              <w:t>=A-B-C</w:t>
            </w:r>
          </w:p>
        </w:tc>
        <w:tc>
          <w:tcPr>
            <w:tcW w:w="492" w:type="pct"/>
            <w:vAlign w:val="center"/>
          </w:tcPr>
          <w:p>
            <w:pPr>
              <w:jc w:val="right"/>
              <w:rPr>
                <w:sz w:val="18"/>
                <w:szCs w:val="18"/>
              </w:rPr>
            </w:pPr>
            <w:r>
              <w:rPr>
                <w:color w:val="000000"/>
                <w:sz w:val="20"/>
              </w:rPr>
              <w:t>20,609.25</w:t>
            </w: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vAlign w:val="center"/>
          </w:tcPr>
          <w:p>
            <w:pPr>
              <w:jc w:val="right"/>
              <w:rPr>
                <w:sz w:val="18"/>
                <w:szCs w:val="18"/>
              </w:rPr>
            </w:pPr>
          </w:p>
        </w:tc>
        <w:tc>
          <w:tcPr>
            <w:tcW w:w="517" w:type="pct"/>
            <w:shd w:val="clear" w:color="auto" w:fill="auto"/>
            <w:vAlign w:val="center"/>
          </w:tcPr>
          <w:p>
            <w:pPr>
              <w:jc w:val="right"/>
              <w:rPr>
                <w:sz w:val="18"/>
                <w:szCs w:val="18"/>
              </w:rPr>
            </w:pPr>
            <w:r>
              <w:rPr>
                <w:color w:val="000000"/>
                <w:sz w:val="20"/>
              </w:rPr>
              <w:t>14,894.25</w:t>
            </w:r>
          </w:p>
        </w:tc>
        <w:tc>
          <w:tcPr>
            <w:tcW w:w="517" w:type="pct"/>
            <w:shd w:val="clear" w:color="auto" w:fill="auto"/>
            <w:vAlign w:val="center"/>
          </w:tcPr>
          <w:p>
            <w:pPr>
              <w:jc w:val="right"/>
              <w:rPr>
                <w:sz w:val="18"/>
                <w:szCs w:val="18"/>
              </w:rPr>
            </w:pPr>
            <w:r>
              <w:rPr>
                <w:color w:val="000000"/>
                <w:sz w:val="20"/>
              </w:rPr>
              <w:t>635.00</w:t>
            </w:r>
          </w:p>
        </w:tc>
        <w:tc>
          <w:tcPr>
            <w:tcW w:w="513" w:type="pct"/>
            <w:vAlign w:val="center"/>
          </w:tcPr>
          <w:p>
            <w:pPr>
              <w:jc w:val="right"/>
              <w:rPr>
                <w:sz w:val="18"/>
                <w:szCs w:val="18"/>
              </w:rPr>
            </w:pPr>
            <w:r>
              <w:rPr>
                <w:color w:val="000000"/>
                <w:sz w:val="20"/>
              </w:rPr>
              <w:t>635.00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rPr>
                <w:rFonts w:hint="eastAsia" w:ascii="宋体" w:hAnsi="宋体" w:cs="仿宋_GB2312"/>
                <w:sz w:val="18"/>
                <w:szCs w:val="18"/>
              </w:rPr>
            </w:pPr>
            <w:r>
              <w:rPr>
                <w:rFonts w:hint="eastAsia" w:ascii="宋体" w:hAnsi="宋体" w:cs="仿宋_GB2312"/>
                <w:sz w:val="18"/>
                <w:szCs w:val="18"/>
              </w:rPr>
              <w:t>二、投资活动产生的现金</w:t>
            </w:r>
          </w:p>
        </w:tc>
        <w:tc>
          <w:tcPr>
            <w:tcW w:w="492" w:type="pct"/>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492"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shd w:val="clear" w:color="auto" w:fill="auto"/>
            <w:vAlign w:val="center"/>
          </w:tcPr>
          <w:p>
            <w:pPr>
              <w:jc w:val="right"/>
              <w:rPr>
                <w:sz w:val="18"/>
                <w:szCs w:val="18"/>
              </w:rPr>
            </w:pPr>
            <w:r>
              <w:rPr>
                <w:color w:val="000000"/>
                <w:sz w:val="20"/>
              </w:rPr>
              <w:t>　</w:t>
            </w:r>
          </w:p>
        </w:tc>
        <w:tc>
          <w:tcPr>
            <w:tcW w:w="517" w:type="pct"/>
            <w:shd w:val="clear" w:color="auto" w:fill="auto"/>
            <w:vAlign w:val="center"/>
          </w:tcPr>
          <w:p>
            <w:pPr>
              <w:jc w:val="right"/>
              <w:rPr>
                <w:sz w:val="18"/>
                <w:szCs w:val="18"/>
              </w:rPr>
            </w:pPr>
            <w:r>
              <w:rPr>
                <w:color w:val="000000"/>
                <w:sz w:val="20"/>
              </w:rPr>
              <w:t>　</w:t>
            </w:r>
          </w:p>
        </w:tc>
        <w:tc>
          <w:tcPr>
            <w:tcW w:w="513" w:type="pct"/>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建设成本支出</w:t>
            </w:r>
          </w:p>
        </w:tc>
        <w:tc>
          <w:tcPr>
            <w:tcW w:w="492" w:type="pct"/>
            <w:vAlign w:val="center"/>
          </w:tcPr>
          <w:p>
            <w:pPr>
              <w:jc w:val="center"/>
              <w:rPr>
                <w:rFonts w:hint="eastAsia" w:ascii="宋体" w:hAnsi="宋体" w:cs="仿宋_GB2312"/>
                <w:sz w:val="18"/>
                <w:szCs w:val="18"/>
              </w:rPr>
            </w:pPr>
            <w:r>
              <w:rPr>
                <w:rFonts w:hint="eastAsia" w:ascii="宋体" w:hAnsi="宋体" w:cs="仿宋_GB2312"/>
                <w:sz w:val="18"/>
                <w:szCs w:val="18"/>
              </w:rPr>
              <w:t>E</w:t>
            </w:r>
          </w:p>
        </w:tc>
        <w:tc>
          <w:tcPr>
            <w:tcW w:w="492" w:type="pct"/>
            <w:vAlign w:val="center"/>
          </w:tcPr>
          <w:p>
            <w:pPr>
              <w:jc w:val="right"/>
              <w:rPr>
                <w:sz w:val="18"/>
                <w:szCs w:val="18"/>
              </w:rPr>
            </w:pPr>
            <w:r>
              <w:rPr>
                <w:color w:val="000000"/>
                <w:sz w:val="20"/>
              </w:rPr>
              <w:t>136,845.51</w:t>
            </w:r>
          </w:p>
        </w:tc>
        <w:tc>
          <w:tcPr>
            <w:tcW w:w="517" w:type="pct"/>
            <w:vAlign w:val="center"/>
          </w:tcPr>
          <w:p>
            <w:pPr>
              <w:jc w:val="right"/>
              <w:rPr>
                <w:sz w:val="18"/>
                <w:szCs w:val="18"/>
              </w:rPr>
            </w:pPr>
            <w:r>
              <w:rPr>
                <w:color w:val="000000"/>
                <w:sz w:val="20"/>
              </w:rPr>
              <w:t>7,592.58</w:t>
            </w:r>
          </w:p>
        </w:tc>
        <w:tc>
          <w:tcPr>
            <w:tcW w:w="517" w:type="pct"/>
            <w:vAlign w:val="center"/>
          </w:tcPr>
          <w:p>
            <w:pPr>
              <w:jc w:val="right"/>
              <w:rPr>
                <w:sz w:val="18"/>
                <w:szCs w:val="18"/>
              </w:rPr>
            </w:pPr>
            <w:r>
              <w:rPr>
                <w:color w:val="000000"/>
                <w:sz w:val="20"/>
              </w:rPr>
              <w:t>9,785.17</w:t>
            </w:r>
          </w:p>
        </w:tc>
        <w:tc>
          <w:tcPr>
            <w:tcW w:w="517" w:type="pct"/>
            <w:vAlign w:val="center"/>
          </w:tcPr>
          <w:p>
            <w:pPr>
              <w:jc w:val="right"/>
              <w:rPr>
                <w:sz w:val="18"/>
                <w:szCs w:val="18"/>
              </w:rPr>
            </w:pPr>
            <w:r>
              <w:rPr>
                <w:color w:val="000000"/>
                <w:sz w:val="20"/>
              </w:rPr>
              <w:t>53,189.17</w:t>
            </w:r>
          </w:p>
        </w:tc>
        <w:tc>
          <w:tcPr>
            <w:tcW w:w="517" w:type="pct"/>
            <w:shd w:val="clear" w:color="auto" w:fill="auto"/>
            <w:vAlign w:val="center"/>
          </w:tcPr>
          <w:p>
            <w:pPr>
              <w:jc w:val="right"/>
              <w:rPr>
                <w:sz w:val="18"/>
                <w:szCs w:val="18"/>
              </w:rPr>
            </w:pPr>
            <w:r>
              <w:rPr>
                <w:color w:val="000000"/>
                <w:sz w:val="20"/>
              </w:rPr>
              <w:t>66,278.59</w:t>
            </w:r>
          </w:p>
        </w:tc>
        <w:tc>
          <w:tcPr>
            <w:tcW w:w="517" w:type="pct"/>
            <w:shd w:val="clear" w:color="auto" w:fill="auto"/>
            <w:vAlign w:val="center"/>
          </w:tcPr>
          <w:p>
            <w:pPr>
              <w:jc w:val="right"/>
              <w:rPr>
                <w:sz w:val="18"/>
                <w:szCs w:val="18"/>
              </w:rPr>
            </w:pPr>
            <w:r>
              <w:rPr>
                <w:color w:val="000000"/>
                <w:sz w:val="20"/>
              </w:rPr>
              <w:t>　</w:t>
            </w:r>
          </w:p>
        </w:tc>
        <w:tc>
          <w:tcPr>
            <w:tcW w:w="513" w:type="pct"/>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流动资金支出</w:t>
            </w:r>
          </w:p>
        </w:tc>
        <w:tc>
          <w:tcPr>
            <w:tcW w:w="492" w:type="pct"/>
            <w:vAlign w:val="center"/>
          </w:tcPr>
          <w:p>
            <w:pPr>
              <w:jc w:val="center"/>
              <w:rPr>
                <w:rFonts w:hint="eastAsia" w:ascii="宋体" w:hAnsi="宋体" w:cs="仿宋_GB2312"/>
                <w:sz w:val="18"/>
                <w:szCs w:val="18"/>
              </w:rPr>
            </w:pPr>
            <w:r>
              <w:rPr>
                <w:rFonts w:hint="eastAsia" w:ascii="宋体" w:hAnsi="宋体" w:cs="仿宋_GB2312"/>
                <w:sz w:val="18"/>
                <w:szCs w:val="18"/>
              </w:rPr>
              <w:t>F</w:t>
            </w:r>
          </w:p>
        </w:tc>
        <w:tc>
          <w:tcPr>
            <w:tcW w:w="492"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vAlign w:val="center"/>
          </w:tcPr>
          <w:p>
            <w:pPr>
              <w:jc w:val="right"/>
              <w:rPr>
                <w:sz w:val="18"/>
                <w:szCs w:val="18"/>
              </w:rPr>
            </w:pPr>
            <w:r>
              <w:rPr>
                <w:color w:val="000000"/>
                <w:sz w:val="20"/>
              </w:rPr>
              <w:t>　</w:t>
            </w:r>
          </w:p>
        </w:tc>
        <w:tc>
          <w:tcPr>
            <w:tcW w:w="517" w:type="pct"/>
            <w:shd w:val="clear" w:color="auto" w:fill="auto"/>
            <w:vAlign w:val="center"/>
          </w:tcPr>
          <w:p>
            <w:pPr>
              <w:jc w:val="right"/>
              <w:rPr>
                <w:sz w:val="18"/>
                <w:szCs w:val="18"/>
              </w:rPr>
            </w:pPr>
            <w:r>
              <w:rPr>
                <w:color w:val="000000"/>
                <w:sz w:val="20"/>
              </w:rPr>
              <w:t>　</w:t>
            </w:r>
          </w:p>
        </w:tc>
        <w:tc>
          <w:tcPr>
            <w:tcW w:w="517" w:type="pct"/>
            <w:shd w:val="clear" w:color="auto" w:fill="auto"/>
            <w:vAlign w:val="center"/>
          </w:tcPr>
          <w:p>
            <w:pPr>
              <w:jc w:val="right"/>
              <w:rPr>
                <w:sz w:val="18"/>
                <w:szCs w:val="18"/>
              </w:rPr>
            </w:pPr>
            <w:r>
              <w:rPr>
                <w:color w:val="000000"/>
                <w:sz w:val="20"/>
              </w:rPr>
              <w:t>　</w:t>
            </w:r>
          </w:p>
        </w:tc>
        <w:tc>
          <w:tcPr>
            <w:tcW w:w="513" w:type="pct"/>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投资活动现金净流量</w:t>
            </w:r>
          </w:p>
        </w:tc>
        <w:tc>
          <w:tcPr>
            <w:tcW w:w="492" w:type="pct"/>
            <w:vAlign w:val="center"/>
          </w:tcPr>
          <w:p>
            <w:pPr>
              <w:jc w:val="center"/>
              <w:rPr>
                <w:rFonts w:hint="eastAsia" w:ascii="宋体" w:hAnsi="宋体" w:cs="仿宋_GB2312"/>
                <w:sz w:val="18"/>
                <w:szCs w:val="18"/>
              </w:rPr>
            </w:pPr>
            <w:r>
              <w:rPr>
                <w:rFonts w:hint="eastAsia" w:ascii="宋体" w:hAnsi="宋体" w:cs="仿宋_GB2312"/>
                <w:sz w:val="18"/>
                <w:szCs w:val="18"/>
              </w:rPr>
              <w:t>G</w:t>
            </w:r>
            <w:r>
              <w:rPr>
                <w:rFonts w:ascii="宋体" w:hAnsi="宋体" w:cs="仿宋_GB2312"/>
                <w:sz w:val="18"/>
                <w:szCs w:val="18"/>
              </w:rPr>
              <w:t>=-E-F</w:t>
            </w:r>
          </w:p>
        </w:tc>
        <w:tc>
          <w:tcPr>
            <w:tcW w:w="492" w:type="pct"/>
            <w:vAlign w:val="center"/>
          </w:tcPr>
          <w:p>
            <w:pPr>
              <w:jc w:val="right"/>
              <w:rPr>
                <w:sz w:val="18"/>
                <w:szCs w:val="18"/>
              </w:rPr>
            </w:pPr>
            <w:r>
              <w:rPr>
                <w:color w:val="000000"/>
                <w:sz w:val="20"/>
              </w:rPr>
              <w:t>-136,845.51</w:t>
            </w:r>
          </w:p>
        </w:tc>
        <w:tc>
          <w:tcPr>
            <w:tcW w:w="517" w:type="pct"/>
            <w:vAlign w:val="center"/>
          </w:tcPr>
          <w:p>
            <w:pPr>
              <w:jc w:val="right"/>
              <w:rPr>
                <w:sz w:val="18"/>
                <w:szCs w:val="18"/>
              </w:rPr>
            </w:pPr>
            <w:r>
              <w:rPr>
                <w:color w:val="000000"/>
                <w:sz w:val="20"/>
              </w:rPr>
              <w:t>-7,592.58</w:t>
            </w:r>
          </w:p>
        </w:tc>
        <w:tc>
          <w:tcPr>
            <w:tcW w:w="517" w:type="pct"/>
            <w:vAlign w:val="center"/>
          </w:tcPr>
          <w:p>
            <w:pPr>
              <w:jc w:val="right"/>
              <w:rPr>
                <w:sz w:val="18"/>
                <w:szCs w:val="18"/>
              </w:rPr>
            </w:pPr>
            <w:r>
              <w:rPr>
                <w:color w:val="000000"/>
                <w:sz w:val="20"/>
              </w:rPr>
              <w:t>-9,785.17</w:t>
            </w:r>
          </w:p>
        </w:tc>
        <w:tc>
          <w:tcPr>
            <w:tcW w:w="517" w:type="pct"/>
            <w:vAlign w:val="center"/>
          </w:tcPr>
          <w:p>
            <w:pPr>
              <w:jc w:val="right"/>
              <w:rPr>
                <w:sz w:val="18"/>
                <w:szCs w:val="18"/>
              </w:rPr>
            </w:pPr>
            <w:r>
              <w:rPr>
                <w:color w:val="000000"/>
                <w:sz w:val="20"/>
              </w:rPr>
              <w:t>-53,189.17</w:t>
            </w:r>
          </w:p>
        </w:tc>
        <w:tc>
          <w:tcPr>
            <w:tcW w:w="517" w:type="pct"/>
            <w:shd w:val="clear" w:color="auto" w:fill="auto"/>
            <w:vAlign w:val="center"/>
          </w:tcPr>
          <w:p>
            <w:pPr>
              <w:jc w:val="right"/>
              <w:rPr>
                <w:sz w:val="18"/>
                <w:szCs w:val="18"/>
              </w:rPr>
            </w:pPr>
            <w:r>
              <w:rPr>
                <w:color w:val="000000"/>
                <w:sz w:val="20"/>
              </w:rPr>
              <w:t>-66,278.59</w:t>
            </w:r>
          </w:p>
        </w:tc>
        <w:tc>
          <w:tcPr>
            <w:tcW w:w="517" w:type="pct"/>
            <w:shd w:val="clear" w:color="auto" w:fill="auto"/>
            <w:vAlign w:val="center"/>
          </w:tcPr>
          <w:p>
            <w:pPr>
              <w:jc w:val="right"/>
              <w:rPr>
                <w:sz w:val="18"/>
                <w:szCs w:val="18"/>
              </w:rPr>
            </w:pPr>
          </w:p>
        </w:tc>
        <w:tc>
          <w:tcPr>
            <w:tcW w:w="513" w:type="pct"/>
            <w:vAlign w:val="center"/>
          </w:tcPr>
          <w:p>
            <w:pPr>
              <w:jc w:val="right"/>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rPr>
                <w:rFonts w:hint="eastAsia" w:ascii="宋体" w:hAnsi="宋体" w:cs="仿宋_GB2312"/>
                <w:sz w:val="18"/>
                <w:szCs w:val="18"/>
              </w:rPr>
            </w:pPr>
            <w:r>
              <w:rPr>
                <w:rFonts w:hint="eastAsia" w:ascii="宋体" w:hAnsi="宋体" w:cs="仿宋_GB2312"/>
                <w:sz w:val="18"/>
                <w:szCs w:val="18"/>
              </w:rPr>
              <w:t>三、融资活动产生的现金</w:t>
            </w:r>
          </w:p>
        </w:tc>
        <w:tc>
          <w:tcPr>
            <w:tcW w:w="492" w:type="pct"/>
            <w:vAlign w:val="center"/>
          </w:tcPr>
          <w:p>
            <w:pPr>
              <w:jc w:val="center"/>
              <w:rPr>
                <w:rFonts w:hint="eastAsia" w:ascii="宋体" w:hAnsi="宋体" w:cs="仿宋_GB2312"/>
                <w:color w:val="000000"/>
                <w:sz w:val="18"/>
                <w:szCs w:val="18"/>
              </w:rPr>
            </w:pPr>
            <w:r>
              <w:rPr>
                <w:rFonts w:hint="eastAsia" w:ascii="宋体" w:hAnsi="宋体" w:cs="仿宋_GB2312"/>
                <w:sz w:val="18"/>
                <w:szCs w:val="18"/>
              </w:rPr>
              <w:t>—</w:t>
            </w:r>
          </w:p>
        </w:tc>
        <w:tc>
          <w:tcPr>
            <w:tcW w:w="492" w:type="pct"/>
            <w:vAlign w:val="center"/>
          </w:tcPr>
          <w:p>
            <w:pPr>
              <w:jc w:val="right"/>
              <w:rPr>
                <w:color w:val="000000"/>
                <w:sz w:val="18"/>
                <w:szCs w:val="18"/>
              </w:rPr>
            </w:pPr>
            <w:r>
              <w:rPr>
                <w:color w:val="000000"/>
                <w:sz w:val="20"/>
              </w:rPr>
              <w:t>　</w:t>
            </w:r>
          </w:p>
        </w:tc>
        <w:tc>
          <w:tcPr>
            <w:tcW w:w="517" w:type="pct"/>
            <w:vAlign w:val="center"/>
          </w:tcPr>
          <w:p>
            <w:pPr>
              <w:jc w:val="right"/>
              <w:rPr>
                <w:color w:val="000000"/>
                <w:sz w:val="18"/>
                <w:szCs w:val="18"/>
              </w:rPr>
            </w:pPr>
            <w:r>
              <w:rPr>
                <w:color w:val="000000"/>
                <w:sz w:val="20"/>
              </w:rPr>
              <w:t>　</w:t>
            </w:r>
          </w:p>
        </w:tc>
        <w:tc>
          <w:tcPr>
            <w:tcW w:w="517" w:type="pct"/>
            <w:vAlign w:val="center"/>
          </w:tcPr>
          <w:p>
            <w:pPr>
              <w:jc w:val="right"/>
              <w:rPr>
                <w:color w:val="000000"/>
                <w:sz w:val="18"/>
                <w:szCs w:val="18"/>
              </w:rPr>
            </w:pPr>
            <w:r>
              <w:rPr>
                <w:color w:val="000000"/>
                <w:sz w:val="20"/>
              </w:rPr>
              <w:t>　</w:t>
            </w:r>
          </w:p>
        </w:tc>
        <w:tc>
          <w:tcPr>
            <w:tcW w:w="517" w:type="pct"/>
            <w:vAlign w:val="center"/>
          </w:tcPr>
          <w:p>
            <w:pPr>
              <w:jc w:val="right"/>
              <w:rPr>
                <w:color w:val="000000"/>
                <w:sz w:val="18"/>
                <w:szCs w:val="18"/>
              </w:rPr>
            </w:pPr>
            <w:r>
              <w:rPr>
                <w:color w:val="000000"/>
                <w:sz w:val="20"/>
              </w:rPr>
              <w:t>　</w:t>
            </w:r>
          </w:p>
        </w:tc>
        <w:tc>
          <w:tcPr>
            <w:tcW w:w="517" w:type="pct"/>
            <w:shd w:val="clear" w:color="auto" w:fill="auto"/>
            <w:vAlign w:val="center"/>
          </w:tcPr>
          <w:p>
            <w:pPr>
              <w:jc w:val="right"/>
              <w:rPr>
                <w:color w:val="000000"/>
                <w:sz w:val="18"/>
                <w:szCs w:val="18"/>
              </w:rPr>
            </w:pPr>
            <w:r>
              <w:rPr>
                <w:color w:val="000000"/>
                <w:sz w:val="20"/>
              </w:rPr>
              <w:t>　</w:t>
            </w:r>
          </w:p>
        </w:tc>
        <w:tc>
          <w:tcPr>
            <w:tcW w:w="517" w:type="pct"/>
            <w:shd w:val="clear" w:color="auto" w:fill="auto"/>
            <w:vAlign w:val="center"/>
          </w:tcPr>
          <w:p>
            <w:pPr>
              <w:jc w:val="right"/>
              <w:rPr>
                <w:color w:val="000000"/>
                <w:sz w:val="18"/>
                <w:szCs w:val="18"/>
              </w:rPr>
            </w:pPr>
            <w:r>
              <w:rPr>
                <w:color w:val="000000"/>
                <w:sz w:val="20"/>
              </w:rPr>
              <w:t>　</w:t>
            </w:r>
          </w:p>
        </w:tc>
        <w:tc>
          <w:tcPr>
            <w:tcW w:w="513" w:type="pct"/>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资本金（自有资金）</w:t>
            </w:r>
          </w:p>
        </w:tc>
        <w:tc>
          <w:tcPr>
            <w:tcW w:w="492" w:type="pct"/>
            <w:vAlign w:val="center"/>
          </w:tcPr>
          <w:p>
            <w:pPr>
              <w:jc w:val="center"/>
              <w:rPr>
                <w:rFonts w:hint="eastAsia" w:ascii="宋体" w:hAnsi="宋体" w:cs="仿宋_GB2312"/>
                <w:color w:val="000000"/>
                <w:sz w:val="18"/>
                <w:szCs w:val="18"/>
              </w:rPr>
            </w:pPr>
            <w:r>
              <w:rPr>
                <w:rFonts w:hint="eastAsia" w:ascii="宋体" w:hAnsi="宋体" w:cs="仿宋_GB2312"/>
                <w:color w:val="000000"/>
                <w:sz w:val="18"/>
                <w:szCs w:val="18"/>
              </w:rPr>
              <w:t>H</w:t>
            </w:r>
          </w:p>
        </w:tc>
        <w:tc>
          <w:tcPr>
            <w:tcW w:w="492" w:type="pct"/>
            <w:vAlign w:val="center"/>
          </w:tcPr>
          <w:p>
            <w:pPr>
              <w:jc w:val="right"/>
              <w:rPr>
                <w:color w:val="000000"/>
                <w:sz w:val="18"/>
                <w:szCs w:val="18"/>
              </w:rPr>
            </w:pPr>
            <w:r>
              <w:rPr>
                <w:color w:val="000000"/>
                <w:sz w:val="20"/>
              </w:rPr>
              <w:t>128,807.60</w:t>
            </w:r>
          </w:p>
        </w:tc>
        <w:tc>
          <w:tcPr>
            <w:tcW w:w="517" w:type="pct"/>
            <w:vAlign w:val="center"/>
          </w:tcPr>
          <w:p>
            <w:pPr>
              <w:jc w:val="right"/>
              <w:rPr>
                <w:color w:val="000000"/>
                <w:sz w:val="18"/>
                <w:szCs w:val="18"/>
              </w:rPr>
            </w:pPr>
            <w:r>
              <w:rPr>
                <w:color w:val="000000"/>
                <w:sz w:val="20"/>
              </w:rPr>
              <w:t>　</w:t>
            </w:r>
          </w:p>
        </w:tc>
        <w:tc>
          <w:tcPr>
            <w:tcW w:w="517" w:type="pct"/>
            <w:vAlign w:val="center"/>
          </w:tcPr>
          <w:p>
            <w:pPr>
              <w:jc w:val="right"/>
              <w:rPr>
                <w:color w:val="000000"/>
                <w:sz w:val="18"/>
                <w:szCs w:val="18"/>
              </w:rPr>
            </w:pPr>
            <w:r>
              <w:rPr>
                <w:color w:val="000000"/>
                <w:sz w:val="20"/>
              </w:rPr>
              <w:t>10,000.00</w:t>
            </w:r>
          </w:p>
        </w:tc>
        <w:tc>
          <w:tcPr>
            <w:tcW w:w="517" w:type="pct"/>
            <w:vAlign w:val="center"/>
          </w:tcPr>
          <w:p>
            <w:pPr>
              <w:jc w:val="right"/>
              <w:rPr>
                <w:color w:val="000000"/>
                <w:sz w:val="18"/>
                <w:szCs w:val="18"/>
              </w:rPr>
            </w:pPr>
            <w:r>
              <w:rPr>
                <w:color w:val="000000"/>
                <w:sz w:val="20"/>
              </w:rPr>
              <w:t>52,412.80</w:t>
            </w:r>
          </w:p>
        </w:tc>
        <w:tc>
          <w:tcPr>
            <w:tcW w:w="517" w:type="pct"/>
            <w:shd w:val="clear" w:color="auto" w:fill="auto"/>
            <w:vAlign w:val="center"/>
          </w:tcPr>
          <w:p>
            <w:pPr>
              <w:jc w:val="right"/>
              <w:rPr>
                <w:color w:val="000000"/>
                <w:sz w:val="18"/>
                <w:szCs w:val="18"/>
              </w:rPr>
            </w:pPr>
            <w:r>
              <w:rPr>
                <w:color w:val="000000"/>
                <w:sz w:val="20"/>
              </w:rPr>
              <w:t>66,394.80</w:t>
            </w:r>
          </w:p>
        </w:tc>
        <w:tc>
          <w:tcPr>
            <w:tcW w:w="517" w:type="pct"/>
            <w:shd w:val="clear" w:color="auto" w:fill="auto"/>
            <w:vAlign w:val="center"/>
          </w:tcPr>
          <w:p>
            <w:pPr>
              <w:jc w:val="right"/>
              <w:rPr>
                <w:color w:val="000000"/>
                <w:sz w:val="18"/>
                <w:szCs w:val="18"/>
              </w:rPr>
            </w:pPr>
            <w:r>
              <w:rPr>
                <w:color w:val="000000"/>
                <w:sz w:val="20"/>
              </w:rPr>
              <w:t>　</w:t>
            </w:r>
          </w:p>
        </w:tc>
        <w:tc>
          <w:tcPr>
            <w:tcW w:w="513" w:type="pct"/>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专项债券</w:t>
            </w:r>
          </w:p>
        </w:tc>
        <w:tc>
          <w:tcPr>
            <w:tcW w:w="492"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I</w:t>
            </w:r>
          </w:p>
        </w:tc>
        <w:tc>
          <w:tcPr>
            <w:tcW w:w="492" w:type="pct"/>
            <w:vAlign w:val="center"/>
          </w:tcPr>
          <w:p>
            <w:pPr>
              <w:jc w:val="right"/>
              <w:rPr>
                <w:color w:val="000000"/>
                <w:sz w:val="18"/>
                <w:szCs w:val="18"/>
              </w:rPr>
            </w:pPr>
            <w:r>
              <w:rPr>
                <w:color w:val="000000"/>
                <w:sz w:val="20"/>
              </w:rPr>
              <w:t>8,700.00</w:t>
            </w:r>
          </w:p>
        </w:tc>
        <w:tc>
          <w:tcPr>
            <w:tcW w:w="517" w:type="pct"/>
            <w:vAlign w:val="center"/>
          </w:tcPr>
          <w:p>
            <w:pPr>
              <w:jc w:val="right"/>
              <w:rPr>
                <w:color w:val="000000"/>
                <w:sz w:val="18"/>
                <w:szCs w:val="18"/>
              </w:rPr>
            </w:pPr>
            <w:r>
              <w:rPr>
                <w:color w:val="000000"/>
                <w:sz w:val="20"/>
              </w:rPr>
              <w:t>7,700.00</w:t>
            </w:r>
          </w:p>
        </w:tc>
        <w:tc>
          <w:tcPr>
            <w:tcW w:w="517" w:type="pct"/>
            <w:vAlign w:val="center"/>
          </w:tcPr>
          <w:p>
            <w:pPr>
              <w:jc w:val="right"/>
              <w:rPr>
                <w:color w:val="000000"/>
                <w:sz w:val="18"/>
                <w:szCs w:val="18"/>
              </w:rPr>
            </w:pPr>
            <w:r>
              <w:rPr>
                <w:color w:val="000000"/>
                <w:sz w:val="20"/>
              </w:rPr>
              <w:t>　</w:t>
            </w:r>
          </w:p>
        </w:tc>
        <w:tc>
          <w:tcPr>
            <w:tcW w:w="517" w:type="pct"/>
            <w:vAlign w:val="center"/>
          </w:tcPr>
          <w:p>
            <w:pPr>
              <w:jc w:val="right"/>
              <w:rPr>
                <w:color w:val="000000"/>
                <w:sz w:val="18"/>
                <w:szCs w:val="18"/>
              </w:rPr>
            </w:pPr>
            <w:r>
              <w:rPr>
                <w:color w:val="000000"/>
                <w:sz w:val="20"/>
              </w:rPr>
              <w:t>1,000.00</w:t>
            </w:r>
          </w:p>
        </w:tc>
        <w:tc>
          <w:tcPr>
            <w:tcW w:w="517" w:type="pct"/>
            <w:shd w:val="clear" w:color="auto" w:fill="auto"/>
            <w:vAlign w:val="center"/>
          </w:tcPr>
          <w:p>
            <w:pPr>
              <w:jc w:val="right"/>
              <w:rPr>
                <w:color w:val="000000"/>
                <w:sz w:val="18"/>
                <w:szCs w:val="18"/>
              </w:rPr>
            </w:pPr>
            <w:r>
              <w:rPr>
                <w:color w:val="000000"/>
                <w:sz w:val="20"/>
              </w:rPr>
              <w:t>　</w:t>
            </w:r>
          </w:p>
        </w:tc>
        <w:tc>
          <w:tcPr>
            <w:tcW w:w="517" w:type="pct"/>
            <w:shd w:val="clear" w:color="auto" w:fill="auto"/>
            <w:vAlign w:val="center"/>
          </w:tcPr>
          <w:p>
            <w:pPr>
              <w:jc w:val="right"/>
              <w:rPr>
                <w:color w:val="000000"/>
                <w:sz w:val="18"/>
                <w:szCs w:val="18"/>
              </w:rPr>
            </w:pPr>
            <w:r>
              <w:rPr>
                <w:color w:val="000000"/>
                <w:sz w:val="20"/>
              </w:rPr>
              <w:t>　</w:t>
            </w:r>
          </w:p>
        </w:tc>
        <w:tc>
          <w:tcPr>
            <w:tcW w:w="513" w:type="pct"/>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银行借款</w:t>
            </w:r>
          </w:p>
        </w:tc>
        <w:tc>
          <w:tcPr>
            <w:tcW w:w="492"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J</w:t>
            </w:r>
          </w:p>
        </w:tc>
        <w:tc>
          <w:tcPr>
            <w:tcW w:w="492"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3" w:type="pct"/>
            <w:shd w:val="clear" w:color="000000" w:fill="FFFFFF"/>
            <w:vAlign w:val="center"/>
          </w:tcPr>
          <w:p>
            <w:pPr>
              <w:jc w:val="right"/>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偿还债券本金</w:t>
            </w:r>
          </w:p>
        </w:tc>
        <w:tc>
          <w:tcPr>
            <w:tcW w:w="492"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K</w:t>
            </w:r>
          </w:p>
        </w:tc>
        <w:tc>
          <w:tcPr>
            <w:tcW w:w="492" w:type="pct"/>
            <w:shd w:val="clear" w:color="000000" w:fill="FFFFFF"/>
            <w:vAlign w:val="center"/>
          </w:tcPr>
          <w:p>
            <w:pPr>
              <w:jc w:val="right"/>
              <w:rPr>
                <w:color w:val="000000"/>
                <w:sz w:val="18"/>
                <w:szCs w:val="18"/>
              </w:rPr>
            </w:pPr>
            <w:r>
              <w:rPr>
                <w:color w:val="000000"/>
                <w:sz w:val="20"/>
              </w:rPr>
              <w:t>8,700.00</w:t>
            </w: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3" w:type="pct"/>
            <w:shd w:val="clear" w:color="000000" w:fill="FFFFFF"/>
            <w:vAlign w:val="center"/>
          </w:tcPr>
          <w:p>
            <w:pPr>
              <w:jc w:val="right"/>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偿还银行借款本金</w:t>
            </w:r>
          </w:p>
        </w:tc>
        <w:tc>
          <w:tcPr>
            <w:tcW w:w="492"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L</w:t>
            </w:r>
          </w:p>
        </w:tc>
        <w:tc>
          <w:tcPr>
            <w:tcW w:w="492"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3" w:type="pct"/>
            <w:shd w:val="clear" w:color="000000" w:fill="FFFFFF"/>
            <w:vAlign w:val="center"/>
          </w:tcPr>
          <w:p>
            <w:pPr>
              <w:jc w:val="right"/>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支付债券利息</w:t>
            </w:r>
          </w:p>
        </w:tc>
        <w:tc>
          <w:tcPr>
            <w:tcW w:w="492"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M</w:t>
            </w:r>
          </w:p>
        </w:tc>
        <w:tc>
          <w:tcPr>
            <w:tcW w:w="492" w:type="pct"/>
            <w:shd w:val="clear" w:color="000000" w:fill="FFFFFF"/>
            <w:vAlign w:val="center"/>
          </w:tcPr>
          <w:p>
            <w:pPr>
              <w:jc w:val="right"/>
              <w:rPr>
                <w:color w:val="000000"/>
                <w:sz w:val="18"/>
                <w:szCs w:val="18"/>
              </w:rPr>
            </w:pPr>
            <w:r>
              <w:rPr>
                <w:color w:val="000000"/>
                <w:sz w:val="20"/>
              </w:rPr>
              <w:t>2,324.31</w:t>
            </w:r>
          </w:p>
        </w:tc>
        <w:tc>
          <w:tcPr>
            <w:tcW w:w="517" w:type="pct"/>
            <w:shd w:val="clear" w:color="000000" w:fill="FFFFFF"/>
            <w:vAlign w:val="center"/>
          </w:tcPr>
          <w:p>
            <w:pPr>
              <w:jc w:val="right"/>
              <w:rPr>
                <w:color w:val="000000"/>
                <w:sz w:val="18"/>
                <w:szCs w:val="18"/>
              </w:rPr>
            </w:pPr>
            <w:r>
              <w:rPr>
                <w:color w:val="000000"/>
                <w:sz w:val="20"/>
              </w:rPr>
              <w:t>107.42</w:t>
            </w:r>
          </w:p>
        </w:tc>
        <w:tc>
          <w:tcPr>
            <w:tcW w:w="517" w:type="pct"/>
            <w:shd w:val="clear" w:color="000000" w:fill="FFFFFF"/>
            <w:vAlign w:val="center"/>
          </w:tcPr>
          <w:p>
            <w:pPr>
              <w:jc w:val="right"/>
              <w:rPr>
                <w:color w:val="000000"/>
                <w:sz w:val="18"/>
                <w:szCs w:val="18"/>
              </w:rPr>
            </w:pPr>
            <w:r>
              <w:rPr>
                <w:color w:val="000000"/>
                <w:sz w:val="20"/>
              </w:rPr>
              <w:t>214.83</w:t>
            </w:r>
          </w:p>
        </w:tc>
        <w:tc>
          <w:tcPr>
            <w:tcW w:w="517" w:type="pct"/>
            <w:shd w:val="clear" w:color="000000" w:fill="FFFFFF"/>
            <w:vAlign w:val="center"/>
          </w:tcPr>
          <w:p>
            <w:pPr>
              <w:jc w:val="right"/>
              <w:rPr>
                <w:color w:val="000000"/>
                <w:sz w:val="18"/>
                <w:szCs w:val="18"/>
              </w:rPr>
            </w:pPr>
            <w:r>
              <w:rPr>
                <w:color w:val="000000"/>
                <w:sz w:val="20"/>
              </w:rPr>
              <w:t>223.63</w:t>
            </w:r>
          </w:p>
        </w:tc>
        <w:tc>
          <w:tcPr>
            <w:tcW w:w="517" w:type="pct"/>
            <w:shd w:val="clear" w:color="000000" w:fill="FFFFFF"/>
            <w:vAlign w:val="center"/>
          </w:tcPr>
          <w:p>
            <w:pPr>
              <w:jc w:val="right"/>
              <w:rPr>
                <w:color w:val="000000"/>
                <w:sz w:val="18"/>
                <w:szCs w:val="18"/>
              </w:rPr>
            </w:pPr>
            <w:r>
              <w:rPr>
                <w:color w:val="000000"/>
                <w:sz w:val="20"/>
              </w:rPr>
              <w:t>232.43</w:t>
            </w:r>
          </w:p>
        </w:tc>
        <w:tc>
          <w:tcPr>
            <w:tcW w:w="517" w:type="pct"/>
            <w:shd w:val="clear" w:color="000000" w:fill="FFFFFF"/>
            <w:vAlign w:val="center"/>
          </w:tcPr>
          <w:p>
            <w:pPr>
              <w:jc w:val="right"/>
              <w:rPr>
                <w:color w:val="000000"/>
                <w:sz w:val="18"/>
                <w:szCs w:val="18"/>
              </w:rPr>
            </w:pPr>
            <w:r>
              <w:rPr>
                <w:color w:val="000000"/>
                <w:sz w:val="20"/>
              </w:rPr>
              <w:t>232.43</w:t>
            </w:r>
          </w:p>
        </w:tc>
        <w:tc>
          <w:tcPr>
            <w:tcW w:w="513" w:type="pct"/>
            <w:shd w:val="clear" w:color="000000" w:fill="FFFFFF"/>
            <w:vAlign w:val="center"/>
          </w:tcPr>
          <w:p>
            <w:pPr>
              <w:jc w:val="right"/>
              <w:rPr>
                <w:color w:val="000000"/>
                <w:sz w:val="18"/>
                <w:szCs w:val="18"/>
              </w:rPr>
            </w:pPr>
            <w:r>
              <w:rPr>
                <w:color w:val="000000"/>
                <w:sz w:val="20"/>
              </w:rPr>
              <w:t>232.43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Pr>
          <w:p>
            <w:pPr>
              <w:ind w:firstLine="360" w:firstLineChars="200"/>
              <w:rPr>
                <w:rFonts w:hint="eastAsia" w:ascii="宋体" w:hAnsi="宋体" w:cs="仿宋_GB2312"/>
                <w:sz w:val="18"/>
                <w:szCs w:val="18"/>
              </w:rPr>
            </w:pPr>
            <w:r>
              <w:rPr>
                <w:rFonts w:hint="eastAsia" w:ascii="宋体" w:hAnsi="宋体" w:cs="仿宋_GB2312"/>
                <w:sz w:val="18"/>
                <w:szCs w:val="18"/>
              </w:rPr>
              <w:t>支付银行借款利息</w:t>
            </w:r>
          </w:p>
        </w:tc>
        <w:tc>
          <w:tcPr>
            <w:tcW w:w="492" w:type="pct"/>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N</w:t>
            </w:r>
          </w:p>
        </w:tc>
        <w:tc>
          <w:tcPr>
            <w:tcW w:w="492"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7" w:type="pct"/>
            <w:shd w:val="clear" w:color="000000" w:fill="FFFFFF"/>
            <w:vAlign w:val="center"/>
          </w:tcPr>
          <w:p>
            <w:pPr>
              <w:jc w:val="right"/>
              <w:rPr>
                <w:color w:val="000000"/>
                <w:sz w:val="18"/>
                <w:szCs w:val="18"/>
              </w:rPr>
            </w:pPr>
          </w:p>
        </w:tc>
        <w:tc>
          <w:tcPr>
            <w:tcW w:w="513" w:type="pct"/>
            <w:shd w:val="clear" w:color="000000" w:fill="FFFFFF"/>
            <w:vAlign w:val="center"/>
          </w:tcPr>
          <w:p>
            <w:pPr>
              <w:jc w:val="right"/>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融资活动现金净流量</w:t>
            </w:r>
          </w:p>
        </w:tc>
        <w:tc>
          <w:tcPr>
            <w:tcW w:w="492" w:type="pct"/>
          </w:tcPr>
          <w:p>
            <w:pPr>
              <w:jc w:val="center"/>
              <w:rPr>
                <w:rFonts w:hint="eastAsia" w:ascii="宋体" w:hAnsi="宋体" w:cs="仿宋_GB2312"/>
                <w:color w:val="000000"/>
                <w:sz w:val="18"/>
                <w:szCs w:val="18"/>
              </w:rPr>
            </w:pPr>
            <w:r>
              <w:rPr>
                <w:rFonts w:ascii="宋体" w:hAnsi="宋体" w:cs="仿宋_GB2312"/>
                <w:color w:val="000000"/>
                <w:sz w:val="13"/>
                <w:szCs w:val="13"/>
              </w:rPr>
              <w:t>O=H+I+J-K-L-M-N</w:t>
            </w:r>
          </w:p>
        </w:tc>
        <w:tc>
          <w:tcPr>
            <w:tcW w:w="492" w:type="pct"/>
            <w:vAlign w:val="center"/>
          </w:tcPr>
          <w:p>
            <w:pPr>
              <w:jc w:val="right"/>
              <w:rPr>
                <w:color w:val="000000"/>
                <w:sz w:val="18"/>
                <w:szCs w:val="18"/>
              </w:rPr>
            </w:pPr>
            <w:r>
              <w:rPr>
                <w:color w:val="000000"/>
                <w:sz w:val="20"/>
              </w:rPr>
              <w:t>126,483.29</w:t>
            </w:r>
          </w:p>
        </w:tc>
        <w:tc>
          <w:tcPr>
            <w:tcW w:w="517" w:type="pct"/>
            <w:vAlign w:val="center"/>
          </w:tcPr>
          <w:p>
            <w:pPr>
              <w:jc w:val="right"/>
              <w:rPr>
                <w:color w:val="000000"/>
                <w:sz w:val="18"/>
                <w:szCs w:val="18"/>
              </w:rPr>
            </w:pPr>
            <w:r>
              <w:rPr>
                <w:color w:val="000000"/>
                <w:sz w:val="20"/>
              </w:rPr>
              <w:t>7,592.58</w:t>
            </w:r>
          </w:p>
        </w:tc>
        <w:tc>
          <w:tcPr>
            <w:tcW w:w="517" w:type="pct"/>
            <w:vAlign w:val="center"/>
          </w:tcPr>
          <w:p>
            <w:pPr>
              <w:jc w:val="right"/>
              <w:rPr>
                <w:color w:val="000000"/>
                <w:sz w:val="18"/>
                <w:szCs w:val="18"/>
              </w:rPr>
            </w:pPr>
            <w:r>
              <w:rPr>
                <w:color w:val="000000"/>
                <w:sz w:val="20"/>
              </w:rPr>
              <w:t>9,785.17</w:t>
            </w:r>
          </w:p>
        </w:tc>
        <w:tc>
          <w:tcPr>
            <w:tcW w:w="517" w:type="pct"/>
            <w:vAlign w:val="center"/>
          </w:tcPr>
          <w:p>
            <w:pPr>
              <w:jc w:val="right"/>
              <w:rPr>
                <w:color w:val="000000"/>
                <w:sz w:val="18"/>
                <w:szCs w:val="18"/>
              </w:rPr>
            </w:pPr>
            <w:r>
              <w:rPr>
                <w:color w:val="000000"/>
                <w:sz w:val="20"/>
              </w:rPr>
              <w:t>53,189.17</w:t>
            </w:r>
          </w:p>
        </w:tc>
        <w:tc>
          <w:tcPr>
            <w:tcW w:w="517" w:type="pct"/>
            <w:shd w:val="clear" w:color="auto" w:fill="auto"/>
            <w:vAlign w:val="center"/>
          </w:tcPr>
          <w:p>
            <w:pPr>
              <w:jc w:val="right"/>
              <w:rPr>
                <w:color w:val="000000"/>
                <w:sz w:val="18"/>
                <w:szCs w:val="18"/>
              </w:rPr>
            </w:pPr>
            <w:r>
              <w:rPr>
                <w:color w:val="000000"/>
                <w:sz w:val="20"/>
              </w:rPr>
              <w:t>66,162.37</w:t>
            </w:r>
          </w:p>
        </w:tc>
        <w:tc>
          <w:tcPr>
            <w:tcW w:w="517" w:type="pct"/>
            <w:shd w:val="clear" w:color="auto" w:fill="auto"/>
            <w:vAlign w:val="center"/>
          </w:tcPr>
          <w:p>
            <w:pPr>
              <w:jc w:val="right"/>
              <w:rPr>
                <w:color w:val="000000"/>
                <w:sz w:val="18"/>
                <w:szCs w:val="18"/>
              </w:rPr>
            </w:pPr>
            <w:r>
              <w:rPr>
                <w:color w:val="000000"/>
                <w:sz w:val="20"/>
              </w:rPr>
              <w:t>-232.43</w:t>
            </w:r>
          </w:p>
        </w:tc>
        <w:tc>
          <w:tcPr>
            <w:tcW w:w="513" w:type="pct"/>
            <w:vAlign w:val="center"/>
          </w:tcPr>
          <w:p>
            <w:pPr>
              <w:jc w:val="right"/>
              <w:rPr>
                <w:color w:val="000000"/>
                <w:sz w:val="18"/>
                <w:szCs w:val="18"/>
              </w:rPr>
            </w:pPr>
            <w:r>
              <w:rPr>
                <w:color w:val="000000"/>
                <w:sz w:val="20"/>
              </w:rPr>
              <w:t>-232.43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918" w:type="pct"/>
            <w:vAlign w:val="center"/>
          </w:tcPr>
          <w:p>
            <w:pPr>
              <w:rPr>
                <w:rFonts w:hint="eastAsia" w:ascii="宋体" w:hAnsi="宋体" w:cs="仿宋_GB2312"/>
                <w:sz w:val="18"/>
                <w:szCs w:val="18"/>
              </w:rPr>
            </w:pPr>
            <w:r>
              <w:rPr>
                <w:rFonts w:hint="eastAsia" w:ascii="宋体" w:hAnsi="宋体" w:cs="仿宋_GB2312"/>
                <w:sz w:val="18"/>
                <w:szCs w:val="18"/>
              </w:rPr>
              <w:t>四、期初现金</w:t>
            </w:r>
          </w:p>
        </w:tc>
        <w:tc>
          <w:tcPr>
            <w:tcW w:w="492"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P</w:t>
            </w:r>
          </w:p>
        </w:tc>
        <w:tc>
          <w:tcPr>
            <w:tcW w:w="492" w:type="pct"/>
            <w:vAlign w:val="center"/>
          </w:tcPr>
          <w:p>
            <w:pPr>
              <w:jc w:val="right"/>
              <w:rPr>
                <w:color w:val="000000"/>
                <w:sz w:val="18"/>
                <w:szCs w:val="18"/>
              </w:rPr>
            </w:pPr>
          </w:p>
        </w:tc>
        <w:tc>
          <w:tcPr>
            <w:tcW w:w="517" w:type="pct"/>
            <w:vAlign w:val="center"/>
          </w:tcPr>
          <w:p>
            <w:pPr>
              <w:jc w:val="right"/>
              <w:rPr>
                <w:color w:val="000000"/>
                <w:sz w:val="18"/>
                <w:szCs w:val="18"/>
              </w:rPr>
            </w:pPr>
          </w:p>
        </w:tc>
        <w:tc>
          <w:tcPr>
            <w:tcW w:w="517" w:type="pct"/>
            <w:vAlign w:val="center"/>
          </w:tcPr>
          <w:p>
            <w:pPr>
              <w:jc w:val="right"/>
              <w:rPr>
                <w:color w:val="000000"/>
                <w:sz w:val="18"/>
                <w:szCs w:val="18"/>
              </w:rPr>
            </w:pPr>
          </w:p>
        </w:tc>
        <w:tc>
          <w:tcPr>
            <w:tcW w:w="517" w:type="pct"/>
            <w:vAlign w:val="center"/>
          </w:tcPr>
          <w:p>
            <w:pPr>
              <w:jc w:val="right"/>
              <w:rPr>
                <w:color w:val="000000"/>
                <w:sz w:val="18"/>
                <w:szCs w:val="18"/>
              </w:rPr>
            </w:pPr>
          </w:p>
        </w:tc>
        <w:tc>
          <w:tcPr>
            <w:tcW w:w="517" w:type="pct"/>
            <w:shd w:val="clear" w:color="auto" w:fill="auto"/>
            <w:vAlign w:val="center"/>
          </w:tcPr>
          <w:p>
            <w:pPr>
              <w:jc w:val="right"/>
              <w:rPr>
                <w:color w:val="000000"/>
                <w:sz w:val="18"/>
                <w:szCs w:val="18"/>
              </w:rPr>
            </w:pPr>
          </w:p>
        </w:tc>
        <w:tc>
          <w:tcPr>
            <w:tcW w:w="517" w:type="pct"/>
            <w:shd w:val="clear" w:color="auto" w:fill="auto"/>
            <w:vAlign w:val="center"/>
          </w:tcPr>
          <w:p>
            <w:pPr>
              <w:jc w:val="right"/>
              <w:rPr>
                <w:color w:val="000000"/>
                <w:sz w:val="18"/>
                <w:szCs w:val="18"/>
              </w:rPr>
            </w:pPr>
            <w:r>
              <w:rPr>
                <w:color w:val="000000"/>
                <w:sz w:val="20"/>
              </w:rPr>
              <w:t>14,778.04</w:t>
            </w:r>
          </w:p>
        </w:tc>
        <w:tc>
          <w:tcPr>
            <w:tcW w:w="513" w:type="pct"/>
            <w:vAlign w:val="center"/>
          </w:tcPr>
          <w:p>
            <w:pPr>
              <w:jc w:val="right"/>
              <w:rPr>
                <w:color w:val="000000"/>
                <w:sz w:val="18"/>
                <w:szCs w:val="18"/>
              </w:rPr>
            </w:pPr>
            <w:r>
              <w:rPr>
                <w:color w:val="000000"/>
                <w:sz w:val="20"/>
              </w:rPr>
              <w:t>15,180.61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期内现金变动</w:t>
            </w:r>
          </w:p>
        </w:tc>
        <w:tc>
          <w:tcPr>
            <w:tcW w:w="492" w:type="pct"/>
            <w:vAlign w:val="center"/>
          </w:tcPr>
          <w:p>
            <w:pPr>
              <w:jc w:val="center"/>
              <w:rPr>
                <w:rFonts w:hint="eastAsia" w:ascii="宋体" w:hAnsi="宋体" w:cs="仿宋_GB2312"/>
                <w:color w:val="000000"/>
                <w:sz w:val="18"/>
                <w:szCs w:val="18"/>
              </w:rPr>
            </w:pPr>
            <w:r>
              <w:rPr>
                <w:rFonts w:ascii="宋体" w:hAnsi="宋体" w:cs="仿宋_GB2312"/>
                <w:color w:val="000000"/>
                <w:sz w:val="18"/>
                <w:szCs w:val="18"/>
              </w:rPr>
              <w:t>Q=D+G+O</w:t>
            </w:r>
          </w:p>
        </w:tc>
        <w:tc>
          <w:tcPr>
            <w:tcW w:w="492" w:type="pct"/>
            <w:vAlign w:val="center"/>
          </w:tcPr>
          <w:p>
            <w:pPr>
              <w:jc w:val="right"/>
              <w:rPr>
                <w:color w:val="000000"/>
                <w:sz w:val="18"/>
                <w:szCs w:val="18"/>
              </w:rPr>
            </w:pPr>
            <w:r>
              <w:rPr>
                <w:color w:val="000000"/>
                <w:sz w:val="20"/>
              </w:rPr>
              <w:t>10,247.04</w:t>
            </w:r>
          </w:p>
        </w:tc>
        <w:tc>
          <w:tcPr>
            <w:tcW w:w="517" w:type="pct"/>
            <w:vAlign w:val="center"/>
          </w:tcPr>
          <w:p>
            <w:pPr>
              <w:jc w:val="right"/>
              <w:rPr>
                <w:color w:val="000000"/>
                <w:sz w:val="18"/>
                <w:szCs w:val="18"/>
              </w:rPr>
            </w:pPr>
          </w:p>
        </w:tc>
        <w:tc>
          <w:tcPr>
            <w:tcW w:w="517" w:type="pct"/>
            <w:vAlign w:val="center"/>
          </w:tcPr>
          <w:p>
            <w:pPr>
              <w:jc w:val="right"/>
              <w:rPr>
                <w:color w:val="000000"/>
                <w:sz w:val="18"/>
                <w:szCs w:val="18"/>
              </w:rPr>
            </w:pPr>
          </w:p>
        </w:tc>
        <w:tc>
          <w:tcPr>
            <w:tcW w:w="517" w:type="pct"/>
            <w:vAlign w:val="center"/>
          </w:tcPr>
          <w:p>
            <w:pPr>
              <w:jc w:val="right"/>
              <w:rPr>
                <w:color w:val="000000"/>
                <w:sz w:val="18"/>
                <w:szCs w:val="18"/>
              </w:rPr>
            </w:pPr>
          </w:p>
        </w:tc>
        <w:tc>
          <w:tcPr>
            <w:tcW w:w="517" w:type="pct"/>
            <w:shd w:val="clear" w:color="auto" w:fill="auto"/>
            <w:vAlign w:val="center"/>
          </w:tcPr>
          <w:p>
            <w:pPr>
              <w:jc w:val="right"/>
              <w:rPr>
                <w:color w:val="000000"/>
                <w:sz w:val="18"/>
                <w:szCs w:val="18"/>
              </w:rPr>
            </w:pPr>
            <w:r>
              <w:rPr>
                <w:color w:val="000000"/>
                <w:sz w:val="20"/>
              </w:rPr>
              <w:t>14,778.04</w:t>
            </w:r>
          </w:p>
        </w:tc>
        <w:tc>
          <w:tcPr>
            <w:tcW w:w="517" w:type="pct"/>
            <w:shd w:val="clear" w:color="auto" w:fill="auto"/>
            <w:vAlign w:val="center"/>
          </w:tcPr>
          <w:p>
            <w:pPr>
              <w:jc w:val="right"/>
              <w:rPr>
                <w:color w:val="000000"/>
                <w:sz w:val="18"/>
                <w:szCs w:val="18"/>
              </w:rPr>
            </w:pPr>
            <w:r>
              <w:rPr>
                <w:color w:val="000000"/>
                <w:sz w:val="20"/>
              </w:rPr>
              <w:t>402.57</w:t>
            </w:r>
          </w:p>
        </w:tc>
        <w:tc>
          <w:tcPr>
            <w:tcW w:w="513" w:type="pct"/>
            <w:vAlign w:val="center"/>
          </w:tcPr>
          <w:p>
            <w:pPr>
              <w:jc w:val="right"/>
              <w:rPr>
                <w:color w:val="000000"/>
                <w:sz w:val="18"/>
                <w:szCs w:val="18"/>
              </w:rPr>
            </w:pPr>
            <w:r>
              <w:rPr>
                <w:color w:val="000000"/>
                <w:sz w:val="20"/>
              </w:rPr>
              <w:t>402.57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18" w:type="pct"/>
            <w:tcBorders>
              <w:bottom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五、期末现金</w:t>
            </w:r>
          </w:p>
        </w:tc>
        <w:tc>
          <w:tcPr>
            <w:tcW w:w="492" w:type="pct"/>
            <w:tcBorders>
              <w:bottom w:val="single" w:color="auto" w:sz="8" w:space="0"/>
            </w:tcBorders>
            <w:vAlign w:val="center"/>
          </w:tcPr>
          <w:p>
            <w:pPr>
              <w:jc w:val="center"/>
              <w:rPr>
                <w:rFonts w:hint="eastAsia" w:ascii="宋体" w:hAnsi="宋体" w:cs="仿宋_GB2312"/>
                <w:color w:val="000000"/>
                <w:sz w:val="18"/>
                <w:szCs w:val="18"/>
              </w:rPr>
            </w:pPr>
            <w:r>
              <w:rPr>
                <w:rFonts w:ascii="宋体" w:hAnsi="宋体" w:cs="仿宋_GB2312"/>
                <w:color w:val="000000"/>
                <w:sz w:val="18"/>
                <w:szCs w:val="18"/>
              </w:rPr>
              <w:t>R=P+Q</w:t>
            </w:r>
          </w:p>
        </w:tc>
        <w:tc>
          <w:tcPr>
            <w:tcW w:w="492" w:type="pct"/>
            <w:tcBorders>
              <w:bottom w:val="single" w:color="auto" w:sz="8" w:space="0"/>
            </w:tcBorders>
            <w:vAlign w:val="center"/>
          </w:tcPr>
          <w:p>
            <w:pPr>
              <w:jc w:val="right"/>
              <w:rPr>
                <w:color w:val="000000"/>
                <w:sz w:val="18"/>
                <w:szCs w:val="18"/>
              </w:rPr>
            </w:pPr>
          </w:p>
        </w:tc>
        <w:tc>
          <w:tcPr>
            <w:tcW w:w="517" w:type="pct"/>
            <w:tcBorders>
              <w:bottom w:val="single" w:color="auto" w:sz="8" w:space="0"/>
            </w:tcBorders>
            <w:vAlign w:val="center"/>
          </w:tcPr>
          <w:p>
            <w:pPr>
              <w:jc w:val="right"/>
              <w:rPr>
                <w:color w:val="000000"/>
                <w:sz w:val="18"/>
                <w:szCs w:val="18"/>
              </w:rPr>
            </w:pPr>
          </w:p>
        </w:tc>
        <w:tc>
          <w:tcPr>
            <w:tcW w:w="517" w:type="pct"/>
            <w:tcBorders>
              <w:bottom w:val="single" w:color="auto" w:sz="8" w:space="0"/>
            </w:tcBorders>
            <w:vAlign w:val="center"/>
          </w:tcPr>
          <w:p>
            <w:pPr>
              <w:jc w:val="right"/>
              <w:rPr>
                <w:color w:val="000000"/>
                <w:sz w:val="18"/>
                <w:szCs w:val="18"/>
              </w:rPr>
            </w:pPr>
          </w:p>
        </w:tc>
        <w:tc>
          <w:tcPr>
            <w:tcW w:w="517" w:type="pct"/>
            <w:tcBorders>
              <w:bottom w:val="single" w:color="auto" w:sz="8" w:space="0"/>
            </w:tcBorders>
            <w:vAlign w:val="center"/>
          </w:tcPr>
          <w:p>
            <w:pPr>
              <w:jc w:val="right"/>
              <w:rPr>
                <w:color w:val="000000"/>
                <w:sz w:val="18"/>
                <w:szCs w:val="18"/>
              </w:rPr>
            </w:pPr>
          </w:p>
        </w:tc>
        <w:tc>
          <w:tcPr>
            <w:tcW w:w="517" w:type="pct"/>
            <w:tcBorders>
              <w:bottom w:val="single" w:color="auto" w:sz="8" w:space="0"/>
            </w:tcBorders>
            <w:shd w:val="clear" w:color="auto" w:fill="auto"/>
            <w:vAlign w:val="center"/>
          </w:tcPr>
          <w:p>
            <w:pPr>
              <w:jc w:val="right"/>
              <w:rPr>
                <w:color w:val="000000"/>
                <w:sz w:val="18"/>
                <w:szCs w:val="18"/>
              </w:rPr>
            </w:pPr>
            <w:r>
              <w:rPr>
                <w:color w:val="000000"/>
                <w:sz w:val="20"/>
              </w:rPr>
              <w:t>14,778.04</w:t>
            </w:r>
          </w:p>
        </w:tc>
        <w:tc>
          <w:tcPr>
            <w:tcW w:w="517" w:type="pct"/>
            <w:tcBorders>
              <w:bottom w:val="single" w:color="auto" w:sz="8" w:space="0"/>
            </w:tcBorders>
            <w:shd w:val="clear" w:color="auto" w:fill="auto"/>
            <w:vAlign w:val="center"/>
          </w:tcPr>
          <w:p>
            <w:pPr>
              <w:jc w:val="right"/>
              <w:rPr>
                <w:color w:val="000000"/>
                <w:sz w:val="18"/>
                <w:szCs w:val="18"/>
              </w:rPr>
            </w:pPr>
            <w:r>
              <w:rPr>
                <w:color w:val="000000"/>
                <w:sz w:val="20"/>
              </w:rPr>
              <w:t>15,180.61</w:t>
            </w:r>
          </w:p>
        </w:tc>
        <w:tc>
          <w:tcPr>
            <w:tcW w:w="513" w:type="pct"/>
            <w:tcBorders>
              <w:bottom w:val="single" w:color="auto" w:sz="8" w:space="0"/>
            </w:tcBorders>
            <w:vAlign w:val="center"/>
          </w:tcPr>
          <w:p>
            <w:pPr>
              <w:jc w:val="right"/>
              <w:rPr>
                <w:color w:val="000000"/>
                <w:sz w:val="18"/>
                <w:szCs w:val="18"/>
              </w:rPr>
            </w:pPr>
            <w:r>
              <w:rPr>
                <w:color w:val="000000"/>
                <w:sz w:val="20"/>
              </w:rPr>
              <w:t>15,583.18</w:t>
            </w:r>
          </w:p>
        </w:tc>
      </w:tr>
      <w:bookmarkEnd w:id="45"/>
    </w:tbl>
    <w:p>
      <w:pPr>
        <w:pStyle w:val="36"/>
        <w:rPr>
          <w:color w:val="000000" w:themeColor="text1"/>
          <w14:textFill>
            <w14:solidFill>
              <w14:schemeClr w14:val="tx1"/>
            </w14:solidFill>
          </w14:textFill>
        </w:rPr>
      </w:pPr>
      <w:bookmarkStart w:id="46" w:name="_Hlk200651638"/>
      <w:r>
        <w:rPr>
          <w:rFonts w:hint="eastAsia"/>
          <w:color w:val="000000" w:themeColor="text1"/>
          <w14:textFill>
            <w14:solidFill>
              <w14:schemeClr w14:val="tx1"/>
            </w14:solidFill>
          </w14:textFill>
        </w:rPr>
        <w:t>（续）</w:t>
      </w:r>
      <w:bookmarkEnd w:id="46"/>
      <w:r>
        <w:rPr>
          <w:rFonts w:hint="eastAsia"/>
          <w:color w:val="000000" w:themeColor="text1"/>
          <w14:textFill>
            <w14:solidFill>
              <w14:schemeClr w14:val="tx1"/>
            </w14:solidFill>
          </w14:textFill>
        </w:rPr>
        <w:t>表6  项目资金测算平衡表（单位：万元）</w:t>
      </w:r>
    </w:p>
    <w:tbl>
      <w:tblPr>
        <w:tblStyle w:val="19"/>
        <w:tblW w:w="557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1425"/>
        <w:gridCol w:w="1425"/>
        <w:gridCol w:w="1493"/>
        <w:gridCol w:w="1493"/>
        <w:gridCol w:w="1494"/>
        <w:gridCol w:w="1494"/>
        <w:gridCol w:w="1494"/>
        <w:gridCol w:w="149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2611" w:type="dxa"/>
            <w:tcBorders>
              <w:top w:val="single" w:color="auto" w:sz="8" w:space="0"/>
            </w:tcBorders>
            <w:vAlign w:val="center"/>
          </w:tcPr>
          <w:p>
            <w:pPr>
              <w:jc w:val="center"/>
              <w:rPr>
                <w:rFonts w:hint="eastAsia" w:ascii="黑体" w:hAnsi="黑体" w:eastAsia="黑体" w:cs="仿宋_GB2312"/>
                <w:sz w:val="18"/>
                <w:szCs w:val="18"/>
              </w:rPr>
            </w:pPr>
            <w:bookmarkStart w:id="47" w:name="_Hlk200651620"/>
            <w:r>
              <w:rPr>
                <w:rFonts w:hint="eastAsia" w:ascii="黑体" w:hAnsi="黑体" w:eastAsia="黑体" w:cs="仿宋_GB2312"/>
                <w:sz w:val="18"/>
                <w:szCs w:val="18"/>
              </w:rPr>
              <w:t>项目/年度</w:t>
            </w:r>
          </w:p>
        </w:tc>
        <w:tc>
          <w:tcPr>
            <w:tcW w:w="1401" w:type="dxa"/>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cs="仿宋_GB2312"/>
                <w:color w:val="000000"/>
                <w:sz w:val="18"/>
                <w:szCs w:val="18"/>
              </w:rPr>
              <w:t>公式</w:t>
            </w:r>
          </w:p>
        </w:tc>
        <w:tc>
          <w:tcPr>
            <w:tcW w:w="1401" w:type="dxa"/>
            <w:tcBorders>
              <w:top w:val="single" w:color="auto" w:sz="8" w:space="0"/>
            </w:tcBorders>
            <w:vAlign w:val="center"/>
          </w:tcPr>
          <w:p>
            <w:pPr>
              <w:jc w:val="center"/>
              <w:rPr>
                <w:rFonts w:hint="eastAsia" w:ascii="黑体" w:hAnsi="黑体" w:eastAsia="黑体" w:cs="仿宋_GB2312"/>
                <w:color w:val="000000"/>
                <w:sz w:val="18"/>
                <w:szCs w:val="18"/>
              </w:rPr>
            </w:pPr>
            <w:r>
              <w:rPr>
                <w:rFonts w:hint="eastAsia" w:ascii="黑体" w:hAnsi="黑体" w:eastAsia="黑体"/>
                <w:sz w:val="18"/>
                <w:szCs w:val="18"/>
              </w:rPr>
              <w:t>2029年</w:t>
            </w:r>
          </w:p>
        </w:tc>
        <w:tc>
          <w:tcPr>
            <w:tcW w:w="1468" w:type="dxa"/>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2030年</w:t>
            </w:r>
          </w:p>
        </w:tc>
        <w:tc>
          <w:tcPr>
            <w:tcW w:w="1468" w:type="dxa"/>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2031年</w:t>
            </w:r>
          </w:p>
        </w:tc>
        <w:tc>
          <w:tcPr>
            <w:tcW w:w="1469" w:type="dxa"/>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2032年</w:t>
            </w:r>
          </w:p>
        </w:tc>
        <w:tc>
          <w:tcPr>
            <w:tcW w:w="1469" w:type="dxa"/>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2033年</w:t>
            </w:r>
          </w:p>
        </w:tc>
        <w:tc>
          <w:tcPr>
            <w:tcW w:w="1469" w:type="dxa"/>
            <w:tcBorders>
              <w:top w:val="single" w:color="auto" w:sz="8" w:space="0"/>
            </w:tcBorders>
            <w:vAlign w:val="center"/>
          </w:tcPr>
          <w:p>
            <w:pPr>
              <w:jc w:val="center"/>
              <w:rPr>
                <w:rFonts w:hint="eastAsia" w:ascii="黑体" w:hAnsi="黑体" w:eastAsia="黑体" w:cs="仿宋_GB2312"/>
                <w:sz w:val="18"/>
                <w:szCs w:val="18"/>
              </w:rPr>
            </w:pPr>
            <w:r>
              <w:rPr>
                <w:rFonts w:hint="eastAsia" w:ascii="黑体" w:hAnsi="黑体" w:eastAsia="黑体"/>
                <w:sz w:val="18"/>
                <w:szCs w:val="18"/>
              </w:rPr>
              <w:t>2034年</w:t>
            </w:r>
          </w:p>
        </w:tc>
        <w:tc>
          <w:tcPr>
            <w:tcW w:w="1469" w:type="dxa"/>
            <w:tcBorders>
              <w:top w:val="single" w:color="auto" w:sz="8" w:space="0"/>
            </w:tcBorders>
            <w:vAlign w:val="center"/>
          </w:tcPr>
          <w:p>
            <w:pPr>
              <w:jc w:val="center"/>
              <w:rPr>
                <w:rFonts w:hint="eastAsia" w:ascii="黑体" w:hAnsi="黑体" w:eastAsia="黑体"/>
                <w:sz w:val="18"/>
                <w:szCs w:val="18"/>
              </w:rPr>
            </w:pPr>
            <w:r>
              <w:rPr>
                <w:rFonts w:hint="eastAsia" w:ascii="黑体" w:hAnsi="黑体" w:eastAsia="黑体"/>
                <w:sz w:val="18"/>
                <w:szCs w:val="18"/>
              </w:rPr>
              <w:t>2035年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Borders>
              <w:top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一、经营活动产生的现金</w:t>
            </w:r>
          </w:p>
        </w:tc>
        <w:tc>
          <w:tcPr>
            <w:tcW w:w="1401" w:type="dxa"/>
            <w:tcBorders>
              <w:top w:val="single" w:color="auto" w:sz="8" w:space="0"/>
            </w:tcBorders>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1401" w:type="dxa"/>
            <w:tcBorders>
              <w:top w:val="single" w:color="auto" w:sz="8" w:space="0"/>
            </w:tcBorders>
            <w:vAlign w:val="center"/>
          </w:tcPr>
          <w:p>
            <w:pPr>
              <w:jc w:val="right"/>
              <w:rPr>
                <w:szCs w:val="21"/>
              </w:rPr>
            </w:pPr>
          </w:p>
        </w:tc>
        <w:tc>
          <w:tcPr>
            <w:tcW w:w="1468" w:type="dxa"/>
            <w:tcBorders>
              <w:top w:val="single" w:color="auto" w:sz="8" w:space="0"/>
            </w:tcBorders>
            <w:vAlign w:val="center"/>
          </w:tcPr>
          <w:p>
            <w:pPr>
              <w:jc w:val="right"/>
              <w:rPr>
                <w:szCs w:val="21"/>
              </w:rPr>
            </w:pPr>
          </w:p>
        </w:tc>
        <w:tc>
          <w:tcPr>
            <w:tcW w:w="1468" w:type="dxa"/>
            <w:tcBorders>
              <w:top w:val="single" w:color="auto" w:sz="8" w:space="0"/>
            </w:tcBorders>
            <w:vAlign w:val="center"/>
          </w:tcPr>
          <w:p>
            <w:pPr>
              <w:jc w:val="right"/>
              <w:rPr>
                <w:szCs w:val="21"/>
              </w:rPr>
            </w:pPr>
          </w:p>
        </w:tc>
        <w:tc>
          <w:tcPr>
            <w:tcW w:w="1469" w:type="dxa"/>
            <w:tcBorders>
              <w:top w:val="single" w:color="auto" w:sz="8" w:space="0"/>
            </w:tcBorders>
            <w:shd w:val="clear" w:color="auto" w:fill="auto"/>
            <w:vAlign w:val="center"/>
          </w:tcPr>
          <w:p>
            <w:pPr>
              <w:jc w:val="right"/>
              <w:rPr>
                <w:szCs w:val="21"/>
              </w:rPr>
            </w:pPr>
          </w:p>
        </w:tc>
        <w:tc>
          <w:tcPr>
            <w:tcW w:w="1469" w:type="dxa"/>
            <w:tcBorders>
              <w:top w:val="single" w:color="auto" w:sz="8" w:space="0"/>
            </w:tcBorders>
            <w:shd w:val="clear" w:color="auto" w:fill="auto"/>
            <w:vAlign w:val="center"/>
          </w:tcPr>
          <w:p>
            <w:pPr>
              <w:jc w:val="right"/>
              <w:rPr>
                <w:szCs w:val="21"/>
              </w:rPr>
            </w:pPr>
          </w:p>
        </w:tc>
        <w:tc>
          <w:tcPr>
            <w:tcW w:w="1469" w:type="dxa"/>
            <w:tcBorders>
              <w:top w:val="single" w:color="auto" w:sz="8" w:space="0"/>
            </w:tcBorders>
            <w:vAlign w:val="center"/>
          </w:tcPr>
          <w:p>
            <w:pPr>
              <w:jc w:val="right"/>
              <w:rPr>
                <w:szCs w:val="21"/>
              </w:rPr>
            </w:pPr>
          </w:p>
        </w:tc>
        <w:tc>
          <w:tcPr>
            <w:tcW w:w="1469" w:type="dxa"/>
            <w:tcBorders>
              <w:top w:val="single" w:color="auto" w:sz="8" w:space="0"/>
            </w:tcBorders>
          </w:tcPr>
          <w:p>
            <w:pPr>
              <w:jc w:val="right"/>
              <w:rPr>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2"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经营活动收入</w:t>
            </w:r>
          </w:p>
        </w:tc>
        <w:tc>
          <w:tcPr>
            <w:tcW w:w="1401" w:type="dxa"/>
            <w:vAlign w:val="center"/>
          </w:tcPr>
          <w:p>
            <w:pPr>
              <w:jc w:val="center"/>
              <w:rPr>
                <w:rFonts w:hint="eastAsia" w:ascii="宋体" w:hAnsi="宋体" w:cs="仿宋_GB2312"/>
                <w:sz w:val="18"/>
                <w:szCs w:val="18"/>
              </w:rPr>
            </w:pPr>
            <w:r>
              <w:rPr>
                <w:rFonts w:ascii="宋体" w:hAnsi="宋体" w:cs="仿宋_GB2312"/>
                <w:sz w:val="18"/>
                <w:szCs w:val="18"/>
              </w:rPr>
              <w:t>A</w:t>
            </w:r>
          </w:p>
        </w:tc>
        <w:tc>
          <w:tcPr>
            <w:tcW w:w="1401" w:type="dxa"/>
            <w:vAlign w:val="center"/>
          </w:tcPr>
          <w:p>
            <w:pPr>
              <w:jc w:val="right"/>
              <w:rPr>
                <w:sz w:val="18"/>
                <w:szCs w:val="18"/>
              </w:rPr>
            </w:pPr>
            <w:r>
              <w:rPr>
                <w:color w:val="000000"/>
                <w:sz w:val="20"/>
              </w:rPr>
              <w:t>660.00</w:t>
            </w:r>
          </w:p>
        </w:tc>
        <w:tc>
          <w:tcPr>
            <w:tcW w:w="1468" w:type="dxa"/>
            <w:vAlign w:val="center"/>
          </w:tcPr>
          <w:p>
            <w:pPr>
              <w:jc w:val="right"/>
              <w:rPr>
                <w:sz w:val="18"/>
                <w:szCs w:val="18"/>
              </w:rPr>
            </w:pPr>
            <w:r>
              <w:rPr>
                <w:color w:val="000000"/>
                <w:sz w:val="20"/>
              </w:rPr>
              <w:t>660.00</w:t>
            </w:r>
          </w:p>
        </w:tc>
        <w:tc>
          <w:tcPr>
            <w:tcW w:w="1468" w:type="dxa"/>
            <w:vAlign w:val="center"/>
          </w:tcPr>
          <w:p>
            <w:pPr>
              <w:jc w:val="right"/>
              <w:rPr>
                <w:sz w:val="18"/>
                <w:szCs w:val="18"/>
              </w:rPr>
            </w:pPr>
            <w:r>
              <w:rPr>
                <w:color w:val="000000"/>
                <w:sz w:val="20"/>
              </w:rPr>
              <w:t>660.00</w:t>
            </w:r>
          </w:p>
        </w:tc>
        <w:tc>
          <w:tcPr>
            <w:tcW w:w="1469" w:type="dxa"/>
            <w:shd w:val="clear" w:color="auto" w:fill="auto"/>
            <w:vAlign w:val="center"/>
          </w:tcPr>
          <w:p>
            <w:pPr>
              <w:jc w:val="right"/>
              <w:rPr>
                <w:sz w:val="18"/>
                <w:szCs w:val="18"/>
              </w:rPr>
            </w:pPr>
            <w:r>
              <w:rPr>
                <w:color w:val="000000"/>
                <w:sz w:val="20"/>
              </w:rPr>
              <w:t>660.00</w:t>
            </w:r>
          </w:p>
        </w:tc>
        <w:tc>
          <w:tcPr>
            <w:tcW w:w="1469" w:type="dxa"/>
            <w:shd w:val="clear" w:color="auto" w:fill="auto"/>
            <w:vAlign w:val="center"/>
          </w:tcPr>
          <w:p>
            <w:pPr>
              <w:jc w:val="right"/>
              <w:rPr>
                <w:sz w:val="18"/>
                <w:szCs w:val="18"/>
              </w:rPr>
            </w:pPr>
            <w:r>
              <w:rPr>
                <w:color w:val="000000"/>
                <w:sz w:val="20"/>
              </w:rPr>
              <w:t>660.00</w:t>
            </w:r>
          </w:p>
        </w:tc>
        <w:tc>
          <w:tcPr>
            <w:tcW w:w="1469" w:type="dxa"/>
            <w:vAlign w:val="center"/>
          </w:tcPr>
          <w:p>
            <w:pPr>
              <w:jc w:val="right"/>
              <w:rPr>
                <w:sz w:val="18"/>
                <w:szCs w:val="18"/>
              </w:rPr>
            </w:pPr>
            <w:r>
              <w:rPr>
                <w:color w:val="000000"/>
                <w:sz w:val="20"/>
              </w:rPr>
              <w:t>660.00</w:t>
            </w:r>
          </w:p>
        </w:tc>
        <w:tc>
          <w:tcPr>
            <w:tcW w:w="1469" w:type="dxa"/>
            <w:vAlign w:val="center"/>
          </w:tcPr>
          <w:p>
            <w:pPr>
              <w:jc w:val="right"/>
              <w:rPr>
                <w:sz w:val="18"/>
                <w:szCs w:val="18"/>
              </w:rPr>
            </w:pPr>
            <w:r>
              <w:rPr>
                <w:color w:val="000000"/>
                <w:sz w:val="20"/>
              </w:rPr>
              <w:t>660.00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64"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经营活动支出</w:t>
            </w:r>
          </w:p>
        </w:tc>
        <w:tc>
          <w:tcPr>
            <w:tcW w:w="1401" w:type="dxa"/>
            <w:vAlign w:val="center"/>
          </w:tcPr>
          <w:p>
            <w:pPr>
              <w:jc w:val="center"/>
              <w:rPr>
                <w:rFonts w:hint="eastAsia" w:ascii="宋体" w:hAnsi="宋体" w:cs="仿宋_GB2312"/>
                <w:sz w:val="18"/>
                <w:szCs w:val="18"/>
              </w:rPr>
            </w:pPr>
            <w:r>
              <w:rPr>
                <w:rFonts w:ascii="宋体" w:hAnsi="宋体" w:cs="仿宋_GB2312"/>
                <w:sz w:val="18"/>
                <w:szCs w:val="18"/>
              </w:rPr>
              <w:t>B</w:t>
            </w:r>
          </w:p>
        </w:tc>
        <w:tc>
          <w:tcPr>
            <w:tcW w:w="1401" w:type="dxa"/>
            <w:vAlign w:val="center"/>
          </w:tcPr>
          <w:p>
            <w:pPr>
              <w:jc w:val="right"/>
              <w:rPr>
                <w:sz w:val="18"/>
                <w:szCs w:val="18"/>
              </w:rPr>
            </w:pPr>
            <w:r>
              <w:rPr>
                <w:color w:val="000000"/>
                <w:sz w:val="20"/>
              </w:rPr>
              <w:t>25.00</w:t>
            </w:r>
          </w:p>
        </w:tc>
        <w:tc>
          <w:tcPr>
            <w:tcW w:w="1468" w:type="dxa"/>
            <w:vAlign w:val="center"/>
          </w:tcPr>
          <w:p>
            <w:pPr>
              <w:jc w:val="right"/>
              <w:rPr>
                <w:sz w:val="18"/>
                <w:szCs w:val="18"/>
              </w:rPr>
            </w:pPr>
            <w:r>
              <w:rPr>
                <w:color w:val="000000"/>
                <w:sz w:val="20"/>
              </w:rPr>
              <w:t>25.00</w:t>
            </w:r>
          </w:p>
        </w:tc>
        <w:tc>
          <w:tcPr>
            <w:tcW w:w="1468" w:type="dxa"/>
            <w:vAlign w:val="center"/>
          </w:tcPr>
          <w:p>
            <w:pPr>
              <w:jc w:val="right"/>
              <w:rPr>
                <w:sz w:val="18"/>
                <w:szCs w:val="18"/>
              </w:rPr>
            </w:pPr>
            <w:r>
              <w:rPr>
                <w:color w:val="000000"/>
                <w:sz w:val="20"/>
              </w:rPr>
              <w:t>25.00</w:t>
            </w:r>
          </w:p>
        </w:tc>
        <w:tc>
          <w:tcPr>
            <w:tcW w:w="1469" w:type="dxa"/>
            <w:shd w:val="clear" w:color="auto" w:fill="auto"/>
            <w:vAlign w:val="center"/>
          </w:tcPr>
          <w:p>
            <w:pPr>
              <w:jc w:val="right"/>
              <w:rPr>
                <w:sz w:val="18"/>
                <w:szCs w:val="18"/>
              </w:rPr>
            </w:pPr>
            <w:r>
              <w:rPr>
                <w:color w:val="000000"/>
                <w:sz w:val="20"/>
              </w:rPr>
              <w:t>25.00</w:t>
            </w:r>
          </w:p>
        </w:tc>
        <w:tc>
          <w:tcPr>
            <w:tcW w:w="1469" w:type="dxa"/>
            <w:shd w:val="clear" w:color="auto" w:fill="auto"/>
            <w:vAlign w:val="center"/>
          </w:tcPr>
          <w:p>
            <w:pPr>
              <w:jc w:val="right"/>
              <w:rPr>
                <w:sz w:val="18"/>
                <w:szCs w:val="18"/>
              </w:rPr>
            </w:pPr>
            <w:r>
              <w:rPr>
                <w:color w:val="000000"/>
                <w:sz w:val="20"/>
              </w:rPr>
              <w:t>25.00</w:t>
            </w:r>
          </w:p>
        </w:tc>
        <w:tc>
          <w:tcPr>
            <w:tcW w:w="1469" w:type="dxa"/>
            <w:vAlign w:val="center"/>
          </w:tcPr>
          <w:p>
            <w:pPr>
              <w:jc w:val="right"/>
              <w:rPr>
                <w:sz w:val="18"/>
                <w:szCs w:val="18"/>
              </w:rPr>
            </w:pPr>
            <w:r>
              <w:rPr>
                <w:color w:val="000000"/>
                <w:sz w:val="20"/>
              </w:rPr>
              <w:t>25.00</w:t>
            </w:r>
          </w:p>
        </w:tc>
        <w:tc>
          <w:tcPr>
            <w:tcW w:w="1469" w:type="dxa"/>
            <w:vAlign w:val="center"/>
          </w:tcPr>
          <w:p>
            <w:pPr>
              <w:jc w:val="right"/>
              <w:rPr>
                <w:sz w:val="18"/>
                <w:szCs w:val="18"/>
              </w:rPr>
            </w:pPr>
            <w:r>
              <w:rPr>
                <w:color w:val="000000"/>
                <w:sz w:val="20"/>
              </w:rPr>
              <w:t>25.00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支付的各项税费</w:t>
            </w:r>
          </w:p>
        </w:tc>
        <w:tc>
          <w:tcPr>
            <w:tcW w:w="1401" w:type="dxa"/>
            <w:shd w:val="clear" w:color="000000" w:fill="FFFFFF"/>
            <w:vAlign w:val="center"/>
          </w:tcPr>
          <w:p>
            <w:pPr>
              <w:jc w:val="center"/>
              <w:rPr>
                <w:rFonts w:hint="eastAsia" w:ascii="宋体" w:hAnsi="宋体" w:cs="仿宋_GB2312"/>
                <w:sz w:val="18"/>
                <w:szCs w:val="18"/>
              </w:rPr>
            </w:pPr>
            <w:r>
              <w:rPr>
                <w:rFonts w:hint="eastAsia" w:ascii="宋体" w:hAnsi="宋体" w:cs="仿宋_GB2312"/>
                <w:sz w:val="18"/>
                <w:szCs w:val="18"/>
              </w:rPr>
              <w:t>C</w:t>
            </w:r>
          </w:p>
        </w:tc>
        <w:tc>
          <w:tcPr>
            <w:tcW w:w="1401" w:type="dxa"/>
            <w:shd w:val="clear" w:color="000000" w:fill="FFFFFF"/>
            <w:vAlign w:val="center"/>
          </w:tcPr>
          <w:p>
            <w:pPr>
              <w:jc w:val="right"/>
              <w:rPr>
                <w:sz w:val="18"/>
                <w:szCs w:val="18"/>
              </w:rPr>
            </w:pPr>
            <w:r>
              <w:rPr>
                <w:color w:val="000000"/>
                <w:sz w:val="20"/>
              </w:rPr>
              <w:t>　</w:t>
            </w:r>
          </w:p>
        </w:tc>
        <w:tc>
          <w:tcPr>
            <w:tcW w:w="1468" w:type="dxa"/>
            <w:shd w:val="clear" w:color="000000" w:fill="FFFFFF"/>
            <w:vAlign w:val="center"/>
          </w:tcPr>
          <w:p>
            <w:pPr>
              <w:jc w:val="right"/>
              <w:rPr>
                <w:sz w:val="18"/>
                <w:szCs w:val="18"/>
              </w:rPr>
            </w:pPr>
            <w:r>
              <w:rPr>
                <w:color w:val="000000"/>
                <w:sz w:val="20"/>
              </w:rPr>
              <w:t>　</w:t>
            </w:r>
          </w:p>
        </w:tc>
        <w:tc>
          <w:tcPr>
            <w:tcW w:w="1468" w:type="dxa"/>
            <w:shd w:val="clear" w:color="000000" w:fill="FFFFFF"/>
            <w:vAlign w:val="center"/>
          </w:tcPr>
          <w:p>
            <w:pPr>
              <w:jc w:val="right"/>
              <w:rPr>
                <w:sz w:val="18"/>
                <w:szCs w:val="18"/>
              </w:rPr>
            </w:pPr>
            <w:r>
              <w:rPr>
                <w:color w:val="000000"/>
                <w:sz w:val="20"/>
              </w:rPr>
              <w:t>　</w:t>
            </w:r>
          </w:p>
        </w:tc>
        <w:tc>
          <w:tcPr>
            <w:tcW w:w="1469" w:type="dxa"/>
            <w:shd w:val="clear" w:color="000000" w:fill="FFFFFF"/>
            <w:vAlign w:val="center"/>
          </w:tcPr>
          <w:p>
            <w:pPr>
              <w:jc w:val="right"/>
              <w:rPr>
                <w:sz w:val="18"/>
                <w:szCs w:val="18"/>
              </w:rPr>
            </w:pPr>
            <w:r>
              <w:rPr>
                <w:color w:val="000000"/>
                <w:sz w:val="20"/>
              </w:rPr>
              <w:t>　</w:t>
            </w:r>
          </w:p>
        </w:tc>
        <w:tc>
          <w:tcPr>
            <w:tcW w:w="1469" w:type="dxa"/>
            <w:shd w:val="clear" w:color="000000" w:fill="FFFFFF"/>
            <w:vAlign w:val="center"/>
          </w:tcPr>
          <w:p>
            <w:pPr>
              <w:jc w:val="right"/>
              <w:rPr>
                <w:sz w:val="18"/>
                <w:szCs w:val="18"/>
              </w:rPr>
            </w:pPr>
            <w:r>
              <w:rPr>
                <w:color w:val="000000"/>
                <w:sz w:val="20"/>
              </w:rPr>
              <w:t>　</w:t>
            </w:r>
          </w:p>
        </w:tc>
        <w:tc>
          <w:tcPr>
            <w:tcW w:w="1469" w:type="dxa"/>
            <w:shd w:val="clear" w:color="000000" w:fill="FFFFFF"/>
            <w:vAlign w:val="center"/>
          </w:tcPr>
          <w:p>
            <w:pPr>
              <w:jc w:val="right"/>
              <w:rPr>
                <w:sz w:val="18"/>
                <w:szCs w:val="18"/>
              </w:rPr>
            </w:pPr>
            <w:r>
              <w:rPr>
                <w:color w:val="000000"/>
                <w:sz w:val="20"/>
              </w:rPr>
              <w:t>　</w:t>
            </w:r>
          </w:p>
        </w:tc>
        <w:tc>
          <w:tcPr>
            <w:tcW w:w="1469" w:type="dxa"/>
            <w:shd w:val="clear" w:color="000000" w:fill="FFFFFF"/>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经营活动现金净流量</w:t>
            </w:r>
          </w:p>
        </w:tc>
        <w:tc>
          <w:tcPr>
            <w:tcW w:w="1401" w:type="dxa"/>
            <w:vAlign w:val="center"/>
          </w:tcPr>
          <w:p>
            <w:pPr>
              <w:jc w:val="center"/>
              <w:rPr>
                <w:rFonts w:hint="eastAsia" w:ascii="宋体" w:hAnsi="宋体" w:cs="仿宋_GB2312"/>
                <w:sz w:val="18"/>
                <w:szCs w:val="18"/>
              </w:rPr>
            </w:pPr>
            <w:r>
              <w:rPr>
                <w:rFonts w:hint="eastAsia" w:ascii="宋体" w:hAnsi="宋体" w:cs="仿宋_GB2312"/>
                <w:sz w:val="18"/>
                <w:szCs w:val="18"/>
              </w:rPr>
              <w:t>D</w:t>
            </w:r>
            <w:r>
              <w:rPr>
                <w:rFonts w:ascii="宋体" w:hAnsi="宋体" w:cs="仿宋_GB2312"/>
                <w:sz w:val="18"/>
                <w:szCs w:val="18"/>
              </w:rPr>
              <w:t>=A-B-C</w:t>
            </w:r>
          </w:p>
        </w:tc>
        <w:tc>
          <w:tcPr>
            <w:tcW w:w="1401" w:type="dxa"/>
            <w:vAlign w:val="center"/>
          </w:tcPr>
          <w:p>
            <w:pPr>
              <w:jc w:val="right"/>
              <w:rPr>
                <w:sz w:val="18"/>
                <w:szCs w:val="18"/>
              </w:rPr>
            </w:pPr>
            <w:r>
              <w:rPr>
                <w:color w:val="000000"/>
                <w:sz w:val="20"/>
              </w:rPr>
              <w:t>635.00</w:t>
            </w:r>
          </w:p>
        </w:tc>
        <w:tc>
          <w:tcPr>
            <w:tcW w:w="1468" w:type="dxa"/>
            <w:vAlign w:val="center"/>
          </w:tcPr>
          <w:p>
            <w:pPr>
              <w:jc w:val="right"/>
              <w:rPr>
                <w:sz w:val="18"/>
                <w:szCs w:val="18"/>
              </w:rPr>
            </w:pPr>
            <w:r>
              <w:rPr>
                <w:color w:val="000000"/>
                <w:sz w:val="20"/>
              </w:rPr>
              <w:t>635.00</w:t>
            </w:r>
          </w:p>
        </w:tc>
        <w:tc>
          <w:tcPr>
            <w:tcW w:w="1468" w:type="dxa"/>
            <w:vAlign w:val="center"/>
          </w:tcPr>
          <w:p>
            <w:pPr>
              <w:jc w:val="right"/>
              <w:rPr>
                <w:sz w:val="18"/>
                <w:szCs w:val="18"/>
              </w:rPr>
            </w:pPr>
            <w:r>
              <w:rPr>
                <w:color w:val="000000"/>
                <w:sz w:val="20"/>
              </w:rPr>
              <w:t>635.00</w:t>
            </w:r>
          </w:p>
        </w:tc>
        <w:tc>
          <w:tcPr>
            <w:tcW w:w="1469" w:type="dxa"/>
            <w:shd w:val="clear" w:color="auto" w:fill="auto"/>
            <w:vAlign w:val="center"/>
          </w:tcPr>
          <w:p>
            <w:pPr>
              <w:jc w:val="right"/>
              <w:rPr>
                <w:sz w:val="18"/>
                <w:szCs w:val="18"/>
              </w:rPr>
            </w:pPr>
            <w:r>
              <w:rPr>
                <w:color w:val="000000"/>
                <w:sz w:val="20"/>
              </w:rPr>
              <w:t>635.00</w:t>
            </w:r>
          </w:p>
        </w:tc>
        <w:tc>
          <w:tcPr>
            <w:tcW w:w="1469" w:type="dxa"/>
            <w:shd w:val="clear" w:color="auto" w:fill="auto"/>
            <w:vAlign w:val="center"/>
          </w:tcPr>
          <w:p>
            <w:pPr>
              <w:jc w:val="right"/>
              <w:rPr>
                <w:sz w:val="18"/>
                <w:szCs w:val="18"/>
              </w:rPr>
            </w:pPr>
            <w:r>
              <w:rPr>
                <w:color w:val="000000"/>
                <w:sz w:val="20"/>
              </w:rPr>
              <w:t>635.00</w:t>
            </w:r>
          </w:p>
        </w:tc>
        <w:tc>
          <w:tcPr>
            <w:tcW w:w="1469" w:type="dxa"/>
            <w:vAlign w:val="center"/>
          </w:tcPr>
          <w:p>
            <w:pPr>
              <w:jc w:val="right"/>
              <w:rPr>
                <w:sz w:val="18"/>
                <w:szCs w:val="18"/>
              </w:rPr>
            </w:pPr>
            <w:r>
              <w:rPr>
                <w:color w:val="000000"/>
                <w:sz w:val="20"/>
              </w:rPr>
              <w:t>635.00</w:t>
            </w:r>
          </w:p>
        </w:tc>
        <w:tc>
          <w:tcPr>
            <w:tcW w:w="1469" w:type="dxa"/>
            <w:vAlign w:val="center"/>
          </w:tcPr>
          <w:p>
            <w:pPr>
              <w:jc w:val="right"/>
              <w:rPr>
                <w:sz w:val="18"/>
                <w:szCs w:val="18"/>
              </w:rPr>
            </w:pPr>
            <w:r>
              <w:rPr>
                <w:color w:val="000000"/>
                <w:sz w:val="20"/>
              </w:rPr>
              <w:t>635.00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rPr>
                <w:rFonts w:hint="eastAsia" w:ascii="宋体" w:hAnsi="宋体" w:cs="仿宋_GB2312"/>
                <w:sz w:val="18"/>
                <w:szCs w:val="18"/>
              </w:rPr>
            </w:pPr>
            <w:r>
              <w:rPr>
                <w:rFonts w:hint="eastAsia" w:ascii="宋体" w:hAnsi="宋体" w:cs="仿宋_GB2312"/>
                <w:sz w:val="18"/>
                <w:szCs w:val="18"/>
              </w:rPr>
              <w:t>二、投资活动产生的现金</w:t>
            </w:r>
          </w:p>
        </w:tc>
        <w:tc>
          <w:tcPr>
            <w:tcW w:w="1401" w:type="dxa"/>
            <w:vAlign w:val="center"/>
          </w:tcPr>
          <w:p>
            <w:pPr>
              <w:jc w:val="center"/>
              <w:rPr>
                <w:rFonts w:hint="eastAsia" w:ascii="宋体" w:hAnsi="宋体" w:cs="仿宋_GB2312"/>
                <w:sz w:val="18"/>
                <w:szCs w:val="18"/>
              </w:rPr>
            </w:pPr>
            <w:r>
              <w:rPr>
                <w:rFonts w:hint="eastAsia" w:ascii="宋体" w:hAnsi="宋体" w:cs="仿宋_GB2312"/>
                <w:sz w:val="18"/>
                <w:szCs w:val="18"/>
              </w:rPr>
              <w:t>—</w:t>
            </w:r>
          </w:p>
        </w:tc>
        <w:tc>
          <w:tcPr>
            <w:tcW w:w="1401"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建设成本支出</w:t>
            </w:r>
          </w:p>
        </w:tc>
        <w:tc>
          <w:tcPr>
            <w:tcW w:w="1401" w:type="dxa"/>
            <w:vAlign w:val="center"/>
          </w:tcPr>
          <w:p>
            <w:pPr>
              <w:jc w:val="center"/>
              <w:rPr>
                <w:rFonts w:hint="eastAsia" w:ascii="宋体" w:hAnsi="宋体" w:cs="仿宋_GB2312"/>
                <w:sz w:val="18"/>
                <w:szCs w:val="18"/>
              </w:rPr>
            </w:pPr>
            <w:r>
              <w:rPr>
                <w:rFonts w:hint="eastAsia" w:ascii="宋体" w:hAnsi="宋体" w:cs="仿宋_GB2312"/>
                <w:sz w:val="18"/>
                <w:szCs w:val="18"/>
              </w:rPr>
              <w:t>E</w:t>
            </w:r>
          </w:p>
        </w:tc>
        <w:tc>
          <w:tcPr>
            <w:tcW w:w="1401"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流动资金支出</w:t>
            </w:r>
          </w:p>
        </w:tc>
        <w:tc>
          <w:tcPr>
            <w:tcW w:w="1401" w:type="dxa"/>
            <w:vAlign w:val="center"/>
          </w:tcPr>
          <w:p>
            <w:pPr>
              <w:jc w:val="center"/>
              <w:rPr>
                <w:rFonts w:hint="eastAsia" w:ascii="宋体" w:hAnsi="宋体" w:cs="仿宋_GB2312"/>
                <w:sz w:val="18"/>
                <w:szCs w:val="18"/>
              </w:rPr>
            </w:pPr>
            <w:r>
              <w:rPr>
                <w:rFonts w:hint="eastAsia" w:ascii="宋体" w:hAnsi="宋体" w:cs="仿宋_GB2312"/>
                <w:sz w:val="18"/>
                <w:szCs w:val="18"/>
              </w:rPr>
              <w:t>F</w:t>
            </w:r>
          </w:p>
        </w:tc>
        <w:tc>
          <w:tcPr>
            <w:tcW w:w="1401"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8" w:type="dxa"/>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shd w:val="clear" w:color="auto" w:fill="auto"/>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c>
          <w:tcPr>
            <w:tcW w:w="1469" w:type="dxa"/>
            <w:vAlign w:val="center"/>
          </w:tcPr>
          <w:p>
            <w:pPr>
              <w:jc w:val="right"/>
              <w:rPr>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投资活动现金净流量</w:t>
            </w:r>
          </w:p>
        </w:tc>
        <w:tc>
          <w:tcPr>
            <w:tcW w:w="1401" w:type="dxa"/>
            <w:vAlign w:val="center"/>
          </w:tcPr>
          <w:p>
            <w:pPr>
              <w:jc w:val="center"/>
              <w:rPr>
                <w:rFonts w:hint="eastAsia" w:ascii="宋体" w:hAnsi="宋体" w:cs="仿宋_GB2312"/>
                <w:sz w:val="18"/>
                <w:szCs w:val="18"/>
              </w:rPr>
            </w:pPr>
            <w:r>
              <w:rPr>
                <w:rFonts w:hint="eastAsia" w:ascii="宋体" w:hAnsi="宋体" w:cs="仿宋_GB2312"/>
                <w:sz w:val="18"/>
                <w:szCs w:val="18"/>
              </w:rPr>
              <w:t>G</w:t>
            </w:r>
            <w:r>
              <w:rPr>
                <w:rFonts w:ascii="宋体" w:hAnsi="宋体" w:cs="仿宋_GB2312"/>
                <w:sz w:val="18"/>
                <w:szCs w:val="18"/>
              </w:rPr>
              <w:t>=-E-F</w:t>
            </w:r>
          </w:p>
        </w:tc>
        <w:tc>
          <w:tcPr>
            <w:tcW w:w="1401" w:type="dxa"/>
            <w:vAlign w:val="center"/>
          </w:tcPr>
          <w:p>
            <w:pPr>
              <w:jc w:val="right"/>
              <w:rPr>
                <w:sz w:val="18"/>
                <w:szCs w:val="18"/>
              </w:rPr>
            </w:pPr>
          </w:p>
        </w:tc>
        <w:tc>
          <w:tcPr>
            <w:tcW w:w="1468" w:type="dxa"/>
            <w:vAlign w:val="center"/>
          </w:tcPr>
          <w:p>
            <w:pPr>
              <w:jc w:val="right"/>
              <w:rPr>
                <w:sz w:val="18"/>
                <w:szCs w:val="18"/>
              </w:rPr>
            </w:pPr>
          </w:p>
        </w:tc>
        <w:tc>
          <w:tcPr>
            <w:tcW w:w="1468" w:type="dxa"/>
            <w:vAlign w:val="center"/>
          </w:tcPr>
          <w:p>
            <w:pPr>
              <w:jc w:val="right"/>
              <w:rPr>
                <w:sz w:val="18"/>
                <w:szCs w:val="18"/>
              </w:rPr>
            </w:pPr>
          </w:p>
        </w:tc>
        <w:tc>
          <w:tcPr>
            <w:tcW w:w="1469" w:type="dxa"/>
            <w:shd w:val="clear" w:color="auto" w:fill="auto"/>
            <w:vAlign w:val="center"/>
          </w:tcPr>
          <w:p>
            <w:pPr>
              <w:jc w:val="right"/>
              <w:rPr>
                <w:sz w:val="18"/>
                <w:szCs w:val="18"/>
              </w:rPr>
            </w:pPr>
          </w:p>
        </w:tc>
        <w:tc>
          <w:tcPr>
            <w:tcW w:w="1469" w:type="dxa"/>
            <w:shd w:val="clear" w:color="auto" w:fill="auto"/>
            <w:vAlign w:val="center"/>
          </w:tcPr>
          <w:p>
            <w:pPr>
              <w:jc w:val="right"/>
              <w:rPr>
                <w:sz w:val="18"/>
                <w:szCs w:val="18"/>
              </w:rPr>
            </w:pPr>
          </w:p>
        </w:tc>
        <w:tc>
          <w:tcPr>
            <w:tcW w:w="1469" w:type="dxa"/>
            <w:vAlign w:val="center"/>
          </w:tcPr>
          <w:p>
            <w:pPr>
              <w:jc w:val="right"/>
              <w:rPr>
                <w:sz w:val="18"/>
                <w:szCs w:val="18"/>
              </w:rPr>
            </w:pPr>
          </w:p>
        </w:tc>
        <w:tc>
          <w:tcPr>
            <w:tcW w:w="1469" w:type="dxa"/>
            <w:vAlign w:val="center"/>
          </w:tcPr>
          <w:p>
            <w:pPr>
              <w:jc w:val="right"/>
              <w:rPr>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rPr>
                <w:rFonts w:hint="eastAsia" w:ascii="宋体" w:hAnsi="宋体" w:cs="仿宋_GB2312"/>
                <w:sz w:val="18"/>
                <w:szCs w:val="18"/>
              </w:rPr>
            </w:pPr>
            <w:r>
              <w:rPr>
                <w:rFonts w:hint="eastAsia" w:ascii="宋体" w:hAnsi="宋体" w:cs="仿宋_GB2312"/>
                <w:sz w:val="18"/>
                <w:szCs w:val="18"/>
              </w:rPr>
              <w:t>三、融资活动产生的现金</w:t>
            </w:r>
          </w:p>
        </w:tc>
        <w:tc>
          <w:tcPr>
            <w:tcW w:w="1401" w:type="dxa"/>
            <w:vAlign w:val="center"/>
          </w:tcPr>
          <w:p>
            <w:pPr>
              <w:jc w:val="center"/>
              <w:rPr>
                <w:rFonts w:hint="eastAsia" w:ascii="宋体" w:hAnsi="宋体" w:cs="仿宋_GB2312"/>
                <w:color w:val="000000"/>
                <w:sz w:val="18"/>
                <w:szCs w:val="18"/>
              </w:rPr>
            </w:pPr>
            <w:r>
              <w:rPr>
                <w:rFonts w:hint="eastAsia" w:ascii="宋体" w:hAnsi="宋体" w:cs="仿宋_GB2312"/>
                <w:sz w:val="18"/>
                <w:szCs w:val="18"/>
              </w:rPr>
              <w:t>—</w:t>
            </w:r>
          </w:p>
        </w:tc>
        <w:tc>
          <w:tcPr>
            <w:tcW w:w="1401"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资本金（自有资金）</w:t>
            </w:r>
          </w:p>
        </w:tc>
        <w:tc>
          <w:tcPr>
            <w:tcW w:w="1401" w:type="dxa"/>
            <w:vAlign w:val="center"/>
          </w:tcPr>
          <w:p>
            <w:pPr>
              <w:jc w:val="center"/>
              <w:rPr>
                <w:rFonts w:hint="eastAsia" w:ascii="宋体" w:hAnsi="宋体" w:cs="仿宋_GB2312"/>
                <w:color w:val="000000"/>
                <w:sz w:val="18"/>
                <w:szCs w:val="18"/>
              </w:rPr>
            </w:pPr>
            <w:r>
              <w:rPr>
                <w:rFonts w:hint="eastAsia" w:ascii="宋体" w:hAnsi="宋体" w:cs="仿宋_GB2312"/>
                <w:color w:val="000000"/>
                <w:sz w:val="18"/>
                <w:szCs w:val="18"/>
              </w:rPr>
              <w:t>H</w:t>
            </w:r>
          </w:p>
        </w:tc>
        <w:tc>
          <w:tcPr>
            <w:tcW w:w="1401"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专项债券</w:t>
            </w:r>
          </w:p>
        </w:tc>
        <w:tc>
          <w:tcPr>
            <w:tcW w:w="1401" w:type="dxa"/>
            <w:vAlign w:val="center"/>
          </w:tcPr>
          <w:p>
            <w:pPr>
              <w:jc w:val="center"/>
              <w:rPr>
                <w:rFonts w:hint="eastAsia" w:ascii="宋体" w:hAnsi="宋体" w:cs="仿宋_GB2312"/>
                <w:color w:val="000000"/>
                <w:sz w:val="18"/>
                <w:szCs w:val="18"/>
              </w:rPr>
            </w:pPr>
            <w:r>
              <w:rPr>
                <w:rFonts w:ascii="宋体" w:hAnsi="宋体" w:cs="仿宋_GB2312"/>
                <w:color w:val="000000"/>
                <w:sz w:val="18"/>
                <w:szCs w:val="18"/>
              </w:rPr>
              <w:t>I</w:t>
            </w:r>
          </w:p>
        </w:tc>
        <w:tc>
          <w:tcPr>
            <w:tcW w:w="1401"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8" w:type="dxa"/>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shd w:val="clear" w:color="auto" w:fill="auto"/>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c>
          <w:tcPr>
            <w:tcW w:w="1469" w:type="dxa"/>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银行借款</w:t>
            </w:r>
          </w:p>
        </w:tc>
        <w:tc>
          <w:tcPr>
            <w:tcW w:w="1401" w:type="dxa"/>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J</w:t>
            </w:r>
          </w:p>
        </w:tc>
        <w:tc>
          <w:tcPr>
            <w:tcW w:w="1401"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偿还债券本金</w:t>
            </w:r>
          </w:p>
        </w:tc>
        <w:tc>
          <w:tcPr>
            <w:tcW w:w="1401" w:type="dxa"/>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K</w:t>
            </w:r>
          </w:p>
        </w:tc>
        <w:tc>
          <w:tcPr>
            <w:tcW w:w="1401"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7,700.00</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1,000.00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偿还银行借款本金</w:t>
            </w:r>
          </w:p>
        </w:tc>
        <w:tc>
          <w:tcPr>
            <w:tcW w:w="1401" w:type="dxa"/>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L</w:t>
            </w:r>
          </w:p>
        </w:tc>
        <w:tc>
          <w:tcPr>
            <w:tcW w:w="1401"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8"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c>
          <w:tcPr>
            <w:tcW w:w="1469" w:type="dxa"/>
            <w:shd w:val="clear" w:color="000000" w:fill="FFFFFF"/>
            <w:vAlign w:val="center"/>
          </w:tcPr>
          <w:p>
            <w:pPr>
              <w:jc w:val="right"/>
              <w:rPr>
                <w:color w:val="000000"/>
                <w:sz w:val="18"/>
                <w:szCs w:val="18"/>
              </w:rPr>
            </w:pPr>
            <w:r>
              <w:rPr>
                <w:color w:val="000000"/>
                <w:sz w:val="20"/>
              </w:rPr>
              <w:t>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支付债券利息</w:t>
            </w:r>
          </w:p>
        </w:tc>
        <w:tc>
          <w:tcPr>
            <w:tcW w:w="1401" w:type="dxa"/>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M</w:t>
            </w:r>
          </w:p>
        </w:tc>
        <w:tc>
          <w:tcPr>
            <w:tcW w:w="1401" w:type="dxa"/>
            <w:shd w:val="clear" w:color="000000" w:fill="FFFFFF"/>
            <w:vAlign w:val="center"/>
          </w:tcPr>
          <w:p>
            <w:pPr>
              <w:jc w:val="right"/>
              <w:rPr>
                <w:color w:val="000000"/>
                <w:sz w:val="18"/>
                <w:szCs w:val="18"/>
              </w:rPr>
            </w:pPr>
            <w:r>
              <w:rPr>
                <w:color w:val="000000"/>
                <w:sz w:val="20"/>
              </w:rPr>
              <w:t>232.43</w:t>
            </w:r>
          </w:p>
        </w:tc>
        <w:tc>
          <w:tcPr>
            <w:tcW w:w="1468" w:type="dxa"/>
            <w:shd w:val="clear" w:color="000000" w:fill="FFFFFF"/>
            <w:vAlign w:val="center"/>
          </w:tcPr>
          <w:p>
            <w:pPr>
              <w:jc w:val="right"/>
              <w:rPr>
                <w:color w:val="000000"/>
                <w:sz w:val="18"/>
                <w:szCs w:val="18"/>
              </w:rPr>
            </w:pPr>
            <w:r>
              <w:rPr>
                <w:color w:val="000000"/>
                <w:sz w:val="20"/>
              </w:rPr>
              <w:t>232.43</w:t>
            </w:r>
          </w:p>
        </w:tc>
        <w:tc>
          <w:tcPr>
            <w:tcW w:w="1468" w:type="dxa"/>
            <w:shd w:val="clear" w:color="000000" w:fill="FFFFFF"/>
            <w:vAlign w:val="center"/>
          </w:tcPr>
          <w:p>
            <w:pPr>
              <w:jc w:val="right"/>
              <w:rPr>
                <w:color w:val="000000"/>
                <w:sz w:val="18"/>
                <w:szCs w:val="18"/>
              </w:rPr>
            </w:pPr>
            <w:r>
              <w:rPr>
                <w:color w:val="000000"/>
                <w:sz w:val="20"/>
              </w:rPr>
              <w:t>232.43</w:t>
            </w:r>
          </w:p>
        </w:tc>
        <w:tc>
          <w:tcPr>
            <w:tcW w:w="1469" w:type="dxa"/>
            <w:shd w:val="clear" w:color="000000" w:fill="FFFFFF"/>
            <w:vAlign w:val="center"/>
          </w:tcPr>
          <w:p>
            <w:pPr>
              <w:jc w:val="right"/>
              <w:rPr>
                <w:color w:val="000000"/>
                <w:sz w:val="18"/>
                <w:szCs w:val="18"/>
              </w:rPr>
            </w:pPr>
            <w:r>
              <w:rPr>
                <w:color w:val="000000"/>
                <w:sz w:val="20"/>
              </w:rPr>
              <w:t>232.43</w:t>
            </w:r>
          </w:p>
        </w:tc>
        <w:tc>
          <w:tcPr>
            <w:tcW w:w="1469" w:type="dxa"/>
            <w:shd w:val="clear" w:color="000000" w:fill="FFFFFF"/>
            <w:vAlign w:val="center"/>
          </w:tcPr>
          <w:p>
            <w:pPr>
              <w:jc w:val="right"/>
              <w:rPr>
                <w:color w:val="000000"/>
                <w:sz w:val="18"/>
                <w:szCs w:val="18"/>
              </w:rPr>
            </w:pPr>
            <w:r>
              <w:rPr>
                <w:color w:val="000000"/>
                <w:sz w:val="20"/>
              </w:rPr>
              <w:t>125.02</w:t>
            </w:r>
          </w:p>
        </w:tc>
        <w:tc>
          <w:tcPr>
            <w:tcW w:w="1469" w:type="dxa"/>
            <w:shd w:val="clear" w:color="000000" w:fill="FFFFFF"/>
            <w:vAlign w:val="center"/>
          </w:tcPr>
          <w:p>
            <w:pPr>
              <w:jc w:val="right"/>
              <w:rPr>
                <w:color w:val="000000"/>
                <w:sz w:val="18"/>
                <w:szCs w:val="18"/>
              </w:rPr>
            </w:pPr>
            <w:r>
              <w:rPr>
                <w:color w:val="000000"/>
                <w:sz w:val="20"/>
              </w:rPr>
              <w:t>17.60</w:t>
            </w:r>
          </w:p>
        </w:tc>
        <w:tc>
          <w:tcPr>
            <w:tcW w:w="1469" w:type="dxa"/>
            <w:shd w:val="clear" w:color="000000" w:fill="FFFFFF"/>
            <w:vAlign w:val="center"/>
          </w:tcPr>
          <w:p>
            <w:pPr>
              <w:jc w:val="right"/>
              <w:rPr>
                <w:color w:val="000000"/>
                <w:sz w:val="20"/>
              </w:rPr>
            </w:pPr>
            <w:r>
              <w:rPr>
                <w:color w:val="000000"/>
                <w:sz w:val="20"/>
              </w:rPr>
              <w:t>8.80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Pr>
          <w:p>
            <w:pPr>
              <w:ind w:firstLine="360" w:firstLineChars="200"/>
              <w:rPr>
                <w:rFonts w:hint="eastAsia" w:ascii="宋体" w:hAnsi="宋体" w:cs="仿宋_GB2312"/>
                <w:sz w:val="18"/>
                <w:szCs w:val="18"/>
              </w:rPr>
            </w:pPr>
            <w:r>
              <w:rPr>
                <w:rFonts w:hint="eastAsia" w:ascii="宋体" w:hAnsi="宋体" w:cs="仿宋_GB2312"/>
                <w:sz w:val="18"/>
                <w:szCs w:val="18"/>
              </w:rPr>
              <w:t>支付银行借款利息</w:t>
            </w:r>
          </w:p>
        </w:tc>
        <w:tc>
          <w:tcPr>
            <w:tcW w:w="1401" w:type="dxa"/>
            <w:shd w:val="clear" w:color="000000" w:fill="FFFFFF"/>
            <w:vAlign w:val="center"/>
          </w:tcPr>
          <w:p>
            <w:pPr>
              <w:jc w:val="center"/>
              <w:rPr>
                <w:rFonts w:hint="eastAsia" w:ascii="宋体" w:hAnsi="宋体" w:cs="仿宋_GB2312"/>
                <w:color w:val="000000"/>
                <w:sz w:val="18"/>
                <w:szCs w:val="18"/>
              </w:rPr>
            </w:pPr>
            <w:r>
              <w:rPr>
                <w:rFonts w:ascii="宋体" w:hAnsi="宋体" w:cs="仿宋_GB2312"/>
                <w:color w:val="000000"/>
                <w:sz w:val="18"/>
                <w:szCs w:val="18"/>
              </w:rPr>
              <w:t>N</w:t>
            </w:r>
          </w:p>
        </w:tc>
        <w:tc>
          <w:tcPr>
            <w:tcW w:w="1401" w:type="dxa"/>
            <w:shd w:val="clear" w:color="000000" w:fill="FFFFFF"/>
            <w:vAlign w:val="center"/>
          </w:tcPr>
          <w:p>
            <w:pPr>
              <w:jc w:val="right"/>
              <w:rPr>
                <w:color w:val="000000"/>
                <w:sz w:val="18"/>
                <w:szCs w:val="18"/>
              </w:rPr>
            </w:pPr>
          </w:p>
        </w:tc>
        <w:tc>
          <w:tcPr>
            <w:tcW w:w="1468" w:type="dxa"/>
            <w:shd w:val="clear" w:color="000000" w:fill="FFFFFF"/>
            <w:vAlign w:val="center"/>
          </w:tcPr>
          <w:p>
            <w:pPr>
              <w:jc w:val="right"/>
              <w:rPr>
                <w:color w:val="000000"/>
                <w:sz w:val="18"/>
                <w:szCs w:val="18"/>
              </w:rPr>
            </w:pPr>
          </w:p>
        </w:tc>
        <w:tc>
          <w:tcPr>
            <w:tcW w:w="1468" w:type="dxa"/>
            <w:shd w:val="clear" w:color="000000" w:fill="FFFFFF"/>
            <w:vAlign w:val="center"/>
          </w:tcPr>
          <w:p>
            <w:pPr>
              <w:jc w:val="right"/>
              <w:rPr>
                <w:color w:val="000000"/>
                <w:sz w:val="18"/>
                <w:szCs w:val="18"/>
              </w:rPr>
            </w:pPr>
          </w:p>
        </w:tc>
        <w:tc>
          <w:tcPr>
            <w:tcW w:w="1469" w:type="dxa"/>
            <w:shd w:val="clear" w:color="000000" w:fill="FFFFFF"/>
            <w:vAlign w:val="center"/>
          </w:tcPr>
          <w:p>
            <w:pPr>
              <w:jc w:val="right"/>
              <w:rPr>
                <w:color w:val="000000"/>
                <w:sz w:val="18"/>
                <w:szCs w:val="18"/>
              </w:rPr>
            </w:pPr>
          </w:p>
        </w:tc>
        <w:tc>
          <w:tcPr>
            <w:tcW w:w="1469" w:type="dxa"/>
            <w:shd w:val="clear" w:color="000000" w:fill="FFFFFF"/>
            <w:vAlign w:val="center"/>
          </w:tcPr>
          <w:p>
            <w:pPr>
              <w:jc w:val="right"/>
              <w:rPr>
                <w:color w:val="000000"/>
                <w:sz w:val="18"/>
                <w:szCs w:val="18"/>
              </w:rPr>
            </w:pPr>
          </w:p>
        </w:tc>
        <w:tc>
          <w:tcPr>
            <w:tcW w:w="1469" w:type="dxa"/>
            <w:shd w:val="clear" w:color="000000" w:fill="FFFFFF"/>
            <w:vAlign w:val="center"/>
          </w:tcPr>
          <w:p>
            <w:pPr>
              <w:jc w:val="right"/>
              <w:rPr>
                <w:color w:val="000000"/>
                <w:sz w:val="18"/>
                <w:szCs w:val="18"/>
              </w:rPr>
            </w:pPr>
          </w:p>
        </w:tc>
        <w:tc>
          <w:tcPr>
            <w:tcW w:w="1469" w:type="dxa"/>
            <w:shd w:val="clear" w:color="000000" w:fill="FFFFFF"/>
            <w:vAlign w:val="center"/>
          </w:tcPr>
          <w:p>
            <w:pPr>
              <w:jc w:val="right"/>
              <w:rPr>
                <w:color w:val="00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融资活动现金净流量</w:t>
            </w:r>
          </w:p>
        </w:tc>
        <w:tc>
          <w:tcPr>
            <w:tcW w:w="1401" w:type="dxa"/>
          </w:tcPr>
          <w:p>
            <w:pPr>
              <w:jc w:val="center"/>
              <w:rPr>
                <w:rFonts w:hint="eastAsia" w:ascii="宋体" w:hAnsi="宋体" w:cs="仿宋_GB2312"/>
                <w:color w:val="000000"/>
                <w:sz w:val="18"/>
                <w:szCs w:val="18"/>
              </w:rPr>
            </w:pPr>
            <w:r>
              <w:rPr>
                <w:rFonts w:ascii="宋体" w:hAnsi="宋体" w:cs="仿宋_GB2312"/>
                <w:color w:val="000000"/>
                <w:sz w:val="13"/>
                <w:szCs w:val="13"/>
              </w:rPr>
              <w:t>O=H+I+J-K-L-M-N</w:t>
            </w:r>
          </w:p>
        </w:tc>
        <w:tc>
          <w:tcPr>
            <w:tcW w:w="1401" w:type="dxa"/>
            <w:vAlign w:val="center"/>
          </w:tcPr>
          <w:p>
            <w:pPr>
              <w:jc w:val="right"/>
              <w:rPr>
                <w:color w:val="000000"/>
                <w:sz w:val="18"/>
                <w:szCs w:val="18"/>
              </w:rPr>
            </w:pPr>
            <w:r>
              <w:rPr>
                <w:color w:val="000000"/>
                <w:sz w:val="20"/>
              </w:rPr>
              <w:t>-232.43</w:t>
            </w:r>
          </w:p>
        </w:tc>
        <w:tc>
          <w:tcPr>
            <w:tcW w:w="1468" w:type="dxa"/>
            <w:vAlign w:val="center"/>
          </w:tcPr>
          <w:p>
            <w:pPr>
              <w:jc w:val="right"/>
              <w:rPr>
                <w:color w:val="000000"/>
                <w:sz w:val="18"/>
                <w:szCs w:val="18"/>
              </w:rPr>
            </w:pPr>
            <w:r>
              <w:rPr>
                <w:color w:val="000000"/>
                <w:sz w:val="20"/>
              </w:rPr>
              <w:t>-232.43</w:t>
            </w:r>
          </w:p>
        </w:tc>
        <w:tc>
          <w:tcPr>
            <w:tcW w:w="1468" w:type="dxa"/>
            <w:vAlign w:val="center"/>
          </w:tcPr>
          <w:p>
            <w:pPr>
              <w:jc w:val="right"/>
              <w:rPr>
                <w:color w:val="000000"/>
                <w:sz w:val="18"/>
                <w:szCs w:val="18"/>
              </w:rPr>
            </w:pPr>
            <w:r>
              <w:rPr>
                <w:color w:val="000000"/>
                <w:sz w:val="20"/>
              </w:rPr>
              <w:t>-232.43</w:t>
            </w:r>
          </w:p>
        </w:tc>
        <w:tc>
          <w:tcPr>
            <w:tcW w:w="1469" w:type="dxa"/>
            <w:shd w:val="clear" w:color="auto" w:fill="auto"/>
            <w:vAlign w:val="center"/>
          </w:tcPr>
          <w:p>
            <w:pPr>
              <w:jc w:val="right"/>
              <w:rPr>
                <w:color w:val="000000"/>
                <w:sz w:val="18"/>
                <w:szCs w:val="18"/>
              </w:rPr>
            </w:pPr>
            <w:r>
              <w:rPr>
                <w:color w:val="000000"/>
                <w:sz w:val="20"/>
              </w:rPr>
              <w:t>-232.43</w:t>
            </w:r>
          </w:p>
        </w:tc>
        <w:tc>
          <w:tcPr>
            <w:tcW w:w="1469" w:type="dxa"/>
            <w:shd w:val="clear" w:color="auto" w:fill="auto"/>
            <w:vAlign w:val="center"/>
          </w:tcPr>
          <w:p>
            <w:pPr>
              <w:jc w:val="right"/>
              <w:rPr>
                <w:color w:val="000000"/>
                <w:sz w:val="18"/>
                <w:szCs w:val="18"/>
              </w:rPr>
            </w:pPr>
            <w:r>
              <w:rPr>
                <w:color w:val="000000"/>
                <w:sz w:val="20"/>
              </w:rPr>
              <w:t>-7,825.02</w:t>
            </w:r>
          </w:p>
        </w:tc>
        <w:tc>
          <w:tcPr>
            <w:tcW w:w="1469" w:type="dxa"/>
            <w:vAlign w:val="center"/>
          </w:tcPr>
          <w:p>
            <w:pPr>
              <w:jc w:val="right"/>
              <w:rPr>
                <w:color w:val="000000"/>
                <w:sz w:val="18"/>
                <w:szCs w:val="18"/>
              </w:rPr>
            </w:pPr>
            <w:r>
              <w:rPr>
                <w:color w:val="000000"/>
                <w:sz w:val="20"/>
              </w:rPr>
              <w:t>-17.60</w:t>
            </w:r>
          </w:p>
        </w:tc>
        <w:tc>
          <w:tcPr>
            <w:tcW w:w="1469" w:type="dxa"/>
            <w:vAlign w:val="center"/>
          </w:tcPr>
          <w:p>
            <w:pPr>
              <w:jc w:val="right"/>
              <w:rPr>
                <w:color w:val="000000"/>
                <w:sz w:val="20"/>
              </w:rPr>
            </w:pPr>
            <w:r>
              <w:rPr>
                <w:color w:val="000000"/>
                <w:sz w:val="20"/>
              </w:rPr>
              <w:t>-1,008.80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rPr>
                <w:rFonts w:hint="eastAsia" w:ascii="宋体" w:hAnsi="宋体" w:cs="仿宋_GB2312"/>
                <w:sz w:val="18"/>
                <w:szCs w:val="18"/>
              </w:rPr>
            </w:pPr>
            <w:r>
              <w:rPr>
                <w:rFonts w:hint="eastAsia" w:ascii="宋体" w:hAnsi="宋体" w:cs="仿宋_GB2312"/>
                <w:sz w:val="18"/>
                <w:szCs w:val="18"/>
              </w:rPr>
              <w:t>四、期初现金</w:t>
            </w:r>
          </w:p>
        </w:tc>
        <w:tc>
          <w:tcPr>
            <w:tcW w:w="1401" w:type="dxa"/>
            <w:vAlign w:val="center"/>
          </w:tcPr>
          <w:p>
            <w:pPr>
              <w:jc w:val="center"/>
              <w:rPr>
                <w:rFonts w:hint="eastAsia" w:ascii="宋体" w:hAnsi="宋体" w:cs="仿宋_GB2312"/>
                <w:color w:val="000000"/>
                <w:sz w:val="18"/>
                <w:szCs w:val="18"/>
              </w:rPr>
            </w:pPr>
            <w:r>
              <w:rPr>
                <w:rFonts w:ascii="宋体" w:hAnsi="宋体" w:cs="仿宋_GB2312"/>
                <w:color w:val="000000"/>
                <w:sz w:val="18"/>
                <w:szCs w:val="18"/>
              </w:rPr>
              <w:t>P</w:t>
            </w:r>
          </w:p>
        </w:tc>
        <w:tc>
          <w:tcPr>
            <w:tcW w:w="1401" w:type="dxa"/>
            <w:vAlign w:val="center"/>
          </w:tcPr>
          <w:p>
            <w:pPr>
              <w:jc w:val="right"/>
              <w:rPr>
                <w:color w:val="000000"/>
                <w:sz w:val="18"/>
                <w:szCs w:val="18"/>
              </w:rPr>
            </w:pPr>
            <w:r>
              <w:rPr>
                <w:color w:val="000000"/>
                <w:sz w:val="20"/>
              </w:rPr>
              <w:t>15,583.18</w:t>
            </w:r>
          </w:p>
        </w:tc>
        <w:tc>
          <w:tcPr>
            <w:tcW w:w="1468" w:type="dxa"/>
            <w:vAlign w:val="center"/>
          </w:tcPr>
          <w:p>
            <w:pPr>
              <w:jc w:val="right"/>
              <w:rPr>
                <w:color w:val="000000"/>
                <w:sz w:val="18"/>
                <w:szCs w:val="18"/>
              </w:rPr>
            </w:pPr>
            <w:r>
              <w:rPr>
                <w:color w:val="000000"/>
                <w:sz w:val="20"/>
              </w:rPr>
              <w:t>15,985.75</w:t>
            </w:r>
          </w:p>
        </w:tc>
        <w:tc>
          <w:tcPr>
            <w:tcW w:w="1468" w:type="dxa"/>
            <w:vAlign w:val="center"/>
          </w:tcPr>
          <w:p>
            <w:pPr>
              <w:jc w:val="right"/>
              <w:rPr>
                <w:color w:val="000000"/>
                <w:sz w:val="18"/>
                <w:szCs w:val="18"/>
              </w:rPr>
            </w:pPr>
            <w:r>
              <w:rPr>
                <w:color w:val="000000"/>
                <w:sz w:val="20"/>
              </w:rPr>
              <w:t>16,388.32</w:t>
            </w:r>
          </w:p>
        </w:tc>
        <w:tc>
          <w:tcPr>
            <w:tcW w:w="1469" w:type="dxa"/>
            <w:shd w:val="clear" w:color="auto" w:fill="auto"/>
            <w:vAlign w:val="center"/>
          </w:tcPr>
          <w:p>
            <w:pPr>
              <w:jc w:val="right"/>
              <w:rPr>
                <w:color w:val="000000"/>
                <w:sz w:val="18"/>
                <w:szCs w:val="18"/>
              </w:rPr>
            </w:pPr>
            <w:r>
              <w:rPr>
                <w:color w:val="000000"/>
                <w:sz w:val="20"/>
              </w:rPr>
              <w:t>16,790.89</w:t>
            </w:r>
          </w:p>
        </w:tc>
        <w:tc>
          <w:tcPr>
            <w:tcW w:w="1469" w:type="dxa"/>
            <w:shd w:val="clear" w:color="auto" w:fill="auto"/>
            <w:vAlign w:val="center"/>
          </w:tcPr>
          <w:p>
            <w:pPr>
              <w:jc w:val="right"/>
              <w:rPr>
                <w:color w:val="000000"/>
                <w:sz w:val="18"/>
                <w:szCs w:val="18"/>
              </w:rPr>
            </w:pPr>
            <w:r>
              <w:rPr>
                <w:color w:val="000000"/>
                <w:sz w:val="20"/>
              </w:rPr>
              <w:t>17,193.46</w:t>
            </w:r>
          </w:p>
        </w:tc>
        <w:tc>
          <w:tcPr>
            <w:tcW w:w="1469" w:type="dxa"/>
            <w:vAlign w:val="center"/>
          </w:tcPr>
          <w:p>
            <w:pPr>
              <w:jc w:val="right"/>
              <w:rPr>
                <w:color w:val="000000"/>
                <w:sz w:val="18"/>
                <w:szCs w:val="18"/>
              </w:rPr>
            </w:pPr>
            <w:r>
              <w:rPr>
                <w:color w:val="000000"/>
                <w:sz w:val="20"/>
              </w:rPr>
              <w:t>10,003.44</w:t>
            </w:r>
          </w:p>
        </w:tc>
        <w:tc>
          <w:tcPr>
            <w:tcW w:w="1469" w:type="dxa"/>
            <w:vAlign w:val="center"/>
          </w:tcPr>
          <w:p>
            <w:pPr>
              <w:jc w:val="right"/>
              <w:rPr>
                <w:color w:val="000000"/>
                <w:sz w:val="20"/>
              </w:rPr>
            </w:pPr>
            <w:r>
              <w:rPr>
                <w:color w:val="000000"/>
                <w:sz w:val="20"/>
              </w:rPr>
              <w:t>10,620.84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vAlign w:val="center"/>
          </w:tcPr>
          <w:p>
            <w:pPr>
              <w:ind w:firstLine="360" w:firstLineChars="200"/>
              <w:rPr>
                <w:rFonts w:hint="eastAsia" w:ascii="宋体" w:hAnsi="宋体" w:cs="仿宋_GB2312"/>
                <w:sz w:val="18"/>
                <w:szCs w:val="18"/>
              </w:rPr>
            </w:pPr>
            <w:r>
              <w:rPr>
                <w:rFonts w:hint="eastAsia" w:ascii="宋体" w:hAnsi="宋体" w:cs="仿宋_GB2312"/>
                <w:sz w:val="18"/>
                <w:szCs w:val="18"/>
              </w:rPr>
              <w:t>期内现金变动</w:t>
            </w:r>
          </w:p>
        </w:tc>
        <w:tc>
          <w:tcPr>
            <w:tcW w:w="1401" w:type="dxa"/>
            <w:vAlign w:val="center"/>
          </w:tcPr>
          <w:p>
            <w:pPr>
              <w:jc w:val="center"/>
              <w:rPr>
                <w:rFonts w:hint="eastAsia" w:ascii="宋体" w:hAnsi="宋体" w:cs="仿宋_GB2312"/>
                <w:color w:val="000000"/>
                <w:sz w:val="18"/>
                <w:szCs w:val="18"/>
              </w:rPr>
            </w:pPr>
            <w:r>
              <w:rPr>
                <w:rFonts w:ascii="宋体" w:hAnsi="宋体" w:cs="仿宋_GB2312"/>
                <w:color w:val="000000"/>
                <w:sz w:val="18"/>
                <w:szCs w:val="18"/>
              </w:rPr>
              <w:t>Q=D+G+O</w:t>
            </w:r>
          </w:p>
        </w:tc>
        <w:tc>
          <w:tcPr>
            <w:tcW w:w="1401" w:type="dxa"/>
            <w:vAlign w:val="center"/>
          </w:tcPr>
          <w:p>
            <w:pPr>
              <w:jc w:val="right"/>
              <w:rPr>
                <w:color w:val="000000"/>
                <w:sz w:val="18"/>
                <w:szCs w:val="18"/>
              </w:rPr>
            </w:pPr>
            <w:r>
              <w:rPr>
                <w:color w:val="000000"/>
                <w:sz w:val="20"/>
              </w:rPr>
              <w:t>402.57</w:t>
            </w:r>
          </w:p>
        </w:tc>
        <w:tc>
          <w:tcPr>
            <w:tcW w:w="1468" w:type="dxa"/>
            <w:vAlign w:val="center"/>
          </w:tcPr>
          <w:p>
            <w:pPr>
              <w:jc w:val="right"/>
              <w:rPr>
                <w:color w:val="000000"/>
                <w:sz w:val="18"/>
                <w:szCs w:val="18"/>
              </w:rPr>
            </w:pPr>
            <w:r>
              <w:rPr>
                <w:color w:val="000000"/>
                <w:sz w:val="20"/>
              </w:rPr>
              <w:t>402.57</w:t>
            </w:r>
          </w:p>
        </w:tc>
        <w:tc>
          <w:tcPr>
            <w:tcW w:w="1468" w:type="dxa"/>
            <w:vAlign w:val="center"/>
          </w:tcPr>
          <w:p>
            <w:pPr>
              <w:jc w:val="right"/>
              <w:rPr>
                <w:color w:val="000000"/>
                <w:sz w:val="18"/>
                <w:szCs w:val="18"/>
              </w:rPr>
            </w:pPr>
            <w:r>
              <w:rPr>
                <w:color w:val="000000"/>
                <w:sz w:val="20"/>
              </w:rPr>
              <w:t>402.57</w:t>
            </w:r>
          </w:p>
        </w:tc>
        <w:tc>
          <w:tcPr>
            <w:tcW w:w="1469" w:type="dxa"/>
            <w:shd w:val="clear" w:color="auto" w:fill="auto"/>
            <w:vAlign w:val="center"/>
          </w:tcPr>
          <w:p>
            <w:pPr>
              <w:jc w:val="right"/>
              <w:rPr>
                <w:color w:val="000000"/>
                <w:sz w:val="18"/>
                <w:szCs w:val="18"/>
              </w:rPr>
            </w:pPr>
            <w:r>
              <w:rPr>
                <w:color w:val="000000"/>
                <w:sz w:val="20"/>
              </w:rPr>
              <w:t>402.57</w:t>
            </w:r>
          </w:p>
        </w:tc>
        <w:tc>
          <w:tcPr>
            <w:tcW w:w="1469" w:type="dxa"/>
            <w:shd w:val="clear" w:color="auto" w:fill="auto"/>
            <w:vAlign w:val="center"/>
          </w:tcPr>
          <w:p>
            <w:pPr>
              <w:jc w:val="right"/>
              <w:rPr>
                <w:color w:val="000000"/>
                <w:sz w:val="18"/>
                <w:szCs w:val="18"/>
              </w:rPr>
            </w:pPr>
            <w:r>
              <w:rPr>
                <w:color w:val="000000"/>
                <w:sz w:val="20"/>
              </w:rPr>
              <w:t>-7,190.02</w:t>
            </w:r>
          </w:p>
        </w:tc>
        <w:tc>
          <w:tcPr>
            <w:tcW w:w="1469" w:type="dxa"/>
            <w:vAlign w:val="center"/>
          </w:tcPr>
          <w:p>
            <w:pPr>
              <w:jc w:val="right"/>
              <w:rPr>
                <w:color w:val="000000"/>
                <w:sz w:val="18"/>
                <w:szCs w:val="18"/>
              </w:rPr>
            </w:pPr>
            <w:r>
              <w:rPr>
                <w:color w:val="000000"/>
                <w:sz w:val="20"/>
              </w:rPr>
              <w:t>617.40</w:t>
            </w:r>
          </w:p>
        </w:tc>
        <w:tc>
          <w:tcPr>
            <w:tcW w:w="1469" w:type="dxa"/>
            <w:vAlign w:val="center"/>
          </w:tcPr>
          <w:p>
            <w:pPr>
              <w:jc w:val="right"/>
              <w:rPr>
                <w:color w:val="000000"/>
                <w:sz w:val="20"/>
              </w:rPr>
            </w:pPr>
            <w:r>
              <w:rPr>
                <w:color w:val="000000"/>
                <w:sz w:val="20"/>
              </w:rPr>
              <w:t>-373.80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611" w:type="dxa"/>
            <w:tcBorders>
              <w:bottom w:val="single" w:color="auto" w:sz="8" w:space="0"/>
            </w:tcBorders>
            <w:vAlign w:val="center"/>
          </w:tcPr>
          <w:p>
            <w:pPr>
              <w:rPr>
                <w:rFonts w:hint="eastAsia" w:ascii="宋体" w:hAnsi="宋体" w:cs="仿宋_GB2312"/>
                <w:sz w:val="18"/>
                <w:szCs w:val="18"/>
              </w:rPr>
            </w:pPr>
            <w:r>
              <w:rPr>
                <w:rFonts w:hint="eastAsia" w:ascii="宋体" w:hAnsi="宋体" w:cs="仿宋_GB2312"/>
                <w:sz w:val="18"/>
                <w:szCs w:val="18"/>
              </w:rPr>
              <w:t>五、期末现金</w:t>
            </w:r>
          </w:p>
        </w:tc>
        <w:tc>
          <w:tcPr>
            <w:tcW w:w="1401" w:type="dxa"/>
            <w:tcBorders>
              <w:bottom w:val="single" w:color="auto" w:sz="8" w:space="0"/>
            </w:tcBorders>
            <w:vAlign w:val="center"/>
          </w:tcPr>
          <w:p>
            <w:pPr>
              <w:jc w:val="center"/>
              <w:rPr>
                <w:rFonts w:hint="eastAsia" w:ascii="宋体" w:hAnsi="宋体" w:cs="仿宋_GB2312"/>
                <w:color w:val="000000"/>
                <w:sz w:val="18"/>
                <w:szCs w:val="18"/>
              </w:rPr>
            </w:pPr>
            <w:r>
              <w:rPr>
                <w:rFonts w:ascii="宋体" w:hAnsi="宋体" w:cs="仿宋_GB2312"/>
                <w:color w:val="000000"/>
                <w:sz w:val="18"/>
                <w:szCs w:val="18"/>
              </w:rPr>
              <w:t>R=P+Q</w:t>
            </w:r>
          </w:p>
        </w:tc>
        <w:tc>
          <w:tcPr>
            <w:tcW w:w="1401" w:type="dxa"/>
            <w:tcBorders>
              <w:bottom w:val="single" w:color="auto" w:sz="8" w:space="0"/>
            </w:tcBorders>
            <w:vAlign w:val="center"/>
          </w:tcPr>
          <w:p>
            <w:pPr>
              <w:jc w:val="right"/>
              <w:rPr>
                <w:color w:val="000000"/>
                <w:sz w:val="18"/>
                <w:szCs w:val="18"/>
              </w:rPr>
            </w:pPr>
            <w:r>
              <w:rPr>
                <w:color w:val="000000"/>
                <w:sz w:val="20"/>
              </w:rPr>
              <w:t>15,985.75</w:t>
            </w:r>
          </w:p>
        </w:tc>
        <w:tc>
          <w:tcPr>
            <w:tcW w:w="1468" w:type="dxa"/>
            <w:tcBorders>
              <w:bottom w:val="single" w:color="auto" w:sz="8" w:space="0"/>
            </w:tcBorders>
            <w:vAlign w:val="center"/>
          </w:tcPr>
          <w:p>
            <w:pPr>
              <w:jc w:val="right"/>
              <w:rPr>
                <w:color w:val="000000"/>
                <w:sz w:val="18"/>
                <w:szCs w:val="18"/>
              </w:rPr>
            </w:pPr>
            <w:r>
              <w:rPr>
                <w:color w:val="000000"/>
                <w:sz w:val="20"/>
              </w:rPr>
              <w:t>16,388.32</w:t>
            </w:r>
          </w:p>
        </w:tc>
        <w:tc>
          <w:tcPr>
            <w:tcW w:w="1468" w:type="dxa"/>
            <w:tcBorders>
              <w:bottom w:val="single" w:color="auto" w:sz="8" w:space="0"/>
            </w:tcBorders>
            <w:vAlign w:val="center"/>
          </w:tcPr>
          <w:p>
            <w:pPr>
              <w:jc w:val="right"/>
              <w:rPr>
                <w:color w:val="000000"/>
                <w:sz w:val="18"/>
                <w:szCs w:val="18"/>
              </w:rPr>
            </w:pPr>
            <w:r>
              <w:rPr>
                <w:color w:val="000000"/>
                <w:sz w:val="20"/>
              </w:rPr>
              <w:t>16,790.89</w:t>
            </w:r>
          </w:p>
        </w:tc>
        <w:tc>
          <w:tcPr>
            <w:tcW w:w="1469" w:type="dxa"/>
            <w:tcBorders>
              <w:bottom w:val="single" w:color="auto" w:sz="8" w:space="0"/>
            </w:tcBorders>
            <w:shd w:val="clear" w:color="auto" w:fill="auto"/>
            <w:vAlign w:val="center"/>
          </w:tcPr>
          <w:p>
            <w:pPr>
              <w:jc w:val="right"/>
              <w:rPr>
                <w:color w:val="000000"/>
                <w:sz w:val="18"/>
                <w:szCs w:val="18"/>
              </w:rPr>
            </w:pPr>
            <w:r>
              <w:rPr>
                <w:color w:val="000000"/>
                <w:sz w:val="20"/>
              </w:rPr>
              <w:t>17,193.46</w:t>
            </w:r>
          </w:p>
        </w:tc>
        <w:tc>
          <w:tcPr>
            <w:tcW w:w="1469" w:type="dxa"/>
            <w:tcBorders>
              <w:bottom w:val="single" w:color="auto" w:sz="8" w:space="0"/>
            </w:tcBorders>
            <w:shd w:val="clear" w:color="auto" w:fill="auto"/>
            <w:vAlign w:val="center"/>
          </w:tcPr>
          <w:p>
            <w:pPr>
              <w:jc w:val="right"/>
              <w:rPr>
                <w:color w:val="000000"/>
                <w:sz w:val="18"/>
                <w:szCs w:val="18"/>
              </w:rPr>
            </w:pPr>
            <w:r>
              <w:rPr>
                <w:color w:val="000000"/>
                <w:sz w:val="20"/>
              </w:rPr>
              <w:t>10,003.44</w:t>
            </w:r>
          </w:p>
        </w:tc>
        <w:tc>
          <w:tcPr>
            <w:tcW w:w="1469" w:type="dxa"/>
            <w:tcBorders>
              <w:bottom w:val="single" w:color="auto" w:sz="8" w:space="0"/>
            </w:tcBorders>
            <w:vAlign w:val="center"/>
          </w:tcPr>
          <w:p>
            <w:pPr>
              <w:jc w:val="right"/>
              <w:rPr>
                <w:color w:val="000000"/>
                <w:sz w:val="18"/>
                <w:szCs w:val="18"/>
              </w:rPr>
            </w:pPr>
            <w:r>
              <w:rPr>
                <w:color w:val="000000"/>
                <w:sz w:val="20"/>
              </w:rPr>
              <w:t>10,620.84</w:t>
            </w:r>
          </w:p>
        </w:tc>
        <w:tc>
          <w:tcPr>
            <w:tcW w:w="1469" w:type="dxa"/>
            <w:tcBorders>
              <w:bottom w:val="single" w:color="auto" w:sz="8" w:space="0"/>
            </w:tcBorders>
            <w:vAlign w:val="center"/>
          </w:tcPr>
          <w:p>
            <w:pPr>
              <w:jc w:val="right"/>
              <w:rPr>
                <w:color w:val="000000"/>
                <w:sz w:val="20"/>
              </w:rPr>
            </w:pPr>
            <w:r>
              <w:rPr>
                <w:color w:val="000000"/>
                <w:sz w:val="20"/>
              </w:rPr>
              <w:t>10,247.04</w:t>
            </w:r>
          </w:p>
        </w:tc>
      </w:tr>
      <w:bookmarkEnd w:id="47"/>
    </w:tbl>
    <w:p>
      <w:pPr>
        <w:pStyle w:val="4"/>
        <w:ind w:firstLine="0" w:firstLineChars="0"/>
        <w:rPr>
          <w:color w:val="000000" w:themeColor="text1"/>
          <w14:textFill>
            <w14:solidFill>
              <w14:schemeClr w14:val="tx1"/>
            </w14:solidFill>
          </w14:textFill>
        </w:rPr>
        <w:sectPr>
          <w:footerReference r:id="rId6" w:type="default"/>
          <w:pgSz w:w="16838" w:h="11906" w:orient="landscape"/>
          <w:pgMar w:top="1701" w:right="2041" w:bottom="1701" w:left="2041" w:header="850" w:footer="567" w:gutter="0"/>
          <w:cols w:space="0" w:num="1"/>
          <w:docGrid w:type="lines" w:linePitch="314" w:charSpace="0"/>
        </w:sectPr>
      </w:pPr>
    </w:p>
    <w:bookmarkEnd w:id="43"/>
    <w:bookmarkEnd w:id="44"/>
    <w:p>
      <w:pPr>
        <w:pStyle w:val="3"/>
        <w:ind w:firstLine="640"/>
        <w:rPr>
          <w:color w:val="000000" w:themeColor="text1"/>
          <w14:textFill>
            <w14:solidFill>
              <w14:schemeClr w14:val="tx1"/>
            </w14:solidFill>
          </w14:textFill>
        </w:rPr>
      </w:pPr>
      <w:bookmarkStart w:id="48" w:name="_Toc39820851"/>
      <w:r>
        <w:rPr>
          <w:rFonts w:hint="eastAsia"/>
          <w:color w:val="000000" w:themeColor="text1"/>
          <w14:textFill>
            <w14:solidFill>
              <w14:schemeClr w14:val="tx1"/>
            </w14:solidFill>
          </w14:textFill>
        </w:rPr>
        <w:t>5、本息覆盖倍数</w:t>
      </w:r>
    </w:p>
    <w:p>
      <w:pPr>
        <w:pStyle w:val="36"/>
        <w:rPr>
          <w:color w:val="000000" w:themeColor="text1"/>
          <w14:textFill>
            <w14:solidFill>
              <w14:schemeClr w14:val="tx1"/>
            </w14:solidFill>
          </w14:textFill>
        </w:rPr>
      </w:pPr>
      <w:bookmarkStart w:id="49" w:name="_Hlk200651723"/>
      <w:r>
        <w:rPr>
          <w:rFonts w:hint="eastAsia"/>
          <w:color w:val="000000" w:themeColor="text1"/>
          <w14:textFill>
            <w14:solidFill>
              <w14:schemeClr w14:val="tx1"/>
            </w14:solidFill>
          </w14:textFill>
        </w:rPr>
        <w:t>表7</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现金流覆盖情况表（单位：万元）</w:t>
      </w:r>
    </w:p>
    <w:tbl>
      <w:tblPr>
        <w:tblStyle w:val="18"/>
        <w:tblW w:w="5000"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453"/>
        <w:gridCol w:w="1453"/>
        <w:gridCol w:w="1622"/>
        <w:gridCol w:w="2098"/>
      </w:tblGrid>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vMerge w:val="restart"/>
            <w:noWrap/>
            <w:vAlign w:val="center"/>
          </w:tcPr>
          <w:p>
            <w:pPr>
              <w:pStyle w:val="36"/>
              <w:rPr>
                <w:rFonts w:hint="eastAsia" w:ascii="黑体" w:hAnsi="黑体" w:eastAsia="黑体" w:cs="仿宋_GB2312"/>
                <w:color w:val="000000" w:themeColor="text1"/>
                <w:sz w:val="21"/>
                <w:szCs w:val="21"/>
                <w14:textFill>
                  <w14:solidFill>
                    <w14:schemeClr w14:val="tx1"/>
                  </w14:solidFill>
                </w14:textFill>
              </w:rPr>
            </w:pPr>
            <w:r>
              <w:rPr>
                <w:rFonts w:hint="eastAsia" w:ascii="黑体" w:hAnsi="黑体" w:eastAsia="黑体" w:cs="仿宋_GB2312"/>
                <w:color w:val="000000" w:themeColor="text1"/>
                <w:sz w:val="21"/>
                <w:szCs w:val="21"/>
                <w14:textFill>
                  <w14:solidFill>
                    <w14:schemeClr w14:val="tx1"/>
                  </w14:solidFill>
                </w14:textFill>
              </w:rPr>
              <w:t>融资方式</w:t>
            </w:r>
          </w:p>
        </w:tc>
        <w:tc>
          <w:tcPr>
            <w:tcW w:w="2596" w:type="pct"/>
            <w:gridSpan w:val="3"/>
            <w:noWrap/>
            <w:vAlign w:val="center"/>
          </w:tcPr>
          <w:p>
            <w:pPr>
              <w:pStyle w:val="36"/>
              <w:ind w:firstLine="360"/>
              <w:rPr>
                <w:rFonts w:hint="eastAsia" w:ascii="黑体" w:hAnsi="黑体" w:eastAsia="黑体" w:cs="仿宋_GB2312"/>
                <w:color w:val="000000" w:themeColor="text1"/>
                <w:sz w:val="21"/>
                <w:szCs w:val="21"/>
                <w14:textFill>
                  <w14:solidFill>
                    <w14:schemeClr w14:val="tx1"/>
                  </w14:solidFill>
                </w14:textFill>
              </w:rPr>
            </w:pPr>
            <w:r>
              <w:rPr>
                <w:rFonts w:hint="eastAsia" w:ascii="黑体" w:hAnsi="黑体" w:eastAsia="黑体" w:cs="仿宋_GB2312"/>
                <w:color w:val="000000" w:themeColor="text1"/>
                <w:sz w:val="21"/>
                <w:szCs w:val="21"/>
                <w14:textFill>
                  <w14:solidFill>
                    <w14:schemeClr w14:val="tx1"/>
                  </w14:solidFill>
                </w14:textFill>
              </w:rPr>
              <w:t>借贷本息支付</w:t>
            </w:r>
          </w:p>
        </w:tc>
        <w:tc>
          <w:tcPr>
            <w:tcW w:w="1203" w:type="pct"/>
            <w:vMerge w:val="restart"/>
            <w:noWrap/>
            <w:vAlign w:val="center"/>
          </w:tcPr>
          <w:p>
            <w:pPr>
              <w:pStyle w:val="36"/>
              <w:rPr>
                <w:rFonts w:hint="eastAsia" w:ascii="黑体" w:hAnsi="黑体" w:eastAsia="黑体" w:cs="仿宋_GB2312"/>
                <w:color w:val="000000" w:themeColor="text1"/>
                <w:sz w:val="21"/>
                <w:szCs w:val="21"/>
                <w14:textFill>
                  <w14:solidFill>
                    <w14:schemeClr w14:val="tx1"/>
                  </w14:solidFill>
                </w14:textFill>
              </w:rPr>
            </w:pPr>
            <w:r>
              <w:rPr>
                <w:rFonts w:hint="eastAsia" w:ascii="黑体" w:hAnsi="黑体" w:eastAsia="黑体" w:cs="仿宋_GB2312"/>
                <w:color w:val="000000" w:themeColor="text1"/>
                <w:sz w:val="21"/>
                <w:szCs w:val="21"/>
                <w14:textFill>
                  <w14:solidFill>
                    <w14:schemeClr w14:val="tx1"/>
                  </w14:solidFill>
                </w14:textFill>
              </w:rPr>
              <w:t>项目净现金流入</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vMerge w:val="continue"/>
            <w:noWrap/>
            <w:vAlign w:val="center"/>
          </w:tcPr>
          <w:p>
            <w:pPr>
              <w:pStyle w:val="36"/>
              <w:ind w:firstLine="360"/>
              <w:rPr>
                <w:rFonts w:hint="eastAsia" w:ascii="黑体" w:hAnsi="黑体" w:eastAsia="黑体" w:cs="仿宋_GB2312"/>
                <w:color w:val="000000" w:themeColor="text1"/>
                <w:sz w:val="18"/>
                <w:szCs w:val="18"/>
                <w14:textFill>
                  <w14:solidFill>
                    <w14:schemeClr w14:val="tx1"/>
                  </w14:solidFill>
                </w14:textFill>
              </w:rPr>
            </w:pPr>
          </w:p>
        </w:tc>
        <w:tc>
          <w:tcPr>
            <w:tcW w:w="833" w:type="pct"/>
            <w:noWrap/>
            <w:vAlign w:val="center"/>
          </w:tcPr>
          <w:p>
            <w:pPr>
              <w:pStyle w:val="36"/>
              <w:rPr>
                <w:rFonts w:hint="eastAsia" w:ascii="黑体" w:hAnsi="黑体" w:eastAsia="黑体" w:cs="仿宋_GB2312"/>
                <w:color w:val="000000" w:themeColor="text1"/>
                <w:sz w:val="18"/>
                <w:szCs w:val="18"/>
                <w14:textFill>
                  <w14:solidFill>
                    <w14:schemeClr w14:val="tx1"/>
                  </w14:solidFill>
                </w14:textFill>
              </w:rPr>
            </w:pPr>
            <w:r>
              <w:rPr>
                <w:rFonts w:hint="eastAsia" w:ascii="黑体" w:hAnsi="黑体" w:eastAsia="黑体" w:cs="仿宋_GB2312"/>
                <w:color w:val="000000" w:themeColor="text1"/>
                <w:sz w:val="18"/>
                <w:szCs w:val="18"/>
                <w14:textFill>
                  <w14:solidFill>
                    <w14:schemeClr w14:val="tx1"/>
                  </w14:solidFill>
                </w14:textFill>
              </w:rPr>
              <w:t>本金</w:t>
            </w:r>
          </w:p>
        </w:tc>
        <w:tc>
          <w:tcPr>
            <w:tcW w:w="833" w:type="pct"/>
            <w:noWrap/>
            <w:vAlign w:val="center"/>
          </w:tcPr>
          <w:p>
            <w:pPr>
              <w:pStyle w:val="36"/>
              <w:rPr>
                <w:rFonts w:hint="eastAsia" w:ascii="黑体" w:hAnsi="黑体" w:eastAsia="黑体" w:cs="仿宋_GB2312"/>
                <w:color w:val="000000" w:themeColor="text1"/>
                <w:sz w:val="18"/>
                <w:szCs w:val="18"/>
                <w14:textFill>
                  <w14:solidFill>
                    <w14:schemeClr w14:val="tx1"/>
                  </w14:solidFill>
                </w14:textFill>
              </w:rPr>
            </w:pPr>
            <w:r>
              <w:rPr>
                <w:rFonts w:hint="eastAsia" w:ascii="黑体" w:hAnsi="黑体" w:eastAsia="黑体" w:cs="仿宋_GB2312"/>
                <w:color w:val="000000" w:themeColor="text1"/>
                <w:sz w:val="18"/>
                <w:szCs w:val="18"/>
                <w14:textFill>
                  <w14:solidFill>
                    <w14:schemeClr w14:val="tx1"/>
                  </w14:solidFill>
                </w14:textFill>
              </w:rPr>
              <w:t>利息</w:t>
            </w:r>
          </w:p>
        </w:tc>
        <w:tc>
          <w:tcPr>
            <w:tcW w:w="930" w:type="pct"/>
            <w:noWrap/>
            <w:vAlign w:val="center"/>
          </w:tcPr>
          <w:p>
            <w:pPr>
              <w:pStyle w:val="36"/>
              <w:rPr>
                <w:rFonts w:hint="eastAsia" w:ascii="黑体" w:hAnsi="黑体" w:eastAsia="黑体" w:cs="仿宋_GB2312"/>
                <w:color w:val="000000" w:themeColor="text1"/>
                <w:sz w:val="18"/>
                <w:szCs w:val="18"/>
                <w14:textFill>
                  <w14:solidFill>
                    <w14:schemeClr w14:val="tx1"/>
                  </w14:solidFill>
                </w14:textFill>
              </w:rPr>
            </w:pPr>
            <w:r>
              <w:rPr>
                <w:rFonts w:hint="eastAsia" w:ascii="黑体" w:hAnsi="黑体" w:eastAsia="黑体" w:cs="仿宋_GB2312"/>
                <w:color w:val="000000" w:themeColor="text1"/>
                <w:sz w:val="18"/>
                <w:szCs w:val="18"/>
                <w14:textFill>
                  <w14:solidFill>
                    <w14:schemeClr w14:val="tx1"/>
                  </w14:solidFill>
                </w14:textFill>
              </w:rPr>
              <w:t>本息合计</w:t>
            </w:r>
          </w:p>
        </w:tc>
        <w:tc>
          <w:tcPr>
            <w:tcW w:w="1203" w:type="pct"/>
            <w:vMerge w:val="continue"/>
            <w:noWrap/>
            <w:vAlign w:val="center"/>
          </w:tcPr>
          <w:p>
            <w:pPr>
              <w:pStyle w:val="36"/>
              <w:ind w:firstLine="360"/>
              <w:rPr>
                <w:rFonts w:hint="eastAsia" w:ascii="仿宋_GB2312" w:hAnsi="仿宋_GB2312" w:eastAsia="仿宋_GB2312" w:cs="仿宋_GB2312"/>
                <w:color w:val="000000" w:themeColor="text1"/>
                <w:sz w:val="18"/>
                <w:szCs w:val="18"/>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6"/>
              <w:rPr>
                <w:rFonts w:hint="eastAsia" w:ascii="宋体" w:hAnsi="宋体" w:eastAsia="宋体" w:cs="仿宋_GB2312"/>
                <w:color w:val="000000" w:themeColor="text1"/>
                <w:sz w:val="21"/>
                <w:szCs w:val="21"/>
                <w14:textFill>
                  <w14:solidFill>
                    <w14:schemeClr w14:val="tx1"/>
                  </w14:solidFill>
                </w14:textFill>
              </w:rPr>
            </w:pPr>
            <w:r>
              <w:rPr>
                <w:rFonts w:hint="eastAsia" w:ascii="宋体" w:hAnsi="宋体" w:eastAsia="宋体" w:cs="仿宋_GB2312"/>
                <w:color w:val="000000" w:themeColor="text1"/>
                <w:sz w:val="21"/>
                <w:szCs w:val="21"/>
                <w14:textFill>
                  <w14:solidFill>
                    <w14:schemeClr w14:val="tx1"/>
                  </w14:solidFill>
                </w14:textFill>
              </w:rPr>
              <w:t>专项债券</w:t>
            </w: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8,700.00</w:t>
            </w: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2,324.31</w:t>
            </w:r>
          </w:p>
        </w:tc>
        <w:tc>
          <w:tcPr>
            <w:tcW w:w="930"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11,024.31</w:t>
            </w:r>
          </w:p>
        </w:tc>
        <w:tc>
          <w:tcPr>
            <w:tcW w:w="1203" w:type="pct"/>
            <w:vMerge w:val="restart"/>
            <w:noWrap/>
            <w:vAlign w:val="center"/>
          </w:tcPr>
          <w:p>
            <w:pPr>
              <w:widowControl/>
              <w:jc w:val="right"/>
              <w:rPr>
                <w:rFonts w:eastAsia="仿宋"/>
                <w:color w:val="000000" w:themeColor="text1"/>
                <w:szCs w:val="21"/>
                <w14:textFill>
                  <w14:solidFill>
                    <w14:schemeClr w14:val="tx1"/>
                  </w14:solidFill>
                </w14:textFill>
              </w:rPr>
            </w:pPr>
            <w:r>
              <w:rPr>
                <w:rFonts w:eastAsia="仿宋"/>
                <w:color w:val="000000" w:themeColor="text1"/>
                <w:szCs w:val="21"/>
                <w14:textFill>
                  <w14:solidFill>
                    <w14:schemeClr w14:val="tx1"/>
                  </w14:solidFill>
                </w14:textFill>
              </w:rPr>
              <w:t>20,609.25</w:t>
            </w: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6"/>
              <w:rPr>
                <w:rFonts w:hint="eastAsia" w:ascii="宋体" w:hAnsi="宋体" w:eastAsia="宋体" w:cs="仿宋_GB2312"/>
                <w:color w:val="000000" w:themeColor="text1"/>
                <w:sz w:val="21"/>
                <w:szCs w:val="21"/>
                <w14:textFill>
                  <w14:solidFill>
                    <w14:schemeClr w14:val="tx1"/>
                  </w14:solidFill>
                </w14:textFill>
              </w:rPr>
            </w:pPr>
            <w:r>
              <w:rPr>
                <w:rFonts w:hint="eastAsia" w:ascii="宋体" w:hAnsi="宋体" w:eastAsia="宋体" w:cs="仿宋_GB2312"/>
                <w:color w:val="000000" w:themeColor="text1"/>
                <w:sz w:val="21"/>
                <w:szCs w:val="21"/>
                <w14:textFill>
                  <w14:solidFill>
                    <w14:schemeClr w14:val="tx1"/>
                  </w14:solidFill>
                </w14:textFill>
              </w:rPr>
              <w:t>其他融资</w:t>
            </w: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p>
        </w:tc>
        <w:tc>
          <w:tcPr>
            <w:tcW w:w="930"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p>
        </w:tc>
        <w:tc>
          <w:tcPr>
            <w:tcW w:w="1203" w:type="pct"/>
            <w:vMerge w:val="continue"/>
            <w:noWrap/>
            <w:vAlign w:val="center"/>
          </w:tcPr>
          <w:p>
            <w:pPr>
              <w:pStyle w:val="36"/>
              <w:ind w:firstLine="360"/>
              <w:jc w:val="right"/>
              <w:rPr>
                <w:rFonts w:eastAsia="仿宋" w:cs="Times New Roman"/>
                <w:color w:val="000000" w:themeColor="text1"/>
                <w:sz w:val="18"/>
                <w:szCs w:val="18"/>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6"/>
              <w:rPr>
                <w:rFonts w:hint="eastAsia" w:ascii="宋体" w:hAnsi="宋体" w:eastAsia="宋体" w:cs="仿宋_GB2312"/>
                <w:color w:val="000000" w:themeColor="text1"/>
                <w:sz w:val="21"/>
                <w:szCs w:val="21"/>
                <w14:textFill>
                  <w14:solidFill>
                    <w14:schemeClr w14:val="tx1"/>
                  </w14:solidFill>
                </w14:textFill>
              </w:rPr>
            </w:pPr>
            <w:r>
              <w:rPr>
                <w:rFonts w:hint="eastAsia" w:ascii="宋体" w:hAnsi="宋体" w:eastAsia="宋体" w:cs="仿宋_GB2312"/>
                <w:color w:val="000000" w:themeColor="text1"/>
                <w:sz w:val="21"/>
                <w:szCs w:val="21"/>
                <w14:textFill>
                  <w14:solidFill>
                    <w14:schemeClr w14:val="tx1"/>
                  </w14:solidFill>
                </w14:textFill>
              </w:rPr>
              <w:t>融资合计</w:t>
            </w: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8,700.00</w:t>
            </w:r>
          </w:p>
        </w:tc>
        <w:tc>
          <w:tcPr>
            <w:tcW w:w="833"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2,324.31</w:t>
            </w:r>
          </w:p>
        </w:tc>
        <w:tc>
          <w:tcPr>
            <w:tcW w:w="930" w:type="pct"/>
            <w:noWrap/>
            <w:vAlign w:val="center"/>
          </w:tcPr>
          <w:p>
            <w:pPr>
              <w:pStyle w:val="36"/>
              <w:ind w:firstLine="360"/>
              <w:jc w:val="right"/>
              <w:rPr>
                <w:rFonts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11,024.31</w:t>
            </w:r>
          </w:p>
        </w:tc>
        <w:tc>
          <w:tcPr>
            <w:tcW w:w="1203" w:type="pct"/>
            <w:vMerge w:val="continue"/>
            <w:noWrap/>
            <w:vAlign w:val="center"/>
          </w:tcPr>
          <w:p>
            <w:pPr>
              <w:pStyle w:val="36"/>
              <w:ind w:firstLine="360"/>
              <w:jc w:val="right"/>
              <w:rPr>
                <w:rFonts w:eastAsia="仿宋" w:cs="Times New Roman"/>
                <w:color w:val="000000" w:themeColor="text1"/>
                <w:sz w:val="18"/>
                <w:szCs w:val="18"/>
                <w14:textFill>
                  <w14:solidFill>
                    <w14:schemeClr w14:val="tx1"/>
                  </w14:solidFill>
                </w14:textFill>
              </w:rPr>
            </w:pPr>
          </w:p>
        </w:tc>
      </w:tr>
      <w:tr>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01" w:type="pct"/>
            <w:noWrap/>
            <w:vAlign w:val="center"/>
          </w:tcPr>
          <w:p>
            <w:pPr>
              <w:pStyle w:val="36"/>
              <w:rPr>
                <w:rFonts w:hint="eastAsia" w:ascii="宋体" w:hAnsi="宋体" w:eastAsia="宋体" w:cs="仿宋_GB2312"/>
                <w:color w:val="000000" w:themeColor="text1"/>
                <w:sz w:val="21"/>
                <w:szCs w:val="21"/>
                <w14:textFill>
                  <w14:solidFill>
                    <w14:schemeClr w14:val="tx1"/>
                  </w14:solidFill>
                </w14:textFill>
              </w:rPr>
            </w:pPr>
            <w:r>
              <w:rPr>
                <w:rFonts w:hint="eastAsia" w:ascii="宋体" w:hAnsi="宋体" w:eastAsia="宋体" w:cs="仿宋_GB2312"/>
                <w:color w:val="000000" w:themeColor="text1"/>
                <w:sz w:val="21"/>
                <w:szCs w:val="21"/>
                <w14:textFill>
                  <w14:solidFill>
                    <w14:schemeClr w14:val="tx1"/>
                  </w14:solidFill>
                </w14:textFill>
              </w:rPr>
              <w:t>覆盖倍数</w:t>
            </w:r>
          </w:p>
        </w:tc>
        <w:tc>
          <w:tcPr>
            <w:tcW w:w="3799" w:type="pct"/>
            <w:gridSpan w:val="4"/>
            <w:noWrap/>
            <w:vAlign w:val="center"/>
          </w:tcPr>
          <w:p>
            <w:pPr>
              <w:pStyle w:val="36"/>
              <w:ind w:firstLine="360"/>
              <w:rPr>
                <w:rFonts w:hint="eastAsia" w:eastAsia="仿宋" w:cs="Times New Roman"/>
                <w:color w:val="000000" w:themeColor="text1"/>
                <w:sz w:val="21"/>
                <w:szCs w:val="21"/>
                <w14:textFill>
                  <w14:solidFill>
                    <w14:schemeClr w14:val="tx1"/>
                  </w14:solidFill>
                </w14:textFill>
              </w:rPr>
            </w:pPr>
            <w:r>
              <w:rPr>
                <w:rFonts w:eastAsia="仿宋" w:cs="Times New Roman"/>
                <w:color w:val="000000" w:themeColor="text1"/>
                <w:sz w:val="21"/>
                <w:szCs w:val="21"/>
                <w14:textFill>
                  <w14:solidFill>
                    <w14:schemeClr w14:val="tx1"/>
                  </w14:solidFill>
                </w14:textFill>
              </w:rPr>
              <w:t>1.8</w:t>
            </w:r>
            <w:r>
              <w:rPr>
                <w:rFonts w:hint="eastAsia" w:eastAsia="仿宋" w:cs="Times New Roman"/>
                <w:color w:val="000000" w:themeColor="text1"/>
                <w:sz w:val="21"/>
                <w:szCs w:val="21"/>
                <w14:textFill>
                  <w14:solidFill>
                    <w14:schemeClr w14:val="tx1"/>
                  </w14:solidFill>
                </w14:textFill>
              </w:rPr>
              <w:t>7</w:t>
            </w:r>
          </w:p>
        </w:tc>
      </w:tr>
      <w:bookmarkEnd w:id="49"/>
    </w:tbl>
    <w:p>
      <w:pPr>
        <w:pStyle w:val="3"/>
        <w:ind w:firstLine="640"/>
        <w:rPr>
          <w:rFonts w:cs="Times New Roman"/>
          <w:color w:val="000000" w:themeColor="text1"/>
          <w14:textFill>
            <w14:solidFill>
              <w14:schemeClr w14:val="tx1"/>
            </w14:solidFill>
          </w14:textFill>
        </w:rPr>
      </w:pPr>
      <w:bookmarkStart w:id="50" w:name="_Hlk200702186"/>
      <w:bookmarkStart w:id="51" w:name="_Hlk200651731"/>
      <w:r>
        <w:rPr>
          <w:rFonts w:cs="Times New Roman"/>
          <w:color w:val="000000" w:themeColor="text1"/>
          <w14:textFill>
            <w14:solidFill>
              <w14:schemeClr w14:val="tx1"/>
            </w14:solidFill>
          </w14:textFill>
        </w:rPr>
        <w:t>本项目可用于资金平衡的息前净现金流为</w:t>
      </w:r>
      <w:r>
        <w:rPr>
          <w:rFonts w:eastAsia="仿宋" w:cs="Times New Roman"/>
          <w:color w:val="000000" w:themeColor="text1"/>
          <w14:textFill>
            <w14:solidFill>
              <w14:schemeClr w14:val="tx1"/>
            </w14:solidFill>
          </w14:textFill>
        </w:rPr>
        <w:t>20,609.25</w:t>
      </w:r>
      <w:r>
        <w:rPr>
          <w:rFonts w:cs="Times New Roman"/>
          <w:color w:val="000000" w:themeColor="text1"/>
          <w14:textFill>
            <w14:solidFill>
              <w14:schemeClr w14:val="tx1"/>
            </w14:solidFill>
          </w14:textFill>
        </w:rPr>
        <w:t>万元，融资本息合计</w:t>
      </w:r>
      <w:r>
        <w:rPr>
          <w:rFonts w:eastAsia="仿宋" w:cs="Times New Roman"/>
          <w:color w:val="000000" w:themeColor="text1"/>
          <w14:textFill>
            <w14:solidFill>
              <w14:schemeClr w14:val="tx1"/>
            </w14:solidFill>
          </w14:textFill>
        </w:rPr>
        <w:t>11,024.31</w:t>
      </w:r>
      <w:r>
        <w:rPr>
          <w:rFonts w:cs="Times New Roman"/>
          <w:color w:val="000000" w:themeColor="text1"/>
          <w14:textFill>
            <w14:solidFill>
              <w14:schemeClr w14:val="tx1"/>
            </w14:solidFill>
          </w14:textFill>
        </w:rPr>
        <w:t>万元，项目净现金流覆盖融资本息的覆盖倍数为</w:t>
      </w:r>
      <w:r>
        <w:rPr>
          <w:rFonts w:eastAsia="仿宋" w:cs="Times New Roman"/>
          <w:color w:val="000000" w:themeColor="text1"/>
          <w14:textFill>
            <w14:solidFill>
              <w14:schemeClr w14:val="tx1"/>
            </w14:solidFill>
          </w14:textFill>
        </w:rPr>
        <w:t>1.8</w:t>
      </w:r>
      <w:bookmarkEnd w:id="50"/>
      <w:r>
        <w:rPr>
          <w:rFonts w:hint="eastAsia" w:eastAsia="仿宋" w:cs="Times New Roman"/>
          <w:color w:val="000000" w:themeColor="text1"/>
          <w14:textFill>
            <w14:solidFill>
              <w14:schemeClr w14:val="tx1"/>
            </w14:solidFill>
          </w14:textFill>
        </w:rPr>
        <w:t>7</w:t>
      </w:r>
      <w:r>
        <w:rPr>
          <w:rFonts w:cs="Times New Roman"/>
          <w:color w:val="000000" w:themeColor="text1"/>
          <w14:textFill>
            <w14:solidFill>
              <w14:schemeClr w14:val="tx1"/>
            </w14:solidFill>
          </w14:textFill>
        </w:rPr>
        <w:t>。</w:t>
      </w:r>
      <w:bookmarkEnd w:id="51"/>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6、压力测试</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本项目收益与融资平衡的压力测试结果，当项目的运营收入下降15%的情况下，项目的债券本息覆盖率仍然&gt;1;当项目的运营成本上升15%的情况下，项目的债券本息覆盖率仍然&gt;1；当项目的债券利率上升15%的情况下，项目的债券本息覆盖率仍然&gt;1。因此，本项目的项目收益对债券还本付息保障性较高，项目可通过压力测试，还本付息资金具有一定的稳定性与风险抵抗能力。压力测试情况详见下表:</w:t>
      </w:r>
    </w:p>
    <w:p>
      <w:pPr>
        <w:pStyle w:val="36"/>
        <w:rPr>
          <w:color w:val="000000" w:themeColor="text1"/>
          <w14:textFill>
            <w14:solidFill>
              <w14:schemeClr w14:val="tx1"/>
            </w14:solidFill>
          </w14:textFill>
        </w:rPr>
      </w:pPr>
      <w:r>
        <w:rPr>
          <w:rFonts w:hint="eastAsia"/>
          <w:color w:val="000000" w:themeColor="text1"/>
          <w14:textFill>
            <w14:solidFill>
              <w14:schemeClr w14:val="tx1"/>
            </w14:solidFill>
          </w14:textFill>
        </w:rPr>
        <w:t>表8  压力测试表</w:t>
      </w:r>
    </w:p>
    <w:tbl>
      <w:tblPr>
        <w:tblStyle w:val="18"/>
        <w:tblW w:w="878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87"/>
        <w:gridCol w:w="878"/>
        <w:gridCol w:w="878"/>
        <w:gridCol w:w="878"/>
        <w:gridCol w:w="878"/>
        <w:gridCol w:w="878"/>
        <w:gridCol w:w="878"/>
        <w:gridCol w:w="8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2" w:hRule="exact"/>
          <w:tblHeader/>
        </w:trPr>
        <w:tc>
          <w:tcPr>
            <w:tcW w:w="1530" w:type="pct"/>
            <w:shd w:val="clear" w:color="auto" w:fill="auto"/>
            <w:vAlign w:val="center"/>
          </w:tcPr>
          <w:p>
            <w:pPr>
              <w:widowControl/>
              <w:jc w:val="center"/>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资金覆盖率-压力测试（单因素敏感性分析）</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-15%</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-10%</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-5%</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0%</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5%</w:t>
            </w:r>
          </w:p>
        </w:tc>
        <w:tc>
          <w:tcPr>
            <w:tcW w:w="50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10%</w:t>
            </w:r>
          </w:p>
        </w:tc>
        <w:tc>
          <w:tcPr>
            <w:tcW w:w="470" w:type="pct"/>
            <w:shd w:val="clear" w:color="auto" w:fill="auto"/>
            <w:vAlign w:val="center"/>
          </w:tcPr>
          <w:p>
            <w:pPr>
              <w:widowControl/>
              <w:jc w:val="center"/>
              <w:rPr>
                <w:b/>
                <w:bCs/>
                <w:color w:val="000000" w:themeColor="text1"/>
                <w:kern w:val="0"/>
                <w:sz w:val="18"/>
                <w:szCs w:val="18"/>
                <w14:textFill>
                  <w14:solidFill>
                    <w14:schemeClr w14:val="tx1"/>
                  </w14:solidFill>
                </w14:textFill>
              </w:rPr>
            </w:pPr>
            <w:r>
              <w:rPr>
                <w:b/>
                <w:bCs/>
                <w:color w:val="000000" w:themeColor="text1"/>
                <w:kern w:val="0"/>
                <w:sz w:val="18"/>
                <w:szCs w:val="18"/>
                <w14:textFill>
                  <w14:solidFill>
                    <w14:schemeClr w14:val="tx1"/>
                  </w14:solidFill>
                </w14:textFill>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运营收入变动敏感性分析</w:t>
            </w: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500" w:type="pct"/>
            <w:shd w:val="clear" w:color="auto" w:fill="auto"/>
          </w:tcPr>
          <w:p>
            <w:pPr>
              <w:widowControl/>
              <w:jc w:val="right"/>
              <w:rPr>
                <w:color w:val="000000" w:themeColor="text1"/>
                <w:kern w:val="0"/>
                <w:sz w:val="18"/>
                <w:szCs w:val="18"/>
                <w14:textFill>
                  <w14:solidFill>
                    <w14:schemeClr w14:val="tx1"/>
                  </w14:solidFill>
                </w14:textFill>
              </w:rPr>
            </w:pPr>
          </w:p>
        </w:tc>
        <w:tc>
          <w:tcPr>
            <w:tcW w:w="470" w:type="pct"/>
            <w:shd w:val="clear" w:color="auto" w:fill="auto"/>
          </w:tcPr>
          <w:p>
            <w:pPr>
              <w:widowControl/>
              <w:jc w:val="right"/>
              <w:rPr>
                <w:color w:val="000000" w:themeColor="text1"/>
                <w:kern w:val="0"/>
                <w:sz w:val="18"/>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债券本金资金覆盖率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1.70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1.86</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2.02</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2.18</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2.34</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2.49</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1.56</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1.68</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1.93</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2.05</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2.18</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债券本息资金覆盖倍数</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1.50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1.62</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1.74</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1.87</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1.99</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2.12</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运营成本变动敏感性分析</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债券本金资金覆盖率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2.06</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2.14</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2.18</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2.22</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2.26</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1.84</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1.87</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1.93</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1.96</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1.99</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债券本息资金覆盖倍数</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1.78</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1.81</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1.84</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1.87</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1.93</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利率变动敏感性分析</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债券本金资金覆盖率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2.22</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2.20</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2.19</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2.18</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2.16</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2.15</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2.14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债券本息资金覆盖率</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1.99</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1.97</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1.95</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1.93</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1.91</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1.89</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30" w:type="pct"/>
            <w:shd w:val="clear" w:color="auto" w:fill="auto"/>
            <w:vAlign w:val="center"/>
          </w:tcPr>
          <w:p>
            <w:pPr>
              <w:widowControl/>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债券本息资金覆盖倍数</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1.93</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1.91</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1.89</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1.87</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1.85</w:t>
            </w:r>
          </w:p>
        </w:tc>
        <w:tc>
          <w:tcPr>
            <w:tcW w:w="50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1.83</w:t>
            </w:r>
          </w:p>
        </w:tc>
        <w:tc>
          <w:tcPr>
            <w:tcW w:w="470" w:type="pct"/>
            <w:shd w:val="clear" w:color="auto" w:fill="auto"/>
            <w:vAlign w:val="center"/>
          </w:tcPr>
          <w:p>
            <w:pPr>
              <w:widowControl/>
              <w:jc w:val="right"/>
              <w:rPr>
                <w:color w:val="000000" w:themeColor="text1"/>
                <w:kern w:val="0"/>
                <w:sz w:val="18"/>
                <w:szCs w:val="18"/>
                <w14:textFill>
                  <w14:solidFill>
                    <w14:schemeClr w14:val="tx1"/>
                  </w14:solidFill>
                </w14:textFill>
              </w:rPr>
            </w:pPr>
            <w:r>
              <w:rPr>
                <w:rFonts w:hint="eastAsia"/>
                <w:color w:val="000000"/>
                <w:sz w:val="20"/>
              </w:rPr>
              <w:t>1.81</w:t>
            </w:r>
          </w:p>
        </w:tc>
      </w:tr>
      <w:bookmarkEnd w:id="48"/>
    </w:tbl>
    <w:p>
      <w:pPr>
        <w:pStyle w:val="2"/>
        <w:ind w:firstLine="640"/>
        <w:rPr>
          <w:color w:val="000000" w:themeColor="text1"/>
          <w14:textFill>
            <w14:solidFill>
              <w14:schemeClr w14:val="tx1"/>
            </w14:solidFill>
          </w14:textFill>
        </w:rPr>
      </w:pPr>
      <w:bookmarkStart w:id="52" w:name="_Toc39820852"/>
      <w:bookmarkStart w:id="53" w:name="_Toc28935665"/>
      <w:r>
        <w:rPr>
          <w:rFonts w:hint="eastAsia"/>
          <w:color w:val="000000" w:themeColor="text1"/>
          <w14:textFill>
            <w14:solidFill>
              <w14:schemeClr w14:val="tx1"/>
            </w14:solidFill>
          </w14:textFill>
        </w:rPr>
        <w:t>四、项目风险分析</w:t>
      </w:r>
      <w:bookmarkEnd w:id="52"/>
      <w:bookmarkEnd w:id="53"/>
    </w:p>
    <w:p>
      <w:pPr>
        <w:pStyle w:val="4"/>
        <w:ind w:firstLine="640"/>
        <w:rPr>
          <w:color w:val="000000" w:themeColor="text1"/>
          <w14:textFill>
            <w14:solidFill>
              <w14:schemeClr w14:val="tx1"/>
            </w14:solidFill>
          </w14:textFill>
        </w:rPr>
      </w:pPr>
      <w:bookmarkStart w:id="54" w:name="_Toc28935666"/>
      <w:bookmarkStart w:id="55" w:name="_Toc39820853"/>
      <w:r>
        <w:rPr>
          <w:rFonts w:hint="eastAsia"/>
          <w:color w:val="000000" w:themeColor="text1"/>
          <w14:textFill>
            <w14:solidFill>
              <w14:schemeClr w14:val="tx1"/>
            </w14:solidFill>
          </w14:textFill>
        </w:rPr>
        <w:t>（一）</w:t>
      </w:r>
      <w:bookmarkEnd w:id="54"/>
      <w:r>
        <w:rPr>
          <w:rFonts w:hint="eastAsia"/>
          <w:color w:val="000000" w:themeColor="text1"/>
          <w14:textFill>
            <w14:solidFill>
              <w14:schemeClr w14:val="tx1"/>
            </w14:solidFill>
          </w14:textFill>
        </w:rPr>
        <w:t>与项目建设相关的风险</w:t>
      </w:r>
      <w:bookmarkEnd w:id="55"/>
    </w:p>
    <w:p>
      <w:pPr>
        <w:pStyle w:val="3"/>
        <w:ind w:firstLine="640"/>
        <w:rPr>
          <w:color w:val="000000" w:themeColor="text1"/>
          <w14:textFill>
            <w14:solidFill>
              <w14:schemeClr w14:val="tx1"/>
            </w14:solidFill>
          </w14:textFill>
        </w:rPr>
      </w:pPr>
      <w:bookmarkStart w:id="56" w:name="_Toc24187687"/>
      <w:r>
        <w:rPr>
          <w:rFonts w:hint="eastAsia"/>
        </w:rPr>
        <w:t>本项目建设风险主要为工程质量风险。建设工程的质量是整个项目的关键，工程质量不过关，后果将非常严重。为此，在项目实施过程中要选择一流的施工队伍，招聘优秀的工程技术人员，具体负责所有工程建设的组织、管理、监督等工作，通过有资质的工程监理单位对工程质量进行全方位的监督检查，通过有关部门对工程质量进行严格验收。</w:t>
      </w:r>
    </w:p>
    <w:p>
      <w:pPr>
        <w:pStyle w:val="4"/>
        <w:ind w:firstLine="640"/>
        <w:rPr>
          <w:color w:val="000000" w:themeColor="text1"/>
          <w14:textFill>
            <w14:solidFill>
              <w14:schemeClr w14:val="tx1"/>
            </w14:solidFill>
          </w14:textFill>
        </w:rPr>
      </w:pPr>
      <w:bookmarkStart w:id="57" w:name="_Toc39820854"/>
      <w:r>
        <w:rPr>
          <w:rFonts w:hint="eastAsia"/>
          <w:color w:val="000000" w:themeColor="text1"/>
          <w14:textFill>
            <w14:solidFill>
              <w14:schemeClr w14:val="tx1"/>
            </w14:solidFill>
          </w14:textFill>
        </w:rPr>
        <w:t>（二）与项目收益相关的风险</w:t>
      </w:r>
      <w:bookmarkEnd w:id="56"/>
      <w:bookmarkEnd w:id="57"/>
    </w:p>
    <w:p>
      <w:pPr>
        <w:pStyle w:val="3"/>
        <w:ind w:firstLine="640"/>
      </w:pPr>
      <w:r>
        <w:rPr>
          <w:rFonts w:hint="eastAsia"/>
        </w:rPr>
        <w:t>1、价格波动的市场预期风险</w:t>
      </w:r>
    </w:p>
    <w:p>
      <w:pPr>
        <w:pStyle w:val="3"/>
        <w:ind w:firstLine="640"/>
      </w:pPr>
      <w:r>
        <w:rPr>
          <w:rFonts w:hint="eastAsia"/>
        </w:rPr>
        <w:t>由于项目的工期较长，在建设过程中建设材料的价格会随市场行情涨落，若建设材料价格比预期有大幅上涨，可能会增加预期资金需求。</w:t>
      </w:r>
    </w:p>
    <w:p>
      <w:pPr>
        <w:pStyle w:val="3"/>
        <w:ind w:firstLine="640"/>
      </w:pPr>
      <w:r>
        <w:rPr>
          <w:rFonts w:hint="eastAsia"/>
        </w:rPr>
        <w:t>2、利率波动风险</w:t>
      </w:r>
    </w:p>
    <w:p>
      <w:pPr>
        <w:pStyle w:val="3"/>
        <w:ind w:firstLine="640"/>
        <w:rPr>
          <w:color w:val="000000" w:themeColor="text1"/>
          <w14:textFill>
            <w14:solidFill>
              <w14:schemeClr w14:val="tx1"/>
            </w14:solidFill>
          </w14:textFill>
        </w:rPr>
      </w:pPr>
      <w:r>
        <w:rPr>
          <w:rFonts w:hint="eastAsia"/>
        </w:rPr>
        <w:t>在本政府专项债券存续期内，国际、国内宏观经济环境的变化，国家经济政策变动等因素会引起债务资本市场利率的波动，市场利率波动将会对本项目的财务成本产生影响，进而影响项目投资收益的平衡。</w:t>
      </w:r>
    </w:p>
    <w:p>
      <w:pPr>
        <w:pStyle w:val="2"/>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五、项目事前绩效评估</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（一）项目概况</w:t>
      </w:r>
    </w:p>
    <w:p>
      <w:pPr>
        <w:pStyle w:val="3"/>
        <w:ind w:firstLine="640"/>
        <w:rPr>
          <w:color w:val="000000" w:themeColor="text1"/>
          <w14:textFill>
            <w14:solidFill>
              <w14:schemeClr w14:val="tx1"/>
            </w14:solidFill>
          </w14:textFill>
        </w:rPr>
      </w:pPr>
      <w:r>
        <w:rPr>
          <w:rFonts w:hint="eastAsia"/>
        </w:rPr>
        <w:t>临空经济区北片区路网建设一期项目(原消费精品博览园配套路网项目）主管部门为海口江东新区管理局，项目单位为海口市路桥建设投资有限公司，本次调增专项债券1,000.00万元用于项目建设</w:t>
      </w:r>
      <w:r>
        <w:rPr>
          <w:rFonts w:hint="eastAsia"/>
          <w:color w:val="000000" w:themeColor="text1"/>
          <w14:textFill>
            <w14:solidFill>
              <w14:schemeClr w14:val="tx1"/>
            </w14:solidFill>
          </w14:textFill>
        </w:rPr>
        <w:t>。</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（二）评估内容</w:t>
      </w:r>
    </w:p>
    <w:p>
      <w:pPr>
        <w:pStyle w:val="3"/>
        <w:ind w:firstLine="640"/>
      </w:pPr>
      <w:r>
        <w:rPr>
          <w:rFonts w:hint="eastAsia"/>
        </w:rPr>
        <w:t>1、项目实施的必要性</w:t>
      </w:r>
    </w:p>
    <w:p>
      <w:pPr>
        <w:widowControl/>
        <w:ind w:firstLine="640" w:firstLineChars="200"/>
        <w:jc w:val="left"/>
        <w:rPr>
          <w:rFonts w:eastAsia="仿宋_GB2312" w:cstheme="minorBidi"/>
          <w:sz w:val="32"/>
          <w:szCs w:val="22"/>
        </w:rPr>
      </w:pPr>
      <w:r>
        <w:rPr>
          <w:rFonts w:hint="eastAsia" w:eastAsia="仿宋_GB2312" w:cstheme="minorBidi"/>
          <w:sz w:val="32"/>
          <w:szCs w:val="22"/>
        </w:rPr>
        <w:t>本项目的建设实施，是为加快建设中国（海南）自由贸易试验区（港）提供基础设施的需求。在庆祝海南建省办经济特区30周年大会上的重要讲话和《中共中央、国务院关于支持海南全面深化改革开放的指导意见》明确提出，党中央支持海南全岛建设自由贸易试验区，支持海南逐步探索、稳步推进中国特色自由贸易港建设，分步骤、分阶段建立自由贸易港政策和制度体系。这是习近平总书记亲自谋划、亲自部署、亲自推动的重大国家战略，是党中央着眼于国际国内发展大局，深入研究、统筹考虑、科学谋划作出的重大决策，为海南全面深化改革开放提供了根本遵循、注入了强大动力，也为海南提供了前所未有的发展机遇。</w:t>
      </w:r>
    </w:p>
    <w:p>
      <w:pPr>
        <w:pStyle w:val="3"/>
        <w:ind w:firstLine="640"/>
        <w:rPr>
          <w:color w:val="000000" w:themeColor="text1"/>
          <w14:textFill>
            <w14:solidFill>
              <w14:schemeClr w14:val="tx1"/>
            </w14:solidFill>
          </w14:textFill>
        </w:rPr>
      </w:pPr>
      <w:r>
        <w:rPr>
          <w:rFonts w:hint="eastAsia"/>
        </w:rPr>
        <w:t>本项目为临空经济区北片区的基础设施建设，项目的建成可有效的推进江东新区的发展，从而以航空港为依托，为江东新区的发展提供便利交通条件，该项目的建设将有效的完善临空经济区北片区的交通设施条件，为航空产业园更好的发挥其作用提供先决保障，为加快建设中国（海南）自由贸易试验区（港）提供基础设施需求。</w:t>
      </w:r>
    </w:p>
    <w:p>
      <w:pPr>
        <w:pStyle w:val="3"/>
        <w:ind w:firstLine="640"/>
      </w:pPr>
      <w:r>
        <w:rPr>
          <w:rFonts w:hint="eastAsia"/>
        </w:rPr>
        <w:t>2、项目实施的公益性</w:t>
      </w:r>
    </w:p>
    <w:p>
      <w:pPr>
        <w:pStyle w:val="3"/>
        <w:ind w:firstLine="640"/>
        <w:rPr>
          <w:color w:val="000000" w:themeColor="text1"/>
          <w14:textFill>
            <w14:solidFill>
              <w14:schemeClr w14:val="tx1"/>
            </w14:solidFill>
          </w14:textFill>
        </w:rPr>
      </w:pPr>
      <w:r>
        <w:rPr>
          <w:rFonts w:hint="eastAsia"/>
        </w:rPr>
        <w:t>本项目所在区域位于临空经济区北侧，主要临空经济区北片区路网。项目属于临空经济区域开发强度较大的区域，未来交通需求较为旺盛，若没有完备甚至适度超前的市政交通体系作为基础，很容易产生交通拥堵等一系列问题。综上，本项目的实施是临空经济区北片区路网的重要配套基础设施，对于完善区域交通运输体系，促进区域发展具有重要的意义</w:t>
      </w:r>
      <w:r>
        <w:rPr>
          <w:rFonts w:hint="eastAsia"/>
          <w:color w:val="000000" w:themeColor="text1"/>
          <w14:textFill>
            <w14:solidFill>
              <w14:schemeClr w14:val="tx1"/>
            </w14:solidFill>
          </w14:textFill>
        </w:rPr>
        <w:t>。</w:t>
      </w:r>
    </w:p>
    <w:p>
      <w:pPr>
        <w:pStyle w:val="3"/>
        <w:ind w:firstLine="640"/>
      </w:pPr>
      <w:r>
        <w:rPr>
          <w:rFonts w:hint="eastAsia"/>
        </w:rPr>
        <w:t>3、项目实施的收益性</w:t>
      </w:r>
    </w:p>
    <w:p>
      <w:pPr>
        <w:pStyle w:val="3"/>
        <w:ind w:firstLine="640"/>
        <w:rPr>
          <w:color w:val="000000" w:themeColor="text1"/>
          <w14:textFill>
            <w14:solidFill>
              <w14:schemeClr w14:val="tx1"/>
            </w14:solidFill>
          </w14:textFill>
        </w:rPr>
      </w:pPr>
      <w:r>
        <w:rPr>
          <w:rFonts w:hint="eastAsia"/>
        </w:rPr>
        <w:t>本项目专项债券本息优先从自身项目现金流入中偿还，可以覆盖项目融资本息的合计，具有收益性。</w:t>
      </w:r>
    </w:p>
    <w:p>
      <w:pPr>
        <w:pStyle w:val="3"/>
        <w:ind w:firstLine="640"/>
      </w:pPr>
      <w:r>
        <w:rPr>
          <w:rFonts w:hint="eastAsia"/>
        </w:rPr>
        <w:t>4、项目建设投资合规性</w:t>
      </w:r>
    </w:p>
    <w:p>
      <w:pPr>
        <w:pStyle w:val="3"/>
        <w:ind w:firstLine="640"/>
      </w:pPr>
      <w:r>
        <w:rPr>
          <w:rFonts w:hint="eastAsia"/>
        </w:rPr>
        <w:t>2022年9月30日，海口江东新区管理局出具《关于同意临空经济区北片区路网建设一期项目可行性研究报告的复函》（海江东审【2022】214号）；</w:t>
      </w:r>
    </w:p>
    <w:p>
      <w:pPr>
        <w:pStyle w:val="3"/>
        <w:ind w:firstLine="640"/>
        <w:rPr>
          <w:color w:val="000000" w:themeColor="text1"/>
          <w14:textFill>
            <w14:solidFill>
              <w14:schemeClr w14:val="tx1"/>
            </w14:solidFill>
          </w14:textFill>
        </w:rPr>
      </w:pPr>
      <w:r>
        <w:rPr>
          <w:rFonts w:hint="eastAsia"/>
        </w:rPr>
        <w:t>2022年11月21日，海口江东新区管理局出具《关于同意临空经济区北片区路网建设一期项目(原消费精品博览园配套路网项目）初步设计及概算的复函》（海江东审【2022】243号）。</w:t>
      </w:r>
    </w:p>
    <w:p>
      <w:pPr>
        <w:pStyle w:val="3"/>
        <w:ind w:firstLine="640"/>
      </w:pPr>
      <w:r>
        <w:rPr>
          <w:rFonts w:hint="eastAsia"/>
        </w:rPr>
        <w:t>5、项目成熟度</w:t>
      </w:r>
    </w:p>
    <w:p>
      <w:pPr>
        <w:pStyle w:val="3"/>
        <w:ind w:firstLine="640"/>
        <w:rPr>
          <w:color w:val="000000" w:themeColor="text1"/>
          <w14:textFill>
            <w14:solidFill>
              <w14:schemeClr w14:val="tx1"/>
            </w14:solidFill>
          </w14:textFill>
        </w:rPr>
      </w:pPr>
      <w:r>
        <w:rPr>
          <w:rFonts w:hint="eastAsia"/>
        </w:rPr>
        <w:t>本项目已由海口江东新区管理局审批通过，已取得项目建设用地规划许可证和建设工程规划许可证等手续，正在按照实施计划有序推进。</w:t>
      </w:r>
    </w:p>
    <w:p>
      <w:pPr>
        <w:pStyle w:val="3"/>
        <w:ind w:firstLine="640"/>
      </w:pPr>
      <w:r>
        <w:rPr>
          <w:rFonts w:hint="eastAsia"/>
        </w:rPr>
        <w:t>6、项目资金来源和到位可行性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（1）项目资金来源</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项目资金来源合理。通过财政资金加专项债的方式解决项目所需资金，资金支持方式科学合理。</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（2）项目资金到位可行性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同步项目资本金已落实，根据债券发行计划同步投入，可行性较高，筹资风险较小。</w:t>
      </w:r>
    </w:p>
    <w:p>
      <w:pPr>
        <w:pStyle w:val="3"/>
        <w:ind w:firstLine="640"/>
      </w:pPr>
      <w:r>
        <w:rPr>
          <w:rFonts w:hint="eastAsia"/>
        </w:rPr>
        <w:t>7、项目收入、成本、收益预测合理性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本项目收入、成本、收益的预测基于项目可行性研究报告，项目收入成本测算充分，综合考虑了政策、市场环境因素等影响，具有合理性。</w:t>
      </w:r>
    </w:p>
    <w:p>
      <w:pPr>
        <w:pStyle w:val="3"/>
        <w:ind w:firstLine="640"/>
      </w:pPr>
      <w:r>
        <w:rPr>
          <w:rFonts w:hint="eastAsia"/>
        </w:rPr>
        <w:t>8、债券资金需求合理性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按照“资金跟着项目走”原则，该项目本次调增债券资金1</w:t>
      </w:r>
      <w:r>
        <w:rPr>
          <w:color w:val="000000" w:themeColor="text1"/>
          <w14:textFill>
            <w14:solidFill>
              <w14:schemeClr w14:val="tx1"/>
            </w14:solidFill>
          </w14:textFill>
        </w:rPr>
        <w:t>,000.00</w:t>
      </w:r>
      <w:r>
        <w:rPr>
          <w:rFonts w:hint="eastAsia"/>
          <w:color w:val="000000" w:themeColor="text1"/>
          <w14:textFill>
            <w14:solidFill>
              <w14:schemeClr w14:val="tx1"/>
            </w14:solidFill>
          </w14:textFill>
        </w:rPr>
        <w:t>万元，与投资支出进度相匹配，需求合理。</w:t>
      </w:r>
    </w:p>
    <w:p>
      <w:pPr>
        <w:pStyle w:val="3"/>
        <w:ind w:firstLine="640"/>
      </w:pPr>
      <w:r>
        <w:t>9</w:t>
      </w:r>
      <w:r>
        <w:rPr>
          <w:rFonts w:hint="eastAsia"/>
        </w:rPr>
        <w:t>、项目偿债计划可行性和偿债风险点</w:t>
      </w:r>
    </w:p>
    <w:p>
      <w:pPr>
        <w:pStyle w:val="3"/>
        <w:ind w:firstLine="640"/>
        <w:rPr>
          <w:color w:val="000000" w:themeColor="text1"/>
          <w14:textFill>
            <w14:solidFill>
              <w14:schemeClr w14:val="tx1"/>
            </w14:solidFill>
          </w14:textFill>
        </w:rPr>
      </w:pPr>
      <w:r>
        <w:rPr>
          <w:rFonts w:hint="eastAsia"/>
        </w:rPr>
        <w:t>项目建成后，可产生稳定的现金流，能够满足偿债资金充足性的要求。</w:t>
      </w:r>
    </w:p>
    <w:p>
      <w:pPr>
        <w:pStyle w:val="3"/>
        <w:ind w:firstLine="640"/>
      </w:pPr>
      <w:r>
        <w:rPr>
          <w:rFonts w:hint="eastAsia"/>
        </w:rPr>
        <w:t>1</w:t>
      </w:r>
      <w:r>
        <w:t>0</w:t>
      </w:r>
      <w:r>
        <w:rPr>
          <w:rFonts w:hint="eastAsia"/>
        </w:rPr>
        <w:t>、绩效目标合理性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（1）目标明确性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（2）目标合理性</w:t>
      </w:r>
    </w:p>
    <w:p>
      <w:pPr>
        <w:pStyle w:val="3"/>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本次事前绩效目标设与申报预算的资金量相匹配，绩效指标逐级细化、量化，指标值合理具有可考核性。</w:t>
      </w:r>
    </w:p>
    <w:p>
      <w:pPr>
        <w:pStyle w:val="4"/>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（三）评估结论</w:t>
      </w:r>
    </w:p>
    <w:p>
      <w:pPr>
        <w:pStyle w:val="3"/>
        <w:ind w:firstLine="6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本项目可用于资金平衡的项目的息前净现金流量为</w:t>
      </w:r>
      <w:r>
        <w:rPr>
          <w:color w:val="000000" w:themeColor="text1"/>
          <w:kern w:val="0"/>
          <w14:textFill>
            <w14:solidFill>
              <w14:schemeClr w14:val="tx1"/>
            </w14:solidFill>
          </w14:textFill>
        </w:rPr>
        <w:t>20,609.25</w:t>
      </w:r>
      <w:r>
        <w:rPr>
          <w:rFonts w:hint="eastAsia"/>
          <w:color w:val="000000" w:themeColor="text1"/>
          <w14:textFill>
            <w14:solidFill>
              <w14:schemeClr w14:val="tx1"/>
            </w14:solidFill>
          </w14:textFill>
        </w:rPr>
        <w:t>万元，融资本息合计为</w:t>
      </w:r>
      <w:r>
        <w:rPr>
          <w:color w:val="000000" w:themeColor="text1"/>
          <w:kern w:val="0"/>
          <w14:textFill>
            <w14:solidFill>
              <w14:schemeClr w14:val="tx1"/>
            </w14:solidFill>
          </w14:textFill>
        </w:rPr>
        <w:t>11,024.31</w:t>
      </w:r>
      <w:r>
        <w:rPr>
          <w:rFonts w:hint="eastAsia"/>
          <w:color w:val="000000" w:themeColor="text1"/>
          <w14:textFill>
            <w14:solidFill>
              <w14:schemeClr w14:val="tx1"/>
            </w14:solidFill>
          </w14:textFill>
        </w:rPr>
        <w:t>万元，项目本息覆盖倍数为</w:t>
      </w:r>
      <w:r>
        <w:rPr>
          <w:color w:val="000000" w:themeColor="text1"/>
          <w:kern w:val="0"/>
          <w14:textFill>
            <w14:solidFill>
              <w14:schemeClr w14:val="tx1"/>
            </w14:solidFill>
          </w14:textFill>
        </w:rPr>
        <w:t>1.8</w:t>
      </w:r>
      <w:r>
        <w:rPr>
          <w:rFonts w:hint="eastAsia"/>
          <w:color w:val="000000" w:themeColor="text1"/>
          <w:kern w:val="0"/>
          <w14:textFill>
            <w14:solidFill>
              <w14:schemeClr w14:val="tx1"/>
            </w14:solidFill>
          </w14:textFill>
        </w:rPr>
        <w:t>7</w:t>
      </w:r>
      <w:r>
        <w:rPr>
          <w:rFonts w:hint="eastAsia"/>
          <w:color w:val="000000" w:themeColor="text1"/>
          <w14:textFill>
            <w14:solidFill>
              <w14:schemeClr w14:val="tx1"/>
            </w14:solidFill>
          </w14:textFill>
        </w:rPr>
        <w:t xml:space="preserve">，符合专项债发行要求；项目可以通过自筹、发行专项债券等方式完成资金筹措，为本项目提供足够的资金支持，保证本项目的顺利施工。总的来说，本项目绩效目标明确，可实施性较强，资金投入风险基本可控，本项目事前绩效评估符合专项债券申报使用要求。 </w:t>
      </w:r>
    </w:p>
    <w:p>
      <w:pPr>
        <w:pStyle w:val="3"/>
        <w:ind w:left="0" w:leftChars="0" w:firstLine="0" w:firstLineChars="0"/>
        <w:rPr>
          <w:rFonts w:hint="eastAsia"/>
          <w:color w:val="000000" w:themeColor="text1"/>
          <w14:textFill>
            <w14:solidFill>
              <w14:schemeClr w14:val="tx1"/>
            </w14:solidFill>
          </w14:textFill>
        </w:rPr>
      </w:pPr>
      <w:bookmarkStart w:id="58" w:name="_GoBack"/>
      <w:bookmarkEnd w:id="58"/>
    </w:p>
    <w:sectPr>
      <w:footerReference r:id="rId7" w:type="default"/>
      <w:pgSz w:w="11906" w:h="16838"/>
      <w:pgMar w:top="2041" w:right="1701" w:bottom="2041" w:left="1701" w:header="851" w:footer="136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1368487"/>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841604"/>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43424"/>
    </w:sdtPr>
    <w:sdtEndPr>
      <w:rPr>
        <w:sz w:val="24"/>
        <w:szCs w:val="24"/>
      </w:rPr>
    </w:sdtEndPr>
    <w:sdtContent>
      <w:p>
        <w:pPr>
          <w:pStyle w:val="11"/>
          <w:jc w:val="center"/>
          <w:rPr>
            <w:sz w:val="24"/>
            <w:szCs w:val="24"/>
          </w:rPr>
        </w:pPr>
        <w:r>
          <w:rPr>
            <w:rFonts w:hint="eastAsia"/>
            <w:sz w:val="24"/>
            <w:szCs w:val="24"/>
          </w:rPr>
          <w:t xml:space="preserve">— </w:t>
        </w:r>
        <w:r>
          <w:rPr>
            <w:sz w:val="24"/>
            <w:szCs w:val="24"/>
          </w:rPr>
          <w:fldChar w:fldCharType="begin"/>
        </w:r>
        <w:r>
          <w:rPr>
            <w:sz w:val="24"/>
            <w:szCs w:val="24"/>
          </w:rPr>
          <w:instrText xml:space="preserve">PAGE</w:instrText>
        </w:r>
        <w:r>
          <w:rPr>
            <w:sz w:val="24"/>
            <w:szCs w:val="24"/>
          </w:rPr>
          <w:fldChar w:fldCharType="separate"/>
        </w:r>
        <w:r>
          <w:rPr>
            <w:sz w:val="24"/>
            <w:szCs w:val="24"/>
            <w:lang w:val="zh-CN"/>
          </w:rPr>
          <w:t>4</w:t>
        </w:r>
        <w:r>
          <w:rPr>
            <w:sz w:val="24"/>
            <w:szCs w:val="24"/>
          </w:rPr>
          <w:fldChar w:fldCharType="end"/>
        </w:r>
        <w:r>
          <w:rPr>
            <w:sz w:val="24"/>
            <w:szCs w:val="24"/>
          </w:rPr>
          <w:t xml:space="preserve"> </w:t>
        </w:r>
        <w:r>
          <w:rPr>
            <w:rFonts w:hint="eastAsia"/>
            <w:sz w:val="24"/>
            <w:szCs w:val="24"/>
          </w:rPr>
          <w:t>—</w:t>
        </w:r>
      </w:p>
    </w:sdtContent>
  </w:sdt>
  <w:p>
    <w:pPr>
      <w:pStyle w:val="11"/>
      <w:ind w:firstLine="640"/>
      <w:jc w:val="center"/>
      <w:rPr>
        <w:sz w:val="24"/>
        <w:szCs w:val="24"/>
      </w:rPr>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01888"/>
    <w:multiLevelType w:val="multilevel"/>
    <w:tmpl w:val="1F401888"/>
    <w:lvl w:ilvl="0" w:tentative="0">
      <w:start w:val="1"/>
      <w:numFmt w:val="japaneseCounting"/>
      <w:lvlText w:val="%1、"/>
      <w:lvlJc w:val="left"/>
      <w:pPr>
        <w:ind w:left="1360" w:hanging="72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75B"/>
    <w:rsid w:val="00001842"/>
    <w:rsid w:val="000023A1"/>
    <w:rsid w:val="0000350A"/>
    <w:rsid w:val="0000500E"/>
    <w:rsid w:val="00005293"/>
    <w:rsid w:val="00006667"/>
    <w:rsid w:val="0001500F"/>
    <w:rsid w:val="000157FB"/>
    <w:rsid w:val="00023246"/>
    <w:rsid w:val="00023961"/>
    <w:rsid w:val="00025B68"/>
    <w:rsid w:val="00030C03"/>
    <w:rsid w:val="000526CB"/>
    <w:rsid w:val="00055510"/>
    <w:rsid w:val="00060EFD"/>
    <w:rsid w:val="00063487"/>
    <w:rsid w:val="00063E4D"/>
    <w:rsid w:val="0006572C"/>
    <w:rsid w:val="000665E2"/>
    <w:rsid w:val="00067767"/>
    <w:rsid w:val="00070DD8"/>
    <w:rsid w:val="000758E3"/>
    <w:rsid w:val="0007663D"/>
    <w:rsid w:val="00080E5F"/>
    <w:rsid w:val="000833F4"/>
    <w:rsid w:val="000843F1"/>
    <w:rsid w:val="00086940"/>
    <w:rsid w:val="00092959"/>
    <w:rsid w:val="00093972"/>
    <w:rsid w:val="000940C7"/>
    <w:rsid w:val="00094BF2"/>
    <w:rsid w:val="0009690A"/>
    <w:rsid w:val="000A04F1"/>
    <w:rsid w:val="000A0C77"/>
    <w:rsid w:val="000B1B53"/>
    <w:rsid w:val="000B6EE7"/>
    <w:rsid w:val="000C07ED"/>
    <w:rsid w:val="000C1566"/>
    <w:rsid w:val="000C2FB2"/>
    <w:rsid w:val="000C30F7"/>
    <w:rsid w:val="000C33F8"/>
    <w:rsid w:val="000C67B6"/>
    <w:rsid w:val="000C6B0D"/>
    <w:rsid w:val="000D22B6"/>
    <w:rsid w:val="000D299C"/>
    <w:rsid w:val="000D753D"/>
    <w:rsid w:val="000E12A3"/>
    <w:rsid w:val="000F2C16"/>
    <w:rsid w:val="000F3445"/>
    <w:rsid w:val="000F588C"/>
    <w:rsid w:val="00120C2F"/>
    <w:rsid w:val="001215B1"/>
    <w:rsid w:val="00133B34"/>
    <w:rsid w:val="001348A6"/>
    <w:rsid w:val="001428E8"/>
    <w:rsid w:val="001567E9"/>
    <w:rsid w:val="00162AF2"/>
    <w:rsid w:val="00166623"/>
    <w:rsid w:val="001719AB"/>
    <w:rsid w:val="00177C0F"/>
    <w:rsid w:val="00190B1B"/>
    <w:rsid w:val="00192E86"/>
    <w:rsid w:val="00194CDB"/>
    <w:rsid w:val="00196737"/>
    <w:rsid w:val="001A108E"/>
    <w:rsid w:val="001A3FCD"/>
    <w:rsid w:val="001B060B"/>
    <w:rsid w:val="001B2477"/>
    <w:rsid w:val="001B5FD9"/>
    <w:rsid w:val="001B6161"/>
    <w:rsid w:val="001C3131"/>
    <w:rsid w:val="001C6561"/>
    <w:rsid w:val="001C7951"/>
    <w:rsid w:val="001D4877"/>
    <w:rsid w:val="001D4EED"/>
    <w:rsid w:val="001D6755"/>
    <w:rsid w:val="001F4295"/>
    <w:rsid w:val="0021151D"/>
    <w:rsid w:val="00215578"/>
    <w:rsid w:val="00217885"/>
    <w:rsid w:val="002219EC"/>
    <w:rsid w:val="00221D7E"/>
    <w:rsid w:val="0022280D"/>
    <w:rsid w:val="00224946"/>
    <w:rsid w:val="002321C2"/>
    <w:rsid w:val="002369AB"/>
    <w:rsid w:val="00237F1C"/>
    <w:rsid w:val="00242CB4"/>
    <w:rsid w:val="0024617D"/>
    <w:rsid w:val="00247596"/>
    <w:rsid w:val="00247D3D"/>
    <w:rsid w:val="0025134D"/>
    <w:rsid w:val="0025192A"/>
    <w:rsid w:val="00256D59"/>
    <w:rsid w:val="00257ADF"/>
    <w:rsid w:val="00262953"/>
    <w:rsid w:val="00265D46"/>
    <w:rsid w:val="00275057"/>
    <w:rsid w:val="00280DCA"/>
    <w:rsid w:val="00282F9E"/>
    <w:rsid w:val="00283438"/>
    <w:rsid w:val="00284E75"/>
    <w:rsid w:val="002858E5"/>
    <w:rsid w:val="002920BB"/>
    <w:rsid w:val="00293DC5"/>
    <w:rsid w:val="002A1299"/>
    <w:rsid w:val="002A1848"/>
    <w:rsid w:val="002A43A2"/>
    <w:rsid w:val="002A620C"/>
    <w:rsid w:val="002A694D"/>
    <w:rsid w:val="002A79CF"/>
    <w:rsid w:val="002A7EAF"/>
    <w:rsid w:val="002B3790"/>
    <w:rsid w:val="002C03A9"/>
    <w:rsid w:val="002C216F"/>
    <w:rsid w:val="002C6022"/>
    <w:rsid w:val="002D7EC7"/>
    <w:rsid w:val="002E0B5E"/>
    <w:rsid w:val="002E1F83"/>
    <w:rsid w:val="002E65C9"/>
    <w:rsid w:val="00307970"/>
    <w:rsid w:val="00321334"/>
    <w:rsid w:val="00326753"/>
    <w:rsid w:val="00332EE7"/>
    <w:rsid w:val="00335B17"/>
    <w:rsid w:val="00335C8E"/>
    <w:rsid w:val="003519CB"/>
    <w:rsid w:val="00353AF5"/>
    <w:rsid w:val="00354227"/>
    <w:rsid w:val="003551DD"/>
    <w:rsid w:val="00372958"/>
    <w:rsid w:val="00373B3C"/>
    <w:rsid w:val="00381799"/>
    <w:rsid w:val="00383ED8"/>
    <w:rsid w:val="00384B7B"/>
    <w:rsid w:val="00386268"/>
    <w:rsid w:val="0039019B"/>
    <w:rsid w:val="00396763"/>
    <w:rsid w:val="003973B4"/>
    <w:rsid w:val="003A5688"/>
    <w:rsid w:val="003A7529"/>
    <w:rsid w:val="003B2874"/>
    <w:rsid w:val="003D37F7"/>
    <w:rsid w:val="003D4755"/>
    <w:rsid w:val="003D5C4E"/>
    <w:rsid w:val="003E0393"/>
    <w:rsid w:val="003E0968"/>
    <w:rsid w:val="003E0F42"/>
    <w:rsid w:val="003E4D62"/>
    <w:rsid w:val="003E5C13"/>
    <w:rsid w:val="003F1202"/>
    <w:rsid w:val="004043E1"/>
    <w:rsid w:val="0040799C"/>
    <w:rsid w:val="00413CD3"/>
    <w:rsid w:val="00414DE3"/>
    <w:rsid w:val="0041568C"/>
    <w:rsid w:val="00415BFE"/>
    <w:rsid w:val="00420EEE"/>
    <w:rsid w:val="00422365"/>
    <w:rsid w:val="004241E1"/>
    <w:rsid w:val="004258AE"/>
    <w:rsid w:val="00426C68"/>
    <w:rsid w:val="00432AE4"/>
    <w:rsid w:val="00437983"/>
    <w:rsid w:val="004446BD"/>
    <w:rsid w:val="00451551"/>
    <w:rsid w:val="0045166C"/>
    <w:rsid w:val="00453C94"/>
    <w:rsid w:val="00454864"/>
    <w:rsid w:val="00457C66"/>
    <w:rsid w:val="00462EC8"/>
    <w:rsid w:val="00465D3F"/>
    <w:rsid w:val="00467EA8"/>
    <w:rsid w:val="004727A7"/>
    <w:rsid w:val="004846E4"/>
    <w:rsid w:val="00485A67"/>
    <w:rsid w:val="00490EC2"/>
    <w:rsid w:val="00496195"/>
    <w:rsid w:val="004A0082"/>
    <w:rsid w:val="004A1D1D"/>
    <w:rsid w:val="004A5CD7"/>
    <w:rsid w:val="004A6593"/>
    <w:rsid w:val="004B1A95"/>
    <w:rsid w:val="004C385B"/>
    <w:rsid w:val="004C46BC"/>
    <w:rsid w:val="004C4CC0"/>
    <w:rsid w:val="004D54F2"/>
    <w:rsid w:val="004E1190"/>
    <w:rsid w:val="004E159C"/>
    <w:rsid w:val="004E1929"/>
    <w:rsid w:val="004E55B2"/>
    <w:rsid w:val="004E58B7"/>
    <w:rsid w:val="004E7A7C"/>
    <w:rsid w:val="004E7E98"/>
    <w:rsid w:val="004F2BEF"/>
    <w:rsid w:val="00504706"/>
    <w:rsid w:val="0050559E"/>
    <w:rsid w:val="00513776"/>
    <w:rsid w:val="0052182A"/>
    <w:rsid w:val="00522C56"/>
    <w:rsid w:val="00523003"/>
    <w:rsid w:val="00530A0A"/>
    <w:rsid w:val="00530FFA"/>
    <w:rsid w:val="0053195C"/>
    <w:rsid w:val="00534C8E"/>
    <w:rsid w:val="00534C9A"/>
    <w:rsid w:val="00537EF0"/>
    <w:rsid w:val="0054184F"/>
    <w:rsid w:val="00547B9C"/>
    <w:rsid w:val="005508A1"/>
    <w:rsid w:val="00555D34"/>
    <w:rsid w:val="00556D5A"/>
    <w:rsid w:val="0056067E"/>
    <w:rsid w:val="005632CC"/>
    <w:rsid w:val="005778F0"/>
    <w:rsid w:val="00590027"/>
    <w:rsid w:val="00591D0A"/>
    <w:rsid w:val="005952C2"/>
    <w:rsid w:val="005972ED"/>
    <w:rsid w:val="00597A78"/>
    <w:rsid w:val="005A1635"/>
    <w:rsid w:val="005A17D2"/>
    <w:rsid w:val="005A627E"/>
    <w:rsid w:val="005B3012"/>
    <w:rsid w:val="005B4703"/>
    <w:rsid w:val="005D3C14"/>
    <w:rsid w:val="005D5713"/>
    <w:rsid w:val="005E3DCE"/>
    <w:rsid w:val="005E551B"/>
    <w:rsid w:val="005E5F67"/>
    <w:rsid w:val="005F1833"/>
    <w:rsid w:val="005F5A91"/>
    <w:rsid w:val="0060030A"/>
    <w:rsid w:val="006006DD"/>
    <w:rsid w:val="006051CE"/>
    <w:rsid w:val="00607219"/>
    <w:rsid w:val="006250AD"/>
    <w:rsid w:val="00625A11"/>
    <w:rsid w:val="00630A50"/>
    <w:rsid w:val="0063586A"/>
    <w:rsid w:val="006540D5"/>
    <w:rsid w:val="006702EF"/>
    <w:rsid w:val="00670819"/>
    <w:rsid w:val="00670CAE"/>
    <w:rsid w:val="00673BB5"/>
    <w:rsid w:val="00680E07"/>
    <w:rsid w:val="006A0F68"/>
    <w:rsid w:val="006A689E"/>
    <w:rsid w:val="006A704B"/>
    <w:rsid w:val="006B1038"/>
    <w:rsid w:val="006B2C7E"/>
    <w:rsid w:val="006D0A2B"/>
    <w:rsid w:val="006D1374"/>
    <w:rsid w:val="006D1394"/>
    <w:rsid w:val="006D3707"/>
    <w:rsid w:val="006D5E01"/>
    <w:rsid w:val="006E0D73"/>
    <w:rsid w:val="006E167C"/>
    <w:rsid w:val="006E61C2"/>
    <w:rsid w:val="006F2799"/>
    <w:rsid w:val="006F49A7"/>
    <w:rsid w:val="006F7705"/>
    <w:rsid w:val="00703817"/>
    <w:rsid w:val="00705CC1"/>
    <w:rsid w:val="007068A4"/>
    <w:rsid w:val="007103BA"/>
    <w:rsid w:val="00714871"/>
    <w:rsid w:val="0072220B"/>
    <w:rsid w:val="0072405F"/>
    <w:rsid w:val="0072628B"/>
    <w:rsid w:val="00734728"/>
    <w:rsid w:val="00734FFC"/>
    <w:rsid w:val="00735335"/>
    <w:rsid w:val="00736F03"/>
    <w:rsid w:val="007402C1"/>
    <w:rsid w:val="00740E85"/>
    <w:rsid w:val="00751EE4"/>
    <w:rsid w:val="007529B0"/>
    <w:rsid w:val="00753FE6"/>
    <w:rsid w:val="00757A01"/>
    <w:rsid w:val="00763DDA"/>
    <w:rsid w:val="00766DB4"/>
    <w:rsid w:val="00773420"/>
    <w:rsid w:val="00773A3A"/>
    <w:rsid w:val="007769EF"/>
    <w:rsid w:val="00784487"/>
    <w:rsid w:val="007844CC"/>
    <w:rsid w:val="00787CBE"/>
    <w:rsid w:val="00793ACF"/>
    <w:rsid w:val="007A3658"/>
    <w:rsid w:val="007B12C3"/>
    <w:rsid w:val="007C48B1"/>
    <w:rsid w:val="007C4932"/>
    <w:rsid w:val="007C7379"/>
    <w:rsid w:val="007D0633"/>
    <w:rsid w:val="007E48F9"/>
    <w:rsid w:val="007E701F"/>
    <w:rsid w:val="007F0DEC"/>
    <w:rsid w:val="007F43C1"/>
    <w:rsid w:val="007F62AE"/>
    <w:rsid w:val="00801CD7"/>
    <w:rsid w:val="00802C51"/>
    <w:rsid w:val="0080335E"/>
    <w:rsid w:val="00811F24"/>
    <w:rsid w:val="0082695C"/>
    <w:rsid w:val="00831755"/>
    <w:rsid w:val="008338D3"/>
    <w:rsid w:val="008351AD"/>
    <w:rsid w:val="00836666"/>
    <w:rsid w:val="00836F75"/>
    <w:rsid w:val="00837A95"/>
    <w:rsid w:val="00846530"/>
    <w:rsid w:val="00852A4F"/>
    <w:rsid w:val="008540D9"/>
    <w:rsid w:val="00855328"/>
    <w:rsid w:val="00860097"/>
    <w:rsid w:val="008705C4"/>
    <w:rsid w:val="008737DA"/>
    <w:rsid w:val="008771C5"/>
    <w:rsid w:val="00880D1A"/>
    <w:rsid w:val="008871FA"/>
    <w:rsid w:val="00892B34"/>
    <w:rsid w:val="0089346C"/>
    <w:rsid w:val="008A41E8"/>
    <w:rsid w:val="008A42CB"/>
    <w:rsid w:val="008A5917"/>
    <w:rsid w:val="008A6110"/>
    <w:rsid w:val="008A6A20"/>
    <w:rsid w:val="008B7787"/>
    <w:rsid w:val="008C62FB"/>
    <w:rsid w:val="008C79FF"/>
    <w:rsid w:val="008D1478"/>
    <w:rsid w:val="008E1373"/>
    <w:rsid w:val="008E277F"/>
    <w:rsid w:val="008F1F86"/>
    <w:rsid w:val="008F24CC"/>
    <w:rsid w:val="008F3BC8"/>
    <w:rsid w:val="00902CD0"/>
    <w:rsid w:val="00906E4B"/>
    <w:rsid w:val="0092075B"/>
    <w:rsid w:val="00923BA9"/>
    <w:rsid w:val="0092569D"/>
    <w:rsid w:val="009261D6"/>
    <w:rsid w:val="0092741C"/>
    <w:rsid w:val="00930274"/>
    <w:rsid w:val="00932D6C"/>
    <w:rsid w:val="009337C6"/>
    <w:rsid w:val="00933EAD"/>
    <w:rsid w:val="009466A9"/>
    <w:rsid w:val="00947613"/>
    <w:rsid w:val="00957F9E"/>
    <w:rsid w:val="009617A5"/>
    <w:rsid w:val="009630AD"/>
    <w:rsid w:val="00965134"/>
    <w:rsid w:val="009656E2"/>
    <w:rsid w:val="0098242A"/>
    <w:rsid w:val="0098272A"/>
    <w:rsid w:val="00987658"/>
    <w:rsid w:val="009953CB"/>
    <w:rsid w:val="009A12C6"/>
    <w:rsid w:val="009A59A9"/>
    <w:rsid w:val="009A7C1A"/>
    <w:rsid w:val="009B52E4"/>
    <w:rsid w:val="009C5645"/>
    <w:rsid w:val="009C5A70"/>
    <w:rsid w:val="009D2F7C"/>
    <w:rsid w:val="009E3143"/>
    <w:rsid w:val="009E661B"/>
    <w:rsid w:val="009F0456"/>
    <w:rsid w:val="009F1C8C"/>
    <w:rsid w:val="009F2EF6"/>
    <w:rsid w:val="009F38B7"/>
    <w:rsid w:val="009F3BBF"/>
    <w:rsid w:val="009F46B9"/>
    <w:rsid w:val="009F67D2"/>
    <w:rsid w:val="009F6CB2"/>
    <w:rsid w:val="00A02474"/>
    <w:rsid w:val="00A03A82"/>
    <w:rsid w:val="00A06A8D"/>
    <w:rsid w:val="00A12CB5"/>
    <w:rsid w:val="00A26D9F"/>
    <w:rsid w:val="00A270C6"/>
    <w:rsid w:val="00A3678C"/>
    <w:rsid w:val="00A418B5"/>
    <w:rsid w:val="00A43544"/>
    <w:rsid w:val="00A464EF"/>
    <w:rsid w:val="00A53A0E"/>
    <w:rsid w:val="00A562C4"/>
    <w:rsid w:val="00A63A81"/>
    <w:rsid w:val="00A63BDE"/>
    <w:rsid w:val="00A657BB"/>
    <w:rsid w:val="00A67707"/>
    <w:rsid w:val="00A709FC"/>
    <w:rsid w:val="00A80B27"/>
    <w:rsid w:val="00A81734"/>
    <w:rsid w:val="00A822AE"/>
    <w:rsid w:val="00A83F94"/>
    <w:rsid w:val="00A93B97"/>
    <w:rsid w:val="00A95ABE"/>
    <w:rsid w:val="00A967F3"/>
    <w:rsid w:val="00AA1446"/>
    <w:rsid w:val="00AA637F"/>
    <w:rsid w:val="00AA6A21"/>
    <w:rsid w:val="00AA76BA"/>
    <w:rsid w:val="00AB26FB"/>
    <w:rsid w:val="00AB4290"/>
    <w:rsid w:val="00AB500C"/>
    <w:rsid w:val="00AB5C88"/>
    <w:rsid w:val="00AB5E96"/>
    <w:rsid w:val="00AB5F79"/>
    <w:rsid w:val="00AB7A69"/>
    <w:rsid w:val="00AB7FE6"/>
    <w:rsid w:val="00AC15FC"/>
    <w:rsid w:val="00AC2A0A"/>
    <w:rsid w:val="00AC4E8A"/>
    <w:rsid w:val="00AC7371"/>
    <w:rsid w:val="00AD60BB"/>
    <w:rsid w:val="00AD67E3"/>
    <w:rsid w:val="00AD6C86"/>
    <w:rsid w:val="00AE06C8"/>
    <w:rsid w:val="00AF61F1"/>
    <w:rsid w:val="00AF71BB"/>
    <w:rsid w:val="00B021C9"/>
    <w:rsid w:val="00B1179C"/>
    <w:rsid w:val="00B118FC"/>
    <w:rsid w:val="00B178B9"/>
    <w:rsid w:val="00B23E42"/>
    <w:rsid w:val="00B32C18"/>
    <w:rsid w:val="00B3465E"/>
    <w:rsid w:val="00B3571B"/>
    <w:rsid w:val="00B362F2"/>
    <w:rsid w:val="00B36A0C"/>
    <w:rsid w:val="00B41BEF"/>
    <w:rsid w:val="00B47967"/>
    <w:rsid w:val="00B5137E"/>
    <w:rsid w:val="00B52669"/>
    <w:rsid w:val="00B629E2"/>
    <w:rsid w:val="00B641E4"/>
    <w:rsid w:val="00B65507"/>
    <w:rsid w:val="00B66474"/>
    <w:rsid w:val="00B70EC2"/>
    <w:rsid w:val="00B749D0"/>
    <w:rsid w:val="00B8750A"/>
    <w:rsid w:val="00B96E64"/>
    <w:rsid w:val="00BA23CA"/>
    <w:rsid w:val="00BA3D9F"/>
    <w:rsid w:val="00BB0D2A"/>
    <w:rsid w:val="00BC1ABC"/>
    <w:rsid w:val="00BC3DA2"/>
    <w:rsid w:val="00BD2A67"/>
    <w:rsid w:val="00BD2F29"/>
    <w:rsid w:val="00BD3827"/>
    <w:rsid w:val="00BD4C58"/>
    <w:rsid w:val="00BD749F"/>
    <w:rsid w:val="00BE09D9"/>
    <w:rsid w:val="00BE2D0B"/>
    <w:rsid w:val="00BE4CAD"/>
    <w:rsid w:val="00BF3787"/>
    <w:rsid w:val="00C01FD2"/>
    <w:rsid w:val="00C0297A"/>
    <w:rsid w:val="00C141B0"/>
    <w:rsid w:val="00C14D7C"/>
    <w:rsid w:val="00C1598A"/>
    <w:rsid w:val="00C25CFC"/>
    <w:rsid w:val="00C27E9C"/>
    <w:rsid w:val="00C31B2B"/>
    <w:rsid w:val="00C3293E"/>
    <w:rsid w:val="00C33F9E"/>
    <w:rsid w:val="00C37ADC"/>
    <w:rsid w:val="00C41845"/>
    <w:rsid w:val="00C42DA0"/>
    <w:rsid w:val="00C521C6"/>
    <w:rsid w:val="00C54FBF"/>
    <w:rsid w:val="00C562E2"/>
    <w:rsid w:val="00C56340"/>
    <w:rsid w:val="00C56B65"/>
    <w:rsid w:val="00C5798C"/>
    <w:rsid w:val="00C60246"/>
    <w:rsid w:val="00C61004"/>
    <w:rsid w:val="00C62512"/>
    <w:rsid w:val="00C6452E"/>
    <w:rsid w:val="00C6637A"/>
    <w:rsid w:val="00C71076"/>
    <w:rsid w:val="00C72D2D"/>
    <w:rsid w:val="00C7790F"/>
    <w:rsid w:val="00C90A35"/>
    <w:rsid w:val="00C932AD"/>
    <w:rsid w:val="00C934AE"/>
    <w:rsid w:val="00C974E9"/>
    <w:rsid w:val="00CA17B4"/>
    <w:rsid w:val="00CA1CDD"/>
    <w:rsid w:val="00CA3DBE"/>
    <w:rsid w:val="00CA789C"/>
    <w:rsid w:val="00CB6C2F"/>
    <w:rsid w:val="00CC2633"/>
    <w:rsid w:val="00CC2D35"/>
    <w:rsid w:val="00CD3F8E"/>
    <w:rsid w:val="00CE5624"/>
    <w:rsid w:val="00CE695D"/>
    <w:rsid w:val="00CE7754"/>
    <w:rsid w:val="00CF7C3D"/>
    <w:rsid w:val="00D0056B"/>
    <w:rsid w:val="00D10116"/>
    <w:rsid w:val="00D14AF2"/>
    <w:rsid w:val="00D154B5"/>
    <w:rsid w:val="00D2324F"/>
    <w:rsid w:val="00D264D8"/>
    <w:rsid w:val="00D305B0"/>
    <w:rsid w:val="00D31708"/>
    <w:rsid w:val="00D32E06"/>
    <w:rsid w:val="00D50C12"/>
    <w:rsid w:val="00D52E39"/>
    <w:rsid w:val="00D6041A"/>
    <w:rsid w:val="00D67431"/>
    <w:rsid w:val="00D71460"/>
    <w:rsid w:val="00D7265F"/>
    <w:rsid w:val="00D73FE1"/>
    <w:rsid w:val="00D77DEA"/>
    <w:rsid w:val="00D86899"/>
    <w:rsid w:val="00D901BF"/>
    <w:rsid w:val="00DA3A85"/>
    <w:rsid w:val="00DA3D4D"/>
    <w:rsid w:val="00DA463B"/>
    <w:rsid w:val="00DC20CA"/>
    <w:rsid w:val="00DC359B"/>
    <w:rsid w:val="00DC6935"/>
    <w:rsid w:val="00DC7785"/>
    <w:rsid w:val="00DD156A"/>
    <w:rsid w:val="00DD3C5D"/>
    <w:rsid w:val="00DF01EF"/>
    <w:rsid w:val="00DF1150"/>
    <w:rsid w:val="00E00FDC"/>
    <w:rsid w:val="00E01046"/>
    <w:rsid w:val="00E034BE"/>
    <w:rsid w:val="00E04DCC"/>
    <w:rsid w:val="00E10741"/>
    <w:rsid w:val="00E17DD8"/>
    <w:rsid w:val="00E20E43"/>
    <w:rsid w:val="00E246E0"/>
    <w:rsid w:val="00E24A0F"/>
    <w:rsid w:val="00E251AA"/>
    <w:rsid w:val="00E40813"/>
    <w:rsid w:val="00E43703"/>
    <w:rsid w:val="00E46D40"/>
    <w:rsid w:val="00E54452"/>
    <w:rsid w:val="00E55B8B"/>
    <w:rsid w:val="00E61CB9"/>
    <w:rsid w:val="00E64593"/>
    <w:rsid w:val="00E71EA0"/>
    <w:rsid w:val="00E743E8"/>
    <w:rsid w:val="00E7522A"/>
    <w:rsid w:val="00E77CB7"/>
    <w:rsid w:val="00E8005B"/>
    <w:rsid w:val="00E83256"/>
    <w:rsid w:val="00E83399"/>
    <w:rsid w:val="00E84A0B"/>
    <w:rsid w:val="00E85CCA"/>
    <w:rsid w:val="00E876F1"/>
    <w:rsid w:val="00E87802"/>
    <w:rsid w:val="00E91C99"/>
    <w:rsid w:val="00EA6CF2"/>
    <w:rsid w:val="00EB43AA"/>
    <w:rsid w:val="00EB4AC3"/>
    <w:rsid w:val="00EB606A"/>
    <w:rsid w:val="00EB6F64"/>
    <w:rsid w:val="00EC04F8"/>
    <w:rsid w:val="00EC1F6D"/>
    <w:rsid w:val="00EC2CB6"/>
    <w:rsid w:val="00EC512B"/>
    <w:rsid w:val="00ED28D8"/>
    <w:rsid w:val="00EE12C6"/>
    <w:rsid w:val="00EF1D91"/>
    <w:rsid w:val="00EF7017"/>
    <w:rsid w:val="00F00D0B"/>
    <w:rsid w:val="00F011BB"/>
    <w:rsid w:val="00F011E8"/>
    <w:rsid w:val="00F01266"/>
    <w:rsid w:val="00F027B5"/>
    <w:rsid w:val="00F062C7"/>
    <w:rsid w:val="00F0640C"/>
    <w:rsid w:val="00F06F3B"/>
    <w:rsid w:val="00F118F6"/>
    <w:rsid w:val="00F210F9"/>
    <w:rsid w:val="00F265F1"/>
    <w:rsid w:val="00F27E55"/>
    <w:rsid w:val="00F31CEC"/>
    <w:rsid w:val="00F33FB8"/>
    <w:rsid w:val="00F42371"/>
    <w:rsid w:val="00F43EA5"/>
    <w:rsid w:val="00F44556"/>
    <w:rsid w:val="00F449F3"/>
    <w:rsid w:val="00F46475"/>
    <w:rsid w:val="00F47ACC"/>
    <w:rsid w:val="00F53ADA"/>
    <w:rsid w:val="00F54326"/>
    <w:rsid w:val="00F61D5B"/>
    <w:rsid w:val="00F675B5"/>
    <w:rsid w:val="00F706A9"/>
    <w:rsid w:val="00F773C4"/>
    <w:rsid w:val="00F80EF6"/>
    <w:rsid w:val="00F85B8C"/>
    <w:rsid w:val="00F942FF"/>
    <w:rsid w:val="00F94BE7"/>
    <w:rsid w:val="00FA3D8E"/>
    <w:rsid w:val="00FB2DE3"/>
    <w:rsid w:val="00FC0C46"/>
    <w:rsid w:val="00FC130D"/>
    <w:rsid w:val="00FC4011"/>
    <w:rsid w:val="00FC6634"/>
    <w:rsid w:val="00FD2693"/>
    <w:rsid w:val="00FD4D67"/>
    <w:rsid w:val="00FE3438"/>
    <w:rsid w:val="00FE4B5D"/>
    <w:rsid w:val="00FE7134"/>
    <w:rsid w:val="00FE74C4"/>
    <w:rsid w:val="00FF47EB"/>
    <w:rsid w:val="00FF5C05"/>
    <w:rsid w:val="042033D6"/>
    <w:rsid w:val="054F3944"/>
    <w:rsid w:val="057A1088"/>
    <w:rsid w:val="0E3C75E8"/>
    <w:rsid w:val="12B71311"/>
    <w:rsid w:val="16F7073B"/>
    <w:rsid w:val="1C9E56AD"/>
    <w:rsid w:val="23824A85"/>
    <w:rsid w:val="23C425E8"/>
    <w:rsid w:val="293732F9"/>
    <w:rsid w:val="29D45745"/>
    <w:rsid w:val="2A1A17D9"/>
    <w:rsid w:val="2B0A5828"/>
    <w:rsid w:val="2BD32DC7"/>
    <w:rsid w:val="2DFF7E04"/>
    <w:rsid w:val="302A5878"/>
    <w:rsid w:val="341D288D"/>
    <w:rsid w:val="343E6645"/>
    <w:rsid w:val="35AC22C9"/>
    <w:rsid w:val="35B05960"/>
    <w:rsid w:val="37737A1B"/>
    <w:rsid w:val="39BB3AC3"/>
    <w:rsid w:val="3A6A61E5"/>
    <w:rsid w:val="3CDA6EE3"/>
    <w:rsid w:val="3DCE0A75"/>
    <w:rsid w:val="47643349"/>
    <w:rsid w:val="4BAA21AF"/>
    <w:rsid w:val="4BD55E33"/>
    <w:rsid w:val="4CD928A1"/>
    <w:rsid w:val="4F0444B0"/>
    <w:rsid w:val="54ED44E0"/>
    <w:rsid w:val="56126841"/>
    <w:rsid w:val="58DA7286"/>
    <w:rsid w:val="5CC475BF"/>
    <w:rsid w:val="5EF50B59"/>
    <w:rsid w:val="5F1F1600"/>
    <w:rsid w:val="62826B2B"/>
    <w:rsid w:val="76D46C00"/>
    <w:rsid w:val="7B011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link w:val="22"/>
    <w:qFormat/>
    <w:uiPriority w:val="9"/>
    <w:pPr>
      <w:outlineLvl w:val="0"/>
    </w:pPr>
    <w:rPr>
      <w:rFonts w:eastAsia="黑体"/>
      <w:bCs/>
      <w:kern w:val="44"/>
      <w:szCs w:val="44"/>
    </w:rPr>
  </w:style>
  <w:style w:type="paragraph" w:styleId="4">
    <w:name w:val="heading 2"/>
    <w:basedOn w:val="1"/>
    <w:next w:val="3"/>
    <w:link w:val="25"/>
    <w:unhideWhenUsed/>
    <w:qFormat/>
    <w:uiPriority w:val="9"/>
    <w:pPr>
      <w:spacing w:line="600" w:lineRule="exact"/>
      <w:ind w:firstLine="200" w:firstLineChars="200"/>
      <w:textAlignment w:val="center"/>
      <w:outlineLvl w:val="1"/>
    </w:pPr>
    <w:rPr>
      <w:rFonts w:eastAsia="楷体_GB2312" w:cstheme="majorBidi"/>
      <w:bCs/>
      <w:sz w:val="32"/>
      <w:szCs w:val="32"/>
    </w:rPr>
  </w:style>
  <w:style w:type="paragraph" w:styleId="5">
    <w:name w:val="heading 3"/>
    <w:basedOn w:val="1"/>
    <w:next w:val="3"/>
    <w:link w:val="29"/>
    <w:unhideWhenUsed/>
    <w:qFormat/>
    <w:uiPriority w:val="9"/>
    <w:pPr>
      <w:spacing w:line="600" w:lineRule="exact"/>
      <w:ind w:firstLine="200" w:firstLineChars="200"/>
      <w:textAlignment w:val="center"/>
      <w:outlineLvl w:val="2"/>
    </w:pPr>
    <w:rPr>
      <w:rFonts w:eastAsia="仿宋_GB2312"/>
      <w:bCs/>
      <w:sz w:val="32"/>
      <w:szCs w:val="32"/>
    </w:rPr>
  </w:style>
  <w:style w:type="paragraph" w:styleId="6">
    <w:name w:val="heading 4"/>
    <w:basedOn w:val="1"/>
    <w:next w:val="3"/>
    <w:link w:val="30"/>
    <w:unhideWhenUsed/>
    <w:qFormat/>
    <w:uiPriority w:val="9"/>
    <w:pPr>
      <w:spacing w:line="600" w:lineRule="exact"/>
      <w:ind w:firstLine="200" w:firstLineChars="200"/>
      <w:textAlignment w:val="center"/>
      <w:outlineLvl w:val="3"/>
    </w:pPr>
    <w:rPr>
      <w:rFonts w:eastAsia="仿宋_GB2312" w:cstheme="majorBidi"/>
      <w:bCs/>
      <w:sz w:val="32"/>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3">
    <w:name w:val="文本正文"/>
    <w:link w:val="23"/>
    <w:qFormat/>
    <w:uiPriority w:val="0"/>
    <w:pPr>
      <w:widowControl w:val="0"/>
      <w:overflowPunct w:val="0"/>
      <w:spacing w:line="600" w:lineRule="exact"/>
      <w:ind w:firstLine="200" w:firstLineChars="200"/>
      <w:jc w:val="both"/>
      <w:textAlignment w:val="center"/>
    </w:pPr>
    <w:rPr>
      <w:rFonts w:ascii="Times New Roman" w:hAnsi="Times New Roman" w:eastAsia="仿宋_GB2312" w:cstheme="minorBidi"/>
      <w:kern w:val="2"/>
      <w:sz w:val="32"/>
      <w:szCs w:val="22"/>
      <w:lang w:val="en-US" w:eastAsia="zh-CN" w:bidi="ar-SA"/>
    </w:rPr>
  </w:style>
  <w:style w:type="paragraph" w:styleId="7">
    <w:name w:val="annotation text"/>
    <w:basedOn w:val="1"/>
    <w:link w:val="31"/>
    <w:semiHidden/>
    <w:unhideWhenUsed/>
    <w:qFormat/>
    <w:uiPriority w:val="99"/>
    <w:pPr>
      <w:jc w:val="left"/>
    </w:pPr>
  </w:style>
  <w:style w:type="paragraph" w:styleId="8">
    <w:name w:val="Body Text"/>
    <w:basedOn w:val="1"/>
    <w:link w:val="38"/>
    <w:qFormat/>
    <w:uiPriority w:val="99"/>
    <w:rPr>
      <w:rFonts w:ascii="仿宋_GB2312" w:hAnsi="宋体" w:eastAsia="仿宋_GB2312"/>
      <w:color w:val="FF6600"/>
      <w:sz w:val="18"/>
      <w:szCs w:val="18"/>
    </w:rPr>
  </w:style>
  <w:style w:type="paragraph" w:styleId="9">
    <w:name w:val="Date"/>
    <w:basedOn w:val="1"/>
    <w:next w:val="1"/>
    <w:link w:val="33"/>
    <w:semiHidden/>
    <w:unhideWhenUsed/>
    <w:qFormat/>
    <w:uiPriority w:val="99"/>
    <w:pPr>
      <w:ind w:left="100" w:leftChars="2500"/>
    </w:pPr>
  </w:style>
  <w:style w:type="paragraph" w:styleId="10">
    <w:name w:val="Balloon Text"/>
    <w:basedOn w:val="1"/>
    <w:link w:val="28"/>
    <w:semiHidden/>
    <w:unhideWhenUsed/>
    <w:qFormat/>
    <w:uiPriority w:val="99"/>
    <w:rPr>
      <w:sz w:val="18"/>
      <w:szCs w:val="18"/>
    </w:rPr>
  </w:style>
  <w:style w:type="paragraph" w:styleId="11">
    <w:name w:val="footer"/>
    <w:basedOn w:val="1"/>
    <w:link w:val="27"/>
    <w:unhideWhenUsed/>
    <w:qFormat/>
    <w:uiPriority w:val="99"/>
    <w:pPr>
      <w:tabs>
        <w:tab w:val="center" w:pos="4153"/>
        <w:tab w:val="right" w:pos="8306"/>
      </w:tabs>
      <w:snapToGrid w:val="0"/>
      <w:jc w:val="left"/>
    </w:pPr>
    <w:rPr>
      <w:sz w:val="18"/>
      <w:szCs w:val="18"/>
    </w:rPr>
  </w:style>
  <w:style w:type="paragraph" w:styleId="12">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unhideWhenUsed/>
    <w:qFormat/>
    <w:uiPriority w:val="39"/>
  </w:style>
  <w:style w:type="paragraph" w:styleId="14">
    <w:name w:val="toc 2"/>
    <w:basedOn w:val="1"/>
    <w:next w:val="1"/>
    <w:semiHidden/>
    <w:unhideWhenUsed/>
    <w:qFormat/>
    <w:uiPriority w:val="39"/>
    <w:pPr>
      <w:ind w:left="420" w:leftChars="200"/>
    </w:pPr>
  </w:style>
  <w:style w:type="paragraph" w:styleId="15">
    <w:name w:val="Title"/>
    <w:basedOn w:val="1"/>
    <w:next w:val="3"/>
    <w:link w:val="24"/>
    <w:qFormat/>
    <w:uiPriority w:val="10"/>
    <w:pPr>
      <w:spacing w:line="600" w:lineRule="exact"/>
      <w:jc w:val="center"/>
    </w:pPr>
    <w:rPr>
      <w:rFonts w:ascii="方正小标宋简体" w:hAnsi="方正小标宋简体" w:eastAsia="方正小标宋简体" w:cstheme="majorBidi"/>
      <w:bCs/>
      <w:sz w:val="44"/>
      <w:szCs w:val="32"/>
    </w:rPr>
  </w:style>
  <w:style w:type="paragraph" w:styleId="16">
    <w:name w:val="annotation subject"/>
    <w:basedOn w:val="7"/>
    <w:next w:val="7"/>
    <w:link w:val="32"/>
    <w:semiHidden/>
    <w:unhideWhenUsed/>
    <w:qFormat/>
    <w:uiPriority w:val="99"/>
    <w:rPr>
      <w:b/>
      <w:bCs/>
    </w:rPr>
  </w:style>
  <w:style w:type="paragraph" w:styleId="17">
    <w:name w:val="Body Text First Indent"/>
    <w:basedOn w:val="8"/>
    <w:link w:val="39"/>
    <w:qFormat/>
    <w:uiPriority w:val="0"/>
    <w:pPr>
      <w:ind w:firstLine="420" w:firstLineChars="100"/>
    </w:p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annotation reference"/>
    <w:basedOn w:val="20"/>
    <w:semiHidden/>
    <w:unhideWhenUsed/>
    <w:qFormat/>
    <w:uiPriority w:val="99"/>
    <w:rPr>
      <w:sz w:val="21"/>
      <w:szCs w:val="21"/>
    </w:rPr>
  </w:style>
  <w:style w:type="character" w:customStyle="1" w:styleId="22">
    <w:name w:val="标题 1 字符"/>
    <w:basedOn w:val="20"/>
    <w:link w:val="2"/>
    <w:qFormat/>
    <w:uiPriority w:val="9"/>
    <w:rPr>
      <w:rFonts w:ascii="Times New Roman" w:hAnsi="Times New Roman" w:eastAsia="黑体"/>
      <w:bCs/>
      <w:kern w:val="44"/>
      <w:sz w:val="32"/>
      <w:szCs w:val="44"/>
    </w:rPr>
  </w:style>
  <w:style w:type="character" w:customStyle="1" w:styleId="23">
    <w:name w:val="文本正文 字符"/>
    <w:basedOn w:val="20"/>
    <w:link w:val="3"/>
    <w:qFormat/>
    <w:uiPriority w:val="0"/>
    <w:rPr>
      <w:rFonts w:ascii="Times New Roman" w:hAnsi="Times New Roman" w:eastAsia="仿宋_GB2312"/>
      <w:sz w:val="32"/>
    </w:rPr>
  </w:style>
  <w:style w:type="character" w:customStyle="1" w:styleId="24">
    <w:name w:val="标题 字符"/>
    <w:basedOn w:val="20"/>
    <w:link w:val="15"/>
    <w:qFormat/>
    <w:uiPriority w:val="10"/>
    <w:rPr>
      <w:rFonts w:ascii="方正小标宋简体" w:hAnsi="方正小标宋简体" w:eastAsia="方正小标宋简体" w:cstheme="majorBidi"/>
      <w:bCs/>
      <w:sz w:val="44"/>
      <w:szCs w:val="32"/>
    </w:rPr>
  </w:style>
  <w:style w:type="character" w:customStyle="1" w:styleId="25">
    <w:name w:val="标题 2 字符"/>
    <w:basedOn w:val="20"/>
    <w:link w:val="4"/>
    <w:qFormat/>
    <w:uiPriority w:val="9"/>
    <w:rPr>
      <w:rFonts w:ascii="Times New Roman" w:hAnsi="Times New Roman" w:eastAsia="楷体_GB2312" w:cstheme="majorBidi"/>
      <w:bCs/>
      <w:sz w:val="32"/>
      <w:szCs w:val="32"/>
    </w:rPr>
  </w:style>
  <w:style w:type="character" w:customStyle="1" w:styleId="26">
    <w:name w:val="页眉 字符"/>
    <w:basedOn w:val="20"/>
    <w:link w:val="12"/>
    <w:qFormat/>
    <w:uiPriority w:val="99"/>
    <w:rPr>
      <w:sz w:val="18"/>
      <w:szCs w:val="18"/>
    </w:rPr>
  </w:style>
  <w:style w:type="character" w:customStyle="1" w:styleId="27">
    <w:name w:val="页脚 字符"/>
    <w:basedOn w:val="20"/>
    <w:link w:val="11"/>
    <w:qFormat/>
    <w:uiPriority w:val="99"/>
    <w:rPr>
      <w:sz w:val="18"/>
      <w:szCs w:val="18"/>
    </w:rPr>
  </w:style>
  <w:style w:type="character" w:customStyle="1" w:styleId="28">
    <w:name w:val="批注框文本 字符"/>
    <w:basedOn w:val="20"/>
    <w:link w:val="10"/>
    <w:semiHidden/>
    <w:qFormat/>
    <w:uiPriority w:val="99"/>
    <w:rPr>
      <w:sz w:val="18"/>
      <w:szCs w:val="18"/>
    </w:rPr>
  </w:style>
  <w:style w:type="character" w:customStyle="1" w:styleId="29">
    <w:name w:val="标题 3 字符"/>
    <w:basedOn w:val="20"/>
    <w:link w:val="5"/>
    <w:qFormat/>
    <w:uiPriority w:val="9"/>
    <w:rPr>
      <w:rFonts w:ascii="Times New Roman" w:hAnsi="Times New Roman" w:eastAsia="仿宋_GB2312"/>
      <w:bCs/>
      <w:sz w:val="32"/>
      <w:szCs w:val="32"/>
    </w:rPr>
  </w:style>
  <w:style w:type="character" w:customStyle="1" w:styleId="30">
    <w:name w:val="标题 4 字符"/>
    <w:basedOn w:val="20"/>
    <w:link w:val="6"/>
    <w:qFormat/>
    <w:uiPriority w:val="9"/>
    <w:rPr>
      <w:rFonts w:ascii="Times New Roman" w:hAnsi="Times New Roman" w:eastAsia="仿宋_GB2312" w:cstheme="majorBidi"/>
      <w:bCs/>
      <w:sz w:val="32"/>
      <w:szCs w:val="28"/>
    </w:rPr>
  </w:style>
  <w:style w:type="character" w:customStyle="1" w:styleId="31">
    <w:name w:val="批注文字 字符"/>
    <w:basedOn w:val="20"/>
    <w:link w:val="7"/>
    <w:semiHidden/>
    <w:qFormat/>
    <w:uiPriority w:val="99"/>
  </w:style>
  <w:style w:type="character" w:customStyle="1" w:styleId="32">
    <w:name w:val="批注主题 字符"/>
    <w:basedOn w:val="31"/>
    <w:link w:val="16"/>
    <w:semiHidden/>
    <w:qFormat/>
    <w:uiPriority w:val="99"/>
    <w:rPr>
      <w:b/>
      <w:bCs/>
    </w:rPr>
  </w:style>
  <w:style w:type="character" w:customStyle="1" w:styleId="33">
    <w:name w:val="日期 字符"/>
    <w:basedOn w:val="20"/>
    <w:link w:val="9"/>
    <w:semiHidden/>
    <w:qFormat/>
    <w:uiPriority w:val="99"/>
  </w:style>
  <w:style w:type="paragraph" w:customStyle="1" w:styleId="34">
    <w:name w:val="落款"/>
    <w:basedOn w:val="3"/>
    <w:link w:val="35"/>
    <w:qFormat/>
    <w:uiPriority w:val="0"/>
    <w:pPr>
      <w:tabs>
        <w:tab w:val="center" w:pos="6510"/>
      </w:tabs>
      <w:ind w:firstLine="0" w:firstLineChars="0"/>
      <w:jc w:val="left"/>
    </w:pPr>
  </w:style>
  <w:style w:type="character" w:customStyle="1" w:styleId="35">
    <w:name w:val="落款 字符"/>
    <w:basedOn w:val="23"/>
    <w:link w:val="34"/>
    <w:qFormat/>
    <w:uiPriority w:val="0"/>
    <w:rPr>
      <w:rFonts w:ascii="Times New Roman" w:hAnsi="Times New Roman" w:eastAsia="仿宋"/>
      <w:sz w:val="32"/>
    </w:rPr>
  </w:style>
  <w:style w:type="paragraph" w:customStyle="1" w:styleId="36">
    <w:name w:val="图表"/>
    <w:basedOn w:val="3"/>
    <w:link w:val="37"/>
    <w:qFormat/>
    <w:uiPriority w:val="0"/>
    <w:pPr>
      <w:spacing w:line="240" w:lineRule="auto"/>
      <w:ind w:firstLine="0" w:firstLineChars="0"/>
      <w:jc w:val="center"/>
    </w:pPr>
    <w:rPr>
      <w:rFonts w:eastAsia="楷体_GB2312"/>
    </w:rPr>
  </w:style>
  <w:style w:type="character" w:customStyle="1" w:styleId="37">
    <w:name w:val="图表 字符"/>
    <w:basedOn w:val="23"/>
    <w:link w:val="36"/>
    <w:qFormat/>
    <w:uiPriority w:val="0"/>
    <w:rPr>
      <w:rFonts w:ascii="Times New Roman" w:hAnsi="Times New Roman" w:eastAsia="楷体_GB2312"/>
      <w:sz w:val="32"/>
    </w:rPr>
  </w:style>
  <w:style w:type="character" w:customStyle="1" w:styleId="38">
    <w:name w:val="正文文本 字符"/>
    <w:basedOn w:val="20"/>
    <w:link w:val="8"/>
    <w:qFormat/>
    <w:uiPriority w:val="99"/>
    <w:rPr>
      <w:rFonts w:ascii="仿宋_GB2312" w:hAnsi="宋体" w:eastAsia="仿宋_GB2312" w:cs="Times New Roman"/>
      <w:color w:val="FF6600"/>
      <w:sz w:val="18"/>
      <w:szCs w:val="18"/>
    </w:rPr>
  </w:style>
  <w:style w:type="character" w:customStyle="1" w:styleId="39">
    <w:name w:val="正文文本首行缩进 字符"/>
    <w:basedOn w:val="38"/>
    <w:link w:val="17"/>
    <w:qFormat/>
    <w:uiPriority w:val="0"/>
    <w:rPr>
      <w:rFonts w:ascii="仿宋_GB2312" w:hAnsi="宋体" w:eastAsia="仿宋_GB2312" w:cs="Times New Roman"/>
      <w:color w:val="FF6600"/>
      <w:kern w:val="2"/>
      <w:sz w:val="18"/>
      <w:szCs w:val="18"/>
    </w:rPr>
  </w:style>
  <w:style w:type="table" w:customStyle="1" w:styleId="40">
    <w:name w:val="Table Normal"/>
    <w:semiHidden/>
    <w:unhideWhenUsed/>
    <w:qFormat/>
    <w:uiPriority w:val="0"/>
    <w:tblPr>
      <w:tblCellMar>
        <w:top w:w="0" w:type="dxa"/>
        <w:left w:w="0" w:type="dxa"/>
        <w:bottom w:w="0" w:type="dxa"/>
        <w:right w:w="0" w:type="dxa"/>
      </w:tblCellMar>
    </w:tbl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43">
    <w:name w:val="font11"/>
    <w:basedOn w:val="20"/>
    <w:qFormat/>
    <w:uiPriority w:val="0"/>
    <w:rPr>
      <w:rFonts w:hint="eastAsia" w:ascii="黑体" w:hAnsi="宋体" w:eastAsia="黑体" w:cs="黑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o\Documents\Template\&#26085;&#24120;&#26448;&#26009;&#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741C-5D4A-4779-897B-B4B2DB189671}">
  <ds:schemaRefs/>
</ds:datastoreItem>
</file>

<file path=docProps/app.xml><?xml version="1.0" encoding="utf-8"?>
<Properties xmlns="http://schemas.openxmlformats.org/officeDocument/2006/extended-properties" xmlns:vt="http://schemas.openxmlformats.org/officeDocument/2006/docPropsVTypes">
  <Template>日常材料模板.dotx</Template>
  <Company>Hewlett-Packard Company</Company>
  <Pages>1</Pages>
  <Words>1680</Words>
  <Characters>9576</Characters>
  <Lines>79</Lines>
  <Paragraphs>22</Paragraphs>
  <TotalTime>730</TotalTime>
  <ScaleCrop>false</ScaleCrop>
  <LinksUpToDate>false</LinksUpToDate>
  <CharactersWithSpaces>11234</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2023-08-09T06:49:00Z</dcterms:created>
  <dc:creator>Hoo</dc:creator>
  <cp:lastModifiedBy>王芳</cp:lastModifiedBy>
  <cp:lastPrinted>2025-06-22T03:53:18Z</cp:lastPrinted>
  <dcterms:modified xsi:type="dcterms:W3CDTF">2025-06-22T03:53:25Z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0FC3D3D1972A4B21A0D5DA4358B7841C</vt:lpwstr>
  </property>
  <property fmtid="{D5CDD505-2E9C-101B-9397-08002B2CF9AE}" pid="4" name="KSOTemplateDocerSaveRecord">
    <vt:lpwstr>eyJoZGlkIjoiOWZlNmRhMWJkMGZkZmM3YWVlNzFjZWZhMTVlYjg2Y2IiLCJ1c2VySWQiOiIxNTcwNDQ5MzExIn0=</vt:lpwstr>
  </property>
</Properties>
</file>