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06678">
      <w:pPr>
        <w:spacing w:line="480" w:lineRule="auto"/>
        <w:jc w:val="center"/>
        <w:rPr>
          <w:rFonts w:hint="eastAsia" w:ascii="宋体" w:hAnsi="宋体" w:eastAsia="宋体" w:cs="宋体"/>
          <w:b/>
          <w:sz w:val="44"/>
          <w:szCs w:val="44"/>
        </w:rPr>
      </w:pPr>
    </w:p>
    <w:p w14:paraId="3EE06679">
      <w:pPr>
        <w:spacing w:line="480" w:lineRule="auto"/>
        <w:jc w:val="center"/>
        <w:rPr>
          <w:rFonts w:hint="eastAsia" w:ascii="宋体" w:hAnsi="宋体" w:eastAsia="宋体" w:cs="宋体"/>
          <w:b/>
          <w:sz w:val="44"/>
          <w:szCs w:val="44"/>
        </w:rPr>
      </w:pPr>
    </w:p>
    <w:p w14:paraId="3EE0667A">
      <w:pPr>
        <w:spacing w:line="720" w:lineRule="auto"/>
        <w:jc w:val="center"/>
        <w:rPr>
          <w:rFonts w:hint="eastAsia" w:ascii="宋体" w:hAnsi="宋体" w:eastAsia="宋体" w:cs="宋体"/>
          <w:b/>
          <w:sz w:val="44"/>
          <w:szCs w:val="44"/>
        </w:rPr>
      </w:pPr>
    </w:p>
    <w:p w14:paraId="3EE0667B">
      <w:pPr>
        <w:spacing w:line="720" w:lineRule="auto"/>
        <w:jc w:val="center"/>
        <w:rPr>
          <w:rFonts w:hint="eastAsia" w:ascii="宋体" w:hAnsi="宋体" w:eastAsia="宋体" w:cs="宋体"/>
          <w:b/>
          <w:sz w:val="44"/>
          <w:szCs w:val="44"/>
        </w:rPr>
      </w:pPr>
    </w:p>
    <w:p w14:paraId="3EE0667C">
      <w:pPr>
        <w:spacing w:line="480" w:lineRule="auto"/>
        <w:jc w:val="center"/>
        <w:rPr>
          <w:rFonts w:hint="eastAsia" w:ascii="宋体" w:hAnsi="宋体" w:eastAsia="宋体" w:cs="宋体"/>
          <w:b/>
          <w:sz w:val="44"/>
          <w:szCs w:val="44"/>
        </w:rPr>
      </w:pPr>
    </w:p>
    <w:p w14:paraId="5BE480C8">
      <w:pPr>
        <w:spacing w:line="480" w:lineRule="auto"/>
        <w:jc w:val="center"/>
        <w:rPr>
          <w:rFonts w:hint="eastAsia" w:ascii="宋体" w:hAnsi="宋体" w:eastAsia="宋体" w:cs="宋体"/>
          <w:b/>
          <w:bCs/>
          <w:sz w:val="44"/>
          <w:szCs w:val="44"/>
        </w:rPr>
      </w:pPr>
      <w:r>
        <w:rPr>
          <w:rFonts w:hint="eastAsia" w:ascii="宋体" w:hAnsi="宋体" w:eastAsia="宋体" w:cs="宋体"/>
          <w:b/>
          <w:bCs/>
          <w:sz w:val="44"/>
          <w:szCs w:val="44"/>
        </w:rPr>
        <w:t>2025年海南省政府专项债券（一期）</w:t>
      </w:r>
    </w:p>
    <w:p w14:paraId="1F10B5D1">
      <w:pPr>
        <w:spacing w:line="480" w:lineRule="auto"/>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资金调整</w:t>
      </w:r>
      <w:r>
        <w:rPr>
          <w:rFonts w:hint="eastAsia" w:ascii="宋体" w:hAnsi="宋体" w:eastAsia="宋体" w:cs="宋体"/>
          <w:b/>
          <w:bCs/>
          <w:sz w:val="44"/>
          <w:szCs w:val="44"/>
          <w:lang w:val="en-US" w:eastAsia="zh-CN"/>
        </w:rPr>
        <w:t>平衡实施方案</w:t>
      </w:r>
    </w:p>
    <w:p w14:paraId="77628C9D">
      <w:pPr>
        <w:spacing w:line="480" w:lineRule="auto"/>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w:t>
      </w:r>
      <w:r>
        <w:rPr>
          <w:rFonts w:hint="eastAsia" w:ascii="宋体" w:hAnsi="宋体" w:eastAsia="宋体" w:cs="宋体"/>
          <w:b/>
          <w:bCs/>
          <w:sz w:val="36"/>
          <w:szCs w:val="36"/>
        </w:rPr>
        <w:t>海口江东新区产业发展配套基础设施项目（三期）</w:t>
      </w:r>
    </w:p>
    <w:p w14:paraId="6221E3B0">
      <w:pPr>
        <w:rPr>
          <w:rFonts w:hint="eastAsia" w:ascii="宋体" w:hAnsi="宋体" w:eastAsia="宋体" w:cs="宋体"/>
          <w:sz w:val="24"/>
          <w:szCs w:val="24"/>
        </w:rPr>
      </w:pPr>
      <w:r>
        <w:rPr>
          <w:rFonts w:hint="eastAsia" w:ascii="宋体" w:hAnsi="宋体" w:eastAsia="宋体" w:cs="宋体"/>
          <w:sz w:val="24"/>
          <w:szCs w:val="24"/>
        </w:rPr>
        <w:br w:type="page"/>
      </w:r>
    </w:p>
    <w:p w14:paraId="3690F8AD">
      <w:pPr>
        <w:spacing w:line="480" w:lineRule="auto"/>
        <w:jc w:val="center"/>
        <w:rPr>
          <w:rFonts w:hint="eastAsia" w:ascii="宋体" w:hAnsi="宋体" w:eastAsia="宋体" w:cs="宋体"/>
          <w:sz w:val="24"/>
          <w:szCs w:val="24"/>
        </w:rPr>
      </w:pPr>
    </w:p>
    <w:sdt>
      <w:sdtPr>
        <w:rPr>
          <w:rFonts w:hint="eastAsia" w:ascii="宋体" w:hAnsi="宋体" w:eastAsia="宋体" w:cs="宋体"/>
          <w:sz w:val="24"/>
          <w:szCs w:val="24"/>
        </w:rPr>
        <w:id w:val="147482000"/>
        <w15:color w:val="DBDBDB"/>
        <w:docPartObj>
          <w:docPartGallery w:val="Table of Contents"/>
          <w:docPartUnique/>
        </w:docPartObj>
      </w:sdtPr>
      <w:sdtEndPr>
        <w:rPr>
          <w:rFonts w:hint="eastAsia" w:ascii="宋体" w:hAnsi="宋体" w:eastAsia="宋体" w:cs="宋体"/>
          <w:sz w:val="24"/>
          <w:szCs w:val="24"/>
        </w:rPr>
      </w:sdtEndPr>
      <w:sdtContent>
        <w:p w14:paraId="3EE06681">
          <w:pPr>
            <w:spacing w:line="480" w:lineRule="auto"/>
            <w:jc w:val="center"/>
            <w:rPr>
              <w:rFonts w:hint="eastAsia" w:ascii="宋体" w:hAnsi="宋体" w:eastAsia="宋体" w:cs="宋体"/>
              <w:sz w:val="24"/>
              <w:szCs w:val="24"/>
            </w:rPr>
          </w:pPr>
          <w:r>
            <w:rPr>
              <w:rFonts w:hint="eastAsia" w:ascii="宋体" w:hAnsi="宋体" w:eastAsia="宋体" w:cs="宋体"/>
              <w:b/>
              <w:bCs/>
              <w:sz w:val="24"/>
              <w:szCs w:val="24"/>
            </w:rPr>
            <w:t>目录</w:t>
          </w:r>
        </w:p>
        <w:p w14:paraId="3DAD3D55">
          <w:pPr>
            <w:pStyle w:val="12"/>
            <w:tabs>
              <w:tab w:val="right" w:leader="dot" w:pos="8306"/>
            </w:tabs>
            <w:spacing w:line="480" w:lineRule="auto"/>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Cs w:val="32"/>
            </w:rPr>
            <w:fldChar w:fldCharType="begin"/>
          </w:r>
          <w:r>
            <w:rPr>
              <w:rFonts w:hint="eastAsia" w:ascii="宋体" w:hAnsi="宋体" w:eastAsia="宋体" w:cs="宋体"/>
              <w:szCs w:val="32"/>
            </w:rPr>
            <w:instrText xml:space="preserve"> HYPERLINK \l _Toc12137 </w:instrText>
          </w:r>
          <w:r>
            <w:rPr>
              <w:rFonts w:hint="eastAsia" w:ascii="宋体" w:hAnsi="宋体" w:eastAsia="宋体" w:cs="宋体"/>
              <w:szCs w:val="32"/>
            </w:rPr>
            <w:fldChar w:fldCharType="separate"/>
          </w:r>
          <w:r>
            <w:rPr>
              <w:rFonts w:hint="eastAsia" w:ascii="宋体" w:hAnsi="宋体" w:eastAsia="宋体" w:cs="宋体"/>
              <w:szCs w:val="24"/>
            </w:rPr>
            <w:t>一、债券调整情况</w:t>
          </w:r>
          <w:r>
            <w:tab/>
          </w:r>
          <w:r>
            <w:fldChar w:fldCharType="begin"/>
          </w:r>
          <w:r>
            <w:instrText xml:space="preserve"> PAGEREF _Toc12137 \h </w:instrText>
          </w:r>
          <w:r>
            <w:fldChar w:fldCharType="separate"/>
          </w:r>
          <w:r>
            <w:t>3</w:t>
          </w:r>
          <w:r>
            <w:fldChar w:fldCharType="end"/>
          </w:r>
          <w:r>
            <w:rPr>
              <w:rFonts w:hint="eastAsia" w:ascii="宋体" w:hAnsi="宋体" w:eastAsia="宋体" w:cs="宋体"/>
              <w:szCs w:val="32"/>
            </w:rPr>
            <w:fldChar w:fldCharType="end"/>
          </w:r>
        </w:p>
        <w:p w14:paraId="1396D776">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_Toc6620 </w:instrText>
          </w:r>
          <w:r>
            <w:rPr>
              <w:rFonts w:hint="eastAsia" w:ascii="宋体" w:hAnsi="宋体" w:eastAsia="宋体" w:cs="宋体"/>
              <w:szCs w:val="32"/>
            </w:rPr>
            <w:fldChar w:fldCharType="separate"/>
          </w:r>
          <w:r>
            <w:rPr>
              <w:rFonts w:hint="eastAsia" w:ascii="宋体" w:hAnsi="宋体" w:eastAsia="宋体" w:cs="宋体"/>
              <w:szCs w:val="24"/>
            </w:rPr>
            <w:t>二、地区情况</w:t>
          </w:r>
          <w:r>
            <w:tab/>
          </w:r>
          <w:r>
            <w:fldChar w:fldCharType="begin"/>
          </w:r>
          <w:r>
            <w:instrText xml:space="preserve"> PAGEREF _Toc6620 \h </w:instrText>
          </w:r>
          <w:r>
            <w:fldChar w:fldCharType="separate"/>
          </w:r>
          <w:r>
            <w:t>4</w:t>
          </w:r>
          <w:r>
            <w:fldChar w:fldCharType="end"/>
          </w:r>
          <w:r>
            <w:rPr>
              <w:rFonts w:hint="eastAsia" w:ascii="宋体" w:hAnsi="宋体" w:eastAsia="宋体" w:cs="宋体"/>
              <w:szCs w:val="32"/>
            </w:rPr>
            <w:fldChar w:fldCharType="end"/>
          </w:r>
        </w:p>
        <w:p w14:paraId="57595226">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_Toc2506 </w:instrText>
          </w:r>
          <w:r>
            <w:rPr>
              <w:rFonts w:hint="eastAsia" w:ascii="宋体" w:hAnsi="宋体" w:eastAsia="宋体" w:cs="宋体"/>
              <w:szCs w:val="32"/>
            </w:rPr>
            <w:fldChar w:fldCharType="separate"/>
          </w:r>
          <w:r>
            <w:rPr>
              <w:rFonts w:hint="eastAsia" w:ascii="宋体" w:hAnsi="宋体" w:eastAsia="宋体" w:cs="宋体"/>
              <w:szCs w:val="24"/>
            </w:rPr>
            <w:t>三、项目概述</w:t>
          </w:r>
          <w:r>
            <w:tab/>
          </w:r>
          <w:r>
            <w:fldChar w:fldCharType="begin"/>
          </w:r>
          <w:r>
            <w:instrText xml:space="preserve"> PAGEREF _Toc2506 \h </w:instrText>
          </w:r>
          <w:r>
            <w:fldChar w:fldCharType="separate"/>
          </w:r>
          <w:r>
            <w:t>5</w:t>
          </w:r>
          <w:r>
            <w:fldChar w:fldCharType="end"/>
          </w:r>
          <w:r>
            <w:rPr>
              <w:rFonts w:hint="eastAsia" w:ascii="宋体" w:hAnsi="宋体" w:eastAsia="宋体" w:cs="宋体"/>
              <w:szCs w:val="32"/>
            </w:rPr>
            <w:fldChar w:fldCharType="end"/>
          </w:r>
        </w:p>
        <w:p w14:paraId="11B4C705">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_Toc21471 </w:instrText>
          </w:r>
          <w:r>
            <w:rPr>
              <w:rFonts w:hint="eastAsia" w:ascii="宋体" w:hAnsi="宋体" w:eastAsia="宋体" w:cs="宋体"/>
              <w:szCs w:val="32"/>
            </w:rPr>
            <w:fldChar w:fldCharType="separate"/>
          </w:r>
          <w:r>
            <w:rPr>
              <w:rFonts w:hint="eastAsia" w:ascii="宋体" w:hAnsi="宋体" w:eastAsia="宋体" w:cs="宋体"/>
              <w:szCs w:val="24"/>
            </w:rPr>
            <w:t>（一）项目基本情况</w:t>
          </w:r>
          <w:r>
            <w:tab/>
          </w:r>
          <w:r>
            <w:fldChar w:fldCharType="begin"/>
          </w:r>
          <w:r>
            <w:instrText xml:space="preserve"> PAGEREF _Toc21471 \h </w:instrText>
          </w:r>
          <w:r>
            <w:fldChar w:fldCharType="separate"/>
          </w:r>
          <w:r>
            <w:t>5</w:t>
          </w:r>
          <w:r>
            <w:fldChar w:fldCharType="end"/>
          </w:r>
          <w:r>
            <w:rPr>
              <w:rFonts w:hint="eastAsia" w:ascii="宋体" w:hAnsi="宋体" w:eastAsia="宋体" w:cs="宋体"/>
              <w:szCs w:val="32"/>
            </w:rPr>
            <w:fldChar w:fldCharType="end"/>
          </w:r>
        </w:p>
        <w:p w14:paraId="0911B341">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_Toc28919 </w:instrText>
          </w:r>
          <w:r>
            <w:rPr>
              <w:rFonts w:hint="eastAsia" w:ascii="宋体" w:hAnsi="宋体" w:eastAsia="宋体" w:cs="宋体"/>
              <w:szCs w:val="32"/>
            </w:rPr>
            <w:fldChar w:fldCharType="separate"/>
          </w:r>
          <w:r>
            <w:rPr>
              <w:rFonts w:hint="eastAsia" w:ascii="宋体" w:hAnsi="宋体" w:eastAsia="宋体" w:cs="宋体"/>
              <w:szCs w:val="24"/>
            </w:rPr>
            <w:t>（二）项目相关批复</w:t>
          </w:r>
          <w:r>
            <w:tab/>
          </w:r>
          <w:r>
            <w:fldChar w:fldCharType="begin"/>
          </w:r>
          <w:r>
            <w:instrText xml:space="preserve"> PAGEREF _Toc28919 \h </w:instrText>
          </w:r>
          <w:r>
            <w:fldChar w:fldCharType="separate"/>
          </w:r>
          <w:r>
            <w:t>5</w:t>
          </w:r>
          <w:r>
            <w:fldChar w:fldCharType="end"/>
          </w:r>
          <w:r>
            <w:rPr>
              <w:rFonts w:hint="eastAsia" w:ascii="宋体" w:hAnsi="宋体" w:eastAsia="宋体" w:cs="宋体"/>
              <w:szCs w:val="32"/>
            </w:rPr>
            <w:fldChar w:fldCharType="end"/>
          </w:r>
        </w:p>
        <w:p w14:paraId="19EC9028">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_Toc3287 </w:instrText>
          </w:r>
          <w:r>
            <w:rPr>
              <w:rFonts w:hint="eastAsia" w:ascii="宋体" w:hAnsi="宋体" w:eastAsia="宋体" w:cs="宋体"/>
              <w:szCs w:val="32"/>
            </w:rPr>
            <w:fldChar w:fldCharType="separate"/>
          </w:r>
          <w:r>
            <w:rPr>
              <w:rFonts w:hint="eastAsia" w:ascii="宋体" w:hAnsi="宋体" w:eastAsia="宋体" w:cs="宋体"/>
              <w:szCs w:val="24"/>
            </w:rPr>
            <w:t>（三）事前绩效评估</w:t>
          </w:r>
          <w:r>
            <w:tab/>
          </w:r>
          <w:r>
            <w:fldChar w:fldCharType="begin"/>
          </w:r>
          <w:r>
            <w:instrText xml:space="preserve"> PAGEREF _Toc3287 \h </w:instrText>
          </w:r>
          <w:r>
            <w:fldChar w:fldCharType="separate"/>
          </w:r>
          <w:r>
            <w:t>7</w:t>
          </w:r>
          <w:r>
            <w:fldChar w:fldCharType="end"/>
          </w:r>
          <w:r>
            <w:rPr>
              <w:rFonts w:hint="eastAsia" w:ascii="宋体" w:hAnsi="宋体" w:eastAsia="宋体" w:cs="宋体"/>
              <w:szCs w:val="32"/>
            </w:rPr>
            <w:fldChar w:fldCharType="end"/>
          </w:r>
        </w:p>
        <w:p w14:paraId="1276D62C">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_Toc28716 </w:instrText>
          </w:r>
          <w:r>
            <w:rPr>
              <w:rFonts w:hint="eastAsia" w:ascii="宋体" w:hAnsi="宋体" w:eastAsia="宋体" w:cs="宋体"/>
              <w:szCs w:val="32"/>
            </w:rPr>
            <w:fldChar w:fldCharType="separate"/>
          </w:r>
          <w:r>
            <w:rPr>
              <w:rFonts w:hint="eastAsia" w:ascii="宋体" w:hAnsi="宋体" w:eastAsia="宋体" w:cs="宋体"/>
              <w:szCs w:val="24"/>
            </w:rPr>
            <w:t>四、项目平衡实施方案</w:t>
          </w:r>
          <w:r>
            <w:tab/>
          </w:r>
          <w:r>
            <w:fldChar w:fldCharType="begin"/>
          </w:r>
          <w:r>
            <w:instrText xml:space="preserve"> PAGEREF _Toc28716 \h </w:instrText>
          </w:r>
          <w:r>
            <w:fldChar w:fldCharType="separate"/>
          </w:r>
          <w:r>
            <w:t>8</w:t>
          </w:r>
          <w:r>
            <w:fldChar w:fldCharType="end"/>
          </w:r>
          <w:r>
            <w:rPr>
              <w:rFonts w:hint="eastAsia" w:ascii="宋体" w:hAnsi="宋体" w:eastAsia="宋体" w:cs="宋体"/>
              <w:szCs w:val="32"/>
            </w:rPr>
            <w:fldChar w:fldCharType="end"/>
          </w:r>
        </w:p>
        <w:p w14:paraId="0BC0FFB3">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_Toc12288 </w:instrText>
          </w:r>
          <w:r>
            <w:rPr>
              <w:rFonts w:hint="eastAsia" w:ascii="宋体" w:hAnsi="宋体" w:eastAsia="宋体" w:cs="宋体"/>
              <w:szCs w:val="32"/>
            </w:rPr>
            <w:fldChar w:fldCharType="separate"/>
          </w:r>
          <w:r>
            <w:rPr>
              <w:rFonts w:hint="eastAsia" w:ascii="宋体" w:hAnsi="宋体" w:eastAsia="宋体" w:cs="宋体"/>
              <w:bCs/>
              <w:szCs w:val="24"/>
            </w:rPr>
            <w:t>五、压力测试情况</w:t>
          </w:r>
          <w:r>
            <w:tab/>
          </w:r>
          <w:r>
            <w:fldChar w:fldCharType="begin"/>
          </w:r>
          <w:r>
            <w:instrText xml:space="preserve"> PAGEREF _Toc12288 \h </w:instrText>
          </w:r>
          <w:r>
            <w:fldChar w:fldCharType="separate"/>
          </w:r>
          <w:r>
            <w:t>14</w:t>
          </w:r>
          <w:r>
            <w:fldChar w:fldCharType="end"/>
          </w:r>
          <w:r>
            <w:rPr>
              <w:rFonts w:hint="eastAsia" w:ascii="宋体" w:hAnsi="宋体" w:eastAsia="宋体" w:cs="宋体"/>
              <w:szCs w:val="32"/>
            </w:rPr>
            <w:fldChar w:fldCharType="end"/>
          </w:r>
        </w:p>
        <w:p w14:paraId="28EFF0CF">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_Toc18169 </w:instrText>
          </w:r>
          <w:r>
            <w:rPr>
              <w:rFonts w:hint="eastAsia" w:ascii="宋体" w:hAnsi="宋体" w:eastAsia="宋体" w:cs="宋体"/>
              <w:szCs w:val="32"/>
            </w:rPr>
            <w:fldChar w:fldCharType="separate"/>
          </w:r>
          <w:r>
            <w:rPr>
              <w:rFonts w:hint="eastAsia" w:ascii="宋体" w:hAnsi="宋体" w:eastAsia="宋体" w:cs="宋体"/>
              <w:bCs/>
              <w:szCs w:val="24"/>
            </w:rPr>
            <w:t>六、潜在风险评估</w:t>
          </w:r>
          <w:r>
            <w:tab/>
          </w:r>
          <w:r>
            <w:fldChar w:fldCharType="begin"/>
          </w:r>
          <w:r>
            <w:instrText xml:space="preserve"> PAGEREF _Toc18169 \h </w:instrText>
          </w:r>
          <w:r>
            <w:fldChar w:fldCharType="separate"/>
          </w:r>
          <w:r>
            <w:t>15</w:t>
          </w:r>
          <w:r>
            <w:fldChar w:fldCharType="end"/>
          </w:r>
          <w:r>
            <w:rPr>
              <w:rFonts w:hint="eastAsia" w:ascii="宋体" w:hAnsi="宋体" w:eastAsia="宋体" w:cs="宋体"/>
              <w:szCs w:val="32"/>
            </w:rPr>
            <w:fldChar w:fldCharType="end"/>
          </w:r>
        </w:p>
        <w:p w14:paraId="78C0EE12">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_Toc741 </w:instrText>
          </w:r>
          <w:r>
            <w:rPr>
              <w:rFonts w:hint="eastAsia" w:ascii="宋体" w:hAnsi="宋体" w:eastAsia="宋体" w:cs="宋体"/>
              <w:szCs w:val="32"/>
            </w:rPr>
            <w:fldChar w:fldCharType="separate"/>
          </w:r>
          <w:r>
            <w:rPr>
              <w:rFonts w:hint="eastAsia" w:ascii="宋体" w:hAnsi="宋体" w:eastAsia="宋体" w:cs="宋体"/>
              <w:bCs/>
              <w:szCs w:val="24"/>
            </w:rPr>
            <w:t>（一）影响项目施工进度或正常运营的风险及控制措施</w:t>
          </w:r>
          <w:r>
            <w:tab/>
          </w:r>
          <w:r>
            <w:fldChar w:fldCharType="begin"/>
          </w:r>
          <w:r>
            <w:instrText xml:space="preserve"> PAGEREF _Toc741 \h </w:instrText>
          </w:r>
          <w:r>
            <w:fldChar w:fldCharType="separate"/>
          </w:r>
          <w:r>
            <w:t>15</w:t>
          </w:r>
          <w:r>
            <w:fldChar w:fldCharType="end"/>
          </w:r>
          <w:r>
            <w:rPr>
              <w:rFonts w:hint="eastAsia" w:ascii="宋体" w:hAnsi="宋体" w:eastAsia="宋体" w:cs="宋体"/>
              <w:szCs w:val="32"/>
            </w:rPr>
            <w:fldChar w:fldCharType="end"/>
          </w:r>
        </w:p>
        <w:p w14:paraId="1E3F2A2E">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_Toc14 </w:instrText>
          </w:r>
          <w:r>
            <w:rPr>
              <w:rFonts w:hint="eastAsia" w:ascii="宋体" w:hAnsi="宋体" w:eastAsia="宋体" w:cs="宋体"/>
              <w:szCs w:val="32"/>
            </w:rPr>
            <w:fldChar w:fldCharType="separate"/>
          </w:r>
          <w:r>
            <w:rPr>
              <w:rFonts w:hint="eastAsia" w:ascii="宋体" w:hAnsi="宋体" w:eastAsia="宋体" w:cs="宋体"/>
              <w:bCs/>
              <w:szCs w:val="24"/>
            </w:rPr>
            <w:t>（二）影响项目收益的风险及控制措施</w:t>
          </w:r>
          <w:r>
            <w:tab/>
          </w:r>
          <w:r>
            <w:fldChar w:fldCharType="begin"/>
          </w:r>
          <w:r>
            <w:instrText xml:space="preserve"> PAGEREF _Toc14 \h </w:instrText>
          </w:r>
          <w:r>
            <w:fldChar w:fldCharType="separate"/>
          </w:r>
          <w:r>
            <w:t>15</w:t>
          </w:r>
          <w:r>
            <w:fldChar w:fldCharType="end"/>
          </w:r>
          <w:r>
            <w:rPr>
              <w:rFonts w:hint="eastAsia" w:ascii="宋体" w:hAnsi="宋体" w:eastAsia="宋体" w:cs="宋体"/>
              <w:szCs w:val="32"/>
            </w:rPr>
            <w:fldChar w:fldCharType="end"/>
          </w:r>
        </w:p>
        <w:p w14:paraId="6BC7B996">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_Toc7033 </w:instrText>
          </w:r>
          <w:r>
            <w:rPr>
              <w:rFonts w:hint="eastAsia" w:ascii="宋体" w:hAnsi="宋体" w:eastAsia="宋体" w:cs="宋体"/>
              <w:szCs w:val="32"/>
            </w:rPr>
            <w:fldChar w:fldCharType="separate"/>
          </w:r>
          <w:r>
            <w:rPr>
              <w:rFonts w:hint="eastAsia" w:ascii="宋体" w:hAnsi="宋体" w:eastAsia="宋体" w:cs="宋体"/>
              <w:bCs/>
              <w:szCs w:val="24"/>
            </w:rPr>
            <w:t>（三）影响融资平衡结果的风险及控制措施</w:t>
          </w:r>
          <w:r>
            <w:tab/>
          </w:r>
          <w:r>
            <w:fldChar w:fldCharType="begin"/>
          </w:r>
          <w:r>
            <w:instrText xml:space="preserve"> PAGEREF _Toc7033 \h </w:instrText>
          </w:r>
          <w:r>
            <w:fldChar w:fldCharType="separate"/>
          </w:r>
          <w:r>
            <w:t>15</w:t>
          </w:r>
          <w:r>
            <w:fldChar w:fldCharType="end"/>
          </w:r>
          <w:r>
            <w:rPr>
              <w:rFonts w:hint="eastAsia" w:ascii="宋体" w:hAnsi="宋体" w:eastAsia="宋体" w:cs="宋体"/>
              <w:szCs w:val="32"/>
            </w:rPr>
            <w:fldChar w:fldCharType="end"/>
          </w:r>
        </w:p>
        <w:p w14:paraId="31A67DBC">
          <w:pPr>
            <w:pStyle w:val="12"/>
            <w:tabs>
              <w:tab w:val="right" w:leader="dot" w:pos="8306"/>
            </w:tabs>
            <w:spacing w:line="480" w:lineRule="auto"/>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_Toc24434 </w:instrText>
          </w:r>
          <w:r>
            <w:rPr>
              <w:rFonts w:hint="eastAsia" w:ascii="宋体" w:hAnsi="宋体" w:eastAsia="宋体" w:cs="宋体"/>
              <w:szCs w:val="32"/>
            </w:rPr>
            <w:fldChar w:fldCharType="separate"/>
          </w:r>
          <w:r>
            <w:rPr>
              <w:rFonts w:hint="eastAsia" w:ascii="宋体" w:hAnsi="宋体" w:eastAsia="宋体" w:cs="宋体"/>
              <w:szCs w:val="24"/>
            </w:rPr>
            <w:t>七、还款保障措施</w:t>
          </w:r>
          <w:r>
            <w:tab/>
          </w:r>
          <w:r>
            <w:fldChar w:fldCharType="begin"/>
          </w:r>
          <w:r>
            <w:instrText xml:space="preserve"> PAGEREF _Toc24434 \h </w:instrText>
          </w:r>
          <w:r>
            <w:fldChar w:fldCharType="separate"/>
          </w:r>
          <w:r>
            <w:t>16</w:t>
          </w:r>
          <w:r>
            <w:fldChar w:fldCharType="end"/>
          </w:r>
          <w:r>
            <w:rPr>
              <w:rFonts w:hint="eastAsia" w:ascii="宋体" w:hAnsi="宋体" w:eastAsia="宋体" w:cs="宋体"/>
              <w:szCs w:val="32"/>
            </w:rPr>
            <w:fldChar w:fldCharType="end"/>
          </w:r>
        </w:p>
        <w:p w14:paraId="3EE0668F">
          <w:pPr>
            <w:spacing w:line="480" w:lineRule="auto"/>
            <w:rPr>
              <w:rFonts w:hint="eastAsia" w:ascii="宋体" w:hAnsi="宋体" w:eastAsia="宋体" w:cs="宋体"/>
              <w:sz w:val="24"/>
              <w:szCs w:val="24"/>
            </w:rPr>
          </w:pPr>
          <w:r>
            <w:rPr>
              <w:rFonts w:hint="eastAsia" w:ascii="宋体" w:hAnsi="宋体" w:eastAsia="宋体" w:cs="宋体"/>
              <w:szCs w:val="32"/>
            </w:rPr>
            <w:fldChar w:fldCharType="end"/>
          </w:r>
        </w:p>
      </w:sdtContent>
    </w:sdt>
    <w:p w14:paraId="3EE06690">
      <w:pPr>
        <w:spacing w:line="480" w:lineRule="auto"/>
        <w:rPr>
          <w:rFonts w:hint="eastAsia" w:ascii="宋体" w:hAnsi="宋体" w:eastAsia="宋体" w:cs="宋体"/>
          <w:sz w:val="24"/>
          <w:szCs w:val="24"/>
        </w:rPr>
      </w:pPr>
    </w:p>
    <w:p w14:paraId="3EE06691">
      <w:pPr>
        <w:pStyle w:val="29"/>
        <w:spacing w:line="360" w:lineRule="auto"/>
        <w:ind w:firstLine="482"/>
        <w:outlineLvl w:val="0"/>
        <w:rPr>
          <w:rFonts w:hint="eastAsia" w:ascii="宋体" w:hAnsi="宋体" w:eastAsia="宋体" w:cs="宋体"/>
          <w:b/>
          <w:sz w:val="24"/>
          <w:szCs w:val="24"/>
        </w:rPr>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pPr>
    </w:p>
    <w:p w14:paraId="3EE06692">
      <w:pPr>
        <w:pStyle w:val="29"/>
        <w:spacing w:line="360" w:lineRule="auto"/>
        <w:ind w:firstLine="482"/>
        <w:outlineLvl w:val="0"/>
        <w:rPr>
          <w:rFonts w:hint="eastAsia" w:ascii="宋体" w:hAnsi="宋体" w:eastAsia="宋体" w:cs="宋体"/>
          <w:b/>
          <w:sz w:val="24"/>
          <w:szCs w:val="24"/>
        </w:rPr>
      </w:pPr>
      <w:bookmarkStart w:id="0" w:name="_Toc12137"/>
      <w:r>
        <w:rPr>
          <w:rFonts w:hint="eastAsia" w:ascii="宋体" w:hAnsi="宋体" w:eastAsia="宋体" w:cs="宋体"/>
          <w:b/>
          <w:sz w:val="24"/>
          <w:szCs w:val="24"/>
        </w:rPr>
        <w:t>一、债券调整情况</w:t>
      </w:r>
      <w:bookmarkEnd w:id="0"/>
    </w:p>
    <w:p w14:paraId="4D342E6E">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bookmarkStart w:id="1" w:name="_Toc6620"/>
      <w:r>
        <w:rPr>
          <w:rFonts w:ascii="宋体" w:hAnsi="宋体" w:eastAsia="宋体" w:cs="Times New Roman"/>
          <w:color w:val="000000"/>
          <w:kern w:val="0"/>
          <w:sz w:val="24"/>
          <w:szCs w:val="24"/>
          <w:lang w:val="en-US"/>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r>
        <w:rPr>
          <w:rFonts w:hint="eastAsia" w:ascii="宋体" w:hAnsi="宋体" w:eastAsia="宋体" w:cs="Times New Roman"/>
          <w:color w:val="000000"/>
          <w:kern w:val="0"/>
          <w:sz w:val="24"/>
          <w:szCs w:val="24"/>
          <w:lang w:val="en-US"/>
        </w:rPr>
        <w:t>：</w:t>
      </w:r>
    </w:p>
    <w:p w14:paraId="6331740D">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2025年海南省政府专项债券(一期)</w:t>
      </w:r>
      <w:r>
        <w:rPr>
          <w:rFonts w:ascii="宋体" w:hAnsi="宋体" w:eastAsia="宋体" w:cs="Times New Roman"/>
          <w:color w:val="000000"/>
          <w:kern w:val="0"/>
          <w:sz w:val="24"/>
          <w:szCs w:val="24"/>
          <w:lang w:val="en-US"/>
        </w:rPr>
        <w:t>中已发行“</w:t>
      </w:r>
      <w:r>
        <w:rPr>
          <w:rFonts w:hint="eastAsia" w:ascii="宋体" w:hAnsi="宋体" w:eastAsia="宋体" w:cs="Times New Roman"/>
          <w:color w:val="000000"/>
          <w:kern w:val="0"/>
          <w:sz w:val="24"/>
          <w:szCs w:val="24"/>
          <w:lang w:val="en-US"/>
        </w:rPr>
        <w:t>海口综合保税区（金盘园区）基础设施提质升级改造项目</w:t>
      </w:r>
      <w:r>
        <w:rPr>
          <w:rFonts w:ascii="宋体" w:hAnsi="宋体" w:eastAsia="宋体" w:cs="Times New Roman"/>
          <w:color w:val="000000"/>
          <w:kern w:val="0"/>
          <w:sz w:val="24"/>
          <w:szCs w:val="24"/>
          <w:lang w:val="en-US"/>
        </w:rPr>
        <w:t>”的453.75</w:t>
      </w:r>
      <w:r>
        <w:rPr>
          <w:rFonts w:hint="eastAsia" w:ascii="宋体" w:hAnsi="宋体" w:eastAsia="宋体" w:cs="Times New Roman"/>
          <w:color w:val="000000"/>
          <w:kern w:val="0"/>
          <w:sz w:val="24"/>
          <w:szCs w:val="24"/>
          <w:lang w:val="en-US"/>
        </w:rPr>
        <w:t>万元及2025年海南省政府专项债券（一期）中已发行“福创站西侧道路工程（一期）”的</w:t>
      </w:r>
      <w:r>
        <w:rPr>
          <w:rFonts w:ascii="宋体" w:hAnsi="宋体" w:eastAsia="宋体" w:cs="Times New Roman"/>
          <w:color w:val="000000"/>
          <w:kern w:val="0"/>
          <w:sz w:val="24"/>
          <w:szCs w:val="24"/>
          <w:lang w:val="en-US"/>
        </w:rPr>
        <w:t>46.25</w:t>
      </w:r>
      <w:r>
        <w:rPr>
          <w:rFonts w:hint="eastAsia" w:ascii="宋体" w:hAnsi="宋体" w:eastAsia="宋体" w:cs="Times New Roman"/>
          <w:color w:val="000000"/>
          <w:kern w:val="0"/>
          <w:sz w:val="24"/>
          <w:szCs w:val="24"/>
          <w:lang w:val="en-US"/>
        </w:rPr>
        <w:t>万元，债券资金合计</w:t>
      </w:r>
      <w:r>
        <w:rPr>
          <w:rFonts w:ascii="宋体" w:hAnsi="宋体" w:eastAsia="宋体" w:cs="Times New Roman"/>
          <w:color w:val="000000"/>
          <w:kern w:val="0"/>
          <w:sz w:val="24"/>
          <w:szCs w:val="24"/>
          <w:lang w:val="en-US"/>
        </w:rPr>
        <w:t>500.00</w:t>
      </w:r>
      <w:r>
        <w:rPr>
          <w:rFonts w:hint="eastAsia" w:ascii="宋体" w:hAnsi="宋体" w:eastAsia="宋体" w:cs="Times New Roman"/>
          <w:color w:val="000000"/>
          <w:kern w:val="0"/>
          <w:sz w:val="24"/>
          <w:szCs w:val="24"/>
          <w:lang w:val="en-US"/>
        </w:rPr>
        <w:t>万元</w:t>
      </w:r>
      <w:r>
        <w:rPr>
          <w:rFonts w:ascii="宋体" w:hAnsi="宋体" w:eastAsia="宋体" w:cs="Times New Roman"/>
          <w:color w:val="000000"/>
          <w:kern w:val="0"/>
          <w:sz w:val="24"/>
          <w:szCs w:val="24"/>
          <w:lang w:val="en-US"/>
        </w:rPr>
        <w:t>调剂于</w:t>
      </w:r>
      <w:r>
        <w:rPr>
          <w:rFonts w:hint="eastAsia" w:ascii="宋体" w:hAnsi="宋体" w:eastAsia="宋体" w:cs="Times New Roman"/>
          <w:color w:val="000000"/>
          <w:kern w:val="0"/>
          <w:sz w:val="24"/>
          <w:szCs w:val="24"/>
          <w:lang w:val="en-US"/>
        </w:rPr>
        <w:t>海口江东新区产业发展配套基础设施项目（三期）</w:t>
      </w:r>
      <w:r>
        <w:rPr>
          <w:rFonts w:ascii="宋体" w:hAnsi="宋体" w:eastAsia="宋体" w:cs="Times New Roman"/>
          <w:color w:val="000000"/>
          <w:kern w:val="0"/>
          <w:sz w:val="24"/>
          <w:szCs w:val="24"/>
          <w:lang w:val="en-US"/>
        </w:rPr>
        <w:t>。</w:t>
      </w:r>
    </w:p>
    <w:p w14:paraId="3AAC98AD">
      <w:pPr>
        <w:widowControl/>
        <w:spacing w:before="120" w:after="120" w:line="360" w:lineRule="auto"/>
        <w:ind w:firstLine="480" w:firstLineChars="200"/>
        <w:jc w:val="both"/>
        <w:rPr>
          <w:rFonts w:hint="eastAsia" w:ascii="宋体" w:hAnsi="宋体" w:eastAsia="宋体" w:cs="Times New Roman"/>
          <w:b/>
          <w:bCs/>
          <w:color w:val="000000"/>
          <w:kern w:val="0"/>
          <w:sz w:val="24"/>
          <w:szCs w:val="24"/>
          <w:lang w:val="en-US"/>
        </w:rPr>
      </w:pPr>
      <w:r>
        <w:rPr>
          <w:rFonts w:hint="eastAsia" w:ascii="宋体" w:hAnsi="宋体" w:eastAsia="宋体" w:cs="Times New Roman"/>
          <w:color w:val="000000"/>
          <w:kern w:val="0"/>
          <w:sz w:val="24"/>
          <w:szCs w:val="24"/>
          <w:lang w:val="en-US"/>
        </w:rPr>
        <w:t>2025年2月，2025年海南省政府专项债券（一期）发行成功，其中海口综合保税区（金盘园区）基础设施提质升级改造项目发行金额为4</w:t>
      </w:r>
      <w:r>
        <w:rPr>
          <w:rFonts w:ascii="宋体" w:hAnsi="宋体" w:eastAsia="宋体" w:cs="Times New Roman"/>
          <w:color w:val="000000"/>
          <w:kern w:val="0"/>
          <w:sz w:val="24"/>
          <w:szCs w:val="24"/>
          <w:lang w:val="en-US"/>
        </w:rPr>
        <w:t>,</w:t>
      </w:r>
      <w:r>
        <w:rPr>
          <w:rFonts w:hint="eastAsia" w:ascii="宋体" w:hAnsi="宋体" w:eastAsia="宋体" w:cs="Times New Roman"/>
          <w:color w:val="000000"/>
          <w:kern w:val="0"/>
          <w:sz w:val="24"/>
          <w:szCs w:val="24"/>
          <w:lang w:val="en-US"/>
        </w:rPr>
        <w:t>0</w:t>
      </w:r>
      <w:r>
        <w:rPr>
          <w:rFonts w:ascii="宋体" w:hAnsi="宋体" w:eastAsia="宋体" w:cs="Times New Roman"/>
          <w:color w:val="000000"/>
          <w:kern w:val="0"/>
          <w:sz w:val="24"/>
          <w:szCs w:val="24"/>
          <w:lang w:val="en-US"/>
        </w:rPr>
        <w:t>00.00</w:t>
      </w:r>
      <w:r>
        <w:rPr>
          <w:rFonts w:hint="eastAsia" w:ascii="宋体" w:hAnsi="宋体" w:eastAsia="宋体" w:cs="Times New Roman"/>
          <w:color w:val="000000"/>
          <w:kern w:val="0"/>
          <w:sz w:val="24"/>
          <w:szCs w:val="24"/>
          <w:lang w:val="en-US"/>
        </w:rPr>
        <w:t>万元，发行利率为1.76%，发行期限为10年；福创站西侧道路工程（一期）发行金额为1</w:t>
      </w:r>
      <w:r>
        <w:rPr>
          <w:rFonts w:ascii="宋体" w:hAnsi="宋体" w:eastAsia="宋体" w:cs="Times New Roman"/>
          <w:color w:val="000000"/>
          <w:kern w:val="0"/>
          <w:sz w:val="24"/>
          <w:szCs w:val="24"/>
          <w:lang w:val="en-US"/>
        </w:rPr>
        <w:t>,</w:t>
      </w:r>
      <w:r>
        <w:rPr>
          <w:rFonts w:hint="eastAsia" w:ascii="宋体" w:hAnsi="宋体" w:eastAsia="宋体" w:cs="Times New Roman"/>
          <w:color w:val="000000"/>
          <w:kern w:val="0"/>
          <w:sz w:val="24"/>
          <w:szCs w:val="24"/>
          <w:lang w:val="en-US"/>
        </w:rPr>
        <w:t>0</w:t>
      </w:r>
      <w:r>
        <w:rPr>
          <w:rFonts w:ascii="宋体" w:hAnsi="宋体" w:eastAsia="宋体" w:cs="Times New Roman"/>
          <w:color w:val="000000"/>
          <w:kern w:val="0"/>
          <w:sz w:val="24"/>
          <w:szCs w:val="24"/>
          <w:lang w:val="en-US"/>
        </w:rPr>
        <w:t>00.00</w:t>
      </w:r>
      <w:r>
        <w:rPr>
          <w:rFonts w:hint="eastAsia" w:ascii="宋体" w:hAnsi="宋体" w:eastAsia="宋体" w:cs="Times New Roman"/>
          <w:color w:val="000000"/>
          <w:kern w:val="0"/>
          <w:sz w:val="24"/>
          <w:szCs w:val="24"/>
          <w:lang w:val="en-US"/>
        </w:rPr>
        <w:t>万元，发行利率为1.76%，发行期限为10年。</w:t>
      </w:r>
    </w:p>
    <w:p w14:paraId="43F8D0AE">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本期调整项目具体情况如下表：</w:t>
      </w:r>
    </w:p>
    <w:p w14:paraId="7FCF8D8D">
      <w:pPr>
        <w:widowControl/>
        <w:spacing w:line="240" w:lineRule="atLeast"/>
        <w:jc w:val="center"/>
        <w:rPr>
          <w:rFonts w:hint="eastAsia" w:ascii="宋体" w:hAnsi="宋体" w:eastAsia="宋体" w:cs="Times New Roman"/>
          <w:b/>
          <w:color w:val="000000"/>
          <w:kern w:val="0"/>
          <w:sz w:val="24"/>
          <w:szCs w:val="24"/>
          <w:lang w:val="en-US"/>
        </w:rPr>
      </w:pPr>
      <w:r>
        <w:rPr>
          <w:rFonts w:hint="eastAsia" w:ascii="宋体" w:hAnsi="宋体" w:eastAsia="宋体" w:cs="Times New Roman"/>
          <w:b/>
          <w:color w:val="000000"/>
          <w:kern w:val="0"/>
          <w:sz w:val="24"/>
          <w:szCs w:val="24"/>
          <w:lang w:val="en-US"/>
        </w:rPr>
        <w:t>表2</w:t>
      </w:r>
      <w:r>
        <w:rPr>
          <w:rFonts w:ascii="宋体" w:hAnsi="宋体" w:eastAsia="宋体" w:cs="Times New Roman"/>
          <w:b/>
          <w:color w:val="000000"/>
          <w:kern w:val="0"/>
          <w:sz w:val="24"/>
          <w:szCs w:val="24"/>
          <w:lang w:val="en-US"/>
        </w:rPr>
        <w:t xml:space="preserve"> </w:t>
      </w:r>
      <w:r>
        <w:rPr>
          <w:rFonts w:hint="eastAsia" w:ascii="宋体" w:hAnsi="宋体" w:eastAsia="宋体" w:cs="Times New Roman"/>
          <w:b/>
          <w:color w:val="000000"/>
          <w:kern w:val="0"/>
          <w:sz w:val="24"/>
          <w:szCs w:val="24"/>
          <w:lang w:val="en-US"/>
        </w:rPr>
        <w:t>调整项目情况汇总表</w:t>
      </w:r>
    </w:p>
    <w:p w14:paraId="56865FF1">
      <w:pPr>
        <w:widowControl/>
        <w:ind w:right="-155" w:rightChars="-74" w:firstLine="360" w:firstLineChars="200"/>
        <w:jc w:val="right"/>
        <w:rPr>
          <w:rFonts w:hint="eastAsia" w:ascii="宋体" w:hAnsi="宋体" w:eastAsia="宋体" w:cs="Times New Roman"/>
          <w:color w:val="000000"/>
          <w:kern w:val="0"/>
          <w:sz w:val="21"/>
          <w:szCs w:val="21"/>
          <w:lang w:val="en-US"/>
        </w:rPr>
      </w:pPr>
      <w:r>
        <w:rPr>
          <w:rFonts w:ascii="宋体" w:hAnsi="宋体" w:eastAsia="宋体" w:cs="Times New Roman"/>
          <w:color w:val="000000"/>
          <w:kern w:val="0"/>
          <w:sz w:val="18"/>
          <w:szCs w:val="20"/>
          <w:lang w:val="en-US"/>
        </w:rPr>
        <w:t>单位：人民币万元</w:t>
      </w:r>
    </w:p>
    <w:tbl>
      <w:tblPr>
        <w:tblStyle w:val="19"/>
        <w:tblW w:w="10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92"/>
        <w:gridCol w:w="2082"/>
        <w:gridCol w:w="1188"/>
        <w:gridCol w:w="1189"/>
        <w:gridCol w:w="998"/>
        <w:gridCol w:w="1092"/>
        <w:gridCol w:w="1404"/>
        <w:gridCol w:w="1092"/>
      </w:tblGrid>
      <w:tr w14:paraId="07AE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3" w:hRule="atLeast"/>
          <w:jc w:val="center"/>
        </w:trPr>
        <w:tc>
          <w:tcPr>
            <w:tcW w:w="1092" w:type="dxa"/>
            <w:shd w:val="clear" w:color="auto" w:fill="D8D8D8"/>
            <w:vAlign w:val="center"/>
          </w:tcPr>
          <w:p w14:paraId="0C57EB7F">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债券名称</w:t>
            </w:r>
          </w:p>
        </w:tc>
        <w:tc>
          <w:tcPr>
            <w:tcW w:w="2082" w:type="dxa"/>
            <w:shd w:val="clear" w:color="auto" w:fill="D8D8D8"/>
            <w:vAlign w:val="center"/>
          </w:tcPr>
          <w:p w14:paraId="0288E054">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项目名称</w:t>
            </w:r>
          </w:p>
        </w:tc>
        <w:tc>
          <w:tcPr>
            <w:tcW w:w="1188" w:type="dxa"/>
            <w:shd w:val="clear" w:color="auto" w:fill="D8D8D8"/>
            <w:vAlign w:val="center"/>
          </w:tcPr>
          <w:p w14:paraId="5AD897C6">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原安排金额</w:t>
            </w:r>
          </w:p>
        </w:tc>
        <w:tc>
          <w:tcPr>
            <w:tcW w:w="1189" w:type="dxa"/>
            <w:shd w:val="clear" w:color="auto" w:fill="D8D8D8"/>
            <w:vAlign w:val="center"/>
          </w:tcPr>
          <w:p w14:paraId="49DEAB82">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调减金额</w:t>
            </w:r>
          </w:p>
        </w:tc>
        <w:tc>
          <w:tcPr>
            <w:tcW w:w="998" w:type="dxa"/>
            <w:shd w:val="clear" w:color="auto" w:fill="D8D8D8"/>
            <w:vAlign w:val="center"/>
          </w:tcPr>
          <w:p w14:paraId="59090EF5">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债券期限</w:t>
            </w:r>
          </w:p>
        </w:tc>
        <w:tc>
          <w:tcPr>
            <w:tcW w:w="1092" w:type="dxa"/>
            <w:shd w:val="clear" w:color="auto" w:fill="D8D8D8"/>
            <w:vAlign w:val="center"/>
          </w:tcPr>
          <w:p w14:paraId="33F9E4A9">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发行利率</w:t>
            </w:r>
          </w:p>
        </w:tc>
        <w:tc>
          <w:tcPr>
            <w:tcW w:w="1404" w:type="dxa"/>
            <w:shd w:val="clear" w:color="auto" w:fill="D8D8D8"/>
            <w:vAlign w:val="center"/>
          </w:tcPr>
          <w:p w14:paraId="6CA785CD">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项目名称</w:t>
            </w:r>
          </w:p>
        </w:tc>
        <w:tc>
          <w:tcPr>
            <w:tcW w:w="1092" w:type="dxa"/>
            <w:shd w:val="clear" w:color="auto" w:fill="D8D8D8"/>
            <w:vAlign w:val="center"/>
          </w:tcPr>
          <w:p w14:paraId="3207CA2C">
            <w:pPr>
              <w:widowControl/>
              <w:jc w:val="center"/>
              <w:rPr>
                <w:rFonts w:hint="eastAsia" w:ascii="宋体" w:hAnsi="宋体" w:eastAsia="宋体" w:cs="宋体"/>
                <w:b/>
                <w:bCs/>
                <w:color w:val="000000"/>
                <w:kern w:val="0"/>
                <w:sz w:val="20"/>
                <w:szCs w:val="20"/>
                <w:lang w:val="en-US"/>
              </w:rPr>
            </w:pPr>
            <w:r>
              <w:rPr>
                <w:rFonts w:hint="eastAsia" w:ascii="宋体" w:hAnsi="宋体" w:eastAsia="宋体" w:cs="宋体"/>
                <w:b/>
                <w:bCs/>
                <w:color w:val="000000"/>
                <w:kern w:val="0"/>
                <w:sz w:val="20"/>
                <w:szCs w:val="20"/>
                <w:lang w:val="en-US"/>
              </w:rPr>
              <w:t>调增金额</w:t>
            </w:r>
          </w:p>
        </w:tc>
      </w:tr>
      <w:tr w14:paraId="4372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2" w:hRule="atLeast"/>
          <w:jc w:val="center"/>
        </w:trPr>
        <w:tc>
          <w:tcPr>
            <w:tcW w:w="1092" w:type="dxa"/>
            <w:vMerge w:val="restart"/>
            <w:shd w:val="clear" w:color="auto" w:fill="auto"/>
            <w:noWrap/>
            <w:vAlign w:val="center"/>
          </w:tcPr>
          <w:p w14:paraId="319424E2">
            <w:pPr>
              <w:widowControl/>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2025年海南省政府专项债券（一期）</w:t>
            </w:r>
          </w:p>
        </w:tc>
        <w:tc>
          <w:tcPr>
            <w:tcW w:w="2082" w:type="dxa"/>
            <w:shd w:val="clear" w:color="auto" w:fill="auto"/>
            <w:noWrap/>
            <w:vAlign w:val="center"/>
          </w:tcPr>
          <w:p w14:paraId="057F4562">
            <w:pPr>
              <w:widowControl/>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海口综合保税区（金盘园区）基础设施提质升级改造项目</w:t>
            </w:r>
          </w:p>
        </w:tc>
        <w:tc>
          <w:tcPr>
            <w:tcW w:w="1188" w:type="dxa"/>
            <w:shd w:val="clear" w:color="auto" w:fill="auto"/>
            <w:noWrap/>
            <w:vAlign w:val="center"/>
          </w:tcPr>
          <w:p w14:paraId="6508E08B">
            <w:pPr>
              <w:widowControl/>
              <w:jc w:val="center"/>
              <w:rPr>
                <w:rFonts w:hint="eastAsia" w:ascii="宋体" w:hAnsi="宋体" w:eastAsia="宋体" w:cs="宋体"/>
                <w:color w:val="000000"/>
                <w:kern w:val="0"/>
                <w:sz w:val="20"/>
                <w:szCs w:val="20"/>
                <w:highlight w:val="yellow"/>
                <w:lang w:val="en-US"/>
              </w:rPr>
            </w:pPr>
            <w:r>
              <w:rPr>
                <w:rFonts w:hint="eastAsia" w:ascii="宋体" w:hAnsi="宋体" w:eastAsia="宋体" w:cs="宋体"/>
                <w:color w:val="000000"/>
                <w:kern w:val="0"/>
                <w:sz w:val="20"/>
                <w:szCs w:val="20"/>
                <w:lang w:val="en-US"/>
              </w:rPr>
              <w:t>4,000.00</w:t>
            </w:r>
          </w:p>
        </w:tc>
        <w:tc>
          <w:tcPr>
            <w:tcW w:w="1189" w:type="dxa"/>
            <w:shd w:val="clear" w:color="auto" w:fill="auto"/>
            <w:noWrap/>
            <w:vAlign w:val="center"/>
          </w:tcPr>
          <w:p w14:paraId="681D7560">
            <w:pPr>
              <w:widowControl/>
              <w:jc w:val="center"/>
              <w:rPr>
                <w:rFonts w:hint="eastAsia" w:ascii="宋体" w:hAnsi="宋体" w:eastAsia="宋体" w:cs="宋体"/>
                <w:color w:val="000000"/>
                <w:kern w:val="0"/>
                <w:sz w:val="20"/>
                <w:szCs w:val="20"/>
                <w:lang w:val="en-US"/>
              </w:rPr>
            </w:pPr>
            <w:r>
              <w:rPr>
                <w:rFonts w:ascii="宋体" w:hAnsi="宋体" w:eastAsia="宋体" w:cs="宋体"/>
                <w:color w:val="000000"/>
                <w:kern w:val="0"/>
                <w:sz w:val="20"/>
                <w:szCs w:val="20"/>
                <w:lang w:val="en-US"/>
              </w:rPr>
              <w:t>453.75</w:t>
            </w:r>
          </w:p>
        </w:tc>
        <w:tc>
          <w:tcPr>
            <w:tcW w:w="998" w:type="dxa"/>
            <w:vMerge w:val="restart"/>
            <w:shd w:val="clear" w:color="auto" w:fill="auto"/>
            <w:noWrap/>
            <w:vAlign w:val="center"/>
          </w:tcPr>
          <w:p w14:paraId="0629BBD3">
            <w:pPr>
              <w:widowControl/>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10年</w:t>
            </w:r>
          </w:p>
        </w:tc>
        <w:tc>
          <w:tcPr>
            <w:tcW w:w="1092" w:type="dxa"/>
            <w:vMerge w:val="restart"/>
            <w:shd w:val="clear" w:color="auto" w:fill="auto"/>
            <w:noWrap/>
            <w:vAlign w:val="center"/>
          </w:tcPr>
          <w:p w14:paraId="2E78ADDD">
            <w:pPr>
              <w:widowControl/>
              <w:jc w:val="center"/>
              <w:rPr>
                <w:rFonts w:hint="eastAsia" w:ascii="宋体" w:hAnsi="宋体" w:eastAsia="宋体" w:cs="宋体"/>
                <w:color w:val="000000"/>
                <w:kern w:val="0"/>
                <w:sz w:val="20"/>
                <w:szCs w:val="20"/>
                <w:lang w:val="en-US"/>
              </w:rPr>
            </w:pPr>
            <w:r>
              <w:rPr>
                <w:rFonts w:ascii="宋体" w:hAnsi="宋体" w:eastAsia="宋体" w:cs="宋体"/>
                <w:color w:val="000000"/>
                <w:kern w:val="0"/>
                <w:sz w:val="20"/>
                <w:szCs w:val="20"/>
                <w:lang w:val="en-US"/>
              </w:rPr>
              <w:t>1.76%</w:t>
            </w:r>
          </w:p>
        </w:tc>
        <w:tc>
          <w:tcPr>
            <w:tcW w:w="1404" w:type="dxa"/>
            <w:vMerge w:val="restart"/>
            <w:shd w:val="clear" w:color="auto" w:fill="auto"/>
            <w:noWrap/>
            <w:vAlign w:val="center"/>
          </w:tcPr>
          <w:p w14:paraId="6CAD32AB">
            <w:pPr>
              <w:widowControl/>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海口江东新区产业发展配套基础设施项目（三期）</w:t>
            </w:r>
          </w:p>
        </w:tc>
        <w:tc>
          <w:tcPr>
            <w:tcW w:w="1092" w:type="dxa"/>
            <w:vMerge w:val="restart"/>
            <w:shd w:val="clear" w:color="auto" w:fill="auto"/>
            <w:noWrap/>
            <w:vAlign w:val="center"/>
          </w:tcPr>
          <w:p w14:paraId="6EFF0883">
            <w:pPr>
              <w:widowControl/>
              <w:jc w:val="center"/>
              <w:rPr>
                <w:rFonts w:hint="eastAsia" w:ascii="宋体" w:hAnsi="宋体" w:eastAsia="宋体" w:cs="宋体"/>
                <w:color w:val="000000"/>
                <w:kern w:val="0"/>
                <w:sz w:val="20"/>
                <w:szCs w:val="20"/>
                <w:lang w:val="en-US"/>
              </w:rPr>
            </w:pPr>
            <w:r>
              <w:rPr>
                <w:rFonts w:ascii="宋体" w:hAnsi="宋体" w:eastAsia="宋体" w:cs="宋体"/>
                <w:color w:val="000000"/>
                <w:kern w:val="0"/>
                <w:sz w:val="20"/>
                <w:szCs w:val="20"/>
                <w:lang w:val="en-US"/>
              </w:rPr>
              <w:t>500.00</w:t>
            </w:r>
          </w:p>
        </w:tc>
      </w:tr>
      <w:tr w14:paraId="7422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6" w:hRule="atLeast"/>
          <w:jc w:val="center"/>
        </w:trPr>
        <w:tc>
          <w:tcPr>
            <w:tcW w:w="1092" w:type="dxa"/>
            <w:vMerge w:val="continue"/>
            <w:shd w:val="clear" w:color="auto" w:fill="auto"/>
            <w:noWrap/>
            <w:vAlign w:val="center"/>
          </w:tcPr>
          <w:p w14:paraId="0A026D2D">
            <w:pPr>
              <w:widowControl/>
              <w:jc w:val="center"/>
              <w:rPr>
                <w:rFonts w:hint="eastAsia" w:ascii="宋体" w:hAnsi="宋体" w:eastAsia="宋体" w:cs="宋体"/>
                <w:color w:val="000000"/>
                <w:kern w:val="0"/>
                <w:sz w:val="20"/>
                <w:szCs w:val="20"/>
                <w:lang w:val="en-US"/>
              </w:rPr>
            </w:pPr>
          </w:p>
        </w:tc>
        <w:tc>
          <w:tcPr>
            <w:tcW w:w="2082" w:type="dxa"/>
            <w:shd w:val="clear" w:color="auto" w:fill="auto"/>
            <w:noWrap/>
            <w:vAlign w:val="center"/>
          </w:tcPr>
          <w:p w14:paraId="17FDB016">
            <w:pPr>
              <w:widowControl/>
              <w:jc w:val="center"/>
              <w:rPr>
                <w:rFonts w:hint="eastAsia" w:ascii="宋体" w:hAnsi="宋体" w:eastAsia="宋体" w:cs="宋体"/>
                <w:color w:val="000000"/>
                <w:kern w:val="0"/>
                <w:sz w:val="20"/>
                <w:szCs w:val="20"/>
                <w:lang w:val="en-US"/>
              </w:rPr>
            </w:pPr>
            <w:r>
              <w:rPr>
                <w:rFonts w:hint="eastAsia" w:ascii="宋体" w:hAnsi="宋体" w:eastAsia="宋体" w:cs="宋体"/>
                <w:color w:val="000000"/>
                <w:kern w:val="0"/>
                <w:sz w:val="20"/>
                <w:szCs w:val="20"/>
                <w:lang w:val="en-US"/>
              </w:rPr>
              <w:t>福创站西侧道路工程（一期）</w:t>
            </w:r>
          </w:p>
        </w:tc>
        <w:tc>
          <w:tcPr>
            <w:tcW w:w="1188" w:type="dxa"/>
            <w:shd w:val="clear" w:color="auto" w:fill="auto"/>
            <w:noWrap/>
            <w:vAlign w:val="center"/>
          </w:tcPr>
          <w:p w14:paraId="6B60D3AF">
            <w:pPr>
              <w:widowControl/>
              <w:jc w:val="center"/>
              <w:rPr>
                <w:rFonts w:hint="eastAsia" w:ascii="宋体" w:hAnsi="宋体" w:eastAsia="宋体" w:cs="宋体"/>
                <w:color w:val="000000"/>
                <w:kern w:val="0"/>
                <w:sz w:val="20"/>
                <w:szCs w:val="20"/>
                <w:highlight w:val="yellow"/>
                <w:lang w:val="en-US"/>
              </w:rPr>
            </w:pPr>
            <w:r>
              <w:rPr>
                <w:rFonts w:ascii="宋体" w:hAnsi="宋体" w:eastAsia="宋体" w:cs="宋体"/>
                <w:color w:val="000000"/>
                <w:kern w:val="0"/>
                <w:sz w:val="20"/>
                <w:szCs w:val="20"/>
                <w:lang w:val="en-US"/>
              </w:rPr>
              <w:t>1,000.00</w:t>
            </w:r>
          </w:p>
        </w:tc>
        <w:tc>
          <w:tcPr>
            <w:tcW w:w="1189" w:type="dxa"/>
            <w:shd w:val="clear" w:color="auto" w:fill="auto"/>
            <w:noWrap/>
            <w:vAlign w:val="center"/>
          </w:tcPr>
          <w:p w14:paraId="3DC0CAC2">
            <w:pPr>
              <w:widowControl/>
              <w:jc w:val="center"/>
              <w:rPr>
                <w:rFonts w:hint="eastAsia" w:ascii="宋体" w:hAnsi="宋体" w:eastAsia="宋体" w:cs="宋体"/>
                <w:color w:val="000000"/>
                <w:kern w:val="0"/>
                <w:sz w:val="20"/>
                <w:szCs w:val="20"/>
                <w:lang w:val="en-US"/>
              </w:rPr>
            </w:pPr>
            <w:r>
              <w:rPr>
                <w:rFonts w:ascii="宋体" w:hAnsi="宋体" w:eastAsia="宋体" w:cs="宋体"/>
                <w:color w:val="000000"/>
                <w:kern w:val="0"/>
                <w:sz w:val="20"/>
                <w:szCs w:val="20"/>
                <w:lang w:val="en-US"/>
              </w:rPr>
              <w:t>46.25</w:t>
            </w:r>
          </w:p>
        </w:tc>
        <w:tc>
          <w:tcPr>
            <w:tcW w:w="998" w:type="dxa"/>
            <w:vMerge w:val="continue"/>
            <w:shd w:val="clear" w:color="auto" w:fill="auto"/>
            <w:noWrap/>
            <w:vAlign w:val="center"/>
          </w:tcPr>
          <w:p w14:paraId="16BCD806">
            <w:pPr>
              <w:widowControl/>
              <w:jc w:val="center"/>
              <w:rPr>
                <w:rFonts w:hint="eastAsia" w:ascii="宋体" w:hAnsi="宋体" w:eastAsia="宋体" w:cs="宋体"/>
                <w:color w:val="000000"/>
                <w:kern w:val="0"/>
                <w:sz w:val="20"/>
                <w:szCs w:val="20"/>
                <w:lang w:val="en-US"/>
              </w:rPr>
            </w:pPr>
          </w:p>
        </w:tc>
        <w:tc>
          <w:tcPr>
            <w:tcW w:w="1092" w:type="dxa"/>
            <w:vMerge w:val="continue"/>
            <w:shd w:val="clear" w:color="auto" w:fill="auto"/>
            <w:noWrap/>
            <w:vAlign w:val="center"/>
          </w:tcPr>
          <w:p w14:paraId="7C550D8C">
            <w:pPr>
              <w:widowControl/>
              <w:jc w:val="center"/>
              <w:rPr>
                <w:rFonts w:hint="eastAsia" w:ascii="宋体" w:hAnsi="宋体" w:eastAsia="宋体" w:cs="宋体"/>
                <w:color w:val="000000"/>
                <w:kern w:val="0"/>
                <w:sz w:val="20"/>
                <w:szCs w:val="20"/>
                <w:lang w:val="en-US"/>
              </w:rPr>
            </w:pPr>
          </w:p>
        </w:tc>
        <w:tc>
          <w:tcPr>
            <w:tcW w:w="1404" w:type="dxa"/>
            <w:vMerge w:val="continue"/>
            <w:vAlign w:val="center"/>
          </w:tcPr>
          <w:p w14:paraId="1287865D">
            <w:pPr>
              <w:widowControl/>
              <w:jc w:val="center"/>
              <w:rPr>
                <w:rFonts w:hint="eastAsia" w:ascii="宋体" w:hAnsi="宋体" w:eastAsia="宋体" w:cs="宋体"/>
                <w:color w:val="000000"/>
                <w:kern w:val="0"/>
                <w:sz w:val="20"/>
                <w:szCs w:val="20"/>
                <w:lang w:val="en-US"/>
              </w:rPr>
            </w:pPr>
          </w:p>
        </w:tc>
        <w:tc>
          <w:tcPr>
            <w:tcW w:w="1092" w:type="dxa"/>
            <w:vMerge w:val="continue"/>
            <w:shd w:val="clear" w:color="auto" w:fill="auto"/>
            <w:noWrap/>
            <w:vAlign w:val="center"/>
          </w:tcPr>
          <w:p w14:paraId="33D569C2">
            <w:pPr>
              <w:widowControl/>
              <w:jc w:val="center"/>
              <w:rPr>
                <w:rFonts w:hint="eastAsia" w:ascii="宋体" w:hAnsi="宋体" w:eastAsia="宋体" w:cs="宋体"/>
                <w:color w:val="000000"/>
                <w:kern w:val="0"/>
                <w:sz w:val="20"/>
                <w:szCs w:val="20"/>
                <w:lang w:val="en-US"/>
              </w:rPr>
            </w:pPr>
          </w:p>
        </w:tc>
      </w:tr>
    </w:tbl>
    <w:p w14:paraId="112CBAF0">
      <w:pPr>
        <w:rPr>
          <w:rFonts w:hint="eastAsia" w:ascii="宋体" w:hAnsi="宋体" w:eastAsia="宋体" w:cs="宋体"/>
          <w:b/>
          <w:sz w:val="24"/>
          <w:szCs w:val="24"/>
        </w:rPr>
      </w:pPr>
      <w:r>
        <w:rPr>
          <w:rFonts w:hint="eastAsia" w:ascii="宋体" w:hAnsi="宋体" w:eastAsia="宋体" w:cs="宋体"/>
          <w:b/>
          <w:sz w:val="24"/>
          <w:szCs w:val="24"/>
        </w:rPr>
        <w:br w:type="page"/>
      </w:r>
    </w:p>
    <w:p w14:paraId="3EE06709">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二、地区情况</w:t>
      </w:r>
      <w:bookmarkEnd w:id="1"/>
    </w:p>
    <w:p w14:paraId="3EE0670A">
      <w:pPr>
        <w:widowControl/>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14:paraId="3EE0670B">
      <w:pPr>
        <w:pStyle w:val="29"/>
        <w:tabs>
          <w:tab w:val="left" w:pos="993"/>
          <w:tab w:val="left" w:pos="1276"/>
        </w:tabs>
        <w:spacing w:after="159" w:afterLines="50" w:line="360" w:lineRule="auto"/>
        <w:ind w:left="482" w:firstLine="0" w:firstLineChars="0"/>
        <w:jc w:val="center"/>
        <w:rPr>
          <w:rFonts w:hint="eastAsia" w:ascii="宋体" w:hAnsi="宋体" w:eastAsia="宋体" w:cs="宋体"/>
          <w:b/>
          <w:sz w:val="24"/>
          <w:szCs w:val="24"/>
        </w:rPr>
      </w:pPr>
      <w:r>
        <w:rPr>
          <w:rFonts w:hint="eastAsia" w:ascii="宋体" w:hAnsi="宋体" w:eastAsia="宋体" w:cs="宋体"/>
          <w:b/>
          <w:sz w:val="24"/>
          <w:szCs w:val="24"/>
        </w:rPr>
        <w:t>表2 2022—2024年海口市财政情况</w:t>
      </w:r>
    </w:p>
    <w:p w14:paraId="3EE0670C">
      <w:pPr>
        <w:jc w:val="right"/>
        <w:rPr>
          <w:rFonts w:hint="eastAsia" w:ascii="宋体" w:hAnsi="宋体" w:eastAsia="宋体" w:cs="宋体"/>
          <w:sz w:val="20"/>
          <w:szCs w:val="20"/>
        </w:rPr>
      </w:pPr>
      <w:r>
        <w:rPr>
          <w:rFonts w:hint="eastAsia" w:ascii="宋体" w:hAnsi="宋体" w:eastAsia="宋体" w:cs="宋体"/>
          <w:color w:val="000000"/>
          <w:kern w:val="0"/>
          <w:sz w:val="20"/>
          <w:szCs w:val="20"/>
          <w:lang w:bidi="ar"/>
        </w:rPr>
        <w:t>单位：亿元</w:t>
      </w:r>
    </w:p>
    <w:tbl>
      <w:tblPr>
        <w:tblStyle w:val="19"/>
        <w:tblW w:w="8277" w:type="dxa"/>
        <w:jc w:val="center"/>
        <w:tblBorders>
          <w:top w:val="single" w:color="auto" w:sz="12" w:space="0"/>
          <w:left w:val="none" w:color="auto" w:sz="0" w:space="0"/>
          <w:bottom w:val="single" w:color="auto" w:sz="12"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3248"/>
        <w:gridCol w:w="1653"/>
        <w:gridCol w:w="1688"/>
        <w:gridCol w:w="1688"/>
      </w:tblGrid>
      <w:tr w14:paraId="3EE06711">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53" w:hRule="atLeast"/>
          <w:jc w:val="center"/>
        </w:trPr>
        <w:tc>
          <w:tcPr>
            <w:tcW w:w="3248" w:type="dxa"/>
            <w:tcBorders>
              <w:top w:val="single" w:color="auto" w:sz="12" w:space="0"/>
              <w:bottom w:val="single" w:color="auto" w:sz="4" w:space="0"/>
            </w:tcBorders>
            <w:shd w:val="clear" w:color="auto" w:fill="D7D7D7" w:themeFill="background1" w:themeFillShade="D8"/>
            <w:vAlign w:val="center"/>
          </w:tcPr>
          <w:p w14:paraId="3EE0670D">
            <w:pPr>
              <w:widowControl/>
              <w:jc w:val="center"/>
              <w:textAlignment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lang w:bidi="ar"/>
              </w:rPr>
              <w:t>项目</w:t>
            </w:r>
          </w:p>
        </w:tc>
        <w:tc>
          <w:tcPr>
            <w:tcW w:w="1653" w:type="dxa"/>
            <w:tcBorders>
              <w:top w:val="single" w:color="auto" w:sz="12" w:space="0"/>
              <w:bottom w:val="single" w:color="auto" w:sz="4" w:space="0"/>
            </w:tcBorders>
            <w:shd w:val="clear" w:color="auto" w:fill="D7D7D7" w:themeFill="background1" w:themeFillShade="D8"/>
            <w:vAlign w:val="center"/>
          </w:tcPr>
          <w:p w14:paraId="3EE0670E">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2022年</w:t>
            </w:r>
          </w:p>
        </w:tc>
        <w:tc>
          <w:tcPr>
            <w:tcW w:w="1688" w:type="dxa"/>
            <w:tcBorders>
              <w:top w:val="single" w:color="auto" w:sz="12" w:space="0"/>
              <w:bottom w:val="single" w:color="auto" w:sz="4" w:space="0"/>
            </w:tcBorders>
            <w:shd w:val="clear" w:color="auto" w:fill="D7D7D7" w:themeFill="background1" w:themeFillShade="D8"/>
            <w:vAlign w:val="center"/>
          </w:tcPr>
          <w:p w14:paraId="3EE0670F">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2023年</w:t>
            </w:r>
          </w:p>
        </w:tc>
        <w:tc>
          <w:tcPr>
            <w:tcW w:w="1688" w:type="dxa"/>
            <w:tcBorders>
              <w:top w:val="single" w:color="auto" w:sz="12" w:space="0"/>
              <w:bottom w:val="single" w:color="auto" w:sz="4" w:space="0"/>
            </w:tcBorders>
            <w:shd w:val="clear" w:color="auto" w:fill="D7D7D7" w:themeFill="background1" w:themeFillShade="D8"/>
            <w:vAlign w:val="center"/>
          </w:tcPr>
          <w:p w14:paraId="3EE06710">
            <w:pPr>
              <w:widowControl/>
              <w:jc w:val="center"/>
              <w:textAlignment w:val="center"/>
              <w:rPr>
                <w:rFonts w:hint="eastAsia" w:ascii="宋体" w:hAnsi="宋体" w:eastAsia="宋体" w:cs="宋体"/>
                <w:b/>
                <w:bCs/>
                <w:color w:val="000000"/>
                <w:kern w:val="0"/>
                <w:sz w:val="18"/>
                <w:szCs w:val="18"/>
                <w:lang w:bidi="ar"/>
              </w:rPr>
            </w:pPr>
            <w:r>
              <w:rPr>
                <w:rFonts w:hint="eastAsia" w:ascii="宋体" w:hAnsi="宋体" w:eastAsia="宋体" w:cs="宋体"/>
                <w:b/>
                <w:bCs/>
                <w:color w:val="000000"/>
                <w:kern w:val="0"/>
                <w:sz w:val="18"/>
                <w:szCs w:val="18"/>
                <w:lang w:bidi="ar"/>
              </w:rPr>
              <w:t>2024年</w:t>
            </w:r>
          </w:p>
        </w:tc>
      </w:tr>
      <w:tr w14:paraId="3EE06716">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07" w:hRule="atLeast"/>
          <w:jc w:val="center"/>
        </w:trPr>
        <w:tc>
          <w:tcPr>
            <w:tcW w:w="3248" w:type="dxa"/>
            <w:tcBorders>
              <w:top w:val="single" w:color="auto" w:sz="4" w:space="0"/>
            </w:tcBorders>
            <w:vAlign w:val="center"/>
          </w:tcPr>
          <w:p w14:paraId="3EE06712">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地区生产总值</w:t>
            </w:r>
          </w:p>
        </w:tc>
        <w:tc>
          <w:tcPr>
            <w:tcW w:w="1653" w:type="dxa"/>
            <w:tcBorders>
              <w:top w:val="single" w:color="auto" w:sz="4" w:space="0"/>
            </w:tcBorders>
            <w:vAlign w:val="center"/>
          </w:tcPr>
          <w:p w14:paraId="3EE0671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2,134.80</w:t>
            </w:r>
          </w:p>
        </w:tc>
        <w:tc>
          <w:tcPr>
            <w:tcW w:w="1688" w:type="dxa"/>
            <w:tcBorders>
              <w:top w:val="single" w:color="auto" w:sz="4" w:space="0"/>
            </w:tcBorders>
            <w:vAlign w:val="center"/>
          </w:tcPr>
          <w:p w14:paraId="3EE06714">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2,358.44</w:t>
            </w:r>
          </w:p>
        </w:tc>
        <w:tc>
          <w:tcPr>
            <w:tcW w:w="1688" w:type="dxa"/>
            <w:tcBorders>
              <w:top w:val="single" w:color="auto" w:sz="4" w:space="0"/>
            </w:tcBorders>
            <w:vAlign w:val="center"/>
          </w:tcPr>
          <w:p w14:paraId="3EE06715">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2470.63</w:t>
            </w:r>
          </w:p>
        </w:tc>
      </w:tr>
      <w:tr w14:paraId="3EE0671B">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14:paraId="3EE06717">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一般预算收入(一般公共预算收入)</w:t>
            </w:r>
          </w:p>
        </w:tc>
        <w:tc>
          <w:tcPr>
            <w:tcW w:w="1653" w:type="dxa"/>
            <w:vAlign w:val="center"/>
          </w:tcPr>
          <w:p w14:paraId="3EE0671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204.82</w:t>
            </w:r>
          </w:p>
        </w:tc>
        <w:tc>
          <w:tcPr>
            <w:tcW w:w="1688" w:type="dxa"/>
            <w:vAlign w:val="center"/>
          </w:tcPr>
          <w:p w14:paraId="3EE0671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266.87</w:t>
            </w:r>
          </w:p>
        </w:tc>
        <w:tc>
          <w:tcPr>
            <w:tcW w:w="1688" w:type="dxa"/>
            <w:vAlign w:val="center"/>
          </w:tcPr>
          <w:p w14:paraId="3EE0671A">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258.26</w:t>
            </w:r>
          </w:p>
        </w:tc>
      </w:tr>
      <w:tr w14:paraId="3EE06720">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41" w:hRule="atLeast"/>
          <w:jc w:val="center"/>
        </w:trPr>
        <w:tc>
          <w:tcPr>
            <w:tcW w:w="3248" w:type="dxa"/>
            <w:vAlign w:val="center"/>
          </w:tcPr>
          <w:p w14:paraId="3EE0671C">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一般预算收入(一般公共预算总收入)</w:t>
            </w:r>
          </w:p>
        </w:tc>
        <w:tc>
          <w:tcPr>
            <w:tcW w:w="1653" w:type="dxa"/>
            <w:vAlign w:val="center"/>
          </w:tcPr>
          <w:p w14:paraId="3EE0671D">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518.12</w:t>
            </w:r>
          </w:p>
        </w:tc>
        <w:tc>
          <w:tcPr>
            <w:tcW w:w="1688" w:type="dxa"/>
            <w:vAlign w:val="center"/>
          </w:tcPr>
          <w:p w14:paraId="3EE0671E">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578.08</w:t>
            </w:r>
          </w:p>
        </w:tc>
        <w:tc>
          <w:tcPr>
            <w:tcW w:w="1688" w:type="dxa"/>
            <w:vAlign w:val="center"/>
          </w:tcPr>
          <w:p w14:paraId="3EE0671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597.76</w:t>
            </w:r>
          </w:p>
        </w:tc>
      </w:tr>
      <w:tr w14:paraId="3EE06725">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21">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政府性基金收入</w:t>
            </w:r>
          </w:p>
        </w:tc>
        <w:tc>
          <w:tcPr>
            <w:tcW w:w="1653" w:type="dxa"/>
            <w:vAlign w:val="center"/>
          </w:tcPr>
          <w:p w14:paraId="3EE06722">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192.34</w:t>
            </w:r>
          </w:p>
        </w:tc>
        <w:tc>
          <w:tcPr>
            <w:tcW w:w="1688" w:type="dxa"/>
            <w:vAlign w:val="center"/>
          </w:tcPr>
          <w:p w14:paraId="3EE0672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140.39</w:t>
            </w:r>
          </w:p>
        </w:tc>
        <w:tc>
          <w:tcPr>
            <w:tcW w:w="1688" w:type="dxa"/>
            <w:vAlign w:val="center"/>
          </w:tcPr>
          <w:p w14:paraId="3EE06724">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120.43</w:t>
            </w:r>
          </w:p>
        </w:tc>
      </w:tr>
      <w:tr w14:paraId="3EE0672A">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26">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其中：国有土地出让收入</w:t>
            </w:r>
          </w:p>
        </w:tc>
        <w:tc>
          <w:tcPr>
            <w:tcW w:w="1653" w:type="dxa"/>
            <w:vAlign w:val="center"/>
          </w:tcPr>
          <w:p w14:paraId="3EE0672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176.60</w:t>
            </w:r>
          </w:p>
        </w:tc>
        <w:tc>
          <w:tcPr>
            <w:tcW w:w="1688" w:type="dxa"/>
            <w:vAlign w:val="center"/>
          </w:tcPr>
          <w:p w14:paraId="3EE06728">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124.67</w:t>
            </w:r>
          </w:p>
        </w:tc>
        <w:tc>
          <w:tcPr>
            <w:tcW w:w="1688" w:type="dxa"/>
            <w:vAlign w:val="center"/>
          </w:tcPr>
          <w:p w14:paraId="3EE06729">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108.59</w:t>
            </w:r>
          </w:p>
        </w:tc>
      </w:tr>
      <w:tr w14:paraId="3EE0672F">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2B">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政府性基金支出</w:t>
            </w:r>
          </w:p>
        </w:tc>
        <w:tc>
          <w:tcPr>
            <w:tcW w:w="1653" w:type="dxa"/>
            <w:vAlign w:val="center"/>
          </w:tcPr>
          <w:p w14:paraId="3EE0672C">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310.21</w:t>
            </w:r>
          </w:p>
        </w:tc>
        <w:tc>
          <w:tcPr>
            <w:tcW w:w="1688" w:type="dxa"/>
            <w:vAlign w:val="center"/>
          </w:tcPr>
          <w:p w14:paraId="3EE0672D">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264.76</w:t>
            </w:r>
          </w:p>
        </w:tc>
        <w:tc>
          <w:tcPr>
            <w:tcW w:w="1688" w:type="dxa"/>
            <w:vAlign w:val="center"/>
          </w:tcPr>
          <w:p w14:paraId="3EE0672E">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294.07</w:t>
            </w:r>
          </w:p>
        </w:tc>
      </w:tr>
      <w:tr w14:paraId="3EE06734">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0">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其中：国有土地出让支出</w:t>
            </w:r>
          </w:p>
        </w:tc>
        <w:tc>
          <w:tcPr>
            <w:tcW w:w="1653" w:type="dxa"/>
            <w:vAlign w:val="center"/>
          </w:tcPr>
          <w:p w14:paraId="3EE0673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147.61</w:t>
            </w:r>
          </w:p>
        </w:tc>
        <w:tc>
          <w:tcPr>
            <w:tcW w:w="1688" w:type="dxa"/>
            <w:vAlign w:val="center"/>
          </w:tcPr>
          <w:p w14:paraId="3EE06732">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109.46</w:t>
            </w:r>
          </w:p>
        </w:tc>
        <w:tc>
          <w:tcPr>
            <w:tcW w:w="1688" w:type="dxa"/>
            <w:vAlign w:val="center"/>
          </w:tcPr>
          <w:p w14:paraId="3EE06733">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72.02</w:t>
            </w:r>
          </w:p>
        </w:tc>
      </w:tr>
      <w:tr w14:paraId="3EE06739">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5">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地方债务限额</w:t>
            </w:r>
          </w:p>
        </w:tc>
        <w:tc>
          <w:tcPr>
            <w:tcW w:w="1653" w:type="dxa"/>
            <w:vAlign w:val="center"/>
          </w:tcPr>
          <w:p w14:paraId="3EE06736">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14:paraId="3EE06737">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892.40</w:t>
            </w:r>
          </w:p>
        </w:tc>
        <w:tc>
          <w:tcPr>
            <w:tcW w:w="1688" w:type="dxa"/>
            <w:vAlign w:val="center"/>
          </w:tcPr>
          <w:p w14:paraId="3EE06738">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1161.30</w:t>
            </w:r>
          </w:p>
        </w:tc>
      </w:tr>
      <w:tr w14:paraId="3EE0673E">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A">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其中：一般债务限额</w:t>
            </w:r>
          </w:p>
        </w:tc>
        <w:tc>
          <w:tcPr>
            <w:tcW w:w="1653" w:type="dxa"/>
            <w:vAlign w:val="center"/>
          </w:tcPr>
          <w:p w14:paraId="3EE0673B">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14:paraId="3EE0673C">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230.47</w:t>
            </w:r>
          </w:p>
        </w:tc>
        <w:tc>
          <w:tcPr>
            <w:tcW w:w="1688" w:type="dxa"/>
            <w:vAlign w:val="center"/>
          </w:tcPr>
          <w:p w14:paraId="3EE0673D">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235.24</w:t>
            </w:r>
          </w:p>
        </w:tc>
      </w:tr>
      <w:tr w14:paraId="3EE06743">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3F">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专项债务限额</w:t>
            </w:r>
          </w:p>
        </w:tc>
        <w:tc>
          <w:tcPr>
            <w:tcW w:w="1653" w:type="dxa"/>
            <w:vAlign w:val="center"/>
          </w:tcPr>
          <w:p w14:paraId="3EE06740">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14:paraId="3EE06741">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661.93</w:t>
            </w:r>
          </w:p>
        </w:tc>
        <w:tc>
          <w:tcPr>
            <w:tcW w:w="1688" w:type="dxa"/>
            <w:vAlign w:val="center"/>
          </w:tcPr>
          <w:p w14:paraId="3EE06742">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926.07</w:t>
            </w:r>
          </w:p>
        </w:tc>
      </w:tr>
      <w:tr w14:paraId="3EE06748">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44">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地方债务余额</w:t>
            </w:r>
          </w:p>
        </w:tc>
        <w:tc>
          <w:tcPr>
            <w:tcW w:w="1653" w:type="dxa"/>
            <w:vAlign w:val="center"/>
          </w:tcPr>
          <w:p w14:paraId="3EE06745">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752.70</w:t>
            </w:r>
          </w:p>
        </w:tc>
        <w:tc>
          <w:tcPr>
            <w:tcW w:w="1688" w:type="dxa"/>
            <w:vAlign w:val="center"/>
          </w:tcPr>
          <w:p w14:paraId="3EE06746">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889.45</w:t>
            </w:r>
          </w:p>
        </w:tc>
        <w:tc>
          <w:tcPr>
            <w:tcW w:w="1688" w:type="dxa"/>
            <w:vAlign w:val="center"/>
          </w:tcPr>
          <w:p w14:paraId="3EE06747">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1141.70</w:t>
            </w:r>
          </w:p>
        </w:tc>
      </w:tr>
      <w:tr w14:paraId="3EE0674D">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72" w:hRule="atLeast"/>
          <w:jc w:val="center"/>
        </w:trPr>
        <w:tc>
          <w:tcPr>
            <w:tcW w:w="3248" w:type="dxa"/>
            <w:vAlign w:val="center"/>
          </w:tcPr>
          <w:p w14:paraId="3EE06749">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其中：一般债务余额</w:t>
            </w:r>
          </w:p>
        </w:tc>
        <w:tc>
          <w:tcPr>
            <w:tcW w:w="1653" w:type="dxa"/>
            <w:vAlign w:val="center"/>
          </w:tcPr>
          <w:p w14:paraId="3EE0674A">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219.77</w:t>
            </w:r>
          </w:p>
        </w:tc>
        <w:tc>
          <w:tcPr>
            <w:tcW w:w="1688" w:type="dxa"/>
            <w:vAlign w:val="center"/>
          </w:tcPr>
          <w:p w14:paraId="3EE0674B">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228.11</w:t>
            </w:r>
          </w:p>
        </w:tc>
        <w:tc>
          <w:tcPr>
            <w:tcW w:w="1688" w:type="dxa"/>
            <w:vAlign w:val="center"/>
          </w:tcPr>
          <w:p w14:paraId="3EE0674C">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227.33</w:t>
            </w:r>
          </w:p>
        </w:tc>
      </w:tr>
      <w:tr w14:paraId="3EE06752">
        <w:tblPrEx>
          <w:tblBorders>
            <w:top w:val="single" w:color="auto" w:sz="12" w:space="0"/>
            <w:left w:val="none" w:color="auto" w:sz="0" w:space="0"/>
            <w:bottom w:val="single" w:color="auto" w:sz="12"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76" w:hRule="atLeast"/>
          <w:jc w:val="center"/>
        </w:trPr>
        <w:tc>
          <w:tcPr>
            <w:tcW w:w="3248" w:type="dxa"/>
            <w:vAlign w:val="center"/>
          </w:tcPr>
          <w:p w14:paraId="3EE0674E">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bidi="ar"/>
              </w:rPr>
              <w:t>专项债务余额</w:t>
            </w:r>
          </w:p>
        </w:tc>
        <w:tc>
          <w:tcPr>
            <w:tcW w:w="1653" w:type="dxa"/>
            <w:vAlign w:val="center"/>
          </w:tcPr>
          <w:p w14:paraId="3EE0674F">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532.93</w:t>
            </w:r>
          </w:p>
        </w:tc>
        <w:tc>
          <w:tcPr>
            <w:tcW w:w="1688" w:type="dxa"/>
            <w:vAlign w:val="center"/>
          </w:tcPr>
          <w:p w14:paraId="3EE06750">
            <w:pPr>
              <w:spacing w:line="360" w:lineRule="auto"/>
              <w:ind w:firstLine="360" w:firstLineChars="20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661.34</w:t>
            </w:r>
          </w:p>
        </w:tc>
        <w:tc>
          <w:tcPr>
            <w:tcW w:w="1688" w:type="dxa"/>
            <w:vAlign w:val="center"/>
          </w:tcPr>
          <w:p w14:paraId="3EE06751">
            <w:pPr>
              <w:spacing w:line="360" w:lineRule="auto"/>
              <w:ind w:firstLine="360" w:firstLineChars="200"/>
              <w:jc w:val="center"/>
              <w:rPr>
                <w:rFonts w:hint="eastAsia" w:ascii="宋体" w:hAnsi="宋体" w:eastAsia="宋体" w:cs="宋体"/>
                <w:color w:val="000000"/>
                <w:kern w:val="0"/>
                <w:sz w:val="28"/>
                <w:szCs w:val="28"/>
              </w:rPr>
            </w:pPr>
            <w:r>
              <w:rPr>
                <w:rFonts w:hint="eastAsia" w:ascii="宋体" w:hAnsi="宋体" w:eastAsia="宋体" w:cs="宋体"/>
                <w:color w:val="000000"/>
                <w:kern w:val="0"/>
                <w:sz w:val="18"/>
                <w:szCs w:val="18"/>
              </w:rPr>
              <w:t>914.37</w:t>
            </w:r>
          </w:p>
        </w:tc>
      </w:tr>
    </w:tbl>
    <w:p w14:paraId="3EE06753">
      <w:pPr>
        <w:spacing w:line="360" w:lineRule="auto"/>
        <w:ind w:firstLine="480" w:firstLineChars="200"/>
        <w:rPr>
          <w:rFonts w:hint="eastAsia" w:ascii="宋体" w:hAnsi="宋体" w:eastAsia="宋体" w:cs="宋体"/>
          <w:b/>
          <w:sz w:val="24"/>
          <w:szCs w:val="24"/>
        </w:rPr>
      </w:pPr>
      <w:r>
        <w:rPr>
          <w:rFonts w:hint="eastAsia" w:ascii="宋体" w:hAnsi="宋体" w:eastAsia="宋体" w:cs="宋体"/>
          <w:color w:val="000000"/>
          <w:kern w:val="0"/>
          <w:sz w:val="24"/>
          <w:szCs w:val="24"/>
        </w:rPr>
        <w:t>注：以上数据来源于海口市财政局。</w:t>
      </w:r>
    </w:p>
    <w:p w14:paraId="3EE06754">
      <w:pPr>
        <w:pStyle w:val="29"/>
        <w:spacing w:line="360" w:lineRule="auto"/>
        <w:ind w:firstLine="482"/>
        <w:rPr>
          <w:rFonts w:hint="eastAsia" w:ascii="宋体" w:hAnsi="宋体" w:eastAsia="宋体" w:cs="宋体"/>
          <w:b/>
          <w:sz w:val="24"/>
          <w:szCs w:val="24"/>
        </w:rPr>
      </w:pPr>
    </w:p>
    <w:p w14:paraId="3EE06755">
      <w:pPr>
        <w:pStyle w:val="29"/>
        <w:spacing w:line="360" w:lineRule="auto"/>
        <w:ind w:firstLine="482"/>
        <w:rPr>
          <w:rFonts w:hint="eastAsia" w:ascii="宋体" w:hAnsi="宋体" w:eastAsia="宋体" w:cs="宋体"/>
          <w:b/>
          <w:sz w:val="24"/>
          <w:szCs w:val="24"/>
        </w:rPr>
      </w:pPr>
    </w:p>
    <w:p w14:paraId="3EE06756">
      <w:pPr>
        <w:pStyle w:val="29"/>
        <w:spacing w:line="360" w:lineRule="auto"/>
        <w:ind w:firstLine="482"/>
        <w:rPr>
          <w:rFonts w:hint="eastAsia" w:ascii="宋体" w:hAnsi="宋体" w:eastAsia="宋体" w:cs="宋体"/>
          <w:b/>
          <w:sz w:val="24"/>
          <w:szCs w:val="24"/>
        </w:rPr>
      </w:pPr>
    </w:p>
    <w:p w14:paraId="3EE06757">
      <w:pPr>
        <w:pStyle w:val="29"/>
        <w:spacing w:line="360" w:lineRule="auto"/>
        <w:ind w:firstLine="482"/>
        <w:rPr>
          <w:rFonts w:hint="eastAsia" w:ascii="宋体" w:hAnsi="宋体" w:eastAsia="宋体" w:cs="宋体"/>
          <w:b/>
          <w:sz w:val="24"/>
          <w:szCs w:val="24"/>
        </w:rPr>
      </w:pPr>
    </w:p>
    <w:p w14:paraId="3EE06758">
      <w:pPr>
        <w:pStyle w:val="29"/>
        <w:spacing w:line="360" w:lineRule="auto"/>
        <w:ind w:firstLine="482"/>
        <w:outlineLvl w:val="0"/>
        <w:rPr>
          <w:rFonts w:hint="eastAsia" w:ascii="宋体" w:hAnsi="宋体" w:eastAsia="宋体" w:cs="宋体"/>
          <w:b/>
          <w:sz w:val="24"/>
          <w:szCs w:val="24"/>
        </w:rPr>
      </w:pPr>
      <w:bookmarkStart w:id="2" w:name="_Toc2506"/>
      <w:r>
        <w:rPr>
          <w:rFonts w:hint="eastAsia" w:ascii="宋体" w:hAnsi="宋体" w:eastAsia="宋体" w:cs="宋体"/>
          <w:b/>
          <w:sz w:val="24"/>
          <w:szCs w:val="24"/>
        </w:rPr>
        <w:t>三、项目概述</w:t>
      </w:r>
      <w:bookmarkEnd w:id="2"/>
    </w:p>
    <w:p w14:paraId="3EE06759">
      <w:pPr>
        <w:pStyle w:val="29"/>
        <w:spacing w:line="360" w:lineRule="auto"/>
        <w:ind w:firstLine="482"/>
        <w:outlineLvl w:val="0"/>
        <w:rPr>
          <w:rFonts w:hint="eastAsia" w:ascii="宋体" w:hAnsi="宋体" w:eastAsia="宋体" w:cs="宋体"/>
          <w:b/>
          <w:sz w:val="24"/>
          <w:szCs w:val="24"/>
        </w:rPr>
      </w:pPr>
      <w:bookmarkStart w:id="3" w:name="_Toc21471"/>
      <w:r>
        <w:rPr>
          <w:rFonts w:hint="eastAsia" w:ascii="宋体" w:hAnsi="宋体" w:eastAsia="宋体" w:cs="宋体"/>
          <w:b/>
          <w:sz w:val="24"/>
          <w:szCs w:val="24"/>
        </w:rPr>
        <w:t>（一）项目基本情况</w:t>
      </w:r>
      <w:bookmarkEnd w:id="3"/>
    </w:p>
    <w:p w14:paraId="65C3E600">
      <w:pPr>
        <w:spacing w:line="360" w:lineRule="auto"/>
        <w:ind w:firstLine="480" w:firstLineChars="200"/>
        <w:jc w:val="both"/>
        <w:rPr>
          <w:rFonts w:hint="eastAsia" w:ascii="宋体" w:hAnsi="宋体" w:eastAsia="宋体"/>
          <w:sz w:val="24"/>
          <w:szCs w:val="24"/>
        </w:rPr>
      </w:pPr>
      <w:bookmarkStart w:id="4" w:name="_Toc28919"/>
      <w:r>
        <w:rPr>
          <w:rFonts w:hint="eastAsia" w:ascii="宋体" w:hAnsi="宋体" w:eastAsia="宋体"/>
          <w:sz w:val="24"/>
          <w:szCs w:val="24"/>
        </w:rPr>
        <w:t>项目名称：海口江东新区产业发展配套基础设施项目（三期）</w:t>
      </w:r>
    </w:p>
    <w:p w14:paraId="275B79C0">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项目行业主管部门：海口江东新区管理局</w:t>
      </w:r>
    </w:p>
    <w:p w14:paraId="7B5A75DD">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项目业主：海口市恒慧基础建设有限公司</w:t>
      </w:r>
    </w:p>
    <w:p w14:paraId="5868AB8D">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项目建设期：2022年12月-2026年6月</w:t>
      </w:r>
    </w:p>
    <w:p w14:paraId="035E51AD">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项目建设内容：项目位于海口江东新区，具体建设内容如下：</w:t>
      </w:r>
    </w:p>
    <w:p w14:paraId="6140BC6D">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1）尚都周边配套路网：长约1.2km，宽约24m。</w:t>
      </w:r>
    </w:p>
    <w:p w14:paraId="0B8984A8">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2）银色海岸配套道路：长147米，宽18米。</w:t>
      </w:r>
    </w:p>
    <w:p w14:paraId="428A1B43">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3）安居房A09-2及C02地块配套路网，该项目涉及3条路，其中，C02地块配套道路，长154.20m，宽12m；A09-2配套道路，儒林路长398.45m，宽12m，兆丰路长585.39m，宽24m。</w:t>
      </w:r>
    </w:p>
    <w:p w14:paraId="461679CA">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rPr>
        <w:t>项目总体施工进度：本项目施工进度约为28%。</w:t>
      </w:r>
    </w:p>
    <w:p w14:paraId="3EE0678C">
      <w:pPr>
        <w:pStyle w:val="29"/>
        <w:spacing w:line="360" w:lineRule="auto"/>
        <w:ind w:firstLine="482"/>
        <w:outlineLvl w:val="0"/>
        <w:rPr>
          <w:rFonts w:hint="eastAsia" w:ascii="宋体" w:hAnsi="宋体" w:eastAsia="宋体" w:cs="宋体"/>
          <w:b/>
          <w:sz w:val="24"/>
          <w:szCs w:val="24"/>
        </w:rPr>
      </w:pPr>
      <w:r>
        <w:rPr>
          <w:rFonts w:hint="eastAsia" w:ascii="宋体" w:hAnsi="宋体" w:eastAsia="宋体" w:cs="宋体"/>
          <w:b/>
          <w:sz w:val="24"/>
          <w:szCs w:val="24"/>
        </w:rPr>
        <w:t>（二）项目</w:t>
      </w:r>
      <w:r>
        <w:rPr>
          <w:rFonts w:hint="eastAsia" w:ascii="宋体" w:hAnsi="宋体" w:eastAsia="宋体" w:cs="宋体"/>
          <w:b/>
          <w:sz w:val="24"/>
          <w:szCs w:val="24"/>
          <w:lang w:val="en-US" w:eastAsia="zh-CN"/>
        </w:rPr>
        <w:t>已取得的</w:t>
      </w:r>
      <w:r>
        <w:rPr>
          <w:rFonts w:hint="eastAsia" w:ascii="宋体" w:hAnsi="宋体" w:eastAsia="宋体" w:cs="宋体"/>
          <w:b/>
          <w:sz w:val="24"/>
          <w:szCs w:val="24"/>
        </w:rPr>
        <w:t>相关批复</w:t>
      </w:r>
      <w:bookmarkEnd w:id="4"/>
    </w:p>
    <w:p w14:paraId="014274CD">
      <w:pPr>
        <w:spacing w:line="360" w:lineRule="auto"/>
        <w:ind w:firstLine="480" w:firstLineChars="200"/>
        <w:jc w:val="both"/>
        <w:rPr>
          <w:rFonts w:hint="eastAsia" w:ascii="宋体" w:hAnsi="宋体" w:eastAsia="宋体"/>
          <w:sz w:val="24"/>
          <w:szCs w:val="24"/>
          <w:lang w:val="en-US" w:eastAsia="zh-CN"/>
        </w:rPr>
      </w:pPr>
      <w:bookmarkStart w:id="103" w:name="_GoBack"/>
      <w:r>
        <w:rPr>
          <w:rFonts w:hint="eastAsia" w:ascii="宋体" w:hAnsi="宋体" w:eastAsia="宋体"/>
          <w:sz w:val="24"/>
          <w:szCs w:val="24"/>
          <w:lang w:val="en-US" w:eastAsia="zh-CN"/>
        </w:rPr>
        <w:t>（1）2023年9月11日，取得《海口江东新区管理局</w:t>
      </w:r>
      <w:r>
        <w:rPr>
          <w:rFonts w:hint="default" w:ascii="宋体" w:hAnsi="宋体" w:eastAsia="宋体"/>
          <w:sz w:val="24"/>
          <w:szCs w:val="24"/>
          <w:lang w:val="en-US" w:eastAsia="zh-CN"/>
        </w:rPr>
        <w:t>关于将海口江东新区产业发展配套基础设施项目（三期）征拆费用纳入概算总投资的复函</w:t>
      </w:r>
      <w:r>
        <w:rPr>
          <w:rFonts w:hint="eastAsia" w:ascii="宋体" w:hAnsi="宋体" w:eastAsia="宋体"/>
          <w:sz w:val="24"/>
          <w:szCs w:val="24"/>
          <w:lang w:val="en-US" w:eastAsia="zh-CN"/>
        </w:rPr>
        <w:t>》（海江东局函〔2023〕1461号），原则同意将海口江东新区产业发展配套基础设施项目（三期）征拆费用</w:t>
      </w:r>
      <w:r>
        <w:rPr>
          <w:rFonts w:hint="default" w:ascii="宋体" w:hAnsi="宋体" w:eastAsia="宋体"/>
          <w:sz w:val="24"/>
          <w:szCs w:val="24"/>
          <w:lang w:val="en-US" w:eastAsia="zh-CN"/>
        </w:rPr>
        <w:t>18266.86</w:t>
      </w:r>
      <w:r>
        <w:rPr>
          <w:rFonts w:hint="eastAsia" w:ascii="宋体" w:hAnsi="宋体" w:eastAsia="宋体"/>
          <w:sz w:val="24"/>
          <w:szCs w:val="24"/>
          <w:lang w:val="en-US" w:eastAsia="zh-CN"/>
        </w:rPr>
        <w:t>万元纳入项目概算总投资。调整后项目概算总投资为</w:t>
      </w:r>
      <w:r>
        <w:rPr>
          <w:rFonts w:hint="default" w:ascii="宋体" w:hAnsi="宋体" w:eastAsia="宋体"/>
          <w:sz w:val="24"/>
          <w:szCs w:val="24"/>
          <w:lang w:val="en-US" w:eastAsia="zh-CN"/>
        </w:rPr>
        <w:t>30400.00</w:t>
      </w:r>
      <w:r>
        <w:rPr>
          <w:rFonts w:hint="eastAsia" w:ascii="宋体" w:hAnsi="宋体" w:eastAsia="宋体"/>
          <w:sz w:val="24"/>
          <w:szCs w:val="24"/>
          <w:lang w:val="en-US" w:eastAsia="zh-CN"/>
        </w:rPr>
        <w:t>，其中工程费用</w:t>
      </w:r>
      <w:r>
        <w:rPr>
          <w:rFonts w:hint="default" w:ascii="宋体" w:hAnsi="宋体" w:eastAsia="宋体"/>
          <w:sz w:val="24"/>
          <w:szCs w:val="24"/>
          <w:lang w:val="en-US" w:eastAsia="zh-CN"/>
        </w:rPr>
        <w:t>6802.92</w:t>
      </w:r>
      <w:r>
        <w:rPr>
          <w:rFonts w:hint="eastAsia" w:ascii="宋体" w:hAnsi="宋体" w:eastAsia="宋体"/>
          <w:sz w:val="24"/>
          <w:szCs w:val="24"/>
          <w:lang w:val="en-US" w:eastAsia="zh-CN"/>
        </w:rPr>
        <w:t>万元，工程建设其他费用</w:t>
      </w:r>
      <w:r>
        <w:rPr>
          <w:rFonts w:hint="default" w:ascii="宋体" w:hAnsi="宋体" w:eastAsia="宋体"/>
          <w:sz w:val="24"/>
          <w:szCs w:val="24"/>
          <w:lang w:val="en-US" w:eastAsia="zh-CN"/>
        </w:rPr>
        <w:t>22983.64</w:t>
      </w:r>
      <w:r>
        <w:rPr>
          <w:rFonts w:hint="eastAsia" w:ascii="宋体" w:hAnsi="宋体" w:eastAsia="宋体"/>
          <w:sz w:val="24"/>
          <w:szCs w:val="24"/>
          <w:lang w:val="en-US" w:eastAsia="zh-CN"/>
        </w:rPr>
        <w:t>万元（其中土地房屋征收补偿费</w:t>
      </w:r>
      <w:r>
        <w:rPr>
          <w:rFonts w:hint="default" w:ascii="宋体" w:hAnsi="宋体" w:eastAsia="宋体"/>
          <w:sz w:val="24"/>
          <w:szCs w:val="24"/>
          <w:lang w:val="en-US" w:eastAsia="zh-CN"/>
        </w:rPr>
        <w:t>20606.46</w:t>
      </w:r>
      <w:r>
        <w:rPr>
          <w:rFonts w:hint="eastAsia" w:ascii="宋体" w:hAnsi="宋体" w:eastAsia="宋体"/>
          <w:sz w:val="24"/>
          <w:szCs w:val="24"/>
          <w:lang w:val="en-US" w:eastAsia="zh-CN"/>
        </w:rPr>
        <w:t>万元，该费用以市政府批复为准，资金使用以市财政局意见为准），预备费</w:t>
      </w:r>
      <w:r>
        <w:rPr>
          <w:rFonts w:hint="default" w:ascii="宋体" w:hAnsi="宋体" w:eastAsia="宋体"/>
          <w:sz w:val="24"/>
          <w:szCs w:val="24"/>
          <w:lang w:val="en-US" w:eastAsia="zh-CN"/>
        </w:rPr>
        <w:t>459.00</w:t>
      </w:r>
      <w:r>
        <w:rPr>
          <w:rFonts w:hint="eastAsia" w:ascii="宋体" w:hAnsi="宋体" w:eastAsia="宋体"/>
          <w:sz w:val="24"/>
          <w:szCs w:val="24"/>
          <w:lang w:val="en-US" w:eastAsia="zh-CN"/>
        </w:rPr>
        <w:t>万元，建设单位管理费</w:t>
      </w:r>
      <w:r>
        <w:rPr>
          <w:rFonts w:hint="default" w:ascii="宋体" w:hAnsi="宋体" w:eastAsia="宋体"/>
          <w:sz w:val="24"/>
          <w:szCs w:val="24"/>
          <w:lang w:val="en-US" w:eastAsia="zh-CN"/>
        </w:rPr>
        <w:t>154.44</w:t>
      </w:r>
      <w:r>
        <w:rPr>
          <w:rFonts w:hint="eastAsia" w:ascii="宋体" w:hAnsi="宋体" w:eastAsia="宋体"/>
          <w:sz w:val="24"/>
          <w:szCs w:val="24"/>
          <w:lang w:val="en-US" w:eastAsia="zh-CN"/>
        </w:rPr>
        <w:t>万元。</w:t>
      </w:r>
    </w:p>
    <w:p w14:paraId="778855FF">
      <w:pPr>
        <w:spacing w:line="360" w:lineRule="auto"/>
        <w:ind w:firstLine="480" w:firstLineChars="200"/>
        <w:jc w:val="both"/>
        <w:rPr>
          <w:rFonts w:hint="eastAsia" w:ascii="宋体" w:hAnsi="宋体" w:eastAsia="宋体"/>
          <w:sz w:val="24"/>
          <w:szCs w:val="24"/>
        </w:rPr>
      </w:pPr>
      <w:r>
        <w:rPr>
          <w:rFonts w:hint="eastAsia" w:ascii="宋体" w:hAnsi="宋体" w:eastAsia="宋体"/>
          <w:sz w:val="24"/>
          <w:szCs w:val="24"/>
          <w:lang w:val="en-US" w:eastAsia="zh-CN"/>
        </w:rPr>
        <w:t>（2）2024年7月3日，取得《海口江东新区管理局关于同意产业发展配套路网项目(三期)可行性研究报告的复函》（海江东审〔2022〕211号），该函明确：“为改善区域生活环境、完善海口市城市基础设施建设，同意建设产业发展配套路网项目(三期)(含三个子项目：安居房A09-2及C02地块配套路网、尚都周边配套路网、银色海岸配套道路)”。</w:t>
      </w:r>
    </w:p>
    <w:bookmarkEnd w:id="103"/>
    <w:p w14:paraId="0AD4E74E">
      <w:pPr>
        <w:spacing w:line="360" w:lineRule="auto"/>
        <w:ind w:firstLine="480" w:firstLineChars="200"/>
        <w:jc w:val="both"/>
        <w:rPr>
          <w:rFonts w:hint="eastAsia" w:ascii="宋体" w:hAnsi="宋体" w:eastAsia="宋体" w:cs="宋体"/>
          <w:sz w:val="24"/>
          <w:szCs w:val="24"/>
        </w:rPr>
      </w:pPr>
    </w:p>
    <w:p w14:paraId="3EE0678E">
      <w:pPr>
        <w:pStyle w:val="29"/>
        <w:spacing w:line="360" w:lineRule="auto"/>
        <w:ind w:firstLine="482"/>
        <w:outlineLvl w:val="0"/>
        <w:rPr>
          <w:rFonts w:hint="eastAsia" w:ascii="宋体" w:hAnsi="宋体" w:eastAsia="宋体" w:cs="宋体"/>
          <w:b/>
          <w:sz w:val="24"/>
          <w:szCs w:val="24"/>
        </w:rPr>
      </w:pPr>
      <w:bookmarkStart w:id="5" w:name="_Toc3287"/>
      <w:r>
        <w:rPr>
          <w:rFonts w:hint="eastAsia" w:ascii="宋体" w:hAnsi="宋体" w:eastAsia="宋体" w:cs="宋体"/>
          <w:b/>
          <w:sz w:val="24"/>
          <w:szCs w:val="24"/>
        </w:rPr>
        <w:t>（三）事前绩效评估</w:t>
      </w:r>
      <w:bookmarkEnd w:id="5"/>
    </w:p>
    <w:p w14:paraId="3EE0678F">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1.项目的必要性与收益性</w:t>
      </w:r>
    </w:p>
    <w:p w14:paraId="201D4B4B">
      <w:pPr>
        <w:adjustRightInd w:val="0"/>
        <w:snapToGrid w:val="0"/>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（1）必要性</w:t>
      </w:r>
    </w:p>
    <w:p w14:paraId="3EE0679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2010年1月4日，国务院发布《国务院关于推进海南国际旅游岛建设发展的若干意见》。至此，海南国际旅游岛建设正式步入正轨。作为国家的重大战略部署，我国将在2020年将海南初步建成世</w:t>
      </w:r>
      <w:bookmarkStart w:id="6" w:name="bookmark24"/>
      <w:bookmarkEnd w:id="6"/>
      <w:bookmarkStart w:id="7" w:name="bookmark26"/>
      <w:bookmarkEnd w:id="7"/>
      <w:bookmarkStart w:id="8" w:name="bookmark25"/>
      <w:bookmarkEnd w:id="8"/>
      <w:bookmarkStart w:id="9" w:name="bookmark23"/>
      <w:bookmarkEnd w:id="9"/>
      <w:r>
        <w:rPr>
          <w:rFonts w:hint="eastAsia" w:ascii="宋体" w:hAnsi="宋体" w:eastAsia="宋体" w:cs="宋体"/>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3EE0679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本项目建设有利于保障海口市江东新区的顺利建设，进而以点带面地带动整个区域的经济和旅游发展，有利于进一步推动海南国际旅游岛的建设进程。</w:t>
      </w:r>
    </w:p>
    <w:p w14:paraId="3EE0679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3EE06793">
      <w:pPr>
        <w:adjustRightInd w:val="0"/>
        <w:snapToGrid w:val="0"/>
        <w:spacing w:line="360" w:lineRule="auto"/>
        <w:ind w:firstLine="482" w:firstLineChars="200"/>
        <w:rPr>
          <w:rFonts w:hint="eastAsia" w:ascii="宋体" w:hAnsi="宋体" w:eastAsia="宋体" w:cs="宋体"/>
          <w:kern w:val="0"/>
          <w:sz w:val="24"/>
        </w:rPr>
      </w:pPr>
      <w:r>
        <w:rPr>
          <w:rFonts w:hint="eastAsia" w:ascii="宋体" w:hAnsi="宋体" w:eastAsia="宋体" w:cs="宋体"/>
          <w:b/>
          <w:bCs/>
          <w:sz w:val="24"/>
          <w:szCs w:val="24"/>
        </w:rPr>
        <w:t>（2）收益性：</w:t>
      </w:r>
      <w:r>
        <w:rPr>
          <w:rFonts w:hint="eastAsia" w:ascii="宋体" w:hAnsi="宋体" w:eastAsia="宋体" w:cs="宋体"/>
          <w:sz w:val="24"/>
          <w:szCs w:val="24"/>
        </w:rPr>
        <w:t>项目收入来源于</w:t>
      </w:r>
      <w:r>
        <w:rPr>
          <w:rFonts w:hint="eastAsia" w:ascii="宋体" w:hAnsi="宋体" w:eastAsia="宋体" w:cs="Times New Roman"/>
          <w:color w:val="000000"/>
          <w:sz w:val="24"/>
          <w:szCs w:val="24"/>
          <w:lang w:val="en-US"/>
        </w:rPr>
        <w:t>土地出让收入、灯杆广告位出租收入</w:t>
      </w:r>
      <w:r>
        <w:rPr>
          <w:rFonts w:hint="eastAsia" w:ascii="宋体" w:hAnsi="宋体" w:eastAsia="宋体" w:cs="宋体"/>
          <w:kern w:val="0"/>
          <w:sz w:val="24"/>
        </w:rPr>
        <w:t>等。</w:t>
      </w:r>
    </w:p>
    <w:p w14:paraId="3EE06794">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2.项目建设投资合规性与项目成熟度</w:t>
      </w:r>
    </w:p>
    <w:p w14:paraId="3EE0679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本项目的建设投资符合国家、海南省有关法律法规、政策文件及规范性文件要求。</w:t>
      </w:r>
    </w:p>
    <w:p w14:paraId="3EE06796">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3.项目资金来源和到位可行性</w:t>
      </w:r>
    </w:p>
    <w:p w14:paraId="3EE06797">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各项目主要通过发行地方政府专项债券融资以及财政资金投入，若条件允许，在满足合法合规、资金平衡要求的前提下，也可考虑发行债券方式筹集。</w:t>
      </w:r>
    </w:p>
    <w:p w14:paraId="3EE06798">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总体来看，综合海口市财政状况，财政资金到位可行性较高，专项债券部分以最终实际发行计划为准。</w:t>
      </w:r>
    </w:p>
    <w:p w14:paraId="3EE06799">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4.项目收入、成本、收益预测的合理性</w:t>
      </w:r>
    </w:p>
    <w:p w14:paraId="3EE0679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收入来源为土地出让收入。债券存续期内，本项目本息覆盖倍数可达1.20以上。综上，在满足假设条件的前提下，能够满足资金筹措充足性的要求。项目收入、成本、收益情况均根据充分依据测算得出，较为合理。</w:t>
      </w:r>
    </w:p>
    <w:p w14:paraId="3EE067A0">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5.债券资金需求的合理性</w:t>
      </w:r>
    </w:p>
    <w:p w14:paraId="3EE067A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3EE067A2">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本项目通过发行专项债券募集资金可以降低融资成本，是现阶段解决项目建设资金问题的较优方案。</w:t>
      </w:r>
    </w:p>
    <w:p w14:paraId="3EE067A3">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6.项目偿债计划可行性和偿债风险点</w:t>
      </w:r>
    </w:p>
    <w:p w14:paraId="3EE067A4">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通过本项目融资平衡测算，一方面通过发行专项债券筹集资金能满足项目建设资金需求；另一方面项目收益也能保障债券还本付息，总体实现项目收益和融资的自求平衡。</w:t>
      </w:r>
    </w:p>
    <w:p w14:paraId="40D3B92C">
      <w:pPr>
        <w:adjustRightInd w:val="0"/>
        <w:snapToGrid w:val="0"/>
        <w:spacing w:line="360" w:lineRule="auto"/>
        <w:ind w:firstLine="482" w:firstLineChars="200"/>
        <w:outlineLvl w:val="2"/>
        <w:rPr>
          <w:rFonts w:hint="eastAsia" w:ascii="宋体" w:hAnsi="宋体" w:eastAsia="宋体" w:cs="宋体"/>
          <w:b/>
          <w:bCs/>
          <w:kern w:val="0"/>
          <w:sz w:val="24"/>
          <w:szCs w:val="24"/>
        </w:rPr>
      </w:pPr>
      <w:r>
        <w:rPr>
          <w:rFonts w:hint="eastAsia" w:ascii="宋体" w:hAnsi="宋体" w:eastAsia="宋体" w:cs="宋体"/>
          <w:b/>
          <w:bCs/>
          <w:kern w:val="0"/>
          <w:sz w:val="24"/>
          <w:szCs w:val="24"/>
        </w:rPr>
        <w:t>7.绩效目标合理性</w:t>
      </w:r>
    </w:p>
    <w:p w14:paraId="79515917">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651C383C">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综上，本项目经事前绩效评估，已具备申请专项债券资金支持的必要性和可行性。</w:t>
      </w:r>
    </w:p>
    <w:p w14:paraId="238430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3EE067A6">
      <w:pPr>
        <w:pStyle w:val="29"/>
        <w:spacing w:line="360" w:lineRule="auto"/>
        <w:ind w:firstLine="482"/>
        <w:outlineLvl w:val="0"/>
        <w:rPr>
          <w:rFonts w:hint="eastAsia" w:ascii="宋体" w:hAnsi="宋体" w:eastAsia="宋体" w:cs="宋体"/>
          <w:b/>
          <w:sz w:val="24"/>
          <w:szCs w:val="24"/>
        </w:rPr>
      </w:pPr>
      <w:bookmarkStart w:id="10" w:name="_Toc28716"/>
      <w:r>
        <w:rPr>
          <w:rFonts w:hint="eastAsia" w:ascii="宋体" w:hAnsi="宋体" w:eastAsia="宋体" w:cs="宋体"/>
          <w:b/>
          <w:sz w:val="24"/>
          <w:szCs w:val="24"/>
        </w:rPr>
        <w:t>四、项目平衡实施方案</w:t>
      </w:r>
      <w:bookmarkEnd w:id="10"/>
    </w:p>
    <w:p w14:paraId="6E81B8A0">
      <w:pPr>
        <w:pStyle w:val="29"/>
        <w:spacing w:line="360" w:lineRule="auto"/>
        <w:ind w:firstLine="482"/>
        <w:outlineLvl w:val="0"/>
        <w:rPr>
          <w:rFonts w:hint="eastAsia" w:ascii="宋体" w:hAnsi="宋体" w:eastAsia="宋体" w:cs="宋体"/>
          <w:b/>
          <w:sz w:val="24"/>
          <w:szCs w:val="24"/>
          <w:lang w:val="en-US"/>
        </w:rPr>
      </w:pPr>
      <w:bookmarkStart w:id="11" w:name="_Toc114818531"/>
      <w:bookmarkStart w:id="12" w:name="_Toc114818421"/>
      <w:bookmarkStart w:id="13" w:name="_Toc200555354"/>
      <w:bookmarkStart w:id="14" w:name="_Toc12288"/>
      <w:r>
        <w:rPr>
          <w:rFonts w:hint="eastAsia" w:ascii="宋体" w:hAnsi="宋体" w:eastAsia="宋体" w:cs="宋体"/>
          <w:b/>
          <w:sz w:val="24"/>
          <w:szCs w:val="24"/>
          <w:lang w:val="en-US"/>
        </w:rPr>
        <w:t>（一）资金充足性</w:t>
      </w:r>
      <w:bookmarkEnd w:id="11"/>
      <w:bookmarkEnd w:id="12"/>
      <w:bookmarkEnd w:id="13"/>
    </w:p>
    <w:p w14:paraId="2B380BA0">
      <w:pPr>
        <w:widowControl/>
        <w:spacing w:before="120" w:after="120" w:line="360" w:lineRule="auto"/>
        <w:ind w:firstLine="482" w:firstLineChars="200"/>
        <w:jc w:val="both"/>
        <w:outlineLvl w:val="2"/>
        <w:rPr>
          <w:rFonts w:hint="eastAsia" w:ascii="宋体" w:hAnsi="宋体" w:eastAsia="宋体" w:cs="Times New Roman"/>
          <w:b/>
          <w:bCs/>
          <w:color w:val="000000"/>
          <w:kern w:val="0"/>
          <w:sz w:val="24"/>
          <w:szCs w:val="24"/>
          <w:lang w:val="en-US"/>
        </w:rPr>
      </w:pPr>
      <w:bookmarkStart w:id="15" w:name="_Toc200555355"/>
      <w:bookmarkStart w:id="16" w:name="_Toc114818532"/>
      <w:bookmarkStart w:id="17" w:name="_Toc114818422"/>
      <w:r>
        <w:rPr>
          <w:rFonts w:ascii="宋体" w:hAnsi="宋体" w:eastAsia="宋体" w:cs="Times New Roman"/>
          <w:b/>
          <w:bCs/>
          <w:color w:val="000000"/>
          <w:kern w:val="0"/>
          <w:sz w:val="24"/>
          <w:szCs w:val="24"/>
          <w:lang w:val="en-US"/>
        </w:rPr>
        <w:t>1.投资估算</w:t>
      </w:r>
      <w:bookmarkEnd w:id="15"/>
      <w:bookmarkEnd w:id="16"/>
      <w:bookmarkEnd w:id="17"/>
    </w:p>
    <w:p w14:paraId="365FD2F7">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bookmarkStart w:id="18" w:name="_Hlk114818237"/>
      <w:r>
        <w:rPr>
          <w:rFonts w:hint="eastAsia" w:ascii="宋体" w:hAnsi="宋体" w:eastAsia="宋体" w:cs="Times New Roman"/>
          <w:color w:val="000000"/>
          <w:kern w:val="0"/>
          <w:sz w:val="24"/>
          <w:szCs w:val="24"/>
          <w:lang w:val="en-US"/>
        </w:rPr>
        <w:t>海口江东新区产业发展配套基础设施项目（三期）总投资为</w:t>
      </w:r>
      <w:r>
        <w:rPr>
          <w:rFonts w:ascii="宋体" w:hAnsi="宋体" w:eastAsia="宋体" w:cs="Times New Roman"/>
          <w:color w:val="000000"/>
          <w:kern w:val="0"/>
          <w:sz w:val="24"/>
          <w:szCs w:val="24"/>
          <w:lang w:val="en-US"/>
        </w:rPr>
        <w:t>71,887.48</w:t>
      </w:r>
      <w:r>
        <w:rPr>
          <w:rFonts w:hint="eastAsia" w:ascii="宋体" w:hAnsi="宋体" w:eastAsia="宋体" w:cs="Times New Roman"/>
          <w:color w:val="000000"/>
          <w:kern w:val="0"/>
          <w:sz w:val="24"/>
          <w:szCs w:val="24"/>
          <w:lang w:val="en-US"/>
        </w:rPr>
        <w:t>万元</w:t>
      </w:r>
      <w:bookmarkEnd w:id="18"/>
      <w:r>
        <w:rPr>
          <w:rFonts w:hint="eastAsia" w:ascii="宋体" w:hAnsi="宋体" w:eastAsia="宋体" w:cs="Times New Roman"/>
          <w:color w:val="000000"/>
          <w:kern w:val="0"/>
          <w:sz w:val="24"/>
          <w:szCs w:val="24"/>
          <w:lang w:val="en-US"/>
        </w:rPr>
        <w:t>，详见表3。</w:t>
      </w:r>
    </w:p>
    <w:p w14:paraId="2143AF7F">
      <w:pPr>
        <w:widowControl/>
        <w:ind w:firstLine="482" w:firstLineChars="200"/>
        <w:jc w:val="center"/>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表3海口江东新区产业发展配套基础设施项目（三期）总投资估算表</w:t>
      </w:r>
    </w:p>
    <w:p w14:paraId="48A3140B">
      <w:pPr>
        <w:widowControl/>
        <w:ind w:firstLine="360" w:firstLineChars="200"/>
        <w:jc w:val="right"/>
        <w:rPr>
          <w:rFonts w:hint="eastAsia" w:ascii="宋体" w:hAnsi="宋体" w:eastAsia="宋体" w:cs="Times New Roman"/>
          <w:kern w:val="0"/>
          <w:sz w:val="18"/>
          <w:szCs w:val="18"/>
          <w:lang w:val="en-GB"/>
        </w:rPr>
      </w:pPr>
      <w:r>
        <w:rPr>
          <w:rFonts w:hint="eastAsia" w:ascii="宋体" w:hAnsi="宋体" w:eastAsia="宋体" w:cs="Times New Roman"/>
          <w:kern w:val="0"/>
          <w:sz w:val="18"/>
          <w:szCs w:val="18"/>
          <w:lang w:val="en-GB"/>
        </w:rPr>
        <w:t>单位：人民币万元</w:t>
      </w:r>
    </w:p>
    <w:tbl>
      <w:tblPr>
        <w:tblStyle w:val="19"/>
        <w:tblW w:w="55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84"/>
        <w:gridCol w:w="1428"/>
        <w:gridCol w:w="1057"/>
        <w:gridCol w:w="1057"/>
        <w:gridCol w:w="1234"/>
        <w:gridCol w:w="1400"/>
        <w:gridCol w:w="1401"/>
        <w:gridCol w:w="1136"/>
      </w:tblGrid>
      <w:tr w14:paraId="096F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5" w:hRule="atLeast"/>
          <w:tblHeader/>
          <w:jc w:val="center"/>
        </w:trPr>
        <w:tc>
          <w:tcPr>
            <w:tcW w:w="314" w:type="pct"/>
            <w:shd w:val="clear" w:color="auto" w:fill="D8D8D8"/>
            <w:vAlign w:val="center"/>
          </w:tcPr>
          <w:p w14:paraId="6C397224">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序号</w:t>
            </w:r>
          </w:p>
        </w:tc>
        <w:tc>
          <w:tcPr>
            <w:tcW w:w="767" w:type="pct"/>
            <w:shd w:val="clear" w:color="auto" w:fill="D8D8D8"/>
            <w:vAlign w:val="center"/>
          </w:tcPr>
          <w:p w14:paraId="4408ECA2">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项目名称</w:t>
            </w:r>
          </w:p>
        </w:tc>
        <w:tc>
          <w:tcPr>
            <w:tcW w:w="568" w:type="pct"/>
            <w:shd w:val="clear" w:color="auto" w:fill="D8D8D8"/>
            <w:vAlign w:val="center"/>
          </w:tcPr>
          <w:p w14:paraId="54F37329">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w:t>
            </w:r>
            <w:r>
              <w:rPr>
                <w:rFonts w:ascii="宋体" w:hAnsi="宋体" w:eastAsia="宋体" w:cs="Arial Unicode MS"/>
                <w:b/>
                <w:color w:val="000000"/>
                <w:kern w:val="0"/>
                <w:sz w:val="20"/>
                <w:szCs w:val="20"/>
                <w:lang w:val="en-GB"/>
              </w:rPr>
              <w:t>022</w:t>
            </w:r>
          </w:p>
        </w:tc>
        <w:tc>
          <w:tcPr>
            <w:tcW w:w="568" w:type="pct"/>
            <w:shd w:val="clear" w:color="auto" w:fill="D8D8D8"/>
            <w:vAlign w:val="center"/>
          </w:tcPr>
          <w:p w14:paraId="33730BDA">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w:t>
            </w:r>
            <w:r>
              <w:rPr>
                <w:rFonts w:ascii="宋体" w:hAnsi="宋体" w:eastAsia="宋体" w:cs="Arial Unicode MS"/>
                <w:b/>
                <w:color w:val="000000"/>
                <w:kern w:val="0"/>
                <w:sz w:val="20"/>
                <w:szCs w:val="20"/>
                <w:lang w:val="en-GB"/>
              </w:rPr>
              <w:t>023</w:t>
            </w:r>
          </w:p>
        </w:tc>
        <w:tc>
          <w:tcPr>
            <w:tcW w:w="663" w:type="pct"/>
            <w:shd w:val="clear" w:color="auto" w:fill="D8D8D8"/>
            <w:vAlign w:val="center"/>
          </w:tcPr>
          <w:p w14:paraId="10E5F5BE">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w:t>
            </w:r>
            <w:r>
              <w:rPr>
                <w:rFonts w:ascii="宋体" w:hAnsi="宋体" w:eastAsia="宋体" w:cs="Arial Unicode MS"/>
                <w:b/>
                <w:color w:val="000000"/>
                <w:kern w:val="0"/>
                <w:sz w:val="20"/>
                <w:szCs w:val="20"/>
                <w:lang w:val="en-GB"/>
              </w:rPr>
              <w:t>024</w:t>
            </w:r>
          </w:p>
        </w:tc>
        <w:tc>
          <w:tcPr>
            <w:tcW w:w="752" w:type="pct"/>
            <w:shd w:val="clear" w:color="auto" w:fill="D8D8D8"/>
            <w:vAlign w:val="center"/>
          </w:tcPr>
          <w:p w14:paraId="2183B20B">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2025</w:t>
            </w:r>
          </w:p>
        </w:tc>
        <w:tc>
          <w:tcPr>
            <w:tcW w:w="753" w:type="pct"/>
            <w:shd w:val="clear" w:color="auto" w:fill="D8D8D8"/>
            <w:vAlign w:val="center"/>
          </w:tcPr>
          <w:p w14:paraId="626CEF1D">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2026</w:t>
            </w:r>
          </w:p>
        </w:tc>
        <w:tc>
          <w:tcPr>
            <w:tcW w:w="610" w:type="pct"/>
            <w:shd w:val="clear" w:color="auto" w:fill="D8D8D8"/>
            <w:vAlign w:val="center"/>
          </w:tcPr>
          <w:p w14:paraId="25F55541">
            <w:pPr>
              <w:widowControl/>
              <w:jc w:val="center"/>
              <w:rPr>
                <w:rFonts w:hint="eastAsia" w:ascii="宋体" w:hAnsi="宋体" w:eastAsia="宋体" w:cs="Arial Unicode MS"/>
                <w:b/>
                <w:color w:val="000000"/>
                <w:kern w:val="0"/>
                <w:sz w:val="20"/>
                <w:szCs w:val="20"/>
                <w:lang w:val="en-GB" w:eastAsia="zh-TW"/>
              </w:rPr>
            </w:pPr>
            <w:r>
              <w:rPr>
                <w:rFonts w:hint="eastAsia" w:ascii="宋体" w:hAnsi="宋体" w:eastAsia="宋体" w:cs="Arial Unicode MS"/>
                <w:b/>
                <w:color w:val="000000"/>
                <w:kern w:val="0"/>
                <w:sz w:val="20"/>
                <w:szCs w:val="20"/>
                <w:lang w:val="en-GB" w:eastAsia="zh-TW"/>
              </w:rPr>
              <w:t>合计</w:t>
            </w:r>
          </w:p>
        </w:tc>
      </w:tr>
      <w:tr w14:paraId="47CC0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14" w:type="pct"/>
            <w:shd w:val="clear" w:color="000000" w:fill="FFFFFF"/>
            <w:vAlign w:val="center"/>
          </w:tcPr>
          <w:p w14:paraId="158B5F42">
            <w:pPr>
              <w:widowControl/>
              <w:jc w:val="center"/>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1</w:t>
            </w:r>
          </w:p>
        </w:tc>
        <w:tc>
          <w:tcPr>
            <w:tcW w:w="767" w:type="pct"/>
            <w:shd w:val="clear" w:color="000000" w:fill="FFFFFF"/>
            <w:vAlign w:val="center"/>
          </w:tcPr>
          <w:p w14:paraId="4B86A522">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建设投资</w:t>
            </w:r>
          </w:p>
        </w:tc>
        <w:tc>
          <w:tcPr>
            <w:tcW w:w="568" w:type="pct"/>
            <w:shd w:val="clear" w:color="000000" w:fill="FFFFFF"/>
            <w:vAlign w:val="center"/>
          </w:tcPr>
          <w:p w14:paraId="71D0A617">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50.00</w:t>
            </w:r>
          </w:p>
        </w:tc>
        <w:tc>
          <w:tcPr>
            <w:tcW w:w="568" w:type="pct"/>
            <w:shd w:val="clear" w:color="000000" w:fill="FFFFFF"/>
            <w:vAlign w:val="center"/>
          </w:tcPr>
          <w:p w14:paraId="5484EAB1">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474.35</w:t>
            </w:r>
          </w:p>
        </w:tc>
        <w:tc>
          <w:tcPr>
            <w:tcW w:w="663" w:type="pct"/>
            <w:shd w:val="clear" w:color="000000" w:fill="FFFFFF"/>
            <w:vAlign w:val="center"/>
          </w:tcPr>
          <w:p w14:paraId="67C806E9">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8,500.00</w:t>
            </w:r>
          </w:p>
        </w:tc>
        <w:tc>
          <w:tcPr>
            <w:tcW w:w="752" w:type="pct"/>
            <w:shd w:val="clear" w:color="000000" w:fill="FFFFFF"/>
            <w:vAlign w:val="center"/>
          </w:tcPr>
          <w:p w14:paraId="16154BA6">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32,800.00</w:t>
            </w:r>
          </w:p>
        </w:tc>
        <w:tc>
          <w:tcPr>
            <w:tcW w:w="753" w:type="pct"/>
            <w:shd w:val="clear" w:color="000000" w:fill="FFFFFF"/>
            <w:vAlign w:val="center"/>
          </w:tcPr>
          <w:p w14:paraId="47B96922">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29,469.45</w:t>
            </w:r>
          </w:p>
        </w:tc>
        <w:tc>
          <w:tcPr>
            <w:tcW w:w="610" w:type="pct"/>
            <w:shd w:val="clear" w:color="000000" w:fill="FFFFFF"/>
            <w:vAlign w:val="center"/>
          </w:tcPr>
          <w:p w14:paraId="183958BA">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71,293.80</w:t>
            </w:r>
          </w:p>
        </w:tc>
      </w:tr>
      <w:tr w14:paraId="703B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5" w:hRule="atLeast"/>
          <w:jc w:val="center"/>
        </w:trPr>
        <w:tc>
          <w:tcPr>
            <w:tcW w:w="314" w:type="pct"/>
            <w:shd w:val="clear" w:color="000000" w:fill="FFFFFF"/>
            <w:vAlign w:val="center"/>
          </w:tcPr>
          <w:p w14:paraId="43A1EF4B">
            <w:pPr>
              <w:widowControl/>
              <w:jc w:val="center"/>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2</w:t>
            </w:r>
          </w:p>
        </w:tc>
        <w:tc>
          <w:tcPr>
            <w:tcW w:w="767" w:type="pct"/>
            <w:shd w:val="clear" w:color="000000" w:fill="FFFFFF"/>
            <w:vAlign w:val="center"/>
          </w:tcPr>
          <w:p w14:paraId="448BC4BC">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建设期利息</w:t>
            </w:r>
          </w:p>
        </w:tc>
        <w:tc>
          <w:tcPr>
            <w:tcW w:w="568" w:type="pct"/>
            <w:shd w:val="clear" w:color="000000" w:fill="FFFFFF"/>
            <w:vAlign w:val="center"/>
          </w:tcPr>
          <w:p w14:paraId="0BA945F3">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w:t>
            </w:r>
          </w:p>
        </w:tc>
        <w:tc>
          <w:tcPr>
            <w:tcW w:w="568" w:type="pct"/>
            <w:shd w:val="clear" w:color="000000" w:fill="FFFFFF"/>
            <w:vAlign w:val="center"/>
          </w:tcPr>
          <w:p w14:paraId="5726A1D8">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w:t>
            </w:r>
          </w:p>
        </w:tc>
        <w:tc>
          <w:tcPr>
            <w:tcW w:w="663" w:type="pct"/>
            <w:shd w:val="clear" w:color="000000" w:fill="FFFFFF"/>
            <w:vAlign w:val="center"/>
          </w:tcPr>
          <w:p w14:paraId="66C5AD2D">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w:t>
            </w:r>
          </w:p>
        </w:tc>
        <w:tc>
          <w:tcPr>
            <w:tcW w:w="752" w:type="pct"/>
            <w:shd w:val="clear" w:color="000000" w:fill="FFFFFF"/>
            <w:vAlign w:val="center"/>
          </w:tcPr>
          <w:p w14:paraId="612282DF">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194.96</w:t>
            </w:r>
          </w:p>
        </w:tc>
        <w:tc>
          <w:tcPr>
            <w:tcW w:w="753" w:type="pct"/>
            <w:shd w:val="clear" w:color="000000" w:fill="FFFFFF"/>
            <w:vAlign w:val="center"/>
          </w:tcPr>
          <w:p w14:paraId="4323A5A4">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398.72</w:t>
            </w:r>
          </w:p>
        </w:tc>
        <w:tc>
          <w:tcPr>
            <w:tcW w:w="610" w:type="pct"/>
            <w:shd w:val="clear" w:color="000000" w:fill="FFFFFF"/>
            <w:vAlign w:val="center"/>
          </w:tcPr>
          <w:p w14:paraId="1CFCFE06">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593.68</w:t>
            </w:r>
          </w:p>
        </w:tc>
      </w:tr>
      <w:tr w14:paraId="7F7B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3" w:hRule="atLeast"/>
          <w:jc w:val="center"/>
        </w:trPr>
        <w:tc>
          <w:tcPr>
            <w:tcW w:w="314" w:type="pct"/>
            <w:shd w:val="clear" w:color="000000" w:fill="FFFFFF"/>
            <w:vAlign w:val="center"/>
          </w:tcPr>
          <w:p w14:paraId="22FB2F62">
            <w:pPr>
              <w:widowControl/>
              <w:jc w:val="center"/>
              <w:rPr>
                <w:rFonts w:hint="eastAsia" w:ascii="宋体" w:hAnsi="宋体" w:eastAsia="宋体" w:cs="Arial Unicode MS"/>
                <w:b/>
                <w:bCs/>
                <w:color w:val="000000"/>
                <w:kern w:val="0"/>
                <w:sz w:val="20"/>
                <w:szCs w:val="20"/>
                <w:lang w:val="en-GB"/>
              </w:rPr>
            </w:pPr>
            <w:r>
              <w:rPr>
                <w:rFonts w:hint="eastAsia" w:ascii="宋体" w:hAnsi="宋体" w:eastAsia="宋体" w:cs="Arial Unicode MS"/>
                <w:b/>
                <w:bCs/>
                <w:color w:val="000000"/>
                <w:kern w:val="0"/>
                <w:sz w:val="20"/>
                <w:szCs w:val="20"/>
                <w:lang w:val="en-GB"/>
              </w:rPr>
              <w:t>3</w:t>
            </w:r>
          </w:p>
        </w:tc>
        <w:tc>
          <w:tcPr>
            <w:tcW w:w="767" w:type="pct"/>
            <w:shd w:val="clear" w:color="000000" w:fill="FFFFFF"/>
            <w:vAlign w:val="center"/>
          </w:tcPr>
          <w:p w14:paraId="7EC70C1C">
            <w:pPr>
              <w:widowControl/>
              <w:jc w:val="left"/>
              <w:rPr>
                <w:rFonts w:hint="eastAsia" w:ascii="宋体" w:hAnsi="宋体" w:eastAsia="宋体" w:cs="Arial Unicode MS"/>
                <w:b/>
                <w:bCs/>
                <w:color w:val="000000"/>
                <w:kern w:val="0"/>
                <w:sz w:val="20"/>
                <w:szCs w:val="20"/>
                <w:lang w:val="en-GB"/>
              </w:rPr>
            </w:pPr>
            <w:r>
              <w:rPr>
                <w:rFonts w:hint="eastAsia" w:ascii="宋体" w:hAnsi="宋体" w:eastAsia="宋体" w:cs="Arial Unicode MS"/>
                <w:b/>
                <w:bCs/>
                <w:color w:val="000000"/>
                <w:kern w:val="0"/>
                <w:sz w:val="20"/>
                <w:szCs w:val="20"/>
                <w:lang w:val="en-GB"/>
              </w:rPr>
              <w:t>合计</w:t>
            </w:r>
          </w:p>
        </w:tc>
        <w:tc>
          <w:tcPr>
            <w:tcW w:w="568" w:type="pct"/>
            <w:shd w:val="clear" w:color="000000" w:fill="FFFFFF"/>
            <w:vAlign w:val="center"/>
          </w:tcPr>
          <w:p w14:paraId="41E11165">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50.00</w:t>
            </w:r>
          </w:p>
        </w:tc>
        <w:tc>
          <w:tcPr>
            <w:tcW w:w="568" w:type="pct"/>
            <w:shd w:val="clear" w:color="000000" w:fill="FFFFFF"/>
            <w:vAlign w:val="center"/>
          </w:tcPr>
          <w:p w14:paraId="3B40C6C0">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474.35</w:t>
            </w:r>
          </w:p>
        </w:tc>
        <w:tc>
          <w:tcPr>
            <w:tcW w:w="663" w:type="pct"/>
            <w:shd w:val="clear" w:color="000000" w:fill="FFFFFF"/>
            <w:vAlign w:val="center"/>
          </w:tcPr>
          <w:p w14:paraId="733041B8">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8,500.00</w:t>
            </w:r>
          </w:p>
        </w:tc>
        <w:tc>
          <w:tcPr>
            <w:tcW w:w="752" w:type="pct"/>
            <w:shd w:val="clear" w:color="000000" w:fill="FFFFFF"/>
            <w:vAlign w:val="center"/>
          </w:tcPr>
          <w:p w14:paraId="41E787B8">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32,994.96</w:t>
            </w:r>
          </w:p>
        </w:tc>
        <w:tc>
          <w:tcPr>
            <w:tcW w:w="753" w:type="pct"/>
            <w:shd w:val="clear" w:color="000000" w:fill="FFFFFF"/>
            <w:vAlign w:val="center"/>
          </w:tcPr>
          <w:p w14:paraId="2690DB53">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color w:val="000000"/>
                <w:kern w:val="0"/>
                <w:sz w:val="20"/>
                <w:szCs w:val="20"/>
                <w:lang w:val="en-GB"/>
              </w:rPr>
              <w:t>29,868.17</w:t>
            </w:r>
          </w:p>
        </w:tc>
        <w:tc>
          <w:tcPr>
            <w:tcW w:w="610" w:type="pct"/>
            <w:shd w:val="clear" w:color="000000" w:fill="FFFFFF"/>
            <w:vAlign w:val="center"/>
          </w:tcPr>
          <w:p w14:paraId="7AC2C924">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71,887.48</w:t>
            </w:r>
          </w:p>
        </w:tc>
      </w:tr>
    </w:tbl>
    <w:p w14:paraId="2D3635A6">
      <w:pPr>
        <w:widowControl/>
        <w:ind w:firstLine="360" w:firstLineChars="200"/>
        <w:jc w:val="right"/>
        <w:rPr>
          <w:rFonts w:hint="eastAsia" w:ascii="宋体" w:hAnsi="宋体" w:eastAsia="宋体" w:cs="Times New Roman"/>
          <w:kern w:val="0"/>
          <w:sz w:val="18"/>
          <w:szCs w:val="18"/>
          <w:lang w:val="en-GB" w:eastAsia="zh-TW"/>
        </w:rPr>
      </w:pPr>
    </w:p>
    <w:p w14:paraId="27989D9C">
      <w:pPr>
        <w:widowControl/>
        <w:spacing w:before="120" w:after="120" w:line="360" w:lineRule="auto"/>
        <w:ind w:firstLine="482" w:firstLineChars="200"/>
        <w:jc w:val="both"/>
        <w:outlineLvl w:val="2"/>
        <w:rPr>
          <w:rFonts w:hint="eastAsia" w:ascii="宋体" w:hAnsi="宋体" w:eastAsia="宋体" w:cs="Times New Roman"/>
          <w:b/>
          <w:bCs/>
          <w:color w:val="000000"/>
          <w:kern w:val="0"/>
          <w:sz w:val="24"/>
          <w:szCs w:val="24"/>
          <w:lang w:val="en-US"/>
        </w:rPr>
      </w:pPr>
      <w:bookmarkStart w:id="19" w:name="_Toc200555356"/>
      <w:bookmarkStart w:id="20" w:name="_Toc114818423"/>
      <w:bookmarkStart w:id="21" w:name="_Toc114818533"/>
      <w:r>
        <w:rPr>
          <w:rFonts w:ascii="宋体" w:hAnsi="宋体" w:eastAsia="宋体" w:cs="Times New Roman"/>
          <w:b/>
          <w:bCs/>
          <w:color w:val="000000"/>
          <w:kern w:val="0"/>
          <w:sz w:val="24"/>
          <w:szCs w:val="24"/>
          <w:lang w:val="en-US"/>
        </w:rPr>
        <w:t>2.资金筹措</w:t>
      </w:r>
      <w:bookmarkEnd w:id="19"/>
      <w:bookmarkEnd w:id="20"/>
      <w:bookmarkEnd w:id="21"/>
    </w:p>
    <w:p w14:paraId="516118AF">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本项目累计资金筹措总额</w:t>
      </w:r>
      <w:r>
        <w:rPr>
          <w:rFonts w:ascii="宋体" w:hAnsi="宋体" w:eastAsia="宋体" w:cs="Times New Roman"/>
          <w:color w:val="000000"/>
          <w:kern w:val="0"/>
          <w:sz w:val="24"/>
          <w:szCs w:val="24"/>
          <w:lang w:val="en-US"/>
        </w:rPr>
        <w:t>71,887.48</w:t>
      </w:r>
      <w:r>
        <w:rPr>
          <w:rFonts w:hint="eastAsia" w:ascii="宋体" w:hAnsi="宋体" w:eastAsia="宋体" w:cs="Times New Roman"/>
          <w:color w:val="000000"/>
          <w:kern w:val="0"/>
          <w:sz w:val="24"/>
          <w:szCs w:val="24"/>
          <w:lang w:val="en-US"/>
        </w:rPr>
        <w:t>万元，其中，自筹资金</w:t>
      </w:r>
      <w:r>
        <w:rPr>
          <w:rFonts w:ascii="宋体" w:hAnsi="宋体" w:eastAsia="宋体" w:cs="Times New Roman"/>
          <w:color w:val="000000"/>
          <w:kern w:val="0"/>
          <w:sz w:val="24"/>
          <w:szCs w:val="24"/>
          <w:lang w:val="en-US"/>
        </w:rPr>
        <w:t>55,258.81</w:t>
      </w:r>
      <w:r>
        <w:rPr>
          <w:rFonts w:hint="eastAsia" w:ascii="宋体" w:hAnsi="宋体" w:eastAsia="宋体" w:cs="Times New Roman"/>
          <w:color w:val="000000"/>
          <w:kern w:val="0"/>
          <w:sz w:val="24"/>
          <w:szCs w:val="24"/>
          <w:lang w:val="en-US"/>
        </w:rPr>
        <w:t>万元，2025年6月已调增专项债券</w:t>
      </w:r>
      <w:r>
        <w:rPr>
          <w:rFonts w:ascii="宋体" w:hAnsi="宋体" w:eastAsia="宋体" w:cs="Times New Roman"/>
          <w:color w:val="000000"/>
          <w:kern w:val="0"/>
          <w:sz w:val="24"/>
          <w:szCs w:val="24"/>
          <w:lang w:val="en-US"/>
        </w:rPr>
        <w:t>16,128.67</w:t>
      </w:r>
      <w:r>
        <w:rPr>
          <w:rFonts w:hint="eastAsia" w:ascii="宋体" w:hAnsi="宋体" w:eastAsia="宋体" w:cs="Times New Roman"/>
          <w:color w:val="000000"/>
          <w:kern w:val="0"/>
          <w:sz w:val="24"/>
          <w:szCs w:val="24"/>
          <w:lang w:val="en-US"/>
        </w:rPr>
        <w:t>万元，本次计划调增专项债券</w:t>
      </w:r>
      <w:r>
        <w:rPr>
          <w:rFonts w:ascii="宋体" w:hAnsi="宋体" w:eastAsia="宋体" w:cs="Times New Roman"/>
          <w:color w:val="000000"/>
          <w:kern w:val="0"/>
          <w:sz w:val="24"/>
          <w:szCs w:val="24"/>
          <w:lang w:val="en-US"/>
        </w:rPr>
        <w:t>500.00</w:t>
      </w:r>
      <w:r>
        <w:rPr>
          <w:rFonts w:hint="eastAsia" w:ascii="宋体" w:hAnsi="宋体" w:eastAsia="宋体" w:cs="Times New Roman"/>
          <w:color w:val="000000"/>
          <w:kern w:val="0"/>
          <w:sz w:val="24"/>
          <w:szCs w:val="24"/>
          <w:lang w:val="en-US"/>
        </w:rPr>
        <w:t>万元。本项目的自筹资金，由财政资金统筹安排。</w:t>
      </w:r>
    </w:p>
    <w:p w14:paraId="763B4B5D">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项目建设期各年度投资计划及资金筹措方案详见表</w:t>
      </w:r>
      <w:r>
        <w:rPr>
          <w:rFonts w:ascii="宋体" w:hAnsi="宋体" w:eastAsia="宋体" w:cs="Times New Roman"/>
          <w:color w:val="000000"/>
          <w:kern w:val="0"/>
          <w:sz w:val="24"/>
          <w:szCs w:val="24"/>
          <w:lang w:val="en-US"/>
        </w:rPr>
        <w:t>4。</w:t>
      </w:r>
    </w:p>
    <w:p w14:paraId="7F6F8080">
      <w:pPr>
        <w:widowControl/>
        <w:ind w:firstLine="482" w:firstLineChars="200"/>
        <w:jc w:val="center"/>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表4 海口江东新区产业发展配套基础设施项目（三期）投资计划及资金筹措表</w:t>
      </w:r>
    </w:p>
    <w:p w14:paraId="17893FB7">
      <w:pPr>
        <w:widowControl/>
        <w:ind w:firstLine="360" w:firstLineChars="200"/>
        <w:jc w:val="right"/>
        <w:rPr>
          <w:rFonts w:hint="eastAsia" w:ascii="宋体" w:hAnsi="宋体" w:eastAsia="宋体" w:cs="Times New Roman"/>
          <w:kern w:val="0"/>
          <w:sz w:val="18"/>
          <w:szCs w:val="18"/>
          <w:lang w:val="en-GB"/>
        </w:rPr>
      </w:pPr>
      <w:r>
        <w:rPr>
          <w:rFonts w:ascii="宋体" w:hAnsi="宋体" w:eastAsia="宋体" w:cs="Times New Roman"/>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0"/>
        <w:gridCol w:w="1434"/>
        <w:gridCol w:w="1026"/>
        <w:gridCol w:w="1026"/>
        <w:gridCol w:w="1029"/>
        <w:gridCol w:w="1118"/>
        <w:gridCol w:w="1118"/>
        <w:gridCol w:w="1035"/>
      </w:tblGrid>
      <w:tr w14:paraId="1400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tblHeader/>
          <w:jc w:val="center"/>
        </w:trPr>
        <w:tc>
          <w:tcPr>
            <w:tcW w:w="341" w:type="pct"/>
            <w:shd w:val="clear" w:color="auto" w:fill="D8D8D8"/>
            <w:vAlign w:val="center"/>
          </w:tcPr>
          <w:p w14:paraId="09049A9D">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序号</w:t>
            </w:r>
          </w:p>
        </w:tc>
        <w:tc>
          <w:tcPr>
            <w:tcW w:w="858" w:type="pct"/>
            <w:shd w:val="clear" w:color="auto" w:fill="D8D8D8"/>
            <w:vAlign w:val="center"/>
          </w:tcPr>
          <w:p w14:paraId="7D23739D">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项目名称</w:t>
            </w:r>
          </w:p>
        </w:tc>
        <w:tc>
          <w:tcPr>
            <w:tcW w:w="614" w:type="pct"/>
            <w:shd w:val="clear" w:color="auto" w:fill="D8D8D8"/>
          </w:tcPr>
          <w:p w14:paraId="3D634D3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w:t>
            </w:r>
            <w:r>
              <w:rPr>
                <w:rFonts w:ascii="宋体" w:hAnsi="宋体" w:eastAsia="宋体" w:cs="宋体"/>
                <w:b/>
                <w:bCs/>
                <w:color w:val="000000"/>
                <w:kern w:val="0"/>
                <w:sz w:val="20"/>
                <w:szCs w:val="20"/>
                <w:lang w:val="en-GB"/>
              </w:rPr>
              <w:t>022</w:t>
            </w:r>
          </w:p>
        </w:tc>
        <w:tc>
          <w:tcPr>
            <w:tcW w:w="614" w:type="pct"/>
            <w:shd w:val="clear" w:color="auto" w:fill="D8D8D8"/>
            <w:vAlign w:val="center"/>
          </w:tcPr>
          <w:p w14:paraId="6607236A">
            <w:pPr>
              <w:widowControl/>
              <w:jc w:val="center"/>
              <w:rPr>
                <w:rFonts w:hint="eastAsia" w:ascii="宋体" w:hAnsi="宋体" w:eastAsia="宋体" w:cs="宋体"/>
                <w:b/>
                <w:bCs/>
                <w:color w:val="000000"/>
                <w:kern w:val="0"/>
                <w:sz w:val="20"/>
                <w:szCs w:val="20"/>
                <w:lang w:val="en-GB"/>
              </w:rPr>
            </w:pPr>
            <w:r>
              <w:rPr>
                <w:rFonts w:ascii="宋体" w:hAnsi="宋体" w:eastAsia="宋体" w:cs="宋体"/>
                <w:b/>
                <w:bCs/>
                <w:color w:val="000000"/>
                <w:kern w:val="0"/>
                <w:sz w:val="20"/>
                <w:szCs w:val="20"/>
                <w:lang w:val="en-GB"/>
              </w:rPr>
              <w:t>2023</w:t>
            </w:r>
          </w:p>
        </w:tc>
        <w:tc>
          <w:tcPr>
            <w:tcW w:w="616" w:type="pct"/>
            <w:shd w:val="clear" w:color="auto" w:fill="D8D8D8"/>
            <w:vAlign w:val="center"/>
          </w:tcPr>
          <w:p w14:paraId="147694EE">
            <w:pPr>
              <w:widowControl/>
              <w:jc w:val="center"/>
              <w:rPr>
                <w:rFonts w:hint="eastAsia" w:ascii="宋体" w:hAnsi="宋体" w:eastAsia="宋体" w:cs="宋体"/>
                <w:b/>
                <w:bCs/>
                <w:color w:val="000000"/>
                <w:kern w:val="0"/>
                <w:sz w:val="20"/>
                <w:szCs w:val="20"/>
                <w:lang w:val="en-GB"/>
              </w:rPr>
            </w:pPr>
            <w:r>
              <w:rPr>
                <w:rFonts w:ascii="宋体" w:hAnsi="宋体" w:eastAsia="宋体" w:cs="宋体"/>
                <w:b/>
                <w:bCs/>
                <w:color w:val="000000"/>
                <w:kern w:val="0"/>
                <w:sz w:val="20"/>
                <w:szCs w:val="20"/>
                <w:lang w:val="en-GB"/>
              </w:rPr>
              <w:t>2024</w:t>
            </w:r>
          </w:p>
        </w:tc>
        <w:tc>
          <w:tcPr>
            <w:tcW w:w="669" w:type="pct"/>
            <w:shd w:val="clear" w:color="auto" w:fill="D8D8D8"/>
          </w:tcPr>
          <w:p w14:paraId="5A437749">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2025</w:t>
            </w:r>
          </w:p>
        </w:tc>
        <w:tc>
          <w:tcPr>
            <w:tcW w:w="669" w:type="pct"/>
            <w:shd w:val="clear" w:color="auto" w:fill="D8D8D8"/>
          </w:tcPr>
          <w:p w14:paraId="7CE47C09">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2026</w:t>
            </w:r>
          </w:p>
        </w:tc>
        <w:tc>
          <w:tcPr>
            <w:tcW w:w="619" w:type="pct"/>
            <w:shd w:val="clear" w:color="auto" w:fill="D8D8D8"/>
            <w:vAlign w:val="center"/>
          </w:tcPr>
          <w:p w14:paraId="715979EB">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合计</w:t>
            </w:r>
          </w:p>
        </w:tc>
      </w:tr>
      <w:tr w14:paraId="5113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41" w:type="pct"/>
            <w:shd w:val="clear" w:color="000000" w:fill="FFFFFF"/>
            <w:vAlign w:val="center"/>
          </w:tcPr>
          <w:p w14:paraId="6F3FA412">
            <w:pPr>
              <w:widowControl/>
              <w:jc w:val="center"/>
              <w:rPr>
                <w:rFonts w:hint="eastAsia" w:ascii="宋体" w:hAnsi="宋体" w:eastAsia="宋体" w:cs="Times New Roman"/>
                <w:color w:val="000000"/>
                <w:kern w:val="0"/>
                <w:sz w:val="20"/>
                <w:szCs w:val="20"/>
                <w:lang w:val="en-GB"/>
              </w:rPr>
            </w:pPr>
            <w:r>
              <w:rPr>
                <w:rFonts w:hint="eastAsia" w:ascii="宋体" w:hAnsi="宋体" w:eastAsia="宋体" w:cs="Times New Roman"/>
                <w:color w:val="000000"/>
                <w:kern w:val="0"/>
                <w:sz w:val="20"/>
                <w:szCs w:val="20"/>
                <w:lang w:val="en-GB" w:eastAsia="zh-TW"/>
              </w:rPr>
              <w:t>1</w:t>
            </w:r>
          </w:p>
        </w:tc>
        <w:tc>
          <w:tcPr>
            <w:tcW w:w="858" w:type="pct"/>
            <w:shd w:val="clear" w:color="000000" w:fill="FFFFFF"/>
            <w:vAlign w:val="center"/>
          </w:tcPr>
          <w:p w14:paraId="3DCAF769">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自筹资金</w:t>
            </w:r>
          </w:p>
        </w:tc>
        <w:tc>
          <w:tcPr>
            <w:tcW w:w="614" w:type="pct"/>
            <w:shd w:val="clear" w:color="000000" w:fill="FFFFFF"/>
            <w:vAlign w:val="center"/>
          </w:tcPr>
          <w:p w14:paraId="513639D0">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50.00</w:t>
            </w:r>
          </w:p>
        </w:tc>
        <w:tc>
          <w:tcPr>
            <w:tcW w:w="614" w:type="pct"/>
            <w:shd w:val="clear" w:color="000000" w:fill="FFFFFF"/>
            <w:vAlign w:val="center"/>
          </w:tcPr>
          <w:p w14:paraId="1218F5F8">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474.35</w:t>
            </w:r>
          </w:p>
        </w:tc>
        <w:tc>
          <w:tcPr>
            <w:tcW w:w="616" w:type="pct"/>
            <w:shd w:val="clear" w:color="000000" w:fill="FFFFFF"/>
            <w:vAlign w:val="center"/>
          </w:tcPr>
          <w:p w14:paraId="09060D6F">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8,500.00</w:t>
            </w:r>
          </w:p>
        </w:tc>
        <w:tc>
          <w:tcPr>
            <w:tcW w:w="669" w:type="pct"/>
            <w:shd w:val="clear" w:color="000000" w:fill="FFFFFF"/>
            <w:vAlign w:val="center"/>
          </w:tcPr>
          <w:p w14:paraId="440007EE">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16,366.29</w:t>
            </w:r>
          </w:p>
        </w:tc>
        <w:tc>
          <w:tcPr>
            <w:tcW w:w="669" w:type="pct"/>
            <w:shd w:val="clear" w:color="000000" w:fill="FFFFFF"/>
            <w:vAlign w:val="center"/>
          </w:tcPr>
          <w:p w14:paraId="693FDC4C">
            <w:pPr>
              <w:widowControl/>
              <w:jc w:val="right"/>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29,868.17</w:t>
            </w:r>
          </w:p>
        </w:tc>
        <w:tc>
          <w:tcPr>
            <w:tcW w:w="619" w:type="pct"/>
            <w:shd w:val="clear" w:color="000000" w:fill="FFFFFF"/>
            <w:vAlign w:val="center"/>
          </w:tcPr>
          <w:p w14:paraId="24E4849E">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55,258.81</w:t>
            </w:r>
          </w:p>
        </w:tc>
      </w:tr>
      <w:tr w14:paraId="17BA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41" w:type="pct"/>
            <w:shd w:val="clear" w:color="000000" w:fill="FFFFFF"/>
            <w:vAlign w:val="center"/>
          </w:tcPr>
          <w:p w14:paraId="57AAD7BC">
            <w:pPr>
              <w:widowControl/>
              <w:jc w:val="center"/>
              <w:rPr>
                <w:rFonts w:hint="eastAsia" w:ascii="宋体" w:hAnsi="宋体" w:eastAsia="宋体" w:cs="Times New Roman"/>
                <w:color w:val="000000"/>
                <w:kern w:val="0"/>
                <w:sz w:val="20"/>
                <w:szCs w:val="20"/>
                <w:lang w:val="en-GB"/>
              </w:rPr>
            </w:pPr>
            <w:r>
              <w:rPr>
                <w:rFonts w:hint="eastAsia" w:ascii="宋体" w:hAnsi="宋体" w:eastAsia="宋体" w:cs="Times New Roman"/>
                <w:color w:val="000000"/>
                <w:kern w:val="0"/>
                <w:sz w:val="20"/>
                <w:szCs w:val="20"/>
                <w:lang w:val="en-GB" w:eastAsia="zh-TW"/>
              </w:rPr>
              <w:t>2</w:t>
            </w:r>
          </w:p>
        </w:tc>
        <w:tc>
          <w:tcPr>
            <w:tcW w:w="858" w:type="pct"/>
            <w:shd w:val="clear" w:color="000000" w:fill="FFFFFF"/>
            <w:vAlign w:val="center"/>
          </w:tcPr>
          <w:p w14:paraId="2EE7E8F8">
            <w:pPr>
              <w:widowControl/>
              <w:jc w:val="left"/>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eastAsia="zh-TW"/>
              </w:rPr>
              <w:t>本期债券发行</w:t>
            </w:r>
          </w:p>
        </w:tc>
        <w:tc>
          <w:tcPr>
            <w:tcW w:w="614" w:type="pct"/>
            <w:shd w:val="clear" w:color="000000" w:fill="FFFFFF"/>
            <w:vAlign w:val="center"/>
          </w:tcPr>
          <w:p w14:paraId="17D502CF">
            <w:pPr>
              <w:widowControl/>
              <w:jc w:val="right"/>
              <w:rPr>
                <w:rFonts w:hint="eastAsia" w:ascii="宋体" w:hAnsi="宋体" w:eastAsia="宋体" w:cs="Times New Roman"/>
                <w:color w:val="000000"/>
                <w:kern w:val="0"/>
                <w:sz w:val="20"/>
                <w:szCs w:val="20"/>
                <w:lang w:val="en-GB"/>
              </w:rPr>
            </w:pPr>
            <w:r>
              <w:rPr>
                <w:rFonts w:hint="eastAsia" w:ascii="宋体" w:hAnsi="宋体" w:eastAsia="宋体" w:cs="Times New Roman"/>
                <w:color w:val="000000"/>
                <w:kern w:val="0"/>
                <w:sz w:val="20"/>
                <w:szCs w:val="20"/>
                <w:lang w:val="en-GB"/>
              </w:rPr>
              <w:t>-</w:t>
            </w:r>
          </w:p>
        </w:tc>
        <w:tc>
          <w:tcPr>
            <w:tcW w:w="614" w:type="pct"/>
            <w:shd w:val="clear" w:color="000000" w:fill="FFFFFF"/>
            <w:vAlign w:val="center"/>
          </w:tcPr>
          <w:p w14:paraId="40C59C6D">
            <w:pPr>
              <w:widowControl/>
              <w:jc w:val="right"/>
              <w:rPr>
                <w:rFonts w:hint="eastAsia" w:ascii="宋体" w:hAnsi="宋体" w:eastAsia="宋体" w:cs="Times New Roman"/>
                <w:color w:val="000000"/>
                <w:kern w:val="0"/>
                <w:sz w:val="20"/>
                <w:szCs w:val="20"/>
                <w:lang w:val="en-GB"/>
              </w:rPr>
            </w:pPr>
            <w:r>
              <w:rPr>
                <w:rFonts w:hint="eastAsia" w:ascii="宋体" w:hAnsi="宋体" w:eastAsia="宋体" w:cs="Times New Roman"/>
                <w:color w:val="000000"/>
                <w:kern w:val="0"/>
                <w:sz w:val="20"/>
                <w:szCs w:val="20"/>
                <w:lang w:val="en-GB"/>
              </w:rPr>
              <w:t>-</w:t>
            </w:r>
          </w:p>
        </w:tc>
        <w:tc>
          <w:tcPr>
            <w:tcW w:w="616" w:type="pct"/>
            <w:shd w:val="clear" w:color="000000" w:fill="FFFFFF"/>
            <w:vAlign w:val="center"/>
          </w:tcPr>
          <w:p w14:paraId="26059901">
            <w:pPr>
              <w:widowControl/>
              <w:jc w:val="right"/>
              <w:rPr>
                <w:rFonts w:hint="eastAsia" w:ascii="宋体" w:hAnsi="宋体" w:eastAsia="宋体" w:cs="Times New Roman"/>
                <w:color w:val="000000"/>
                <w:kern w:val="0"/>
                <w:sz w:val="20"/>
                <w:szCs w:val="20"/>
                <w:lang w:val="en-GB"/>
              </w:rPr>
            </w:pPr>
            <w:r>
              <w:rPr>
                <w:rFonts w:hint="eastAsia" w:ascii="宋体" w:hAnsi="宋体" w:eastAsia="宋体" w:cs="Times New Roman"/>
                <w:color w:val="000000"/>
                <w:kern w:val="0"/>
                <w:sz w:val="20"/>
                <w:szCs w:val="20"/>
                <w:lang w:val="en-GB"/>
              </w:rPr>
              <w:t>-</w:t>
            </w:r>
          </w:p>
        </w:tc>
        <w:tc>
          <w:tcPr>
            <w:tcW w:w="669" w:type="pct"/>
            <w:shd w:val="clear" w:color="000000" w:fill="FFFFFF"/>
            <w:vAlign w:val="center"/>
          </w:tcPr>
          <w:p w14:paraId="180B4ADF">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color w:val="000000"/>
                <w:kern w:val="0"/>
                <w:sz w:val="20"/>
                <w:szCs w:val="20"/>
                <w:lang w:val="en-GB"/>
              </w:rPr>
              <w:t>16,628.67</w:t>
            </w:r>
          </w:p>
        </w:tc>
        <w:tc>
          <w:tcPr>
            <w:tcW w:w="669" w:type="pct"/>
            <w:shd w:val="clear" w:color="000000" w:fill="FFFFFF"/>
            <w:vAlign w:val="center"/>
          </w:tcPr>
          <w:p w14:paraId="4683FA47">
            <w:pPr>
              <w:widowControl/>
              <w:jc w:val="right"/>
              <w:rPr>
                <w:rFonts w:hint="eastAsia" w:ascii="宋体" w:hAnsi="宋体" w:eastAsia="宋体" w:cs="Times New Roman"/>
                <w:b/>
                <w:bCs/>
                <w:kern w:val="0"/>
                <w:sz w:val="20"/>
                <w:szCs w:val="20"/>
                <w:lang w:val="en-GB"/>
              </w:rPr>
            </w:pPr>
            <w:r>
              <w:rPr>
                <w:rFonts w:hint="eastAsia" w:ascii="宋体" w:hAnsi="宋体" w:eastAsia="宋体" w:cs="Times New Roman"/>
                <w:b/>
                <w:bCs/>
                <w:kern w:val="0"/>
                <w:sz w:val="20"/>
                <w:szCs w:val="20"/>
                <w:lang w:val="en-GB"/>
              </w:rPr>
              <w:t>-</w:t>
            </w:r>
          </w:p>
        </w:tc>
        <w:tc>
          <w:tcPr>
            <w:tcW w:w="619" w:type="pct"/>
            <w:shd w:val="clear" w:color="000000" w:fill="FFFFFF"/>
            <w:vAlign w:val="center"/>
          </w:tcPr>
          <w:p w14:paraId="059EF330">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16,628.67</w:t>
            </w:r>
          </w:p>
        </w:tc>
      </w:tr>
      <w:tr w14:paraId="5038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 w:hRule="atLeast"/>
          <w:jc w:val="center"/>
        </w:trPr>
        <w:tc>
          <w:tcPr>
            <w:tcW w:w="341" w:type="pct"/>
            <w:shd w:val="clear" w:color="000000" w:fill="FFFFFF"/>
            <w:vAlign w:val="center"/>
          </w:tcPr>
          <w:p w14:paraId="310B3D3F">
            <w:pPr>
              <w:widowControl/>
              <w:jc w:val="center"/>
              <w:rPr>
                <w:rFonts w:hint="eastAsia" w:ascii="宋体" w:hAnsi="宋体" w:eastAsia="宋体" w:cs="Times New Roman"/>
                <w:b/>
                <w:color w:val="000000"/>
                <w:kern w:val="0"/>
                <w:sz w:val="20"/>
                <w:szCs w:val="20"/>
                <w:lang w:val="en-GB"/>
              </w:rPr>
            </w:pPr>
            <w:r>
              <w:rPr>
                <w:rFonts w:ascii="宋体" w:hAnsi="宋体" w:eastAsia="宋体" w:cs="Times New Roman"/>
                <w:b/>
                <w:color w:val="000000"/>
                <w:kern w:val="0"/>
                <w:sz w:val="20"/>
                <w:szCs w:val="20"/>
                <w:lang w:val="en-GB" w:eastAsia="zh-TW"/>
              </w:rPr>
              <w:t>3</w:t>
            </w:r>
          </w:p>
        </w:tc>
        <w:tc>
          <w:tcPr>
            <w:tcW w:w="858" w:type="pct"/>
            <w:shd w:val="clear" w:color="000000" w:fill="FFFFFF"/>
            <w:vAlign w:val="center"/>
          </w:tcPr>
          <w:p w14:paraId="1EA3BD09">
            <w:pPr>
              <w:widowControl/>
              <w:jc w:val="left"/>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eastAsia="zh-TW"/>
              </w:rPr>
              <w:t>合计</w:t>
            </w:r>
          </w:p>
        </w:tc>
        <w:tc>
          <w:tcPr>
            <w:tcW w:w="614" w:type="pct"/>
            <w:shd w:val="clear" w:color="000000" w:fill="FFFFFF"/>
            <w:vAlign w:val="center"/>
          </w:tcPr>
          <w:p w14:paraId="40FB11A7">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50.00</w:t>
            </w:r>
          </w:p>
        </w:tc>
        <w:tc>
          <w:tcPr>
            <w:tcW w:w="614" w:type="pct"/>
            <w:shd w:val="clear" w:color="000000" w:fill="FFFFFF"/>
            <w:vAlign w:val="center"/>
          </w:tcPr>
          <w:p w14:paraId="34847895">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474.35</w:t>
            </w:r>
          </w:p>
        </w:tc>
        <w:tc>
          <w:tcPr>
            <w:tcW w:w="616" w:type="pct"/>
            <w:shd w:val="clear" w:color="000000" w:fill="FFFFFF"/>
            <w:vAlign w:val="center"/>
          </w:tcPr>
          <w:p w14:paraId="210BF607">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8,500.00</w:t>
            </w:r>
          </w:p>
        </w:tc>
        <w:tc>
          <w:tcPr>
            <w:tcW w:w="669" w:type="pct"/>
            <w:shd w:val="clear" w:color="000000" w:fill="FFFFFF"/>
            <w:vAlign w:val="center"/>
          </w:tcPr>
          <w:p w14:paraId="3828F236">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32,994.96</w:t>
            </w:r>
          </w:p>
        </w:tc>
        <w:tc>
          <w:tcPr>
            <w:tcW w:w="669" w:type="pct"/>
            <w:shd w:val="clear" w:color="000000" w:fill="FFFFFF"/>
            <w:vAlign w:val="center"/>
          </w:tcPr>
          <w:p w14:paraId="6DEF0E1C">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29,868.17</w:t>
            </w:r>
          </w:p>
        </w:tc>
        <w:tc>
          <w:tcPr>
            <w:tcW w:w="619" w:type="pct"/>
            <w:shd w:val="clear" w:color="000000" w:fill="FFFFFF"/>
            <w:vAlign w:val="center"/>
          </w:tcPr>
          <w:p w14:paraId="0384EFC2">
            <w:pPr>
              <w:widowControl/>
              <w:jc w:val="right"/>
              <w:rPr>
                <w:rFonts w:hint="eastAsia" w:ascii="宋体" w:hAnsi="宋体" w:eastAsia="宋体" w:cs="Times New Roman"/>
                <w:b/>
                <w:bCs/>
                <w:color w:val="000000"/>
                <w:kern w:val="0"/>
                <w:sz w:val="20"/>
                <w:szCs w:val="20"/>
                <w:lang w:val="en-GB"/>
              </w:rPr>
            </w:pPr>
            <w:r>
              <w:rPr>
                <w:rFonts w:hint="eastAsia" w:ascii="宋体" w:hAnsi="宋体" w:eastAsia="宋体" w:cs="Times New Roman"/>
                <w:b/>
                <w:bCs/>
                <w:color w:val="000000"/>
                <w:kern w:val="0"/>
                <w:sz w:val="20"/>
                <w:szCs w:val="20"/>
                <w:lang w:val="en-GB"/>
              </w:rPr>
              <w:t>71,887.48</w:t>
            </w:r>
          </w:p>
        </w:tc>
      </w:tr>
    </w:tbl>
    <w:p w14:paraId="409C64A0">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ascii="宋体" w:hAnsi="宋体" w:eastAsia="宋体" w:cs="Times New Roman"/>
          <w:color w:val="000000"/>
          <w:kern w:val="0"/>
          <w:sz w:val="24"/>
          <w:szCs w:val="24"/>
          <w:lang w:val="en-US"/>
        </w:rPr>
        <w:t>基于以上投资计划、资金筹措安排，我们未发现本项目建设期内所需建设资金存在缺口的情况。</w:t>
      </w:r>
    </w:p>
    <w:p w14:paraId="5CBF333B">
      <w:pPr>
        <w:widowControl/>
        <w:spacing w:before="120" w:after="120" w:line="360" w:lineRule="auto"/>
        <w:ind w:firstLine="482" w:firstLineChars="200"/>
        <w:jc w:val="both"/>
        <w:outlineLvl w:val="2"/>
        <w:rPr>
          <w:rFonts w:hint="eastAsia" w:ascii="宋体" w:hAnsi="宋体" w:eastAsia="宋体" w:cs="Times New Roman"/>
          <w:b/>
          <w:bCs/>
          <w:color w:val="000000"/>
          <w:kern w:val="0"/>
          <w:sz w:val="24"/>
          <w:szCs w:val="24"/>
          <w:lang w:val="en-US"/>
        </w:rPr>
      </w:pPr>
      <w:bookmarkStart w:id="22" w:name="_Toc200555357"/>
      <w:bookmarkStart w:id="23" w:name="_Toc114818534"/>
      <w:bookmarkStart w:id="24" w:name="_Toc114818424"/>
      <w:r>
        <w:rPr>
          <w:rFonts w:ascii="宋体" w:hAnsi="宋体" w:eastAsia="宋体" w:cs="Times New Roman"/>
          <w:b/>
          <w:bCs/>
          <w:color w:val="000000"/>
          <w:kern w:val="0"/>
          <w:sz w:val="24"/>
          <w:szCs w:val="24"/>
          <w:lang w:val="en-US"/>
        </w:rPr>
        <w:t>3.资金覆盖</w:t>
      </w:r>
      <w:r>
        <w:rPr>
          <w:rFonts w:hint="eastAsia" w:ascii="宋体" w:hAnsi="宋体" w:eastAsia="宋体" w:cs="Times New Roman"/>
          <w:b/>
          <w:bCs/>
          <w:color w:val="000000"/>
          <w:kern w:val="0"/>
          <w:sz w:val="24"/>
          <w:szCs w:val="24"/>
          <w:lang w:val="en-US"/>
        </w:rPr>
        <w:t>情况</w:t>
      </w:r>
      <w:bookmarkEnd w:id="22"/>
      <w:bookmarkEnd w:id="23"/>
      <w:bookmarkEnd w:id="24"/>
    </w:p>
    <w:p w14:paraId="4A7C2580">
      <w:pPr>
        <w:widowControl/>
        <w:spacing w:line="360" w:lineRule="auto"/>
        <w:ind w:firstLine="480" w:firstLineChars="200"/>
        <w:jc w:val="left"/>
        <w:rPr>
          <w:rFonts w:hint="eastAsia" w:ascii="宋体" w:hAnsi="宋体" w:eastAsia="宋体" w:cs="Times New Roman"/>
          <w:kern w:val="0"/>
          <w:sz w:val="24"/>
          <w:szCs w:val="24"/>
          <w:lang w:val="en-GB"/>
        </w:rPr>
      </w:pPr>
      <w:r>
        <w:rPr>
          <w:rFonts w:hint="eastAsia" w:ascii="宋体" w:hAnsi="宋体" w:eastAsia="宋体" w:cs="Times New Roman"/>
          <w:color w:val="000000"/>
          <w:kern w:val="0"/>
          <w:sz w:val="24"/>
          <w:szCs w:val="24"/>
          <w:lang w:val="en-US"/>
        </w:rPr>
        <w:t>本项目2025年6月已调增专项债券</w:t>
      </w:r>
      <w:r>
        <w:rPr>
          <w:rFonts w:ascii="宋体" w:hAnsi="宋体" w:eastAsia="宋体" w:cs="Times New Roman"/>
          <w:color w:val="000000"/>
          <w:kern w:val="0"/>
          <w:sz w:val="24"/>
          <w:szCs w:val="24"/>
          <w:lang w:val="en-US"/>
        </w:rPr>
        <w:t>16,128.67</w:t>
      </w:r>
      <w:r>
        <w:rPr>
          <w:rFonts w:hint="eastAsia" w:ascii="宋体" w:hAnsi="宋体" w:eastAsia="宋体" w:cs="Times New Roman"/>
          <w:color w:val="000000"/>
          <w:kern w:val="0"/>
          <w:sz w:val="24"/>
          <w:szCs w:val="24"/>
          <w:lang w:val="en-US"/>
        </w:rPr>
        <w:t>万元，</w:t>
      </w:r>
      <w:r>
        <w:rPr>
          <w:rFonts w:hint="eastAsia" w:ascii="宋体" w:hAnsi="宋体" w:eastAsia="宋体" w:cs="Times New Roman"/>
          <w:kern w:val="0"/>
          <w:sz w:val="24"/>
          <w:szCs w:val="24"/>
          <w:lang w:val="en-GB"/>
        </w:rPr>
        <w:t>本次计划调增专项债券</w:t>
      </w:r>
      <w:r>
        <w:rPr>
          <w:rFonts w:ascii="宋体" w:hAnsi="宋体" w:eastAsia="宋体" w:cs="Times New Roman"/>
          <w:kern w:val="0"/>
          <w:sz w:val="24"/>
          <w:szCs w:val="24"/>
          <w:lang w:val="en-GB"/>
        </w:rPr>
        <w:t>500.00</w:t>
      </w:r>
      <w:r>
        <w:rPr>
          <w:rFonts w:hint="eastAsia" w:ascii="宋体" w:hAnsi="宋体" w:eastAsia="宋体" w:cs="Times New Roman"/>
          <w:kern w:val="0"/>
          <w:sz w:val="24"/>
          <w:szCs w:val="24"/>
          <w:lang w:val="en-GB"/>
        </w:rPr>
        <w:t>万</w:t>
      </w:r>
      <w:r>
        <w:rPr>
          <w:rFonts w:ascii="宋体" w:hAnsi="宋体" w:eastAsia="宋体" w:cs="Times New Roman"/>
          <w:kern w:val="0"/>
          <w:sz w:val="24"/>
          <w:szCs w:val="24"/>
          <w:lang w:val="en-GB"/>
        </w:rPr>
        <w:t>元。本息覆盖</w:t>
      </w:r>
      <w:r>
        <w:rPr>
          <w:rFonts w:hint="eastAsia" w:ascii="宋体" w:hAnsi="宋体" w:eastAsia="宋体" w:cs="Times New Roman"/>
          <w:kern w:val="0"/>
          <w:sz w:val="24"/>
          <w:szCs w:val="24"/>
          <w:lang w:val="en-GB"/>
        </w:rPr>
        <w:t>倍数</w:t>
      </w:r>
      <w:r>
        <w:rPr>
          <w:rFonts w:ascii="宋体" w:hAnsi="宋体" w:eastAsia="宋体" w:cs="Times New Roman"/>
          <w:kern w:val="0"/>
          <w:sz w:val="24"/>
          <w:szCs w:val="24"/>
          <w:lang w:val="en-GB"/>
        </w:rPr>
        <w:t>可达到</w:t>
      </w:r>
      <w:r>
        <w:rPr>
          <w:rFonts w:hint="eastAsia" w:ascii="宋体" w:hAnsi="宋体" w:eastAsia="宋体" w:cs="Times New Roman"/>
          <w:kern w:val="0"/>
          <w:sz w:val="24"/>
          <w:szCs w:val="24"/>
          <w:lang w:val="en-GB"/>
        </w:rPr>
        <w:t>1.30</w:t>
      </w:r>
      <w:r>
        <w:rPr>
          <w:rFonts w:ascii="宋体" w:hAnsi="宋体" w:eastAsia="宋体" w:cs="Times New Roman"/>
          <w:kern w:val="0"/>
          <w:sz w:val="24"/>
          <w:szCs w:val="24"/>
          <w:lang w:val="en-GB"/>
        </w:rPr>
        <w:t>，根据项目收益与融资平衡分析结果显示，本债券存续期内还本付息资金充足。</w:t>
      </w:r>
    </w:p>
    <w:p w14:paraId="03598072">
      <w:pPr>
        <w:widowControl/>
        <w:spacing w:line="360" w:lineRule="auto"/>
        <w:ind w:firstLine="480" w:firstLineChars="200"/>
        <w:jc w:val="left"/>
        <w:rPr>
          <w:rFonts w:hint="eastAsia" w:ascii="宋体" w:hAnsi="宋体" w:eastAsia="宋体" w:cs="Times New Roman"/>
          <w:color w:val="000000"/>
          <w:kern w:val="0"/>
          <w:sz w:val="24"/>
          <w:szCs w:val="24"/>
          <w:lang w:val="en-GB"/>
        </w:rPr>
      </w:pPr>
      <w:r>
        <w:rPr>
          <w:rFonts w:hint="eastAsia" w:ascii="宋体" w:hAnsi="宋体" w:eastAsia="宋体" w:cs="Times New Roman"/>
          <w:color w:val="000000"/>
          <w:kern w:val="0"/>
          <w:sz w:val="24"/>
          <w:szCs w:val="24"/>
          <w:lang w:val="en-GB"/>
        </w:rPr>
        <w:t>详见下表5、表6：</w:t>
      </w:r>
    </w:p>
    <w:p w14:paraId="6DB4B51E">
      <w:pPr>
        <w:widowControl/>
        <w:ind w:firstLine="482" w:firstLineChars="200"/>
        <w:jc w:val="center"/>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表5 海口江东新区产业发展配套基础设施项目（三期）本息覆盖倍数表</w:t>
      </w:r>
    </w:p>
    <w:p w14:paraId="4F026871">
      <w:pPr>
        <w:widowControl/>
        <w:ind w:right="-1" w:firstLine="360" w:firstLineChars="200"/>
        <w:jc w:val="right"/>
        <w:rPr>
          <w:rFonts w:hint="eastAsia" w:ascii="宋体" w:hAnsi="宋体" w:eastAsia="宋体" w:cs="Times New Roman"/>
          <w:kern w:val="0"/>
          <w:sz w:val="18"/>
          <w:szCs w:val="18"/>
          <w:lang w:val="en-GB"/>
        </w:rPr>
      </w:pPr>
      <w:r>
        <w:rPr>
          <w:rFonts w:hint="eastAsia" w:ascii="宋体" w:hAnsi="宋体" w:eastAsia="宋体" w:cs="Times New Roman"/>
          <w:kern w:val="0"/>
          <w:sz w:val="18"/>
          <w:szCs w:val="18"/>
          <w:lang w:val="en-GB"/>
        </w:rPr>
        <w:t>单位：人民币万元</w:t>
      </w:r>
    </w:p>
    <w:tbl>
      <w:tblPr>
        <w:tblStyle w:val="19"/>
        <w:tblW w:w="58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773"/>
        <w:gridCol w:w="1230"/>
        <w:gridCol w:w="1230"/>
        <w:gridCol w:w="1230"/>
        <w:gridCol w:w="1069"/>
        <w:gridCol w:w="835"/>
        <w:gridCol w:w="1114"/>
        <w:gridCol w:w="695"/>
        <w:gridCol w:w="697"/>
      </w:tblGrid>
      <w:tr w14:paraId="4078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6" w:hRule="atLeast"/>
          <w:tblHeader/>
          <w:jc w:val="center"/>
        </w:trPr>
        <w:tc>
          <w:tcPr>
            <w:tcW w:w="898" w:type="pct"/>
            <w:shd w:val="clear" w:color="auto" w:fill="D8D8D8"/>
            <w:noWrap/>
            <w:vAlign w:val="center"/>
          </w:tcPr>
          <w:p w14:paraId="30A7557A">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项目</w:t>
            </w:r>
          </w:p>
        </w:tc>
        <w:tc>
          <w:tcPr>
            <w:tcW w:w="623" w:type="pct"/>
            <w:shd w:val="clear" w:color="auto" w:fill="D8D8D8"/>
            <w:noWrap/>
            <w:vAlign w:val="center"/>
          </w:tcPr>
          <w:p w14:paraId="04BAAF5B">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调整后项目总投资</w:t>
            </w:r>
          </w:p>
        </w:tc>
        <w:tc>
          <w:tcPr>
            <w:tcW w:w="623" w:type="pct"/>
            <w:shd w:val="clear" w:color="auto" w:fill="D8D8D8"/>
            <w:noWrap/>
            <w:vAlign w:val="center"/>
          </w:tcPr>
          <w:p w14:paraId="2FA9E50A">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用于资金平衡的项目收益</w:t>
            </w:r>
          </w:p>
        </w:tc>
        <w:tc>
          <w:tcPr>
            <w:tcW w:w="623" w:type="pct"/>
            <w:shd w:val="clear" w:color="auto" w:fill="D8D8D8"/>
            <w:noWrap/>
            <w:vAlign w:val="center"/>
          </w:tcPr>
          <w:p w14:paraId="42DA6A72">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期末项目累计现金结存额</w:t>
            </w:r>
          </w:p>
        </w:tc>
        <w:tc>
          <w:tcPr>
            <w:tcW w:w="541" w:type="pct"/>
            <w:shd w:val="clear" w:color="auto" w:fill="D8D8D8"/>
            <w:vAlign w:val="center"/>
          </w:tcPr>
          <w:p w14:paraId="62FEF966">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已调增额度</w:t>
            </w:r>
          </w:p>
        </w:tc>
        <w:tc>
          <w:tcPr>
            <w:tcW w:w="423" w:type="pct"/>
            <w:shd w:val="clear" w:color="auto" w:fill="D8D8D8"/>
            <w:noWrap/>
            <w:vAlign w:val="center"/>
          </w:tcPr>
          <w:p w14:paraId="1633ED40">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本次调增额度</w:t>
            </w:r>
          </w:p>
        </w:tc>
        <w:tc>
          <w:tcPr>
            <w:tcW w:w="564" w:type="pct"/>
            <w:shd w:val="clear" w:color="auto" w:fill="D8D8D8"/>
            <w:noWrap/>
            <w:vAlign w:val="center"/>
          </w:tcPr>
          <w:p w14:paraId="33DB83F6">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债券本息合计</w:t>
            </w:r>
          </w:p>
        </w:tc>
        <w:tc>
          <w:tcPr>
            <w:tcW w:w="352" w:type="pct"/>
            <w:shd w:val="clear" w:color="auto" w:fill="D8D8D8"/>
            <w:noWrap/>
            <w:vAlign w:val="center"/>
          </w:tcPr>
          <w:p w14:paraId="47BCD397">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本息覆盖率</w:t>
            </w:r>
            <w:r>
              <w:rPr>
                <w:rFonts w:ascii="宋体" w:hAnsi="宋体" w:eastAsia="宋体" w:cs="Arial Unicode MS"/>
                <w:b/>
                <w:color w:val="000000"/>
                <w:kern w:val="0"/>
                <w:sz w:val="20"/>
                <w:szCs w:val="20"/>
                <w:vertAlign w:val="superscript"/>
                <w:lang w:val="en-GB"/>
              </w:rPr>
              <w:footnoteReference w:id="0"/>
            </w:r>
          </w:p>
        </w:tc>
        <w:tc>
          <w:tcPr>
            <w:tcW w:w="353" w:type="pct"/>
            <w:shd w:val="clear" w:color="auto" w:fill="D8D8D8"/>
            <w:noWrap/>
            <w:vAlign w:val="center"/>
          </w:tcPr>
          <w:p w14:paraId="5F6742D2">
            <w:pPr>
              <w:widowControl/>
              <w:jc w:val="center"/>
              <w:rPr>
                <w:rFonts w:hint="eastAsia" w:ascii="宋体" w:hAnsi="宋体" w:eastAsia="宋体" w:cs="Arial Unicode MS"/>
                <w:b/>
                <w:color w:val="000000"/>
                <w:kern w:val="0"/>
                <w:sz w:val="20"/>
                <w:szCs w:val="20"/>
                <w:lang w:val="en-GB"/>
              </w:rPr>
            </w:pPr>
            <w:r>
              <w:rPr>
                <w:rFonts w:hint="eastAsia" w:ascii="宋体" w:hAnsi="宋体" w:eastAsia="宋体" w:cs="Arial Unicode MS"/>
                <w:b/>
                <w:color w:val="000000"/>
                <w:kern w:val="0"/>
                <w:sz w:val="20"/>
                <w:szCs w:val="20"/>
                <w:lang w:val="en-GB"/>
              </w:rPr>
              <w:t>本息覆盖倍数</w:t>
            </w:r>
            <w:r>
              <w:rPr>
                <w:rFonts w:ascii="宋体" w:hAnsi="宋体" w:eastAsia="宋体" w:cs="Arial Unicode MS"/>
                <w:b/>
                <w:color w:val="000000"/>
                <w:kern w:val="0"/>
                <w:sz w:val="20"/>
                <w:szCs w:val="20"/>
                <w:vertAlign w:val="superscript"/>
                <w:lang w:val="en-GB"/>
              </w:rPr>
              <w:footnoteReference w:id="1"/>
            </w:r>
          </w:p>
        </w:tc>
      </w:tr>
      <w:tr w14:paraId="2414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6" w:hRule="atLeast"/>
          <w:jc w:val="center"/>
        </w:trPr>
        <w:tc>
          <w:tcPr>
            <w:tcW w:w="898" w:type="pct"/>
            <w:shd w:val="clear" w:color="auto" w:fill="auto"/>
            <w:noWrap/>
            <w:vAlign w:val="center"/>
          </w:tcPr>
          <w:p w14:paraId="14846498">
            <w:pPr>
              <w:widowControl/>
              <w:jc w:val="center"/>
              <w:rPr>
                <w:rFonts w:hint="eastAsia" w:ascii="宋体" w:hAnsi="宋体" w:eastAsia="宋体" w:cs="Arial Unicode MS"/>
                <w:color w:val="000000"/>
                <w:kern w:val="0"/>
                <w:sz w:val="20"/>
                <w:szCs w:val="20"/>
                <w:lang w:val="en-GB"/>
              </w:rPr>
            </w:pPr>
            <w:r>
              <w:rPr>
                <w:rFonts w:hint="eastAsia" w:ascii="宋体" w:hAnsi="宋体" w:eastAsia="宋体" w:cs="Arial Unicode MS"/>
                <w:color w:val="000000"/>
                <w:kern w:val="0"/>
                <w:sz w:val="20"/>
                <w:szCs w:val="20"/>
                <w:lang w:val="en-GB"/>
              </w:rPr>
              <w:t>海口江东新区产业发展配套基础设施项目（三期）</w:t>
            </w:r>
          </w:p>
        </w:tc>
        <w:tc>
          <w:tcPr>
            <w:tcW w:w="623" w:type="pct"/>
            <w:shd w:val="clear" w:color="auto" w:fill="auto"/>
            <w:noWrap/>
            <w:vAlign w:val="center"/>
          </w:tcPr>
          <w:p w14:paraId="6E040F93">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71,887.48</w:t>
            </w:r>
          </w:p>
        </w:tc>
        <w:tc>
          <w:tcPr>
            <w:tcW w:w="623" w:type="pct"/>
            <w:shd w:val="clear" w:color="auto" w:fill="auto"/>
            <w:noWrap/>
            <w:vAlign w:val="center"/>
          </w:tcPr>
          <w:p w14:paraId="429064C1">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26,312.67</w:t>
            </w:r>
          </w:p>
        </w:tc>
        <w:tc>
          <w:tcPr>
            <w:tcW w:w="623" w:type="pct"/>
            <w:shd w:val="clear" w:color="auto" w:fill="auto"/>
            <w:noWrap/>
            <w:vAlign w:val="center"/>
          </w:tcPr>
          <w:p w14:paraId="3FB6CA3E">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6,652.24</w:t>
            </w:r>
          </w:p>
        </w:tc>
        <w:tc>
          <w:tcPr>
            <w:tcW w:w="541" w:type="pct"/>
            <w:vAlign w:val="center"/>
          </w:tcPr>
          <w:p w14:paraId="1CACEF2A">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16,128.67</w:t>
            </w:r>
          </w:p>
        </w:tc>
        <w:tc>
          <w:tcPr>
            <w:tcW w:w="423" w:type="pct"/>
            <w:shd w:val="clear" w:color="auto" w:fill="auto"/>
            <w:noWrap/>
            <w:vAlign w:val="center"/>
          </w:tcPr>
          <w:p w14:paraId="5609DCC8">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500.00</w:t>
            </w:r>
          </w:p>
        </w:tc>
        <w:tc>
          <w:tcPr>
            <w:tcW w:w="564" w:type="pct"/>
            <w:shd w:val="clear" w:color="auto" w:fill="auto"/>
            <w:noWrap/>
            <w:vAlign w:val="center"/>
          </w:tcPr>
          <w:p w14:paraId="573E3713">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20,254.11</w:t>
            </w:r>
          </w:p>
        </w:tc>
        <w:tc>
          <w:tcPr>
            <w:tcW w:w="352" w:type="pct"/>
            <w:shd w:val="clear" w:color="auto" w:fill="auto"/>
            <w:noWrap/>
            <w:vAlign w:val="center"/>
          </w:tcPr>
          <w:p w14:paraId="03C6DD31">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1.33</w:t>
            </w:r>
          </w:p>
        </w:tc>
        <w:tc>
          <w:tcPr>
            <w:tcW w:w="353" w:type="pct"/>
            <w:shd w:val="clear" w:color="auto" w:fill="auto"/>
            <w:noWrap/>
            <w:vAlign w:val="center"/>
          </w:tcPr>
          <w:p w14:paraId="4F6CCB5F">
            <w:pPr>
              <w:widowControl/>
              <w:jc w:val="center"/>
              <w:rPr>
                <w:rFonts w:hint="eastAsia" w:ascii="宋体" w:hAnsi="宋体" w:eastAsia="宋体" w:cs="Arial Unicode MS"/>
                <w:color w:val="000000"/>
                <w:kern w:val="0"/>
                <w:sz w:val="20"/>
                <w:szCs w:val="20"/>
                <w:lang w:val="en-GB"/>
              </w:rPr>
            </w:pPr>
            <w:r>
              <w:rPr>
                <w:rFonts w:ascii="宋体" w:hAnsi="宋体" w:eastAsia="宋体" w:cs="Arial Unicode MS"/>
                <w:color w:val="000000"/>
                <w:kern w:val="0"/>
                <w:sz w:val="20"/>
                <w:szCs w:val="20"/>
                <w:lang w:val="en-GB"/>
              </w:rPr>
              <w:t>1.30</w:t>
            </w:r>
          </w:p>
        </w:tc>
      </w:tr>
    </w:tbl>
    <w:p w14:paraId="770C2D5B">
      <w:pPr>
        <w:widowControl/>
        <w:ind w:firstLine="482" w:firstLineChars="200"/>
        <w:jc w:val="center"/>
        <w:rPr>
          <w:rFonts w:hint="eastAsia" w:ascii="宋体" w:hAnsi="宋体" w:eastAsia="宋体" w:cs="Times New Roman"/>
          <w:b/>
          <w:kern w:val="0"/>
          <w:sz w:val="24"/>
          <w:szCs w:val="24"/>
          <w:lang w:val="en-GB"/>
        </w:rPr>
      </w:pPr>
    </w:p>
    <w:p w14:paraId="5DC0AEEC">
      <w:pPr>
        <w:widowControl/>
        <w:ind w:firstLine="482" w:firstLineChars="200"/>
        <w:jc w:val="center"/>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表6 海口江东新区产业发展配套基础设施项目（三期）现金流模拟测算表</w:t>
      </w:r>
    </w:p>
    <w:p w14:paraId="1C54E2A5">
      <w:pPr>
        <w:widowControl/>
        <w:ind w:right="-57" w:rightChars="-27" w:firstLine="360" w:firstLineChars="200"/>
        <w:jc w:val="right"/>
        <w:rPr>
          <w:rFonts w:hint="eastAsia" w:ascii="宋体" w:hAnsi="宋体" w:eastAsia="宋体" w:cs="Times New Roman"/>
          <w:kern w:val="0"/>
          <w:sz w:val="18"/>
          <w:szCs w:val="18"/>
          <w:lang w:val="en-GB"/>
        </w:rPr>
      </w:pPr>
      <w:r>
        <w:rPr>
          <w:rFonts w:ascii="宋体" w:hAnsi="宋体" w:eastAsia="宋体" w:cs="Times New Roman"/>
          <w:kern w:val="0"/>
          <w:sz w:val="18"/>
          <w:szCs w:val="18"/>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36"/>
        <w:gridCol w:w="1163"/>
        <w:gridCol w:w="1163"/>
        <w:gridCol w:w="1165"/>
        <w:gridCol w:w="1163"/>
        <w:gridCol w:w="1166"/>
      </w:tblGrid>
      <w:tr w14:paraId="3C1B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17" w:type="pct"/>
            <w:tcBorders>
              <w:top w:val="single" w:color="auto" w:sz="4" w:space="0"/>
              <w:left w:val="single" w:color="auto" w:sz="4" w:space="0"/>
              <w:bottom w:val="single" w:color="auto" w:sz="4" w:space="0"/>
              <w:right w:val="single" w:color="auto" w:sz="4" w:space="0"/>
            </w:tcBorders>
            <w:shd w:val="clear" w:color="auto" w:fill="D8D8D8"/>
            <w:vAlign w:val="center"/>
          </w:tcPr>
          <w:p w14:paraId="062E7EB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96" w:type="pct"/>
            <w:tcBorders>
              <w:top w:val="single" w:color="auto" w:sz="4" w:space="0"/>
              <w:left w:val="single" w:color="auto" w:sz="4" w:space="0"/>
              <w:bottom w:val="single" w:color="auto" w:sz="4" w:space="0"/>
              <w:right w:val="single" w:color="auto" w:sz="4" w:space="0"/>
            </w:tcBorders>
            <w:shd w:val="clear" w:color="auto" w:fill="D8D8D8"/>
          </w:tcPr>
          <w:p w14:paraId="477EAE1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w:t>
            </w:r>
            <w:r>
              <w:rPr>
                <w:rFonts w:ascii="宋体" w:hAnsi="宋体" w:eastAsia="宋体" w:cs="宋体"/>
                <w:b/>
                <w:bCs/>
                <w:color w:val="000000"/>
                <w:kern w:val="0"/>
                <w:sz w:val="20"/>
                <w:szCs w:val="20"/>
                <w:lang w:val="en-GB"/>
              </w:rPr>
              <w:t>022</w:t>
            </w:r>
          </w:p>
        </w:tc>
        <w:tc>
          <w:tcPr>
            <w:tcW w:w="696" w:type="pct"/>
            <w:tcBorders>
              <w:top w:val="single" w:color="auto" w:sz="4" w:space="0"/>
              <w:left w:val="single" w:color="auto" w:sz="4" w:space="0"/>
              <w:bottom w:val="single" w:color="auto" w:sz="4" w:space="0"/>
              <w:right w:val="single" w:color="auto" w:sz="4" w:space="0"/>
            </w:tcBorders>
            <w:shd w:val="clear" w:color="auto" w:fill="D8D8D8"/>
          </w:tcPr>
          <w:p w14:paraId="109930E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w:t>
            </w:r>
            <w:r>
              <w:rPr>
                <w:rFonts w:ascii="宋体" w:hAnsi="宋体" w:eastAsia="宋体" w:cs="宋体"/>
                <w:b/>
                <w:bCs/>
                <w:color w:val="000000"/>
                <w:kern w:val="0"/>
                <w:sz w:val="20"/>
                <w:szCs w:val="20"/>
                <w:lang w:val="en-GB"/>
              </w:rPr>
              <w:t>023</w:t>
            </w:r>
          </w:p>
        </w:tc>
        <w:tc>
          <w:tcPr>
            <w:tcW w:w="697" w:type="pct"/>
            <w:tcBorders>
              <w:top w:val="single" w:color="auto" w:sz="4" w:space="0"/>
              <w:left w:val="single" w:color="auto" w:sz="4" w:space="0"/>
              <w:bottom w:val="single" w:color="auto" w:sz="4" w:space="0"/>
              <w:right w:val="single" w:color="auto" w:sz="4" w:space="0"/>
            </w:tcBorders>
            <w:shd w:val="clear" w:color="auto" w:fill="D8D8D8"/>
            <w:vAlign w:val="center"/>
          </w:tcPr>
          <w:p w14:paraId="40C45E79">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2024</w:t>
            </w:r>
          </w:p>
        </w:tc>
        <w:tc>
          <w:tcPr>
            <w:tcW w:w="696" w:type="pct"/>
            <w:tcBorders>
              <w:top w:val="single" w:color="auto" w:sz="4" w:space="0"/>
              <w:left w:val="single" w:color="auto" w:sz="4" w:space="0"/>
              <w:bottom w:val="single" w:color="auto" w:sz="4" w:space="0"/>
              <w:right w:val="single" w:color="auto" w:sz="4" w:space="0"/>
            </w:tcBorders>
            <w:shd w:val="clear" w:color="auto" w:fill="D8D8D8"/>
            <w:vAlign w:val="center"/>
          </w:tcPr>
          <w:p w14:paraId="0050731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697" w:type="pct"/>
            <w:tcBorders>
              <w:top w:val="single" w:color="auto" w:sz="4" w:space="0"/>
              <w:left w:val="single" w:color="auto" w:sz="4" w:space="0"/>
              <w:bottom w:val="single" w:color="auto" w:sz="4" w:space="0"/>
              <w:right w:val="single" w:color="auto" w:sz="4" w:space="0"/>
            </w:tcBorders>
            <w:shd w:val="clear" w:color="auto" w:fill="D8D8D8"/>
            <w:vAlign w:val="center"/>
          </w:tcPr>
          <w:p w14:paraId="597EA233">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r>
      <w:tr w14:paraId="788D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7D93A919">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4C39D80A">
            <w:pPr>
              <w:widowControl/>
              <w:jc w:val="right"/>
              <w:rPr>
                <w:rFonts w:hint="eastAsia" w:ascii="宋体" w:hAnsi="宋体" w:eastAsia="宋体" w:cs="宋体"/>
                <w:b/>
                <w:bCs/>
                <w:color w:val="000000"/>
                <w:kern w:val="0"/>
                <w:sz w:val="20"/>
                <w:szCs w:val="20"/>
                <w:lang w:val="en-GB"/>
              </w:rPr>
            </w:pP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2D154D3E">
            <w:pPr>
              <w:widowControl/>
              <w:jc w:val="right"/>
              <w:rPr>
                <w:rFonts w:hint="eastAsia" w:ascii="宋体" w:hAnsi="宋体" w:eastAsia="宋体" w:cs="宋体"/>
                <w:b/>
                <w:bCs/>
                <w:color w:val="000000"/>
                <w:kern w:val="0"/>
                <w:sz w:val="20"/>
                <w:szCs w:val="20"/>
                <w:lang w:val="en-GB"/>
              </w:rPr>
            </w:pP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0C980545">
            <w:pPr>
              <w:widowControl/>
              <w:jc w:val="right"/>
              <w:rPr>
                <w:rFonts w:hint="eastAsia" w:ascii="宋体" w:hAnsi="宋体" w:eastAsia="宋体" w:cs="宋体"/>
                <w:b/>
                <w:bCs/>
                <w:color w:val="000000"/>
                <w:kern w:val="0"/>
                <w:sz w:val="20"/>
                <w:szCs w:val="20"/>
                <w:lang w:val="en-GB"/>
              </w:rPr>
            </w:pP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1FB3F63">
            <w:pPr>
              <w:widowControl/>
              <w:jc w:val="right"/>
              <w:rPr>
                <w:rFonts w:hint="eastAsia" w:ascii="宋体" w:hAnsi="宋体" w:eastAsia="宋体" w:cs="宋体"/>
                <w:b/>
                <w:bCs/>
                <w:color w:val="000000"/>
                <w:kern w:val="0"/>
                <w:sz w:val="20"/>
                <w:szCs w:val="20"/>
                <w:lang w:val="en-GB"/>
              </w:rPr>
            </w:pP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4A21837E">
            <w:pPr>
              <w:widowControl/>
              <w:jc w:val="right"/>
              <w:rPr>
                <w:rFonts w:hint="eastAsia" w:ascii="宋体" w:hAnsi="宋体" w:eastAsia="宋体" w:cs="宋体"/>
                <w:b/>
                <w:bCs/>
                <w:color w:val="000000"/>
                <w:kern w:val="0"/>
                <w:sz w:val="20"/>
                <w:szCs w:val="20"/>
                <w:lang w:val="en-GB"/>
              </w:rPr>
            </w:pPr>
          </w:p>
        </w:tc>
      </w:tr>
      <w:tr w14:paraId="69AA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67A123F1">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7DCBF9C7">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50.00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52ECFC87">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474.35</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5E11F17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8,500.00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15E07BC2">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16,366.29</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3365F281">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29,868.17</w:t>
            </w:r>
          </w:p>
        </w:tc>
      </w:tr>
      <w:tr w14:paraId="5AF7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03B0380A">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153015B5">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7E888E0C">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40BCB9BB">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EE09053">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16,628.67</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50F32061">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3047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62868F6C">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2ED89F4">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13D719A">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455CC3EF">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11EDECC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491FC2AC">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3352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1F27A46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2A8A0EB">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50.00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80D46DA">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474.35</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020239C1">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8,500.00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776BE45">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32,994.96</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3007F8FC">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29,868.17</w:t>
            </w:r>
          </w:p>
        </w:tc>
      </w:tr>
      <w:tr w14:paraId="2BD7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1B171273">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B77134D">
            <w:pPr>
              <w:widowControl/>
              <w:jc w:val="right"/>
              <w:rPr>
                <w:rFonts w:hint="eastAsia" w:ascii="宋体" w:hAnsi="宋体" w:eastAsia="宋体" w:cs="宋体"/>
                <w:b/>
                <w:bCs/>
                <w:color w:val="000000"/>
                <w:kern w:val="0"/>
                <w:sz w:val="20"/>
                <w:szCs w:val="20"/>
                <w:lang w:val="en-GB"/>
              </w:rPr>
            </w:pP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36AF9DF4">
            <w:pPr>
              <w:widowControl/>
              <w:jc w:val="right"/>
              <w:rPr>
                <w:rFonts w:hint="eastAsia" w:ascii="宋体" w:hAnsi="宋体" w:eastAsia="宋体" w:cs="宋体"/>
                <w:b/>
                <w:bCs/>
                <w:color w:val="000000"/>
                <w:kern w:val="0"/>
                <w:sz w:val="20"/>
                <w:szCs w:val="20"/>
                <w:lang w:val="en-GB"/>
              </w:rPr>
            </w:pP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192321E8">
            <w:pPr>
              <w:widowControl/>
              <w:jc w:val="right"/>
              <w:rPr>
                <w:rFonts w:hint="eastAsia" w:ascii="宋体" w:hAnsi="宋体" w:eastAsia="宋体" w:cs="宋体"/>
                <w:b/>
                <w:bCs/>
                <w:color w:val="000000"/>
                <w:kern w:val="0"/>
                <w:sz w:val="20"/>
                <w:szCs w:val="20"/>
                <w:lang w:val="en-GB"/>
              </w:rPr>
            </w:pP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7D8306C7">
            <w:pPr>
              <w:widowControl/>
              <w:jc w:val="right"/>
              <w:rPr>
                <w:rFonts w:hint="eastAsia" w:ascii="宋体" w:hAnsi="宋体" w:eastAsia="宋体" w:cs="宋体"/>
                <w:b/>
                <w:bCs/>
                <w:color w:val="000000"/>
                <w:kern w:val="0"/>
                <w:sz w:val="20"/>
                <w:szCs w:val="20"/>
                <w:lang w:val="en-GB"/>
              </w:rPr>
            </w:pP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5BE29EC9">
            <w:pPr>
              <w:widowControl/>
              <w:jc w:val="right"/>
              <w:rPr>
                <w:rFonts w:hint="eastAsia" w:ascii="宋体" w:hAnsi="宋体" w:eastAsia="宋体" w:cs="宋体"/>
                <w:b/>
                <w:bCs/>
                <w:color w:val="000000"/>
                <w:kern w:val="0"/>
                <w:sz w:val="20"/>
                <w:szCs w:val="20"/>
                <w:lang w:val="en-GB"/>
              </w:rPr>
            </w:pPr>
          </w:p>
        </w:tc>
      </w:tr>
      <w:tr w14:paraId="57671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41F5117A">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75287F1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50.00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42AAA6E5">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474.35</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3736E15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8,500.00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28C2BC73">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32,800.00</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41362D06">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29,469.45</w:t>
            </w:r>
          </w:p>
        </w:tc>
      </w:tr>
      <w:tr w14:paraId="5910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123ACA9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2F97EBA7">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DCB79DE">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75DD2614">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E6E29C4">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6370790B">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4B22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2C200AED">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78186012">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3C841D0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72DDE2AA">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48162FDC">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194.96</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6AFA0E94">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398.72</w:t>
            </w:r>
          </w:p>
        </w:tc>
      </w:tr>
      <w:tr w14:paraId="4773B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479EA158">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232D6AC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91D7B35">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68035A3A">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947442E">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2F55BE81">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6344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727BBFF7">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21B8F695">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50.00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1A9C0FA6">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474.35</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17535144">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8,500.00</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091598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32,994.96</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0A73A30E">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29,868.17</w:t>
            </w:r>
          </w:p>
        </w:tc>
      </w:tr>
      <w:tr w14:paraId="53FC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6E010E81">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773F7475">
            <w:pPr>
              <w:widowControl/>
              <w:jc w:val="right"/>
              <w:rPr>
                <w:rFonts w:hint="eastAsia" w:ascii="宋体" w:hAnsi="宋体" w:eastAsia="宋体" w:cs="宋体"/>
                <w:b/>
                <w:bCs/>
                <w:color w:val="000000"/>
                <w:kern w:val="0"/>
                <w:sz w:val="20"/>
                <w:szCs w:val="20"/>
                <w:lang w:val="en-GB"/>
              </w:rPr>
            </w:pP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14B13708">
            <w:pPr>
              <w:widowControl/>
              <w:jc w:val="right"/>
              <w:rPr>
                <w:rFonts w:hint="eastAsia" w:ascii="宋体" w:hAnsi="宋体" w:eastAsia="宋体" w:cs="宋体"/>
                <w:b/>
                <w:bCs/>
                <w:color w:val="000000"/>
                <w:kern w:val="0"/>
                <w:sz w:val="20"/>
                <w:szCs w:val="20"/>
                <w:lang w:val="en-GB"/>
              </w:rPr>
            </w:pP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7E4423E8">
            <w:pPr>
              <w:widowControl/>
              <w:jc w:val="right"/>
              <w:rPr>
                <w:rFonts w:hint="eastAsia" w:ascii="宋体" w:hAnsi="宋体" w:eastAsia="宋体" w:cs="宋体"/>
                <w:b/>
                <w:bCs/>
                <w:color w:val="000000"/>
                <w:kern w:val="0"/>
                <w:sz w:val="20"/>
                <w:szCs w:val="20"/>
                <w:lang w:val="en-GB"/>
              </w:rPr>
            </w:pP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4B42BE10">
            <w:pPr>
              <w:widowControl/>
              <w:jc w:val="right"/>
              <w:rPr>
                <w:rFonts w:hint="eastAsia" w:ascii="宋体" w:hAnsi="宋体" w:eastAsia="宋体" w:cs="宋体"/>
                <w:b/>
                <w:bCs/>
                <w:color w:val="000000"/>
                <w:kern w:val="0"/>
                <w:sz w:val="20"/>
                <w:szCs w:val="20"/>
                <w:lang w:val="en-GB"/>
              </w:rPr>
            </w:pP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49C426F2">
            <w:pPr>
              <w:widowControl/>
              <w:jc w:val="right"/>
              <w:rPr>
                <w:rFonts w:hint="eastAsia" w:ascii="宋体" w:hAnsi="宋体" w:eastAsia="宋体" w:cs="宋体"/>
                <w:b/>
                <w:bCs/>
                <w:color w:val="000000"/>
                <w:kern w:val="0"/>
                <w:sz w:val="20"/>
                <w:szCs w:val="20"/>
                <w:lang w:val="en-GB"/>
              </w:rPr>
            </w:pPr>
          </w:p>
        </w:tc>
      </w:tr>
      <w:tr w14:paraId="7551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1DDE44CA">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78B5FC3">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247DB203">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2B542CA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69B985EF">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0F41EA84">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w:t>
            </w:r>
          </w:p>
        </w:tc>
      </w:tr>
      <w:tr w14:paraId="4420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17" w:type="pct"/>
            <w:tcBorders>
              <w:top w:val="single" w:color="auto" w:sz="4" w:space="0"/>
              <w:left w:val="single" w:color="auto" w:sz="4" w:space="0"/>
              <w:bottom w:val="single" w:color="auto" w:sz="4" w:space="0"/>
              <w:right w:val="single" w:color="auto" w:sz="4" w:space="0"/>
            </w:tcBorders>
            <w:shd w:val="clear" w:color="auto" w:fill="FFFFFF"/>
            <w:vAlign w:val="center"/>
          </w:tcPr>
          <w:p w14:paraId="2E1CDE41">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09A87142">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57F1A45C">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14B9CE6D">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6" w:type="pct"/>
            <w:tcBorders>
              <w:top w:val="single" w:color="auto" w:sz="4" w:space="0"/>
              <w:left w:val="single" w:color="auto" w:sz="4" w:space="0"/>
              <w:bottom w:val="single" w:color="auto" w:sz="4" w:space="0"/>
              <w:right w:val="single" w:color="auto" w:sz="4" w:space="0"/>
            </w:tcBorders>
            <w:shd w:val="clear" w:color="auto" w:fill="FFFFFF"/>
          </w:tcPr>
          <w:p w14:paraId="4E502E9D">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c>
          <w:tcPr>
            <w:tcW w:w="697" w:type="pct"/>
            <w:tcBorders>
              <w:top w:val="single" w:color="auto" w:sz="4" w:space="0"/>
              <w:left w:val="single" w:color="auto" w:sz="4" w:space="0"/>
              <w:bottom w:val="single" w:color="auto" w:sz="4" w:space="0"/>
              <w:right w:val="single" w:color="auto" w:sz="4" w:space="0"/>
            </w:tcBorders>
            <w:shd w:val="clear" w:color="auto" w:fill="FFFFFF"/>
          </w:tcPr>
          <w:p w14:paraId="742924D7">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w:t>
            </w:r>
          </w:p>
        </w:tc>
      </w:tr>
    </w:tbl>
    <w:p w14:paraId="6CDA877B">
      <w:pPr>
        <w:widowControl/>
        <w:ind w:firstLine="402" w:firstLineChars="200"/>
        <w:jc w:val="center"/>
        <w:rPr>
          <w:rFonts w:hint="eastAsia" w:ascii="宋体" w:hAnsi="宋体" w:eastAsia="宋体" w:cs="Times New Roman"/>
          <w:b/>
          <w:kern w:val="0"/>
          <w:sz w:val="20"/>
          <w:szCs w:val="20"/>
          <w:lang w:val="en-GB"/>
        </w:rPr>
      </w:pPr>
    </w:p>
    <w:tbl>
      <w:tblPr>
        <w:tblStyle w:val="19"/>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661"/>
        <w:gridCol w:w="1133"/>
        <w:gridCol w:w="1127"/>
        <w:gridCol w:w="1120"/>
        <w:gridCol w:w="1158"/>
        <w:gridCol w:w="1159"/>
      </w:tblGrid>
      <w:tr w14:paraId="340F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tblHeader/>
          <w:jc w:val="center"/>
        </w:trPr>
        <w:tc>
          <w:tcPr>
            <w:tcW w:w="1592" w:type="pct"/>
            <w:tcBorders>
              <w:top w:val="single" w:color="auto" w:sz="4" w:space="0"/>
              <w:left w:val="single" w:color="auto" w:sz="4" w:space="0"/>
              <w:bottom w:val="single" w:color="auto" w:sz="4" w:space="0"/>
              <w:right w:val="single" w:color="auto" w:sz="4" w:space="0"/>
            </w:tcBorders>
            <w:shd w:val="clear" w:color="auto" w:fill="D8D8D8"/>
            <w:vAlign w:val="center"/>
          </w:tcPr>
          <w:p w14:paraId="3E7A72E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78" w:type="pct"/>
            <w:tcBorders>
              <w:top w:val="single" w:color="auto" w:sz="4" w:space="0"/>
              <w:left w:val="single" w:color="auto" w:sz="4" w:space="0"/>
              <w:bottom w:val="single" w:color="auto" w:sz="4" w:space="0"/>
              <w:right w:val="single" w:color="auto" w:sz="4" w:space="0"/>
            </w:tcBorders>
            <w:shd w:val="clear" w:color="auto" w:fill="D8D8D8"/>
            <w:vAlign w:val="center"/>
          </w:tcPr>
          <w:p w14:paraId="01AEF6A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674" w:type="pct"/>
            <w:tcBorders>
              <w:top w:val="single" w:color="auto" w:sz="4" w:space="0"/>
              <w:left w:val="single" w:color="auto" w:sz="4" w:space="0"/>
              <w:bottom w:val="single" w:color="auto" w:sz="4" w:space="0"/>
              <w:right w:val="single" w:color="auto" w:sz="4" w:space="0"/>
            </w:tcBorders>
            <w:shd w:val="clear" w:color="auto" w:fill="D8D8D8"/>
            <w:vAlign w:val="center"/>
          </w:tcPr>
          <w:p w14:paraId="0F95AE50">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670" w:type="pct"/>
            <w:tcBorders>
              <w:top w:val="single" w:color="auto" w:sz="4" w:space="0"/>
              <w:left w:val="single" w:color="auto" w:sz="4" w:space="0"/>
              <w:bottom w:val="single" w:color="auto" w:sz="4" w:space="0"/>
              <w:right w:val="single" w:color="auto" w:sz="4" w:space="0"/>
            </w:tcBorders>
            <w:shd w:val="clear" w:color="auto" w:fill="D8D8D8"/>
            <w:vAlign w:val="center"/>
          </w:tcPr>
          <w:p w14:paraId="5971FB5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693" w:type="pct"/>
            <w:tcBorders>
              <w:top w:val="single" w:color="auto" w:sz="4" w:space="0"/>
              <w:left w:val="single" w:color="auto" w:sz="4" w:space="0"/>
              <w:bottom w:val="single" w:color="auto" w:sz="4" w:space="0"/>
              <w:right w:val="single" w:color="auto" w:sz="4" w:space="0"/>
            </w:tcBorders>
            <w:shd w:val="clear" w:color="auto" w:fill="D8D8D8"/>
            <w:vAlign w:val="center"/>
          </w:tcPr>
          <w:p w14:paraId="7CBE310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c>
          <w:tcPr>
            <w:tcW w:w="693" w:type="pct"/>
            <w:tcBorders>
              <w:top w:val="single" w:color="auto" w:sz="4" w:space="0"/>
              <w:left w:val="single" w:color="auto" w:sz="4" w:space="0"/>
              <w:bottom w:val="single" w:color="auto" w:sz="4" w:space="0"/>
              <w:right w:val="single" w:color="auto" w:sz="4" w:space="0"/>
            </w:tcBorders>
            <w:shd w:val="clear" w:color="auto" w:fill="D8D8D8"/>
            <w:vAlign w:val="center"/>
          </w:tcPr>
          <w:p w14:paraId="3F4E479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2031</w:t>
            </w:r>
          </w:p>
        </w:tc>
      </w:tr>
      <w:tr w14:paraId="2441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7C5A957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7ED723C1">
            <w:pPr>
              <w:widowControl/>
              <w:jc w:val="right"/>
              <w:rPr>
                <w:rFonts w:hint="eastAsia" w:ascii="宋体" w:hAnsi="宋体" w:eastAsia="宋体" w:cs="宋体"/>
                <w:b/>
                <w:bCs/>
                <w:color w:val="000000"/>
                <w:kern w:val="0"/>
                <w:sz w:val="20"/>
                <w:szCs w:val="20"/>
                <w:lang w:val="en-GB"/>
              </w:rPr>
            </w:pP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6BEBBD4B">
            <w:pPr>
              <w:widowControl/>
              <w:jc w:val="right"/>
              <w:rPr>
                <w:rFonts w:hint="eastAsia" w:ascii="宋体" w:hAnsi="宋体" w:eastAsia="宋体" w:cs="宋体"/>
                <w:b/>
                <w:bCs/>
                <w:color w:val="000000"/>
                <w:kern w:val="0"/>
                <w:sz w:val="20"/>
                <w:szCs w:val="20"/>
                <w:lang w:val="en-GB"/>
              </w:rPr>
            </w:pP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4ABE4B39">
            <w:pPr>
              <w:widowControl/>
              <w:jc w:val="right"/>
              <w:rPr>
                <w:rFonts w:hint="eastAsia" w:ascii="宋体" w:hAnsi="宋体" w:eastAsia="宋体" w:cs="宋体"/>
                <w:b/>
                <w:bCs/>
                <w:color w:val="000000"/>
                <w:kern w:val="0"/>
                <w:sz w:val="20"/>
                <w:szCs w:val="20"/>
                <w:lang w:val="en-GB"/>
              </w:rPr>
            </w:pP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3FE84CAE">
            <w:pPr>
              <w:widowControl/>
              <w:jc w:val="right"/>
              <w:rPr>
                <w:rFonts w:hint="eastAsia" w:ascii="宋体" w:hAnsi="宋体" w:eastAsia="宋体" w:cs="宋体"/>
                <w:b/>
                <w:bCs/>
                <w:color w:val="000000"/>
                <w:kern w:val="0"/>
                <w:sz w:val="20"/>
                <w:szCs w:val="20"/>
                <w:lang w:val="en-GB"/>
              </w:rPr>
            </w:pP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0D4B3487">
            <w:pPr>
              <w:widowControl/>
              <w:jc w:val="right"/>
              <w:rPr>
                <w:rFonts w:hint="eastAsia" w:ascii="宋体" w:hAnsi="宋体" w:eastAsia="宋体" w:cs="宋体"/>
                <w:b/>
                <w:bCs/>
                <w:color w:val="000000"/>
                <w:kern w:val="0"/>
                <w:sz w:val="20"/>
                <w:szCs w:val="20"/>
                <w:lang w:val="en-GB"/>
              </w:rPr>
            </w:pPr>
          </w:p>
        </w:tc>
      </w:tr>
      <w:tr w14:paraId="5E06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2790C1F1">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3D6087F7">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30B30C42">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76C102E9">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2CB60E03">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184F2FF2">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7E3D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42125DD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7A515239">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1FB8040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7619635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5C181C0C">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7594FE6C">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4808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5DBF9251">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1A7C33B3">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6,702.00</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709BAAA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3,567.00</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5EDE09F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3,567.00</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5EC16CA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3,567.00</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783F3EBD">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3,567.00</w:t>
            </w:r>
          </w:p>
        </w:tc>
      </w:tr>
      <w:tr w14:paraId="1A77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1DEF1415">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6C421FC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6,702.00</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182516E6">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3,567.00</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209FF8E7">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3,567.00</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3E3663D7">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3,567.00</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6E7EB613">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3,567.00</w:t>
            </w:r>
          </w:p>
        </w:tc>
      </w:tr>
      <w:tr w14:paraId="3354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32AC1BF9">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1EB105CB">
            <w:pPr>
              <w:widowControl/>
              <w:jc w:val="right"/>
              <w:rPr>
                <w:rFonts w:hint="eastAsia" w:ascii="宋体" w:hAnsi="宋体" w:eastAsia="宋体" w:cs="宋体"/>
                <w:b/>
                <w:bCs/>
                <w:color w:val="000000"/>
                <w:kern w:val="0"/>
                <w:sz w:val="20"/>
                <w:szCs w:val="20"/>
                <w:lang w:val="en-GB"/>
              </w:rPr>
            </w:pP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3A027814">
            <w:pPr>
              <w:widowControl/>
              <w:jc w:val="right"/>
              <w:rPr>
                <w:rFonts w:hint="eastAsia" w:ascii="宋体" w:hAnsi="宋体" w:eastAsia="宋体" w:cs="宋体"/>
                <w:b/>
                <w:bCs/>
                <w:color w:val="000000"/>
                <w:kern w:val="0"/>
                <w:sz w:val="20"/>
                <w:szCs w:val="20"/>
                <w:lang w:val="en-GB"/>
              </w:rPr>
            </w:pP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3A948077">
            <w:pPr>
              <w:widowControl/>
              <w:jc w:val="right"/>
              <w:rPr>
                <w:rFonts w:hint="eastAsia" w:ascii="宋体" w:hAnsi="宋体" w:eastAsia="宋体" w:cs="宋体"/>
                <w:b/>
                <w:bCs/>
                <w:color w:val="000000"/>
                <w:kern w:val="0"/>
                <w:sz w:val="20"/>
                <w:szCs w:val="20"/>
                <w:lang w:val="en-GB"/>
              </w:rPr>
            </w:pP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060A4284">
            <w:pPr>
              <w:widowControl/>
              <w:jc w:val="right"/>
              <w:rPr>
                <w:rFonts w:hint="eastAsia" w:ascii="宋体" w:hAnsi="宋体" w:eastAsia="宋体" w:cs="宋体"/>
                <w:b/>
                <w:bCs/>
                <w:color w:val="000000"/>
                <w:kern w:val="0"/>
                <w:sz w:val="20"/>
                <w:szCs w:val="20"/>
                <w:lang w:val="en-GB"/>
              </w:rPr>
            </w:pP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161F3B58">
            <w:pPr>
              <w:widowControl/>
              <w:jc w:val="right"/>
              <w:rPr>
                <w:rFonts w:hint="eastAsia" w:ascii="宋体" w:hAnsi="宋体" w:eastAsia="宋体" w:cs="宋体"/>
                <w:b/>
                <w:bCs/>
                <w:color w:val="000000"/>
                <w:kern w:val="0"/>
                <w:sz w:val="20"/>
                <w:szCs w:val="20"/>
                <w:lang w:val="en-GB"/>
              </w:rPr>
            </w:pPr>
          </w:p>
        </w:tc>
      </w:tr>
      <w:tr w14:paraId="4BAA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39202519">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59E9C5F2">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487E13A7">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6C3126AA">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370C59DA">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1CF68BBB">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4C7E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0B20CB16">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5AA6531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1,688.37</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4610012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904.62</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16C54D3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904.62</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7B3798E1">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904.62</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04714EA0">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904.62</w:t>
            </w:r>
          </w:p>
        </w:tc>
      </w:tr>
      <w:tr w14:paraId="39C7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2B09BBD0">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7EB45B0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398.72</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566671D2">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398.72</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7D881EA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398.72</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65574DF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398.72</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6B97B923">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398.72</w:t>
            </w:r>
          </w:p>
        </w:tc>
      </w:tr>
      <w:tr w14:paraId="5E430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6DDACAAA">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1F59F851">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1A1ADE68">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01A3B4B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2EDCBB13">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5961D2B3">
            <w:pPr>
              <w:widowControl/>
              <w:jc w:val="right"/>
              <w:rPr>
                <w:rFonts w:hint="eastAsia" w:ascii="宋体" w:hAnsi="宋体" w:eastAsia="宋体" w:cs="Times New Roman"/>
                <w:color w:val="000000"/>
                <w:kern w:val="0"/>
                <w:sz w:val="20"/>
                <w:szCs w:val="20"/>
                <w:lang w:val="en-GB"/>
              </w:rPr>
            </w:pPr>
            <w:r>
              <w:rPr>
                <w:rFonts w:ascii="宋体" w:hAnsi="宋体" w:eastAsia="宋体" w:cs="Times New Roman"/>
                <w:kern w:val="0"/>
                <w:sz w:val="20"/>
                <w:szCs w:val="20"/>
                <w:lang w:val="en-GB"/>
              </w:rPr>
              <w:t>-</w:t>
            </w:r>
          </w:p>
        </w:tc>
      </w:tr>
      <w:tr w14:paraId="47BF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094FBB2E">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148D1EEE">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2,087.09</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2B1135EB">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1,303.34</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69A3F6A1">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1,303.34</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433CE27D">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1,303.34</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6B9A84E4">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1,303.34</w:t>
            </w:r>
          </w:p>
        </w:tc>
      </w:tr>
      <w:tr w14:paraId="0CB7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465AC9A3">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720B2C6C">
            <w:pPr>
              <w:widowControl/>
              <w:jc w:val="right"/>
              <w:rPr>
                <w:rFonts w:hint="eastAsia" w:ascii="宋体" w:hAnsi="宋体" w:eastAsia="宋体" w:cs="宋体"/>
                <w:b/>
                <w:bCs/>
                <w:color w:val="000000"/>
                <w:kern w:val="0"/>
                <w:sz w:val="20"/>
                <w:szCs w:val="20"/>
                <w:lang w:val="en-GB"/>
              </w:rPr>
            </w:pP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7F76A4CE">
            <w:pPr>
              <w:widowControl/>
              <w:jc w:val="right"/>
              <w:rPr>
                <w:rFonts w:hint="eastAsia" w:ascii="宋体" w:hAnsi="宋体" w:eastAsia="宋体" w:cs="宋体"/>
                <w:b/>
                <w:bCs/>
                <w:color w:val="000000"/>
                <w:kern w:val="0"/>
                <w:sz w:val="20"/>
                <w:szCs w:val="20"/>
                <w:lang w:val="en-GB"/>
              </w:rPr>
            </w:pP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45F4D937">
            <w:pPr>
              <w:widowControl/>
              <w:jc w:val="right"/>
              <w:rPr>
                <w:rFonts w:hint="eastAsia" w:ascii="宋体" w:hAnsi="宋体" w:eastAsia="宋体" w:cs="宋体"/>
                <w:b/>
                <w:bCs/>
                <w:color w:val="000000"/>
                <w:kern w:val="0"/>
                <w:sz w:val="20"/>
                <w:szCs w:val="20"/>
                <w:lang w:val="en-GB"/>
              </w:rPr>
            </w:pP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585BE780">
            <w:pPr>
              <w:widowControl/>
              <w:jc w:val="right"/>
              <w:rPr>
                <w:rFonts w:hint="eastAsia" w:ascii="宋体" w:hAnsi="宋体" w:eastAsia="宋体" w:cs="宋体"/>
                <w:b/>
                <w:bCs/>
                <w:color w:val="000000"/>
                <w:kern w:val="0"/>
                <w:sz w:val="20"/>
                <w:szCs w:val="20"/>
                <w:lang w:val="en-GB"/>
              </w:rPr>
            </w:pP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12FEC833">
            <w:pPr>
              <w:widowControl/>
              <w:jc w:val="right"/>
              <w:rPr>
                <w:rFonts w:hint="eastAsia" w:ascii="宋体" w:hAnsi="宋体" w:eastAsia="宋体" w:cs="宋体"/>
                <w:b/>
                <w:bCs/>
                <w:color w:val="000000"/>
                <w:kern w:val="0"/>
                <w:sz w:val="20"/>
                <w:szCs w:val="20"/>
                <w:lang w:val="en-GB"/>
              </w:rPr>
            </w:pPr>
          </w:p>
        </w:tc>
      </w:tr>
      <w:tr w14:paraId="2998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3EEF4881">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24EA42A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4,614.91</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69CBDC5E">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2,263.66</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2904E80E">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2,263.66</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0248320B">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2,263.66</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42E63372">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2,263.66</w:t>
            </w:r>
          </w:p>
        </w:tc>
      </w:tr>
      <w:tr w14:paraId="406D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592" w:type="pct"/>
            <w:tcBorders>
              <w:top w:val="single" w:color="auto" w:sz="4" w:space="0"/>
              <w:left w:val="single" w:color="auto" w:sz="4" w:space="0"/>
              <w:bottom w:val="single" w:color="auto" w:sz="4" w:space="0"/>
              <w:right w:val="single" w:color="auto" w:sz="4" w:space="0"/>
            </w:tcBorders>
            <w:shd w:val="clear" w:color="auto" w:fill="FFFFFF"/>
            <w:vAlign w:val="center"/>
          </w:tcPr>
          <w:p w14:paraId="0A55493D">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678" w:type="pct"/>
            <w:tcBorders>
              <w:top w:val="single" w:color="auto" w:sz="4" w:space="0"/>
              <w:left w:val="single" w:color="auto" w:sz="4" w:space="0"/>
              <w:bottom w:val="single" w:color="auto" w:sz="4" w:space="0"/>
              <w:right w:val="single" w:color="auto" w:sz="4" w:space="0"/>
            </w:tcBorders>
            <w:shd w:val="clear" w:color="auto" w:fill="FFFFFF"/>
          </w:tcPr>
          <w:p w14:paraId="45BC299A">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4,614.91</w:t>
            </w:r>
          </w:p>
        </w:tc>
        <w:tc>
          <w:tcPr>
            <w:tcW w:w="674" w:type="pct"/>
            <w:tcBorders>
              <w:top w:val="single" w:color="auto" w:sz="4" w:space="0"/>
              <w:left w:val="single" w:color="auto" w:sz="4" w:space="0"/>
              <w:bottom w:val="single" w:color="auto" w:sz="4" w:space="0"/>
              <w:right w:val="single" w:color="auto" w:sz="4" w:space="0"/>
            </w:tcBorders>
            <w:shd w:val="clear" w:color="auto" w:fill="FFFFFF"/>
          </w:tcPr>
          <w:p w14:paraId="3FC0C8F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6,878.57</w:t>
            </w:r>
          </w:p>
        </w:tc>
        <w:tc>
          <w:tcPr>
            <w:tcW w:w="670" w:type="pct"/>
            <w:tcBorders>
              <w:top w:val="single" w:color="auto" w:sz="4" w:space="0"/>
              <w:left w:val="single" w:color="auto" w:sz="4" w:space="0"/>
              <w:bottom w:val="single" w:color="auto" w:sz="4" w:space="0"/>
              <w:right w:val="single" w:color="auto" w:sz="4" w:space="0"/>
            </w:tcBorders>
            <w:shd w:val="clear" w:color="auto" w:fill="FFFFFF"/>
          </w:tcPr>
          <w:p w14:paraId="469B87BE">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9,142.23</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498895C3">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11,405.89</w:t>
            </w:r>
          </w:p>
        </w:tc>
        <w:tc>
          <w:tcPr>
            <w:tcW w:w="693" w:type="pct"/>
            <w:tcBorders>
              <w:top w:val="single" w:color="auto" w:sz="4" w:space="0"/>
              <w:left w:val="single" w:color="auto" w:sz="4" w:space="0"/>
              <w:bottom w:val="single" w:color="auto" w:sz="4" w:space="0"/>
              <w:right w:val="single" w:color="auto" w:sz="4" w:space="0"/>
            </w:tcBorders>
            <w:shd w:val="clear" w:color="auto" w:fill="FFFFFF"/>
          </w:tcPr>
          <w:p w14:paraId="1F8CAAAB">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13,669.55</w:t>
            </w:r>
          </w:p>
        </w:tc>
      </w:tr>
    </w:tbl>
    <w:p w14:paraId="6B0F87DB">
      <w:pPr>
        <w:widowControl/>
        <w:ind w:firstLine="402" w:firstLineChars="200"/>
        <w:jc w:val="center"/>
        <w:rPr>
          <w:rFonts w:hint="eastAsia" w:ascii="宋体" w:hAnsi="宋体" w:eastAsia="宋体" w:cs="Times New Roman"/>
          <w:b/>
          <w:kern w:val="0"/>
          <w:sz w:val="20"/>
          <w:szCs w:val="20"/>
          <w:lang w:val="en-GB"/>
        </w:rPr>
      </w:pP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78"/>
        <w:gridCol w:w="1226"/>
        <w:gridCol w:w="1227"/>
        <w:gridCol w:w="1227"/>
        <w:gridCol w:w="1227"/>
        <w:gridCol w:w="1225"/>
      </w:tblGrid>
      <w:tr w14:paraId="66E6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tblHeader/>
          <w:jc w:val="center"/>
        </w:trPr>
        <w:tc>
          <w:tcPr>
            <w:tcW w:w="1311" w:type="pct"/>
            <w:tcBorders>
              <w:top w:val="single" w:color="auto" w:sz="4" w:space="0"/>
              <w:left w:val="single" w:color="auto" w:sz="4" w:space="0"/>
              <w:bottom w:val="single" w:color="auto" w:sz="4" w:space="0"/>
              <w:right w:val="single" w:color="auto" w:sz="4" w:space="0"/>
            </w:tcBorders>
            <w:shd w:val="clear" w:color="auto" w:fill="D8D8D8"/>
            <w:vAlign w:val="center"/>
          </w:tcPr>
          <w:p w14:paraId="263603BC">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738" w:type="pct"/>
            <w:tcBorders>
              <w:top w:val="single" w:color="auto" w:sz="4" w:space="0"/>
              <w:left w:val="single" w:color="auto" w:sz="4" w:space="0"/>
              <w:bottom w:val="single" w:color="auto" w:sz="4" w:space="0"/>
              <w:right w:val="single" w:color="auto" w:sz="4" w:space="0"/>
            </w:tcBorders>
            <w:shd w:val="clear" w:color="auto" w:fill="D8D8D8"/>
            <w:vAlign w:val="center"/>
          </w:tcPr>
          <w:p w14:paraId="7E2BF9D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2032</w:t>
            </w:r>
          </w:p>
        </w:tc>
        <w:tc>
          <w:tcPr>
            <w:tcW w:w="738" w:type="pct"/>
            <w:tcBorders>
              <w:top w:val="single" w:color="auto" w:sz="4" w:space="0"/>
              <w:left w:val="single" w:color="auto" w:sz="4" w:space="0"/>
              <w:bottom w:val="single" w:color="auto" w:sz="4" w:space="0"/>
              <w:right w:val="single" w:color="auto" w:sz="4" w:space="0"/>
            </w:tcBorders>
            <w:shd w:val="clear" w:color="auto" w:fill="D8D8D8"/>
            <w:vAlign w:val="center"/>
          </w:tcPr>
          <w:p w14:paraId="11200FF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2033</w:t>
            </w:r>
          </w:p>
        </w:tc>
        <w:tc>
          <w:tcPr>
            <w:tcW w:w="738" w:type="pct"/>
            <w:tcBorders>
              <w:top w:val="single" w:color="auto" w:sz="4" w:space="0"/>
              <w:left w:val="single" w:color="auto" w:sz="4" w:space="0"/>
              <w:bottom w:val="single" w:color="auto" w:sz="4" w:space="0"/>
              <w:right w:val="single" w:color="auto" w:sz="4" w:space="0"/>
            </w:tcBorders>
            <w:shd w:val="clear" w:color="auto" w:fill="D8D8D8"/>
          </w:tcPr>
          <w:p w14:paraId="6296CB0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2034</w:t>
            </w:r>
          </w:p>
        </w:tc>
        <w:tc>
          <w:tcPr>
            <w:tcW w:w="738" w:type="pct"/>
            <w:tcBorders>
              <w:top w:val="single" w:color="auto" w:sz="4" w:space="0"/>
              <w:left w:val="single" w:color="auto" w:sz="4" w:space="0"/>
              <w:bottom w:val="single" w:color="auto" w:sz="4" w:space="0"/>
              <w:right w:val="single" w:color="auto" w:sz="4" w:space="0"/>
            </w:tcBorders>
            <w:shd w:val="clear" w:color="auto" w:fill="D8D8D8"/>
          </w:tcPr>
          <w:p w14:paraId="3778DF4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2035</w:t>
            </w:r>
          </w:p>
        </w:tc>
        <w:tc>
          <w:tcPr>
            <w:tcW w:w="737" w:type="pct"/>
            <w:tcBorders>
              <w:top w:val="single" w:color="auto" w:sz="4" w:space="0"/>
              <w:left w:val="single" w:color="auto" w:sz="4" w:space="0"/>
              <w:bottom w:val="single" w:color="auto" w:sz="4" w:space="0"/>
              <w:right w:val="single" w:color="auto" w:sz="4" w:space="0"/>
            </w:tcBorders>
            <w:shd w:val="clear" w:color="auto" w:fill="D8D8D8"/>
            <w:vAlign w:val="center"/>
          </w:tcPr>
          <w:p w14:paraId="0C3A8CE8">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合计</w:t>
            </w:r>
          </w:p>
        </w:tc>
      </w:tr>
      <w:tr w14:paraId="2CD7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5FBA78E7">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B739185">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357E4CD">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25277DC">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73CA5EE0">
            <w:pPr>
              <w:widowControl/>
              <w:jc w:val="right"/>
              <w:rPr>
                <w:rFonts w:hint="eastAsia" w:ascii="宋体" w:hAnsi="宋体" w:eastAsia="宋体" w:cs="宋体"/>
                <w:b/>
                <w:bCs/>
                <w:color w:val="000000"/>
                <w:kern w:val="0"/>
                <w:sz w:val="20"/>
                <w:szCs w:val="20"/>
                <w:lang w:val="en-GB"/>
              </w:rPr>
            </w:pP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69E231F3">
            <w:pPr>
              <w:widowControl/>
              <w:jc w:val="right"/>
              <w:rPr>
                <w:rFonts w:hint="eastAsia" w:ascii="宋体" w:hAnsi="宋体" w:eastAsia="宋体" w:cs="宋体"/>
                <w:b/>
                <w:bCs/>
                <w:color w:val="000000"/>
                <w:kern w:val="0"/>
                <w:sz w:val="20"/>
                <w:szCs w:val="20"/>
                <w:lang w:val="en-GB"/>
              </w:rPr>
            </w:pPr>
          </w:p>
        </w:tc>
      </w:tr>
      <w:tr w14:paraId="0334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047E49BA">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自筹资金流入</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91A4A21">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BF01C62">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1976DA9">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78AB79EB">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621819A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55,258.81</w:t>
            </w:r>
          </w:p>
        </w:tc>
      </w:tr>
      <w:tr w14:paraId="29DF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7DD3513C">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本期债券资金流入</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38276D7">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590FB8B">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E847441">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466A525">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6F0F984F">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16,628.67</w:t>
            </w:r>
          </w:p>
        </w:tc>
      </w:tr>
      <w:tr w14:paraId="1843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321C1E7E">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运营期现金流入</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BCC33CA">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3,567.00</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64718AB">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3,567.00</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62CE6E1">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3,567.00</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C754043">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3,567.00</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58ED14E6">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35,238.00</w:t>
            </w:r>
          </w:p>
        </w:tc>
      </w:tr>
      <w:tr w14:paraId="6E61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10157712">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现金流入总额</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79EB1F4">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3,567.00</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27722D3">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3,567.00</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E819BBB">
            <w:pPr>
              <w:widowControl/>
              <w:jc w:val="right"/>
              <w:rPr>
                <w:rFonts w:hint="eastAsia" w:ascii="宋体" w:hAnsi="宋体" w:eastAsia="宋体" w:cs="Arial"/>
                <w:b/>
                <w:bCs/>
                <w:color w:val="000000"/>
                <w:kern w:val="0"/>
                <w:sz w:val="20"/>
                <w:szCs w:val="20"/>
                <w:lang w:val="en-GB"/>
              </w:rPr>
            </w:pPr>
            <w:r>
              <w:rPr>
                <w:rFonts w:ascii="宋体" w:hAnsi="宋体" w:eastAsia="宋体" w:cs="Times New Roman"/>
                <w:b/>
                <w:bCs/>
                <w:kern w:val="0"/>
                <w:sz w:val="20"/>
                <w:szCs w:val="20"/>
                <w:lang w:val="en-GB"/>
              </w:rPr>
              <w:t>3,567.00</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8878E2E">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3,567.00</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60C6ACB0">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107,125.48</w:t>
            </w:r>
          </w:p>
        </w:tc>
      </w:tr>
      <w:tr w14:paraId="4EA8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3692FFD7">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242A655">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005E31E">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C65104D">
            <w:pPr>
              <w:widowControl/>
              <w:jc w:val="right"/>
              <w:rPr>
                <w:rFonts w:hint="eastAsia" w:ascii="宋体" w:hAnsi="宋体" w:eastAsia="宋体" w:cs="Arial"/>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0CA5F33">
            <w:pPr>
              <w:widowControl/>
              <w:jc w:val="right"/>
              <w:rPr>
                <w:rFonts w:hint="eastAsia" w:ascii="宋体" w:hAnsi="宋体" w:eastAsia="宋体" w:cs="Times New Roman"/>
                <w:b/>
                <w:bCs/>
                <w:color w:val="000000"/>
                <w:kern w:val="0"/>
                <w:sz w:val="20"/>
                <w:szCs w:val="20"/>
                <w:lang w:val="en-GB"/>
              </w:rPr>
            </w:pP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22D02D58">
            <w:pPr>
              <w:widowControl/>
              <w:jc w:val="right"/>
              <w:rPr>
                <w:rFonts w:hint="eastAsia" w:ascii="宋体" w:hAnsi="宋体" w:eastAsia="宋体" w:cs="宋体"/>
                <w:b/>
                <w:bCs/>
                <w:color w:val="000000"/>
                <w:kern w:val="0"/>
                <w:sz w:val="20"/>
                <w:szCs w:val="20"/>
                <w:lang w:val="en-GB"/>
              </w:rPr>
            </w:pPr>
          </w:p>
        </w:tc>
      </w:tr>
      <w:tr w14:paraId="4717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729562A2">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建设期资金流出</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C803C7F">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E4EFBD4">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D596679">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8F9FEB4">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1D48420B">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71,293.80</w:t>
            </w:r>
          </w:p>
        </w:tc>
      </w:tr>
      <w:tr w14:paraId="761F5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3A108D6B">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运营期现金流出</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DF94F4D">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904.62</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78519B09">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904.62</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4BC6CBF">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904.62</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EA8B9BE">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904.62</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76618B98">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8,925.33</w:t>
            </w:r>
          </w:p>
        </w:tc>
      </w:tr>
      <w:tr w14:paraId="05AD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0A84EC25">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债券还本付息</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9A00D4F">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398.72</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5E75FFF1">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398.72</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EC1B107">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14,746.51</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406A5C9">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2,122.88</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5C794101">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20,254.11</w:t>
            </w:r>
          </w:p>
        </w:tc>
      </w:tr>
      <w:tr w14:paraId="2E8D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3C127024">
            <w:pPr>
              <w:widowControl/>
              <w:jc w:val="left"/>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债券发行费用</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E648E76">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A658B7C">
            <w:pPr>
              <w:widowControl/>
              <w:jc w:val="right"/>
              <w:rPr>
                <w:rFonts w:hint="eastAsia" w:ascii="宋体" w:hAnsi="宋体" w:eastAsia="宋体" w:cs="宋体"/>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1795C68">
            <w:pPr>
              <w:widowControl/>
              <w:jc w:val="right"/>
              <w:rPr>
                <w:rFonts w:hint="eastAsia" w:ascii="宋体" w:hAnsi="宋体" w:eastAsia="宋体" w:cs="Arial"/>
                <w:b/>
                <w:bCs/>
                <w:color w:val="000000"/>
                <w:kern w:val="0"/>
                <w:sz w:val="20"/>
                <w:szCs w:val="20"/>
                <w:lang w:val="en-GB"/>
              </w:rPr>
            </w:pPr>
            <w:r>
              <w:rPr>
                <w:rFonts w:ascii="宋体" w:hAnsi="宋体" w:eastAsia="宋体" w:cs="Times New Roman"/>
                <w:kern w:val="0"/>
                <w:sz w:val="20"/>
                <w:szCs w:val="20"/>
                <w:lang w:val="en-GB"/>
              </w:rPr>
              <w:t>-</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57B496D">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kern w:val="0"/>
                <w:sz w:val="20"/>
                <w:szCs w:val="20"/>
                <w:lang w:val="en-GB"/>
              </w:rPr>
              <w:t>-</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4B296D65">
            <w:pPr>
              <w:widowControl/>
              <w:jc w:val="right"/>
              <w:rPr>
                <w:rFonts w:hint="eastAsia" w:ascii="宋体" w:hAnsi="宋体" w:eastAsia="宋体" w:cs="宋体"/>
                <w:b/>
                <w:bCs/>
                <w:color w:val="000000"/>
                <w:kern w:val="0"/>
                <w:sz w:val="20"/>
                <w:szCs w:val="20"/>
                <w:lang w:val="en-GB"/>
              </w:rPr>
            </w:pPr>
            <w:r>
              <w:rPr>
                <w:rFonts w:ascii="宋体" w:hAnsi="宋体" w:eastAsia="宋体" w:cs="Times New Roman"/>
                <w:kern w:val="0"/>
                <w:sz w:val="20"/>
                <w:szCs w:val="20"/>
                <w:lang w:val="en-GB"/>
              </w:rPr>
              <w:t>-</w:t>
            </w:r>
          </w:p>
        </w:tc>
      </w:tr>
      <w:tr w14:paraId="689C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08BDC62C">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现金流出总额</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74F13501">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1,303.34</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0474405F">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1,303.34</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E1757EF">
            <w:pPr>
              <w:widowControl/>
              <w:jc w:val="right"/>
              <w:rPr>
                <w:rFonts w:hint="eastAsia" w:ascii="宋体" w:hAnsi="宋体" w:eastAsia="宋体" w:cs="Arial"/>
                <w:b/>
                <w:bCs/>
                <w:color w:val="000000"/>
                <w:kern w:val="0"/>
                <w:sz w:val="20"/>
                <w:szCs w:val="20"/>
                <w:lang w:val="en-GB"/>
              </w:rPr>
            </w:pPr>
            <w:r>
              <w:rPr>
                <w:rFonts w:ascii="宋体" w:hAnsi="宋体" w:eastAsia="宋体" w:cs="Times New Roman"/>
                <w:b/>
                <w:bCs/>
                <w:kern w:val="0"/>
                <w:sz w:val="20"/>
                <w:szCs w:val="20"/>
                <w:lang w:val="en-GB"/>
              </w:rPr>
              <w:t>15,651.13</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1F8456B">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3,027.50</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41FE2A76">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100,473.24</w:t>
            </w:r>
          </w:p>
        </w:tc>
      </w:tr>
      <w:tr w14:paraId="377F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1327E472">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现金净流量</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7F93D19">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249AAF4">
            <w:pPr>
              <w:widowControl/>
              <w:jc w:val="right"/>
              <w:rPr>
                <w:rFonts w:hint="eastAsia" w:ascii="宋体" w:hAnsi="宋体" w:eastAsia="宋体" w:cs="宋体"/>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E2BA000">
            <w:pPr>
              <w:widowControl/>
              <w:jc w:val="right"/>
              <w:rPr>
                <w:rFonts w:hint="eastAsia" w:ascii="宋体" w:hAnsi="宋体" w:eastAsia="宋体" w:cs="Arial"/>
                <w:b/>
                <w:bCs/>
                <w:color w:val="000000"/>
                <w:kern w:val="0"/>
                <w:sz w:val="20"/>
                <w:szCs w:val="20"/>
                <w:lang w:val="en-GB"/>
              </w:rPr>
            </w:pP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0ADC86A7">
            <w:pPr>
              <w:widowControl/>
              <w:jc w:val="right"/>
              <w:rPr>
                <w:rFonts w:hint="eastAsia" w:ascii="宋体" w:hAnsi="宋体" w:eastAsia="宋体" w:cs="宋体"/>
                <w:b/>
                <w:bCs/>
                <w:color w:val="000000"/>
                <w:kern w:val="0"/>
                <w:sz w:val="20"/>
                <w:szCs w:val="20"/>
                <w:lang w:val="en-GB"/>
              </w:rPr>
            </w:pP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5B0CFF52">
            <w:pPr>
              <w:widowControl/>
              <w:jc w:val="right"/>
              <w:rPr>
                <w:rFonts w:hint="eastAsia" w:ascii="宋体" w:hAnsi="宋体" w:eastAsia="宋体" w:cs="宋体"/>
                <w:b/>
                <w:bCs/>
                <w:color w:val="000000"/>
                <w:kern w:val="0"/>
                <w:sz w:val="20"/>
                <w:szCs w:val="20"/>
                <w:lang w:val="en-GB"/>
              </w:rPr>
            </w:pPr>
          </w:p>
        </w:tc>
      </w:tr>
      <w:tr w14:paraId="3BC6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41D7D883">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当年项目现金净流入</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320D700C">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2,263.66</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77241CE1">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2,263.66</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6A67C81F">
            <w:pPr>
              <w:widowControl/>
              <w:jc w:val="right"/>
              <w:rPr>
                <w:rFonts w:hint="eastAsia" w:ascii="宋体" w:hAnsi="宋体" w:eastAsia="宋体" w:cs="Arial"/>
                <w:b/>
                <w:bCs/>
                <w:color w:val="000000"/>
                <w:kern w:val="0"/>
                <w:sz w:val="20"/>
                <w:szCs w:val="20"/>
                <w:lang w:val="en-GB"/>
              </w:rPr>
            </w:pPr>
            <w:r>
              <w:rPr>
                <w:rFonts w:ascii="宋体" w:hAnsi="宋体" w:eastAsia="宋体" w:cs="Times New Roman"/>
                <w:b/>
                <w:bCs/>
                <w:kern w:val="0"/>
                <w:sz w:val="20"/>
                <w:szCs w:val="20"/>
                <w:lang w:val="en-GB"/>
              </w:rPr>
              <w:t>-12,084.13</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108D57D2">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539.50</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4702AC27">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r>
      <w:tr w14:paraId="1C75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 w:hRule="atLeast"/>
          <w:jc w:val="center"/>
        </w:trPr>
        <w:tc>
          <w:tcPr>
            <w:tcW w:w="1311" w:type="pct"/>
            <w:tcBorders>
              <w:top w:val="single" w:color="auto" w:sz="4" w:space="0"/>
              <w:left w:val="single" w:color="auto" w:sz="4" w:space="0"/>
              <w:bottom w:val="single" w:color="auto" w:sz="4" w:space="0"/>
              <w:right w:val="single" w:color="auto" w:sz="4" w:space="0"/>
            </w:tcBorders>
            <w:shd w:val="clear" w:color="auto" w:fill="FFFFFF"/>
            <w:vAlign w:val="center"/>
          </w:tcPr>
          <w:p w14:paraId="5F337F5A">
            <w:pPr>
              <w:widowControl/>
              <w:jc w:val="left"/>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期末项目累计现金结存额</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20D4E6C0">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15,933.21</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0EA9A5F9">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18,196.87</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4BD31F59">
            <w:pPr>
              <w:widowControl/>
              <w:jc w:val="right"/>
              <w:rPr>
                <w:rFonts w:hint="eastAsia" w:ascii="宋体" w:hAnsi="宋体" w:eastAsia="宋体" w:cs="Arial"/>
                <w:b/>
                <w:bCs/>
                <w:color w:val="000000"/>
                <w:kern w:val="0"/>
                <w:sz w:val="20"/>
                <w:szCs w:val="20"/>
                <w:lang w:val="en-GB"/>
              </w:rPr>
            </w:pPr>
            <w:r>
              <w:rPr>
                <w:rFonts w:ascii="宋体" w:hAnsi="宋体" w:eastAsia="宋体" w:cs="Times New Roman"/>
                <w:b/>
                <w:bCs/>
                <w:kern w:val="0"/>
                <w:sz w:val="20"/>
                <w:szCs w:val="20"/>
                <w:lang w:val="en-GB"/>
              </w:rPr>
              <w:t>6,112.74</w:t>
            </w:r>
          </w:p>
        </w:tc>
        <w:tc>
          <w:tcPr>
            <w:tcW w:w="738" w:type="pct"/>
            <w:tcBorders>
              <w:top w:val="single" w:color="auto" w:sz="4" w:space="0"/>
              <w:left w:val="single" w:color="auto" w:sz="4" w:space="0"/>
              <w:bottom w:val="single" w:color="auto" w:sz="4" w:space="0"/>
              <w:right w:val="single" w:color="auto" w:sz="4" w:space="0"/>
            </w:tcBorders>
            <w:shd w:val="clear" w:color="auto" w:fill="FFFFFF"/>
          </w:tcPr>
          <w:p w14:paraId="7D33B789">
            <w:pPr>
              <w:widowControl/>
              <w:jc w:val="right"/>
              <w:rPr>
                <w:rFonts w:hint="eastAsia" w:ascii="宋体" w:hAnsi="宋体" w:eastAsia="宋体" w:cs="Times New Roman"/>
                <w:b/>
                <w:bCs/>
                <w:color w:val="000000"/>
                <w:kern w:val="0"/>
                <w:sz w:val="20"/>
                <w:szCs w:val="20"/>
                <w:lang w:val="en-GB"/>
              </w:rPr>
            </w:pPr>
            <w:r>
              <w:rPr>
                <w:rFonts w:ascii="宋体" w:hAnsi="宋体" w:eastAsia="宋体" w:cs="Times New Roman"/>
                <w:b/>
                <w:bCs/>
                <w:kern w:val="0"/>
                <w:sz w:val="20"/>
                <w:szCs w:val="20"/>
                <w:lang w:val="en-GB"/>
              </w:rPr>
              <w:t>6,652.24</w:t>
            </w:r>
          </w:p>
        </w:tc>
        <w:tc>
          <w:tcPr>
            <w:tcW w:w="737" w:type="pct"/>
            <w:tcBorders>
              <w:top w:val="single" w:color="auto" w:sz="4" w:space="0"/>
              <w:left w:val="single" w:color="auto" w:sz="4" w:space="0"/>
              <w:bottom w:val="single" w:color="auto" w:sz="4" w:space="0"/>
              <w:right w:val="single" w:color="auto" w:sz="4" w:space="0"/>
            </w:tcBorders>
            <w:shd w:val="clear" w:color="auto" w:fill="FFFFFF"/>
          </w:tcPr>
          <w:p w14:paraId="012DD99F">
            <w:pPr>
              <w:widowControl/>
              <w:jc w:val="right"/>
              <w:rPr>
                <w:rFonts w:hint="eastAsia" w:ascii="宋体" w:hAnsi="宋体" w:eastAsia="宋体" w:cs="宋体"/>
                <w:b/>
                <w:bCs/>
                <w:color w:val="000000"/>
                <w:kern w:val="0"/>
                <w:sz w:val="20"/>
                <w:szCs w:val="20"/>
                <w:lang w:val="en-GB"/>
              </w:rPr>
            </w:pPr>
            <w:r>
              <w:rPr>
                <w:rFonts w:ascii="宋体" w:hAnsi="宋体" w:eastAsia="宋体" w:cs="Times New Roman"/>
                <w:b/>
                <w:bCs/>
                <w:kern w:val="0"/>
                <w:sz w:val="20"/>
                <w:szCs w:val="20"/>
                <w:lang w:val="en-GB"/>
              </w:rPr>
              <w:t>-</w:t>
            </w:r>
          </w:p>
        </w:tc>
      </w:tr>
    </w:tbl>
    <w:p w14:paraId="1F2AEB7A">
      <w:pPr>
        <w:widowControl/>
        <w:jc w:val="left"/>
        <w:rPr>
          <w:rFonts w:hint="eastAsia" w:ascii="宋体" w:hAnsi="宋体" w:eastAsia="宋体" w:cs="Times New Roman"/>
          <w:b/>
          <w:kern w:val="0"/>
          <w:sz w:val="24"/>
          <w:szCs w:val="24"/>
          <w:lang w:val="en-GB"/>
        </w:rPr>
      </w:pPr>
    </w:p>
    <w:p w14:paraId="6B80ACDE">
      <w:pPr>
        <w:widowControl/>
        <w:spacing w:before="120" w:after="120" w:line="360" w:lineRule="auto"/>
        <w:jc w:val="both"/>
        <w:outlineLvl w:val="2"/>
        <w:rPr>
          <w:rFonts w:hint="eastAsia" w:ascii="宋体" w:hAnsi="宋体" w:eastAsia="宋体" w:cs="Times New Roman"/>
          <w:b/>
          <w:bCs/>
          <w:color w:val="000000"/>
          <w:kern w:val="0"/>
          <w:sz w:val="24"/>
          <w:szCs w:val="24"/>
          <w:lang w:val="en-US"/>
        </w:rPr>
      </w:pPr>
      <w:bookmarkStart w:id="25" w:name="_Toc200555358"/>
      <w:bookmarkStart w:id="26" w:name="_Toc114818535"/>
      <w:bookmarkStart w:id="27" w:name="_Toc114818425"/>
      <w:r>
        <w:rPr>
          <w:rFonts w:hint="eastAsia" w:ascii="宋体" w:hAnsi="宋体" w:eastAsia="宋体" w:cs="Times New Roman"/>
          <w:b/>
          <w:bCs/>
          <w:color w:val="000000"/>
          <w:kern w:val="0"/>
          <w:sz w:val="24"/>
          <w:szCs w:val="24"/>
          <w:lang w:val="en-US"/>
        </w:rPr>
        <w:t>4</w:t>
      </w:r>
      <w:r>
        <w:rPr>
          <w:rFonts w:ascii="宋体" w:hAnsi="宋体" w:eastAsia="宋体" w:cs="Times New Roman"/>
          <w:b/>
          <w:bCs/>
          <w:color w:val="000000"/>
          <w:kern w:val="0"/>
          <w:sz w:val="24"/>
          <w:szCs w:val="24"/>
          <w:lang w:val="en-US"/>
        </w:rPr>
        <w:t>.</w:t>
      </w:r>
      <w:r>
        <w:rPr>
          <w:rFonts w:hint="eastAsia" w:ascii="宋体" w:hAnsi="宋体" w:eastAsia="宋体" w:cs="Times New Roman"/>
          <w:b/>
          <w:bCs/>
          <w:color w:val="000000"/>
          <w:kern w:val="0"/>
          <w:sz w:val="24"/>
          <w:szCs w:val="24"/>
          <w:lang w:val="en-US"/>
        </w:rPr>
        <w:t>债券发行和还本付息</w:t>
      </w:r>
      <w:bookmarkEnd w:id="25"/>
    </w:p>
    <w:p w14:paraId="1665A2FB">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本次债券利息每半年支付一次，最后一期利息随本金一起支付。自发行之日起存续期还本付息情况详见表7。</w:t>
      </w:r>
    </w:p>
    <w:p w14:paraId="7928C651">
      <w:pPr>
        <w:widowControl/>
        <w:ind w:firstLine="482" w:firstLineChars="200"/>
        <w:jc w:val="center"/>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表7 海口江东新区产业发展配套基础设施项目（三期）还本付息表</w:t>
      </w:r>
    </w:p>
    <w:p w14:paraId="191D1CFD">
      <w:pPr>
        <w:widowControl/>
        <w:ind w:firstLine="360" w:firstLineChars="200"/>
        <w:jc w:val="right"/>
        <w:rPr>
          <w:rFonts w:hint="eastAsia" w:ascii="宋体" w:hAnsi="宋体" w:eastAsia="宋体" w:cs="Times New Roman"/>
          <w:kern w:val="0"/>
          <w:sz w:val="18"/>
          <w:szCs w:val="18"/>
          <w:lang w:val="en-GB"/>
        </w:rPr>
      </w:pPr>
      <w:r>
        <w:rPr>
          <w:rFonts w:ascii="宋体" w:hAnsi="宋体" w:eastAsia="宋体" w:cs="Times New Roman"/>
          <w:kern w:val="0"/>
          <w:sz w:val="18"/>
          <w:szCs w:val="18"/>
          <w:lang w:val="en-GB"/>
        </w:rPr>
        <w:t>单位：人民帀万元</w:t>
      </w:r>
    </w:p>
    <w:tbl>
      <w:tblPr>
        <w:tblStyle w:val="1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820"/>
        <w:gridCol w:w="1092"/>
        <w:gridCol w:w="1090"/>
        <w:gridCol w:w="1090"/>
        <w:gridCol w:w="1090"/>
        <w:gridCol w:w="1084"/>
        <w:gridCol w:w="1083"/>
      </w:tblGrid>
      <w:tr w14:paraId="6B23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blHeader/>
        </w:trPr>
        <w:tc>
          <w:tcPr>
            <w:tcW w:w="1090" w:type="pct"/>
            <w:shd w:val="clear" w:color="auto" w:fill="D8D8D8"/>
            <w:vAlign w:val="center"/>
          </w:tcPr>
          <w:p w14:paraId="107C7BE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年度</w:t>
            </w:r>
          </w:p>
        </w:tc>
        <w:tc>
          <w:tcPr>
            <w:tcW w:w="654" w:type="pct"/>
            <w:shd w:val="clear" w:color="auto" w:fill="D8D8D8"/>
            <w:vAlign w:val="center"/>
          </w:tcPr>
          <w:p w14:paraId="11862AE8">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2025</w:t>
            </w:r>
          </w:p>
        </w:tc>
        <w:tc>
          <w:tcPr>
            <w:tcW w:w="653" w:type="pct"/>
            <w:shd w:val="clear" w:color="auto" w:fill="D8D8D8"/>
            <w:vAlign w:val="center"/>
          </w:tcPr>
          <w:p w14:paraId="0D7976E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2026</w:t>
            </w:r>
          </w:p>
        </w:tc>
        <w:tc>
          <w:tcPr>
            <w:tcW w:w="653" w:type="pct"/>
            <w:shd w:val="clear" w:color="auto" w:fill="D8D8D8"/>
            <w:vAlign w:val="center"/>
          </w:tcPr>
          <w:p w14:paraId="268837F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2027</w:t>
            </w:r>
          </w:p>
        </w:tc>
        <w:tc>
          <w:tcPr>
            <w:tcW w:w="653" w:type="pct"/>
            <w:shd w:val="clear" w:color="auto" w:fill="D8D8D8"/>
            <w:vAlign w:val="center"/>
          </w:tcPr>
          <w:p w14:paraId="1577F6E5">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2028</w:t>
            </w:r>
          </w:p>
        </w:tc>
        <w:tc>
          <w:tcPr>
            <w:tcW w:w="649" w:type="pct"/>
            <w:shd w:val="clear" w:color="auto" w:fill="D8D8D8"/>
            <w:vAlign w:val="center"/>
          </w:tcPr>
          <w:p w14:paraId="22CD1F0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2029</w:t>
            </w:r>
          </w:p>
        </w:tc>
        <w:tc>
          <w:tcPr>
            <w:tcW w:w="649" w:type="pct"/>
            <w:shd w:val="clear" w:color="auto" w:fill="D8D8D8"/>
            <w:vAlign w:val="center"/>
          </w:tcPr>
          <w:p w14:paraId="1E4BF63E">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2030</w:t>
            </w:r>
          </w:p>
        </w:tc>
      </w:tr>
      <w:tr w14:paraId="1C04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516A11BE">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期初专项债券余额</w:t>
            </w:r>
          </w:p>
        </w:tc>
        <w:tc>
          <w:tcPr>
            <w:tcW w:w="654" w:type="pct"/>
            <w:shd w:val="clear" w:color="000000" w:fill="FFFFFF"/>
          </w:tcPr>
          <w:p w14:paraId="02E2505B">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5217756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61F9C8C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0EB071DE">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49" w:type="pct"/>
            <w:shd w:val="clear" w:color="000000" w:fill="FFFFFF"/>
          </w:tcPr>
          <w:p w14:paraId="53CC5F2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49" w:type="pct"/>
            <w:shd w:val="clear" w:color="000000" w:fill="FFFFFF"/>
          </w:tcPr>
          <w:p w14:paraId="59EE6674">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r>
      <w:tr w14:paraId="4AD9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15ECB270">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本期专项债券发行</w:t>
            </w:r>
          </w:p>
        </w:tc>
        <w:tc>
          <w:tcPr>
            <w:tcW w:w="654" w:type="pct"/>
            <w:shd w:val="clear" w:color="000000" w:fill="FFFFFF"/>
          </w:tcPr>
          <w:p w14:paraId="297481E7">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r>
              <w:rPr>
                <w:rFonts w:hint="eastAsia" w:ascii="黑体" w:hAnsi="黑体" w:eastAsia="黑体" w:cs="Times New Roman"/>
                <w:kern w:val="0"/>
                <w:sz w:val="20"/>
                <w:szCs w:val="20"/>
                <w:vertAlign w:val="superscript"/>
                <w:lang w:val="en-GB"/>
              </w:rPr>
              <w:t>1</w:t>
            </w:r>
          </w:p>
        </w:tc>
        <w:tc>
          <w:tcPr>
            <w:tcW w:w="653" w:type="pct"/>
            <w:shd w:val="clear" w:color="000000" w:fill="FFFFFF"/>
          </w:tcPr>
          <w:p w14:paraId="7D49825B">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3DBE1F6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372862ED">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49" w:type="pct"/>
            <w:shd w:val="clear" w:color="000000" w:fill="FFFFFF"/>
          </w:tcPr>
          <w:p w14:paraId="6EB6149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49" w:type="pct"/>
            <w:shd w:val="clear" w:color="000000" w:fill="FFFFFF"/>
          </w:tcPr>
          <w:p w14:paraId="6F4BB19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r>
      <w:tr w14:paraId="6B61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0EF27325">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利息支出</w:t>
            </w:r>
          </w:p>
        </w:tc>
        <w:tc>
          <w:tcPr>
            <w:tcW w:w="654" w:type="pct"/>
            <w:shd w:val="clear" w:color="000000" w:fill="FFFFFF"/>
          </w:tcPr>
          <w:p w14:paraId="3E0D79B0">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194.96</w:t>
            </w:r>
          </w:p>
        </w:tc>
        <w:tc>
          <w:tcPr>
            <w:tcW w:w="653" w:type="pct"/>
            <w:shd w:val="clear" w:color="000000" w:fill="FFFFFF"/>
          </w:tcPr>
          <w:p w14:paraId="6404AD6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632C857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0934EB44">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49" w:type="pct"/>
            <w:shd w:val="clear" w:color="000000" w:fill="FFFFFF"/>
          </w:tcPr>
          <w:p w14:paraId="2AA9C83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49" w:type="pct"/>
            <w:shd w:val="clear" w:color="000000" w:fill="FFFFFF"/>
          </w:tcPr>
          <w:p w14:paraId="5B92C6B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r>
      <w:tr w14:paraId="14A8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050B3670">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本期还款</w:t>
            </w:r>
          </w:p>
        </w:tc>
        <w:tc>
          <w:tcPr>
            <w:tcW w:w="654" w:type="pct"/>
            <w:shd w:val="clear" w:color="000000" w:fill="FFFFFF"/>
          </w:tcPr>
          <w:p w14:paraId="27D1928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194.96</w:t>
            </w:r>
          </w:p>
        </w:tc>
        <w:tc>
          <w:tcPr>
            <w:tcW w:w="653" w:type="pct"/>
            <w:shd w:val="clear" w:color="000000" w:fill="FFFFFF"/>
          </w:tcPr>
          <w:p w14:paraId="27769CAD">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7127D09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1D2C864D">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49" w:type="pct"/>
            <w:shd w:val="clear" w:color="000000" w:fill="FFFFFF"/>
          </w:tcPr>
          <w:p w14:paraId="10BEA46D">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49" w:type="pct"/>
            <w:shd w:val="clear" w:color="000000" w:fill="FFFFFF"/>
          </w:tcPr>
          <w:p w14:paraId="338A797F">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r>
      <w:tr w14:paraId="5889A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787CB315">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其中：还本</w:t>
            </w:r>
          </w:p>
        </w:tc>
        <w:tc>
          <w:tcPr>
            <w:tcW w:w="654" w:type="pct"/>
            <w:shd w:val="clear" w:color="000000" w:fill="FFFFFF"/>
          </w:tcPr>
          <w:p w14:paraId="6367849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1F8C7CC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3A31113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4FFDC1EE">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49" w:type="pct"/>
            <w:shd w:val="clear" w:color="000000" w:fill="FFFFFF"/>
          </w:tcPr>
          <w:p w14:paraId="27F977F6">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49" w:type="pct"/>
            <w:shd w:val="clear" w:color="000000" w:fill="FFFFFF"/>
          </w:tcPr>
          <w:p w14:paraId="1892AE7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r>
      <w:tr w14:paraId="1F46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6E791524">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付息</w:t>
            </w:r>
          </w:p>
        </w:tc>
        <w:tc>
          <w:tcPr>
            <w:tcW w:w="654" w:type="pct"/>
            <w:shd w:val="clear" w:color="000000" w:fill="FFFFFF"/>
          </w:tcPr>
          <w:p w14:paraId="4934C63B">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194.96</w:t>
            </w:r>
          </w:p>
        </w:tc>
        <w:tc>
          <w:tcPr>
            <w:tcW w:w="653" w:type="pct"/>
            <w:shd w:val="clear" w:color="000000" w:fill="FFFFFF"/>
          </w:tcPr>
          <w:p w14:paraId="63040FC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0C7D230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3DE96BD0">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49" w:type="pct"/>
            <w:shd w:val="clear" w:color="000000" w:fill="FFFFFF"/>
          </w:tcPr>
          <w:p w14:paraId="462D886F">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49" w:type="pct"/>
            <w:shd w:val="clear" w:color="000000" w:fill="FFFFFF"/>
          </w:tcPr>
          <w:p w14:paraId="12ADAF2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r>
      <w:tr w14:paraId="1B34B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 w:hRule="atLeast"/>
        </w:trPr>
        <w:tc>
          <w:tcPr>
            <w:tcW w:w="1090" w:type="pct"/>
            <w:shd w:val="clear" w:color="000000" w:fill="FFFFFF"/>
            <w:vAlign w:val="center"/>
          </w:tcPr>
          <w:p w14:paraId="27845C77">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期末专项债券余额</w:t>
            </w:r>
          </w:p>
        </w:tc>
        <w:tc>
          <w:tcPr>
            <w:tcW w:w="654" w:type="pct"/>
            <w:shd w:val="clear" w:color="000000" w:fill="FFFFFF"/>
          </w:tcPr>
          <w:p w14:paraId="7A44ABC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7F5B63DF">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151CC344">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7A067D40">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49" w:type="pct"/>
            <w:shd w:val="clear" w:color="000000" w:fill="FFFFFF"/>
          </w:tcPr>
          <w:p w14:paraId="45BA6F9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49" w:type="pct"/>
            <w:shd w:val="clear" w:color="000000" w:fill="FFFFFF"/>
          </w:tcPr>
          <w:p w14:paraId="3E88D65E">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r>
    </w:tbl>
    <w:p w14:paraId="323E6348">
      <w:pPr>
        <w:widowControl/>
        <w:ind w:firstLine="360" w:firstLineChars="200"/>
        <w:jc w:val="both"/>
        <w:rPr>
          <w:rFonts w:hint="eastAsia" w:ascii="黑体" w:hAnsi="黑体" w:eastAsia="黑体" w:cs="Times New Roman"/>
          <w:kern w:val="0"/>
          <w:sz w:val="18"/>
          <w:szCs w:val="18"/>
          <w:lang w:val="en-GB"/>
        </w:rPr>
      </w:pPr>
      <w:r>
        <w:rPr>
          <w:rFonts w:hint="eastAsia" w:ascii="黑体" w:hAnsi="黑体" w:eastAsia="黑体" w:cs="Times New Roman"/>
          <w:kern w:val="0"/>
          <w:sz w:val="18"/>
          <w:szCs w:val="18"/>
          <w:lang w:val="en-GB" w:eastAsia="zh-TW"/>
        </w:rPr>
        <w:t>注</w:t>
      </w:r>
      <w:r>
        <w:rPr>
          <w:rFonts w:hint="eastAsia" w:ascii="黑体" w:hAnsi="黑体" w:eastAsia="黑体" w:cs="Times New Roman"/>
          <w:kern w:val="0"/>
          <w:sz w:val="18"/>
          <w:szCs w:val="18"/>
          <w:vertAlign w:val="superscript"/>
          <w:lang w:val="en-GB"/>
        </w:rPr>
        <w:t>1</w:t>
      </w:r>
      <w:r>
        <w:rPr>
          <w:rFonts w:hint="eastAsia" w:ascii="黑体" w:hAnsi="黑体" w:eastAsia="黑体" w:cs="Times New Roman"/>
          <w:kern w:val="0"/>
          <w:sz w:val="18"/>
          <w:szCs w:val="18"/>
          <w:lang w:val="en-GB"/>
        </w:rPr>
        <w:t>：本项目2025年6月已调增专项债券16,128.67万元，本次计划调增专项债券500.00万元。</w:t>
      </w:r>
    </w:p>
    <w:tbl>
      <w:tblPr>
        <w:tblStyle w:val="19"/>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77"/>
        <w:gridCol w:w="1095"/>
        <w:gridCol w:w="1093"/>
        <w:gridCol w:w="1093"/>
        <w:gridCol w:w="1093"/>
        <w:gridCol w:w="1059"/>
        <w:gridCol w:w="1058"/>
      </w:tblGrid>
      <w:tr w14:paraId="3575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blHeader/>
        </w:trPr>
        <w:tc>
          <w:tcPr>
            <w:tcW w:w="1122" w:type="pct"/>
            <w:shd w:val="clear" w:color="auto" w:fill="D8D8D8"/>
            <w:vAlign w:val="center"/>
          </w:tcPr>
          <w:p w14:paraId="79E0B7E1">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年度</w:t>
            </w:r>
          </w:p>
        </w:tc>
        <w:tc>
          <w:tcPr>
            <w:tcW w:w="654" w:type="pct"/>
            <w:shd w:val="clear" w:color="auto" w:fill="D8D8D8"/>
            <w:vAlign w:val="center"/>
          </w:tcPr>
          <w:p w14:paraId="056479B8">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2031</w:t>
            </w:r>
          </w:p>
        </w:tc>
        <w:tc>
          <w:tcPr>
            <w:tcW w:w="653" w:type="pct"/>
            <w:shd w:val="clear" w:color="auto" w:fill="D8D8D8"/>
            <w:vAlign w:val="center"/>
          </w:tcPr>
          <w:p w14:paraId="26412E50">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2032</w:t>
            </w:r>
          </w:p>
        </w:tc>
        <w:tc>
          <w:tcPr>
            <w:tcW w:w="653" w:type="pct"/>
            <w:shd w:val="clear" w:color="auto" w:fill="D8D8D8"/>
            <w:vAlign w:val="center"/>
          </w:tcPr>
          <w:p w14:paraId="2EEB7DE3">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2033</w:t>
            </w:r>
          </w:p>
        </w:tc>
        <w:tc>
          <w:tcPr>
            <w:tcW w:w="653" w:type="pct"/>
            <w:shd w:val="clear" w:color="auto" w:fill="D8D8D8"/>
            <w:vAlign w:val="center"/>
          </w:tcPr>
          <w:p w14:paraId="6C39094A">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2034</w:t>
            </w:r>
          </w:p>
        </w:tc>
        <w:tc>
          <w:tcPr>
            <w:tcW w:w="633" w:type="pct"/>
            <w:shd w:val="clear" w:color="auto" w:fill="D8D8D8"/>
          </w:tcPr>
          <w:p w14:paraId="4B4B0975">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2035</w:t>
            </w:r>
          </w:p>
        </w:tc>
        <w:tc>
          <w:tcPr>
            <w:tcW w:w="633" w:type="pct"/>
            <w:shd w:val="clear" w:color="auto" w:fill="D8D8D8"/>
            <w:vAlign w:val="center"/>
          </w:tcPr>
          <w:p w14:paraId="4E7EAB7F">
            <w:pPr>
              <w:widowControl/>
              <w:jc w:val="center"/>
              <w:rPr>
                <w:rFonts w:hint="eastAsia" w:ascii="黑体" w:hAnsi="黑体" w:eastAsia="黑体" w:cs="宋体"/>
                <w:b/>
                <w:bCs/>
                <w:color w:val="000000"/>
                <w:kern w:val="0"/>
                <w:sz w:val="20"/>
                <w:szCs w:val="20"/>
                <w:lang w:val="en-GB"/>
              </w:rPr>
            </w:pPr>
            <w:r>
              <w:rPr>
                <w:rFonts w:hint="eastAsia" w:ascii="黑体" w:hAnsi="黑体" w:eastAsia="黑体" w:cs="宋体"/>
                <w:b/>
                <w:bCs/>
                <w:color w:val="000000"/>
                <w:kern w:val="0"/>
                <w:sz w:val="20"/>
                <w:szCs w:val="20"/>
                <w:lang w:val="en-GB"/>
              </w:rPr>
              <w:t>合计</w:t>
            </w:r>
          </w:p>
        </w:tc>
      </w:tr>
      <w:tr w14:paraId="5031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273B70F0">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期初专项债券余额</w:t>
            </w:r>
          </w:p>
        </w:tc>
        <w:tc>
          <w:tcPr>
            <w:tcW w:w="654" w:type="pct"/>
            <w:shd w:val="clear" w:color="000000" w:fill="FFFFFF"/>
          </w:tcPr>
          <w:p w14:paraId="1DF597E7">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41076D1D">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5F18A324">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603BFEF5">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33" w:type="pct"/>
            <w:shd w:val="clear" w:color="000000" w:fill="FFFFFF"/>
          </w:tcPr>
          <w:p w14:paraId="01A40746">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2,100.00</w:t>
            </w:r>
          </w:p>
        </w:tc>
        <w:tc>
          <w:tcPr>
            <w:tcW w:w="633" w:type="pct"/>
            <w:shd w:val="clear" w:color="000000" w:fill="FFFFFF"/>
          </w:tcPr>
          <w:p w14:paraId="2B7363BF">
            <w:pPr>
              <w:widowControl/>
              <w:jc w:val="right"/>
              <w:rPr>
                <w:rFonts w:hint="eastAsia" w:ascii="黑体" w:hAnsi="黑体" w:eastAsia="黑体" w:cs="Times New Roman"/>
                <w:b/>
                <w:bCs/>
                <w:color w:val="000000"/>
                <w:kern w:val="0"/>
                <w:sz w:val="20"/>
                <w:szCs w:val="20"/>
                <w:lang w:val="en-GB"/>
              </w:rPr>
            </w:pPr>
          </w:p>
        </w:tc>
      </w:tr>
      <w:tr w14:paraId="4602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8C38833">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本期专项债券发行</w:t>
            </w:r>
          </w:p>
        </w:tc>
        <w:tc>
          <w:tcPr>
            <w:tcW w:w="654" w:type="pct"/>
            <w:shd w:val="clear" w:color="000000" w:fill="FFFFFF"/>
          </w:tcPr>
          <w:p w14:paraId="55AC896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104A3A24">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382608BE">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330E239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33" w:type="pct"/>
            <w:shd w:val="clear" w:color="000000" w:fill="FFFFFF"/>
          </w:tcPr>
          <w:p w14:paraId="48DB4A4C">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w:t>
            </w:r>
          </w:p>
        </w:tc>
        <w:tc>
          <w:tcPr>
            <w:tcW w:w="633" w:type="pct"/>
            <w:shd w:val="clear" w:color="000000" w:fill="FFFFFF"/>
          </w:tcPr>
          <w:p w14:paraId="03D2CC01">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16,628.67</w:t>
            </w:r>
          </w:p>
        </w:tc>
      </w:tr>
      <w:tr w14:paraId="159A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19CD54D7">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利息支出</w:t>
            </w:r>
          </w:p>
        </w:tc>
        <w:tc>
          <w:tcPr>
            <w:tcW w:w="654" w:type="pct"/>
            <w:shd w:val="clear" w:color="000000" w:fill="FFFFFF"/>
          </w:tcPr>
          <w:p w14:paraId="00FBD74E">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0A6BA40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6B4745E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41BFF06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217.84</w:t>
            </w:r>
          </w:p>
        </w:tc>
        <w:tc>
          <w:tcPr>
            <w:tcW w:w="633" w:type="pct"/>
            <w:shd w:val="clear" w:color="000000" w:fill="FFFFFF"/>
          </w:tcPr>
          <w:p w14:paraId="48BFF18B">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22.88</w:t>
            </w:r>
          </w:p>
        </w:tc>
        <w:tc>
          <w:tcPr>
            <w:tcW w:w="633" w:type="pct"/>
            <w:shd w:val="clear" w:color="000000" w:fill="FFFFFF"/>
          </w:tcPr>
          <w:p w14:paraId="0F38C0AE">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3,625.44</w:t>
            </w:r>
          </w:p>
        </w:tc>
      </w:tr>
      <w:tr w14:paraId="7279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48E2F13B">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本期还款</w:t>
            </w:r>
          </w:p>
        </w:tc>
        <w:tc>
          <w:tcPr>
            <w:tcW w:w="654" w:type="pct"/>
            <w:shd w:val="clear" w:color="000000" w:fill="FFFFFF"/>
          </w:tcPr>
          <w:p w14:paraId="32491CD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67A93D7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5B2E30E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5C0F106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14,746.51</w:t>
            </w:r>
          </w:p>
        </w:tc>
        <w:tc>
          <w:tcPr>
            <w:tcW w:w="633" w:type="pct"/>
            <w:shd w:val="clear" w:color="000000" w:fill="FFFFFF"/>
          </w:tcPr>
          <w:p w14:paraId="30C48FA9">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2,122.88</w:t>
            </w:r>
          </w:p>
        </w:tc>
        <w:tc>
          <w:tcPr>
            <w:tcW w:w="633" w:type="pct"/>
            <w:shd w:val="clear" w:color="000000" w:fill="FFFFFF"/>
          </w:tcPr>
          <w:p w14:paraId="3CB27DB6">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20,254.11</w:t>
            </w:r>
          </w:p>
        </w:tc>
      </w:tr>
      <w:tr w14:paraId="5CD8E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7974D712">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其中：还本</w:t>
            </w:r>
          </w:p>
        </w:tc>
        <w:tc>
          <w:tcPr>
            <w:tcW w:w="654" w:type="pct"/>
            <w:shd w:val="clear" w:color="000000" w:fill="FFFFFF"/>
          </w:tcPr>
          <w:p w14:paraId="6D73F5A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39BA562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123D6A7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w:t>
            </w:r>
          </w:p>
        </w:tc>
        <w:tc>
          <w:tcPr>
            <w:tcW w:w="653" w:type="pct"/>
            <w:shd w:val="clear" w:color="000000" w:fill="FFFFFF"/>
          </w:tcPr>
          <w:p w14:paraId="04B93D2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14,528.67</w:t>
            </w:r>
          </w:p>
        </w:tc>
        <w:tc>
          <w:tcPr>
            <w:tcW w:w="633" w:type="pct"/>
            <w:shd w:val="clear" w:color="000000" w:fill="FFFFFF"/>
          </w:tcPr>
          <w:p w14:paraId="3740C75E">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2,100.00</w:t>
            </w:r>
          </w:p>
        </w:tc>
        <w:tc>
          <w:tcPr>
            <w:tcW w:w="633" w:type="pct"/>
            <w:shd w:val="clear" w:color="000000" w:fill="FFFFFF"/>
          </w:tcPr>
          <w:p w14:paraId="00996A57">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16,628.67</w:t>
            </w:r>
          </w:p>
        </w:tc>
      </w:tr>
      <w:tr w14:paraId="0242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28CD2DBD">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付息</w:t>
            </w:r>
          </w:p>
        </w:tc>
        <w:tc>
          <w:tcPr>
            <w:tcW w:w="654" w:type="pct"/>
            <w:shd w:val="clear" w:color="000000" w:fill="FFFFFF"/>
          </w:tcPr>
          <w:p w14:paraId="1A6954A7">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2C8C07FB">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452E6BA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398.72</w:t>
            </w:r>
          </w:p>
        </w:tc>
        <w:tc>
          <w:tcPr>
            <w:tcW w:w="653" w:type="pct"/>
            <w:shd w:val="clear" w:color="000000" w:fill="FFFFFF"/>
          </w:tcPr>
          <w:p w14:paraId="703ACAF1">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217.84</w:t>
            </w:r>
          </w:p>
        </w:tc>
        <w:tc>
          <w:tcPr>
            <w:tcW w:w="633" w:type="pct"/>
            <w:shd w:val="clear" w:color="000000" w:fill="FFFFFF"/>
          </w:tcPr>
          <w:p w14:paraId="5AD898A7">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22.88</w:t>
            </w:r>
          </w:p>
        </w:tc>
        <w:tc>
          <w:tcPr>
            <w:tcW w:w="633" w:type="pct"/>
            <w:shd w:val="clear" w:color="000000" w:fill="FFFFFF"/>
          </w:tcPr>
          <w:p w14:paraId="4FEB9155">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3,625.44</w:t>
            </w:r>
          </w:p>
        </w:tc>
      </w:tr>
      <w:tr w14:paraId="6ED7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 w:hRule="atLeast"/>
        </w:trPr>
        <w:tc>
          <w:tcPr>
            <w:tcW w:w="1122" w:type="pct"/>
            <w:shd w:val="clear" w:color="000000" w:fill="FFFFFF"/>
            <w:vAlign w:val="center"/>
          </w:tcPr>
          <w:p w14:paraId="0F5E0B8F">
            <w:pPr>
              <w:widowControl/>
              <w:jc w:val="left"/>
              <w:rPr>
                <w:rFonts w:hint="eastAsia" w:ascii="黑体" w:hAnsi="黑体" w:eastAsia="黑体" w:cs="宋体"/>
                <w:color w:val="000000"/>
                <w:kern w:val="0"/>
                <w:sz w:val="20"/>
                <w:szCs w:val="20"/>
                <w:lang w:val="en-GB"/>
              </w:rPr>
            </w:pPr>
            <w:r>
              <w:rPr>
                <w:rFonts w:hint="eastAsia" w:ascii="黑体" w:hAnsi="黑体" w:eastAsia="黑体" w:cs="宋体"/>
                <w:color w:val="000000"/>
                <w:kern w:val="0"/>
                <w:sz w:val="20"/>
                <w:szCs w:val="20"/>
                <w:lang w:val="en-GB"/>
              </w:rPr>
              <w:t>期末专项债券余额</w:t>
            </w:r>
          </w:p>
        </w:tc>
        <w:tc>
          <w:tcPr>
            <w:tcW w:w="654" w:type="pct"/>
            <w:shd w:val="clear" w:color="000000" w:fill="FFFFFF"/>
          </w:tcPr>
          <w:p w14:paraId="6D8664DF">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58C77E69">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752CF16B">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16,628.67</w:t>
            </w:r>
          </w:p>
        </w:tc>
        <w:tc>
          <w:tcPr>
            <w:tcW w:w="653" w:type="pct"/>
            <w:shd w:val="clear" w:color="000000" w:fill="FFFFFF"/>
          </w:tcPr>
          <w:p w14:paraId="4AB4082F">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2,100.00</w:t>
            </w:r>
          </w:p>
        </w:tc>
        <w:tc>
          <w:tcPr>
            <w:tcW w:w="633" w:type="pct"/>
            <w:shd w:val="clear" w:color="000000" w:fill="FFFFFF"/>
          </w:tcPr>
          <w:p w14:paraId="321E3059">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w:t>
            </w:r>
          </w:p>
        </w:tc>
        <w:tc>
          <w:tcPr>
            <w:tcW w:w="633" w:type="pct"/>
            <w:shd w:val="clear" w:color="000000" w:fill="FFFFFF"/>
          </w:tcPr>
          <w:p w14:paraId="2DE9E910">
            <w:pPr>
              <w:widowControl/>
              <w:jc w:val="right"/>
              <w:rPr>
                <w:rFonts w:hint="eastAsia" w:ascii="黑体" w:hAnsi="黑体" w:eastAsia="黑体" w:cs="Times New Roman"/>
                <w:b/>
                <w:bCs/>
                <w:color w:val="000000"/>
                <w:kern w:val="0"/>
                <w:sz w:val="20"/>
                <w:szCs w:val="20"/>
                <w:lang w:val="en-GB"/>
              </w:rPr>
            </w:pPr>
            <w:r>
              <w:rPr>
                <w:rFonts w:hint="eastAsia" w:ascii="黑体" w:hAnsi="黑体" w:eastAsia="黑体" w:cs="Times New Roman"/>
                <w:b/>
                <w:bCs/>
                <w:color w:val="000000"/>
                <w:kern w:val="0"/>
                <w:sz w:val="20"/>
                <w:szCs w:val="20"/>
                <w:lang w:val="en-GB"/>
              </w:rPr>
              <w:t>-</w:t>
            </w:r>
          </w:p>
        </w:tc>
      </w:tr>
    </w:tbl>
    <w:p w14:paraId="68353DE0">
      <w:pPr>
        <w:widowControl/>
        <w:ind w:firstLine="360" w:firstLineChars="200"/>
        <w:jc w:val="right"/>
        <w:rPr>
          <w:rFonts w:hint="eastAsia" w:ascii="宋体" w:hAnsi="宋体" w:eastAsia="宋体" w:cs="Times New Roman"/>
          <w:kern w:val="0"/>
          <w:sz w:val="18"/>
          <w:szCs w:val="18"/>
          <w:lang w:val="en-GB" w:eastAsia="zh-TW"/>
        </w:rPr>
      </w:pPr>
    </w:p>
    <w:p w14:paraId="381AE963">
      <w:pPr>
        <w:pStyle w:val="29"/>
        <w:spacing w:line="360" w:lineRule="auto"/>
        <w:ind w:firstLine="482"/>
        <w:outlineLvl w:val="0"/>
        <w:rPr>
          <w:rFonts w:hint="eastAsia" w:ascii="宋体" w:hAnsi="宋体" w:eastAsia="宋体" w:cs="宋体"/>
          <w:b/>
          <w:sz w:val="24"/>
          <w:szCs w:val="24"/>
          <w:lang w:val="en-US"/>
        </w:rPr>
      </w:pPr>
      <w:bookmarkStart w:id="28" w:name="_Toc200555359"/>
      <w:r>
        <w:rPr>
          <w:rFonts w:hint="eastAsia" w:ascii="宋体" w:hAnsi="宋体" w:eastAsia="宋体" w:cs="宋体"/>
          <w:b/>
          <w:sz w:val="24"/>
          <w:szCs w:val="24"/>
          <w:lang w:val="en-US"/>
        </w:rPr>
        <w:t>（二）项目收益情况</w:t>
      </w:r>
      <w:bookmarkEnd w:id="28"/>
    </w:p>
    <w:p w14:paraId="4E5BA6CA">
      <w:pPr>
        <w:widowControl/>
        <w:spacing w:before="120" w:after="120" w:line="360" w:lineRule="auto"/>
        <w:ind w:firstLine="482" w:firstLineChars="200"/>
        <w:jc w:val="both"/>
        <w:outlineLvl w:val="2"/>
        <w:rPr>
          <w:rFonts w:hint="eastAsia" w:ascii="宋体" w:hAnsi="宋体" w:eastAsia="宋体" w:cs="Times New Roman"/>
          <w:b/>
          <w:bCs/>
          <w:color w:val="000000"/>
          <w:kern w:val="0"/>
          <w:sz w:val="24"/>
          <w:szCs w:val="24"/>
          <w:lang w:val="en-US"/>
        </w:rPr>
      </w:pPr>
      <w:bookmarkStart w:id="29" w:name="_Toc200555360"/>
      <w:r>
        <w:rPr>
          <w:rFonts w:ascii="宋体" w:hAnsi="宋体" w:eastAsia="宋体" w:cs="Times New Roman"/>
          <w:b/>
          <w:bCs/>
          <w:color w:val="000000"/>
          <w:kern w:val="0"/>
          <w:sz w:val="24"/>
          <w:szCs w:val="24"/>
          <w:lang w:val="en-US"/>
        </w:rPr>
        <w:t>1.</w:t>
      </w:r>
      <w:r>
        <w:rPr>
          <w:rFonts w:hint="eastAsia" w:ascii="宋体" w:hAnsi="宋体" w:eastAsia="宋体" w:cs="Times New Roman"/>
          <w:b/>
          <w:bCs/>
          <w:color w:val="000000"/>
          <w:kern w:val="0"/>
          <w:sz w:val="24"/>
          <w:szCs w:val="24"/>
          <w:lang w:val="en-US"/>
        </w:rPr>
        <w:t>项目收入</w:t>
      </w:r>
      <w:bookmarkEnd w:id="29"/>
    </w:p>
    <w:p w14:paraId="2BBD9242">
      <w:pPr>
        <w:widowControl/>
        <w:adjustRightInd w:val="0"/>
        <w:spacing w:before="120" w:after="120" w:line="360" w:lineRule="auto"/>
        <w:ind w:firstLine="480" w:firstLineChars="200"/>
        <w:jc w:val="both"/>
        <w:rPr>
          <w:rFonts w:hint="eastAsia" w:ascii="宋体" w:hAnsi="宋体" w:eastAsia="宋体" w:cs="Times New Roman"/>
          <w:color w:val="000000"/>
          <w:kern w:val="0"/>
          <w:sz w:val="24"/>
          <w:szCs w:val="24"/>
          <w:lang w:val="en-GB"/>
        </w:rPr>
      </w:pPr>
      <w:r>
        <w:rPr>
          <w:rFonts w:hint="eastAsia" w:ascii="宋体" w:hAnsi="宋体" w:eastAsia="宋体" w:cs="Times New Roman"/>
          <w:color w:val="000000"/>
          <w:kern w:val="0"/>
          <w:sz w:val="24"/>
          <w:szCs w:val="24"/>
          <w:lang w:val="en-GB"/>
        </w:rPr>
        <w:t>（</w:t>
      </w:r>
      <w:r>
        <w:rPr>
          <w:rFonts w:ascii="宋体" w:hAnsi="宋体" w:eastAsia="宋体" w:cs="Times New Roman"/>
          <w:color w:val="000000"/>
          <w:kern w:val="0"/>
          <w:sz w:val="24"/>
          <w:szCs w:val="24"/>
          <w:lang w:val="en-GB"/>
        </w:rPr>
        <w:t>1</w:t>
      </w:r>
      <w:r>
        <w:rPr>
          <w:rFonts w:hint="eastAsia" w:ascii="宋体" w:hAnsi="宋体" w:eastAsia="宋体" w:cs="Times New Roman"/>
          <w:color w:val="000000"/>
          <w:kern w:val="0"/>
          <w:sz w:val="24"/>
          <w:szCs w:val="24"/>
          <w:lang w:val="en-GB"/>
        </w:rPr>
        <w:t>）土地出让收入预测</w:t>
      </w:r>
    </w:p>
    <w:p w14:paraId="75295C8D">
      <w:pPr>
        <w:widowControl/>
        <w:adjustRightInd w:val="0"/>
        <w:spacing w:before="120" w:after="120" w:line="360" w:lineRule="auto"/>
        <w:ind w:firstLine="480" w:firstLineChars="200"/>
        <w:jc w:val="both"/>
        <w:rPr>
          <w:rFonts w:hint="eastAsia" w:ascii="宋体" w:hAnsi="宋体" w:eastAsia="宋体" w:cs="Times New Roman"/>
          <w:color w:val="000000"/>
          <w:kern w:val="0"/>
          <w:sz w:val="24"/>
          <w:szCs w:val="24"/>
          <w:lang w:val="en-GB"/>
        </w:rPr>
      </w:pPr>
      <w:r>
        <w:rPr>
          <w:rFonts w:hint="eastAsia" w:ascii="宋体" w:hAnsi="宋体" w:eastAsia="宋体" w:cs="Times New Roman"/>
          <w:color w:val="000000"/>
          <w:kern w:val="0"/>
          <w:sz w:val="24"/>
          <w:szCs w:val="24"/>
          <w:lang w:val="en-GB"/>
        </w:rPr>
        <w:t>根据《2024年海南省政府专项债券(一期)、2025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项目调增专项债券项目偿债的土地出让情况详见表8。</w:t>
      </w:r>
    </w:p>
    <w:p w14:paraId="37F6DC3D">
      <w:pPr>
        <w:widowControl/>
        <w:spacing w:before="120" w:beforeLines="50" w:after="120" w:afterLines="50"/>
        <w:jc w:val="center"/>
        <w:rPr>
          <w:rFonts w:hint="eastAsia" w:ascii="宋体" w:hAnsi="宋体" w:eastAsia="宋体" w:cs="Times New Roman"/>
          <w:b/>
          <w:color w:val="000000"/>
          <w:kern w:val="0"/>
          <w:sz w:val="24"/>
          <w:szCs w:val="24"/>
          <w:lang w:val="en-US"/>
        </w:rPr>
      </w:pPr>
      <w:r>
        <w:rPr>
          <w:rFonts w:hint="eastAsia" w:ascii="宋体" w:hAnsi="宋体" w:eastAsia="宋体" w:cs="Times New Roman"/>
          <w:b/>
          <w:color w:val="000000"/>
          <w:kern w:val="0"/>
          <w:sz w:val="24"/>
          <w:szCs w:val="24"/>
          <w:lang w:val="en-US"/>
        </w:rPr>
        <w:t>表</w:t>
      </w:r>
      <w:r>
        <w:rPr>
          <w:rFonts w:ascii="宋体" w:hAnsi="宋体" w:eastAsia="宋体" w:cs="Times New Roman"/>
          <w:b/>
          <w:color w:val="000000"/>
          <w:kern w:val="0"/>
          <w:sz w:val="24"/>
          <w:szCs w:val="24"/>
          <w:lang w:val="en-US"/>
        </w:rPr>
        <w:t xml:space="preserve">8 </w:t>
      </w:r>
      <w:r>
        <w:rPr>
          <w:rFonts w:hint="eastAsia" w:ascii="宋体" w:hAnsi="宋体" w:eastAsia="宋体" w:cs="Times New Roman"/>
          <w:b/>
          <w:color w:val="000000"/>
          <w:kern w:val="0"/>
          <w:sz w:val="24"/>
          <w:szCs w:val="24"/>
          <w:lang w:val="en-US"/>
        </w:rPr>
        <w:t>土地出让情况表</w:t>
      </w:r>
    </w:p>
    <w:tbl>
      <w:tblPr>
        <w:tblStyle w:val="19"/>
        <w:tblW w:w="55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1817"/>
        <w:gridCol w:w="947"/>
        <w:gridCol w:w="1444"/>
        <w:gridCol w:w="1217"/>
        <w:gridCol w:w="1544"/>
      </w:tblGrid>
      <w:tr w14:paraId="48D2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jc w:val="center"/>
        </w:trPr>
        <w:tc>
          <w:tcPr>
            <w:tcW w:w="1327" w:type="pct"/>
            <w:vMerge w:val="restart"/>
            <w:shd w:val="clear" w:color="000000" w:fill="D0CECE"/>
            <w:vAlign w:val="center"/>
          </w:tcPr>
          <w:p w14:paraId="16811076">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项目名称</w:t>
            </w:r>
          </w:p>
        </w:tc>
        <w:tc>
          <w:tcPr>
            <w:tcW w:w="957" w:type="pct"/>
            <w:vMerge w:val="restart"/>
            <w:shd w:val="clear" w:color="000000" w:fill="D0CECE"/>
            <w:vAlign w:val="center"/>
          </w:tcPr>
          <w:p w14:paraId="38C9439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地块编号</w:t>
            </w:r>
          </w:p>
        </w:tc>
        <w:tc>
          <w:tcPr>
            <w:tcW w:w="499" w:type="pct"/>
            <w:shd w:val="clear" w:color="000000" w:fill="D0CECE"/>
            <w:vAlign w:val="center"/>
          </w:tcPr>
          <w:p w14:paraId="43A9186F">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面积</w:t>
            </w:r>
          </w:p>
        </w:tc>
        <w:tc>
          <w:tcPr>
            <w:tcW w:w="761" w:type="pct"/>
            <w:shd w:val="clear" w:color="000000" w:fill="D0CECE"/>
            <w:vAlign w:val="center"/>
          </w:tcPr>
          <w:p w14:paraId="5000A217">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预估地价</w:t>
            </w:r>
          </w:p>
        </w:tc>
        <w:tc>
          <w:tcPr>
            <w:tcW w:w="641" w:type="pct"/>
            <w:vMerge w:val="restart"/>
            <w:shd w:val="clear" w:color="000000" w:fill="D0CECE"/>
            <w:vAlign w:val="center"/>
          </w:tcPr>
          <w:p w14:paraId="4E3BAA0B">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土地性质</w:t>
            </w:r>
          </w:p>
        </w:tc>
        <w:tc>
          <w:tcPr>
            <w:tcW w:w="814" w:type="pct"/>
            <w:vMerge w:val="restart"/>
            <w:shd w:val="clear" w:color="000000" w:fill="D0CECE"/>
            <w:vAlign w:val="center"/>
          </w:tcPr>
          <w:p w14:paraId="15DFEC4D">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预计出让年限</w:t>
            </w:r>
          </w:p>
        </w:tc>
      </w:tr>
      <w:tr w14:paraId="65D1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blHeader/>
          <w:jc w:val="center"/>
        </w:trPr>
        <w:tc>
          <w:tcPr>
            <w:tcW w:w="1327" w:type="pct"/>
            <w:vMerge w:val="continue"/>
            <w:vAlign w:val="center"/>
          </w:tcPr>
          <w:p w14:paraId="742F8990">
            <w:pPr>
              <w:widowControl/>
              <w:jc w:val="left"/>
              <w:rPr>
                <w:rFonts w:hint="eastAsia" w:ascii="宋体" w:hAnsi="宋体" w:eastAsia="宋体" w:cs="宋体"/>
                <w:b/>
                <w:bCs/>
                <w:color w:val="000000"/>
                <w:kern w:val="0"/>
                <w:sz w:val="20"/>
                <w:szCs w:val="20"/>
                <w:lang w:val="en-GB"/>
              </w:rPr>
            </w:pPr>
          </w:p>
        </w:tc>
        <w:tc>
          <w:tcPr>
            <w:tcW w:w="957" w:type="pct"/>
            <w:vMerge w:val="continue"/>
            <w:vAlign w:val="center"/>
          </w:tcPr>
          <w:p w14:paraId="1423ED72">
            <w:pPr>
              <w:widowControl/>
              <w:jc w:val="left"/>
              <w:rPr>
                <w:rFonts w:hint="eastAsia" w:ascii="宋体" w:hAnsi="宋体" w:eastAsia="宋体" w:cs="宋体"/>
                <w:b/>
                <w:bCs/>
                <w:color w:val="000000"/>
                <w:kern w:val="0"/>
                <w:sz w:val="20"/>
                <w:szCs w:val="20"/>
                <w:lang w:val="en-GB"/>
              </w:rPr>
            </w:pPr>
          </w:p>
        </w:tc>
        <w:tc>
          <w:tcPr>
            <w:tcW w:w="499" w:type="pct"/>
            <w:shd w:val="clear" w:color="000000" w:fill="D0CECE"/>
            <w:vAlign w:val="center"/>
          </w:tcPr>
          <w:p w14:paraId="11C3C874">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（亩）</w:t>
            </w:r>
          </w:p>
        </w:tc>
        <w:tc>
          <w:tcPr>
            <w:tcW w:w="761" w:type="pct"/>
            <w:shd w:val="clear" w:color="000000" w:fill="D0CECE"/>
            <w:vAlign w:val="center"/>
          </w:tcPr>
          <w:p w14:paraId="37E117F2">
            <w:pPr>
              <w:widowControl/>
              <w:jc w:val="center"/>
              <w:rPr>
                <w:rFonts w:hint="eastAsia" w:ascii="宋体" w:hAnsi="宋体" w:eastAsia="宋体" w:cs="宋体"/>
                <w:b/>
                <w:bCs/>
                <w:color w:val="000000"/>
                <w:kern w:val="0"/>
                <w:sz w:val="20"/>
                <w:szCs w:val="20"/>
                <w:lang w:val="en-GB"/>
              </w:rPr>
            </w:pPr>
            <w:r>
              <w:rPr>
                <w:rFonts w:hint="eastAsia" w:ascii="宋体" w:hAnsi="宋体" w:eastAsia="宋体" w:cs="宋体"/>
                <w:b/>
                <w:bCs/>
                <w:color w:val="000000"/>
                <w:kern w:val="0"/>
                <w:sz w:val="20"/>
                <w:szCs w:val="20"/>
                <w:lang w:val="en-GB"/>
              </w:rPr>
              <w:t>（万元/亩）</w:t>
            </w:r>
          </w:p>
        </w:tc>
        <w:tc>
          <w:tcPr>
            <w:tcW w:w="641" w:type="pct"/>
            <w:vMerge w:val="continue"/>
            <w:vAlign w:val="center"/>
          </w:tcPr>
          <w:p w14:paraId="407622A6">
            <w:pPr>
              <w:widowControl/>
              <w:jc w:val="left"/>
              <w:rPr>
                <w:rFonts w:hint="eastAsia" w:ascii="宋体" w:hAnsi="宋体" w:eastAsia="宋体" w:cs="宋体"/>
                <w:b/>
                <w:bCs/>
                <w:color w:val="000000"/>
                <w:kern w:val="0"/>
                <w:sz w:val="20"/>
                <w:szCs w:val="20"/>
                <w:lang w:val="en-GB"/>
              </w:rPr>
            </w:pPr>
          </w:p>
        </w:tc>
        <w:tc>
          <w:tcPr>
            <w:tcW w:w="814" w:type="pct"/>
            <w:vMerge w:val="continue"/>
            <w:vAlign w:val="center"/>
          </w:tcPr>
          <w:p w14:paraId="15C4B445">
            <w:pPr>
              <w:widowControl/>
              <w:jc w:val="left"/>
              <w:rPr>
                <w:rFonts w:hint="eastAsia" w:ascii="宋体" w:hAnsi="宋体" w:eastAsia="宋体" w:cs="宋体"/>
                <w:b/>
                <w:bCs/>
                <w:color w:val="000000"/>
                <w:kern w:val="0"/>
                <w:sz w:val="20"/>
                <w:szCs w:val="20"/>
                <w:lang w:val="en-GB"/>
              </w:rPr>
            </w:pPr>
          </w:p>
        </w:tc>
      </w:tr>
      <w:tr w14:paraId="6DD1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27" w:type="pct"/>
            <w:vMerge w:val="restart"/>
            <w:shd w:val="clear" w:color="auto" w:fill="auto"/>
            <w:noWrap/>
            <w:vAlign w:val="center"/>
          </w:tcPr>
          <w:p w14:paraId="0A9BAE71">
            <w:pPr>
              <w:widowControl/>
              <w:jc w:val="left"/>
              <w:rPr>
                <w:rFonts w:hint="eastAsia" w:ascii="宋体" w:hAnsi="宋体" w:eastAsia="宋体" w:cs="宋体"/>
                <w:color w:val="000000"/>
                <w:kern w:val="0"/>
                <w:sz w:val="20"/>
                <w:szCs w:val="20"/>
                <w:lang w:val="en-GB"/>
              </w:rPr>
            </w:pPr>
            <w:r>
              <w:rPr>
                <w:rFonts w:hint="eastAsia" w:ascii="宋体" w:hAnsi="宋体" w:eastAsia="宋体" w:cs="Times New Roman"/>
                <w:kern w:val="0"/>
                <w:sz w:val="20"/>
                <w:szCs w:val="20"/>
                <w:lang w:val="en-GB"/>
              </w:rPr>
              <w:t>海口江东新区产业发展配套基础设施项目（三期）</w:t>
            </w:r>
          </w:p>
        </w:tc>
        <w:tc>
          <w:tcPr>
            <w:tcW w:w="957" w:type="pct"/>
            <w:shd w:val="clear" w:color="auto" w:fill="auto"/>
            <w:noWrap/>
            <w:vAlign w:val="center"/>
          </w:tcPr>
          <w:p w14:paraId="320257A3">
            <w:pPr>
              <w:widowControl/>
              <w:jc w:val="center"/>
              <w:rPr>
                <w:rFonts w:hint="eastAsia" w:ascii="宋体" w:hAnsi="宋体" w:eastAsia="宋体" w:cs="Times New Roman"/>
                <w:color w:val="000000"/>
                <w:kern w:val="0"/>
                <w:sz w:val="20"/>
                <w:szCs w:val="20"/>
                <w:lang w:val="en-GB"/>
              </w:rPr>
            </w:pPr>
            <w:r>
              <w:rPr>
                <w:rFonts w:hint="eastAsia" w:ascii="宋体" w:hAnsi="宋体" w:eastAsia="宋体" w:cs="Times New Roman"/>
                <w:color w:val="000000"/>
                <w:kern w:val="0"/>
                <w:sz w:val="20"/>
                <w:szCs w:val="20"/>
                <w:lang w:val="en-GB"/>
              </w:rPr>
              <w:t>JDZH-06-G05-02</w:t>
            </w:r>
          </w:p>
        </w:tc>
        <w:tc>
          <w:tcPr>
            <w:tcW w:w="499" w:type="pct"/>
            <w:shd w:val="clear" w:color="auto" w:fill="auto"/>
            <w:noWrap/>
            <w:vAlign w:val="center"/>
          </w:tcPr>
          <w:p w14:paraId="72006038">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18.90</w:t>
            </w:r>
          </w:p>
        </w:tc>
        <w:tc>
          <w:tcPr>
            <w:tcW w:w="761" w:type="pct"/>
            <w:shd w:val="clear" w:color="auto" w:fill="auto"/>
            <w:noWrap/>
            <w:vAlign w:val="center"/>
          </w:tcPr>
          <w:p w14:paraId="3F51821D">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1,500.00</w:t>
            </w:r>
          </w:p>
        </w:tc>
        <w:tc>
          <w:tcPr>
            <w:tcW w:w="641" w:type="pct"/>
            <w:shd w:val="clear" w:color="auto" w:fill="auto"/>
            <w:noWrap/>
            <w:vAlign w:val="center"/>
          </w:tcPr>
          <w:p w14:paraId="1E290E27">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二类居住</w:t>
            </w:r>
          </w:p>
        </w:tc>
        <w:tc>
          <w:tcPr>
            <w:tcW w:w="814" w:type="pct"/>
            <w:shd w:val="clear" w:color="auto" w:fill="auto"/>
            <w:noWrap/>
            <w:vAlign w:val="center"/>
          </w:tcPr>
          <w:p w14:paraId="2202AB4E">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2027-2035</w:t>
            </w:r>
          </w:p>
        </w:tc>
      </w:tr>
      <w:tr w14:paraId="4617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327" w:type="pct"/>
            <w:vMerge w:val="continue"/>
            <w:shd w:val="clear" w:color="auto" w:fill="auto"/>
            <w:noWrap/>
            <w:vAlign w:val="center"/>
          </w:tcPr>
          <w:p w14:paraId="7B6D3E34">
            <w:pPr>
              <w:widowControl/>
              <w:jc w:val="left"/>
              <w:rPr>
                <w:rFonts w:hint="eastAsia" w:ascii="宋体" w:hAnsi="宋体" w:eastAsia="宋体" w:cs="Times New Roman"/>
                <w:kern w:val="0"/>
                <w:sz w:val="20"/>
                <w:szCs w:val="20"/>
                <w:lang w:val="en-GB"/>
              </w:rPr>
            </w:pPr>
          </w:p>
        </w:tc>
        <w:tc>
          <w:tcPr>
            <w:tcW w:w="957" w:type="pct"/>
            <w:shd w:val="clear" w:color="auto" w:fill="auto"/>
            <w:noWrap/>
            <w:vAlign w:val="center"/>
          </w:tcPr>
          <w:p w14:paraId="0EB7D430">
            <w:pPr>
              <w:widowControl/>
              <w:jc w:val="center"/>
              <w:rPr>
                <w:rFonts w:hint="eastAsia" w:ascii="宋体" w:hAnsi="宋体" w:eastAsia="宋体" w:cs="Times New Roman"/>
                <w:color w:val="000000"/>
                <w:kern w:val="0"/>
                <w:sz w:val="20"/>
                <w:szCs w:val="20"/>
                <w:lang w:val="en-GB"/>
              </w:rPr>
            </w:pPr>
            <w:r>
              <w:rPr>
                <w:rFonts w:ascii="宋体" w:hAnsi="宋体" w:eastAsia="宋体" w:cs="Times New Roman"/>
                <w:color w:val="000000"/>
                <w:kern w:val="0"/>
                <w:sz w:val="20"/>
                <w:szCs w:val="20"/>
                <w:lang w:val="en-GB"/>
              </w:rPr>
              <w:t>JDZH-02-A09-1-11</w:t>
            </w:r>
          </w:p>
        </w:tc>
        <w:tc>
          <w:tcPr>
            <w:tcW w:w="499" w:type="pct"/>
            <w:shd w:val="clear" w:color="auto" w:fill="auto"/>
            <w:noWrap/>
            <w:vAlign w:val="center"/>
          </w:tcPr>
          <w:p w14:paraId="2023ADC0">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2.00</w:t>
            </w:r>
          </w:p>
        </w:tc>
        <w:tc>
          <w:tcPr>
            <w:tcW w:w="761" w:type="pct"/>
            <w:shd w:val="clear" w:color="auto" w:fill="auto"/>
            <w:noWrap/>
            <w:vAlign w:val="center"/>
          </w:tcPr>
          <w:p w14:paraId="21DEA01B">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1,500.00</w:t>
            </w:r>
          </w:p>
        </w:tc>
        <w:tc>
          <w:tcPr>
            <w:tcW w:w="641" w:type="pct"/>
            <w:shd w:val="clear" w:color="auto" w:fill="auto"/>
            <w:noWrap/>
            <w:vAlign w:val="center"/>
          </w:tcPr>
          <w:p w14:paraId="61EF8C00">
            <w:pPr>
              <w:widowControl/>
              <w:jc w:val="center"/>
              <w:rPr>
                <w:rFonts w:hint="eastAsia" w:ascii="宋体" w:hAnsi="宋体" w:eastAsia="宋体" w:cs="宋体"/>
                <w:color w:val="000000"/>
                <w:kern w:val="0"/>
                <w:sz w:val="20"/>
                <w:szCs w:val="20"/>
                <w:lang w:val="en-GB"/>
              </w:rPr>
            </w:pPr>
            <w:r>
              <w:rPr>
                <w:rFonts w:hint="eastAsia" w:ascii="宋体" w:hAnsi="宋体" w:eastAsia="宋体" w:cs="宋体"/>
                <w:color w:val="000000"/>
                <w:kern w:val="0"/>
                <w:sz w:val="20"/>
                <w:szCs w:val="20"/>
                <w:lang w:val="en-GB"/>
              </w:rPr>
              <w:t>二类居住</w:t>
            </w:r>
          </w:p>
        </w:tc>
        <w:tc>
          <w:tcPr>
            <w:tcW w:w="814" w:type="pct"/>
            <w:shd w:val="clear" w:color="auto" w:fill="auto"/>
            <w:noWrap/>
            <w:vAlign w:val="center"/>
          </w:tcPr>
          <w:p w14:paraId="4964F4B0">
            <w:pPr>
              <w:widowControl/>
              <w:jc w:val="center"/>
              <w:rPr>
                <w:rFonts w:hint="eastAsia" w:ascii="宋体" w:hAnsi="宋体" w:eastAsia="宋体" w:cs="宋体"/>
                <w:color w:val="000000"/>
                <w:kern w:val="0"/>
                <w:sz w:val="20"/>
                <w:szCs w:val="20"/>
                <w:lang w:val="en-GB"/>
              </w:rPr>
            </w:pPr>
            <w:r>
              <w:rPr>
                <w:rFonts w:ascii="宋体" w:hAnsi="宋体" w:eastAsia="宋体" w:cs="宋体"/>
                <w:color w:val="000000"/>
                <w:kern w:val="0"/>
                <w:sz w:val="20"/>
                <w:szCs w:val="20"/>
                <w:lang w:val="en-GB"/>
              </w:rPr>
              <w:t>2027-2035</w:t>
            </w:r>
          </w:p>
        </w:tc>
      </w:tr>
    </w:tbl>
    <w:p w14:paraId="706FCA2E">
      <w:pPr>
        <w:widowControl/>
        <w:adjustRightInd w:val="0"/>
        <w:spacing w:before="120" w:after="120" w:line="360" w:lineRule="auto"/>
        <w:ind w:firstLine="480" w:firstLineChars="200"/>
        <w:jc w:val="both"/>
        <w:rPr>
          <w:rFonts w:hint="eastAsia" w:ascii="宋体" w:hAnsi="宋体" w:eastAsia="宋体" w:cs="Times New Roman"/>
          <w:color w:val="000000"/>
          <w:kern w:val="0"/>
          <w:sz w:val="24"/>
          <w:szCs w:val="24"/>
          <w:lang w:val="en-GB"/>
        </w:rPr>
      </w:pPr>
      <w:bookmarkStart w:id="30" w:name="_Toc200555361"/>
      <w:r>
        <w:rPr>
          <w:rFonts w:hint="eastAsia" w:ascii="宋体" w:hAnsi="宋体" w:eastAsia="宋体" w:cs="Times New Roman"/>
          <w:color w:val="000000"/>
          <w:kern w:val="0"/>
          <w:sz w:val="24"/>
          <w:szCs w:val="24"/>
          <w:lang w:val="en-GB"/>
        </w:rPr>
        <w:t>（2）灯杆广告位出租收入预测</w:t>
      </w:r>
    </w:p>
    <w:p w14:paraId="023E2928">
      <w:pPr>
        <w:widowControl/>
        <w:adjustRightInd w:val="0"/>
        <w:spacing w:before="120" w:after="120" w:line="360" w:lineRule="auto"/>
        <w:ind w:firstLine="480" w:firstLineChars="200"/>
        <w:jc w:val="both"/>
        <w:rPr>
          <w:rFonts w:hint="eastAsia" w:ascii="宋体" w:hAnsi="宋体" w:eastAsia="宋体" w:cs="Times New Roman"/>
          <w:color w:val="000000"/>
          <w:kern w:val="0"/>
          <w:sz w:val="24"/>
          <w:szCs w:val="24"/>
          <w:lang w:val="en-GB"/>
        </w:rPr>
      </w:pPr>
      <w:r>
        <w:rPr>
          <w:rFonts w:hint="eastAsia" w:ascii="宋体" w:hAnsi="宋体" w:eastAsia="宋体" w:cs="Times New Roman"/>
          <w:color w:val="000000"/>
          <w:kern w:val="0"/>
          <w:sz w:val="24"/>
          <w:szCs w:val="24"/>
          <w:lang w:val="en-GB"/>
        </w:rPr>
        <w:t>根据《产业发展配套路网项目（三期）—安居房A09-2及C02地块配套路网可行性研究报告》及《产业发展配套路网项目（三期）—银色海岸配套道路可行性研究报告》，本项目拟建设</w:t>
      </w:r>
      <w:r>
        <w:rPr>
          <w:rFonts w:ascii="宋体" w:hAnsi="宋体" w:eastAsia="宋体" w:cs="Times New Roman"/>
          <w:color w:val="000000"/>
          <w:kern w:val="0"/>
          <w:sz w:val="24"/>
          <w:szCs w:val="24"/>
          <w:lang w:val="en-GB"/>
        </w:rPr>
        <w:t>80</w:t>
      </w:r>
      <w:r>
        <w:rPr>
          <w:rFonts w:hint="eastAsia" w:ascii="宋体" w:hAnsi="宋体" w:eastAsia="宋体" w:cs="Times New Roman"/>
          <w:color w:val="000000"/>
          <w:kern w:val="0"/>
          <w:sz w:val="24"/>
          <w:szCs w:val="24"/>
          <w:lang w:val="en-GB"/>
        </w:rPr>
        <w:t>个灯杆设施，结合周边同区域、同水平、同档位的灯杆广告位出租单价暂按5,000.00元/个/月计算，基于谨慎性原则，运营期出租率暂按90%考虑。</w:t>
      </w:r>
    </w:p>
    <w:p w14:paraId="4D3C5ED8">
      <w:pPr>
        <w:widowControl/>
        <w:spacing w:before="120" w:after="120" w:line="360" w:lineRule="auto"/>
        <w:ind w:firstLine="482" w:firstLineChars="200"/>
        <w:jc w:val="both"/>
        <w:outlineLvl w:val="2"/>
        <w:rPr>
          <w:rFonts w:hint="eastAsia" w:ascii="宋体" w:hAnsi="宋体" w:eastAsia="宋体" w:cs="Times New Roman"/>
          <w:b/>
          <w:bCs/>
          <w:color w:val="000000"/>
          <w:kern w:val="0"/>
          <w:sz w:val="24"/>
          <w:szCs w:val="24"/>
          <w:lang w:val="en-US"/>
        </w:rPr>
      </w:pPr>
      <w:r>
        <w:rPr>
          <w:rFonts w:ascii="宋体" w:hAnsi="宋体" w:eastAsia="宋体" w:cs="Times New Roman"/>
          <w:b/>
          <w:bCs/>
          <w:color w:val="000000"/>
          <w:kern w:val="0"/>
          <w:sz w:val="24"/>
          <w:szCs w:val="24"/>
          <w:lang w:val="en-US"/>
        </w:rPr>
        <w:t>2.</w:t>
      </w:r>
      <w:r>
        <w:rPr>
          <w:rFonts w:hint="eastAsia" w:ascii="宋体" w:hAnsi="宋体" w:eastAsia="宋体" w:cs="Times New Roman"/>
          <w:b/>
          <w:bCs/>
          <w:color w:val="000000"/>
          <w:kern w:val="0"/>
          <w:sz w:val="24"/>
          <w:szCs w:val="24"/>
          <w:lang w:val="en-US"/>
        </w:rPr>
        <w:t>项目成本</w:t>
      </w:r>
      <w:bookmarkEnd w:id="30"/>
    </w:p>
    <w:p w14:paraId="2749C376">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（1）土地出让成本</w:t>
      </w:r>
    </w:p>
    <w:p w14:paraId="1D43E024">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ascii="宋体" w:hAnsi="宋体" w:eastAsia="宋体" w:cs="华文细黑"/>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hint="eastAsia" w:ascii="宋体" w:hAnsi="宋体" w:eastAsia="宋体" w:cs="华文细黑"/>
          <w:color w:val="000000"/>
          <w:kern w:val="0"/>
          <w:sz w:val="24"/>
          <w:szCs w:val="24"/>
          <w:lang w:val="en-GB"/>
        </w:rPr>
        <w:t>25</w:t>
      </w:r>
      <w:r>
        <w:rPr>
          <w:rFonts w:ascii="宋体" w:hAnsi="宋体" w:eastAsia="宋体" w:cs="华文细黑"/>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267AD158">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（2）</w:t>
      </w:r>
      <w:bookmarkStart w:id="31" w:name="_Hlk200966303"/>
      <w:r>
        <w:rPr>
          <w:rFonts w:hint="eastAsia" w:ascii="宋体" w:hAnsi="宋体" w:eastAsia="宋体" w:cs="华文细黑"/>
          <w:color w:val="000000"/>
          <w:kern w:val="0"/>
          <w:sz w:val="24"/>
          <w:szCs w:val="24"/>
          <w:lang w:val="en-GB"/>
        </w:rPr>
        <w:t>运营成本</w:t>
      </w:r>
      <w:bookmarkEnd w:id="31"/>
    </w:p>
    <w:p w14:paraId="3AAAB6AF">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参考同类项目运营管理经验，运营成本一般按照项目运营收入的一定比例预估。参考同类项目运营成本占比数据，本项目运营成本暂按灯杆广告位出租收入的20%测算。</w:t>
      </w:r>
    </w:p>
    <w:p w14:paraId="71529078">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（3）相关税费</w:t>
      </w:r>
    </w:p>
    <w:p w14:paraId="7E730D42">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A．增值税：根据《中华人民共和国增值税法》，灯杆广告位出租收入增值税税率为9%。</w:t>
      </w:r>
    </w:p>
    <w:p w14:paraId="51BE3439">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189B5D88">
      <w:pPr>
        <w:widowControl/>
        <w:spacing w:before="120" w:after="120" w:line="360" w:lineRule="auto"/>
        <w:ind w:firstLine="480" w:firstLineChars="200"/>
        <w:jc w:val="both"/>
        <w:rPr>
          <w:rFonts w:hint="eastAsia" w:ascii="宋体" w:hAnsi="宋体" w:eastAsia="宋体" w:cs="华文细黑"/>
          <w:color w:val="000000"/>
          <w:kern w:val="0"/>
          <w:sz w:val="24"/>
          <w:szCs w:val="24"/>
          <w:lang w:val="en-GB"/>
        </w:rPr>
      </w:pPr>
      <w:r>
        <w:rPr>
          <w:rFonts w:hint="eastAsia" w:ascii="宋体" w:hAnsi="宋体" w:eastAsia="宋体" w:cs="华文细黑"/>
          <w:color w:val="000000"/>
          <w:kern w:val="0"/>
          <w:sz w:val="24"/>
          <w:szCs w:val="24"/>
          <w:lang w:val="en-GB"/>
        </w:rPr>
        <w:t>C．企业所得税：根据《海南自由贸易港建设总体方案》，对注册在海南自贸港并实质性运营的企业（负面清单行业除外），减按15%征收企业所得税。</w:t>
      </w:r>
    </w:p>
    <w:p w14:paraId="1144F7B9">
      <w:pPr>
        <w:widowControl/>
        <w:spacing w:line="360" w:lineRule="auto"/>
        <w:ind w:firstLine="482" w:firstLineChars="200"/>
        <w:jc w:val="left"/>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表9 海口江东新区产业发展配套基础设施项目（三期）收入成本预测表</w:t>
      </w:r>
    </w:p>
    <w:p w14:paraId="29944732">
      <w:pPr>
        <w:widowControl/>
        <w:ind w:right="84" w:rightChars="40" w:firstLine="400" w:firstLineChars="200"/>
        <w:jc w:val="right"/>
        <w:rPr>
          <w:rFonts w:hint="eastAsia" w:ascii="宋体" w:hAnsi="宋体" w:eastAsia="宋体" w:cs="Times New Roman"/>
          <w:kern w:val="0"/>
          <w:sz w:val="20"/>
          <w:szCs w:val="20"/>
          <w:lang w:val="en-GB"/>
        </w:rPr>
      </w:pPr>
      <w:r>
        <w:rPr>
          <w:rFonts w:ascii="宋体" w:hAnsi="宋体" w:eastAsia="宋体" w:cs="Times New Roman"/>
          <w:kern w:val="0"/>
          <w:sz w:val="20"/>
          <w:szCs w:val="20"/>
          <w:lang w:val="en-GB"/>
        </w:rPr>
        <w:t>单位：人民币万元</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994"/>
        <w:gridCol w:w="1073"/>
        <w:gridCol w:w="1073"/>
        <w:gridCol w:w="1073"/>
        <w:gridCol w:w="1073"/>
        <w:gridCol w:w="1070"/>
      </w:tblGrid>
      <w:tr w14:paraId="3B75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1792" w:type="pct"/>
            <w:shd w:val="clear" w:color="auto" w:fill="D8D8D8"/>
            <w:vAlign w:val="center"/>
          </w:tcPr>
          <w:p w14:paraId="43CD7C8D">
            <w:pPr>
              <w:widowControl/>
              <w:jc w:val="center"/>
              <w:rPr>
                <w:rFonts w:hint="eastAsia" w:ascii="黑体" w:hAnsi="黑体" w:eastAsia="黑体" w:cs="等线 Light"/>
                <w:b/>
                <w:color w:val="000000"/>
                <w:kern w:val="0"/>
                <w:sz w:val="20"/>
                <w:szCs w:val="20"/>
                <w:lang w:val="en-GB"/>
              </w:rPr>
            </w:pPr>
            <w:r>
              <w:rPr>
                <w:rFonts w:hint="eastAsia" w:ascii="黑体" w:hAnsi="黑体" w:eastAsia="黑体" w:cs="等线 Light"/>
                <w:b/>
                <w:color w:val="000000"/>
                <w:kern w:val="0"/>
                <w:sz w:val="20"/>
                <w:szCs w:val="20"/>
                <w:lang w:val="en-GB" w:eastAsia="zh-TW"/>
              </w:rPr>
              <w:t>运营期</w:t>
            </w:r>
          </w:p>
        </w:tc>
        <w:tc>
          <w:tcPr>
            <w:tcW w:w="642" w:type="pct"/>
            <w:shd w:val="clear" w:color="auto" w:fill="D8D8D8"/>
            <w:vAlign w:val="center"/>
          </w:tcPr>
          <w:p w14:paraId="2788A6A1">
            <w:pPr>
              <w:widowControl/>
              <w:jc w:val="center"/>
              <w:rPr>
                <w:rFonts w:hint="eastAsia" w:ascii="黑体" w:hAnsi="黑体" w:eastAsia="黑体" w:cs="Cambria Math"/>
                <w:b/>
                <w:color w:val="000000"/>
                <w:kern w:val="0"/>
                <w:sz w:val="20"/>
                <w:szCs w:val="20"/>
                <w:lang w:val="en-GB" w:eastAsia="zh-TW"/>
              </w:rPr>
            </w:pPr>
            <w:r>
              <w:rPr>
                <w:rFonts w:hint="eastAsia" w:ascii="黑体" w:hAnsi="黑体" w:eastAsia="黑体" w:cs="等线 Light"/>
                <w:b/>
                <w:kern w:val="0"/>
                <w:sz w:val="20"/>
                <w:szCs w:val="20"/>
                <w:lang w:val="en-GB"/>
              </w:rPr>
              <w:t>2027</w:t>
            </w:r>
          </w:p>
        </w:tc>
        <w:tc>
          <w:tcPr>
            <w:tcW w:w="642" w:type="pct"/>
            <w:shd w:val="clear" w:color="auto" w:fill="D8D8D8"/>
            <w:vAlign w:val="center"/>
          </w:tcPr>
          <w:p w14:paraId="33D1FD59">
            <w:pPr>
              <w:widowControl/>
              <w:jc w:val="center"/>
              <w:rPr>
                <w:rFonts w:hint="eastAsia" w:ascii="黑体" w:hAnsi="黑体" w:eastAsia="黑体" w:cs="Cambria Math"/>
                <w:b/>
                <w:color w:val="000000"/>
                <w:kern w:val="0"/>
                <w:sz w:val="20"/>
                <w:szCs w:val="20"/>
                <w:lang w:val="en-GB" w:eastAsia="zh-TW"/>
              </w:rPr>
            </w:pPr>
            <w:r>
              <w:rPr>
                <w:rFonts w:hint="eastAsia" w:ascii="黑体" w:hAnsi="黑体" w:eastAsia="黑体" w:cs="等线 Light"/>
                <w:b/>
                <w:kern w:val="0"/>
                <w:sz w:val="20"/>
                <w:szCs w:val="20"/>
                <w:lang w:val="en-GB"/>
              </w:rPr>
              <w:t>2028</w:t>
            </w:r>
          </w:p>
        </w:tc>
        <w:tc>
          <w:tcPr>
            <w:tcW w:w="642" w:type="pct"/>
            <w:shd w:val="clear" w:color="auto" w:fill="D8D8D8"/>
            <w:vAlign w:val="center"/>
          </w:tcPr>
          <w:p w14:paraId="0FD396EB">
            <w:pPr>
              <w:widowControl/>
              <w:jc w:val="center"/>
              <w:rPr>
                <w:rFonts w:hint="eastAsia" w:ascii="黑体" w:hAnsi="黑体" w:eastAsia="黑体" w:cs="Cambria Math"/>
                <w:b/>
                <w:color w:val="000000"/>
                <w:kern w:val="0"/>
                <w:sz w:val="20"/>
                <w:szCs w:val="20"/>
                <w:lang w:val="en-GB" w:eastAsia="zh-TW"/>
              </w:rPr>
            </w:pPr>
            <w:r>
              <w:rPr>
                <w:rFonts w:hint="eastAsia" w:ascii="黑体" w:hAnsi="黑体" w:eastAsia="黑体" w:cs="等线 Light"/>
                <w:b/>
                <w:kern w:val="0"/>
                <w:sz w:val="20"/>
                <w:szCs w:val="20"/>
                <w:lang w:val="en-GB"/>
              </w:rPr>
              <w:t>2</w:t>
            </w:r>
            <w:r>
              <w:rPr>
                <w:rFonts w:ascii="黑体" w:hAnsi="黑体" w:eastAsia="黑体" w:cs="等线 Light"/>
                <w:b/>
                <w:kern w:val="0"/>
                <w:sz w:val="20"/>
                <w:szCs w:val="20"/>
                <w:lang w:val="en-GB"/>
              </w:rPr>
              <w:t>029</w:t>
            </w:r>
          </w:p>
        </w:tc>
        <w:tc>
          <w:tcPr>
            <w:tcW w:w="642" w:type="pct"/>
            <w:shd w:val="clear" w:color="auto" w:fill="D8D8D8"/>
          </w:tcPr>
          <w:p w14:paraId="0B392857">
            <w:pPr>
              <w:widowControl/>
              <w:jc w:val="center"/>
              <w:rPr>
                <w:rFonts w:hint="eastAsia" w:ascii="黑体" w:hAnsi="黑体" w:eastAsia="黑体" w:cs="等线 Light"/>
                <w:b/>
                <w:kern w:val="0"/>
                <w:sz w:val="20"/>
                <w:szCs w:val="20"/>
                <w:lang w:val="en-GB"/>
              </w:rPr>
            </w:pPr>
            <w:r>
              <w:rPr>
                <w:rFonts w:hint="eastAsia" w:ascii="黑体" w:hAnsi="黑体" w:eastAsia="黑体" w:cs="等线 Light"/>
                <w:b/>
                <w:kern w:val="0"/>
                <w:sz w:val="20"/>
                <w:szCs w:val="20"/>
                <w:lang w:val="en-GB"/>
              </w:rPr>
              <w:t>2</w:t>
            </w:r>
            <w:r>
              <w:rPr>
                <w:rFonts w:ascii="黑体" w:hAnsi="黑体" w:eastAsia="黑体" w:cs="等线 Light"/>
                <w:b/>
                <w:kern w:val="0"/>
                <w:sz w:val="20"/>
                <w:szCs w:val="20"/>
                <w:lang w:val="en-GB"/>
              </w:rPr>
              <w:t>030</w:t>
            </w:r>
          </w:p>
        </w:tc>
        <w:tc>
          <w:tcPr>
            <w:tcW w:w="640" w:type="pct"/>
            <w:shd w:val="clear" w:color="auto" w:fill="D8D8D8"/>
            <w:vAlign w:val="center"/>
          </w:tcPr>
          <w:p w14:paraId="14E258AC">
            <w:pPr>
              <w:widowControl/>
              <w:jc w:val="center"/>
              <w:rPr>
                <w:rFonts w:hint="eastAsia" w:ascii="黑体" w:hAnsi="黑体" w:eastAsia="黑体" w:cs="等线 Light"/>
                <w:b/>
                <w:kern w:val="0"/>
                <w:sz w:val="20"/>
                <w:szCs w:val="20"/>
                <w:lang w:val="en-GB"/>
              </w:rPr>
            </w:pPr>
            <w:r>
              <w:rPr>
                <w:rFonts w:hint="eastAsia" w:ascii="黑体" w:hAnsi="黑体" w:eastAsia="黑体" w:cs="Cambria Math"/>
                <w:b/>
                <w:color w:val="000000"/>
                <w:kern w:val="0"/>
                <w:sz w:val="20"/>
                <w:szCs w:val="20"/>
                <w:lang w:val="en-GB" w:eastAsia="zh-TW"/>
              </w:rPr>
              <w:t>20</w:t>
            </w:r>
            <w:r>
              <w:rPr>
                <w:rFonts w:ascii="黑体" w:hAnsi="黑体" w:eastAsia="黑体" w:cs="Cambria Math"/>
                <w:b/>
                <w:color w:val="000000"/>
                <w:kern w:val="0"/>
                <w:sz w:val="20"/>
                <w:szCs w:val="20"/>
                <w:lang w:val="en-GB" w:eastAsia="zh-TW"/>
              </w:rPr>
              <w:t>31</w:t>
            </w:r>
          </w:p>
        </w:tc>
      </w:tr>
      <w:tr w14:paraId="24D5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39CB0165">
            <w:pPr>
              <w:widowControl/>
              <w:jc w:val="both"/>
              <w:rPr>
                <w:rFonts w:hint="eastAsia" w:ascii="黑体" w:hAnsi="黑体" w:eastAsia="黑体" w:cs="等线 Light"/>
                <w:color w:val="000000"/>
                <w:kern w:val="0"/>
                <w:sz w:val="20"/>
                <w:szCs w:val="20"/>
                <w:lang w:val="en-GB" w:eastAsia="zh-TW"/>
              </w:rPr>
            </w:pPr>
            <w:r>
              <w:rPr>
                <w:rFonts w:hint="eastAsia" w:ascii="黑体" w:hAnsi="黑体" w:eastAsia="黑体" w:cs="Times New Roman"/>
                <w:kern w:val="0"/>
                <w:sz w:val="20"/>
                <w:szCs w:val="20"/>
                <w:lang w:val="en-GB"/>
              </w:rPr>
              <w:t>土地出让收入</w:t>
            </w:r>
          </w:p>
        </w:tc>
        <w:tc>
          <w:tcPr>
            <w:tcW w:w="642" w:type="pct"/>
            <w:shd w:val="clear" w:color="000000" w:fill="FFFFFF"/>
            <w:vAlign w:val="center"/>
          </w:tcPr>
          <w:p w14:paraId="4FC0110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6,270.00</w:t>
            </w:r>
          </w:p>
        </w:tc>
        <w:tc>
          <w:tcPr>
            <w:tcW w:w="642" w:type="pct"/>
            <w:shd w:val="clear" w:color="000000" w:fill="FFFFFF"/>
            <w:vAlign w:val="center"/>
          </w:tcPr>
          <w:p w14:paraId="5C38C86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642" w:type="pct"/>
            <w:shd w:val="clear" w:color="000000" w:fill="FFFFFF"/>
            <w:vAlign w:val="center"/>
          </w:tcPr>
          <w:p w14:paraId="1528D22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642" w:type="pct"/>
            <w:shd w:val="clear" w:color="000000" w:fill="FFFFFF"/>
            <w:vAlign w:val="center"/>
          </w:tcPr>
          <w:p w14:paraId="74F9C09F">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640" w:type="pct"/>
            <w:shd w:val="clear" w:color="000000" w:fill="FFFFFF"/>
            <w:vAlign w:val="center"/>
          </w:tcPr>
          <w:p w14:paraId="383A8AA3">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r>
      <w:tr w14:paraId="5990D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001D9575">
            <w:pPr>
              <w:widowControl/>
              <w:jc w:val="both"/>
              <w:rPr>
                <w:rFonts w:hint="eastAsia" w:ascii="黑体" w:hAnsi="黑体" w:eastAsia="黑体" w:cs="等线 Light"/>
                <w:color w:val="000000"/>
                <w:kern w:val="0"/>
                <w:sz w:val="20"/>
                <w:szCs w:val="20"/>
                <w:lang w:val="en-GB" w:eastAsia="zh-TW"/>
              </w:rPr>
            </w:pPr>
            <w:r>
              <w:rPr>
                <w:rFonts w:hint="eastAsia" w:ascii="黑体" w:hAnsi="黑体" w:eastAsia="黑体" w:cs="Times New Roman"/>
                <w:kern w:val="0"/>
                <w:sz w:val="20"/>
                <w:szCs w:val="20"/>
                <w:lang w:val="en-GB"/>
              </w:rPr>
              <w:t>灯杆广告位出租收入</w:t>
            </w:r>
          </w:p>
        </w:tc>
        <w:tc>
          <w:tcPr>
            <w:tcW w:w="642" w:type="pct"/>
            <w:shd w:val="clear" w:color="000000" w:fill="FFFFFF"/>
            <w:vAlign w:val="center"/>
          </w:tcPr>
          <w:p w14:paraId="380ED350">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642" w:type="pct"/>
            <w:shd w:val="clear" w:color="000000" w:fill="FFFFFF"/>
            <w:vAlign w:val="center"/>
          </w:tcPr>
          <w:p w14:paraId="2D68ADE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642" w:type="pct"/>
            <w:shd w:val="clear" w:color="000000" w:fill="FFFFFF"/>
            <w:vAlign w:val="center"/>
          </w:tcPr>
          <w:p w14:paraId="4D02431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642" w:type="pct"/>
            <w:shd w:val="clear" w:color="000000" w:fill="FFFFFF"/>
            <w:vAlign w:val="center"/>
          </w:tcPr>
          <w:p w14:paraId="3B23004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640" w:type="pct"/>
            <w:shd w:val="clear" w:color="000000" w:fill="FFFFFF"/>
            <w:vAlign w:val="center"/>
          </w:tcPr>
          <w:p w14:paraId="591E0A3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r>
      <w:tr w14:paraId="087D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524BCDF3">
            <w:pPr>
              <w:widowControl/>
              <w:jc w:val="both"/>
              <w:rPr>
                <w:rFonts w:hint="eastAsia" w:ascii="黑体" w:hAnsi="黑体" w:eastAsia="黑体" w:cs="等线 Light"/>
                <w:b/>
                <w:bCs/>
                <w:color w:val="000000"/>
                <w:kern w:val="0"/>
                <w:sz w:val="20"/>
                <w:szCs w:val="20"/>
                <w:lang w:val="en-GB" w:eastAsia="zh-TW"/>
              </w:rPr>
            </w:pPr>
            <w:r>
              <w:rPr>
                <w:rFonts w:hint="eastAsia" w:ascii="黑体" w:hAnsi="黑体" w:eastAsia="黑体" w:cs="Times New Roman"/>
                <w:b/>
                <w:bCs/>
                <w:kern w:val="0"/>
                <w:sz w:val="20"/>
                <w:szCs w:val="20"/>
                <w:lang w:val="en-GB"/>
              </w:rPr>
              <w:t>收入合计</w:t>
            </w:r>
          </w:p>
        </w:tc>
        <w:tc>
          <w:tcPr>
            <w:tcW w:w="642" w:type="pct"/>
            <w:shd w:val="clear" w:color="000000" w:fill="FFFFFF"/>
            <w:vAlign w:val="center"/>
          </w:tcPr>
          <w:p w14:paraId="7A0F07EC">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6,702.00</w:t>
            </w:r>
          </w:p>
        </w:tc>
        <w:tc>
          <w:tcPr>
            <w:tcW w:w="642" w:type="pct"/>
            <w:shd w:val="clear" w:color="000000" w:fill="FFFFFF"/>
            <w:vAlign w:val="center"/>
          </w:tcPr>
          <w:p w14:paraId="1987AAA9">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642" w:type="pct"/>
            <w:shd w:val="clear" w:color="000000" w:fill="FFFFFF"/>
            <w:vAlign w:val="center"/>
          </w:tcPr>
          <w:p w14:paraId="122113AF">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642" w:type="pct"/>
            <w:shd w:val="clear" w:color="000000" w:fill="FFFFFF"/>
            <w:vAlign w:val="center"/>
          </w:tcPr>
          <w:p w14:paraId="7B106B3A">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640" w:type="pct"/>
            <w:shd w:val="clear" w:color="000000" w:fill="FFFFFF"/>
            <w:vAlign w:val="center"/>
          </w:tcPr>
          <w:p w14:paraId="2046C13D">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r>
      <w:tr w14:paraId="2045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779DFD7A">
            <w:pPr>
              <w:widowControl/>
              <w:jc w:val="both"/>
              <w:rPr>
                <w:rFonts w:hint="eastAsia" w:ascii="黑体" w:hAnsi="黑体" w:eastAsia="黑体" w:cs="等线 Light"/>
                <w:color w:val="000000"/>
                <w:kern w:val="0"/>
                <w:sz w:val="20"/>
                <w:szCs w:val="20"/>
                <w:lang w:val="en-GB"/>
              </w:rPr>
            </w:pPr>
            <w:r>
              <w:rPr>
                <w:rFonts w:hint="eastAsia" w:ascii="黑体" w:hAnsi="黑体" w:eastAsia="黑体" w:cs="Times New Roman"/>
                <w:kern w:val="0"/>
                <w:sz w:val="20"/>
                <w:szCs w:val="20"/>
                <w:lang w:val="en-GB"/>
              </w:rPr>
              <w:t>土地出让成本</w:t>
            </w:r>
          </w:p>
        </w:tc>
        <w:tc>
          <w:tcPr>
            <w:tcW w:w="642" w:type="pct"/>
            <w:shd w:val="clear" w:color="000000" w:fill="FFFFFF"/>
            <w:vAlign w:val="center"/>
          </w:tcPr>
          <w:p w14:paraId="0F22FC8C">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1,567.50</w:t>
            </w:r>
          </w:p>
        </w:tc>
        <w:tc>
          <w:tcPr>
            <w:tcW w:w="642" w:type="pct"/>
            <w:shd w:val="clear" w:color="000000" w:fill="FFFFFF"/>
            <w:vAlign w:val="center"/>
          </w:tcPr>
          <w:p w14:paraId="6D98077E">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783.75</w:t>
            </w:r>
          </w:p>
        </w:tc>
        <w:tc>
          <w:tcPr>
            <w:tcW w:w="642" w:type="pct"/>
            <w:shd w:val="clear" w:color="000000" w:fill="FFFFFF"/>
            <w:vAlign w:val="center"/>
          </w:tcPr>
          <w:p w14:paraId="1FE11EBD">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783.75</w:t>
            </w:r>
          </w:p>
        </w:tc>
        <w:tc>
          <w:tcPr>
            <w:tcW w:w="642" w:type="pct"/>
            <w:shd w:val="clear" w:color="000000" w:fill="FFFFFF"/>
            <w:vAlign w:val="center"/>
          </w:tcPr>
          <w:p w14:paraId="2DBF539E">
            <w:pPr>
              <w:widowControl/>
              <w:jc w:val="right"/>
              <w:rPr>
                <w:rFonts w:hint="eastAsia" w:ascii="黑体" w:hAnsi="黑体" w:eastAsia="黑体" w:cs="Times New Roman"/>
                <w:b/>
                <w:bCs/>
                <w:kern w:val="0"/>
                <w:sz w:val="20"/>
                <w:szCs w:val="20"/>
                <w:lang w:val="en-GB"/>
              </w:rPr>
            </w:pPr>
            <w:r>
              <w:rPr>
                <w:rFonts w:ascii="黑体" w:hAnsi="黑体" w:eastAsia="黑体" w:cs="Times New Roman"/>
                <w:kern w:val="0"/>
                <w:sz w:val="20"/>
                <w:szCs w:val="20"/>
                <w:lang w:val="en-GB"/>
              </w:rPr>
              <w:t>783.75</w:t>
            </w:r>
          </w:p>
        </w:tc>
        <w:tc>
          <w:tcPr>
            <w:tcW w:w="640" w:type="pct"/>
            <w:shd w:val="clear" w:color="000000" w:fill="FFFFFF"/>
            <w:vAlign w:val="center"/>
          </w:tcPr>
          <w:p w14:paraId="45A1A23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783.75</w:t>
            </w:r>
          </w:p>
        </w:tc>
      </w:tr>
      <w:tr w14:paraId="1E5D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263BADBD">
            <w:pPr>
              <w:widowControl/>
              <w:jc w:val="both"/>
              <w:rPr>
                <w:rFonts w:hint="eastAsia" w:ascii="黑体" w:hAnsi="黑体" w:eastAsia="黑体" w:cs="等线 Light"/>
                <w:b/>
                <w:color w:val="000000"/>
                <w:kern w:val="0"/>
                <w:sz w:val="20"/>
                <w:szCs w:val="20"/>
                <w:lang w:val="en-GB"/>
              </w:rPr>
            </w:pPr>
            <w:r>
              <w:rPr>
                <w:rFonts w:hint="eastAsia" w:ascii="黑体" w:hAnsi="黑体" w:eastAsia="黑体" w:cs="Times New Roman"/>
                <w:kern w:val="0"/>
                <w:sz w:val="20"/>
                <w:szCs w:val="20"/>
                <w:lang w:val="en-GB"/>
              </w:rPr>
              <w:t>运营成本</w:t>
            </w:r>
          </w:p>
        </w:tc>
        <w:tc>
          <w:tcPr>
            <w:tcW w:w="642" w:type="pct"/>
            <w:shd w:val="clear" w:color="000000" w:fill="FFFFFF"/>
            <w:vAlign w:val="center"/>
          </w:tcPr>
          <w:p w14:paraId="51351DFF">
            <w:pPr>
              <w:widowControl/>
              <w:jc w:val="right"/>
              <w:rPr>
                <w:rFonts w:hint="eastAsia" w:ascii="黑体" w:hAnsi="黑体" w:eastAsia="黑体" w:cs="Times New Roman"/>
                <w:b/>
                <w:kern w:val="0"/>
                <w:sz w:val="20"/>
                <w:szCs w:val="20"/>
                <w:lang w:val="en-GB"/>
              </w:rPr>
            </w:pPr>
            <w:r>
              <w:rPr>
                <w:rFonts w:ascii="黑体" w:hAnsi="黑体" w:eastAsia="黑体" w:cs="Times New Roman"/>
                <w:kern w:val="0"/>
                <w:sz w:val="20"/>
                <w:szCs w:val="20"/>
                <w:lang w:val="en-GB"/>
              </w:rPr>
              <w:t>86.40</w:t>
            </w:r>
          </w:p>
        </w:tc>
        <w:tc>
          <w:tcPr>
            <w:tcW w:w="642" w:type="pct"/>
            <w:shd w:val="clear" w:color="000000" w:fill="FFFFFF"/>
            <w:vAlign w:val="center"/>
          </w:tcPr>
          <w:p w14:paraId="70AAB80F">
            <w:pPr>
              <w:widowControl/>
              <w:jc w:val="right"/>
              <w:rPr>
                <w:rFonts w:hint="eastAsia" w:ascii="黑体" w:hAnsi="黑体" w:eastAsia="黑体" w:cs="Times New Roman"/>
                <w:b/>
                <w:kern w:val="0"/>
                <w:sz w:val="20"/>
                <w:szCs w:val="20"/>
                <w:lang w:val="en-GB"/>
              </w:rPr>
            </w:pPr>
            <w:r>
              <w:rPr>
                <w:rFonts w:ascii="黑体" w:hAnsi="黑体" w:eastAsia="黑体" w:cs="Times New Roman"/>
                <w:kern w:val="0"/>
                <w:sz w:val="20"/>
                <w:szCs w:val="20"/>
                <w:lang w:val="en-GB"/>
              </w:rPr>
              <w:t>86.40</w:t>
            </w:r>
          </w:p>
        </w:tc>
        <w:tc>
          <w:tcPr>
            <w:tcW w:w="642" w:type="pct"/>
            <w:shd w:val="clear" w:color="000000" w:fill="FFFFFF"/>
            <w:vAlign w:val="center"/>
          </w:tcPr>
          <w:p w14:paraId="52A4FB76">
            <w:pPr>
              <w:widowControl/>
              <w:jc w:val="right"/>
              <w:rPr>
                <w:rFonts w:hint="eastAsia" w:ascii="黑体" w:hAnsi="黑体" w:eastAsia="黑体" w:cs="Times New Roman"/>
                <w:b/>
                <w:kern w:val="0"/>
                <w:sz w:val="20"/>
                <w:szCs w:val="20"/>
                <w:lang w:val="en-GB"/>
              </w:rPr>
            </w:pPr>
            <w:r>
              <w:rPr>
                <w:rFonts w:ascii="黑体" w:hAnsi="黑体" w:eastAsia="黑体" w:cs="Times New Roman"/>
                <w:kern w:val="0"/>
                <w:sz w:val="20"/>
                <w:szCs w:val="20"/>
                <w:lang w:val="en-GB"/>
              </w:rPr>
              <w:t>86.40</w:t>
            </w:r>
          </w:p>
        </w:tc>
        <w:tc>
          <w:tcPr>
            <w:tcW w:w="642" w:type="pct"/>
            <w:shd w:val="clear" w:color="000000" w:fill="FFFFFF"/>
            <w:vAlign w:val="center"/>
          </w:tcPr>
          <w:p w14:paraId="22DCF3EA">
            <w:pPr>
              <w:widowControl/>
              <w:jc w:val="right"/>
              <w:rPr>
                <w:rFonts w:hint="eastAsia" w:ascii="黑体" w:hAnsi="黑体" w:eastAsia="黑体" w:cs="Times New Roman"/>
                <w:b/>
                <w:kern w:val="0"/>
                <w:sz w:val="20"/>
                <w:szCs w:val="20"/>
                <w:lang w:val="en-GB"/>
              </w:rPr>
            </w:pPr>
            <w:r>
              <w:rPr>
                <w:rFonts w:ascii="黑体" w:hAnsi="黑体" w:eastAsia="黑体" w:cs="Times New Roman"/>
                <w:kern w:val="0"/>
                <w:sz w:val="20"/>
                <w:szCs w:val="20"/>
                <w:lang w:val="en-GB"/>
              </w:rPr>
              <w:t>86.40</w:t>
            </w:r>
          </w:p>
        </w:tc>
        <w:tc>
          <w:tcPr>
            <w:tcW w:w="640" w:type="pct"/>
            <w:shd w:val="clear" w:color="000000" w:fill="FFFFFF"/>
            <w:vAlign w:val="center"/>
          </w:tcPr>
          <w:p w14:paraId="15851326">
            <w:pPr>
              <w:widowControl/>
              <w:jc w:val="right"/>
              <w:rPr>
                <w:rFonts w:hint="eastAsia" w:ascii="黑体" w:hAnsi="黑体" w:eastAsia="黑体" w:cs="Times New Roman"/>
                <w:b/>
                <w:color w:val="000000"/>
                <w:kern w:val="0"/>
                <w:sz w:val="20"/>
                <w:szCs w:val="20"/>
                <w:lang w:val="en-GB"/>
              </w:rPr>
            </w:pPr>
            <w:r>
              <w:rPr>
                <w:rFonts w:ascii="黑体" w:hAnsi="黑体" w:eastAsia="黑体" w:cs="Times New Roman"/>
                <w:kern w:val="0"/>
                <w:sz w:val="20"/>
                <w:szCs w:val="20"/>
                <w:lang w:val="en-GB"/>
              </w:rPr>
              <w:t>86.40</w:t>
            </w:r>
          </w:p>
        </w:tc>
      </w:tr>
      <w:tr w14:paraId="4828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64A6611C">
            <w:pPr>
              <w:widowControl/>
              <w:jc w:val="both"/>
              <w:rPr>
                <w:rFonts w:hint="eastAsia" w:ascii="黑体" w:hAnsi="黑体" w:eastAsia="黑体" w:cs="等线 Light"/>
                <w:color w:val="000000"/>
                <w:kern w:val="0"/>
                <w:sz w:val="20"/>
                <w:szCs w:val="20"/>
                <w:lang w:val="en-GB"/>
              </w:rPr>
            </w:pPr>
            <w:r>
              <w:rPr>
                <w:rFonts w:hint="eastAsia" w:ascii="黑体" w:hAnsi="黑体" w:eastAsia="黑体" w:cs="Times New Roman"/>
                <w:kern w:val="0"/>
                <w:sz w:val="20"/>
                <w:szCs w:val="20"/>
                <w:lang w:val="en-GB"/>
              </w:rPr>
              <w:t>相关税费</w:t>
            </w:r>
          </w:p>
        </w:tc>
        <w:tc>
          <w:tcPr>
            <w:tcW w:w="642" w:type="pct"/>
            <w:shd w:val="clear" w:color="000000" w:fill="FFFFFF"/>
            <w:vAlign w:val="center"/>
          </w:tcPr>
          <w:p w14:paraId="70D5B559">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34.47</w:t>
            </w:r>
          </w:p>
        </w:tc>
        <w:tc>
          <w:tcPr>
            <w:tcW w:w="642" w:type="pct"/>
            <w:shd w:val="clear" w:color="000000" w:fill="FFFFFF"/>
            <w:vAlign w:val="center"/>
          </w:tcPr>
          <w:p w14:paraId="28544CAD">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34.47</w:t>
            </w:r>
          </w:p>
        </w:tc>
        <w:tc>
          <w:tcPr>
            <w:tcW w:w="642" w:type="pct"/>
            <w:shd w:val="clear" w:color="000000" w:fill="FFFFFF"/>
            <w:vAlign w:val="center"/>
          </w:tcPr>
          <w:p w14:paraId="2EE11F05">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34.47</w:t>
            </w:r>
          </w:p>
        </w:tc>
        <w:tc>
          <w:tcPr>
            <w:tcW w:w="642" w:type="pct"/>
            <w:shd w:val="clear" w:color="000000" w:fill="FFFFFF"/>
            <w:vAlign w:val="center"/>
          </w:tcPr>
          <w:p w14:paraId="4BD49972">
            <w:pPr>
              <w:widowControl/>
              <w:jc w:val="right"/>
              <w:rPr>
                <w:rFonts w:hint="eastAsia" w:ascii="黑体" w:hAnsi="黑体" w:eastAsia="黑体" w:cs="Times New Roman"/>
                <w:b/>
                <w:bCs/>
                <w:kern w:val="0"/>
                <w:sz w:val="20"/>
                <w:szCs w:val="20"/>
                <w:lang w:val="en-GB"/>
              </w:rPr>
            </w:pPr>
            <w:r>
              <w:rPr>
                <w:rFonts w:ascii="黑体" w:hAnsi="黑体" w:eastAsia="黑体" w:cs="Times New Roman"/>
                <w:kern w:val="0"/>
                <w:sz w:val="20"/>
                <w:szCs w:val="20"/>
                <w:lang w:val="en-GB"/>
              </w:rPr>
              <w:t>34.47</w:t>
            </w:r>
          </w:p>
        </w:tc>
        <w:tc>
          <w:tcPr>
            <w:tcW w:w="640" w:type="pct"/>
            <w:shd w:val="clear" w:color="000000" w:fill="FFFFFF"/>
            <w:vAlign w:val="center"/>
          </w:tcPr>
          <w:p w14:paraId="1D7ABC20">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34.47</w:t>
            </w:r>
          </w:p>
        </w:tc>
      </w:tr>
      <w:tr w14:paraId="106B3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792" w:type="pct"/>
            <w:shd w:val="clear" w:color="000000" w:fill="FFFFFF"/>
            <w:vAlign w:val="center"/>
          </w:tcPr>
          <w:p w14:paraId="669C6B22">
            <w:pPr>
              <w:widowControl/>
              <w:jc w:val="both"/>
              <w:rPr>
                <w:rFonts w:hint="eastAsia" w:ascii="黑体" w:hAnsi="黑体" w:eastAsia="黑体" w:cs="等线 Light"/>
                <w:b/>
                <w:bCs/>
                <w:color w:val="000000"/>
                <w:kern w:val="0"/>
                <w:sz w:val="20"/>
                <w:szCs w:val="20"/>
                <w:lang w:val="en-GB"/>
              </w:rPr>
            </w:pPr>
            <w:r>
              <w:rPr>
                <w:rFonts w:hint="eastAsia" w:ascii="黑体" w:hAnsi="黑体" w:eastAsia="黑体" w:cs="Times New Roman"/>
                <w:b/>
                <w:bCs/>
                <w:kern w:val="0"/>
                <w:sz w:val="20"/>
                <w:szCs w:val="20"/>
                <w:lang w:val="en-GB"/>
              </w:rPr>
              <w:t>成本合计</w:t>
            </w:r>
          </w:p>
        </w:tc>
        <w:tc>
          <w:tcPr>
            <w:tcW w:w="642" w:type="pct"/>
            <w:shd w:val="clear" w:color="000000" w:fill="FFFFFF"/>
            <w:vAlign w:val="center"/>
          </w:tcPr>
          <w:p w14:paraId="42F320B4">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1,688.37</w:t>
            </w:r>
          </w:p>
        </w:tc>
        <w:tc>
          <w:tcPr>
            <w:tcW w:w="642" w:type="pct"/>
            <w:shd w:val="clear" w:color="000000" w:fill="FFFFFF"/>
            <w:vAlign w:val="center"/>
          </w:tcPr>
          <w:p w14:paraId="61E840C3">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904.62</w:t>
            </w:r>
          </w:p>
        </w:tc>
        <w:tc>
          <w:tcPr>
            <w:tcW w:w="642" w:type="pct"/>
            <w:shd w:val="clear" w:color="000000" w:fill="FFFFFF"/>
            <w:vAlign w:val="center"/>
          </w:tcPr>
          <w:p w14:paraId="1F3133AD">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904.62</w:t>
            </w:r>
          </w:p>
        </w:tc>
        <w:tc>
          <w:tcPr>
            <w:tcW w:w="642" w:type="pct"/>
            <w:shd w:val="clear" w:color="000000" w:fill="FFFFFF"/>
            <w:vAlign w:val="center"/>
          </w:tcPr>
          <w:p w14:paraId="65606A0D">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904.62</w:t>
            </w:r>
          </w:p>
        </w:tc>
        <w:tc>
          <w:tcPr>
            <w:tcW w:w="640" w:type="pct"/>
            <w:shd w:val="clear" w:color="000000" w:fill="FFFFFF"/>
            <w:vAlign w:val="center"/>
          </w:tcPr>
          <w:p w14:paraId="70B080A1">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904.62</w:t>
            </w:r>
          </w:p>
        </w:tc>
      </w:tr>
    </w:tbl>
    <w:p w14:paraId="728A97CE">
      <w:pPr>
        <w:widowControl/>
        <w:spacing w:line="360" w:lineRule="auto"/>
        <w:ind w:firstLine="400" w:firstLineChars="200"/>
        <w:jc w:val="left"/>
        <w:rPr>
          <w:rFonts w:hint="eastAsia" w:ascii="黑体" w:hAnsi="黑体" w:eastAsia="黑体" w:cs="Times New Roman"/>
          <w:kern w:val="0"/>
          <w:sz w:val="20"/>
          <w:szCs w:val="20"/>
          <w:lang w:val="en-GB"/>
        </w:rPr>
      </w:pPr>
    </w:p>
    <w:tbl>
      <w:tblPr>
        <w:tblStyle w:val="19"/>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883"/>
        <w:gridCol w:w="1093"/>
        <w:gridCol w:w="1093"/>
        <w:gridCol w:w="1093"/>
        <w:gridCol w:w="1231"/>
        <w:gridCol w:w="1228"/>
      </w:tblGrid>
      <w:tr w14:paraId="7516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tblHeader/>
          <w:jc w:val="center"/>
        </w:trPr>
        <w:tc>
          <w:tcPr>
            <w:tcW w:w="1672" w:type="pct"/>
            <w:shd w:val="clear" w:color="auto" w:fill="D8D8D8"/>
            <w:vAlign w:val="center"/>
          </w:tcPr>
          <w:p w14:paraId="3B10FD25">
            <w:pPr>
              <w:widowControl/>
              <w:jc w:val="center"/>
              <w:rPr>
                <w:rFonts w:hint="eastAsia" w:ascii="黑体" w:hAnsi="黑体" w:eastAsia="黑体" w:cs="等线 Light"/>
                <w:b/>
                <w:color w:val="000000"/>
                <w:kern w:val="0"/>
                <w:sz w:val="20"/>
                <w:szCs w:val="20"/>
                <w:lang w:val="en-GB"/>
              </w:rPr>
            </w:pPr>
            <w:r>
              <w:rPr>
                <w:rFonts w:hint="eastAsia" w:ascii="黑体" w:hAnsi="黑体" w:eastAsia="黑体" w:cs="等线 Light"/>
                <w:b/>
                <w:color w:val="000000"/>
                <w:kern w:val="0"/>
                <w:sz w:val="20"/>
                <w:szCs w:val="20"/>
                <w:lang w:val="en-GB" w:eastAsia="zh-TW"/>
              </w:rPr>
              <w:t>运营期</w:t>
            </w:r>
          </w:p>
        </w:tc>
        <w:tc>
          <w:tcPr>
            <w:tcW w:w="634" w:type="pct"/>
            <w:shd w:val="clear" w:color="auto" w:fill="D8D8D8"/>
            <w:vAlign w:val="center"/>
          </w:tcPr>
          <w:p w14:paraId="4699A16A">
            <w:pPr>
              <w:widowControl/>
              <w:jc w:val="center"/>
              <w:rPr>
                <w:rFonts w:hint="eastAsia" w:ascii="黑体" w:hAnsi="黑体" w:eastAsia="黑体" w:cs="Cambria Math"/>
                <w:b/>
                <w:color w:val="000000"/>
                <w:kern w:val="0"/>
                <w:sz w:val="20"/>
                <w:szCs w:val="20"/>
                <w:lang w:val="en-GB"/>
              </w:rPr>
            </w:pPr>
            <w:r>
              <w:rPr>
                <w:rFonts w:hint="eastAsia" w:ascii="黑体" w:hAnsi="黑体" w:eastAsia="黑体" w:cs="Cambria Math"/>
                <w:b/>
                <w:color w:val="000000"/>
                <w:kern w:val="0"/>
                <w:sz w:val="20"/>
                <w:szCs w:val="20"/>
                <w:lang w:val="en-GB" w:eastAsia="zh-TW"/>
              </w:rPr>
              <w:t>20</w:t>
            </w:r>
            <w:r>
              <w:rPr>
                <w:rFonts w:ascii="黑体" w:hAnsi="黑体" w:eastAsia="黑体" w:cs="Cambria Math"/>
                <w:b/>
                <w:color w:val="000000"/>
                <w:kern w:val="0"/>
                <w:sz w:val="20"/>
                <w:szCs w:val="20"/>
                <w:lang w:val="en-GB" w:eastAsia="zh-TW"/>
              </w:rPr>
              <w:t>32</w:t>
            </w:r>
          </w:p>
        </w:tc>
        <w:tc>
          <w:tcPr>
            <w:tcW w:w="634" w:type="pct"/>
            <w:shd w:val="clear" w:color="auto" w:fill="D8D8D8"/>
            <w:vAlign w:val="center"/>
          </w:tcPr>
          <w:p w14:paraId="2D9F31FA">
            <w:pPr>
              <w:widowControl/>
              <w:jc w:val="center"/>
              <w:rPr>
                <w:rFonts w:hint="eastAsia" w:ascii="黑体" w:hAnsi="黑体" w:eastAsia="黑体" w:cs="Cambria Math"/>
                <w:b/>
                <w:color w:val="000000"/>
                <w:kern w:val="0"/>
                <w:sz w:val="20"/>
                <w:szCs w:val="20"/>
                <w:lang w:val="en-GB"/>
              </w:rPr>
            </w:pPr>
            <w:r>
              <w:rPr>
                <w:rFonts w:hint="eastAsia" w:ascii="黑体" w:hAnsi="黑体" w:eastAsia="黑体" w:cs="Cambria Math"/>
                <w:b/>
                <w:color w:val="000000"/>
                <w:kern w:val="0"/>
                <w:sz w:val="20"/>
                <w:szCs w:val="20"/>
                <w:lang w:val="en-GB" w:eastAsia="zh-TW"/>
              </w:rPr>
              <w:t>20</w:t>
            </w:r>
            <w:r>
              <w:rPr>
                <w:rFonts w:ascii="黑体" w:hAnsi="黑体" w:eastAsia="黑体" w:cs="Cambria Math"/>
                <w:b/>
                <w:color w:val="000000"/>
                <w:kern w:val="0"/>
                <w:sz w:val="20"/>
                <w:szCs w:val="20"/>
                <w:lang w:val="en-GB" w:eastAsia="zh-TW"/>
              </w:rPr>
              <w:t>33</w:t>
            </w:r>
          </w:p>
        </w:tc>
        <w:tc>
          <w:tcPr>
            <w:tcW w:w="634" w:type="pct"/>
            <w:shd w:val="clear" w:color="auto" w:fill="D8D8D8"/>
            <w:vAlign w:val="center"/>
          </w:tcPr>
          <w:p w14:paraId="6E2D34F9">
            <w:pPr>
              <w:widowControl/>
              <w:jc w:val="center"/>
              <w:rPr>
                <w:rFonts w:hint="eastAsia" w:ascii="黑体" w:hAnsi="黑体" w:eastAsia="黑体" w:cs="Cambria Math"/>
                <w:b/>
                <w:color w:val="000000"/>
                <w:kern w:val="0"/>
                <w:sz w:val="20"/>
                <w:szCs w:val="20"/>
                <w:lang w:val="en-GB" w:eastAsia="zh-TW"/>
              </w:rPr>
            </w:pPr>
            <w:r>
              <w:rPr>
                <w:rFonts w:hint="eastAsia" w:ascii="黑体" w:hAnsi="黑体" w:eastAsia="黑体" w:cs="等线 Light"/>
                <w:b/>
                <w:kern w:val="0"/>
                <w:sz w:val="20"/>
                <w:szCs w:val="20"/>
                <w:lang w:val="en-GB"/>
              </w:rPr>
              <w:t>20</w:t>
            </w:r>
            <w:r>
              <w:rPr>
                <w:rFonts w:ascii="黑体" w:hAnsi="黑体" w:eastAsia="黑体" w:cs="等线 Light"/>
                <w:b/>
                <w:kern w:val="0"/>
                <w:sz w:val="20"/>
                <w:szCs w:val="20"/>
                <w:lang w:val="en-GB"/>
              </w:rPr>
              <w:t>34</w:t>
            </w:r>
          </w:p>
        </w:tc>
        <w:tc>
          <w:tcPr>
            <w:tcW w:w="714" w:type="pct"/>
            <w:shd w:val="clear" w:color="auto" w:fill="D8D8D8"/>
          </w:tcPr>
          <w:p w14:paraId="120140F8">
            <w:pPr>
              <w:widowControl/>
              <w:jc w:val="center"/>
              <w:rPr>
                <w:rFonts w:hint="eastAsia" w:ascii="黑体" w:hAnsi="黑体" w:eastAsia="黑体" w:cs="等线 Light"/>
                <w:b/>
                <w:kern w:val="0"/>
                <w:sz w:val="20"/>
                <w:szCs w:val="20"/>
                <w:lang w:val="en-GB"/>
              </w:rPr>
            </w:pPr>
            <w:r>
              <w:rPr>
                <w:rFonts w:hint="eastAsia" w:ascii="黑体" w:hAnsi="黑体" w:eastAsia="黑体" w:cs="等线 Light"/>
                <w:b/>
                <w:kern w:val="0"/>
                <w:sz w:val="20"/>
                <w:szCs w:val="20"/>
                <w:lang w:val="en-GB"/>
              </w:rPr>
              <w:t>2035</w:t>
            </w:r>
          </w:p>
        </w:tc>
        <w:tc>
          <w:tcPr>
            <w:tcW w:w="712" w:type="pct"/>
            <w:shd w:val="clear" w:color="auto" w:fill="D8D8D8"/>
            <w:vAlign w:val="center"/>
          </w:tcPr>
          <w:p w14:paraId="30592DF3">
            <w:pPr>
              <w:widowControl/>
              <w:jc w:val="center"/>
              <w:rPr>
                <w:rFonts w:hint="eastAsia" w:ascii="黑体" w:hAnsi="黑体" w:eastAsia="黑体" w:cs="Cambria Math"/>
                <w:b/>
                <w:color w:val="000000"/>
                <w:kern w:val="0"/>
                <w:sz w:val="20"/>
                <w:szCs w:val="20"/>
                <w:lang w:val="en-GB" w:eastAsia="zh-TW"/>
              </w:rPr>
            </w:pPr>
            <w:r>
              <w:rPr>
                <w:rFonts w:hint="eastAsia" w:ascii="黑体" w:hAnsi="黑体" w:eastAsia="黑体" w:cs="等线 Light"/>
                <w:b/>
                <w:kern w:val="0"/>
                <w:sz w:val="20"/>
                <w:szCs w:val="20"/>
                <w:lang w:val="en-GB"/>
              </w:rPr>
              <w:t>合计</w:t>
            </w:r>
          </w:p>
        </w:tc>
      </w:tr>
      <w:tr w14:paraId="03C8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239FD953">
            <w:pPr>
              <w:widowControl/>
              <w:jc w:val="both"/>
              <w:rPr>
                <w:rFonts w:hint="eastAsia" w:ascii="黑体" w:hAnsi="黑体" w:eastAsia="黑体" w:cs="等线 Light"/>
                <w:color w:val="000000"/>
                <w:kern w:val="0"/>
                <w:sz w:val="20"/>
                <w:szCs w:val="20"/>
                <w:lang w:val="en-GB" w:eastAsia="zh-TW"/>
              </w:rPr>
            </w:pPr>
            <w:r>
              <w:rPr>
                <w:rFonts w:hint="eastAsia" w:ascii="黑体" w:hAnsi="黑体" w:eastAsia="黑体" w:cs="Times New Roman"/>
                <w:kern w:val="0"/>
                <w:sz w:val="20"/>
                <w:szCs w:val="20"/>
                <w:lang w:val="en-GB"/>
              </w:rPr>
              <w:t>土地出让收入</w:t>
            </w:r>
          </w:p>
        </w:tc>
        <w:tc>
          <w:tcPr>
            <w:tcW w:w="634" w:type="pct"/>
            <w:shd w:val="clear" w:color="000000" w:fill="FFFFFF"/>
            <w:vAlign w:val="center"/>
          </w:tcPr>
          <w:p w14:paraId="78F3BCB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634" w:type="pct"/>
            <w:shd w:val="clear" w:color="000000" w:fill="FFFFFF"/>
            <w:vAlign w:val="center"/>
          </w:tcPr>
          <w:p w14:paraId="19A1249C">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634" w:type="pct"/>
            <w:shd w:val="clear" w:color="000000" w:fill="FFFFFF"/>
            <w:vAlign w:val="center"/>
          </w:tcPr>
          <w:p w14:paraId="73AB56DA">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714" w:type="pct"/>
            <w:shd w:val="clear" w:color="000000" w:fill="FFFFFF"/>
            <w:vAlign w:val="center"/>
          </w:tcPr>
          <w:p w14:paraId="0C9F833D">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3,135.00</w:t>
            </w:r>
          </w:p>
        </w:tc>
        <w:tc>
          <w:tcPr>
            <w:tcW w:w="712" w:type="pct"/>
            <w:shd w:val="clear" w:color="000000" w:fill="FFFFFF"/>
            <w:vAlign w:val="center"/>
          </w:tcPr>
          <w:p w14:paraId="4E760788">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31,350.00</w:t>
            </w:r>
          </w:p>
        </w:tc>
      </w:tr>
      <w:tr w14:paraId="6CC3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76FF0B29">
            <w:pPr>
              <w:widowControl/>
              <w:jc w:val="both"/>
              <w:rPr>
                <w:rFonts w:hint="eastAsia" w:ascii="黑体" w:hAnsi="黑体" w:eastAsia="黑体" w:cs="等线 Light"/>
                <w:color w:val="000000"/>
                <w:kern w:val="0"/>
                <w:sz w:val="20"/>
                <w:szCs w:val="20"/>
                <w:lang w:val="en-GB" w:eastAsia="zh-TW"/>
              </w:rPr>
            </w:pPr>
            <w:r>
              <w:rPr>
                <w:rFonts w:hint="eastAsia" w:ascii="黑体" w:hAnsi="黑体" w:eastAsia="黑体" w:cs="Times New Roman"/>
                <w:kern w:val="0"/>
                <w:sz w:val="20"/>
                <w:szCs w:val="20"/>
                <w:lang w:val="en-GB"/>
              </w:rPr>
              <w:t>灯杆广告位出租收入</w:t>
            </w:r>
          </w:p>
        </w:tc>
        <w:tc>
          <w:tcPr>
            <w:tcW w:w="634" w:type="pct"/>
            <w:shd w:val="clear" w:color="000000" w:fill="FFFFFF"/>
            <w:vAlign w:val="center"/>
          </w:tcPr>
          <w:p w14:paraId="67EF9E42">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634" w:type="pct"/>
            <w:shd w:val="clear" w:color="000000" w:fill="FFFFFF"/>
            <w:vAlign w:val="center"/>
          </w:tcPr>
          <w:p w14:paraId="2BAFF5A1">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634" w:type="pct"/>
            <w:shd w:val="clear" w:color="000000" w:fill="FFFFFF"/>
            <w:vAlign w:val="center"/>
          </w:tcPr>
          <w:p w14:paraId="1C964DB1">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714" w:type="pct"/>
            <w:shd w:val="clear" w:color="000000" w:fill="FFFFFF"/>
            <w:vAlign w:val="center"/>
          </w:tcPr>
          <w:p w14:paraId="2EDD6DD8">
            <w:pPr>
              <w:widowControl/>
              <w:jc w:val="right"/>
              <w:rPr>
                <w:rFonts w:hint="eastAsia" w:ascii="黑体" w:hAnsi="黑体" w:eastAsia="黑体" w:cs="Times New Roman"/>
                <w:color w:val="000000"/>
                <w:kern w:val="0"/>
                <w:sz w:val="20"/>
                <w:szCs w:val="20"/>
                <w:lang w:val="en-GB"/>
              </w:rPr>
            </w:pPr>
            <w:r>
              <w:rPr>
                <w:rFonts w:ascii="黑体" w:hAnsi="黑体" w:eastAsia="黑体" w:cs="Times New Roman"/>
                <w:kern w:val="0"/>
                <w:sz w:val="20"/>
                <w:szCs w:val="20"/>
                <w:lang w:val="en-GB"/>
              </w:rPr>
              <w:t>432.00</w:t>
            </w:r>
          </w:p>
        </w:tc>
        <w:tc>
          <w:tcPr>
            <w:tcW w:w="712" w:type="pct"/>
            <w:shd w:val="clear" w:color="000000" w:fill="FFFFFF"/>
            <w:vAlign w:val="center"/>
          </w:tcPr>
          <w:p w14:paraId="5488B400">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3,888.00</w:t>
            </w:r>
          </w:p>
        </w:tc>
      </w:tr>
      <w:tr w14:paraId="67256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438C07C6">
            <w:pPr>
              <w:widowControl/>
              <w:jc w:val="both"/>
              <w:rPr>
                <w:rFonts w:hint="eastAsia" w:ascii="黑体" w:hAnsi="黑体" w:eastAsia="黑体" w:cs="等线 Light"/>
                <w:b/>
                <w:bCs/>
                <w:color w:val="000000"/>
                <w:kern w:val="0"/>
                <w:sz w:val="20"/>
                <w:szCs w:val="20"/>
                <w:lang w:val="en-GB" w:eastAsia="zh-TW"/>
              </w:rPr>
            </w:pPr>
            <w:r>
              <w:rPr>
                <w:rFonts w:hint="eastAsia" w:ascii="黑体" w:hAnsi="黑体" w:eastAsia="黑体" w:cs="Times New Roman"/>
                <w:b/>
                <w:bCs/>
                <w:kern w:val="0"/>
                <w:sz w:val="20"/>
                <w:szCs w:val="20"/>
                <w:lang w:val="en-GB"/>
              </w:rPr>
              <w:t>收入合计</w:t>
            </w:r>
          </w:p>
        </w:tc>
        <w:tc>
          <w:tcPr>
            <w:tcW w:w="634" w:type="pct"/>
            <w:shd w:val="clear" w:color="000000" w:fill="FFFFFF"/>
            <w:vAlign w:val="center"/>
          </w:tcPr>
          <w:p w14:paraId="5C021759">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634" w:type="pct"/>
            <w:shd w:val="clear" w:color="000000" w:fill="FFFFFF"/>
            <w:vAlign w:val="center"/>
          </w:tcPr>
          <w:p w14:paraId="4A612D1D">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634" w:type="pct"/>
            <w:shd w:val="clear" w:color="000000" w:fill="FFFFFF"/>
            <w:vAlign w:val="center"/>
          </w:tcPr>
          <w:p w14:paraId="269AA0D4">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714" w:type="pct"/>
            <w:shd w:val="clear" w:color="000000" w:fill="FFFFFF"/>
            <w:vAlign w:val="center"/>
          </w:tcPr>
          <w:p w14:paraId="7D2C97B1">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3,567.00</w:t>
            </w:r>
          </w:p>
        </w:tc>
        <w:tc>
          <w:tcPr>
            <w:tcW w:w="712" w:type="pct"/>
            <w:shd w:val="clear" w:color="000000" w:fill="FFFFFF"/>
            <w:vAlign w:val="center"/>
          </w:tcPr>
          <w:p w14:paraId="7126D5AF">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35,238.00</w:t>
            </w:r>
          </w:p>
        </w:tc>
      </w:tr>
      <w:tr w14:paraId="76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37317C60">
            <w:pPr>
              <w:widowControl/>
              <w:jc w:val="both"/>
              <w:rPr>
                <w:rFonts w:hint="eastAsia" w:ascii="黑体" w:hAnsi="黑体" w:eastAsia="黑体" w:cs="等线 Light"/>
                <w:color w:val="000000"/>
                <w:kern w:val="0"/>
                <w:sz w:val="20"/>
                <w:szCs w:val="20"/>
                <w:lang w:val="en-GB"/>
              </w:rPr>
            </w:pPr>
            <w:r>
              <w:rPr>
                <w:rFonts w:hint="eastAsia" w:ascii="黑体" w:hAnsi="黑体" w:eastAsia="黑体" w:cs="Times New Roman"/>
                <w:kern w:val="0"/>
                <w:sz w:val="20"/>
                <w:szCs w:val="20"/>
                <w:lang w:val="en-GB"/>
              </w:rPr>
              <w:t>土地出让成本</w:t>
            </w:r>
          </w:p>
        </w:tc>
        <w:tc>
          <w:tcPr>
            <w:tcW w:w="634" w:type="pct"/>
            <w:shd w:val="clear" w:color="000000" w:fill="FFFFFF"/>
            <w:vAlign w:val="center"/>
          </w:tcPr>
          <w:p w14:paraId="11838BDB">
            <w:pPr>
              <w:widowControl/>
              <w:jc w:val="right"/>
              <w:rPr>
                <w:rFonts w:hint="eastAsia" w:ascii="黑体" w:hAnsi="黑体" w:eastAsia="黑体" w:cs="等线 Light"/>
                <w:kern w:val="0"/>
                <w:sz w:val="20"/>
                <w:szCs w:val="20"/>
                <w:lang w:val="en-GB"/>
              </w:rPr>
            </w:pPr>
            <w:r>
              <w:rPr>
                <w:rFonts w:ascii="黑体" w:hAnsi="黑体" w:eastAsia="黑体" w:cs="Times New Roman"/>
                <w:kern w:val="0"/>
                <w:sz w:val="20"/>
                <w:szCs w:val="20"/>
                <w:lang w:val="en-GB"/>
              </w:rPr>
              <w:t>783.75</w:t>
            </w:r>
          </w:p>
        </w:tc>
        <w:tc>
          <w:tcPr>
            <w:tcW w:w="634" w:type="pct"/>
            <w:shd w:val="clear" w:color="000000" w:fill="FFFFFF"/>
            <w:vAlign w:val="center"/>
          </w:tcPr>
          <w:p w14:paraId="4179D4D3">
            <w:pPr>
              <w:widowControl/>
              <w:jc w:val="right"/>
              <w:rPr>
                <w:rFonts w:hint="eastAsia" w:ascii="黑体" w:hAnsi="黑体" w:eastAsia="黑体" w:cs="等线 Light"/>
                <w:kern w:val="0"/>
                <w:sz w:val="20"/>
                <w:szCs w:val="20"/>
                <w:lang w:val="en-GB"/>
              </w:rPr>
            </w:pPr>
            <w:r>
              <w:rPr>
                <w:rFonts w:ascii="黑体" w:hAnsi="黑体" w:eastAsia="黑体" w:cs="Times New Roman"/>
                <w:kern w:val="0"/>
                <w:sz w:val="20"/>
                <w:szCs w:val="20"/>
                <w:lang w:val="en-GB"/>
              </w:rPr>
              <w:t>783.75</w:t>
            </w:r>
          </w:p>
        </w:tc>
        <w:tc>
          <w:tcPr>
            <w:tcW w:w="634" w:type="pct"/>
            <w:shd w:val="clear" w:color="000000" w:fill="FFFFFF"/>
            <w:vAlign w:val="center"/>
          </w:tcPr>
          <w:p w14:paraId="18CE37B6">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783.75</w:t>
            </w:r>
          </w:p>
        </w:tc>
        <w:tc>
          <w:tcPr>
            <w:tcW w:w="714" w:type="pct"/>
            <w:shd w:val="clear" w:color="000000" w:fill="FFFFFF"/>
            <w:vAlign w:val="center"/>
          </w:tcPr>
          <w:p w14:paraId="7B19DEC9">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783.75</w:t>
            </w:r>
          </w:p>
        </w:tc>
        <w:tc>
          <w:tcPr>
            <w:tcW w:w="712" w:type="pct"/>
            <w:shd w:val="clear" w:color="000000" w:fill="FFFFFF"/>
            <w:vAlign w:val="center"/>
          </w:tcPr>
          <w:p w14:paraId="0405841C">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7,837.50</w:t>
            </w:r>
          </w:p>
        </w:tc>
      </w:tr>
      <w:tr w14:paraId="07ED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2CA963A3">
            <w:pPr>
              <w:widowControl/>
              <w:jc w:val="both"/>
              <w:rPr>
                <w:rFonts w:hint="eastAsia" w:ascii="黑体" w:hAnsi="黑体" w:eastAsia="黑体" w:cs="等线 Light"/>
                <w:b/>
                <w:color w:val="000000"/>
                <w:kern w:val="0"/>
                <w:sz w:val="20"/>
                <w:szCs w:val="20"/>
                <w:lang w:val="en-GB"/>
              </w:rPr>
            </w:pPr>
            <w:r>
              <w:rPr>
                <w:rFonts w:hint="eastAsia" w:ascii="黑体" w:hAnsi="黑体" w:eastAsia="黑体" w:cs="Times New Roman"/>
                <w:kern w:val="0"/>
                <w:sz w:val="20"/>
                <w:szCs w:val="20"/>
                <w:lang w:val="en-GB"/>
              </w:rPr>
              <w:t>运营成本</w:t>
            </w:r>
          </w:p>
        </w:tc>
        <w:tc>
          <w:tcPr>
            <w:tcW w:w="634" w:type="pct"/>
            <w:shd w:val="clear" w:color="000000" w:fill="FFFFFF"/>
            <w:vAlign w:val="center"/>
          </w:tcPr>
          <w:p w14:paraId="69AC8D2D">
            <w:pPr>
              <w:widowControl/>
              <w:jc w:val="right"/>
              <w:rPr>
                <w:rFonts w:hint="eastAsia" w:ascii="黑体" w:hAnsi="黑体" w:eastAsia="黑体" w:cs="等线 Light"/>
                <w:b/>
                <w:kern w:val="0"/>
                <w:sz w:val="20"/>
                <w:szCs w:val="20"/>
                <w:lang w:val="en-GB"/>
              </w:rPr>
            </w:pPr>
            <w:r>
              <w:rPr>
                <w:rFonts w:ascii="黑体" w:hAnsi="黑体" w:eastAsia="黑体" w:cs="Times New Roman"/>
                <w:kern w:val="0"/>
                <w:sz w:val="20"/>
                <w:szCs w:val="20"/>
                <w:lang w:val="en-GB"/>
              </w:rPr>
              <w:t>86.40</w:t>
            </w:r>
          </w:p>
        </w:tc>
        <w:tc>
          <w:tcPr>
            <w:tcW w:w="634" w:type="pct"/>
            <w:shd w:val="clear" w:color="000000" w:fill="FFFFFF"/>
            <w:vAlign w:val="center"/>
          </w:tcPr>
          <w:p w14:paraId="7068F137">
            <w:pPr>
              <w:widowControl/>
              <w:jc w:val="right"/>
              <w:rPr>
                <w:rFonts w:hint="eastAsia" w:ascii="黑体" w:hAnsi="黑体" w:eastAsia="黑体" w:cs="等线 Light"/>
                <w:b/>
                <w:kern w:val="0"/>
                <w:sz w:val="20"/>
                <w:szCs w:val="20"/>
                <w:lang w:val="en-GB"/>
              </w:rPr>
            </w:pPr>
            <w:r>
              <w:rPr>
                <w:rFonts w:ascii="黑体" w:hAnsi="黑体" w:eastAsia="黑体" w:cs="Times New Roman"/>
                <w:kern w:val="0"/>
                <w:sz w:val="20"/>
                <w:szCs w:val="20"/>
                <w:lang w:val="en-GB"/>
              </w:rPr>
              <w:t>86.40</w:t>
            </w:r>
          </w:p>
        </w:tc>
        <w:tc>
          <w:tcPr>
            <w:tcW w:w="634" w:type="pct"/>
            <w:shd w:val="clear" w:color="000000" w:fill="FFFFFF"/>
            <w:vAlign w:val="center"/>
          </w:tcPr>
          <w:p w14:paraId="034A70ED">
            <w:pPr>
              <w:widowControl/>
              <w:jc w:val="right"/>
              <w:rPr>
                <w:rFonts w:hint="eastAsia" w:ascii="黑体" w:hAnsi="黑体" w:eastAsia="黑体" w:cs="Times New Roman"/>
                <w:b/>
                <w:kern w:val="0"/>
                <w:sz w:val="20"/>
                <w:szCs w:val="20"/>
                <w:lang w:val="en-GB"/>
              </w:rPr>
            </w:pPr>
            <w:r>
              <w:rPr>
                <w:rFonts w:ascii="黑体" w:hAnsi="黑体" w:eastAsia="黑体" w:cs="Times New Roman"/>
                <w:kern w:val="0"/>
                <w:sz w:val="20"/>
                <w:szCs w:val="20"/>
                <w:lang w:val="en-GB"/>
              </w:rPr>
              <w:t>86.40</w:t>
            </w:r>
          </w:p>
        </w:tc>
        <w:tc>
          <w:tcPr>
            <w:tcW w:w="714" w:type="pct"/>
            <w:shd w:val="clear" w:color="000000" w:fill="FFFFFF"/>
            <w:vAlign w:val="center"/>
          </w:tcPr>
          <w:p w14:paraId="6799DEBF">
            <w:pPr>
              <w:widowControl/>
              <w:jc w:val="right"/>
              <w:rPr>
                <w:rFonts w:hint="eastAsia" w:ascii="黑体" w:hAnsi="黑体" w:eastAsia="黑体" w:cs="Times New Roman"/>
                <w:b/>
                <w:color w:val="000000"/>
                <w:kern w:val="0"/>
                <w:sz w:val="20"/>
                <w:szCs w:val="20"/>
                <w:lang w:val="en-GB"/>
              </w:rPr>
            </w:pPr>
            <w:r>
              <w:rPr>
                <w:rFonts w:ascii="黑体" w:hAnsi="黑体" w:eastAsia="黑体" w:cs="Times New Roman"/>
                <w:kern w:val="0"/>
                <w:sz w:val="20"/>
                <w:szCs w:val="20"/>
                <w:lang w:val="en-GB"/>
              </w:rPr>
              <w:t>86.40</w:t>
            </w:r>
          </w:p>
        </w:tc>
        <w:tc>
          <w:tcPr>
            <w:tcW w:w="712" w:type="pct"/>
            <w:shd w:val="clear" w:color="000000" w:fill="FFFFFF"/>
            <w:vAlign w:val="center"/>
          </w:tcPr>
          <w:p w14:paraId="5CAA5936">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777.60</w:t>
            </w:r>
          </w:p>
        </w:tc>
      </w:tr>
      <w:tr w14:paraId="294D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7F96482B">
            <w:pPr>
              <w:widowControl/>
              <w:jc w:val="both"/>
              <w:rPr>
                <w:rFonts w:hint="eastAsia" w:ascii="黑体" w:hAnsi="黑体" w:eastAsia="黑体" w:cs="等线 Light"/>
                <w:color w:val="000000"/>
                <w:kern w:val="0"/>
                <w:sz w:val="20"/>
                <w:szCs w:val="20"/>
                <w:lang w:val="en-GB"/>
              </w:rPr>
            </w:pPr>
            <w:r>
              <w:rPr>
                <w:rFonts w:hint="eastAsia" w:ascii="黑体" w:hAnsi="黑体" w:eastAsia="黑体" w:cs="Times New Roman"/>
                <w:kern w:val="0"/>
                <w:sz w:val="20"/>
                <w:szCs w:val="20"/>
                <w:lang w:val="en-GB"/>
              </w:rPr>
              <w:t>相关税费</w:t>
            </w:r>
          </w:p>
        </w:tc>
        <w:tc>
          <w:tcPr>
            <w:tcW w:w="634" w:type="pct"/>
            <w:shd w:val="clear" w:color="000000" w:fill="FFFFFF"/>
            <w:vAlign w:val="center"/>
          </w:tcPr>
          <w:p w14:paraId="0B286CD6">
            <w:pPr>
              <w:widowControl/>
              <w:jc w:val="right"/>
              <w:rPr>
                <w:rFonts w:hint="eastAsia" w:ascii="黑体" w:hAnsi="黑体" w:eastAsia="黑体" w:cs="等线 Light"/>
                <w:kern w:val="0"/>
                <w:sz w:val="20"/>
                <w:szCs w:val="20"/>
                <w:lang w:val="en-GB"/>
              </w:rPr>
            </w:pPr>
            <w:r>
              <w:rPr>
                <w:rFonts w:ascii="黑体" w:hAnsi="黑体" w:eastAsia="黑体" w:cs="Times New Roman"/>
                <w:kern w:val="0"/>
                <w:sz w:val="20"/>
                <w:szCs w:val="20"/>
                <w:lang w:val="en-GB"/>
              </w:rPr>
              <w:t>34.47</w:t>
            </w:r>
          </w:p>
        </w:tc>
        <w:tc>
          <w:tcPr>
            <w:tcW w:w="634" w:type="pct"/>
            <w:shd w:val="clear" w:color="000000" w:fill="FFFFFF"/>
            <w:vAlign w:val="center"/>
          </w:tcPr>
          <w:p w14:paraId="7BBF5B24">
            <w:pPr>
              <w:widowControl/>
              <w:jc w:val="right"/>
              <w:rPr>
                <w:rFonts w:hint="eastAsia" w:ascii="黑体" w:hAnsi="黑体" w:eastAsia="黑体" w:cs="等线 Light"/>
                <w:kern w:val="0"/>
                <w:sz w:val="20"/>
                <w:szCs w:val="20"/>
                <w:lang w:val="en-GB"/>
              </w:rPr>
            </w:pPr>
            <w:r>
              <w:rPr>
                <w:rFonts w:ascii="黑体" w:hAnsi="黑体" w:eastAsia="黑体" w:cs="Times New Roman"/>
                <w:kern w:val="0"/>
                <w:sz w:val="20"/>
                <w:szCs w:val="20"/>
                <w:lang w:val="en-GB"/>
              </w:rPr>
              <w:t>34.47</w:t>
            </w:r>
          </w:p>
        </w:tc>
        <w:tc>
          <w:tcPr>
            <w:tcW w:w="634" w:type="pct"/>
            <w:shd w:val="clear" w:color="000000" w:fill="FFFFFF"/>
            <w:vAlign w:val="center"/>
          </w:tcPr>
          <w:p w14:paraId="2C78E705">
            <w:pPr>
              <w:widowControl/>
              <w:jc w:val="right"/>
              <w:rPr>
                <w:rFonts w:hint="eastAsia" w:ascii="黑体" w:hAnsi="黑体" w:eastAsia="黑体" w:cs="Times New Roman"/>
                <w:kern w:val="0"/>
                <w:sz w:val="20"/>
                <w:szCs w:val="20"/>
                <w:lang w:val="en-GB"/>
              </w:rPr>
            </w:pPr>
            <w:r>
              <w:rPr>
                <w:rFonts w:ascii="黑体" w:hAnsi="黑体" w:eastAsia="黑体" w:cs="Times New Roman"/>
                <w:kern w:val="0"/>
                <w:sz w:val="20"/>
                <w:szCs w:val="20"/>
                <w:lang w:val="en-GB"/>
              </w:rPr>
              <w:t>34.47</w:t>
            </w:r>
          </w:p>
        </w:tc>
        <w:tc>
          <w:tcPr>
            <w:tcW w:w="714" w:type="pct"/>
            <w:shd w:val="clear" w:color="000000" w:fill="FFFFFF"/>
            <w:vAlign w:val="center"/>
          </w:tcPr>
          <w:p w14:paraId="4170BB77">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kern w:val="0"/>
                <w:sz w:val="20"/>
                <w:szCs w:val="20"/>
                <w:lang w:val="en-GB"/>
              </w:rPr>
              <w:t>34.47</w:t>
            </w:r>
          </w:p>
        </w:tc>
        <w:tc>
          <w:tcPr>
            <w:tcW w:w="712" w:type="pct"/>
            <w:shd w:val="clear" w:color="000000" w:fill="FFFFFF"/>
            <w:vAlign w:val="center"/>
          </w:tcPr>
          <w:p w14:paraId="7A684ABC">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310.23</w:t>
            </w:r>
          </w:p>
        </w:tc>
      </w:tr>
      <w:tr w14:paraId="0EB7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3" w:hRule="atLeast"/>
          <w:jc w:val="center"/>
        </w:trPr>
        <w:tc>
          <w:tcPr>
            <w:tcW w:w="1672" w:type="pct"/>
            <w:shd w:val="clear" w:color="000000" w:fill="FFFFFF"/>
            <w:vAlign w:val="center"/>
          </w:tcPr>
          <w:p w14:paraId="20C7712C">
            <w:pPr>
              <w:widowControl/>
              <w:jc w:val="both"/>
              <w:rPr>
                <w:rFonts w:hint="eastAsia" w:ascii="黑体" w:hAnsi="黑体" w:eastAsia="黑体" w:cs="等线 Light"/>
                <w:b/>
                <w:bCs/>
                <w:color w:val="000000"/>
                <w:kern w:val="0"/>
                <w:sz w:val="20"/>
                <w:szCs w:val="20"/>
                <w:lang w:val="en-GB"/>
              </w:rPr>
            </w:pPr>
            <w:r>
              <w:rPr>
                <w:rFonts w:hint="eastAsia" w:ascii="黑体" w:hAnsi="黑体" w:eastAsia="黑体" w:cs="Times New Roman"/>
                <w:b/>
                <w:bCs/>
                <w:kern w:val="0"/>
                <w:sz w:val="20"/>
                <w:szCs w:val="20"/>
                <w:lang w:val="en-GB"/>
              </w:rPr>
              <w:t>成本合计</w:t>
            </w:r>
          </w:p>
        </w:tc>
        <w:tc>
          <w:tcPr>
            <w:tcW w:w="634" w:type="pct"/>
            <w:shd w:val="clear" w:color="000000" w:fill="FFFFFF"/>
            <w:vAlign w:val="center"/>
          </w:tcPr>
          <w:p w14:paraId="0EE77591">
            <w:pPr>
              <w:widowControl/>
              <w:jc w:val="right"/>
              <w:rPr>
                <w:rFonts w:hint="eastAsia" w:ascii="黑体" w:hAnsi="黑体" w:eastAsia="黑体" w:cs="等线 Light"/>
                <w:b/>
                <w:bCs/>
                <w:kern w:val="0"/>
                <w:sz w:val="20"/>
                <w:szCs w:val="20"/>
                <w:lang w:val="en-GB"/>
              </w:rPr>
            </w:pPr>
            <w:r>
              <w:rPr>
                <w:rFonts w:ascii="黑体" w:hAnsi="黑体" w:eastAsia="黑体" w:cs="Times New Roman"/>
                <w:b/>
                <w:bCs/>
                <w:kern w:val="0"/>
                <w:sz w:val="20"/>
                <w:szCs w:val="20"/>
                <w:lang w:val="en-GB"/>
              </w:rPr>
              <w:t>904.62</w:t>
            </w:r>
          </w:p>
        </w:tc>
        <w:tc>
          <w:tcPr>
            <w:tcW w:w="634" w:type="pct"/>
            <w:shd w:val="clear" w:color="000000" w:fill="FFFFFF"/>
            <w:vAlign w:val="center"/>
          </w:tcPr>
          <w:p w14:paraId="25EC5790">
            <w:pPr>
              <w:widowControl/>
              <w:jc w:val="right"/>
              <w:rPr>
                <w:rFonts w:hint="eastAsia" w:ascii="黑体" w:hAnsi="黑体" w:eastAsia="黑体" w:cs="等线 Light"/>
                <w:b/>
                <w:bCs/>
                <w:kern w:val="0"/>
                <w:sz w:val="20"/>
                <w:szCs w:val="20"/>
                <w:lang w:val="en-GB"/>
              </w:rPr>
            </w:pPr>
            <w:r>
              <w:rPr>
                <w:rFonts w:ascii="黑体" w:hAnsi="黑体" w:eastAsia="黑体" w:cs="Times New Roman"/>
                <w:b/>
                <w:bCs/>
                <w:kern w:val="0"/>
                <w:sz w:val="20"/>
                <w:szCs w:val="20"/>
                <w:lang w:val="en-GB"/>
              </w:rPr>
              <w:t>904.62</w:t>
            </w:r>
          </w:p>
        </w:tc>
        <w:tc>
          <w:tcPr>
            <w:tcW w:w="634" w:type="pct"/>
            <w:shd w:val="clear" w:color="000000" w:fill="FFFFFF"/>
            <w:vAlign w:val="center"/>
          </w:tcPr>
          <w:p w14:paraId="71DE6B69">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904.62</w:t>
            </w:r>
          </w:p>
        </w:tc>
        <w:tc>
          <w:tcPr>
            <w:tcW w:w="714" w:type="pct"/>
            <w:shd w:val="clear" w:color="000000" w:fill="FFFFFF"/>
            <w:vAlign w:val="center"/>
          </w:tcPr>
          <w:p w14:paraId="0DCB1109">
            <w:pPr>
              <w:widowControl/>
              <w:jc w:val="right"/>
              <w:rPr>
                <w:rFonts w:hint="eastAsia" w:ascii="黑体" w:hAnsi="黑体" w:eastAsia="黑体" w:cs="Times New Roman"/>
                <w:b/>
                <w:bCs/>
                <w:color w:val="000000"/>
                <w:kern w:val="0"/>
                <w:sz w:val="20"/>
                <w:szCs w:val="20"/>
                <w:lang w:val="en-GB"/>
              </w:rPr>
            </w:pPr>
            <w:r>
              <w:rPr>
                <w:rFonts w:ascii="黑体" w:hAnsi="黑体" w:eastAsia="黑体" w:cs="Times New Roman"/>
                <w:b/>
                <w:bCs/>
                <w:kern w:val="0"/>
                <w:sz w:val="20"/>
                <w:szCs w:val="20"/>
                <w:lang w:val="en-GB"/>
              </w:rPr>
              <w:t>904.62</w:t>
            </w:r>
          </w:p>
        </w:tc>
        <w:tc>
          <w:tcPr>
            <w:tcW w:w="712" w:type="pct"/>
            <w:shd w:val="clear" w:color="000000" w:fill="FFFFFF"/>
            <w:vAlign w:val="center"/>
          </w:tcPr>
          <w:p w14:paraId="22A329F9">
            <w:pPr>
              <w:widowControl/>
              <w:jc w:val="right"/>
              <w:rPr>
                <w:rFonts w:hint="eastAsia" w:ascii="黑体" w:hAnsi="黑体" w:eastAsia="黑体" w:cs="Times New Roman"/>
                <w:b/>
                <w:bCs/>
                <w:kern w:val="0"/>
                <w:sz w:val="20"/>
                <w:szCs w:val="20"/>
                <w:lang w:val="en-GB"/>
              </w:rPr>
            </w:pPr>
            <w:r>
              <w:rPr>
                <w:rFonts w:ascii="黑体" w:hAnsi="黑体" w:eastAsia="黑体" w:cs="Times New Roman"/>
                <w:b/>
                <w:bCs/>
                <w:kern w:val="0"/>
                <w:sz w:val="20"/>
                <w:szCs w:val="20"/>
                <w:lang w:val="en-GB"/>
              </w:rPr>
              <w:t>8,925.33</w:t>
            </w:r>
          </w:p>
        </w:tc>
      </w:tr>
    </w:tbl>
    <w:p w14:paraId="35453C35">
      <w:pPr>
        <w:pStyle w:val="29"/>
        <w:spacing w:line="360" w:lineRule="auto"/>
        <w:ind w:firstLine="482"/>
        <w:outlineLvl w:val="0"/>
        <w:rPr>
          <w:rFonts w:hint="eastAsia" w:ascii="宋体" w:hAnsi="宋体" w:eastAsia="宋体" w:cs="宋体"/>
          <w:b/>
          <w:sz w:val="24"/>
          <w:szCs w:val="24"/>
          <w:lang w:val="en-US"/>
        </w:rPr>
      </w:pPr>
      <w:bookmarkStart w:id="32" w:name="_Toc200555362"/>
      <w:r>
        <w:rPr>
          <w:rFonts w:hint="eastAsia" w:ascii="宋体" w:hAnsi="宋体" w:eastAsia="宋体" w:cs="宋体"/>
          <w:b/>
          <w:sz w:val="24"/>
          <w:szCs w:val="24"/>
          <w:lang w:val="en-US"/>
        </w:rPr>
        <w:t>（三）小结</w:t>
      </w:r>
      <w:bookmarkEnd w:id="26"/>
      <w:bookmarkEnd w:id="27"/>
      <w:bookmarkEnd w:id="32"/>
    </w:p>
    <w:p w14:paraId="7AFA47BA">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ascii="宋体" w:hAnsi="宋体" w:eastAsia="宋体" w:cs="Times New Roman"/>
          <w:color w:val="000000"/>
          <w:kern w:val="0"/>
          <w:sz w:val="24"/>
          <w:szCs w:val="24"/>
          <w:lang w:val="en-US"/>
        </w:rPr>
        <w:t>综上，在本期政府专项债券存续期内，我们未发现本项目资金出现不能满足还本付息要求的情况。</w:t>
      </w:r>
    </w:p>
    <w:p w14:paraId="6FA90852">
      <w:pPr>
        <w:pStyle w:val="29"/>
        <w:spacing w:line="360" w:lineRule="auto"/>
        <w:ind w:firstLine="482"/>
        <w:outlineLvl w:val="0"/>
        <w:rPr>
          <w:rFonts w:hint="eastAsia" w:ascii="宋体" w:hAnsi="宋体" w:eastAsia="宋体" w:cs="宋体"/>
          <w:b/>
          <w:sz w:val="24"/>
          <w:szCs w:val="24"/>
          <w:lang w:val="en-US"/>
        </w:rPr>
      </w:pPr>
      <w:bookmarkStart w:id="33" w:name="_Toc114818426"/>
      <w:bookmarkStart w:id="34" w:name="_Toc114818536"/>
      <w:bookmarkStart w:id="35" w:name="_Toc200555363"/>
      <w:r>
        <w:rPr>
          <w:rFonts w:hint="eastAsia" w:ascii="宋体" w:hAnsi="宋体" w:eastAsia="宋体" w:cs="宋体"/>
          <w:b/>
          <w:sz w:val="24"/>
          <w:szCs w:val="24"/>
          <w:lang w:val="en-US"/>
        </w:rPr>
        <w:t>（四）资金稳定性</w:t>
      </w:r>
      <w:bookmarkEnd w:id="33"/>
      <w:bookmarkEnd w:id="34"/>
      <w:bookmarkEnd w:id="35"/>
    </w:p>
    <w:p w14:paraId="7FAC348E">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海口江东新区产业发展配套基础设施项目（三期）还本付息以土地出让收入、灯杆广告位出租收入为基础，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p>
    <w:p w14:paraId="27C65B5A">
      <w:pPr>
        <w:widowControl/>
        <w:jc w:val="center"/>
        <w:rPr>
          <w:rFonts w:hint="eastAsia" w:ascii="宋体" w:hAnsi="宋体" w:eastAsia="宋体" w:cs="Times New Roman"/>
          <w:b/>
          <w:kern w:val="0"/>
          <w:sz w:val="24"/>
          <w:szCs w:val="24"/>
          <w:lang w:val="en-GB"/>
        </w:rPr>
      </w:pPr>
      <w:r>
        <w:rPr>
          <w:rFonts w:ascii="宋体" w:hAnsi="宋体" w:eastAsia="宋体" w:cs="Times New Roman"/>
          <w:b/>
          <w:kern w:val="0"/>
          <w:sz w:val="24"/>
          <w:szCs w:val="24"/>
          <w:lang w:val="en-GB"/>
        </w:rPr>
        <w:drawing>
          <wp:inline distT="0" distB="0" distL="0" distR="0">
            <wp:extent cx="4640580" cy="2203450"/>
            <wp:effectExtent l="5080" t="4445" r="17780" b="17145"/>
            <wp:docPr id="1843695782" name="图表 184369578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A5748CB">
      <w:pPr>
        <w:widowControl/>
        <w:jc w:val="center"/>
        <w:rPr>
          <w:rFonts w:hint="eastAsia" w:ascii="宋体" w:hAnsi="宋体" w:eastAsia="宋体" w:cs="Times New Roman"/>
          <w:b/>
          <w:kern w:val="0"/>
          <w:sz w:val="24"/>
          <w:szCs w:val="24"/>
          <w:lang w:val="en-GB"/>
        </w:rPr>
      </w:pPr>
      <w:r>
        <w:rPr>
          <w:rFonts w:hint="eastAsia" w:ascii="宋体" w:hAnsi="宋体" w:eastAsia="宋体" w:cs="Times New Roman"/>
          <w:b/>
          <w:kern w:val="0"/>
          <w:sz w:val="24"/>
          <w:szCs w:val="24"/>
          <w:lang w:val="en-GB"/>
        </w:rPr>
        <w:t>图1 债券存续期海口江东新区产业发展配套基础设施项目（三期）资金留存情况</w:t>
      </w:r>
    </w:p>
    <w:p w14:paraId="647D64B1">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五、压力测试情况</w:t>
      </w:r>
      <w:bookmarkEnd w:id="14"/>
    </w:p>
    <w:p w14:paraId="46ECE3B4">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bookmarkStart w:id="36" w:name="_Toc18169"/>
      <w:r>
        <w:rPr>
          <w:rFonts w:ascii="宋体" w:hAnsi="宋体" w:eastAsia="宋体" w:cs="Times New Roman"/>
          <w:color w:val="000000"/>
          <w:kern w:val="0"/>
          <w:sz w:val="24"/>
          <w:szCs w:val="24"/>
          <w:lang w:val="en-US"/>
        </w:rPr>
        <w:t>根据本项目收益与融资自求平衡的压力测试结果，当</w:t>
      </w:r>
      <w:r>
        <w:rPr>
          <w:rFonts w:hint="eastAsia" w:ascii="宋体" w:hAnsi="宋体" w:eastAsia="宋体" w:cs="Times New Roman"/>
          <w:color w:val="000000"/>
          <w:kern w:val="0"/>
          <w:sz w:val="24"/>
          <w:szCs w:val="24"/>
          <w:lang w:val="en-US"/>
        </w:rPr>
        <w:t>项目收益</w:t>
      </w:r>
      <w:r>
        <w:rPr>
          <w:rFonts w:ascii="宋体" w:hAnsi="宋体" w:eastAsia="宋体" w:cs="Times New Roman"/>
          <w:color w:val="000000"/>
          <w:kern w:val="0"/>
          <w:sz w:val="24"/>
          <w:szCs w:val="24"/>
          <w:lang w:val="en-US"/>
        </w:rPr>
        <w:t>影响债券还本付息的因素在±</w:t>
      </w:r>
      <w:r>
        <w:rPr>
          <w:rFonts w:hint="eastAsia" w:ascii="宋体" w:hAnsi="宋体" w:eastAsia="宋体" w:cs="Times New Roman"/>
          <w:color w:val="000000"/>
          <w:kern w:val="0"/>
          <w:sz w:val="24"/>
          <w:szCs w:val="24"/>
          <w:lang w:val="en-US"/>
        </w:rPr>
        <w:t>15</w:t>
      </w:r>
      <w:r>
        <w:rPr>
          <w:rFonts w:ascii="宋体" w:hAnsi="宋体" w:eastAsia="宋体" w:cs="Times New Roman"/>
          <w:color w:val="000000"/>
          <w:kern w:val="0"/>
          <w:sz w:val="24"/>
          <w:szCs w:val="24"/>
          <w:lang w:val="en-US"/>
        </w:rPr>
        <w:t>%范围内变动的情况下，专项债券本息资金覆盖率仍然大于1，还本付息资金具有一定的风险抵抗能力。具体情况</w:t>
      </w:r>
      <w:r>
        <w:rPr>
          <w:rFonts w:hint="eastAsia" w:ascii="宋体" w:hAnsi="宋体" w:eastAsia="宋体" w:cs="Times New Roman"/>
          <w:color w:val="000000"/>
          <w:kern w:val="0"/>
          <w:sz w:val="24"/>
          <w:szCs w:val="24"/>
          <w:lang w:val="en-US"/>
        </w:rPr>
        <w:t>详见</w:t>
      </w:r>
      <w:r>
        <w:rPr>
          <w:rFonts w:ascii="宋体" w:hAnsi="宋体" w:eastAsia="宋体" w:cs="Times New Roman"/>
          <w:color w:val="000000"/>
          <w:kern w:val="0"/>
          <w:sz w:val="24"/>
          <w:szCs w:val="24"/>
          <w:lang w:val="en-US"/>
        </w:rPr>
        <w:t>表10：</w:t>
      </w:r>
    </w:p>
    <w:p w14:paraId="029730EF">
      <w:pPr>
        <w:widowControl/>
        <w:spacing w:before="120" w:after="120" w:line="360" w:lineRule="auto"/>
        <w:ind w:firstLine="454"/>
        <w:jc w:val="center"/>
        <w:rPr>
          <w:rFonts w:hint="eastAsia" w:ascii="宋体" w:hAnsi="宋体" w:eastAsia="宋体" w:cs="Times New Roman"/>
          <w:b/>
          <w:color w:val="000000"/>
          <w:kern w:val="0"/>
          <w:sz w:val="24"/>
          <w:szCs w:val="24"/>
          <w:lang w:val="en-US"/>
        </w:rPr>
      </w:pPr>
      <w:r>
        <w:rPr>
          <w:rFonts w:ascii="宋体" w:hAnsi="宋体" w:eastAsia="宋体" w:cs="Times New Roman"/>
          <w:b/>
          <w:color w:val="000000"/>
          <w:kern w:val="0"/>
          <w:sz w:val="24"/>
          <w:szCs w:val="24"/>
          <w:lang w:val="en-US"/>
        </w:rPr>
        <w:t>表</w:t>
      </w:r>
      <w:r>
        <w:rPr>
          <w:rFonts w:hint="eastAsia" w:ascii="宋体" w:hAnsi="宋体" w:eastAsia="宋体" w:cs="Times New Roman"/>
          <w:b/>
          <w:color w:val="000000"/>
          <w:kern w:val="0"/>
          <w:sz w:val="24"/>
          <w:szCs w:val="24"/>
          <w:lang w:val="en-US"/>
        </w:rPr>
        <w:t>1</w:t>
      </w:r>
      <w:r>
        <w:rPr>
          <w:rFonts w:ascii="宋体" w:hAnsi="宋体" w:eastAsia="宋体" w:cs="Times New Roman"/>
          <w:b/>
          <w:color w:val="000000"/>
          <w:kern w:val="0"/>
          <w:sz w:val="24"/>
          <w:szCs w:val="24"/>
          <w:lang w:val="en-US"/>
        </w:rPr>
        <w:t xml:space="preserve">0 </w:t>
      </w:r>
      <w:r>
        <w:rPr>
          <w:rFonts w:hint="eastAsia" w:ascii="宋体" w:hAnsi="宋体" w:eastAsia="宋体" w:cs="Times New Roman"/>
          <w:b/>
          <w:color w:val="000000"/>
          <w:kern w:val="0"/>
          <w:sz w:val="24"/>
          <w:szCs w:val="24"/>
          <w:lang w:val="en-US"/>
        </w:rPr>
        <w:t>海口江东新区产业发展配套基础设施项目（三期）</w:t>
      </w:r>
      <w:r>
        <w:rPr>
          <w:rFonts w:ascii="宋体" w:hAnsi="宋体" w:eastAsia="宋体" w:cs="Times New Roman"/>
          <w:b/>
          <w:color w:val="000000"/>
          <w:kern w:val="0"/>
          <w:sz w:val="24"/>
          <w:szCs w:val="24"/>
          <w:lang w:val="en-US"/>
        </w:rPr>
        <w:t>压力测试表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0"/>
        <w:gridCol w:w="869"/>
        <w:gridCol w:w="869"/>
        <w:gridCol w:w="732"/>
        <w:gridCol w:w="732"/>
        <w:gridCol w:w="732"/>
        <w:gridCol w:w="741"/>
        <w:gridCol w:w="741"/>
      </w:tblGrid>
      <w:tr w14:paraId="6385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820" w:type="pct"/>
            <w:shd w:val="clear" w:color="auto" w:fill="D8D8D8"/>
            <w:noWrap/>
            <w:vAlign w:val="center"/>
          </w:tcPr>
          <w:p w14:paraId="524A2227">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hint="eastAsia" w:ascii="宋体" w:hAnsi="宋体" w:eastAsia="宋体" w:cs="仿宋"/>
                <w:b/>
                <w:color w:val="000000"/>
                <w:kern w:val="0"/>
                <w:sz w:val="22"/>
                <w:szCs w:val="18"/>
                <w:lang w:val="en-GB"/>
              </w:rPr>
              <w:t>资金覆盖率</w:t>
            </w:r>
            <w:r>
              <w:rPr>
                <w:rFonts w:ascii="宋体" w:hAnsi="宋体" w:eastAsia="宋体" w:cs="仿宋"/>
                <w:b/>
                <w:color w:val="000000"/>
                <w:kern w:val="0"/>
                <w:sz w:val="22"/>
                <w:szCs w:val="18"/>
                <w:lang w:val="en-GB"/>
              </w:rPr>
              <w:t>-</w:t>
            </w:r>
            <w:r>
              <w:rPr>
                <w:rFonts w:hint="eastAsia" w:ascii="宋体" w:hAnsi="宋体" w:eastAsia="宋体" w:cs="仿宋"/>
                <w:b/>
                <w:color w:val="000000"/>
                <w:kern w:val="0"/>
                <w:sz w:val="22"/>
                <w:szCs w:val="18"/>
                <w:lang w:val="en-GB"/>
              </w:rPr>
              <w:t>压力测试</w:t>
            </w:r>
          </w:p>
          <w:p w14:paraId="4509898C">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hint="eastAsia" w:ascii="宋体" w:hAnsi="宋体" w:eastAsia="宋体" w:cs="仿宋"/>
                <w:b/>
                <w:color w:val="000000"/>
                <w:kern w:val="0"/>
                <w:sz w:val="22"/>
                <w:szCs w:val="18"/>
                <w:lang w:val="en-GB"/>
              </w:rPr>
              <w:t>（单因素敏感性分析）</w:t>
            </w:r>
          </w:p>
        </w:tc>
        <w:tc>
          <w:tcPr>
            <w:tcW w:w="510" w:type="pct"/>
            <w:shd w:val="clear" w:color="auto" w:fill="D8D8D8"/>
            <w:noWrap/>
            <w:vAlign w:val="center"/>
          </w:tcPr>
          <w:p w14:paraId="082B3975">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-15%</w:t>
            </w:r>
          </w:p>
        </w:tc>
        <w:tc>
          <w:tcPr>
            <w:tcW w:w="510" w:type="pct"/>
            <w:shd w:val="clear" w:color="auto" w:fill="D8D8D8"/>
            <w:noWrap/>
            <w:vAlign w:val="center"/>
          </w:tcPr>
          <w:p w14:paraId="481150D1">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-10%</w:t>
            </w:r>
          </w:p>
        </w:tc>
        <w:tc>
          <w:tcPr>
            <w:tcW w:w="430" w:type="pct"/>
            <w:shd w:val="clear" w:color="auto" w:fill="D8D8D8"/>
            <w:noWrap/>
            <w:vAlign w:val="center"/>
          </w:tcPr>
          <w:p w14:paraId="04F1FDEF">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-5%</w:t>
            </w:r>
          </w:p>
        </w:tc>
        <w:tc>
          <w:tcPr>
            <w:tcW w:w="430" w:type="pct"/>
            <w:shd w:val="clear" w:color="auto" w:fill="D8D8D8"/>
            <w:noWrap/>
            <w:vAlign w:val="center"/>
          </w:tcPr>
          <w:p w14:paraId="5C5BAF15">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0%</w:t>
            </w:r>
          </w:p>
        </w:tc>
        <w:tc>
          <w:tcPr>
            <w:tcW w:w="430" w:type="pct"/>
            <w:shd w:val="clear" w:color="auto" w:fill="D8D8D8"/>
            <w:noWrap/>
            <w:vAlign w:val="center"/>
          </w:tcPr>
          <w:p w14:paraId="16640291">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5%</w:t>
            </w:r>
          </w:p>
        </w:tc>
        <w:tc>
          <w:tcPr>
            <w:tcW w:w="435" w:type="pct"/>
            <w:shd w:val="clear" w:color="auto" w:fill="D8D8D8"/>
            <w:noWrap/>
            <w:vAlign w:val="center"/>
          </w:tcPr>
          <w:p w14:paraId="0BBBDB58">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10%</w:t>
            </w:r>
          </w:p>
        </w:tc>
        <w:tc>
          <w:tcPr>
            <w:tcW w:w="435" w:type="pct"/>
            <w:shd w:val="clear" w:color="auto" w:fill="D8D8D8"/>
            <w:noWrap/>
            <w:vAlign w:val="center"/>
          </w:tcPr>
          <w:p w14:paraId="116A5787">
            <w:pPr>
              <w:widowControl/>
              <w:autoSpaceDE w:val="0"/>
              <w:autoSpaceDN w:val="0"/>
              <w:spacing w:after="120"/>
              <w:contextualSpacing/>
              <w:jc w:val="center"/>
              <w:rPr>
                <w:rFonts w:hint="eastAsia" w:ascii="宋体" w:hAnsi="宋体" w:eastAsia="宋体" w:cs="仿宋"/>
                <w:b/>
                <w:color w:val="000000"/>
                <w:kern w:val="0"/>
                <w:sz w:val="22"/>
                <w:szCs w:val="18"/>
                <w:lang w:val="en-GB"/>
              </w:rPr>
            </w:pPr>
            <w:r>
              <w:rPr>
                <w:rFonts w:ascii="宋体" w:hAnsi="宋体" w:eastAsia="宋体" w:cs="仿宋"/>
                <w:b/>
                <w:color w:val="000000"/>
                <w:kern w:val="0"/>
                <w:sz w:val="22"/>
                <w:szCs w:val="18"/>
                <w:lang w:val="en-GB"/>
              </w:rPr>
              <w:t>15%</w:t>
            </w:r>
          </w:p>
        </w:tc>
      </w:tr>
      <w:tr w14:paraId="0DC2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0B0C730D">
            <w:pPr>
              <w:widowControl/>
              <w:spacing w:line="256" w:lineRule="auto"/>
              <w:jc w:val="left"/>
              <w:rPr>
                <w:rFonts w:hint="eastAsia" w:ascii="宋体" w:hAnsi="宋体" w:eastAsia="宋体" w:cs="Times New Roman"/>
                <w:color w:val="000000"/>
                <w:kern w:val="0"/>
                <w:sz w:val="20"/>
                <w:szCs w:val="20"/>
                <w:lang w:val="en-US"/>
              </w:rPr>
            </w:pPr>
            <w:r>
              <w:rPr>
                <w:rFonts w:hint="eastAsia" w:ascii="宋体" w:hAnsi="宋体" w:eastAsia="宋体" w:cs="Times New Roman"/>
                <w:b/>
                <w:bCs/>
                <w:color w:val="000000"/>
                <w:kern w:val="0"/>
                <w:sz w:val="20"/>
                <w:szCs w:val="20"/>
                <w:lang w:val="en-US"/>
              </w:rPr>
              <w:t>收益变动情况敏感性分析</w:t>
            </w:r>
          </w:p>
        </w:tc>
        <w:tc>
          <w:tcPr>
            <w:tcW w:w="510" w:type="pct"/>
            <w:shd w:val="clear" w:color="auto" w:fill="auto"/>
            <w:noWrap/>
            <w:vAlign w:val="center"/>
          </w:tcPr>
          <w:p w14:paraId="44A6CE82">
            <w:pPr>
              <w:widowControl/>
              <w:jc w:val="right"/>
              <w:rPr>
                <w:rFonts w:hint="eastAsia" w:ascii="宋体" w:hAnsi="宋体" w:eastAsia="宋体" w:cs="Arial"/>
                <w:color w:val="000000"/>
                <w:kern w:val="0"/>
                <w:sz w:val="20"/>
                <w:szCs w:val="20"/>
                <w:lang w:val="en-GB"/>
              </w:rPr>
            </w:pPr>
          </w:p>
        </w:tc>
        <w:tc>
          <w:tcPr>
            <w:tcW w:w="510" w:type="pct"/>
            <w:shd w:val="clear" w:color="auto" w:fill="auto"/>
            <w:noWrap/>
            <w:vAlign w:val="center"/>
          </w:tcPr>
          <w:p w14:paraId="6E99BE9D">
            <w:pPr>
              <w:widowControl/>
              <w:jc w:val="right"/>
              <w:rPr>
                <w:rFonts w:hint="eastAsia" w:ascii="宋体" w:hAnsi="宋体" w:eastAsia="宋体" w:cs="Arial"/>
                <w:color w:val="000000"/>
                <w:kern w:val="0"/>
                <w:sz w:val="20"/>
                <w:szCs w:val="20"/>
                <w:lang w:val="en-GB"/>
              </w:rPr>
            </w:pPr>
          </w:p>
        </w:tc>
        <w:tc>
          <w:tcPr>
            <w:tcW w:w="430" w:type="pct"/>
            <w:shd w:val="clear" w:color="auto" w:fill="auto"/>
            <w:noWrap/>
            <w:vAlign w:val="center"/>
          </w:tcPr>
          <w:p w14:paraId="5541F81A">
            <w:pPr>
              <w:widowControl/>
              <w:jc w:val="right"/>
              <w:rPr>
                <w:rFonts w:hint="eastAsia" w:ascii="宋体" w:hAnsi="宋体" w:eastAsia="宋体" w:cs="Arial"/>
                <w:color w:val="000000"/>
                <w:kern w:val="0"/>
                <w:sz w:val="20"/>
                <w:szCs w:val="20"/>
                <w:lang w:val="en-GB"/>
              </w:rPr>
            </w:pPr>
          </w:p>
        </w:tc>
        <w:tc>
          <w:tcPr>
            <w:tcW w:w="430" w:type="pct"/>
            <w:shd w:val="clear" w:color="auto" w:fill="auto"/>
            <w:noWrap/>
            <w:vAlign w:val="center"/>
          </w:tcPr>
          <w:p w14:paraId="562E68AB">
            <w:pPr>
              <w:widowControl/>
              <w:jc w:val="right"/>
              <w:rPr>
                <w:rFonts w:hint="eastAsia" w:ascii="宋体" w:hAnsi="宋体" w:eastAsia="宋体" w:cs="Arial"/>
                <w:color w:val="000000"/>
                <w:kern w:val="0"/>
                <w:sz w:val="20"/>
                <w:szCs w:val="20"/>
                <w:lang w:val="en-GB"/>
              </w:rPr>
            </w:pPr>
          </w:p>
        </w:tc>
        <w:tc>
          <w:tcPr>
            <w:tcW w:w="430" w:type="pct"/>
            <w:shd w:val="clear" w:color="auto" w:fill="auto"/>
            <w:noWrap/>
            <w:vAlign w:val="center"/>
          </w:tcPr>
          <w:p w14:paraId="58E35D37">
            <w:pPr>
              <w:widowControl/>
              <w:jc w:val="right"/>
              <w:rPr>
                <w:rFonts w:hint="eastAsia" w:ascii="宋体" w:hAnsi="宋体" w:eastAsia="宋体" w:cs="Arial"/>
                <w:color w:val="000000"/>
                <w:kern w:val="0"/>
                <w:sz w:val="20"/>
                <w:szCs w:val="20"/>
                <w:lang w:val="en-GB"/>
              </w:rPr>
            </w:pPr>
          </w:p>
        </w:tc>
        <w:tc>
          <w:tcPr>
            <w:tcW w:w="435" w:type="pct"/>
            <w:shd w:val="clear" w:color="auto" w:fill="auto"/>
            <w:noWrap/>
            <w:vAlign w:val="center"/>
          </w:tcPr>
          <w:p w14:paraId="17A23B86">
            <w:pPr>
              <w:widowControl/>
              <w:jc w:val="right"/>
              <w:rPr>
                <w:rFonts w:hint="eastAsia" w:ascii="宋体" w:hAnsi="宋体" w:eastAsia="宋体" w:cs="Arial"/>
                <w:color w:val="000000"/>
                <w:kern w:val="0"/>
                <w:sz w:val="20"/>
                <w:szCs w:val="20"/>
                <w:lang w:val="en-GB"/>
              </w:rPr>
            </w:pPr>
          </w:p>
        </w:tc>
        <w:tc>
          <w:tcPr>
            <w:tcW w:w="435" w:type="pct"/>
            <w:shd w:val="clear" w:color="auto" w:fill="auto"/>
            <w:noWrap/>
            <w:vAlign w:val="center"/>
          </w:tcPr>
          <w:p w14:paraId="6122348F">
            <w:pPr>
              <w:widowControl/>
              <w:jc w:val="right"/>
              <w:rPr>
                <w:rFonts w:hint="eastAsia" w:ascii="宋体" w:hAnsi="宋体" w:eastAsia="宋体" w:cs="Arial"/>
                <w:color w:val="000000"/>
                <w:kern w:val="0"/>
                <w:sz w:val="20"/>
                <w:szCs w:val="20"/>
                <w:lang w:val="en-GB"/>
              </w:rPr>
            </w:pPr>
          </w:p>
        </w:tc>
      </w:tr>
      <w:tr w14:paraId="4BE2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45805C91">
            <w:pPr>
              <w:widowControl/>
              <w:spacing w:line="256" w:lineRule="auto"/>
              <w:jc w:val="left"/>
              <w:rPr>
                <w:rFonts w:hint="eastAsia" w:ascii="宋体" w:hAnsi="宋体" w:eastAsia="宋体" w:cs="Times New Roman"/>
                <w:color w:val="000000"/>
                <w:kern w:val="0"/>
                <w:sz w:val="20"/>
                <w:szCs w:val="20"/>
                <w:lang w:val="en-US"/>
              </w:rPr>
            </w:pPr>
            <w:r>
              <w:rPr>
                <w:rFonts w:hint="eastAsia" w:ascii="宋体" w:hAnsi="宋体" w:eastAsia="宋体" w:cs="Times New Roman"/>
                <w:color w:val="000000"/>
                <w:kern w:val="0"/>
                <w:sz w:val="20"/>
                <w:szCs w:val="20"/>
                <w:lang w:val="en-US"/>
              </w:rPr>
              <w:t>债券本息覆盖率</w:t>
            </w:r>
            <w:r>
              <w:rPr>
                <w:rFonts w:ascii="宋体" w:hAnsi="宋体" w:eastAsia="宋体" w:cs="微软雅黑"/>
                <w:kern w:val="0"/>
                <w:sz w:val="18"/>
                <w:szCs w:val="18"/>
                <w:vertAlign w:val="superscript"/>
                <w:lang w:val="en-GB"/>
              </w:rPr>
              <w:footnoteReference w:id="2"/>
            </w:r>
          </w:p>
        </w:tc>
        <w:tc>
          <w:tcPr>
            <w:tcW w:w="510" w:type="pct"/>
            <w:shd w:val="clear" w:color="auto" w:fill="auto"/>
            <w:noWrap/>
            <w:vAlign w:val="center"/>
          </w:tcPr>
          <w:p w14:paraId="458BD7CE">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1.13</w:t>
            </w:r>
          </w:p>
        </w:tc>
        <w:tc>
          <w:tcPr>
            <w:tcW w:w="510" w:type="pct"/>
            <w:shd w:val="clear" w:color="auto" w:fill="auto"/>
            <w:noWrap/>
            <w:vAlign w:val="center"/>
          </w:tcPr>
          <w:p w14:paraId="7D222ECA">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1.20</w:t>
            </w:r>
          </w:p>
        </w:tc>
        <w:tc>
          <w:tcPr>
            <w:tcW w:w="430" w:type="pct"/>
            <w:shd w:val="clear" w:color="auto" w:fill="auto"/>
            <w:noWrap/>
            <w:vAlign w:val="center"/>
          </w:tcPr>
          <w:p w14:paraId="7C205248">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1.26</w:t>
            </w:r>
          </w:p>
        </w:tc>
        <w:tc>
          <w:tcPr>
            <w:tcW w:w="430" w:type="pct"/>
            <w:shd w:val="clear" w:color="auto" w:fill="auto"/>
            <w:noWrap/>
            <w:vAlign w:val="center"/>
          </w:tcPr>
          <w:p w14:paraId="324C9B4E">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1.33</w:t>
            </w:r>
          </w:p>
        </w:tc>
        <w:tc>
          <w:tcPr>
            <w:tcW w:w="430" w:type="pct"/>
            <w:shd w:val="clear" w:color="auto" w:fill="auto"/>
            <w:noWrap/>
            <w:vAlign w:val="center"/>
          </w:tcPr>
          <w:p w14:paraId="1F247094">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1.39</w:t>
            </w:r>
          </w:p>
        </w:tc>
        <w:tc>
          <w:tcPr>
            <w:tcW w:w="435" w:type="pct"/>
            <w:shd w:val="clear" w:color="auto" w:fill="auto"/>
            <w:noWrap/>
            <w:vAlign w:val="center"/>
          </w:tcPr>
          <w:p w14:paraId="4DBB992D">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1.46</w:t>
            </w:r>
          </w:p>
        </w:tc>
        <w:tc>
          <w:tcPr>
            <w:tcW w:w="435" w:type="pct"/>
            <w:shd w:val="clear" w:color="auto" w:fill="auto"/>
            <w:noWrap/>
            <w:vAlign w:val="center"/>
          </w:tcPr>
          <w:p w14:paraId="161718F5">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1.52</w:t>
            </w:r>
          </w:p>
        </w:tc>
      </w:tr>
      <w:tr w14:paraId="0CC6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820" w:type="pct"/>
            <w:shd w:val="clear" w:color="auto" w:fill="auto"/>
            <w:noWrap/>
            <w:vAlign w:val="center"/>
          </w:tcPr>
          <w:p w14:paraId="08F278B5">
            <w:pPr>
              <w:widowControl/>
              <w:spacing w:line="256" w:lineRule="auto"/>
              <w:jc w:val="left"/>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债券</w:t>
            </w:r>
            <w:r>
              <w:rPr>
                <w:rFonts w:hint="eastAsia" w:ascii="宋体" w:hAnsi="宋体" w:eastAsia="宋体" w:cs="Times New Roman"/>
                <w:color w:val="000000"/>
                <w:kern w:val="0"/>
                <w:sz w:val="20"/>
                <w:szCs w:val="20"/>
                <w:lang w:val="en-US"/>
              </w:rPr>
              <w:t>本息覆盖倍数</w:t>
            </w:r>
            <w:r>
              <w:rPr>
                <w:rFonts w:ascii="宋体" w:hAnsi="宋体" w:eastAsia="宋体" w:cs="微软雅黑"/>
                <w:kern w:val="0"/>
                <w:sz w:val="18"/>
                <w:szCs w:val="18"/>
                <w:vertAlign w:val="superscript"/>
                <w:lang w:val="en-GB"/>
              </w:rPr>
              <w:footnoteReference w:id="3"/>
            </w:r>
          </w:p>
        </w:tc>
        <w:tc>
          <w:tcPr>
            <w:tcW w:w="510" w:type="pct"/>
            <w:shd w:val="clear" w:color="auto" w:fill="auto"/>
            <w:noWrap/>
            <w:vAlign w:val="center"/>
          </w:tcPr>
          <w:p w14:paraId="6B602EC1">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1.10</w:t>
            </w:r>
          </w:p>
        </w:tc>
        <w:tc>
          <w:tcPr>
            <w:tcW w:w="510" w:type="pct"/>
            <w:shd w:val="clear" w:color="auto" w:fill="auto"/>
            <w:noWrap/>
            <w:vAlign w:val="center"/>
          </w:tcPr>
          <w:p w14:paraId="7A78570E">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1.17</w:t>
            </w:r>
          </w:p>
        </w:tc>
        <w:tc>
          <w:tcPr>
            <w:tcW w:w="430" w:type="pct"/>
            <w:shd w:val="clear" w:color="auto" w:fill="auto"/>
            <w:noWrap/>
            <w:vAlign w:val="center"/>
          </w:tcPr>
          <w:p w14:paraId="4739BFE8">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1.23</w:t>
            </w:r>
          </w:p>
        </w:tc>
        <w:tc>
          <w:tcPr>
            <w:tcW w:w="430" w:type="pct"/>
            <w:shd w:val="clear" w:color="auto" w:fill="auto"/>
            <w:noWrap/>
            <w:vAlign w:val="center"/>
          </w:tcPr>
          <w:p w14:paraId="6E3C0CBE">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1.30</w:t>
            </w:r>
          </w:p>
        </w:tc>
        <w:tc>
          <w:tcPr>
            <w:tcW w:w="430" w:type="pct"/>
            <w:shd w:val="clear" w:color="auto" w:fill="auto"/>
            <w:noWrap/>
            <w:vAlign w:val="center"/>
          </w:tcPr>
          <w:p w14:paraId="3DBD5BAB">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1.36</w:t>
            </w:r>
          </w:p>
        </w:tc>
        <w:tc>
          <w:tcPr>
            <w:tcW w:w="435" w:type="pct"/>
            <w:shd w:val="clear" w:color="auto" w:fill="auto"/>
            <w:noWrap/>
            <w:vAlign w:val="center"/>
          </w:tcPr>
          <w:p w14:paraId="155B3E5B">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1.43</w:t>
            </w:r>
          </w:p>
        </w:tc>
        <w:tc>
          <w:tcPr>
            <w:tcW w:w="435" w:type="pct"/>
            <w:shd w:val="clear" w:color="auto" w:fill="auto"/>
            <w:noWrap/>
            <w:vAlign w:val="center"/>
          </w:tcPr>
          <w:p w14:paraId="30B2E561">
            <w:pPr>
              <w:widowControl/>
              <w:jc w:val="center"/>
              <w:rPr>
                <w:rFonts w:hint="eastAsia" w:ascii="宋体" w:hAnsi="宋体" w:eastAsia="宋体" w:cs="Times New Roman"/>
                <w:color w:val="000000"/>
                <w:kern w:val="0"/>
                <w:sz w:val="20"/>
                <w:szCs w:val="20"/>
                <w:lang w:val="en-US"/>
              </w:rPr>
            </w:pPr>
            <w:r>
              <w:rPr>
                <w:rFonts w:ascii="宋体" w:hAnsi="宋体" w:eastAsia="宋体" w:cs="Times New Roman"/>
                <w:color w:val="000000"/>
                <w:kern w:val="0"/>
                <w:sz w:val="20"/>
                <w:szCs w:val="20"/>
                <w:lang w:val="en-US"/>
              </w:rPr>
              <w:t>1.49</w:t>
            </w:r>
          </w:p>
        </w:tc>
      </w:tr>
    </w:tbl>
    <w:p w14:paraId="24A2568F">
      <w:pPr>
        <w:widowControl/>
        <w:spacing w:before="120" w:after="120" w:line="360" w:lineRule="auto"/>
        <w:ind w:firstLine="480" w:firstLineChars="200"/>
        <w:jc w:val="both"/>
        <w:rPr>
          <w:rFonts w:hint="eastAsia" w:ascii="宋体" w:hAnsi="宋体" w:eastAsia="宋体" w:cs="Times New Roman"/>
          <w:color w:val="000000"/>
          <w:kern w:val="0"/>
          <w:sz w:val="24"/>
          <w:szCs w:val="24"/>
          <w:lang w:val="en-US"/>
        </w:rPr>
      </w:pPr>
      <w:r>
        <w:rPr>
          <w:rFonts w:hint="eastAsia" w:ascii="宋体" w:hAnsi="宋体" w:eastAsia="宋体" w:cs="Times New Roman"/>
          <w:color w:val="000000"/>
          <w:kern w:val="0"/>
          <w:sz w:val="24"/>
          <w:szCs w:val="24"/>
          <w:lang w:val="en-US"/>
        </w:rPr>
        <w:t>总体而言，本项目预计土地出让收入、灯杆广告位出租收入对其拟使用的募集资金保障程度较高。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3EE08DBE">
      <w:pPr>
        <w:spacing w:line="360" w:lineRule="auto"/>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六、潜在风险评估</w:t>
      </w:r>
      <w:bookmarkEnd w:id="36"/>
    </w:p>
    <w:p w14:paraId="3EE08DBF">
      <w:pPr>
        <w:spacing w:line="360" w:lineRule="auto"/>
        <w:ind w:firstLine="482" w:firstLineChars="200"/>
        <w:outlineLvl w:val="0"/>
        <w:rPr>
          <w:rFonts w:hint="eastAsia" w:ascii="宋体" w:hAnsi="宋体" w:eastAsia="宋体" w:cs="宋体"/>
          <w:b/>
          <w:bCs/>
          <w:sz w:val="24"/>
          <w:szCs w:val="24"/>
        </w:rPr>
      </w:pPr>
      <w:bookmarkStart w:id="37" w:name="_Toc498385095"/>
      <w:bookmarkStart w:id="38" w:name="_Toc498385763"/>
      <w:bookmarkStart w:id="39" w:name="_Toc16405"/>
      <w:bookmarkStart w:id="40" w:name="_Toc741"/>
      <w:bookmarkStart w:id="41" w:name="_Toc20908"/>
      <w:bookmarkStart w:id="42" w:name="_Toc498551274"/>
      <w:r>
        <w:rPr>
          <w:rFonts w:hint="eastAsia" w:ascii="宋体" w:hAnsi="宋体" w:eastAsia="宋体" w:cs="宋体"/>
          <w:b/>
          <w:bCs/>
          <w:sz w:val="24"/>
          <w:szCs w:val="24"/>
        </w:rPr>
        <w:t>（一）影响项目施工进度或正常运营的风险及控制措施</w:t>
      </w:r>
      <w:bookmarkEnd w:id="37"/>
      <w:bookmarkEnd w:id="38"/>
      <w:bookmarkEnd w:id="39"/>
      <w:bookmarkEnd w:id="40"/>
      <w:bookmarkEnd w:id="41"/>
      <w:bookmarkEnd w:id="42"/>
    </w:p>
    <w:p w14:paraId="3EE08DC0">
      <w:pPr>
        <w:spacing w:line="360" w:lineRule="auto"/>
        <w:ind w:firstLine="480" w:firstLineChars="200"/>
        <w:outlineLvl w:val="2"/>
        <w:rPr>
          <w:rFonts w:hint="eastAsia" w:ascii="宋体" w:hAnsi="宋体" w:eastAsia="宋体" w:cs="宋体"/>
          <w:sz w:val="24"/>
          <w:szCs w:val="24"/>
        </w:rPr>
      </w:pPr>
      <w:bookmarkStart w:id="43" w:name="_Toc498385096"/>
      <w:bookmarkStart w:id="44" w:name="_Toc498551275"/>
      <w:bookmarkStart w:id="45" w:name="_Toc498385764"/>
      <w:bookmarkStart w:id="46" w:name="_Toc23168"/>
      <w:r>
        <w:rPr>
          <w:rFonts w:hint="eastAsia" w:ascii="宋体" w:hAnsi="宋体" w:eastAsia="宋体" w:cs="宋体"/>
          <w:sz w:val="24"/>
          <w:szCs w:val="24"/>
        </w:rPr>
        <w:t>1</w:t>
      </w:r>
      <w:bookmarkEnd w:id="43"/>
      <w:bookmarkEnd w:id="44"/>
      <w:bookmarkEnd w:id="45"/>
      <w:r>
        <w:rPr>
          <w:rFonts w:hint="eastAsia" w:ascii="宋体" w:hAnsi="宋体" w:eastAsia="宋体" w:cs="宋体"/>
          <w:sz w:val="24"/>
          <w:szCs w:val="24"/>
        </w:rPr>
        <w:t>、政策风险</w:t>
      </w:r>
      <w:bookmarkEnd w:id="46"/>
    </w:p>
    <w:p w14:paraId="3EE08D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3EE08DC2">
      <w:pPr>
        <w:spacing w:line="360" w:lineRule="auto"/>
        <w:ind w:firstLine="480" w:firstLineChars="200"/>
        <w:outlineLvl w:val="2"/>
        <w:rPr>
          <w:rFonts w:hint="eastAsia" w:ascii="宋体" w:hAnsi="宋体" w:eastAsia="宋体" w:cs="宋体"/>
          <w:sz w:val="24"/>
          <w:szCs w:val="24"/>
        </w:rPr>
      </w:pPr>
      <w:bookmarkStart w:id="47" w:name="_Toc498385765"/>
      <w:bookmarkStart w:id="48" w:name="_Toc498551276"/>
      <w:bookmarkStart w:id="49" w:name="_Toc498385097"/>
      <w:bookmarkStart w:id="50" w:name="_Toc26505"/>
      <w:r>
        <w:rPr>
          <w:rFonts w:hint="eastAsia" w:ascii="宋体" w:hAnsi="宋体" w:eastAsia="宋体" w:cs="宋体"/>
          <w:sz w:val="24"/>
          <w:szCs w:val="24"/>
        </w:rPr>
        <w:t>2</w:t>
      </w:r>
      <w:bookmarkEnd w:id="47"/>
      <w:bookmarkEnd w:id="48"/>
      <w:bookmarkEnd w:id="49"/>
      <w:r>
        <w:rPr>
          <w:rFonts w:hint="eastAsia" w:ascii="宋体" w:hAnsi="宋体" w:eastAsia="宋体" w:cs="宋体"/>
          <w:sz w:val="24"/>
          <w:szCs w:val="24"/>
        </w:rPr>
        <w:t>、项目实施与管理风险</w:t>
      </w:r>
      <w:bookmarkEnd w:id="50"/>
    </w:p>
    <w:p w14:paraId="3EE08D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项目建设期间严格执行文明施工标准，确保项目对民众生活的影响降至最低。</w:t>
      </w:r>
    </w:p>
    <w:p w14:paraId="3EE08DC4">
      <w:pPr>
        <w:spacing w:line="360" w:lineRule="auto"/>
        <w:ind w:firstLine="480" w:firstLineChars="200"/>
        <w:outlineLvl w:val="2"/>
        <w:rPr>
          <w:rFonts w:hint="eastAsia" w:ascii="宋体" w:hAnsi="宋体" w:eastAsia="宋体" w:cs="宋体"/>
          <w:sz w:val="24"/>
          <w:szCs w:val="24"/>
        </w:rPr>
      </w:pPr>
      <w:bookmarkStart w:id="51" w:name="_Toc22995"/>
      <w:r>
        <w:rPr>
          <w:rFonts w:hint="eastAsia" w:ascii="宋体" w:hAnsi="宋体" w:eastAsia="宋体" w:cs="宋体"/>
          <w:sz w:val="24"/>
          <w:szCs w:val="24"/>
        </w:rPr>
        <w:t>3、财务风险</w:t>
      </w:r>
      <w:bookmarkEnd w:id="51"/>
    </w:p>
    <w:p w14:paraId="3EE08D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EE08DC6">
      <w:pPr>
        <w:spacing w:line="360" w:lineRule="auto"/>
        <w:ind w:firstLine="480" w:firstLineChars="200"/>
        <w:outlineLvl w:val="2"/>
        <w:rPr>
          <w:rFonts w:hint="eastAsia" w:ascii="宋体" w:hAnsi="宋体" w:eastAsia="宋体" w:cs="宋体"/>
          <w:sz w:val="24"/>
          <w:szCs w:val="24"/>
        </w:rPr>
      </w:pPr>
      <w:bookmarkStart w:id="52" w:name="_Toc18164"/>
      <w:r>
        <w:rPr>
          <w:rFonts w:hint="eastAsia" w:ascii="宋体" w:hAnsi="宋体" w:eastAsia="宋体" w:cs="宋体"/>
          <w:sz w:val="24"/>
          <w:szCs w:val="24"/>
        </w:rPr>
        <w:t>4.社会风险</w:t>
      </w:r>
      <w:bookmarkEnd w:id="52"/>
    </w:p>
    <w:p w14:paraId="3EE08D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3EE08DC8">
      <w:pPr>
        <w:spacing w:line="360" w:lineRule="auto"/>
        <w:ind w:firstLine="482" w:firstLineChars="200"/>
        <w:outlineLvl w:val="0"/>
        <w:rPr>
          <w:rFonts w:hint="eastAsia" w:ascii="宋体" w:hAnsi="宋体" w:eastAsia="宋体" w:cs="宋体"/>
          <w:b/>
          <w:bCs/>
          <w:sz w:val="24"/>
          <w:szCs w:val="24"/>
        </w:rPr>
      </w:pPr>
      <w:bookmarkStart w:id="53" w:name="_Toc14"/>
      <w:bookmarkStart w:id="54" w:name="_Toc17161"/>
      <w:bookmarkStart w:id="55" w:name="_Toc498385766"/>
      <w:bookmarkStart w:id="56" w:name="_Toc4601"/>
      <w:bookmarkStart w:id="57" w:name="_Toc498551277"/>
      <w:bookmarkStart w:id="58" w:name="_Toc498385098"/>
      <w:r>
        <w:rPr>
          <w:rFonts w:hint="eastAsia" w:ascii="宋体" w:hAnsi="宋体" w:eastAsia="宋体" w:cs="宋体"/>
          <w:b/>
          <w:bCs/>
          <w:sz w:val="24"/>
          <w:szCs w:val="24"/>
        </w:rPr>
        <w:t>（二）影响项目收益的风险及控制措施</w:t>
      </w:r>
      <w:bookmarkEnd w:id="53"/>
      <w:bookmarkEnd w:id="54"/>
      <w:bookmarkEnd w:id="55"/>
      <w:bookmarkEnd w:id="56"/>
      <w:bookmarkEnd w:id="57"/>
      <w:bookmarkEnd w:id="58"/>
    </w:p>
    <w:p w14:paraId="3EE08DC9">
      <w:pPr>
        <w:spacing w:line="360" w:lineRule="auto"/>
        <w:ind w:firstLine="480" w:firstLineChars="200"/>
        <w:rPr>
          <w:rFonts w:hint="eastAsia" w:ascii="宋体" w:hAnsi="宋体" w:eastAsia="宋体" w:cs="宋体"/>
          <w:sz w:val="24"/>
          <w:szCs w:val="24"/>
        </w:rPr>
      </w:pPr>
      <w:bookmarkStart w:id="59" w:name="_Toc498385767"/>
      <w:bookmarkStart w:id="60" w:name="_Toc498551279"/>
      <w:bookmarkStart w:id="61" w:name="_Toc498385099"/>
      <w:r>
        <w:rPr>
          <w:rFonts w:hint="eastAsia" w:ascii="宋体" w:hAnsi="宋体" w:eastAsia="宋体" w:cs="宋体"/>
          <w:sz w:val="24"/>
          <w:szCs w:val="24"/>
        </w:rPr>
        <w:t>工程可行性研究报告中的总投资额与实际造价成本可能会发生偏差，影响资金项目资金投入和发债计划安排。</w:t>
      </w:r>
    </w:p>
    <w:p w14:paraId="3EE08D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风险控制措施：按照市政府主管部门的批复结果及时调整项目资金投入计划，保障项目顺利实施。</w:t>
      </w:r>
    </w:p>
    <w:bookmarkEnd w:id="59"/>
    <w:bookmarkEnd w:id="60"/>
    <w:bookmarkEnd w:id="61"/>
    <w:p w14:paraId="3EE08DCB">
      <w:pPr>
        <w:spacing w:line="360" w:lineRule="auto"/>
        <w:ind w:firstLine="482" w:firstLineChars="200"/>
        <w:outlineLvl w:val="0"/>
        <w:rPr>
          <w:rFonts w:hint="eastAsia" w:ascii="宋体" w:hAnsi="宋体" w:eastAsia="宋体" w:cs="宋体"/>
          <w:b/>
          <w:bCs/>
          <w:sz w:val="24"/>
          <w:szCs w:val="24"/>
        </w:rPr>
      </w:pPr>
      <w:bookmarkStart w:id="62" w:name="_Toc30358"/>
      <w:bookmarkStart w:id="63" w:name="_Toc498385105"/>
      <w:bookmarkStart w:id="64" w:name="_Toc7640"/>
      <w:bookmarkStart w:id="65" w:name="_Toc498551286"/>
      <w:bookmarkStart w:id="66" w:name="_Toc7033"/>
      <w:bookmarkStart w:id="67" w:name="_Toc498385773"/>
      <w:r>
        <w:rPr>
          <w:rFonts w:hint="eastAsia" w:ascii="宋体" w:hAnsi="宋体" w:eastAsia="宋体" w:cs="宋体"/>
          <w:b/>
          <w:bCs/>
          <w:sz w:val="24"/>
          <w:szCs w:val="24"/>
        </w:rPr>
        <w:t>（三）影响融资平衡结果的风险及控制措施</w:t>
      </w:r>
      <w:bookmarkEnd w:id="62"/>
      <w:bookmarkEnd w:id="63"/>
      <w:bookmarkEnd w:id="64"/>
      <w:bookmarkEnd w:id="65"/>
      <w:bookmarkEnd w:id="66"/>
      <w:bookmarkEnd w:id="67"/>
    </w:p>
    <w:p w14:paraId="3EE08DCC">
      <w:pPr>
        <w:spacing w:line="360" w:lineRule="auto"/>
        <w:ind w:firstLine="480" w:firstLineChars="200"/>
        <w:outlineLvl w:val="2"/>
        <w:rPr>
          <w:rFonts w:hint="eastAsia" w:ascii="宋体" w:hAnsi="宋体" w:eastAsia="宋体" w:cs="宋体"/>
          <w:sz w:val="24"/>
          <w:szCs w:val="24"/>
        </w:rPr>
      </w:pPr>
      <w:bookmarkStart w:id="68" w:name="_Toc498385774"/>
      <w:bookmarkStart w:id="69" w:name="_Toc498551287"/>
      <w:bookmarkStart w:id="70" w:name="_Toc7555"/>
      <w:bookmarkStart w:id="71" w:name="_Toc498385106"/>
      <w:r>
        <w:rPr>
          <w:rFonts w:hint="eastAsia" w:ascii="宋体" w:hAnsi="宋体" w:eastAsia="宋体" w:cs="宋体"/>
          <w:sz w:val="24"/>
          <w:szCs w:val="24"/>
        </w:rPr>
        <w:t>1、投资测算不准确风险</w:t>
      </w:r>
      <w:bookmarkEnd w:id="68"/>
      <w:bookmarkEnd w:id="69"/>
      <w:bookmarkEnd w:id="70"/>
      <w:bookmarkEnd w:id="71"/>
    </w:p>
    <w:p w14:paraId="3EE08DC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3EE08DC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风险控制措施：债券内所含项目的可行性研究报告均聘请了国内知名研究院经过大量分析论证工作后得出，分析结果较为可靠。</w:t>
      </w:r>
    </w:p>
    <w:p w14:paraId="3EE08D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3EE08DD0">
      <w:pPr>
        <w:spacing w:line="360" w:lineRule="auto"/>
        <w:ind w:firstLine="480" w:firstLineChars="200"/>
        <w:outlineLvl w:val="2"/>
        <w:rPr>
          <w:rFonts w:hint="eastAsia" w:ascii="宋体" w:hAnsi="宋体" w:eastAsia="宋体" w:cs="宋体"/>
          <w:sz w:val="24"/>
          <w:szCs w:val="24"/>
        </w:rPr>
      </w:pPr>
      <w:bookmarkStart w:id="72" w:name="_Toc3687"/>
      <w:r>
        <w:rPr>
          <w:rFonts w:hint="eastAsia" w:ascii="宋体" w:hAnsi="宋体" w:eastAsia="宋体" w:cs="宋体"/>
          <w:sz w:val="24"/>
          <w:szCs w:val="24"/>
        </w:rPr>
        <w:t>2、利率波动风险</w:t>
      </w:r>
      <w:bookmarkEnd w:id="72"/>
    </w:p>
    <w:p w14:paraId="3EE08D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3EE08D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3EE08DD3">
      <w:pPr>
        <w:spacing w:line="360" w:lineRule="auto"/>
        <w:ind w:firstLine="480" w:firstLineChars="200"/>
        <w:outlineLvl w:val="2"/>
        <w:rPr>
          <w:rFonts w:hint="eastAsia" w:ascii="宋体" w:hAnsi="宋体" w:eastAsia="宋体" w:cs="宋体"/>
          <w:sz w:val="24"/>
          <w:szCs w:val="24"/>
        </w:rPr>
      </w:pPr>
      <w:bookmarkStart w:id="73" w:name="_Toc25085"/>
      <w:bookmarkStart w:id="74" w:name="_Toc498551289"/>
      <w:r>
        <w:rPr>
          <w:rFonts w:hint="eastAsia" w:ascii="宋体" w:hAnsi="宋体" w:eastAsia="宋体" w:cs="宋体"/>
          <w:sz w:val="24"/>
          <w:szCs w:val="24"/>
        </w:rPr>
        <w:t>3、存续债券置换不畅风险</w:t>
      </w:r>
      <w:bookmarkEnd w:id="73"/>
      <w:bookmarkEnd w:id="74"/>
    </w:p>
    <w:p w14:paraId="3EE08D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3EE08D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3EE08DD6">
      <w:pPr>
        <w:spacing w:before="159" w:beforeLines="50" w:line="360" w:lineRule="auto"/>
        <w:ind w:firstLine="482" w:firstLineChars="200"/>
        <w:outlineLvl w:val="0"/>
        <w:rPr>
          <w:rFonts w:hint="eastAsia" w:ascii="宋体" w:hAnsi="宋体" w:eastAsia="宋体" w:cs="宋体"/>
          <w:b/>
          <w:sz w:val="24"/>
          <w:szCs w:val="24"/>
        </w:rPr>
      </w:pPr>
      <w:bookmarkStart w:id="75" w:name="_Toc4735"/>
      <w:bookmarkStart w:id="76" w:name="_Toc20734"/>
      <w:bookmarkStart w:id="77" w:name="_Toc23808"/>
      <w:bookmarkStart w:id="78" w:name="_Toc24199"/>
      <w:bookmarkStart w:id="79" w:name="_Toc6349"/>
      <w:bookmarkStart w:id="80" w:name="_Toc8534"/>
      <w:bookmarkStart w:id="81" w:name="_Toc1287"/>
      <w:bookmarkStart w:id="82" w:name="_Toc16334"/>
      <w:bookmarkStart w:id="83" w:name="_Toc2036"/>
      <w:bookmarkStart w:id="84" w:name="_Toc9133"/>
      <w:bookmarkStart w:id="85" w:name="_Toc32395"/>
      <w:bookmarkStart w:id="86" w:name="_Toc10210"/>
      <w:bookmarkStart w:id="87" w:name="_Toc4935"/>
      <w:bookmarkStart w:id="88" w:name="_Toc17939"/>
      <w:bookmarkStart w:id="89" w:name="_Toc32327"/>
      <w:bookmarkStart w:id="90" w:name="_Toc15942"/>
      <w:bookmarkStart w:id="91" w:name="_Toc5009"/>
      <w:bookmarkStart w:id="92" w:name="_Toc1725"/>
      <w:bookmarkStart w:id="93" w:name="_Toc11499"/>
      <w:bookmarkStart w:id="94" w:name="_Toc23636"/>
      <w:bookmarkStart w:id="95" w:name="_Toc24781"/>
      <w:bookmarkStart w:id="96" w:name="_Toc3051"/>
      <w:bookmarkStart w:id="97" w:name="_Toc9496"/>
      <w:bookmarkStart w:id="98" w:name="_Toc24434"/>
      <w:bookmarkStart w:id="99" w:name="_Toc13008"/>
      <w:bookmarkStart w:id="100" w:name="_Toc22531"/>
      <w:bookmarkStart w:id="101" w:name="_Toc5637"/>
      <w:bookmarkStart w:id="102" w:name="_Toc5677"/>
      <w:r>
        <w:rPr>
          <w:rFonts w:hint="eastAsia" w:ascii="宋体" w:hAnsi="宋体" w:eastAsia="宋体" w:cs="宋体"/>
          <w:b/>
          <w:sz w:val="24"/>
          <w:szCs w:val="24"/>
        </w:rPr>
        <w:t>七、还款保障措施</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EE08D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3EE08D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3EE08DD9">
      <w:pPr>
        <w:spacing w:line="360" w:lineRule="auto"/>
        <w:ind w:firstLine="480" w:firstLineChars="200"/>
        <w:rPr>
          <w:rFonts w:hint="eastAsia" w:ascii="宋体" w:hAnsi="宋体" w:eastAsia="宋体" w:cs="宋体"/>
          <w:sz w:val="24"/>
          <w:szCs w:val="24"/>
        </w:rPr>
      </w:pPr>
    </w:p>
    <w:p w14:paraId="3EE08DDA">
      <w:pPr>
        <w:spacing w:line="360" w:lineRule="auto"/>
        <w:ind w:firstLine="480" w:firstLineChars="200"/>
        <w:rPr>
          <w:rFonts w:hint="eastAsia" w:ascii="宋体" w:hAnsi="宋体" w:eastAsia="宋体" w:cs="宋体"/>
          <w:sz w:val="24"/>
          <w:szCs w:val="24"/>
        </w:rPr>
      </w:pPr>
    </w:p>
    <w:p w14:paraId="55B45146">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海口市恒慧基础建设有限公司</w:t>
      </w:r>
    </w:p>
    <w:p w14:paraId="3EE08DDC">
      <w:pPr>
        <w:spacing w:line="360" w:lineRule="auto"/>
        <w:ind w:firstLine="480" w:firstLineChars="200"/>
        <w:jc w:val="right"/>
        <w:rPr>
          <w:rFonts w:hint="eastAsia" w:ascii="宋体" w:hAnsi="宋体" w:eastAsia="宋体" w:cs="宋体"/>
          <w:color w:val="000000"/>
          <w:kern w:val="0"/>
          <w:sz w:val="24"/>
          <w:szCs w:val="24"/>
          <w:lang w:val="en-US" w:eastAsia="zh-CN"/>
        </w:rPr>
      </w:pPr>
      <w:r>
        <w:rPr>
          <w:rFonts w:hint="eastAsia" w:ascii="宋体" w:hAnsi="宋体" w:eastAsia="宋体" w:cs="宋体"/>
          <w:sz w:val="24"/>
          <w:szCs w:val="24"/>
        </w:rPr>
        <w:t>2025年</w:t>
      </w:r>
      <w:r>
        <w:rPr>
          <w:rFonts w:hint="eastAsia" w:ascii="宋体" w:hAnsi="宋体" w:eastAsia="宋体" w:cs="宋体"/>
          <w:sz w:val="24"/>
          <w:szCs w:val="24"/>
          <w:lang w:val="en-US" w:eastAsia="zh-CN"/>
        </w:rPr>
        <w:t>9</w:t>
      </w:r>
      <w:r>
        <w:rPr>
          <w:rFonts w:hint="eastAsia" w:ascii="宋体" w:hAnsi="宋体" w:eastAsia="宋体" w:cs="宋体"/>
          <w:sz w:val="24"/>
          <w:szCs w:val="24"/>
        </w:rPr>
        <w:t>月</w:t>
      </w:r>
      <w:r>
        <w:rPr>
          <w:rFonts w:hint="eastAsia" w:ascii="宋体" w:hAnsi="宋体" w:eastAsia="宋体" w:cs="宋体"/>
          <w:color w:val="000000"/>
          <w:kern w:val="0"/>
          <w:sz w:val="24"/>
          <w:szCs w:val="24"/>
          <w:lang w:val="en-US" w:eastAsia="zh-CN"/>
        </w:rPr>
        <w:t>10日</w:t>
      </w:r>
    </w:p>
    <w:sectPr>
      <w:headerReference r:id="rId6" w:type="default"/>
      <w:footerReference r:id="rId7" w:type="default"/>
      <w:pgSz w:w="11906" w:h="16838"/>
      <w:pgMar w:top="1440" w:right="1803" w:bottom="1440" w:left="180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6CF1">
    <w:pPr>
      <w:pStyle w:val="10"/>
      <w:jc w:val="center"/>
      <w:rPr>
        <w:rFonts w:hint="eastAsia"/>
      </w:rPr>
    </w:pPr>
  </w:p>
  <w:p w14:paraId="3EE08DFD">
    <w:pPr>
      <w:pStyle w:val="1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238946"/>
      <w:docPartObj>
        <w:docPartGallery w:val="autotext"/>
      </w:docPartObj>
    </w:sdtPr>
    <w:sdtContent>
      <w:p w14:paraId="2654F3A9">
        <w:pPr>
          <w:pStyle w:val="10"/>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EE08E01">
    <w:pPr>
      <w:pStyle w:val="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14:paraId="6E4144C0">
      <w:pPr>
        <w:rPr>
          <w:rFonts w:hint="eastAsia" w:ascii="宋体" w:hAnsi="宋体" w:eastAsia="宋体" w:cs="Times New Roman"/>
          <w:szCs w:val="20"/>
          <w:lang w:val="en-GB" w:eastAsia="zh-CN" w:bidi="ar-SA"/>
        </w:rPr>
      </w:pPr>
      <w:r>
        <w:rPr>
          <w:rFonts w:ascii="宋体" w:hAnsi="宋体" w:eastAsia="宋体" w:cs="Times New Roman"/>
          <w:szCs w:val="22"/>
          <w:vertAlign w:val="superscript"/>
          <w:lang w:val="en-GB" w:eastAsia="zh-CN" w:bidi="ar-SA"/>
        </w:rPr>
        <w:footnoteRef/>
      </w:r>
      <w:r>
        <w:rPr>
          <w:rFonts w:ascii="宋体" w:hAnsi="宋体" w:eastAsia="宋体" w:cs="Times New Roman"/>
          <w:szCs w:val="20"/>
          <w:lang w:val="en-GB" w:eastAsia="zh-CN" w:bidi="ar-SA"/>
        </w:rPr>
        <w:t xml:space="preserve"> </w:t>
      </w:r>
      <w:r>
        <w:rPr>
          <w:rFonts w:hint="eastAsia" w:ascii="宋体" w:hAnsi="宋体" w:eastAsia="宋体" w:cs="Times New Roman"/>
          <w:szCs w:val="20"/>
          <w:lang w:val="en-GB" w:eastAsia="zh-CN" w:bidi="ar-SA"/>
        </w:rPr>
        <w:t>本息覆盖率</w:t>
      </w:r>
      <w:r>
        <w:rPr>
          <w:rFonts w:ascii="宋体" w:hAnsi="宋体" w:eastAsia="宋体" w:cs="Times New Roman"/>
          <w:szCs w:val="20"/>
          <w:lang w:val="en-GB" w:eastAsia="zh-CN" w:bidi="ar-SA"/>
        </w:rPr>
        <w:t>=（期末项目累计现金结存额/债券本息）+1</w:t>
      </w:r>
      <w:r>
        <w:rPr>
          <w:rFonts w:hint="eastAsia" w:ascii="宋体" w:hAnsi="宋体" w:eastAsia="宋体" w:cs="Times New Roman"/>
          <w:szCs w:val="20"/>
          <w:lang w:val="en-GB" w:eastAsia="zh-CN" w:bidi="ar-SA"/>
        </w:rPr>
        <w:t>，下同。</w:t>
      </w:r>
    </w:p>
  </w:footnote>
  <w:footnote w:id="1">
    <w:p w14:paraId="104DD35A">
      <w:pPr>
        <w:rPr>
          <w:rFonts w:hint="eastAsia" w:ascii="等线 Light" w:hAnsi="等线 Light" w:eastAsia="等线 Light" w:cs="Times New Roman"/>
          <w:szCs w:val="20"/>
          <w:lang w:val="en-GB" w:eastAsia="zh-CN" w:bidi="ar-SA"/>
        </w:rPr>
      </w:pPr>
      <w:r>
        <w:rPr>
          <w:rFonts w:ascii="宋体" w:hAnsi="宋体" w:eastAsia="宋体" w:cs="Times New Roman"/>
          <w:szCs w:val="22"/>
          <w:vertAlign w:val="superscript"/>
          <w:lang w:val="en-GB" w:eastAsia="zh-CN" w:bidi="ar-SA"/>
        </w:rPr>
        <w:footnoteRef/>
      </w:r>
      <w:r>
        <w:rPr>
          <w:rFonts w:ascii="宋体" w:hAnsi="宋体" w:eastAsia="宋体" w:cs="Times New Roman"/>
          <w:szCs w:val="20"/>
          <w:lang w:val="en-GB" w:eastAsia="zh-CN" w:bidi="ar-SA"/>
        </w:rPr>
        <w:t xml:space="preserve"> </w:t>
      </w:r>
      <w:r>
        <w:rPr>
          <w:rFonts w:hint="eastAsia" w:ascii="宋体" w:hAnsi="宋体" w:eastAsia="宋体" w:cs="Times New Roman"/>
          <w:szCs w:val="20"/>
          <w:lang w:val="en-GB" w:eastAsia="zh-CN" w:bidi="ar-SA"/>
        </w:rPr>
        <w:t>本息覆盖倍数</w:t>
      </w:r>
      <w:r>
        <w:rPr>
          <w:rFonts w:ascii="宋体" w:hAnsi="宋体" w:eastAsia="宋体" w:cs="Times New Roman"/>
          <w:szCs w:val="20"/>
          <w:lang w:val="en-GB" w:eastAsia="zh-CN" w:bidi="ar-SA"/>
        </w:rPr>
        <w:t>=</w:t>
      </w:r>
      <w:r>
        <w:rPr>
          <w:rFonts w:hint="eastAsia" w:ascii="宋体" w:hAnsi="宋体" w:eastAsia="宋体" w:cs="Times New Roman"/>
          <w:szCs w:val="20"/>
          <w:lang w:val="en-GB" w:eastAsia="zh-CN" w:bidi="ar-SA"/>
        </w:rPr>
        <w:t>用于资金平衡的项目收益</w:t>
      </w:r>
      <w:r>
        <w:rPr>
          <w:rFonts w:ascii="宋体" w:hAnsi="宋体" w:eastAsia="宋体" w:cs="Times New Roman"/>
          <w:szCs w:val="20"/>
          <w:lang w:val="en-GB" w:eastAsia="zh-CN" w:bidi="ar-SA"/>
        </w:rPr>
        <w:t>/债券本息，下同</w:t>
      </w:r>
      <w:r>
        <w:rPr>
          <w:rFonts w:hint="eastAsia" w:ascii="宋体" w:hAnsi="宋体" w:eastAsia="宋体" w:cs="Times New Roman"/>
          <w:szCs w:val="20"/>
          <w:lang w:val="en-GB" w:eastAsia="zh-CN" w:bidi="ar-SA"/>
        </w:rPr>
        <w:t>。</w:t>
      </w:r>
    </w:p>
  </w:footnote>
  <w:footnote w:id="2">
    <w:p w14:paraId="38377E83">
      <w:pPr>
        <w:jc w:val="both"/>
        <w:rPr>
          <w:rFonts w:hint="eastAsia" w:ascii="黑体" w:hAnsi="黑体" w:eastAsia="黑体" w:cs="微软雅黑"/>
          <w:color w:val="000000"/>
          <w:sz w:val="16"/>
          <w:szCs w:val="18"/>
          <w:lang w:val="en-US" w:eastAsia="zh-CN" w:bidi="ar-SA"/>
        </w:rPr>
      </w:pPr>
      <w:r>
        <w:rPr>
          <w:rFonts w:ascii="黑体" w:hAnsi="黑体" w:eastAsia="黑体" w:cs="Times New Roman"/>
          <w:sz w:val="16"/>
          <w:szCs w:val="18"/>
          <w:vertAlign w:val="superscript"/>
          <w:lang w:val="en-GB" w:eastAsia="zh-CN" w:bidi="ar-SA"/>
        </w:rPr>
        <w:footnoteRef/>
      </w:r>
      <w:r>
        <w:rPr>
          <w:rFonts w:hint="eastAsia" w:ascii="黑体" w:hAnsi="黑体" w:eastAsia="黑体" w:cs="微软雅黑"/>
          <w:color w:val="000000"/>
          <w:sz w:val="16"/>
          <w:szCs w:val="18"/>
          <w:lang w:val="en-US" w:eastAsia="zh-CN" w:bidi="ar-SA"/>
        </w:rPr>
        <w:t>债券本息覆盖率</w:t>
      </w:r>
      <w:r>
        <w:rPr>
          <w:rFonts w:ascii="黑体" w:hAnsi="黑体" w:eastAsia="黑体" w:cs="微软雅黑"/>
          <w:color w:val="000000"/>
          <w:sz w:val="16"/>
          <w:szCs w:val="18"/>
          <w:lang w:val="en-US" w:eastAsia="zh-CN" w:bidi="ar-SA"/>
        </w:rPr>
        <w:t>=</w:t>
      </w:r>
      <w:r>
        <w:rPr>
          <w:rFonts w:hint="eastAsia" w:ascii="黑体" w:hAnsi="黑体" w:eastAsia="黑体" w:cs="微软雅黑"/>
          <w:color w:val="000000"/>
          <w:sz w:val="16"/>
          <w:szCs w:val="18"/>
          <w:lang w:val="en-US" w:eastAsia="zh-CN" w:bidi="ar-SA"/>
        </w:rPr>
        <w:t>期末项目累计现金结存额</w:t>
      </w:r>
      <w:r>
        <w:rPr>
          <w:rFonts w:ascii="黑体" w:hAnsi="黑体" w:eastAsia="黑体" w:cs="微软雅黑"/>
          <w:color w:val="000000"/>
          <w:sz w:val="16"/>
          <w:szCs w:val="18"/>
          <w:lang w:val="en-US" w:eastAsia="zh-CN" w:bidi="ar-SA"/>
        </w:rPr>
        <w:t>/</w:t>
      </w:r>
      <w:r>
        <w:rPr>
          <w:rFonts w:hint="eastAsia" w:ascii="黑体" w:hAnsi="黑体" w:eastAsia="黑体" w:cs="微软雅黑"/>
          <w:color w:val="000000"/>
          <w:sz w:val="16"/>
          <w:szCs w:val="18"/>
          <w:lang w:val="en-US" w:eastAsia="zh-CN" w:bidi="ar-SA"/>
        </w:rPr>
        <w:t>债券本息</w:t>
      </w:r>
      <w:r>
        <w:rPr>
          <w:rFonts w:ascii="黑体" w:hAnsi="黑体" w:eastAsia="黑体" w:cs="微软雅黑"/>
          <w:color w:val="000000"/>
          <w:sz w:val="16"/>
          <w:szCs w:val="18"/>
          <w:lang w:val="en-US" w:eastAsia="zh-CN" w:bidi="ar-SA"/>
        </w:rPr>
        <w:t>+1</w:t>
      </w:r>
      <w:r>
        <w:rPr>
          <w:rFonts w:hint="eastAsia" w:ascii="黑体" w:hAnsi="黑体" w:eastAsia="黑体" w:cs="微软雅黑"/>
          <w:color w:val="000000"/>
          <w:sz w:val="16"/>
          <w:szCs w:val="18"/>
          <w:lang w:val="en-US" w:eastAsia="zh-CN" w:bidi="ar-SA"/>
        </w:rPr>
        <w:t>。</w:t>
      </w:r>
    </w:p>
  </w:footnote>
  <w:footnote w:id="3">
    <w:p w14:paraId="16EF045A">
      <w:pPr>
        <w:jc w:val="both"/>
        <w:rPr>
          <w:rFonts w:ascii="Verdana" w:hAnsi="Verdana" w:eastAsia="华文细黑" w:cs="微软雅黑"/>
          <w:color w:val="000000"/>
          <w:sz w:val="16"/>
          <w:szCs w:val="18"/>
          <w:lang w:val="en-US" w:eastAsia="zh-CN" w:bidi="ar-SA"/>
        </w:rPr>
      </w:pPr>
      <w:r>
        <w:rPr>
          <w:rFonts w:ascii="黑体" w:hAnsi="黑体" w:eastAsia="黑体" w:cs="Times New Roman"/>
          <w:sz w:val="16"/>
          <w:szCs w:val="18"/>
          <w:vertAlign w:val="superscript"/>
          <w:lang w:val="en-GB" w:eastAsia="zh-CN" w:bidi="ar-SA"/>
        </w:rPr>
        <w:footnoteRef/>
      </w:r>
      <w:r>
        <w:rPr>
          <w:rFonts w:hint="eastAsia" w:ascii="黑体" w:hAnsi="黑体" w:eastAsia="黑体" w:cs="微软雅黑"/>
          <w:color w:val="000000"/>
          <w:sz w:val="16"/>
          <w:szCs w:val="18"/>
          <w:lang w:val="en-US" w:eastAsia="zh-CN" w:bidi="ar-SA"/>
        </w:rPr>
        <w:t>债券本息覆盖倍数</w:t>
      </w:r>
      <w:r>
        <w:rPr>
          <w:rFonts w:ascii="黑体" w:hAnsi="黑体" w:eastAsia="黑体" w:cs="微软雅黑"/>
          <w:color w:val="000000"/>
          <w:sz w:val="16"/>
          <w:szCs w:val="18"/>
          <w:lang w:val="en-US" w:eastAsia="zh-CN" w:bidi="ar-SA"/>
        </w:rPr>
        <w:t>=</w:t>
      </w:r>
      <w:r>
        <w:rPr>
          <w:rFonts w:hint="eastAsia" w:ascii="黑体" w:hAnsi="黑体" w:eastAsia="黑体" w:cs="微软雅黑"/>
          <w:color w:val="000000"/>
          <w:sz w:val="16"/>
          <w:szCs w:val="18"/>
          <w:lang w:val="en-US" w:eastAsia="zh-CN" w:bidi="ar-SA"/>
        </w:rPr>
        <w:t>（运营收入-运营成本-税费）/债券本息。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8DFB">
    <w:pPr>
      <w:pStyle w:val="11"/>
      <w:pBdr>
        <w:bottom w:val="none" w:color="auto" w:sz="0" w:space="1"/>
      </w:pBdr>
      <w:tabs>
        <w:tab w:val="left" w:pos="6178"/>
        <w:tab w:val="clear" w:pos="8306"/>
      </w:tabs>
      <w:rPr>
        <w:rFonts w:hint="eastAsia"/>
      </w:rPr>
    </w:pPr>
    <w:r>
      <w:rPr>
        <w:rFonts w:hint="eastAsia" w:eastAsiaTheme="minor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08DFF">
    <w:pPr>
      <w:pStyle w:val="11"/>
      <w:pBdr>
        <w:bottom w:val="none" w:color="auto" w:sz="0" w:space="1"/>
      </w:pBdr>
      <w:tabs>
        <w:tab w:val="left" w:pos="6178"/>
        <w:tab w:val="clear" w:pos="8306"/>
      </w:tabs>
      <w:rPr>
        <w:rFonts w:hint="eastAsia"/>
      </w:rPr>
    </w:pPr>
    <w:r>
      <w:rPr>
        <w:rFonts w:hint="eastAsia" w:eastAsiaTheme="minor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NotTrackMoves/>
  <w:documentProtection w:enforcement="0"/>
  <w:defaultTabStop w:val="420"/>
  <w:drawingGridHorizontalSpacing w:val="105"/>
  <w:drawingGridVerticalSpacing w:val="159"/>
  <w:noPunctuationKerning w:val="1"/>
  <w:characterSpacingControl w:val="compressPunctuation"/>
  <w:footnotePr>
    <w:footnote w:id="8"/>
    <w:footnote w:id="9"/>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QyZjk5ZDEyOGUxZmY0ODk1YjYxYjNlN2Q2MzEifQ=="/>
  </w:docVars>
  <w:rsids>
    <w:rsidRoot w:val="00B271AC"/>
    <w:rsid w:val="000007E4"/>
    <w:rsid w:val="000015A0"/>
    <w:rsid w:val="00002D01"/>
    <w:rsid w:val="00004E30"/>
    <w:rsid w:val="0001472F"/>
    <w:rsid w:val="000178C8"/>
    <w:rsid w:val="000218B0"/>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4FA3"/>
    <w:rsid w:val="001267AA"/>
    <w:rsid w:val="0013649A"/>
    <w:rsid w:val="001375C0"/>
    <w:rsid w:val="001402B8"/>
    <w:rsid w:val="00141A89"/>
    <w:rsid w:val="001420D3"/>
    <w:rsid w:val="00144B23"/>
    <w:rsid w:val="0015056D"/>
    <w:rsid w:val="001521DB"/>
    <w:rsid w:val="00153AB8"/>
    <w:rsid w:val="00162879"/>
    <w:rsid w:val="001745B6"/>
    <w:rsid w:val="001749C6"/>
    <w:rsid w:val="00177535"/>
    <w:rsid w:val="0018403A"/>
    <w:rsid w:val="00187349"/>
    <w:rsid w:val="00191B0F"/>
    <w:rsid w:val="001922F6"/>
    <w:rsid w:val="001A21B6"/>
    <w:rsid w:val="001B214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682C"/>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94E1B"/>
    <w:rsid w:val="004A32ED"/>
    <w:rsid w:val="004A615E"/>
    <w:rsid w:val="004A7362"/>
    <w:rsid w:val="004B022D"/>
    <w:rsid w:val="004B0E7E"/>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F0EA3"/>
    <w:rsid w:val="00600697"/>
    <w:rsid w:val="006101C0"/>
    <w:rsid w:val="00610A56"/>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84F79"/>
    <w:rsid w:val="00691003"/>
    <w:rsid w:val="00693644"/>
    <w:rsid w:val="0069439F"/>
    <w:rsid w:val="0069494F"/>
    <w:rsid w:val="006B162C"/>
    <w:rsid w:val="006B50DF"/>
    <w:rsid w:val="006B612F"/>
    <w:rsid w:val="006C1DA2"/>
    <w:rsid w:val="006C4809"/>
    <w:rsid w:val="006C53F5"/>
    <w:rsid w:val="006C753A"/>
    <w:rsid w:val="006D4716"/>
    <w:rsid w:val="006D79AA"/>
    <w:rsid w:val="006E53FE"/>
    <w:rsid w:val="006E6F5B"/>
    <w:rsid w:val="006E72DA"/>
    <w:rsid w:val="006F24DA"/>
    <w:rsid w:val="006F6BB0"/>
    <w:rsid w:val="00706119"/>
    <w:rsid w:val="00715096"/>
    <w:rsid w:val="00715A29"/>
    <w:rsid w:val="00716152"/>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7BC8"/>
    <w:rsid w:val="00811655"/>
    <w:rsid w:val="00813732"/>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138C"/>
    <w:rsid w:val="008D3D8E"/>
    <w:rsid w:val="008D4307"/>
    <w:rsid w:val="008D5144"/>
    <w:rsid w:val="008E0156"/>
    <w:rsid w:val="008E04A6"/>
    <w:rsid w:val="008E2BD4"/>
    <w:rsid w:val="008E5437"/>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39E8"/>
    <w:rsid w:val="00DA6AB1"/>
    <w:rsid w:val="00DA6CCE"/>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333F4"/>
    <w:rsid w:val="00E33A8E"/>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57327A"/>
    <w:rsid w:val="1BF20BAA"/>
    <w:rsid w:val="1DBC69B5"/>
    <w:rsid w:val="20A774A8"/>
    <w:rsid w:val="21E4166A"/>
    <w:rsid w:val="22D8647E"/>
    <w:rsid w:val="232224CD"/>
    <w:rsid w:val="249F6523"/>
    <w:rsid w:val="26452677"/>
    <w:rsid w:val="29A01B46"/>
    <w:rsid w:val="2C464749"/>
    <w:rsid w:val="2D0F1E53"/>
    <w:rsid w:val="2E127B70"/>
    <w:rsid w:val="2ED326F7"/>
    <w:rsid w:val="2F4C4997"/>
    <w:rsid w:val="2FB2417E"/>
    <w:rsid w:val="31392E76"/>
    <w:rsid w:val="32472749"/>
    <w:rsid w:val="32E4458C"/>
    <w:rsid w:val="331344B7"/>
    <w:rsid w:val="33704A15"/>
    <w:rsid w:val="351D1FD7"/>
    <w:rsid w:val="36564909"/>
    <w:rsid w:val="3848042D"/>
    <w:rsid w:val="3A103DEB"/>
    <w:rsid w:val="3A1322EE"/>
    <w:rsid w:val="3A3A7499"/>
    <w:rsid w:val="3BBD3DE9"/>
    <w:rsid w:val="3BC9365E"/>
    <w:rsid w:val="3C95003D"/>
    <w:rsid w:val="3D152BBC"/>
    <w:rsid w:val="3DA3692C"/>
    <w:rsid w:val="3E384FAC"/>
    <w:rsid w:val="3E3E1245"/>
    <w:rsid w:val="3EA42E21"/>
    <w:rsid w:val="3EDC504D"/>
    <w:rsid w:val="3FE62FFD"/>
    <w:rsid w:val="3FEA361E"/>
    <w:rsid w:val="41354204"/>
    <w:rsid w:val="41850CE8"/>
    <w:rsid w:val="41C07F72"/>
    <w:rsid w:val="42024C3E"/>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3C1018A"/>
    <w:rsid w:val="55485616"/>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A9E6A3B"/>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382508"/>
    <w:rsid w:val="798B2638"/>
    <w:rsid w:val="79F71A7C"/>
    <w:rsid w:val="7AF64006"/>
    <w:rsid w:val="7AFDAB09"/>
    <w:rsid w:val="7C1F52BA"/>
    <w:rsid w:val="7D9D7924"/>
    <w:rsid w:val="7DDECC4F"/>
    <w:rsid w:val="7E6D055E"/>
    <w:rsid w:val="7F5B3843"/>
    <w:rsid w:val="B97FB961"/>
    <w:rsid w:val="DE6D2DE6"/>
    <w:rsid w:val="DFEA32A3"/>
    <w:rsid w:val="F6BED998"/>
    <w:rsid w:val="FB561B91"/>
    <w:rsid w:val="FEDD063A"/>
    <w:rsid w:val="FFF92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semiHidden="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99"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line="300" w:lineRule="auto"/>
      <w:ind w:firstLine="1446" w:firstLineChars="200"/>
      <w:jc w:val="left"/>
      <w:outlineLvl w:val="1"/>
    </w:pPr>
    <w:rPr>
      <w:rFonts w:asciiTheme="majorHAnsi" w:hAnsiTheme="majorHAnsi" w:cstheme="majorBidi"/>
      <w:b/>
      <w:bCs/>
      <w:sz w:val="24"/>
      <w:szCs w:val="32"/>
    </w:rPr>
  </w:style>
  <w:style w:type="paragraph" w:styleId="4">
    <w:name w:val="heading 3"/>
    <w:basedOn w:val="1"/>
    <w:next w:val="1"/>
    <w:qFormat/>
    <w:uiPriority w:val="0"/>
    <w:pPr>
      <w:keepNext/>
      <w:keepLines/>
      <w:outlineLvl w:val="2"/>
    </w:pPr>
    <w:rPr>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style>
  <w:style w:type="paragraph" w:styleId="6">
    <w:name w:val="annotation text"/>
    <w:basedOn w:val="1"/>
    <w:link w:val="24"/>
    <w:autoRedefine/>
    <w:semiHidden/>
    <w:unhideWhenUsed/>
    <w:qFormat/>
    <w:uiPriority w:val="0"/>
    <w:pPr>
      <w:jc w:val="left"/>
    </w:pPr>
  </w:style>
  <w:style w:type="paragraph" w:styleId="7">
    <w:name w:val="Body Text"/>
    <w:basedOn w:val="1"/>
    <w:qFormat/>
    <w:uiPriority w:val="0"/>
    <w:pPr>
      <w:adjustRightInd w:val="0"/>
      <w:snapToGrid w:val="0"/>
      <w:spacing w:before="150" w:after="150" w:line="264" w:lineRule="auto"/>
      <w:ind w:firstLine="567"/>
    </w:pPr>
    <w:rPr>
      <w:rFonts w:ascii="华文楷体" w:hAnsi="华文楷体" w:eastAsia="LF_Kai"/>
      <w:szCs w:val="20"/>
    </w:rPr>
  </w:style>
  <w:style w:type="paragraph" w:styleId="8">
    <w:name w:val="Body Text Indent"/>
    <w:basedOn w:val="1"/>
    <w:autoRedefine/>
    <w:qFormat/>
    <w:uiPriority w:val="0"/>
    <w:pPr>
      <w:ind w:left="105" w:hanging="105"/>
    </w:pPr>
    <w:rPr>
      <w:sz w:val="32"/>
      <w:szCs w:val="32"/>
    </w:rPr>
  </w:style>
  <w:style w:type="paragraph" w:styleId="9">
    <w:name w:val="Balloon Text"/>
    <w:basedOn w:val="1"/>
    <w:link w:val="25"/>
    <w:unhideWhenUsed/>
    <w:qFormat/>
    <w:uiPriority w:val="99"/>
    <w:rPr>
      <w:sz w:val="18"/>
      <w:szCs w:val="18"/>
    </w:rPr>
  </w:style>
  <w:style w:type="paragraph" w:styleId="10">
    <w:name w:val="footer"/>
    <w:basedOn w:val="1"/>
    <w:next w:val="1"/>
    <w:link w:val="26"/>
    <w:autoRedefine/>
    <w:unhideWhenUsed/>
    <w:qFormat/>
    <w:uiPriority w:val="99"/>
    <w:pPr>
      <w:tabs>
        <w:tab w:val="center" w:pos="4153"/>
        <w:tab w:val="right" w:pos="8306"/>
      </w:tabs>
      <w:snapToGrid w:val="0"/>
      <w:jc w:val="left"/>
    </w:pPr>
    <w:rPr>
      <w:sz w:val="18"/>
      <w:szCs w:val="18"/>
    </w:rPr>
  </w:style>
  <w:style w:type="paragraph" w:styleId="11">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unhideWhenUsed/>
    <w:qFormat/>
    <w:uiPriority w:val="39"/>
  </w:style>
  <w:style w:type="paragraph" w:styleId="13">
    <w:name w:val="footnote text"/>
    <w:basedOn w:val="1"/>
    <w:autoRedefine/>
    <w:semiHidden/>
    <w:unhideWhenUsed/>
    <w:qFormat/>
    <w:uiPriority w:val="99"/>
    <w:rPr>
      <w:szCs w:val="20"/>
    </w:rPr>
  </w:style>
  <w:style w:type="paragraph" w:styleId="14">
    <w:name w:val="Body Text Indent 3"/>
    <w:basedOn w:val="1"/>
    <w:link w:val="32"/>
    <w:qFormat/>
    <w:uiPriority w:val="0"/>
    <w:pPr>
      <w:spacing w:after="120"/>
      <w:ind w:left="420" w:leftChars="200"/>
    </w:pPr>
    <w:rPr>
      <w:rFonts w:ascii="Times New Roman" w:hAnsi="Times New Roman" w:eastAsia="宋体"/>
      <w:sz w:val="16"/>
      <w:szCs w:val="20"/>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6"/>
    <w:next w:val="6"/>
    <w:link w:val="28"/>
    <w:autoRedefine/>
    <w:semiHidden/>
    <w:unhideWhenUsed/>
    <w:qFormat/>
    <w:uiPriority w:val="0"/>
    <w:rPr>
      <w:b/>
      <w:bCs/>
    </w:rPr>
  </w:style>
  <w:style w:type="paragraph" w:styleId="17">
    <w:name w:val="Body Text First Indent"/>
    <w:basedOn w:val="7"/>
    <w:semiHidden/>
    <w:unhideWhenUsed/>
    <w:qFormat/>
    <w:uiPriority w:val="99"/>
    <w:pPr>
      <w:adjustRightInd/>
      <w:snapToGrid/>
      <w:spacing w:before="0" w:after="120" w:line="240" w:lineRule="auto"/>
      <w:ind w:firstLine="420" w:firstLineChars="100"/>
    </w:pPr>
    <w:rPr>
      <w:rFonts w:ascii="Calibri" w:hAnsi="Calibri" w:eastAsia="宋体"/>
    </w:rPr>
  </w:style>
  <w:style w:type="paragraph" w:styleId="18">
    <w:name w:val="Body Text First Indent 2"/>
    <w:basedOn w:val="8"/>
    <w:next w:val="17"/>
    <w:unhideWhenUsed/>
    <w:qFormat/>
    <w:uiPriority w:val="99"/>
    <w:pPr>
      <w:ind w:firstLine="420" w:firstLineChars="200"/>
    </w:p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semiHidden/>
    <w:unhideWhenUsed/>
    <w:qFormat/>
    <w:uiPriority w:val="0"/>
    <w:rPr>
      <w:sz w:val="21"/>
      <w:szCs w:val="21"/>
    </w:rPr>
  </w:style>
  <w:style w:type="character" w:styleId="23">
    <w:name w:val="footnote reference"/>
    <w:basedOn w:val="21"/>
    <w:unhideWhenUsed/>
    <w:qFormat/>
    <w:uiPriority w:val="99"/>
    <w:rPr>
      <w:vertAlign w:val="superscript"/>
    </w:rPr>
  </w:style>
  <w:style w:type="character" w:customStyle="1" w:styleId="24">
    <w:name w:val="批注文字 字符"/>
    <w:link w:val="6"/>
    <w:semiHidden/>
    <w:qFormat/>
    <w:uiPriority w:val="0"/>
    <w:rPr>
      <w:rFonts w:ascii="等线" w:hAnsi="等线" w:eastAsia="等线"/>
      <w:kern w:val="2"/>
      <w:sz w:val="21"/>
      <w:szCs w:val="22"/>
    </w:rPr>
  </w:style>
  <w:style w:type="character" w:customStyle="1" w:styleId="25">
    <w:name w:val="批注框文本 字符"/>
    <w:link w:val="9"/>
    <w:semiHidden/>
    <w:qFormat/>
    <w:uiPriority w:val="99"/>
    <w:rPr>
      <w:sz w:val="18"/>
      <w:szCs w:val="18"/>
    </w:rPr>
  </w:style>
  <w:style w:type="character" w:customStyle="1" w:styleId="26">
    <w:name w:val="页脚 字符"/>
    <w:link w:val="10"/>
    <w:qFormat/>
    <w:uiPriority w:val="99"/>
    <w:rPr>
      <w:sz w:val="18"/>
      <w:szCs w:val="18"/>
    </w:rPr>
  </w:style>
  <w:style w:type="character" w:customStyle="1" w:styleId="27">
    <w:name w:val="页眉 字符"/>
    <w:link w:val="11"/>
    <w:autoRedefine/>
    <w:qFormat/>
    <w:uiPriority w:val="99"/>
    <w:rPr>
      <w:sz w:val="18"/>
      <w:szCs w:val="18"/>
    </w:rPr>
  </w:style>
  <w:style w:type="character" w:customStyle="1" w:styleId="28">
    <w:name w:val="批注主题 字符"/>
    <w:link w:val="16"/>
    <w:semiHidden/>
    <w:qFormat/>
    <w:uiPriority w:val="0"/>
    <w:rPr>
      <w:rFonts w:ascii="等线" w:hAnsi="等线" w:eastAsia="等线"/>
      <w:b/>
      <w:bCs/>
      <w:kern w:val="2"/>
      <w:sz w:val="21"/>
      <w:szCs w:val="22"/>
    </w:rPr>
  </w:style>
  <w:style w:type="paragraph" w:customStyle="1" w:styleId="29">
    <w:name w:val="列出段落1"/>
    <w:basedOn w:val="1"/>
    <w:qFormat/>
    <w:uiPriority w:val="34"/>
    <w:pPr>
      <w:ind w:firstLine="420" w:firstLineChars="200"/>
    </w:pPr>
  </w:style>
  <w:style w:type="paragraph" w:customStyle="1" w:styleId="30">
    <w:name w:val="Char Char Char Char Char Char Char"/>
    <w:basedOn w:val="1"/>
    <w:qFormat/>
    <w:uiPriority w:val="0"/>
    <w:pPr>
      <w:spacing w:line="480" w:lineRule="auto"/>
    </w:pPr>
    <w:rPr>
      <w:rFonts w:ascii="Times New Roman" w:hAnsi="Times New Roman" w:eastAsia="宋体"/>
      <w:szCs w:val="21"/>
    </w:rPr>
  </w:style>
  <w:style w:type="paragraph" w:styleId="31">
    <w:name w:val="List Paragraph"/>
    <w:basedOn w:val="1"/>
    <w:autoRedefine/>
    <w:unhideWhenUsed/>
    <w:qFormat/>
    <w:uiPriority w:val="99"/>
    <w:pPr>
      <w:ind w:firstLine="420" w:firstLineChars="200"/>
    </w:pPr>
  </w:style>
  <w:style w:type="character" w:customStyle="1" w:styleId="32">
    <w:name w:val="正文文本缩进 3 字符"/>
    <w:basedOn w:val="21"/>
    <w:link w:val="14"/>
    <w:autoRedefine/>
    <w:qFormat/>
    <w:uiPriority w:val="0"/>
    <w:rPr>
      <w:kern w:val="2"/>
      <w:sz w:val="16"/>
    </w:rPr>
  </w:style>
  <w:style w:type="table" w:customStyle="1" w:styleId="33">
    <w:name w:val="Table Normal"/>
    <w:autoRedefine/>
    <w:semiHidden/>
    <w:unhideWhenUsed/>
    <w:qFormat/>
    <w:uiPriority w:val="0"/>
    <w:tblPr>
      <w:tblCellMar>
        <w:top w:w="0" w:type="dxa"/>
        <w:left w:w="0" w:type="dxa"/>
        <w:bottom w:w="0" w:type="dxa"/>
        <w:right w:w="0" w:type="dxa"/>
      </w:tblCellMar>
    </w:tbl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6">
    <w:name w:val="样式 行距: 固定值 20 磅"/>
    <w:autoRedefine/>
    <w:qFormat/>
    <w:uiPriority w:val="0"/>
    <w:pPr>
      <w:ind w:firstLine="480"/>
    </w:pPr>
    <w:rPr>
      <w:rFonts w:ascii="Times New Roman" w:hAnsi="Times New Roman" w:eastAsia="Times New Roman" w:cs="宋体"/>
      <w:sz w:val="24"/>
      <w:szCs w:val="24"/>
      <w:lang w:val="en-US" w:eastAsia="zh-CN" w:bidi="ar-SA"/>
    </w:rPr>
  </w:style>
  <w:style w:type="character" w:customStyle="1" w:styleId="37">
    <w:name w:val="font91"/>
    <w:basedOn w:val="21"/>
    <w:qFormat/>
    <w:uiPriority w:val="0"/>
    <w:rPr>
      <w:rFonts w:hint="eastAsia" w:ascii="宋体" w:hAnsi="宋体" w:eastAsia="宋体" w:cs="宋体"/>
      <w:b/>
      <w:bCs/>
      <w:color w:val="000000"/>
      <w:sz w:val="21"/>
      <w:szCs w:val="21"/>
      <w:u w:val="none"/>
    </w:rPr>
  </w:style>
  <w:style w:type="character" w:customStyle="1" w:styleId="38">
    <w:name w:val="font41"/>
    <w:basedOn w:val="21"/>
    <w:qFormat/>
    <w:uiPriority w:val="0"/>
    <w:rPr>
      <w:rFonts w:hint="eastAsia" w:ascii="宋体" w:hAnsi="宋体" w:eastAsia="宋体" w:cs="宋体"/>
      <w:color w:val="000000"/>
      <w:sz w:val="16"/>
      <w:szCs w:val="16"/>
      <w:u w:val="none"/>
    </w:rPr>
  </w:style>
  <w:style w:type="character" w:customStyle="1" w:styleId="39">
    <w:name w:val="font61"/>
    <w:basedOn w:val="21"/>
    <w:qFormat/>
    <w:uiPriority w:val="0"/>
    <w:rPr>
      <w:rFonts w:hint="default" w:ascii="Times New Roman" w:hAnsi="Times New Roman" w:cs="Times New Roman"/>
      <w:color w:val="000000"/>
      <w:sz w:val="21"/>
      <w:szCs w:val="21"/>
      <w:u w:val="none"/>
    </w:rPr>
  </w:style>
  <w:style w:type="character" w:customStyle="1" w:styleId="40">
    <w:name w:val="font71"/>
    <w:basedOn w:val="21"/>
    <w:qFormat/>
    <w:uiPriority w:val="0"/>
    <w:rPr>
      <w:rFonts w:ascii="仿宋" w:hAnsi="仿宋" w:eastAsia="仿宋" w:cs="仿宋"/>
      <w:color w:val="000000"/>
      <w:sz w:val="21"/>
      <w:szCs w:val="21"/>
      <w:u w:val="none"/>
    </w:rPr>
  </w:style>
  <w:style w:type="character" w:customStyle="1" w:styleId="41">
    <w:name w:val="font81"/>
    <w:basedOn w:val="21"/>
    <w:qFormat/>
    <w:uiPriority w:val="0"/>
    <w:rPr>
      <w:rFonts w:hint="eastAsia" w:ascii="仿宋" w:hAnsi="仿宋" w:eastAsia="仿宋" w:cs="仿宋"/>
      <w:color w:val="000000"/>
      <w:sz w:val="12"/>
      <w:szCs w:val="12"/>
      <w:u w:val="none"/>
    </w:rPr>
  </w:style>
  <w:style w:type="character" w:customStyle="1" w:styleId="42">
    <w:name w:val="font101"/>
    <w:basedOn w:val="21"/>
    <w:qFormat/>
    <w:uiPriority w:val="0"/>
    <w:rPr>
      <w:rFonts w:hint="eastAsia" w:ascii="仿宋" w:hAnsi="仿宋" w:eastAsia="仿宋" w:cs="仿宋"/>
      <w:color w:val="000000"/>
      <w:sz w:val="16"/>
      <w:szCs w:val="16"/>
      <w:u w:val="none"/>
    </w:rPr>
  </w:style>
  <w:style w:type="paragraph" w:customStyle="1" w:styleId="43">
    <w:name w:val="zxh正文"/>
    <w:basedOn w:val="1"/>
    <w:qFormat/>
    <w:uiPriority w:val="0"/>
    <w:pPr>
      <w:ind w:firstLine="480" w:firstLineChars="200"/>
    </w:pPr>
    <w:rPr>
      <w:rFonts w:ascii="Times New Roman" w:hAnsi="Times New Roman"/>
      <w:kern w:val="0"/>
    </w:rPr>
  </w:style>
  <w:style w:type="paragraph" w:customStyle="1" w:styleId="44">
    <w:name w:val="脚注文本1"/>
    <w:basedOn w:val="1"/>
    <w:next w:val="13"/>
    <w:link w:val="45"/>
    <w:unhideWhenUsed/>
    <w:qFormat/>
    <w:uiPriority w:val="99"/>
    <w:pPr>
      <w:widowControl/>
      <w:jc w:val="left"/>
    </w:pPr>
    <w:rPr>
      <w:rFonts w:asciiTheme="minorHAnsi" w:hAnsiTheme="minorHAnsi" w:eastAsiaTheme="minorEastAsia" w:cstheme="minorBidi"/>
      <w:kern w:val="0"/>
      <w:sz w:val="22"/>
      <w:lang w:val="en-GB"/>
    </w:rPr>
  </w:style>
  <w:style w:type="character" w:customStyle="1" w:styleId="45">
    <w:name w:val="脚注文本 字符"/>
    <w:basedOn w:val="21"/>
    <w:link w:val="44"/>
    <w:qFormat/>
    <w:uiPriority w:val="99"/>
    <w:rPr>
      <w:rFonts w:asciiTheme="minorHAnsi" w:hAnsiTheme="minorHAnsi" w:eastAsiaTheme="minorEastAsia" w:cstheme="minorBidi"/>
      <w:sz w:val="22"/>
      <w:szCs w:val="22"/>
      <w:lang w:val="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800" b="0" i="0" u="none" strike="noStrike" kern="1200" spc="0" baseline="0">
                <a:solidFill>
                  <a:sysClr val="windowText" lastClr="000000">
                    <a:lumMod val="65000"/>
                    <a:lumOff val="35000"/>
                  </a:sys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endParaRPr lang="zh-CN" altLang="en-US" sz="800">
              <a:latin typeface="宋体" panose="02010600030101010101" charset="-122"/>
              <a:ea typeface="宋体" panose="02010600030101010101" charset="-122"/>
            </a:endParaRPr>
          </a:p>
        </c:rich>
      </c:tx>
      <c:layout>
        <c:manualLayout>
          <c:xMode val="edge"/>
          <c:yMode val="edge"/>
          <c:x val="0.829882013002649"/>
          <c:y val="0"/>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 nwei  </c:v>
                </c:pt>
              </c:strCache>
            </c:strRef>
          </c:tx>
          <c:spPr>
            <a:solidFill>
              <a:sysClr val="window" lastClr="FFFFFF">
                <a:lumMod val="50000"/>
              </a:sysClr>
            </a:solidFill>
            <a:ln>
              <a:noFill/>
            </a:ln>
            <a:effectLst/>
          </c:spPr>
          <c:invertIfNegative val="0"/>
          <c:dLbls>
            <c:spPr>
              <a:noFill/>
              <a:ln>
                <a:noFill/>
              </a:ln>
              <a:effectLst/>
            </c:spPr>
            <c:txPr>
              <a:bodyPr rot="900000" spcFirstLastPara="1" vertOverflow="ellipsis" vert="horz" wrap="square" lIns="38100" tIns="19050" rIns="38100" bIns="19050" anchor="ctr" anchorCtr="1">
                <a:spAutoFit/>
              </a:bodyPr>
              <a:lstStyle/>
              <a:p>
                <a:pPr>
                  <a:defRPr lang="zh-CN" sz="800" b="0" i="0" u="none" strike="noStrike" kern="1200" baseline="0">
                    <a:solidFill>
                      <a:sysClr val="windowText" lastClr="000000">
                        <a:lumMod val="75000"/>
                        <a:lumOff val="25000"/>
                      </a:sysClr>
                    </a:solidFill>
                    <a:latin typeface="宋体" panose="02010600030101010101" charset="-122"/>
                    <a:ea typeface="宋体" panose="02010600030101010101"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0</c:v>
                </c:pt>
                <c:pt idx="5">
                  <c:v>4614.91</c:v>
                </c:pt>
                <c:pt idx="6">
                  <c:v>6878.57</c:v>
                </c:pt>
                <c:pt idx="7">
                  <c:v>9142.23</c:v>
                </c:pt>
                <c:pt idx="8">
                  <c:v>11405.89</c:v>
                </c:pt>
                <c:pt idx="9">
                  <c:v>13669.55</c:v>
                </c:pt>
                <c:pt idx="10">
                  <c:v>15933.21</c:v>
                </c:pt>
                <c:pt idx="11">
                  <c:v>18196.87</c:v>
                </c:pt>
                <c:pt idx="12">
                  <c:v>6112.74</c:v>
                </c:pt>
                <c:pt idx="13">
                  <c:v>6652.24</c:v>
                </c:pt>
              </c:numCache>
            </c:numRef>
          </c:val>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ysClr val="windowText" lastClr="000000">
                  <a:lumMod val="15000"/>
                  <a:lumOff val="85000"/>
                </a:sys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ysClr val="windowText" lastClr="000000">
                    <a:lumMod val="65000"/>
                    <a:lumOff val="35000"/>
                  </a:sysClr>
                </a:solidFill>
                <a:latin typeface="宋体" panose="02010600030101010101" charset="-122"/>
                <a:ea typeface="宋体" panose="02010600030101010101" charset="-122"/>
                <a:cs typeface="+mn-cs"/>
              </a:defRPr>
            </a:pPr>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b5cef552-0c19-4e06-a909-a76f5be0ab19}"/>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16</Pages>
  <Words>3966</Words>
  <Characters>5623</Characters>
  <Lines>83</Lines>
  <Paragraphs>23</Paragraphs>
  <TotalTime>0</TotalTime>
  <ScaleCrop>false</ScaleCrop>
  <LinksUpToDate>false</LinksUpToDate>
  <CharactersWithSpaces>5642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2019-07-27T14:03:00Z</dcterms:created>
  <dc:creator>xtzj</dc:creator>
  <cp:lastModifiedBy>林树芊</cp:lastModifiedBy>
  <dcterms:modified xsi:type="dcterms:W3CDTF">2025-09-10T09:49:36Z</dcterms:modified>
  <dc:title>2019年儋州市兰洋特色小镇项目专项债券（二期)</dc:title>
  <cp:revision>310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