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240" w:lineRule="auto"/>
        <w:ind w:firstLine="720"/>
        <w:jc w:val="left"/>
        <w:rPr>
          <w:rFonts w:ascii="楷体" w:hAnsi="楷体" w:eastAsia="楷体" w:cs="宋体"/>
          <w:b/>
          <w:color w:val="000000" w:themeColor="text1"/>
          <w:sz w:val="36"/>
          <w:szCs w:val="36"/>
          <w14:textFill>
            <w14:solidFill>
              <w14:schemeClr w14:val="tx1"/>
            </w14:solidFill>
          </w14:textFill>
        </w:rPr>
      </w:pPr>
    </w:p>
    <w:p>
      <w:pPr>
        <w:widowControl/>
        <w:spacing w:after="0" w:line="240" w:lineRule="auto"/>
        <w:ind w:firstLine="720"/>
        <w:jc w:val="left"/>
        <w:rPr>
          <w:rFonts w:ascii="楷体" w:hAnsi="楷体" w:eastAsia="楷体" w:cs="宋体"/>
          <w:b/>
          <w:color w:val="000000" w:themeColor="text1"/>
          <w:sz w:val="36"/>
          <w:szCs w:val="36"/>
          <w14:textFill>
            <w14:solidFill>
              <w14:schemeClr w14:val="tx1"/>
            </w14:solidFill>
          </w14:textFill>
        </w:rPr>
      </w:pPr>
    </w:p>
    <w:p>
      <w:pPr>
        <w:widowControl/>
        <w:spacing w:after="0" w:line="240" w:lineRule="auto"/>
        <w:ind w:firstLine="720"/>
        <w:jc w:val="left"/>
        <w:rPr>
          <w:rFonts w:ascii="楷体" w:hAnsi="楷体" w:eastAsia="楷体" w:cs="宋体"/>
          <w:b/>
          <w:color w:val="000000" w:themeColor="text1"/>
          <w:sz w:val="36"/>
          <w:szCs w:val="36"/>
          <w14:textFill>
            <w14:solidFill>
              <w14:schemeClr w14:val="tx1"/>
            </w14:solidFill>
          </w14:textFill>
        </w:rPr>
      </w:pPr>
    </w:p>
    <w:p>
      <w:pPr>
        <w:widowControl/>
        <w:spacing w:after="0" w:line="240" w:lineRule="auto"/>
        <w:ind w:firstLine="720"/>
        <w:jc w:val="left"/>
        <w:rPr>
          <w:rFonts w:ascii="楷体" w:hAnsi="楷体" w:eastAsia="楷体" w:cs="宋体"/>
          <w:b/>
          <w:color w:val="000000" w:themeColor="text1"/>
          <w:sz w:val="36"/>
          <w:szCs w:val="36"/>
          <w14:textFill>
            <w14:solidFill>
              <w14:schemeClr w14:val="tx1"/>
            </w14:solidFill>
          </w14:textFill>
        </w:rPr>
      </w:pPr>
    </w:p>
    <w:p>
      <w:pPr>
        <w:widowControl/>
        <w:spacing w:after="0" w:line="240" w:lineRule="auto"/>
        <w:ind w:firstLine="960"/>
        <w:jc w:val="center"/>
        <w:rPr>
          <w:rFonts w:ascii="楷体" w:hAnsi="楷体" w:eastAsia="楷体" w:cs="宋体"/>
          <w:b/>
          <w:color w:val="000000" w:themeColor="text1"/>
          <w:sz w:val="48"/>
          <w:szCs w:val="32"/>
          <w14:textFill>
            <w14:solidFill>
              <w14:schemeClr w14:val="tx1"/>
            </w14:solidFill>
          </w14:textFill>
        </w:rPr>
      </w:pPr>
      <w:r>
        <w:rPr>
          <w:rFonts w:hint="eastAsia" w:ascii="楷体" w:hAnsi="楷体" w:eastAsia="楷体" w:cs="宋体"/>
          <w:b/>
          <w:color w:val="000000" w:themeColor="text1"/>
          <w:sz w:val="48"/>
          <w:szCs w:val="32"/>
          <w14:textFill>
            <w14:solidFill>
              <w14:schemeClr w14:val="tx1"/>
            </w14:solidFill>
          </w14:textFill>
        </w:rPr>
        <w:t>2025年海南省政府专项债券（一期）</w:t>
      </w:r>
    </w:p>
    <w:p>
      <w:pPr>
        <w:pStyle w:val="2"/>
      </w:pPr>
    </w:p>
    <w:p>
      <w:pPr>
        <w:widowControl/>
        <w:spacing w:after="0" w:line="240" w:lineRule="auto"/>
        <w:ind w:firstLine="964"/>
        <w:jc w:val="center"/>
        <w:rPr>
          <w:rFonts w:ascii="楷体" w:hAnsi="楷体" w:eastAsia="楷体" w:cs="宋体"/>
          <w:b/>
          <w:color w:val="000000" w:themeColor="text1"/>
          <w:sz w:val="40"/>
          <w:szCs w:val="24"/>
          <w14:textFill>
            <w14:solidFill>
              <w14:schemeClr w14:val="tx1"/>
            </w14:solidFill>
          </w14:textFill>
        </w:rPr>
      </w:pPr>
      <w:r>
        <w:rPr>
          <w:rFonts w:hint="eastAsia" w:ascii="楷体" w:hAnsi="楷体" w:eastAsia="楷体" w:cs="宋体"/>
          <w:b/>
          <w:color w:val="000000" w:themeColor="text1"/>
          <w:sz w:val="40"/>
          <w:szCs w:val="24"/>
          <w14:textFill>
            <w14:solidFill>
              <w14:schemeClr w14:val="tx1"/>
            </w14:solidFill>
          </w14:textFill>
        </w:rPr>
        <w:t>——海口市江东新区“一环多支”地下综合管廊骨架系统东半环工程项目</w:t>
      </w:r>
    </w:p>
    <w:p>
      <w:pPr>
        <w:widowControl/>
        <w:spacing w:after="0" w:line="240" w:lineRule="auto"/>
        <w:ind w:firstLine="1040"/>
        <w:jc w:val="center"/>
        <w:rPr>
          <w:rFonts w:ascii="楷体" w:hAnsi="楷体" w:eastAsia="楷体" w:cs="宋体"/>
          <w:b/>
          <w:color w:val="000000" w:themeColor="text1"/>
          <w:sz w:val="52"/>
          <w:szCs w:val="36"/>
          <w14:textFill>
            <w14:solidFill>
              <w14:schemeClr w14:val="tx1"/>
            </w14:solidFill>
          </w14:textFill>
        </w:rPr>
      </w:pPr>
    </w:p>
    <w:p>
      <w:pPr>
        <w:widowControl/>
        <w:spacing w:after="0" w:line="240" w:lineRule="auto"/>
        <w:ind w:firstLine="1044"/>
        <w:jc w:val="center"/>
        <w:rPr>
          <w:rFonts w:ascii="楷体" w:hAnsi="楷体" w:eastAsia="楷体" w:cs="宋体"/>
          <w:b/>
          <w:color w:val="000000" w:themeColor="text1"/>
          <w:sz w:val="48"/>
          <w:szCs w:val="32"/>
          <w14:textFill>
            <w14:solidFill>
              <w14:schemeClr w14:val="tx1"/>
            </w14:solidFill>
          </w14:textFill>
        </w:rPr>
      </w:pPr>
      <w:r>
        <w:rPr>
          <w:rFonts w:hint="eastAsia" w:ascii="楷体" w:hAnsi="楷体" w:eastAsia="楷体" w:cs="宋体"/>
          <w:b/>
          <w:color w:val="000000" w:themeColor="text1"/>
          <w:sz w:val="48"/>
          <w:szCs w:val="32"/>
          <w14:textFill>
            <w14:solidFill>
              <w14:schemeClr w14:val="tx1"/>
            </w14:solidFill>
          </w14:textFill>
        </w:rPr>
        <w:t>项目收益与融资自求平衡调整方案</w:t>
      </w:r>
    </w:p>
    <w:p>
      <w:pPr>
        <w:tabs>
          <w:tab w:val="center" w:pos="4214"/>
          <w:tab w:val="left" w:pos="7418"/>
        </w:tabs>
        <w:spacing w:after="0" w:line="360" w:lineRule="auto"/>
        <w:ind w:firstLine="720"/>
        <w:jc w:val="center"/>
        <w:rPr>
          <w:rFonts w:ascii="楷体" w:hAnsi="楷体" w:eastAsia="楷体" w:cs="宋体"/>
          <w:b/>
          <w:color w:val="000000" w:themeColor="text1"/>
          <w:sz w:val="36"/>
          <w:szCs w:val="36"/>
          <w14:textFill>
            <w14:solidFill>
              <w14:schemeClr w14:val="tx1"/>
            </w14:solidFill>
          </w14:textFill>
        </w:rPr>
      </w:pPr>
    </w:p>
    <w:p>
      <w:pPr>
        <w:tabs>
          <w:tab w:val="center" w:pos="4214"/>
          <w:tab w:val="left" w:pos="7418"/>
        </w:tabs>
        <w:spacing w:after="0" w:line="360" w:lineRule="auto"/>
        <w:ind w:firstLine="720"/>
        <w:jc w:val="center"/>
        <w:rPr>
          <w:rFonts w:ascii="楷体" w:hAnsi="楷体" w:eastAsia="楷体" w:cs="宋体"/>
          <w:b/>
          <w:color w:val="000000" w:themeColor="text1"/>
          <w:sz w:val="36"/>
          <w:szCs w:val="36"/>
          <w14:textFill>
            <w14:solidFill>
              <w14:schemeClr w14:val="tx1"/>
            </w14:solidFill>
          </w14:textFill>
        </w:rPr>
      </w:pPr>
    </w:p>
    <w:p>
      <w:pPr>
        <w:tabs>
          <w:tab w:val="center" w:pos="4214"/>
          <w:tab w:val="left" w:pos="7418"/>
        </w:tabs>
        <w:spacing w:after="0" w:line="360" w:lineRule="auto"/>
        <w:ind w:firstLine="720"/>
        <w:jc w:val="center"/>
        <w:rPr>
          <w:rFonts w:ascii="楷体" w:hAnsi="楷体" w:eastAsia="楷体" w:cs="宋体"/>
          <w:b/>
          <w:color w:val="000000" w:themeColor="text1"/>
          <w:sz w:val="36"/>
          <w:szCs w:val="36"/>
          <w14:textFill>
            <w14:solidFill>
              <w14:schemeClr w14:val="tx1"/>
            </w14:solidFill>
          </w14:textFill>
        </w:rPr>
      </w:pPr>
    </w:p>
    <w:p>
      <w:pPr>
        <w:tabs>
          <w:tab w:val="center" w:pos="4214"/>
          <w:tab w:val="left" w:pos="7418"/>
        </w:tabs>
        <w:spacing w:after="0" w:line="360" w:lineRule="auto"/>
        <w:ind w:firstLine="720"/>
        <w:jc w:val="center"/>
        <w:rPr>
          <w:rFonts w:ascii="楷体" w:hAnsi="楷体" w:eastAsia="楷体" w:cs="宋体"/>
          <w:b/>
          <w:color w:val="000000" w:themeColor="text1"/>
          <w:sz w:val="36"/>
          <w:szCs w:val="36"/>
          <w14:textFill>
            <w14:solidFill>
              <w14:schemeClr w14:val="tx1"/>
            </w14:solidFill>
          </w14:textFill>
        </w:rPr>
      </w:pPr>
    </w:p>
    <w:p>
      <w:pPr>
        <w:pStyle w:val="2"/>
        <w:ind w:firstLine="723"/>
      </w:pPr>
      <w:r>
        <w:rPr>
          <w:rFonts w:hint="eastAsia" w:cs="仿宋"/>
          <w:bCs w:val="0"/>
          <w:color w:val="000000" w:themeColor="text1"/>
          <w:sz w:val="36"/>
          <w:szCs w:val="36"/>
          <w14:textFill>
            <w14:solidFill>
              <w14:schemeClr w14:val="tx1"/>
            </w14:solidFill>
          </w14:textFill>
        </w:rPr>
        <w:t>财政部门：海口市财政局</w:t>
      </w:r>
    </w:p>
    <w:p>
      <w:pPr>
        <w:rPr>
          <w:rFonts w:ascii="楷体" w:hAnsi="楷体" w:eastAsia="楷体" w:cs="仿宋"/>
          <w:color w:val="000000" w:themeColor="text1"/>
          <w:sz w:val="36"/>
          <w:szCs w:val="36"/>
          <w14:textFill>
            <w14:solidFill>
              <w14:schemeClr w14:val="tx1"/>
            </w14:solidFill>
          </w14:textFill>
        </w:rPr>
      </w:pPr>
    </w:p>
    <w:p>
      <w:pPr>
        <w:pStyle w:val="2"/>
        <w:ind w:firstLine="723"/>
        <w:rPr>
          <w:rFonts w:cs="仿宋"/>
          <w:bCs w:val="0"/>
          <w:color w:val="000000" w:themeColor="text1"/>
          <w:sz w:val="36"/>
          <w:szCs w:val="36"/>
          <w14:textFill>
            <w14:solidFill>
              <w14:schemeClr w14:val="tx1"/>
            </w14:solidFill>
          </w14:textFill>
        </w:rPr>
      </w:pPr>
      <w:r>
        <w:rPr>
          <w:rFonts w:hint="eastAsia" w:cs="仿宋"/>
          <w:bCs w:val="0"/>
          <w:color w:val="000000" w:themeColor="text1"/>
          <w:sz w:val="36"/>
          <w:szCs w:val="36"/>
          <w14:textFill>
            <w14:solidFill>
              <w14:schemeClr w14:val="tx1"/>
            </w14:solidFill>
          </w14:textFill>
        </w:rPr>
        <w:t>主管部门：海口江东新区管理局</w:t>
      </w:r>
    </w:p>
    <w:p>
      <w:pPr>
        <w:rPr>
          <w:rFonts w:ascii="楷体" w:hAnsi="楷体" w:eastAsia="楷体" w:cs="仿宋"/>
          <w:color w:val="000000" w:themeColor="text1"/>
          <w:sz w:val="36"/>
          <w:szCs w:val="36"/>
          <w14:textFill>
            <w14:solidFill>
              <w14:schemeClr w14:val="tx1"/>
            </w14:solidFill>
          </w14:textFill>
        </w:rPr>
      </w:pPr>
    </w:p>
    <w:p>
      <w:pPr>
        <w:pStyle w:val="2"/>
        <w:ind w:firstLine="723"/>
        <w:rPr>
          <w:rFonts w:cs="仿宋"/>
          <w:bCs w:val="0"/>
          <w:color w:val="000000" w:themeColor="text1"/>
          <w:sz w:val="36"/>
          <w:szCs w:val="36"/>
          <w14:textFill>
            <w14:solidFill>
              <w14:schemeClr w14:val="tx1"/>
            </w14:solidFill>
          </w14:textFill>
        </w:rPr>
      </w:pPr>
      <w:r>
        <w:rPr>
          <w:rFonts w:hint="eastAsia" w:cs="仿宋"/>
          <w:bCs w:val="0"/>
          <w:color w:val="000000" w:themeColor="text1"/>
          <w:sz w:val="36"/>
          <w:szCs w:val="36"/>
          <w14:textFill>
            <w14:solidFill>
              <w14:schemeClr w14:val="tx1"/>
            </w14:solidFill>
          </w14:textFill>
        </w:rPr>
        <w:t>项目单位：海口市路桥建设投资有限公司</w:t>
      </w:r>
    </w:p>
    <w:p>
      <w:pPr>
        <w:tabs>
          <w:tab w:val="center" w:pos="4214"/>
          <w:tab w:val="left" w:pos="7418"/>
        </w:tabs>
        <w:spacing w:after="0" w:line="360" w:lineRule="auto"/>
        <w:ind w:firstLine="723"/>
        <w:jc w:val="center"/>
        <w:rPr>
          <w:rFonts w:ascii="楷体" w:hAnsi="楷体" w:eastAsia="楷体" w:cs="宋体"/>
          <w:b/>
          <w:color w:val="000000" w:themeColor="text1"/>
          <w:sz w:val="36"/>
          <w:szCs w:val="36"/>
          <w14:textFill>
            <w14:solidFill>
              <w14:schemeClr w14:val="tx1"/>
            </w14:solidFill>
          </w14:textFill>
        </w:rPr>
      </w:pPr>
      <w:r>
        <w:rPr>
          <w:rFonts w:hint="eastAsia" w:ascii="楷体" w:hAnsi="楷体" w:eastAsia="楷体" w:cs="宋体"/>
          <w:b/>
          <w:color w:val="000000" w:themeColor="text1"/>
          <w:sz w:val="36"/>
          <w:szCs w:val="36"/>
          <w14:textFill>
            <w14:solidFill>
              <w14:schemeClr w14:val="tx1"/>
            </w14:solidFill>
          </w14:textFill>
        </w:rPr>
        <w:t>2</w:t>
      </w:r>
      <w:r>
        <w:rPr>
          <w:rFonts w:ascii="楷体" w:hAnsi="楷体" w:eastAsia="楷体" w:cs="宋体"/>
          <w:b/>
          <w:color w:val="000000" w:themeColor="text1"/>
          <w:sz w:val="36"/>
          <w:szCs w:val="36"/>
          <w14:textFill>
            <w14:solidFill>
              <w14:schemeClr w14:val="tx1"/>
            </w14:solidFill>
          </w14:textFill>
        </w:rPr>
        <w:t>025</w:t>
      </w:r>
      <w:r>
        <w:rPr>
          <w:rFonts w:hint="eastAsia" w:ascii="楷体" w:hAnsi="楷体" w:eastAsia="楷体" w:cs="宋体"/>
          <w:b/>
          <w:color w:val="000000" w:themeColor="text1"/>
          <w:sz w:val="36"/>
          <w:szCs w:val="36"/>
          <w14:textFill>
            <w14:solidFill>
              <w14:schemeClr w14:val="tx1"/>
            </w14:solidFill>
          </w14:textFill>
        </w:rPr>
        <w:t>年</w:t>
      </w:r>
      <w:r>
        <w:rPr>
          <w:rFonts w:ascii="楷体" w:hAnsi="楷体" w:eastAsia="楷体" w:cs="宋体"/>
          <w:b/>
          <w:color w:val="000000" w:themeColor="text1"/>
          <w:sz w:val="36"/>
          <w:szCs w:val="36"/>
          <w14:textFill>
            <w14:solidFill>
              <w14:schemeClr w14:val="tx1"/>
            </w14:solidFill>
          </w14:textFill>
        </w:rPr>
        <w:t>06</w:t>
      </w:r>
      <w:r>
        <w:rPr>
          <w:rFonts w:hint="eastAsia" w:ascii="楷体" w:hAnsi="楷体" w:eastAsia="楷体" w:cs="宋体"/>
          <w:b/>
          <w:color w:val="000000" w:themeColor="text1"/>
          <w:sz w:val="36"/>
          <w:szCs w:val="36"/>
          <w14:textFill>
            <w14:solidFill>
              <w14:schemeClr w14:val="tx1"/>
            </w14:solidFill>
          </w14:textFill>
        </w:rPr>
        <w:t>月</w:t>
      </w:r>
    </w:p>
    <w:p>
      <w:pPr>
        <w:tabs>
          <w:tab w:val="center" w:pos="4214"/>
          <w:tab w:val="left" w:pos="7418"/>
        </w:tabs>
        <w:spacing w:after="0" w:line="360" w:lineRule="auto"/>
        <w:ind w:firstLine="720"/>
        <w:jc w:val="center"/>
        <w:rPr>
          <w:rFonts w:ascii="楷体" w:hAnsi="楷体" w:eastAsia="楷体" w:cs="宋体"/>
          <w:b/>
          <w:color w:val="000000" w:themeColor="text1"/>
          <w:sz w:val="36"/>
          <w:szCs w:val="36"/>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tabs>
          <w:tab w:val="center" w:pos="4214"/>
          <w:tab w:val="left" w:pos="7418"/>
        </w:tabs>
        <w:spacing w:after="0" w:line="360" w:lineRule="auto"/>
        <w:ind w:firstLine="720"/>
        <w:jc w:val="center"/>
        <w:rPr>
          <w:rFonts w:ascii="楷体" w:hAnsi="楷体" w:eastAsia="楷体" w:cs="宋体"/>
          <w:b/>
          <w:color w:val="000000" w:themeColor="text1"/>
          <w:sz w:val="36"/>
          <w:szCs w:val="36"/>
          <w14:textFill>
            <w14:solidFill>
              <w14:schemeClr w14:val="tx1"/>
            </w14:solidFill>
          </w14:textFill>
        </w:rPr>
      </w:pPr>
      <w:r>
        <w:rPr>
          <w:rFonts w:hint="eastAsia" w:ascii="楷体" w:hAnsi="楷体" w:eastAsia="楷体" w:cs="宋体"/>
          <w:b/>
          <w:color w:val="000000" w:themeColor="text1"/>
          <w:sz w:val="36"/>
          <w:szCs w:val="36"/>
          <w14:textFill>
            <w14:solidFill>
              <w14:schemeClr w14:val="tx1"/>
            </w14:solidFill>
          </w14:textFill>
        </w:rPr>
        <w:t>2025年海南省政府专项债券（一期）</w:t>
      </w:r>
    </w:p>
    <w:p>
      <w:pPr>
        <w:tabs>
          <w:tab w:val="center" w:pos="4214"/>
          <w:tab w:val="left" w:pos="7418"/>
        </w:tabs>
        <w:spacing w:after="0" w:line="360" w:lineRule="auto"/>
        <w:ind w:firstLine="723"/>
        <w:jc w:val="center"/>
        <w:rPr>
          <w:rFonts w:ascii="楷体" w:hAnsi="楷体" w:eastAsia="楷体" w:cs="宋体"/>
          <w:b/>
          <w:color w:val="000000" w:themeColor="text1"/>
          <w:sz w:val="36"/>
          <w:szCs w:val="36"/>
          <w14:textFill>
            <w14:solidFill>
              <w14:schemeClr w14:val="tx1"/>
            </w14:solidFill>
          </w14:textFill>
        </w:rPr>
      </w:pPr>
      <w:r>
        <w:rPr>
          <w:rFonts w:hint="eastAsia" w:ascii="楷体" w:hAnsi="楷体" w:eastAsia="楷体" w:cs="宋体"/>
          <w:b/>
          <w:color w:val="000000" w:themeColor="text1"/>
          <w:sz w:val="36"/>
          <w:szCs w:val="36"/>
          <w14:textFill>
            <w14:solidFill>
              <w14:schemeClr w14:val="tx1"/>
            </w14:solidFill>
          </w14:textFill>
        </w:rPr>
        <w:t>——海口市江东新区“一环多支”地下综合管廊骨架系统东半环工程项目</w:t>
      </w:r>
    </w:p>
    <w:p>
      <w:pPr>
        <w:tabs>
          <w:tab w:val="center" w:pos="4214"/>
          <w:tab w:val="left" w:pos="7418"/>
        </w:tabs>
        <w:spacing w:after="0" w:line="360" w:lineRule="auto"/>
        <w:ind w:firstLine="723"/>
        <w:jc w:val="center"/>
        <w:rPr>
          <w:rFonts w:ascii="楷体" w:hAnsi="楷体" w:eastAsia="楷体" w:cs="宋体"/>
          <w:b/>
          <w:color w:val="000000" w:themeColor="text1"/>
          <w:sz w:val="36"/>
          <w:szCs w:val="36"/>
          <w14:textFill>
            <w14:solidFill>
              <w14:schemeClr w14:val="tx1"/>
            </w14:solidFill>
          </w14:textFill>
        </w:rPr>
      </w:pPr>
      <w:r>
        <w:rPr>
          <w:rFonts w:hint="eastAsia" w:ascii="楷体" w:hAnsi="楷体" w:eastAsia="楷体" w:cs="宋体"/>
          <w:b/>
          <w:color w:val="000000" w:themeColor="text1"/>
          <w:sz w:val="36"/>
          <w:szCs w:val="36"/>
          <w14:textFill>
            <w14:solidFill>
              <w14:schemeClr w14:val="tx1"/>
            </w14:solidFill>
          </w14:textFill>
        </w:rPr>
        <w:t>项目收益与融资自求平衡调整方案</w:t>
      </w:r>
    </w:p>
    <w:p>
      <w:pPr>
        <w:spacing w:after="0" w:line="360" w:lineRule="auto"/>
        <w:ind w:firstLine="482" w:firstLineChars="200"/>
        <w:jc w:val="center"/>
        <w:rPr>
          <w:rFonts w:ascii="楷体" w:hAnsi="楷体" w:eastAsia="楷体" w:cs="宋体"/>
          <w:b/>
          <w:bCs/>
          <w:color w:val="000000"/>
          <w:kern w:val="0"/>
          <w:sz w:val="24"/>
          <w:szCs w:val="24"/>
        </w:rPr>
      </w:pPr>
    </w:p>
    <w:p>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一、债券概况</w:t>
      </w:r>
    </w:p>
    <w:p>
      <w:pPr>
        <w:spacing w:after="0" w:line="360" w:lineRule="auto"/>
        <w:ind w:firstLine="480" w:firstLineChars="200"/>
        <w:rPr>
          <w:rFonts w:ascii="楷体" w:hAnsi="楷体" w:eastAsia="楷体" w:cs="宋体"/>
          <w:color w:val="000000"/>
          <w:kern w:val="0"/>
          <w:sz w:val="24"/>
          <w:szCs w:val="24"/>
        </w:rPr>
      </w:pPr>
      <w:r>
        <w:rPr>
          <w:rFonts w:hint="eastAsia" w:ascii="楷体" w:hAnsi="楷体" w:eastAsia="楷体" w:cs="宋体"/>
          <w:color w:val="000000"/>
          <w:kern w:val="0"/>
          <w:sz w:val="24"/>
          <w:szCs w:val="24"/>
        </w:rPr>
        <w:t>2025年海南省政府专项债券（一期）资金调剂——海口市江东新区“一环多支”地下综合管廊骨架系统东半环工程项目调剂总额为</w:t>
      </w:r>
      <w:r>
        <w:rPr>
          <w:rFonts w:ascii="楷体" w:hAnsi="楷体" w:eastAsia="楷体" w:cs="宋体"/>
          <w:color w:val="000000"/>
          <w:kern w:val="0"/>
          <w:sz w:val="24"/>
          <w:szCs w:val="24"/>
        </w:rPr>
        <w:t>5</w:t>
      </w:r>
      <w:r>
        <w:rPr>
          <w:rFonts w:hint="eastAsia" w:ascii="楷体" w:hAnsi="楷体" w:eastAsia="楷体" w:cs="宋体"/>
          <w:color w:val="000000"/>
          <w:kern w:val="0"/>
          <w:sz w:val="24"/>
          <w:szCs w:val="24"/>
        </w:rPr>
        <w:t>00万元，品种为记账式固定利率附息债券，期限为</w:t>
      </w:r>
      <w:r>
        <w:rPr>
          <w:rFonts w:ascii="楷体" w:hAnsi="楷体" w:eastAsia="楷体" w:cs="宋体"/>
          <w:color w:val="000000"/>
          <w:kern w:val="0"/>
          <w:sz w:val="24"/>
          <w:szCs w:val="24"/>
        </w:rPr>
        <w:t>10</w:t>
      </w:r>
      <w:r>
        <w:rPr>
          <w:rFonts w:hint="eastAsia" w:ascii="楷体" w:hAnsi="楷体" w:eastAsia="楷体" w:cs="宋体"/>
          <w:color w:val="000000"/>
          <w:kern w:val="0"/>
          <w:sz w:val="24"/>
          <w:szCs w:val="24"/>
        </w:rPr>
        <w:t>年期。本次债券按每半年付息，到期后一次性偿还本金。</w:t>
      </w:r>
    </w:p>
    <w:p>
      <w:pPr>
        <w:spacing w:after="0" w:line="360" w:lineRule="auto"/>
        <w:ind w:firstLine="480"/>
        <w:jc w:val="center"/>
        <w:rPr>
          <w:rFonts w:ascii="楷体" w:hAnsi="楷体" w:eastAsia="楷体" w:cs="宋体"/>
          <w:b/>
          <w:color w:val="000000"/>
          <w:kern w:val="0"/>
          <w:sz w:val="24"/>
          <w:szCs w:val="24"/>
        </w:rPr>
      </w:pPr>
      <w:r>
        <w:rPr>
          <w:rFonts w:hint="eastAsia" w:ascii="楷体" w:hAnsi="楷体" w:eastAsia="楷体" w:cs="宋体"/>
          <w:b/>
          <w:color w:val="000000"/>
          <w:kern w:val="0"/>
          <w:sz w:val="24"/>
          <w:szCs w:val="24"/>
        </w:rPr>
        <w:t>2025年海南省政府专项债券（一期）资金调剂概况</w:t>
      </w:r>
    </w:p>
    <w:tbl>
      <w:tblPr>
        <w:tblStyle w:val="7"/>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6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088" w:type="dxa"/>
            <w:vAlign w:val="center"/>
          </w:tcPr>
          <w:p>
            <w:pPr>
              <w:spacing w:after="0" w:line="360" w:lineRule="auto"/>
              <w:jc w:val="center"/>
              <w:rPr>
                <w:rFonts w:ascii="楷体" w:hAnsi="楷体" w:eastAsia="楷体" w:cs="宋体"/>
                <w:b/>
                <w:color w:val="000000"/>
                <w:kern w:val="0"/>
                <w:sz w:val="24"/>
                <w:szCs w:val="24"/>
              </w:rPr>
            </w:pPr>
            <w:r>
              <w:rPr>
                <w:rFonts w:hint="eastAsia" w:ascii="楷体" w:hAnsi="楷体" w:eastAsia="楷体" w:cs="宋体"/>
                <w:b/>
                <w:sz w:val="24"/>
                <w:szCs w:val="24"/>
              </w:rPr>
              <w:t>债券名称</w:t>
            </w:r>
          </w:p>
        </w:tc>
        <w:tc>
          <w:tcPr>
            <w:tcW w:w="6681" w:type="dxa"/>
            <w:vAlign w:val="center"/>
          </w:tcPr>
          <w:p>
            <w:pPr>
              <w:spacing w:after="0" w:line="360" w:lineRule="auto"/>
              <w:ind w:firstLine="480"/>
              <w:jc w:val="center"/>
              <w:rPr>
                <w:rFonts w:ascii="楷体" w:hAnsi="楷体" w:eastAsia="楷体" w:cs="宋体"/>
                <w:sz w:val="24"/>
                <w:szCs w:val="24"/>
              </w:rPr>
            </w:pPr>
            <w:r>
              <w:rPr>
                <w:rFonts w:hint="eastAsia" w:ascii="楷体" w:hAnsi="楷体" w:eastAsia="楷体" w:cs="宋体"/>
                <w:b/>
                <w:color w:val="000000"/>
                <w:kern w:val="0"/>
                <w:sz w:val="24"/>
                <w:szCs w:val="24"/>
              </w:rPr>
              <w:t>2025年海南省政府专项债券（一期）资金调剂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088" w:type="dxa"/>
            <w:vAlign w:val="center"/>
          </w:tcPr>
          <w:p>
            <w:pPr>
              <w:spacing w:after="0" w:line="360" w:lineRule="auto"/>
              <w:ind w:firstLine="480"/>
              <w:jc w:val="center"/>
              <w:rPr>
                <w:rFonts w:ascii="楷体" w:hAnsi="楷体" w:eastAsia="楷体" w:cs="宋体"/>
                <w:b/>
                <w:color w:val="000000"/>
                <w:kern w:val="0"/>
                <w:sz w:val="24"/>
                <w:szCs w:val="24"/>
              </w:rPr>
            </w:pPr>
            <w:r>
              <w:rPr>
                <w:rFonts w:hint="eastAsia" w:ascii="楷体" w:hAnsi="楷体" w:eastAsia="楷体" w:cs="宋体"/>
                <w:b/>
                <w:sz w:val="24"/>
                <w:szCs w:val="24"/>
              </w:rPr>
              <w:t>调剂规模</w:t>
            </w:r>
          </w:p>
        </w:tc>
        <w:tc>
          <w:tcPr>
            <w:tcW w:w="6681" w:type="dxa"/>
            <w:vAlign w:val="center"/>
          </w:tcPr>
          <w:p>
            <w:pPr>
              <w:spacing w:after="0" w:line="360" w:lineRule="auto"/>
              <w:jc w:val="center"/>
              <w:rPr>
                <w:rFonts w:ascii="楷体" w:hAnsi="楷体" w:eastAsia="楷体" w:cs="宋体"/>
                <w:color w:val="000000"/>
                <w:kern w:val="0"/>
                <w:sz w:val="24"/>
                <w:szCs w:val="24"/>
              </w:rPr>
            </w:pPr>
            <w:r>
              <w:rPr>
                <w:rFonts w:ascii="楷体" w:hAnsi="楷体" w:eastAsia="楷体" w:cs="宋体"/>
                <w:color w:val="000000"/>
                <w:kern w:val="0"/>
                <w:sz w:val="24"/>
                <w:szCs w:val="24"/>
              </w:rPr>
              <w:t>50</w:t>
            </w:r>
            <w:r>
              <w:rPr>
                <w:rFonts w:hint="eastAsia" w:ascii="楷体" w:hAnsi="楷体" w:eastAsia="楷体" w:cs="宋体"/>
                <w:color w:val="000000"/>
                <w:kern w:val="0"/>
                <w:sz w:val="24"/>
                <w:szCs w:val="24"/>
              </w:rPr>
              <w:t>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88" w:type="dxa"/>
            <w:vAlign w:val="center"/>
          </w:tcPr>
          <w:p>
            <w:pPr>
              <w:pStyle w:val="10"/>
              <w:spacing w:after="0" w:line="360" w:lineRule="auto"/>
              <w:jc w:val="center"/>
              <w:rPr>
                <w:rFonts w:ascii="楷体" w:hAnsi="楷体" w:eastAsia="楷体"/>
                <w:b/>
                <w:kern w:val="2"/>
              </w:rPr>
            </w:pPr>
            <w:r>
              <w:rPr>
                <w:rFonts w:hint="eastAsia" w:ascii="楷体" w:hAnsi="楷体" w:eastAsia="楷体"/>
                <w:b/>
                <w:kern w:val="2"/>
              </w:rPr>
              <w:t>债券期限</w:t>
            </w:r>
          </w:p>
        </w:tc>
        <w:tc>
          <w:tcPr>
            <w:tcW w:w="6681" w:type="dxa"/>
            <w:vAlign w:val="center"/>
          </w:tcPr>
          <w:p>
            <w:pPr>
              <w:spacing w:after="0" w:line="360" w:lineRule="auto"/>
              <w:jc w:val="center"/>
              <w:rPr>
                <w:rFonts w:ascii="楷体" w:hAnsi="楷体" w:eastAsia="楷体" w:cs="宋体"/>
                <w:color w:val="000000"/>
                <w:kern w:val="0"/>
                <w:sz w:val="24"/>
                <w:szCs w:val="24"/>
              </w:rPr>
            </w:pPr>
            <w:r>
              <w:rPr>
                <w:rFonts w:ascii="楷体" w:hAnsi="楷体" w:eastAsia="楷体" w:cs="宋体"/>
                <w:color w:val="000000"/>
                <w:kern w:val="0"/>
                <w:sz w:val="24"/>
                <w:szCs w:val="24"/>
              </w:rPr>
              <w:t>10</w:t>
            </w:r>
            <w:r>
              <w:rPr>
                <w:rFonts w:hint="eastAsia" w:ascii="楷体" w:hAnsi="楷体" w:eastAsia="楷体" w:cs="宋体"/>
                <w:color w:val="000000"/>
                <w:kern w:val="0"/>
                <w:sz w:val="24"/>
                <w:szCs w:val="24"/>
              </w:rPr>
              <w:t>年期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088" w:type="dxa"/>
            <w:vAlign w:val="center"/>
          </w:tcPr>
          <w:p>
            <w:pPr>
              <w:pStyle w:val="10"/>
              <w:spacing w:after="0" w:line="360" w:lineRule="auto"/>
              <w:jc w:val="center"/>
              <w:rPr>
                <w:rFonts w:ascii="楷体" w:hAnsi="楷体" w:eastAsia="楷体"/>
                <w:b/>
                <w:kern w:val="2"/>
              </w:rPr>
            </w:pPr>
            <w:r>
              <w:rPr>
                <w:rFonts w:hint="eastAsia" w:ascii="楷体" w:hAnsi="楷体" w:eastAsia="楷体"/>
                <w:b/>
                <w:kern w:val="2"/>
              </w:rPr>
              <w:t>债券利率</w:t>
            </w:r>
          </w:p>
        </w:tc>
        <w:tc>
          <w:tcPr>
            <w:tcW w:w="6681" w:type="dxa"/>
            <w:vAlign w:val="center"/>
          </w:tcPr>
          <w:p>
            <w:pPr>
              <w:spacing w:after="0" w:line="360" w:lineRule="auto"/>
              <w:jc w:val="center"/>
              <w:rPr>
                <w:rFonts w:ascii="楷体" w:hAnsi="楷体" w:eastAsia="楷体" w:cs="宋体"/>
                <w:color w:val="000000"/>
                <w:kern w:val="0"/>
                <w:sz w:val="24"/>
                <w:szCs w:val="24"/>
              </w:rPr>
            </w:pPr>
            <w:r>
              <w:rPr>
                <w:rFonts w:hint="eastAsia" w:ascii="楷体" w:hAnsi="楷体" w:eastAsia="楷体" w:cs="宋体"/>
                <w:color w:val="000000"/>
                <w:kern w:val="0"/>
                <w:sz w:val="24"/>
                <w:szCs w:val="24"/>
              </w:rPr>
              <w:t>固定利率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088" w:type="dxa"/>
            <w:vAlign w:val="center"/>
          </w:tcPr>
          <w:p>
            <w:pPr>
              <w:pStyle w:val="10"/>
              <w:spacing w:after="0" w:line="360" w:lineRule="auto"/>
              <w:jc w:val="center"/>
              <w:rPr>
                <w:rFonts w:ascii="楷体" w:hAnsi="楷体" w:eastAsia="楷体"/>
                <w:b/>
                <w:kern w:val="2"/>
              </w:rPr>
            </w:pPr>
            <w:r>
              <w:rPr>
                <w:rFonts w:hint="eastAsia" w:ascii="楷体" w:hAnsi="楷体" w:eastAsia="楷体"/>
                <w:b/>
                <w:kern w:val="2"/>
              </w:rPr>
              <w:t>付息方式</w:t>
            </w:r>
          </w:p>
        </w:tc>
        <w:tc>
          <w:tcPr>
            <w:tcW w:w="6681" w:type="dxa"/>
            <w:vAlign w:val="center"/>
          </w:tcPr>
          <w:p>
            <w:pPr>
              <w:spacing w:after="0" w:line="360" w:lineRule="auto"/>
              <w:jc w:val="center"/>
              <w:rPr>
                <w:rFonts w:ascii="楷体" w:hAnsi="楷体" w:eastAsia="楷体" w:cs="宋体"/>
                <w:color w:val="000000"/>
                <w:kern w:val="0"/>
                <w:sz w:val="24"/>
                <w:szCs w:val="24"/>
              </w:rPr>
            </w:pPr>
            <w:r>
              <w:rPr>
                <w:rFonts w:hint="eastAsia" w:ascii="楷体" w:hAnsi="楷体" w:eastAsia="楷体" w:cs="宋体"/>
                <w:color w:val="000000"/>
                <w:kern w:val="0"/>
                <w:sz w:val="24"/>
                <w:szCs w:val="24"/>
              </w:rPr>
              <w:t>按每半年付息，到期后一次性偿还本金</w:t>
            </w:r>
          </w:p>
        </w:tc>
      </w:tr>
    </w:tbl>
    <w:p>
      <w:pPr>
        <w:pStyle w:val="11"/>
        <w:spacing w:after="0" w:line="360" w:lineRule="auto"/>
        <w:jc w:val="both"/>
        <w:rPr>
          <w:rFonts w:ascii="楷体" w:hAnsi="楷体" w:eastAsia="楷体" w:cs="宋体"/>
          <w:color w:val="000000"/>
        </w:rPr>
      </w:pPr>
    </w:p>
    <w:p>
      <w:pPr>
        <w:pStyle w:val="2"/>
      </w:pPr>
      <w:bookmarkStart w:id="0" w:name="_bookmark1"/>
      <w:bookmarkEnd w:id="0"/>
      <w:r>
        <w:rPr>
          <w:rFonts w:hint="eastAsia"/>
        </w:rPr>
        <w:t>二、地区情况</w:t>
      </w:r>
    </w:p>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bookmarkStart w:id="1" w:name="_Toc4762883"/>
      <w:bookmarkStart w:id="2" w:name="_Toc4763009"/>
      <w:r>
        <w:rPr>
          <w:rFonts w:hint="eastAsia" w:ascii="楷体" w:hAnsi="楷体" w:eastAsia="楷体" w:cs="仿宋"/>
          <w:color w:val="000000" w:themeColor="text1"/>
          <w:kern w:val="0"/>
          <w:sz w:val="24"/>
          <w:szCs w:val="24"/>
          <w14:textFill>
            <w14:solidFill>
              <w14:schemeClr w14:val="tx1"/>
            </w14:solidFill>
          </w14:textFill>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 城市”、“中国优秀旅游城市”、“国家环境保护模范城市”、“国家卫生城市”、“国家园林城市”、“ 国家历史文化名城”、“ 全国文明城市”、“全国双拥模范城市”等荣誉称号，荣获由住建部颁发的年度“中国人居环境奖”，2018年被联合国国际湿地公约组织评定为全球首批“国际湿地城市”。</w:t>
      </w:r>
    </w:p>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近三年地区财政情况如下：</w:t>
      </w:r>
    </w:p>
    <w:p>
      <w:pPr>
        <w:spacing w:after="0" w:line="360" w:lineRule="auto"/>
        <w:ind w:firstLine="2891" w:firstLineChars="1200"/>
        <w:rPr>
          <w:rFonts w:ascii="楷体" w:hAnsi="楷体" w:eastAsia="楷体" w:cs="仿宋"/>
          <w:b/>
          <w:bCs/>
          <w:color w:val="000000" w:themeColor="text1"/>
          <w:kern w:val="0"/>
          <w:sz w:val="24"/>
          <w:szCs w:val="24"/>
          <w14:textFill>
            <w14:solidFill>
              <w14:schemeClr w14:val="tx1"/>
            </w14:solidFill>
          </w14:textFill>
        </w:rPr>
      </w:pPr>
    </w:p>
    <w:p>
      <w:pPr>
        <w:spacing w:after="0" w:line="360" w:lineRule="auto"/>
        <w:ind w:firstLine="2891" w:firstLineChars="1200"/>
        <w:rPr>
          <w:rFonts w:ascii="楷体" w:hAnsi="楷体" w:eastAsia="楷体" w:cs="仿宋"/>
          <w:b/>
          <w:bCs/>
          <w:color w:val="000000" w:themeColor="text1"/>
          <w:kern w:val="0"/>
          <w:sz w:val="24"/>
          <w:szCs w:val="24"/>
          <w14:textFill>
            <w14:solidFill>
              <w14:schemeClr w14:val="tx1"/>
            </w14:solidFill>
          </w14:textFill>
        </w:rPr>
      </w:pPr>
      <w:r>
        <w:rPr>
          <w:rFonts w:hint="eastAsia" w:ascii="楷体" w:hAnsi="楷体" w:eastAsia="楷体" w:cs="仿宋"/>
          <w:b/>
          <w:bCs/>
          <w:color w:val="000000" w:themeColor="text1"/>
          <w:kern w:val="0"/>
          <w:sz w:val="24"/>
          <w:szCs w:val="24"/>
          <w14:textFill>
            <w14:solidFill>
              <w14:schemeClr w14:val="tx1"/>
            </w14:solidFill>
          </w14:textFill>
        </w:rPr>
        <w:t>2022-2024年海口市财政情况表</w:t>
      </w:r>
    </w:p>
    <w:p>
      <w:pPr>
        <w:spacing w:after="0" w:line="360" w:lineRule="auto"/>
        <w:ind w:firstLine="7200" w:firstLineChars="30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单位：亿元</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0"/>
        <w:gridCol w:w="1297"/>
        <w:gridCol w:w="1297"/>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shd w:val="clear" w:color="auto" w:fill="D8D8D8" w:themeFill="background1" w:themeFillShade="D9"/>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项目</w:t>
            </w:r>
          </w:p>
        </w:tc>
        <w:tc>
          <w:tcPr>
            <w:tcW w:w="761" w:type="pct"/>
            <w:shd w:val="clear" w:color="auto" w:fill="D8D8D8" w:themeFill="background1" w:themeFillShade="D9"/>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2022年</w:t>
            </w:r>
          </w:p>
        </w:tc>
        <w:tc>
          <w:tcPr>
            <w:tcW w:w="761" w:type="pct"/>
            <w:shd w:val="clear" w:color="auto" w:fill="D8D8D8" w:themeFill="background1" w:themeFillShade="D9"/>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2023年</w:t>
            </w:r>
          </w:p>
        </w:tc>
        <w:tc>
          <w:tcPr>
            <w:tcW w:w="761" w:type="pct"/>
            <w:shd w:val="clear" w:color="auto" w:fill="D8D8D8" w:themeFill="background1" w:themeFillShade="D9"/>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地区生产总值</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2,134.80</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2,358.44</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2,470.63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一般预算收入（一般公共预算收入）</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204.82</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266.87</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258.26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一般预算收入（一般公共预算总收入）</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518.12</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578.08</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597.76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政府性基金收入</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192.34</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140.39</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120.43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其中：国有土地出让收入</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176.60</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124.67</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108.59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政府性基金支出</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310.21</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264.76</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294.07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其中：国有土地出让支出</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147.61</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109.46</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72.02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地方债务限额</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752.70</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892.40</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1161.30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其中：一般债务限额</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219.77</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230.47</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235.24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专项债务限额</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532.93</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661.93</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926.07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地方债务余额</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752.70</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889.45</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1,141.70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其中：一般债务余额</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219.77</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228.11</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227.33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6" w:type="pct"/>
            <w:vAlign w:val="center"/>
          </w:tcPr>
          <w:p>
            <w:pPr>
              <w:spacing w:after="0" w:line="360" w:lineRule="auto"/>
              <w:ind w:firstLine="480" w:firstLineChars="200"/>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专项债务余额</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532.93</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661.34</w:t>
            </w:r>
          </w:p>
        </w:tc>
        <w:tc>
          <w:tcPr>
            <w:tcW w:w="761" w:type="pct"/>
            <w:vAlign w:val="center"/>
          </w:tcPr>
          <w:p>
            <w:pPr>
              <w:spacing w:after="0" w:line="360" w:lineRule="auto"/>
              <w:rPr>
                <w:rFonts w:ascii="楷体" w:hAnsi="楷体" w:eastAsia="楷体" w:cs="仿宋"/>
                <w:color w:val="000000" w:themeColor="text1"/>
                <w:kern w:val="0"/>
                <w:sz w:val="24"/>
                <w:szCs w:val="24"/>
                <w14:textFill>
                  <w14:solidFill>
                    <w14:schemeClr w14:val="tx1"/>
                  </w14:solidFill>
                </w14:textFill>
              </w:rPr>
            </w:pPr>
            <w:r>
              <w:rPr>
                <w:rFonts w:hint="eastAsia" w:ascii="楷体" w:hAnsi="楷体" w:eastAsia="楷体" w:cs="仿宋"/>
                <w:color w:val="000000" w:themeColor="text1"/>
                <w:kern w:val="0"/>
                <w:sz w:val="24"/>
                <w:szCs w:val="24"/>
                <w14:textFill>
                  <w14:solidFill>
                    <w14:schemeClr w14:val="tx1"/>
                  </w14:solidFill>
                </w14:textFill>
              </w:rPr>
              <w:t>914.37</w:t>
            </w:r>
          </w:p>
        </w:tc>
      </w:tr>
    </w:tbl>
    <w:p>
      <w:pPr>
        <w:spacing w:after="0" w:line="360" w:lineRule="auto"/>
        <w:ind w:firstLine="482"/>
        <w:rPr>
          <w:rFonts w:ascii="楷体" w:hAnsi="楷体" w:eastAsia="楷体" w:cs="宋体"/>
          <w:sz w:val="24"/>
          <w:szCs w:val="24"/>
          <w:lang w:val="en-GB"/>
        </w:rPr>
      </w:pPr>
      <w:r>
        <w:rPr>
          <w:rFonts w:hint="eastAsia" w:ascii="楷体" w:hAnsi="楷体" w:eastAsia="楷体" w:cs="仿宋"/>
          <w:color w:val="000000" w:themeColor="text1"/>
          <w:kern w:val="0"/>
          <w:sz w:val="24"/>
          <w:szCs w:val="24"/>
          <w14:textFill>
            <w14:solidFill>
              <w14:schemeClr w14:val="tx1"/>
            </w14:solidFill>
          </w14:textFill>
        </w:rPr>
        <w:t>注：以上数据来源于海口市财政局。</w:t>
      </w:r>
    </w:p>
    <w:bookmarkEnd w:id="1"/>
    <w:bookmarkEnd w:id="2"/>
    <w:p>
      <w:pPr>
        <w:spacing w:after="0" w:line="360" w:lineRule="auto"/>
        <w:ind w:firstLine="482" w:firstLineChars="200"/>
        <w:jc w:val="left"/>
        <w:rPr>
          <w:rFonts w:ascii="楷体" w:hAnsi="楷体" w:eastAsia="楷体" w:cs="宋体"/>
          <w:b/>
          <w:bCs/>
          <w:color w:val="000000"/>
          <w:kern w:val="0"/>
          <w:sz w:val="24"/>
          <w:szCs w:val="24"/>
        </w:rPr>
      </w:pPr>
      <w:r>
        <w:rPr>
          <w:rFonts w:hint="eastAsia" w:ascii="楷体" w:hAnsi="楷体" w:eastAsia="楷体" w:cs="宋体"/>
          <w:b/>
          <w:bCs/>
          <w:color w:val="000000"/>
          <w:kern w:val="0"/>
          <w:sz w:val="24"/>
          <w:szCs w:val="24"/>
        </w:rPr>
        <w:t>三、项目概述</w:t>
      </w:r>
    </w:p>
    <w:p>
      <w:pPr>
        <w:spacing w:after="0" w:line="360" w:lineRule="auto"/>
        <w:ind w:firstLine="482"/>
        <w:rPr>
          <w:rFonts w:ascii="楷体" w:hAnsi="楷体" w:eastAsia="楷体" w:cs="宋体"/>
          <w:sz w:val="24"/>
          <w:szCs w:val="24"/>
          <w:lang w:val="en-GB"/>
        </w:rPr>
      </w:pPr>
      <w:r>
        <w:rPr>
          <w:rFonts w:hint="eastAsia" w:ascii="楷体" w:hAnsi="楷体" w:eastAsia="楷体" w:cs="宋体"/>
          <w:sz w:val="24"/>
          <w:szCs w:val="24"/>
          <w:lang w:val="en-GB"/>
        </w:rPr>
        <w:t>2025年海南省政府专项债券（一期）资金调剂项目（以下简称“本项目”）符合国家政策和海口市民生事业的发展。本期项目包含：海口市江东新区“一环多支”地下综合管廊骨架系统东半环工程项目。</w:t>
      </w:r>
    </w:p>
    <w:p>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（一）项目基本情况</w:t>
      </w:r>
    </w:p>
    <w:p>
      <w:pPr>
        <w:spacing w:after="0" w:line="360" w:lineRule="auto"/>
        <w:ind w:firstLine="482"/>
        <w:rPr>
          <w:rFonts w:ascii="楷体" w:hAnsi="楷体" w:eastAsia="楷体" w:cs="宋体"/>
          <w:sz w:val="24"/>
          <w:szCs w:val="24"/>
          <w:lang w:val="en-GB"/>
        </w:rPr>
      </w:pPr>
      <w:r>
        <w:rPr>
          <w:rFonts w:hint="eastAsia" w:ascii="楷体" w:hAnsi="楷体" w:eastAsia="楷体" w:cs="宋体"/>
          <w:sz w:val="24"/>
          <w:szCs w:val="24"/>
          <w:lang w:val="en-GB"/>
        </w:rPr>
        <w:t>项目基本情况如下：</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项目名称：海口市江东新区“一环多支”地下综合管廊骨架系统东半环工程项目</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项目主管部门：海口江东新区管理局</w:t>
      </w:r>
    </w:p>
    <w:p>
      <w:pPr>
        <w:spacing w:after="0" w:line="360" w:lineRule="auto"/>
        <w:ind w:firstLine="482"/>
      </w:pPr>
      <w:r>
        <w:rPr>
          <w:rFonts w:hint="eastAsia" w:ascii="楷体" w:hAnsi="楷体" w:eastAsia="楷体" w:cs="宋体"/>
          <w:sz w:val="24"/>
          <w:szCs w:val="24"/>
        </w:rPr>
        <w:t>项目单位：海口市路桥建设投资有限公司</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项目内容：</w:t>
      </w:r>
      <w:r>
        <w:rPr>
          <w:rFonts w:ascii="楷体" w:hAnsi="楷体" w:eastAsia="楷体" w:cs="宋体"/>
          <w:sz w:val="24"/>
          <w:szCs w:val="24"/>
        </w:rPr>
        <w:t xml:space="preserve"> </w:t>
      </w:r>
      <w:r>
        <w:rPr>
          <w:rFonts w:hint="eastAsia" w:ascii="楷体" w:hAnsi="楷体" w:eastAsia="楷体" w:cs="宋体"/>
          <w:sz w:val="24"/>
          <w:szCs w:val="24"/>
        </w:rPr>
        <w:t>本项目起点接现状江东大道已建成管廊，终点至空港环路(即桂江大道),总长约8.5km,其中江东大道段管廊约1.0km,东寨港段管廊(包含过美兰互通并下穿海文高速段)约7.5km,规模为双仓支线型，配套建设分控中心一座。</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项目已取得的相关批复如下：</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1.2024年1月8日，取得海口江东新区管理局《关于启动东寨港大道市政化改造项目及海口江东新区兴洋大道电力基础设施工程前期工作的函》。该函明确：为补齐江东新区市政基础设施短板，推动江东新区的开发建设，促进区域经济发展，海口江东新区管理局谋划了东寨港大道市政化改造项目及海口江东新区兴洋大道电力基础设施工程。请海口江东新区基础建设有限公司先行开展项目前期工作。</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2.2024年2月8日，取得海口江东新区管理局《关于东寨港大道市政化改造项目规划设计条件的意见》（海江东市政意见〔2024〕52号）。该复函明确：经核实，东寨港大道市政化改造项目属《海口江东新区三组团控制性详细规划》范围。所涉排水、竖向、水系及综合管廊分属于正在编制的《海口江东新区竖向及排水实施统筹方案》《海口江东新区防洪潮排涝及水系建设方案》及《海口江东新区地下综合管廊专项规划》。规划设计条件详见附件，可据此先行开展前期工作，最终以政府批复成果为准；对接相邻在建拟建项目，妥善衔接交界面；落实“五网”基础设施建设要求，按照高品质供水标准建设给水系统；在设计前期阶段，认真调查道路红线内建筑物及拆迁情况，结合房屋征收难度及占用耕地、永久基本农田情况，可结合实际适当优化方案报海口江东新区管理局审查。</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3.2024年5月20日，取得海口江东新区管理局《关于明确东寨港大道市政化改造项目名称的复函》（海江东局函〔2024〕583 号）。该复函明确：为确保项目名称更加合理，与项目建设内容更加贴切，根据规划设计条件和项目周边的规划定位情况，同意将“东寨港大道市政化改造项目”变更为“海口市江东新区‘一环多支’地下综合管廊骨架系统东半环工程项目”，项目后续工作均以此名称推进。请海口市恒慧基础建设有限公司严格按照规划条件推进项目前期工作。</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4.2024年5月24日，取得海口江东新区管理局《关于同意海口市江东新区“一环多支”地下综合管廊骨架系统东半环工程项目可行性研究报告的复函》（海江东审函〔2024〕57号）。该复函明确：为充分发挥综合管廊系统效益，改善片区市政设施条件，同意建设海口市江东新区“一环多支”地下综合管廊骨架系统东半环工程项目；项目建设规模和内容为本项目起点接现状江东大道已建成管廊，终点至空港环路（即桂江大道），总长约8.5km，其中江东大道段管廊约1.0km，东寨港段管廊（包含过美兰互通并下穿海文高速段）约7.5km，规模为双仓支线型，配套建设分控中心一座；项目估算总投资为137532.00万元，其中工程费114660.88万元，工程建设其他费用11944.02万元（含征地拆迁费3168.35万元，该项费用以辖区政府批复为准），预备费9854.93万元，建设单位管理费1072.17万元；原则同意报告中的工程技术方案；招标范围为勘察、设计、监理和施工工程，招标组织形式为委托招标，招标方式为公开招标，工程招标时应以工程量清单招标；请海口市恒慧基础建设有限公司据此编制项目初步设计及概算并附带初步设计和概算报批承诺书（根据琼发改投资〔2017〕1845号文要求）报送海口江东新区管理局审批；其他事项按照有关规定执行。</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5.2024年5月24日，取得海口江东新区管理局《关于出具海口市江东新区“一环多支”地下综合管廊骨架系统东半环工程项目用地意见》（海江东规划意见〔2024〕160号），该意见明确：项目用地规模为61.7602 公顷。经核对海口市国土空间总体规划“三区三线”成果（2022年11月15日自然资源部下发版)，17.1899公顷位于城镇开发边界内，44.5703公顷位于城镇开发边界外（符合《海南省省和市县总体规划实施管理办法》开发边界外准入目录）；经核对海口市历年土地利用现状，21.6007公顷为建设用地，40.1595公顷为农用地(其中，0.7234公顷水田、0.7586公顷旱地)。根据《自然资源部关于进一步做好用地用海要素保障的通知》(自然资发〔2023〕89 号)第二条规定，国土空间规划确定的城市和村庄、集镇建设用地范围内的建设用地，直接申请办理农用地转用和土地征收手续。在未落实农用地报批前，永久性建筑物不得占用非建设用地；涉及农用地(含耕地)须按规定做好耕地占补工作，严格落实占一补一、占优补优、占水田补水田、耕地占补数量相等、质量相当等相关政策，在未落实耕地占补工作前，不得破坏耕作层；涉及占用现状林地及规划林地的，应征询林业及资规部门意见，以主管部门意见为准；该项目依法批准后，须按照《中华人民共和国土地管理法》及有关规定，办理建设用地报批手续，未取得建设用地报批手续不得开工建设。</w:t>
      </w:r>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6.2024年9月30日，取得海口江东新区管理局《关于申请移交政府投资项目业主的复函》（海江东局函〔2024〕941号）。该复函明确，本项目业主由产投集团子公司恒慧基础公司调整为市建工集团下属子公司路桥公司。</w:t>
      </w:r>
    </w:p>
    <w:p>
      <w:pPr>
        <w:numPr>
          <w:ilvl w:val="255"/>
          <w:numId w:val="0"/>
        </w:numPr>
        <w:spacing w:after="0" w:line="360" w:lineRule="auto"/>
        <w:ind w:firstLine="482" w:firstLineChars="200"/>
        <w:jc w:val="left"/>
        <w:rPr>
          <w:rFonts w:ascii="楷体" w:hAnsi="楷体" w:eastAsia="楷体" w:cs="宋体"/>
          <w:b/>
          <w:bCs/>
          <w:sz w:val="24"/>
          <w:szCs w:val="24"/>
        </w:rPr>
      </w:pPr>
      <w:r>
        <w:rPr>
          <w:rFonts w:hint="eastAsia" w:ascii="楷体" w:hAnsi="楷体" w:eastAsia="楷体" w:cs="宋体"/>
          <w:b/>
          <w:bCs/>
          <w:sz w:val="24"/>
          <w:szCs w:val="24"/>
        </w:rPr>
        <w:t>（二）债券资金调整原因</w:t>
      </w:r>
    </w:p>
    <w:p>
      <w:pPr>
        <w:numPr>
          <w:ilvl w:val="255"/>
          <w:numId w:val="0"/>
        </w:numPr>
        <w:spacing w:after="0" w:line="360" w:lineRule="auto"/>
        <w:ind w:firstLine="480" w:firstLineChars="200"/>
        <w:jc w:val="left"/>
        <w:rPr>
          <w:rFonts w:ascii="楷体" w:hAnsi="楷体" w:eastAsia="楷体" w:cs="宋体"/>
          <w:sz w:val="24"/>
          <w:szCs w:val="24"/>
        </w:rPr>
      </w:pPr>
      <w:r>
        <w:rPr>
          <w:rFonts w:hint="eastAsia" w:ascii="楷体" w:hAnsi="楷体" w:eastAsia="楷体" w:cs="宋体"/>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提高债券资金使用效率，海南省政府拟将安置地块7、8周边配套路网项目500万债券资金调剂于本项目的建设资金需求。</w:t>
      </w:r>
    </w:p>
    <w:p>
      <w:pPr>
        <w:spacing w:before="120" w:after="120" w:line="360" w:lineRule="auto"/>
        <w:ind w:firstLine="454"/>
        <w:rPr>
          <w:rFonts w:ascii="楷体" w:hAnsi="楷体" w:eastAsia="楷体" w:cs="Times New Roman"/>
          <w:b/>
          <w:bCs/>
          <w:color w:val="000000"/>
          <w:kern w:val="0"/>
          <w:sz w:val="24"/>
          <w:szCs w:val="24"/>
        </w:rPr>
      </w:pPr>
      <w:r>
        <w:rPr>
          <w:rFonts w:hint="eastAsia" w:ascii="楷体" w:hAnsi="楷体" w:eastAsia="楷体"/>
          <w:b/>
          <w:bCs/>
        </w:rPr>
        <w:t>（三）</w:t>
      </w:r>
      <w:r>
        <w:rPr>
          <w:rFonts w:hint="eastAsia" w:ascii="楷体" w:hAnsi="楷体" w:eastAsia="楷体" w:cs="Times New Roman"/>
          <w:b/>
          <w:bCs/>
          <w:color w:val="000000"/>
          <w:kern w:val="0"/>
          <w:sz w:val="24"/>
          <w:szCs w:val="24"/>
        </w:rPr>
        <w:t>调整项目概况</w:t>
      </w:r>
    </w:p>
    <w:p>
      <w:pPr>
        <w:widowControl/>
        <w:spacing w:before="120" w:after="120" w:line="360" w:lineRule="auto"/>
        <w:ind w:firstLine="454"/>
        <w:rPr>
          <w:rFonts w:ascii="楷体" w:hAnsi="楷体" w:eastAsia="楷体" w:cs="Times New Roman"/>
          <w:color w:val="000000"/>
          <w:kern w:val="0"/>
          <w:sz w:val="24"/>
          <w:szCs w:val="24"/>
        </w:rPr>
      </w:pPr>
      <w:r>
        <w:rPr>
          <w:rFonts w:hint="eastAsia" w:ascii="楷体" w:hAnsi="楷体" w:eastAsia="楷体" w:cs="Times New Roman"/>
          <w:color w:val="000000"/>
          <w:kern w:val="0"/>
          <w:sz w:val="24"/>
          <w:szCs w:val="24"/>
        </w:rPr>
        <w:t>本次调剂项目具体情况如下：</w:t>
      </w:r>
    </w:p>
    <w:p>
      <w:pPr>
        <w:widowControl/>
        <w:spacing w:before="240" w:after="0" w:line="240" w:lineRule="auto"/>
        <w:jc w:val="center"/>
        <w:rPr>
          <w:rFonts w:ascii="楷体" w:hAnsi="楷体" w:eastAsia="楷体" w:cs="楷体"/>
          <w:b/>
          <w:color w:val="000000"/>
          <w:kern w:val="0"/>
          <w:sz w:val="24"/>
          <w:szCs w:val="24"/>
        </w:rPr>
      </w:pPr>
      <w:r>
        <w:rPr>
          <w:rFonts w:hint="eastAsia" w:ascii="楷体" w:hAnsi="楷体" w:eastAsia="楷体" w:cs="楷体"/>
          <w:b/>
          <w:color w:val="000000"/>
          <w:kern w:val="0"/>
          <w:sz w:val="24"/>
          <w:szCs w:val="24"/>
        </w:rPr>
        <w:t>调减项目情况汇总表</w:t>
      </w:r>
    </w:p>
    <w:p>
      <w:pPr>
        <w:widowControl/>
        <w:spacing w:before="156" w:beforeLines="50" w:after="0" w:line="240" w:lineRule="auto"/>
        <w:ind w:right="-210" w:rightChars="-100"/>
        <w:jc w:val="right"/>
        <w:rPr>
          <w:rFonts w:ascii="楷体" w:hAnsi="楷体" w:eastAsia="楷体" w:cs="楷体"/>
          <w:color w:val="000000"/>
          <w:kern w:val="0"/>
          <w:sz w:val="24"/>
          <w:szCs w:val="24"/>
        </w:rPr>
      </w:pPr>
      <w:r>
        <w:rPr>
          <w:rFonts w:hint="eastAsia" w:ascii="楷体" w:hAnsi="楷体" w:eastAsia="楷体" w:cs="楷体"/>
          <w:color w:val="000000"/>
          <w:kern w:val="0"/>
          <w:sz w:val="24"/>
          <w:szCs w:val="24"/>
        </w:rPr>
        <w:t>单位：人民币万元</w:t>
      </w:r>
    </w:p>
    <w:tbl>
      <w:tblPr>
        <w:tblStyle w:val="7"/>
        <w:tblW w:w="59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3081"/>
        <w:gridCol w:w="2938"/>
        <w:gridCol w:w="1119"/>
        <w:gridCol w:w="1115"/>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序号</w:t>
            </w:r>
          </w:p>
        </w:tc>
        <w:tc>
          <w:tcPr>
            <w:tcW w:w="1531" w:type="pct"/>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调减项目</w:t>
            </w:r>
          </w:p>
        </w:tc>
        <w:tc>
          <w:tcPr>
            <w:tcW w:w="1460" w:type="pct"/>
            <w:tcBorders>
              <w:top w:val="single" w:color="auto" w:sz="4" w:space="0"/>
              <w:left w:val="nil"/>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债券名称</w:t>
            </w:r>
          </w:p>
        </w:tc>
        <w:tc>
          <w:tcPr>
            <w:tcW w:w="556" w:type="pct"/>
            <w:tcBorders>
              <w:top w:val="single" w:color="auto" w:sz="4" w:space="0"/>
              <w:left w:val="nil"/>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债券期限</w:t>
            </w:r>
          </w:p>
        </w:tc>
        <w:tc>
          <w:tcPr>
            <w:tcW w:w="554" w:type="pct"/>
            <w:tcBorders>
              <w:top w:val="single" w:color="auto" w:sz="4" w:space="0"/>
              <w:left w:val="nil"/>
              <w:bottom w:val="single" w:color="auto" w:sz="4" w:space="0"/>
              <w:right w:val="single" w:color="auto" w:sz="4" w:space="0"/>
            </w:tcBorders>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调减金额</w:t>
            </w:r>
          </w:p>
        </w:tc>
        <w:tc>
          <w:tcPr>
            <w:tcW w:w="554" w:type="pct"/>
            <w:tcBorders>
              <w:top w:val="single" w:color="auto" w:sz="4" w:space="0"/>
              <w:left w:val="nil"/>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债券利率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ascii="楷体" w:hAnsi="楷体" w:eastAsia="楷体" w:cs="Times New Roman"/>
                <w:kern w:val="0"/>
                <w:sz w:val="20"/>
                <w:szCs w:val="20"/>
              </w:rPr>
            </w:pPr>
            <w:r>
              <w:rPr>
                <w:rFonts w:hint="eastAsia" w:ascii="楷体" w:hAnsi="楷体" w:eastAsia="楷体" w:cs="Times New Roman"/>
                <w:kern w:val="0"/>
                <w:sz w:val="20"/>
                <w:szCs w:val="20"/>
              </w:rPr>
              <w:t>1</w:t>
            </w:r>
          </w:p>
        </w:tc>
        <w:tc>
          <w:tcPr>
            <w:tcW w:w="1531" w:type="pct"/>
            <w:tcBorders>
              <w:top w:val="single" w:color="auto" w:sz="4" w:space="0"/>
              <w:left w:val="nil"/>
              <w:bottom w:val="single" w:color="auto" w:sz="4" w:space="0"/>
              <w:right w:val="single" w:color="auto" w:sz="4" w:space="0"/>
            </w:tcBorders>
            <w:vAlign w:val="center"/>
          </w:tcPr>
          <w:p>
            <w:pPr>
              <w:widowControl/>
              <w:spacing w:after="0" w:line="240" w:lineRule="auto"/>
              <w:jc w:val="left"/>
              <w:rPr>
                <w:rFonts w:ascii="楷体" w:hAnsi="楷体" w:eastAsia="楷体" w:cs="Times New Roman"/>
                <w:kern w:val="0"/>
                <w:sz w:val="20"/>
                <w:szCs w:val="20"/>
              </w:rPr>
            </w:pPr>
            <w:r>
              <w:rPr>
                <w:rFonts w:hint="eastAsia" w:ascii="楷体" w:hAnsi="楷体" w:eastAsia="楷体" w:cs="Times New Roman"/>
                <w:kern w:val="0"/>
                <w:sz w:val="20"/>
                <w:szCs w:val="20"/>
              </w:rPr>
              <w:t>安置地块7、8周边配套路网项目</w:t>
            </w:r>
          </w:p>
        </w:tc>
        <w:tc>
          <w:tcPr>
            <w:tcW w:w="1460" w:type="pct"/>
            <w:tcBorders>
              <w:top w:val="single" w:color="auto" w:sz="4" w:space="0"/>
              <w:left w:val="nil"/>
              <w:bottom w:val="single" w:color="auto" w:sz="4" w:space="0"/>
              <w:right w:val="single" w:color="auto" w:sz="4" w:space="0"/>
            </w:tcBorders>
            <w:vAlign w:val="center"/>
          </w:tcPr>
          <w:p>
            <w:pPr>
              <w:widowControl/>
              <w:spacing w:after="0" w:line="240" w:lineRule="auto"/>
              <w:jc w:val="left"/>
              <w:rPr>
                <w:rFonts w:ascii="楷体" w:hAnsi="楷体" w:eastAsia="楷体" w:cs="Times New Roman"/>
                <w:kern w:val="0"/>
                <w:sz w:val="20"/>
                <w:szCs w:val="20"/>
              </w:rPr>
            </w:pPr>
            <w:r>
              <w:rPr>
                <w:rFonts w:hint="eastAsia" w:ascii="楷体" w:hAnsi="楷体" w:eastAsia="楷体" w:cs="Times New Roman"/>
                <w:kern w:val="0"/>
                <w:sz w:val="20"/>
                <w:szCs w:val="20"/>
              </w:rPr>
              <w:t>2025年海南省政府专项债券（一期）</w:t>
            </w:r>
          </w:p>
        </w:tc>
        <w:tc>
          <w:tcPr>
            <w:tcW w:w="556" w:type="pct"/>
            <w:tcBorders>
              <w:top w:val="single" w:color="auto" w:sz="4" w:space="0"/>
              <w:left w:val="nil"/>
              <w:bottom w:val="single" w:color="auto" w:sz="4" w:space="0"/>
              <w:right w:val="single" w:color="auto" w:sz="4" w:space="0"/>
            </w:tcBorders>
            <w:vAlign w:val="center"/>
          </w:tcPr>
          <w:p>
            <w:pPr>
              <w:widowControl/>
              <w:spacing w:after="0" w:line="240" w:lineRule="auto"/>
              <w:jc w:val="center"/>
              <w:rPr>
                <w:rFonts w:ascii="楷体" w:hAnsi="楷体" w:eastAsia="楷体" w:cs="Times New Roman"/>
                <w:kern w:val="0"/>
                <w:sz w:val="20"/>
                <w:szCs w:val="20"/>
              </w:rPr>
            </w:pPr>
            <w:r>
              <w:rPr>
                <w:rFonts w:hint="eastAsia" w:ascii="楷体" w:hAnsi="楷体" w:eastAsia="楷体" w:cs="Times New Roman"/>
                <w:kern w:val="0"/>
                <w:sz w:val="20"/>
                <w:szCs w:val="20"/>
              </w:rPr>
              <w:t>10年</w:t>
            </w:r>
          </w:p>
        </w:tc>
        <w:tc>
          <w:tcPr>
            <w:tcW w:w="554" w:type="pct"/>
            <w:tcBorders>
              <w:top w:val="single" w:color="auto" w:sz="4" w:space="0"/>
              <w:left w:val="nil"/>
              <w:bottom w:val="single" w:color="auto" w:sz="4" w:space="0"/>
              <w:right w:val="single" w:color="auto" w:sz="4" w:space="0"/>
            </w:tcBorders>
            <w:vAlign w:val="center"/>
          </w:tcPr>
          <w:p>
            <w:pPr>
              <w:widowControl/>
              <w:spacing w:after="0" w:line="240" w:lineRule="auto"/>
              <w:jc w:val="right"/>
              <w:rPr>
                <w:rFonts w:ascii="楷体" w:hAnsi="楷体" w:eastAsia="楷体" w:cs="Times New Roman"/>
                <w:kern w:val="0"/>
                <w:sz w:val="20"/>
                <w:szCs w:val="20"/>
              </w:rPr>
            </w:pPr>
            <w:r>
              <w:rPr>
                <w:rFonts w:hint="eastAsia" w:ascii="楷体" w:hAnsi="楷体" w:eastAsia="楷体" w:cs="Times New Roman"/>
                <w:kern w:val="0"/>
                <w:sz w:val="20"/>
                <w:szCs w:val="20"/>
              </w:rPr>
              <w:t>500.00</w:t>
            </w:r>
          </w:p>
        </w:tc>
        <w:tc>
          <w:tcPr>
            <w:tcW w:w="554" w:type="pct"/>
            <w:tcBorders>
              <w:top w:val="single" w:color="auto" w:sz="4" w:space="0"/>
              <w:left w:val="nil"/>
              <w:bottom w:val="single" w:color="auto" w:sz="4" w:space="0"/>
              <w:right w:val="single" w:color="auto" w:sz="4" w:space="0"/>
            </w:tcBorders>
            <w:vAlign w:val="center"/>
          </w:tcPr>
          <w:p>
            <w:pPr>
              <w:widowControl/>
              <w:spacing w:after="0" w:line="240" w:lineRule="auto"/>
              <w:jc w:val="center"/>
              <w:rPr>
                <w:rFonts w:ascii="楷体" w:hAnsi="楷体" w:eastAsia="楷体" w:cs="Times New Roman"/>
                <w:kern w:val="0"/>
                <w:sz w:val="20"/>
                <w:szCs w:val="20"/>
              </w:rPr>
            </w:pPr>
            <w:r>
              <w:rPr>
                <w:rFonts w:hint="eastAsia" w:ascii="楷体" w:hAnsi="楷体" w:eastAsia="楷体" w:cs="Times New Roman"/>
                <w:kern w:val="0"/>
                <w:sz w:val="20"/>
                <w:szCs w:val="20"/>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76" w:type="pct"/>
            <w:gridSpan w:val="2"/>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合计金额</w:t>
            </w:r>
          </w:p>
        </w:tc>
        <w:tc>
          <w:tcPr>
            <w:tcW w:w="3124" w:type="pct"/>
            <w:gridSpan w:val="4"/>
            <w:tcBorders>
              <w:top w:val="single" w:color="auto" w:sz="4" w:space="0"/>
              <w:left w:val="nil"/>
              <w:bottom w:val="single" w:color="auto" w:sz="4" w:space="0"/>
              <w:right w:val="single" w:color="auto" w:sz="4" w:space="0"/>
            </w:tcBorders>
          </w:tcPr>
          <w:p>
            <w:pPr>
              <w:widowControl/>
              <w:spacing w:after="0" w:line="240" w:lineRule="auto"/>
              <w:jc w:val="right"/>
              <w:rPr>
                <w:rFonts w:ascii="楷体" w:hAnsi="楷体" w:eastAsia="楷体" w:cs="Times New Roman"/>
                <w:b/>
                <w:kern w:val="0"/>
                <w:sz w:val="20"/>
                <w:szCs w:val="20"/>
              </w:rPr>
            </w:pPr>
            <w:r>
              <w:rPr>
                <w:rFonts w:hint="eastAsia" w:ascii="楷体" w:hAnsi="楷体" w:eastAsia="楷体" w:cs="Times New Roman"/>
                <w:b/>
                <w:kern w:val="0"/>
                <w:sz w:val="20"/>
                <w:szCs w:val="20"/>
              </w:rPr>
              <w:t>500.00</w:t>
            </w:r>
          </w:p>
        </w:tc>
      </w:tr>
    </w:tbl>
    <w:p>
      <w:pPr>
        <w:widowControl/>
        <w:spacing w:after="0" w:line="240" w:lineRule="auto"/>
        <w:jc w:val="left"/>
        <w:rPr>
          <w:rFonts w:ascii="楷体" w:hAnsi="楷体" w:eastAsia="楷体" w:cs="楷体"/>
          <w:color w:val="000000"/>
          <w:kern w:val="0"/>
          <w:sz w:val="20"/>
          <w:szCs w:val="20"/>
        </w:rPr>
      </w:pPr>
      <w:r>
        <w:rPr>
          <w:rFonts w:hint="eastAsia" w:ascii="楷体" w:hAnsi="楷体" w:eastAsia="楷体" w:cs="楷体"/>
          <w:color w:val="000000"/>
          <w:kern w:val="0"/>
          <w:sz w:val="20"/>
          <w:szCs w:val="20"/>
        </w:rPr>
        <w:t>注：调减项目已有充足的收益覆盖调整后的还本付息，并于项目发行时进行过披露。</w:t>
      </w:r>
    </w:p>
    <w:p>
      <w:pPr>
        <w:widowControl/>
        <w:spacing w:after="0" w:line="240" w:lineRule="auto"/>
        <w:jc w:val="center"/>
        <w:rPr>
          <w:rFonts w:ascii="楷体" w:hAnsi="楷体" w:eastAsia="楷体" w:cs="楷体"/>
          <w:b/>
          <w:color w:val="000000"/>
          <w:kern w:val="0"/>
          <w:sz w:val="24"/>
          <w:szCs w:val="24"/>
        </w:rPr>
      </w:pPr>
      <w:r>
        <w:rPr>
          <w:rFonts w:hint="eastAsia" w:ascii="楷体" w:hAnsi="楷体" w:eastAsia="楷体" w:cs="楷体"/>
          <w:b/>
          <w:color w:val="000000"/>
          <w:kern w:val="0"/>
          <w:sz w:val="24"/>
          <w:szCs w:val="24"/>
        </w:rPr>
        <w:t xml:space="preserve"> </w:t>
      </w:r>
    </w:p>
    <w:p>
      <w:pPr>
        <w:widowControl/>
        <w:spacing w:after="0" w:line="240" w:lineRule="auto"/>
        <w:jc w:val="center"/>
        <w:rPr>
          <w:rFonts w:ascii="楷体" w:hAnsi="楷体" w:eastAsia="楷体" w:cs="楷体"/>
          <w:b/>
          <w:color w:val="000000"/>
          <w:kern w:val="0"/>
          <w:sz w:val="24"/>
          <w:szCs w:val="24"/>
        </w:rPr>
      </w:pPr>
      <w:r>
        <w:rPr>
          <w:rFonts w:hint="eastAsia" w:ascii="楷体" w:hAnsi="楷体" w:eastAsia="楷体" w:cs="楷体"/>
          <w:b/>
          <w:color w:val="000000"/>
          <w:kern w:val="0"/>
          <w:sz w:val="24"/>
          <w:szCs w:val="24"/>
        </w:rPr>
        <w:t>调增项目情况汇总表</w:t>
      </w:r>
    </w:p>
    <w:p>
      <w:pPr>
        <w:widowControl/>
        <w:spacing w:before="156" w:beforeLines="50" w:after="0" w:line="240" w:lineRule="auto"/>
        <w:ind w:right="-210" w:rightChars="-100"/>
        <w:jc w:val="right"/>
        <w:rPr>
          <w:rFonts w:ascii="楷体" w:hAnsi="楷体" w:eastAsia="楷体" w:cs="楷体"/>
          <w:color w:val="000000"/>
          <w:kern w:val="0"/>
          <w:sz w:val="24"/>
          <w:szCs w:val="24"/>
        </w:rPr>
      </w:pPr>
      <w:r>
        <w:rPr>
          <w:rFonts w:hint="eastAsia" w:ascii="楷体" w:hAnsi="楷体" w:eastAsia="楷体" w:cs="楷体"/>
          <w:color w:val="000000"/>
          <w:kern w:val="0"/>
          <w:sz w:val="24"/>
          <w:szCs w:val="24"/>
        </w:rPr>
        <w:t>单位：人民币万元</w:t>
      </w:r>
    </w:p>
    <w:tbl>
      <w:tblPr>
        <w:tblStyle w:val="7"/>
        <w:tblW w:w="55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78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5" w:type="pc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序号</w:t>
            </w:r>
          </w:p>
        </w:tc>
        <w:tc>
          <w:tcPr>
            <w:tcW w:w="4120" w:type="pct"/>
            <w:tcBorders>
              <w:top w:val="single" w:color="auto" w:sz="4" w:space="0"/>
              <w:left w:val="nil"/>
              <w:bottom w:val="single" w:color="auto" w:sz="4" w:space="0"/>
              <w:right w:val="single" w:color="auto" w:sz="4" w:space="0"/>
            </w:tcBorders>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调增项目</w:t>
            </w:r>
          </w:p>
        </w:tc>
        <w:tc>
          <w:tcPr>
            <w:tcW w:w="515" w:type="pct"/>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ascii="楷体" w:hAnsi="楷体" w:eastAsia="楷体" w:cs="Times New Roman"/>
                <w:b/>
                <w:kern w:val="0"/>
                <w:sz w:val="20"/>
                <w:szCs w:val="20"/>
              </w:rPr>
            </w:pPr>
            <w:r>
              <w:rPr>
                <w:rFonts w:hint="eastAsia" w:ascii="楷体" w:hAnsi="楷体" w:eastAsia="楷体" w:cs="Times New Roman"/>
                <w:b/>
                <w:kern w:val="0"/>
                <w:sz w:val="20"/>
                <w:szCs w:val="20"/>
              </w:rPr>
              <w:t>调增金额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5" w:type="pc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ascii="楷体" w:hAnsi="楷体" w:eastAsia="楷体" w:cs="Times New Roman"/>
                <w:kern w:val="0"/>
                <w:sz w:val="20"/>
                <w:szCs w:val="20"/>
              </w:rPr>
            </w:pPr>
            <w:r>
              <w:rPr>
                <w:rFonts w:hint="eastAsia" w:ascii="楷体" w:hAnsi="楷体" w:eastAsia="楷体" w:cs="Times New Roman"/>
                <w:kern w:val="0"/>
                <w:sz w:val="20"/>
                <w:szCs w:val="20"/>
              </w:rPr>
              <w:t>1</w:t>
            </w:r>
          </w:p>
        </w:tc>
        <w:tc>
          <w:tcPr>
            <w:tcW w:w="4120" w:type="pct"/>
            <w:tcBorders>
              <w:top w:val="single" w:color="auto" w:sz="4" w:space="0"/>
              <w:left w:val="nil"/>
              <w:bottom w:val="single" w:color="auto" w:sz="4" w:space="0"/>
              <w:right w:val="single" w:color="auto" w:sz="4" w:space="0"/>
            </w:tcBorders>
            <w:vAlign w:val="center"/>
          </w:tcPr>
          <w:p>
            <w:pPr>
              <w:widowControl/>
              <w:spacing w:after="0" w:line="240" w:lineRule="auto"/>
              <w:jc w:val="left"/>
              <w:rPr>
                <w:rFonts w:ascii="楷体" w:hAnsi="楷体" w:eastAsia="楷体" w:cs="Times New Roman"/>
                <w:kern w:val="0"/>
                <w:sz w:val="20"/>
                <w:szCs w:val="20"/>
              </w:rPr>
            </w:pPr>
            <w:r>
              <w:rPr>
                <w:rFonts w:hint="eastAsia" w:ascii="楷体" w:hAnsi="楷体" w:eastAsia="楷体" w:cs="Times New Roman"/>
                <w:kern w:val="0"/>
                <w:sz w:val="20"/>
                <w:szCs w:val="20"/>
              </w:rPr>
              <w:t>海口市江东新区“一环多支”地下综合管廊骨架系统东半环工程项目</w:t>
            </w:r>
          </w:p>
        </w:tc>
        <w:tc>
          <w:tcPr>
            <w:tcW w:w="515" w:type="pct"/>
            <w:tcBorders>
              <w:top w:val="single" w:color="auto" w:sz="4" w:space="0"/>
              <w:left w:val="nil"/>
              <w:bottom w:val="single" w:color="auto" w:sz="4" w:space="0"/>
              <w:right w:val="single" w:color="auto" w:sz="4" w:space="0"/>
            </w:tcBorders>
            <w:noWrap/>
            <w:vAlign w:val="center"/>
          </w:tcPr>
          <w:p>
            <w:pPr>
              <w:widowControl/>
              <w:spacing w:after="0" w:line="240" w:lineRule="auto"/>
              <w:jc w:val="right"/>
              <w:rPr>
                <w:rFonts w:ascii="楷体" w:hAnsi="楷体" w:eastAsia="楷体" w:cs="Times New Roman"/>
                <w:kern w:val="0"/>
                <w:sz w:val="20"/>
                <w:szCs w:val="20"/>
              </w:rPr>
            </w:pPr>
            <w:r>
              <w:rPr>
                <w:rFonts w:hint="eastAsia" w:ascii="楷体" w:hAnsi="楷体" w:eastAsia="楷体" w:cs="Times New Roman"/>
                <w:b/>
                <w:kern w:val="0"/>
                <w:sz w:val="20"/>
                <w:szCs w:val="20"/>
              </w:rPr>
              <w:t>500.00</w:t>
            </w:r>
          </w:p>
        </w:tc>
      </w:tr>
    </w:tbl>
    <w:p>
      <w:pPr>
        <w:numPr>
          <w:ilvl w:val="255"/>
          <w:numId w:val="0"/>
        </w:numPr>
        <w:spacing w:after="0" w:line="360" w:lineRule="auto"/>
        <w:ind w:firstLine="480" w:firstLineChars="200"/>
        <w:jc w:val="left"/>
        <w:rPr>
          <w:rFonts w:ascii="楷体" w:hAnsi="楷体" w:eastAsia="楷体" w:cs="宋体"/>
          <w:color w:val="000000"/>
          <w:kern w:val="0"/>
          <w:sz w:val="24"/>
          <w:szCs w:val="24"/>
        </w:rPr>
      </w:pPr>
      <w:r>
        <w:rPr>
          <w:rFonts w:hint="eastAsia" w:ascii="楷体" w:hAnsi="楷体" w:eastAsia="楷体" w:cs="宋体"/>
          <w:color w:val="000000"/>
          <w:kern w:val="0"/>
          <w:sz w:val="24"/>
          <w:szCs w:val="24"/>
        </w:rPr>
        <w:t>为保障本项目合理融资需求，按照《中华人民共和国预算法》（2018年修订）、《国务院关于加强地方政府性债务管理的意见》（国发〔2014〕43号）、《关于做好2018年地方政府债券发行工作的意见》（财库〔2018〕61号）等文件精神，结合本项目建设计划和海口市20</w:t>
      </w:r>
      <w:r>
        <w:rPr>
          <w:rFonts w:ascii="楷体" w:hAnsi="楷体" w:eastAsia="楷体" w:cs="宋体"/>
          <w:color w:val="000000"/>
          <w:kern w:val="0"/>
          <w:sz w:val="24"/>
          <w:szCs w:val="24"/>
        </w:rPr>
        <w:t>25</w:t>
      </w:r>
      <w:r>
        <w:rPr>
          <w:rFonts w:hint="eastAsia" w:ascii="楷体" w:hAnsi="楷体" w:eastAsia="楷体" w:cs="宋体"/>
          <w:color w:val="000000"/>
          <w:kern w:val="0"/>
          <w:sz w:val="24"/>
          <w:szCs w:val="24"/>
        </w:rPr>
        <w:t>年发债计划，海南市政府决定通过调剂地方政府专项债券实施本项目，以满足海口市基础设施事业建设的融资需求。</w:t>
      </w:r>
    </w:p>
    <w:p>
      <w:pPr>
        <w:spacing w:after="0" w:line="360" w:lineRule="auto"/>
        <w:rPr>
          <w:rFonts w:ascii="楷体" w:hAnsi="楷体" w:eastAsia="楷体" w:cs="宋体"/>
        </w:rPr>
      </w:pPr>
    </w:p>
    <w:p>
      <w:pPr>
        <w:numPr>
          <w:ilvl w:val="0"/>
          <w:numId w:val="1"/>
        </w:numPr>
        <w:spacing w:after="0" w:line="360" w:lineRule="auto"/>
        <w:ind w:firstLine="482" w:firstLineChars="200"/>
        <w:jc w:val="left"/>
        <w:rPr>
          <w:rFonts w:ascii="楷体" w:hAnsi="楷体" w:eastAsia="楷体" w:cs="宋体"/>
          <w:b/>
          <w:bCs/>
          <w:color w:val="000000"/>
          <w:kern w:val="0"/>
          <w:sz w:val="24"/>
          <w:szCs w:val="24"/>
        </w:rPr>
      </w:pPr>
      <w:r>
        <w:rPr>
          <w:rFonts w:hint="eastAsia" w:ascii="楷体" w:hAnsi="楷体" w:eastAsia="楷体" w:cs="宋体"/>
          <w:b/>
          <w:bCs/>
          <w:color w:val="000000"/>
          <w:kern w:val="0"/>
          <w:sz w:val="24"/>
          <w:szCs w:val="24"/>
        </w:rPr>
        <w:t>资金平衡方案</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2017年财政部公布《关于试点发展项目收益与融资自求平衡的地方政府专项债券品种的通知》（财预〔2017〕89号），提出在法定专项债务限额内，各地方按照本地区政府性基金收入项目分类发行专项债券，着力发展实现项目收益与融资自求平衡的专项债券品种。2018年财政部公布《关于做好2018年地方政府债务管理工作的通知》（财预〔2018〕34号），鼓励有条件的地方试点发展项目收益与融资自求平衡的专项债券，优先在重大区域发展以及乡村振兴、生态环保、保障性住房、公立医院、公立高校、交通、水利、市政医疗卫生等领域选择符合条件的项目，积极探索试点发行项目收益专项债券，以对应的政府性基金或专项收入偿还。</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根据财预〔2017〕89号文件的要求，分类发行专项债券建设的项目，应当能够产生持续稳定的反映为政府性基金收入或专项收入的现金流收入，且现金流收入应当能够完全覆盖专项债券还本付息的规模。</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此外，根据文件相关要求，地方政府发行专项债券，需要在满足法定专项债务限额的前提下，充分考虑资金筹措的充足性和稳定性。</w:t>
      </w:r>
    </w:p>
    <w:p>
      <w:pPr>
        <w:spacing w:after="0" w:line="360" w:lineRule="auto"/>
        <w:ind w:firstLine="480" w:firstLineChars="200"/>
        <w:rPr>
          <w:rFonts w:ascii="楷体" w:hAnsi="楷体" w:eastAsia="楷体" w:cs="宋体"/>
        </w:rPr>
      </w:pPr>
      <w:r>
        <w:rPr>
          <w:rFonts w:hint="eastAsia" w:ascii="楷体" w:hAnsi="楷体" w:eastAsia="楷体" w:cs="宋体"/>
          <w:sz w:val="24"/>
          <w:szCs w:val="24"/>
        </w:rPr>
        <w:t>根据国家、地方相关政策文件，以真实、客观、可行、独立为原则，对2025年海南省政府专项债券（一期）资金调剂分析评价如下：</w:t>
      </w:r>
    </w:p>
    <w:p>
      <w:pPr>
        <w:numPr>
          <w:ilvl w:val="255"/>
          <w:numId w:val="0"/>
        </w:numPr>
        <w:autoSpaceDE w:val="0"/>
        <w:spacing w:after="0" w:line="360" w:lineRule="auto"/>
        <w:ind w:firstLine="482" w:firstLineChars="200"/>
        <w:textAlignment w:val="center"/>
        <w:rPr>
          <w:rFonts w:ascii="楷体" w:hAnsi="楷体" w:eastAsia="楷体" w:cs="宋体"/>
          <w:b/>
          <w:bCs/>
          <w:sz w:val="24"/>
          <w:szCs w:val="24"/>
        </w:rPr>
      </w:pPr>
      <w:r>
        <w:rPr>
          <w:rFonts w:hint="eastAsia" w:ascii="楷体" w:hAnsi="楷体" w:eastAsia="楷体" w:cs="宋体"/>
          <w:b/>
          <w:bCs/>
          <w:sz w:val="24"/>
          <w:szCs w:val="24"/>
        </w:rPr>
        <w:t>（一）资金充足性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本项目本次拟申请调剂500万元用于海口市江东新区“一环多支”地下综合管廊骨架系统东半环工程项目。根据项目收益与融资平衡分析结果显示，本债券存续期内还本付息资金充足。本次调整包括1个项目。</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本项目偿债来源为土地出让收入与运营收入，债券存续期内用于还本付息的项目总收入为1,535.76万元，总成本为337.50万元，总收益为1,198.26万元。本项目资金覆盖率详见表1：</w:t>
      </w:r>
    </w:p>
    <w:p>
      <w:pPr>
        <w:spacing w:after="0" w:line="360" w:lineRule="auto"/>
        <w:ind w:firstLine="482" w:firstLineChars="200"/>
        <w:jc w:val="center"/>
        <w:rPr>
          <w:rFonts w:ascii="楷体" w:hAnsi="楷体" w:eastAsia="楷体" w:cs="宋体"/>
          <w:b/>
          <w:bCs/>
          <w:sz w:val="24"/>
          <w:szCs w:val="24"/>
        </w:rPr>
      </w:pPr>
      <w:r>
        <w:rPr>
          <w:rFonts w:hint="eastAsia" w:ascii="楷体" w:hAnsi="楷体" w:eastAsia="楷体" w:cs="宋体"/>
          <w:b/>
          <w:bCs/>
          <w:sz w:val="24"/>
          <w:szCs w:val="24"/>
        </w:rPr>
        <w:t>表1 项目本息覆盖率表</w:t>
      </w:r>
    </w:p>
    <w:p>
      <w:pPr>
        <w:spacing w:after="0" w:line="360" w:lineRule="auto"/>
        <w:ind w:right="-1475" w:firstLine="361"/>
        <w:jc w:val="center"/>
        <w:rPr>
          <w:rFonts w:ascii="楷体" w:hAnsi="楷体" w:eastAsia="楷体" w:cs="宋体"/>
          <w:color w:val="000000"/>
          <w:sz w:val="18"/>
          <w:szCs w:val="18"/>
        </w:rPr>
      </w:pPr>
      <w:r>
        <w:rPr>
          <w:rFonts w:hint="eastAsia" w:ascii="楷体" w:hAnsi="楷体" w:eastAsia="楷体" w:cs="宋体"/>
          <w:color w:val="000000"/>
          <w:sz w:val="18"/>
          <w:szCs w:val="18"/>
        </w:rPr>
        <w:t xml:space="preserve">                                                                         单位：人民币万元</w:t>
      </w:r>
    </w:p>
    <w:tbl>
      <w:tblPr>
        <w:tblStyle w:val="7"/>
        <w:tblW w:w="10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275"/>
        <w:gridCol w:w="1140"/>
        <w:gridCol w:w="1130"/>
        <w:gridCol w:w="1132"/>
        <w:gridCol w:w="1128"/>
        <w:gridCol w:w="1140"/>
        <w:gridCol w:w="112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blHeader/>
          <w:jc w:val="center"/>
        </w:trPr>
        <w:tc>
          <w:tcPr>
            <w:tcW w:w="1555"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bookmarkStart w:id="3" w:name="_Hlk200698401"/>
            <w:r>
              <w:rPr>
                <w:rFonts w:hint="eastAsia" w:ascii="楷体" w:hAnsi="楷体" w:eastAsia="楷体" w:cs="宋体"/>
                <w:b/>
                <w:bCs/>
                <w:color w:val="000000" w:themeColor="text1"/>
                <w:szCs w:val="21"/>
                <w14:textFill>
                  <w14:solidFill>
                    <w14:schemeClr w14:val="tx1"/>
                  </w14:solidFill>
                </w14:textFill>
              </w:rPr>
              <w:t>项目</w:t>
            </w:r>
          </w:p>
        </w:tc>
        <w:tc>
          <w:tcPr>
            <w:tcW w:w="1275"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项目</w:t>
            </w:r>
          </w:p>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批复投资</w:t>
            </w:r>
          </w:p>
        </w:tc>
        <w:tc>
          <w:tcPr>
            <w:tcW w:w="1140"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期末项目累计现金结存额</w:t>
            </w:r>
          </w:p>
        </w:tc>
        <w:tc>
          <w:tcPr>
            <w:tcW w:w="1130"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项目</w:t>
            </w:r>
          </w:p>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总收益</w:t>
            </w:r>
          </w:p>
        </w:tc>
        <w:tc>
          <w:tcPr>
            <w:tcW w:w="1132"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以前批次已发行</w:t>
            </w:r>
          </w:p>
        </w:tc>
        <w:tc>
          <w:tcPr>
            <w:tcW w:w="1128" w:type="dxa"/>
            <w:shd w:val="clear" w:color="auto" w:fill="auto"/>
            <w:vAlign w:val="center"/>
          </w:tcPr>
          <w:p>
            <w:pPr>
              <w:spacing w:after="0" w:line="240" w:lineRule="auto"/>
              <w:jc w:val="center"/>
              <w:rPr>
                <w:rFonts w:ascii="楷体" w:hAnsi="楷体" w:eastAsia="楷体" w:cs="宋体"/>
                <w:b/>
                <w:bCs/>
                <w:color w:val="000000" w:themeColor="text1"/>
                <w:szCs w:val="21"/>
                <w:highlight w:val="yellow"/>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本次计划调增</w:t>
            </w:r>
          </w:p>
        </w:tc>
        <w:tc>
          <w:tcPr>
            <w:tcW w:w="1140"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预计债券本息</w:t>
            </w:r>
          </w:p>
        </w:tc>
        <w:tc>
          <w:tcPr>
            <w:tcW w:w="1120"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本息覆盖率</w:t>
            </w:r>
          </w:p>
        </w:tc>
        <w:tc>
          <w:tcPr>
            <w:tcW w:w="1130" w:type="dxa"/>
            <w:shd w:val="clear" w:color="auto" w:fill="auto"/>
            <w:vAlign w:val="center"/>
          </w:tcPr>
          <w:p>
            <w:pPr>
              <w:spacing w:after="0" w:line="240" w:lineRule="auto"/>
              <w:jc w:val="center"/>
              <w:rPr>
                <w:rFonts w:ascii="楷体" w:hAnsi="楷体" w:eastAsia="楷体" w:cs="宋体"/>
                <w:b/>
                <w:bCs/>
                <w:color w:val="000000" w:themeColor="text1"/>
                <w:szCs w:val="21"/>
                <w14:textFill>
                  <w14:solidFill>
                    <w14:schemeClr w14:val="tx1"/>
                  </w14:solidFill>
                </w14:textFill>
              </w:rPr>
            </w:pPr>
            <w:r>
              <w:rPr>
                <w:rFonts w:hint="eastAsia" w:ascii="楷体" w:hAnsi="楷体" w:eastAsia="楷体" w:cs="宋体"/>
                <w:b/>
                <w:bCs/>
                <w:color w:val="000000" w:themeColor="text1"/>
                <w:szCs w:val="21"/>
                <w14:textFill>
                  <w14:solidFill>
                    <w14:schemeClr w14:val="tx1"/>
                  </w14:solidFill>
                </w14:textFill>
              </w:rPr>
              <w:t>本息覆盖倍数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555" w:type="dxa"/>
            <w:shd w:val="clear" w:color="auto" w:fill="auto"/>
            <w:vAlign w:val="center"/>
          </w:tcPr>
          <w:p>
            <w:pPr>
              <w:spacing w:after="0" w:line="240" w:lineRule="auto"/>
              <w:rPr>
                <w:rFonts w:ascii="楷体" w:hAnsi="楷体" w:eastAsia="楷体" w:cs="宋体"/>
                <w:color w:val="000000" w:themeColor="text1"/>
                <w:szCs w:val="21"/>
                <w14:textFill>
                  <w14:solidFill>
                    <w14:schemeClr w14:val="tx1"/>
                  </w14:solidFill>
                </w14:textFill>
              </w:rPr>
            </w:pPr>
            <w:r>
              <w:rPr>
                <w:rFonts w:hint="eastAsia" w:ascii="楷体" w:hAnsi="楷体" w:eastAsia="楷体" w:cs="宋体"/>
                <w:color w:val="000000" w:themeColor="text1"/>
                <w:szCs w:val="21"/>
                <w14:textFill>
                  <w14:solidFill>
                    <w14:schemeClr w14:val="tx1"/>
                  </w14:solidFill>
                </w14:textFill>
              </w:rPr>
              <w:t>海口市江东新区“一环多支”地下综合管廊骨架系统东半环工程项目</w:t>
            </w:r>
          </w:p>
        </w:tc>
        <w:tc>
          <w:tcPr>
            <w:tcW w:w="1275"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137,532.00</w:t>
            </w:r>
          </w:p>
        </w:tc>
        <w:tc>
          <w:tcPr>
            <w:tcW w:w="1140"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623.46</w:t>
            </w:r>
          </w:p>
        </w:tc>
        <w:tc>
          <w:tcPr>
            <w:tcW w:w="1130" w:type="dxa"/>
            <w:shd w:val="clear" w:color="auto" w:fill="auto"/>
            <w:vAlign w:val="center"/>
          </w:tcPr>
          <w:p>
            <w:pPr>
              <w:spacing w:after="0" w:line="240" w:lineRule="auto"/>
              <w:ind w:right="3" w:hanging="258"/>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1,198.26</w:t>
            </w:r>
          </w:p>
        </w:tc>
        <w:tc>
          <w:tcPr>
            <w:tcW w:w="1132"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w:t>
            </w:r>
          </w:p>
        </w:tc>
        <w:tc>
          <w:tcPr>
            <w:tcW w:w="1128"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5</w:t>
            </w:r>
            <w:r>
              <w:rPr>
                <w:rFonts w:hint="eastAsia" w:ascii="楷体" w:hAnsi="楷体" w:eastAsia="楷体" w:cs="宋体"/>
                <w:color w:val="000000" w:themeColor="text1"/>
                <w:szCs w:val="21"/>
                <w14:textFill>
                  <w14:solidFill>
                    <w14:schemeClr w14:val="tx1"/>
                  </w14:solidFill>
                </w14:textFill>
              </w:rPr>
              <w:t>00</w:t>
            </w:r>
            <w:r>
              <w:rPr>
                <w:rFonts w:ascii="楷体" w:hAnsi="楷体" w:eastAsia="楷体" w:cs="宋体"/>
                <w:color w:val="000000" w:themeColor="text1"/>
                <w:szCs w:val="21"/>
                <w14:textFill>
                  <w14:solidFill>
                    <w14:schemeClr w14:val="tx1"/>
                  </w14:solidFill>
                </w14:textFill>
              </w:rPr>
              <w:t>.00</w:t>
            </w:r>
          </w:p>
        </w:tc>
        <w:tc>
          <w:tcPr>
            <w:tcW w:w="1140"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588.00</w:t>
            </w:r>
          </w:p>
        </w:tc>
        <w:tc>
          <w:tcPr>
            <w:tcW w:w="1120"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2.06</w:t>
            </w:r>
          </w:p>
        </w:tc>
        <w:tc>
          <w:tcPr>
            <w:tcW w:w="1130" w:type="dxa"/>
            <w:shd w:val="clear" w:color="auto" w:fill="auto"/>
            <w:vAlign w:val="center"/>
          </w:tcPr>
          <w:p>
            <w:pPr>
              <w:spacing w:after="0" w:line="240" w:lineRule="auto"/>
              <w:jc w:val="right"/>
              <w:rPr>
                <w:rFonts w:ascii="楷体" w:hAnsi="楷体" w:eastAsia="楷体" w:cs="宋体"/>
                <w:color w:val="000000" w:themeColor="text1"/>
                <w:szCs w:val="21"/>
                <w14:textFill>
                  <w14:solidFill>
                    <w14:schemeClr w14:val="tx1"/>
                  </w14:solidFill>
                </w14:textFill>
              </w:rPr>
            </w:pPr>
            <w:r>
              <w:rPr>
                <w:rFonts w:ascii="楷体" w:hAnsi="楷体" w:eastAsia="楷体" w:cs="宋体"/>
                <w:color w:val="000000" w:themeColor="text1"/>
                <w:szCs w:val="21"/>
                <w14:textFill>
                  <w14:solidFill>
                    <w14:schemeClr w14:val="tx1"/>
                  </w14:solidFill>
                </w14:textFill>
              </w:rPr>
              <w:t>2.04</w:t>
            </w:r>
          </w:p>
        </w:tc>
      </w:tr>
      <w:bookmarkEnd w:id="3"/>
    </w:tbl>
    <w:p>
      <w:pPr>
        <w:spacing w:after="0" w:line="360" w:lineRule="auto"/>
        <w:rPr>
          <w:rFonts w:ascii="楷体" w:hAnsi="楷体" w:eastAsia="楷体" w:cs="宋体"/>
          <w:sz w:val="24"/>
          <w:szCs w:val="24"/>
        </w:rPr>
      </w:pPr>
      <w:r>
        <w:rPr>
          <w:rFonts w:hint="eastAsia" w:ascii="楷体" w:hAnsi="楷体" w:eastAsia="楷体" w:cs="宋体"/>
          <w:sz w:val="24"/>
          <w:szCs w:val="24"/>
        </w:rPr>
        <w:t xml:space="preserve">    根据以上项目的投资估算、债券还本付息、发债项目盈利能力、偿债能力和可持续性等方面分析，得出如下结论：</w:t>
      </w:r>
    </w:p>
    <w:p>
      <w:pPr>
        <w:spacing w:after="0" w:line="360" w:lineRule="auto"/>
        <w:ind w:firstLine="482" w:firstLineChars="200"/>
        <w:rPr>
          <w:rFonts w:ascii="楷体" w:hAnsi="楷体" w:eastAsia="楷体" w:cs="宋体"/>
          <w:b/>
          <w:bCs/>
          <w:sz w:val="24"/>
          <w:szCs w:val="24"/>
        </w:rPr>
      </w:pPr>
      <w:r>
        <w:rPr>
          <w:rFonts w:hint="eastAsia" w:ascii="楷体" w:hAnsi="楷体" w:eastAsia="楷体" w:cs="宋体"/>
          <w:b/>
          <w:bCs/>
          <w:sz w:val="24"/>
          <w:szCs w:val="24"/>
        </w:rPr>
        <w:t>1、投资估算</w:t>
      </w:r>
    </w:p>
    <w:p>
      <w:pPr>
        <w:spacing w:after="0" w:line="360" w:lineRule="auto"/>
        <w:ind w:firstLine="480" w:firstLineChars="200"/>
        <w:rPr>
          <w:rFonts w:ascii="楷体" w:hAnsi="楷体" w:eastAsia="楷体" w:cs="宋体"/>
          <w:sz w:val="24"/>
          <w:szCs w:val="24"/>
        </w:rPr>
      </w:pPr>
      <w:bookmarkStart w:id="4" w:name="_Toc38490436"/>
      <w:r>
        <w:rPr>
          <w:rFonts w:hint="eastAsia" w:ascii="楷体" w:hAnsi="楷体" w:eastAsia="楷体" w:cs="宋体"/>
          <w:sz w:val="24"/>
          <w:szCs w:val="24"/>
        </w:rPr>
        <w:t>债券原发行利率为1.76%，发行费率暂取0.10%。。</w:t>
      </w:r>
    </w:p>
    <w:p>
      <w:pPr>
        <w:spacing w:after="0" w:line="360" w:lineRule="auto"/>
        <w:ind w:firstLine="480" w:firstLineChars="200"/>
        <w:rPr>
          <w:rFonts w:ascii="楷体" w:hAnsi="楷体" w:eastAsia="楷体" w:cs="宋体"/>
          <w:color w:val="000000"/>
          <w:sz w:val="20"/>
          <w:szCs w:val="20"/>
        </w:rPr>
      </w:pPr>
      <w:r>
        <w:rPr>
          <w:rFonts w:hint="eastAsia" w:ascii="楷体" w:hAnsi="楷体" w:eastAsia="楷体" w:cs="宋体"/>
          <w:sz w:val="24"/>
          <w:szCs w:val="24"/>
        </w:rPr>
        <w:t>据此估算，项目总投资详见表2：</w:t>
      </w:r>
    </w:p>
    <w:p>
      <w:pPr>
        <w:spacing w:after="0" w:line="360" w:lineRule="auto"/>
        <w:ind w:firstLine="482" w:firstLineChars="200"/>
        <w:jc w:val="center"/>
        <w:rPr>
          <w:rFonts w:ascii="楷体" w:hAnsi="楷体" w:eastAsia="楷体" w:cs="宋体"/>
          <w:b/>
          <w:bCs/>
          <w:sz w:val="24"/>
          <w:szCs w:val="24"/>
        </w:rPr>
      </w:pPr>
      <w:r>
        <w:rPr>
          <w:rFonts w:hint="eastAsia" w:ascii="楷体" w:hAnsi="楷体" w:eastAsia="楷体" w:cs="宋体"/>
          <w:b/>
          <w:bCs/>
          <w:sz w:val="24"/>
          <w:szCs w:val="24"/>
        </w:rPr>
        <w:t>表2 总投资估算表</w:t>
      </w:r>
    </w:p>
    <w:p>
      <w:pPr>
        <w:spacing w:after="0" w:line="360" w:lineRule="auto"/>
        <w:ind w:right="-1050" w:firstLine="361"/>
        <w:jc w:val="right"/>
        <w:rPr>
          <w:rFonts w:ascii="楷体" w:hAnsi="楷体" w:eastAsia="楷体" w:cs="宋体"/>
          <w:color w:val="000000"/>
          <w:sz w:val="18"/>
          <w:szCs w:val="18"/>
        </w:rPr>
      </w:pPr>
      <w:r>
        <w:rPr>
          <w:rFonts w:hint="eastAsia" w:ascii="楷体" w:hAnsi="楷体" w:eastAsia="楷体" w:cs="宋体"/>
          <w:color w:val="000000"/>
          <w:sz w:val="18"/>
          <w:szCs w:val="18"/>
        </w:rPr>
        <w:t xml:space="preserve">   单位：人民币万元</w:t>
      </w:r>
    </w:p>
    <w:tbl>
      <w:tblPr>
        <w:tblStyle w:val="7"/>
        <w:tblW w:w="9425" w:type="dxa"/>
        <w:tblInd w:w="0" w:type="dxa"/>
        <w:tblLayout w:type="autofit"/>
        <w:tblCellMar>
          <w:top w:w="0" w:type="dxa"/>
          <w:left w:w="108" w:type="dxa"/>
          <w:bottom w:w="0" w:type="dxa"/>
          <w:right w:w="108" w:type="dxa"/>
        </w:tblCellMar>
      </w:tblPr>
      <w:tblGrid>
        <w:gridCol w:w="1124"/>
        <w:gridCol w:w="4150"/>
        <w:gridCol w:w="4151"/>
      </w:tblGrid>
      <w:tr>
        <w:tblPrEx>
          <w:tblCellMar>
            <w:top w:w="0" w:type="dxa"/>
            <w:left w:w="108" w:type="dxa"/>
            <w:bottom w:w="0" w:type="dxa"/>
            <w:right w:w="108" w:type="dxa"/>
          </w:tblCellMar>
        </w:tblPrEx>
        <w:trPr>
          <w:trHeight w:val="294" w:hRule="atLeast"/>
        </w:trPr>
        <w:tc>
          <w:tcPr>
            <w:tcW w:w="1124"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序号</w:t>
            </w:r>
          </w:p>
        </w:tc>
        <w:tc>
          <w:tcPr>
            <w:tcW w:w="4150" w:type="dxa"/>
            <w:tcBorders>
              <w:top w:val="single" w:color="000000" w:sz="8" w:space="0"/>
              <w:left w:val="single" w:color="000000" w:sz="8" w:space="0"/>
              <w:bottom w:val="single" w:color="000000" w:sz="8" w:space="0"/>
              <w:right w:val="single" w:color="000000" w:sz="8" w:space="0"/>
            </w:tcBorders>
            <w:shd w:val="clear" w:color="auto" w:fill="auto"/>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项目名称</w:t>
            </w:r>
          </w:p>
        </w:tc>
        <w:tc>
          <w:tcPr>
            <w:tcW w:w="4151" w:type="dxa"/>
            <w:tcBorders>
              <w:top w:val="single" w:color="000000" w:sz="8" w:space="0"/>
              <w:left w:val="single" w:color="000000" w:sz="8" w:space="0"/>
              <w:bottom w:val="single" w:color="000000" w:sz="8" w:space="0"/>
              <w:right w:val="single" w:color="000000" w:sz="8" w:space="0"/>
            </w:tcBorders>
            <w:shd w:val="clear" w:color="auto" w:fill="auto"/>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合计</w:t>
            </w:r>
          </w:p>
        </w:tc>
      </w:tr>
      <w:tr>
        <w:trPr>
          <w:trHeight w:val="294" w:hRule="atLeast"/>
        </w:trPr>
        <w:tc>
          <w:tcPr>
            <w:tcW w:w="1124"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w:t>
            </w:r>
          </w:p>
        </w:tc>
        <w:tc>
          <w:tcPr>
            <w:tcW w:w="4150" w:type="dxa"/>
            <w:tcBorders>
              <w:top w:val="nil"/>
              <w:left w:val="single" w:color="000000" w:sz="8" w:space="0"/>
              <w:bottom w:val="single" w:color="000000" w:sz="8" w:space="0"/>
              <w:right w:val="single" w:color="000000" w:sz="8" w:space="0"/>
            </w:tcBorders>
            <w:shd w:val="clear" w:color="auto" w:fill="auto"/>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建设投资</w:t>
            </w:r>
          </w:p>
        </w:tc>
        <w:tc>
          <w:tcPr>
            <w:tcW w:w="415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137,532.00</w:t>
            </w:r>
          </w:p>
        </w:tc>
      </w:tr>
      <w:tr>
        <w:tblPrEx>
          <w:tblCellMar>
            <w:top w:w="0" w:type="dxa"/>
            <w:left w:w="108" w:type="dxa"/>
            <w:bottom w:w="0" w:type="dxa"/>
            <w:right w:w="108" w:type="dxa"/>
          </w:tblCellMar>
        </w:tblPrEx>
        <w:trPr>
          <w:trHeight w:val="294" w:hRule="atLeast"/>
        </w:trPr>
        <w:tc>
          <w:tcPr>
            <w:tcW w:w="1124"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w:t>
            </w:r>
          </w:p>
        </w:tc>
        <w:tc>
          <w:tcPr>
            <w:tcW w:w="4150" w:type="dxa"/>
            <w:tcBorders>
              <w:top w:val="nil"/>
              <w:left w:val="single" w:color="000000" w:sz="8" w:space="0"/>
              <w:bottom w:val="single" w:color="000000" w:sz="8" w:space="0"/>
              <w:right w:val="single" w:color="000000" w:sz="8" w:space="0"/>
            </w:tcBorders>
            <w:shd w:val="clear" w:color="auto" w:fill="auto"/>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建设期利息</w:t>
            </w:r>
          </w:p>
        </w:tc>
        <w:tc>
          <w:tcPr>
            <w:tcW w:w="415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13.20</w:t>
            </w:r>
          </w:p>
        </w:tc>
      </w:tr>
      <w:tr>
        <w:tblPrEx>
          <w:tblCellMar>
            <w:top w:w="0" w:type="dxa"/>
            <w:left w:w="108" w:type="dxa"/>
            <w:bottom w:w="0" w:type="dxa"/>
            <w:right w:w="108" w:type="dxa"/>
          </w:tblCellMar>
        </w:tblPrEx>
        <w:trPr>
          <w:trHeight w:val="294" w:hRule="atLeast"/>
        </w:trPr>
        <w:tc>
          <w:tcPr>
            <w:tcW w:w="1124"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3</w:t>
            </w:r>
          </w:p>
        </w:tc>
        <w:tc>
          <w:tcPr>
            <w:tcW w:w="4150" w:type="dxa"/>
            <w:tcBorders>
              <w:top w:val="nil"/>
              <w:left w:val="single" w:color="000000" w:sz="8" w:space="0"/>
              <w:bottom w:val="single" w:color="000000" w:sz="8" w:space="0"/>
              <w:right w:val="single" w:color="000000" w:sz="8" w:space="0"/>
            </w:tcBorders>
            <w:shd w:val="clear" w:color="auto" w:fill="auto"/>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债券发行费用</w:t>
            </w:r>
          </w:p>
        </w:tc>
        <w:tc>
          <w:tcPr>
            <w:tcW w:w="415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0.50</w:t>
            </w:r>
          </w:p>
        </w:tc>
      </w:tr>
      <w:tr>
        <w:tblPrEx>
          <w:tblCellMar>
            <w:top w:w="0" w:type="dxa"/>
            <w:left w:w="108" w:type="dxa"/>
            <w:bottom w:w="0" w:type="dxa"/>
            <w:right w:w="108" w:type="dxa"/>
          </w:tblCellMar>
        </w:tblPrEx>
        <w:trPr>
          <w:trHeight w:val="294" w:hRule="atLeast"/>
        </w:trPr>
        <w:tc>
          <w:tcPr>
            <w:tcW w:w="1124"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p>
        </w:tc>
        <w:tc>
          <w:tcPr>
            <w:tcW w:w="4150" w:type="dxa"/>
            <w:tcBorders>
              <w:top w:val="nil"/>
              <w:left w:val="single" w:color="000000" w:sz="8" w:space="0"/>
              <w:bottom w:val="single" w:color="000000" w:sz="8" w:space="0"/>
              <w:right w:val="single" w:color="000000" w:sz="8" w:space="0"/>
            </w:tcBorders>
            <w:shd w:val="clear" w:color="auto" w:fill="auto"/>
            <w:vAlign w:val="bottom"/>
          </w:tcPr>
          <w:p>
            <w:pPr>
              <w:widowControl/>
              <w:spacing w:after="0" w:line="240" w:lineRule="auto"/>
              <w:jc w:val="lef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估算总额</w:t>
            </w:r>
          </w:p>
        </w:tc>
        <w:tc>
          <w:tcPr>
            <w:tcW w:w="415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137,545.70</w:t>
            </w:r>
          </w:p>
        </w:tc>
      </w:tr>
    </w:tbl>
    <w:p>
      <w:pPr>
        <w:spacing w:after="0" w:line="360" w:lineRule="auto"/>
        <w:ind w:firstLine="480"/>
        <w:rPr>
          <w:rFonts w:ascii="楷体" w:hAnsi="楷体" w:eastAsia="楷体" w:cs="宋体"/>
          <w:b/>
          <w:color w:val="000000"/>
          <w:sz w:val="24"/>
          <w:szCs w:val="24"/>
        </w:rPr>
      </w:pPr>
    </w:p>
    <w:p>
      <w:pPr>
        <w:spacing w:after="0" w:line="360" w:lineRule="auto"/>
        <w:rPr>
          <w:rFonts w:ascii="楷体" w:hAnsi="楷体" w:eastAsia="楷体" w:cs="宋体"/>
          <w:b/>
          <w:color w:val="000000"/>
          <w:sz w:val="24"/>
          <w:szCs w:val="24"/>
        </w:rPr>
      </w:pPr>
      <w:r>
        <w:rPr>
          <w:rFonts w:hint="eastAsia" w:ascii="楷体" w:hAnsi="楷体" w:eastAsia="楷体" w:cs="宋体"/>
          <w:b/>
          <w:color w:val="000000"/>
          <w:sz w:val="24"/>
          <w:szCs w:val="24"/>
        </w:rPr>
        <w:t>2、债券发行和还本付息</w:t>
      </w:r>
      <w:bookmarkEnd w:id="4"/>
    </w:p>
    <w:p>
      <w:pPr>
        <w:spacing w:after="0" w:line="360" w:lineRule="auto"/>
        <w:ind w:firstLine="482"/>
        <w:rPr>
          <w:rFonts w:ascii="楷体" w:hAnsi="楷体" w:eastAsia="楷体" w:cs="宋体"/>
          <w:color w:val="000000"/>
          <w:sz w:val="20"/>
          <w:szCs w:val="20"/>
        </w:rPr>
      </w:pPr>
      <w:bookmarkStart w:id="5" w:name="_Toc38490437"/>
      <w:r>
        <w:rPr>
          <w:rFonts w:hint="eastAsia" w:ascii="楷体" w:hAnsi="楷体" w:eastAsia="楷体" w:cs="宋体"/>
          <w:color w:val="000000"/>
          <w:sz w:val="24"/>
          <w:szCs w:val="24"/>
        </w:rPr>
        <w:t>本项目债券的还本付息方式为每半年付息，到期一次性还本。项目债券存续期还本付息情况如表3：</w:t>
      </w:r>
    </w:p>
    <w:p>
      <w:pPr>
        <w:widowControl/>
        <w:spacing w:after="0" w:line="240" w:lineRule="auto"/>
        <w:jc w:val="left"/>
        <w:rPr>
          <w:rFonts w:ascii="楷体" w:hAnsi="楷体" w:eastAsia="楷体" w:cs="宋体"/>
          <w:b/>
          <w:bCs/>
          <w:sz w:val="24"/>
          <w:szCs w:val="24"/>
        </w:rPr>
      </w:pPr>
      <w:r>
        <w:rPr>
          <w:rFonts w:ascii="楷体" w:hAnsi="楷体" w:eastAsia="楷体" w:cs="宋体"/>
          <w:b/>
          <w:bCs/>
          <w:sz w:val="24"/>
          <w:szCs w:val="24"/>
        </w:rPr>
        <w:br w:type="page"/>
      </w:r>
    </w:p>
    <w:p>
      <w:pPr>
        <w:spacing w:after="0" w:line="360" w:lineRule="auto"/>
        <w:ind w:firstLine="482" w:firstLineChars="200"/>
        <w:jc w:val="center"/>
        <w:rPr>
          <w:rFonts w:ascii="楷体" w:hAnsi="楷体" w:eastAsia="楷体" w:cs="宋体"/>
          <w:b/>
          <w:bCs/>
          <w:sz w:val="24"/>
          <w:szCs w:val="24"/>
        </w:rPr>
        <w:sectPr>
          <w:footerReference r:id="rId5" w:type="default"/>
          <w:pgSz w:w="11906" w:h="16838"/>
          <w:pgMar w:top="1440" w:right="1800" w:bottom="1440" w:left="1800" w:header="851" w:footer="992" w:gutter="0"/>
          <w:pgNumType w:start="1"/>
          <w:cols w:space="425" w:num="1"/>
          <w:docGrid w:type="lines" w:linePitch="312" w:charSpace="0"/>
        </w:sectPr>
      </w:pPr>
    </w:p>
    <w:p>
      <w:pPr>
        <w:widowControl/>
        <w:spacing w:before="120" w:after="120" w:line="360" w:lineRule="auto"/>
        <w:ind w:firstLine="482"/>
        <w:jc w:val="center"/>
        <w:rPr>
          <w:rFonts w:ascii="楷体" w:hAnsi="楷体" w:eastAsia="楷体" w:cs="华文宋体"/>
          <w:b/>
          <w:kern w:val="0"/>
          <w:sz w:val="24"/>
          <w:szCs w:val="24"/>
        </w:rPr>
      </w:pPr>
      <w:r>
        <w:rPr>
          <w:rFonts w:hint="eastAsia" w:ascii="楷体" w:hAnsi="楷体" w:eastAsia="楷体" w:cs="华文宋体"/>
          <w:b/>
          <w:kern w:val="0"/>
          <w:sz w:val="24"/>
          <w:szCs w:val="24"/>
        </w:rPr>
        <w:t>表3   债券还本付息表</w:t>
      </w:r>
    </w:p>
    <w:p>
      <w:pPr>
        <w:widowControl/>
        <w:spacing w:after="0" w:line="240" w:lineRule="auto"/>
        <w:ind w:right="491" w:firstLine="402"/>
        <w:jc w:val="right"/>
        <w:rPr>
          <w:rFonts w:ascii="楷体" w:hAnsi="楷体" w:eastAsia="楷体" w:cs="华文宋体"/>
          <w:kern w:val="0"/>
          <w:sz w:val="20"/>
          <w:szCs w:val="20"/>
        </w:rPr>
      </w:pPr>
      <w:r>
        <w:rPr>
          <w:rFonts w:hint="eastAsia" w:ascii="楷体" w:hAnsi="楷体" w:eastAsia="楷体" w:cs="华文宋体"/>
          <w:kern w:val="0"/>
          <w:sz w:val="20"/>
          <w:szCs w:val="20"/>
        </w:rPr>
        <w:t>单位：人民币万元</w:t>
      </w:r>
    </w:p>
    <w:tbl>
      <w:tblPr>
        <w:tblStyle w:val="7"/>
        <w:tblW w:w="13598" w:type="dxa"/>
        <w:tblInd w:w="0" w:type="dxa"/>
        <w:tblLayout w:type="fixed"/>
        <w:tblCellMar>
          <w:top w:w="0" w:type="dxa"/>
          <w:left w:w="108" w:type="dxa"/>
          <w:bottom w:w="0" w:type="dxa"/>
          <w:right w:w="108" w:type="dxa"/>
        </w:tblCellMar>
      </w:tblPr>
      <w:tblGrid>
        <w:gridCol w:w="1975"/>
        <w:gridCol w:w="1937"/>
        <w:gridCol w:w="1937"/>
        <w:gridCol w:w="1937"/>
        <w:gridCol w:w="1937"/>
        <w:gridCol w:w="1937"/>
        <w:gridCol w:w="1938"/>
      </w:tblGrid>
      <w:tr>
        <w:tblPrEx>
          <w:tblCellMar>
            <w:top w:w="0" w:type="dxa"/>
            <w:left w:w="108" w:type="dxa"/>
            <w:bottom w:w="0" w:type="dxa"/>
            <w:right w:w="108" w:type="dxa"/>
          </w:tblCellMar>
        </w:tblPrEx>
        <w:trPr>
          <w:trHeight w:val="312" w:hRule="atLeast"/>
        </w:trPr>
        <w:tc>
          <w:tcPr>
            <w:tcW w:w="197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年度</w:t>
            </w:r>
          </w:p>
        </w:tc>
        <w:tc>
          <w:tcPr>
            <w:tcW w:w="1937"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2025</w:t>
            </w:r>
          </w:p>
        </w:tc>
        <w:tc>
          <w:tcPr>
            <w:tcW w:w="1937"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2026</w:t>
            </w:r>
          </w:p>
        </w:tc>
        <w:tc>
          <w:tcPr>
            <w:tcW w:w="1937"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2027</w:t>
            </w:r>
          </w:p>
        </w:tc>
        <w:tc>
          <w:tcPr>
            <w:tcW w:w="1937"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2028</w:t>
            </w:r>
          </w:p>
        </w:tc>
        <w:tc>
          <w:tcPr>
            <w:tcW w:w="1937"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2029</w:t>
            </w:r>
          </w:p>
        </w:tc>
        <w:tc>
          <w:tcPr>
            <w:tcW w:w="1938"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2030</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期初专项债券余额</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本期专项债券</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利息支出</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4.40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本期还款</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4.40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其中：还本</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付息</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4.40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r>
      <w:tr>
        <w:tblPrEx>
          <w:tblCellMar>
            <w:top w:w="0" w:type="dxa"/>
            <w:left w:w="108" w:type="dxa"/>
            <w:bottom w:w="0" w:type="dxa"/>
            <w:right w:w="108" w:type="dxa"/>
          </w:tblCellMar>
        </w:tblPrEx>
        <w:trPr>
          <w:trHeight w:val="312" w:hRule="atLeast"/>
        </w:trPr>
        <w:tc>
          <w:tcPr>
            <w:tcW w:w="1975"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期末专项债券余额</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7"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8"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r>
    </w:tbl>
    <w:p>
      <w:pPr>
        <w:widowControl/>
        <w:spacing w:after="0" w:line="240" w:lineRule="auto"/>
        <w:ind w:right="-320" w:firstLine="402"/>
        <w:jc w:val="center"/>
        <w:rPr>
          <w:rFonts w:ascii="楷体" w:hAnsi="楷体" w:eastAsia="楷体" w:cs="华文宋体"/>
          <w:kern w:val="0"/>
          <w:sz w:val="20"/>
          <w:szCs w:val="20"/>
        </w:rPr>
      </w:pPr>
    </w:p>
    <w:p>
      <w:pPr>
        <w:widowControl/>
        <w:spacing w:before="120" w:after="120" w:line="360" w:lineRule="auto"/>
        <w:ind w:firstLine="482"/>
        <w:jc w:val="center"/>
        <w:rPr>
          <w:rFonts w:ascii="楷体" w:hAnsi="楷体" w:eastAsia="楷体" w:cs="华文宋体"/>
          <w:b/>
          <w:kern w:val="0"/>
          <w:sz w:val="24"/>
          <w:szCs w:val="24"/>
        </w:rPr>
      </w:pPr>
      <w:r>
        <w:rPr>
          <w:rFonts w:hint="eastAsia" w:ascii="楷体" w:hAnsi="楷体" w:eastAsia="楷体" w:cs="华文宋体"/>
          <w:b/>
          <w:kern w:val="0"/>
          <w:sz w:val="24"/>
          <w:szCs w:val="24"/>
        </w:rPr>
        <w:t>表3   债券还本付息表（续）</w:t>
      </w:r>
    </w:p>
    <w:p>
      <w:pPr>
        <w:widowControl/>
        <w:spacing w:after="0" w:line="240" w:lineRule="auto"/>
        <w:ind w:right="491" w:firstLine="402"/>
        <w:jc w:val="right"/>
        <w:rPr>
          <w:rFonts w:ascii="楷体" w:hAnsi="楷体" w:eastAsia="楷体" w:cs="华文宋体"/>
          <w:kern w:val="0"/>
          <w:sz w:val="20"/>
          <w:szCs w:val="20"/>
        </w:rPr>
      </w:pPr>
      <w:r>
        <w:rPr>
          <w:rFonts w:hint="eastAsia" w:ascii="楷体" w:hAnsi="楷体" w:eastAsia="楷体" w:cs="华文宋体"/>
          <w:kern w:val="0"/>
          <w:sz w:val="20"/>
          <w:szCs w:val="20"/>
        </w:rPr>
        <w:t>单位：人民币万元</w:t>
      </w:r>
    </w:p>
    <w:tbl>
      <w:tblPr>
        <w:tblStyle w:val="7"/>
        <w:tblW w:w="136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939"/>
        <w:gridCol w:w="1939"/>
        <w:gridCol w:w="193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年度</w:t>
            </w:r>
          </w:p>
        </w:tc>
        <w:tc>
          <w:tcPr>
            <w:tcW w:w="1939"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2031</w:t>
            </w:r>
          </w:p>
        </w:tc>
        <w:tc>
          <w:tcPr>
            <w:tcW w:w="1939"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2032</w:t>
            </w:r>
          </w:p>
        </w:tc>
        <w:tc>
          <w:tcPr>
            <w:tcW w:w="1939"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2033</w:t>
            </w:r>
          </w:p>
        </w:tc>
        <w:tc>
          <w:tcPr>
            <w:tcW w:w="1939"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2034</w:t>
            </w:r>
          </w:p>
        </w:tc>
        <w:tc>
          <w:tcPr>
            <w:tcW w:w="1939"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2035</w:t>
            </w:r>
          </w:p>
        </w:tc>
        <w:tc>
          <w:tcPr>
            <w:tcW w:w="1939" w:type="dxa"/>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期初专项债券余额</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本期专项债券</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利息支出</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4.40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本期还款</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504.40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588.00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其中：还本</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付息</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4.40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75" w:type="dxa"/>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期末专项债券余额</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939" w:type="dxa"/>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bl>
    <w:p>
      <w:pPr>
        <w:pStyle w:val="2"/>
        <w:ind w:firstLine="0" w:firstLineChars="0"/>
      </w:pPr>
      <w:r>
        <w:br w:type="page"/>
      </w:r>
    </w:p>
    <w:p>
      <w:pPr>
        <w:spacing w:after="0" w:line="360" w:lineRule="auto"/>
        <w:ind w:firstLine="480"/>
        <w:jc w:val="left"/>
        <w:rPr>
          <w:rFonts w:ascii="楷体" w:hAnsi="楷体" w:eastAsia="楷体" w:cs="宋体"/>
          <w:b/>
          <w:color w:val="000000"/>
          <w:sz w:val="24"/>
          <w:szCs w:val="24"/>
        </w:rPr>
        <w:sectPr>
          <w:pgSz w:w="16838" w:h="11906" w:orient="landscape"/>
          <w:pgMar w:top="1797" w:right="1440" w:bottom="1797" w:left="1440" w:header="851" w:footer="992" w:gutter="0"/>
          <w:cols w:space="425" w:num="1"/>
          <w:docGrid w:type="linesAndChars" w:linePitch="312" w:charSpace="0"/>
        </w:sectPr>
      </w:pPr>
    </w:p>
    <w:p>
      <w:pPr>
        <w:spacing w:after="0" w:line="360" w:lineRule="auto"/>
        <w:jc w:val="left"/>
        <w:rPr>
          <w:rFonts w:ascii="楷体" w:hAnsi="楷体" w:eastAsia="楷体" w:cs="宋体"/>
          <w:b/>
          <w:color w:val="000000"/>
          <w:sz w:val="24"/>
          <w:szCs w:val="24"/>
        </w:rPr>
      </w:pPr>
      <w:r>
        <w:rPr>
          <w:rFonts w:hint="eastAsia" w:ascii="楷体" w:hAnsi="楷体" w:eastAsia="楷体" w:cs="宋体"/>
          <w:b/>
          <w:color w:val="000000"/>
          <w:sz w:val="24"/>
          <w:szCs w:val="24"/>
        </w:rPr>
        <w:t>3、发债项目盈利能力、偿债能力和可持续性</w:t>
      </w:r>
      <w:bookmarkEnd w:id="5"/>
    </w:p>
    <w:p>
      <w:pPr>
        <w:spacing w:after="0" w:line="360" w:lineRule="auto"/>
        <w:ind w:firstLine="482"/>
        <w:rPr>
          <w:rFonts w:ascii="楷体" w:hAnsi="楷体" w:eastAsia="楷体" w:cs="宋体"/>
          <w:sz w:val="24"/>
          <w:szCs w:val="24"/>
        </w:rPr>
      </w:pPr>
      <w:r>
        <w:rPr>
          <w:rFonts w:hint="eastAsia" w:ascii="楷体" w:hAnsi="楷体" w:eastAsia="楷体" w:cs="宋体"/>
          <w:sz w:val="24"/>
          <w:szCs w:val="24"/>
        </w:rPr>
        <w:t>本项目累计资金筹措总额137,545.70万元，自筹资金137,045.70万元，申请专项债券500万元。前述项目的自筹资金，由政府统筹安排。各年度投资计划及资金筹措方案详见表4，项目现金流平衡表详见表5：</w:t>
      </w:r>
    </w:p>
    <w:p>
      <w:pPr>
        <w:spacing w:after="0" w:line="360" w:lineRule="auto"/>
        <w:ind w:firstLine="482"/>
        <w:jc w:val="center"/>
        <w:rPr>
          <w:rFonts w:ascii="楷体" w:hAnsi="楷体" w:eastAsia="楷体" w:cs="宋体"/>
          <w:b/>
          <w:bCs/>
          <w:sz w:val="24"/>
          <w:szCs w:val="24"/>
        </w:rPr>
      </w:pPr>
      <w:r>
        <w:rPr>
          <w:rFonts w:hint="eastAsia" w:ascii="楷体" w:hAnsi="楷体" w:eastAsia="楷体" w:cs="宋体"/>
          <w:b/>
          <w:bCs/>
          <w:sz w:val="24"/>
          <w:szCs w:val="24"/>
        </w:rPr>
        <w:t>表4 投资计划及资金筹措表</w:t>
      </w:r>
    </w:p>
    <w:p>
      <w:pPr>
        <w:spacing w:after="0" w:line="360" w:lineRule="auto"/>
        <w:ind w:right="-1050" w:firstLine="361"/>
        <w:jc w:val="right"/>
        <w:rPr>
          <w:rFonts w:ascii="楷体" w:hAnsi="楷体" w:eastAsia="楷体" w:cs="宋体"/>
          <w:color w:val="000000"/>
          <w:sz w:val="18"/>
          <w:szCs w:val="18"/>
        </w:rPr>
      </w:pPr>
      <w:r>
        <w:rPr>
          <w:rFonts w:hint="eastAsia" w:ascii="楷体" w:hAnsi="楷体" w:eastAsia="楷体" w:cs="宋体"/>
          <w:color w:val="000000"/>
          <w:sz w:val="18"/>
          <w:szCs w:val="18"/>
        </w:rPr>
        <w:t>单位：人民币万元</w:t>
      </w:r>
    </w:p>
    <w:tbl>
      <w:tblPr>
        <w:tblStyle w:val="7"/>
        <w:tblW w:w="9327" w:type="dxa"/>
        <w:tblInd w:w="0" w:type="dxa"/>
        <w:tblLayout w:type="fixed"/>
        <w:tblCellMar>
          <w:top w:w="0" w:type="dxa"/>
          <w:left w:w="108" w:type="dxa"/>
          <w:bottom w:w="0" w:type="dxa"/>
          <w:right w:w="108" w:type="dxa"/>
        </w:tblCellMar>
      </w:tblPr>
      <w:tblGrid>
        <w:gridCol w:w="2122"/>
        <w:gridCol w:w="2401"/>
        <w:gridCol w:w="2402"/>
        <w:gridCol w:w="2402"/>
      </w:tblGrid>
      <w:tr>
        <w:tblPrEx>
          <w:tblCellMar>
            <w:top w:w="0" w:type="dxa"/>
            <w:left w:w="108" w:type="dxa"/>
            <w:bottom w:w="0" w:type="dxa"/>
            <w:right w:w="108" w:type="dxa"/>
          </w:tblCellMar>
        </w:tblPrEx>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年度</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2025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2026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合计</w:t>
            </w:r>
          </w:p>
        </w:tc>
      </w:tr>
      <w:tr>
        <w:tblPrEx>
          <w:tblCellMar>
            <w:top w:w="0" w:type="dxa"/>
            <w:left w:w="108" w:type="dxa"/>
            <w:bottom w:w="0" w:type="dxa"/>
            <w:right w:w="108" w:type="dxa"/>
          </w:tblCellMar>
        </w:tblPrEx>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left"/>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资金筹措</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18"/>
                <w:szCs w:val="18"/>
                <w14:textFill>
                  <w14:solidFill>
                    <w14:schemeClr w14:val="tx1"/>
                  </w14:solidFill>
                </w14:textFill>
              </w:rPr>
            </w:pPr>
            <w:r>
              <w:rPr>
                <w:rFonts w:hint="eastAsia" w:ascii="楷体" w:hAnsi="楷体" w:eastAsia="楷体" w:cs="宋体"/>
                <w:color w:val="000000" w:themeColor="text1"/>
                <w:kern w:val="0"/>
                <w:sz w:val="18"/>
                <w:szCs w:val="18"/>
                <w14:textFill>
                  <w14:solidFill>
                    <w14:schemeClr w14:val="tx1"/>
                  </w14:solidFill>
                </w14:textFill>
              </w:rPr>
              <w:t>自筹资金</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45,348.90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91,696.80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w:t>
            </w:r>
            <w:bookmarkStart w:id="6" w:name="OLE_LINK1"/>
            <w:r>
              <w:rPr>
                <w:rFonts w:hint="eastAsia" w:ascii="楷体" w:hAnsi="楷体" w:eastAsia="楷体" w:cs="宋体"/>
                <w:b/>
                <w:bCs/>
                <w:color w:val="000000" w:themeColor="text1"/>
                <w:kern w:val="0"/>
                <w:sz w:val="20"/>
                <w:szCs w:val="20"/>
                <w14:textFill>
                  <w14:solidFill>
                    <w14:schemeClr w14:val="tx1"/>
                  </w14:solidFill>
                </w14:textFill>
              </w:rPr>
              <w:t>137,045.70</w:t>
            </w:r>
            <w:bookmarkEnd w:id="6"/>
            <w:r>
              <w:rPr>
                <w:rFonts w:hint="eastAsia" w:ascii="楷体" w:hAnsi="楷体" w:eastAsia="楷体" w:cs="宋体"/>
                <w:b/>
                <w:bCs/>
                <w:color w:val="000000" w:themeColor="text1"/>
                <w:kern w:val="0"/>
                <w:sz w:val="20"/>
                <w:szCs w:val="20"/>
                <w14:textFill>
                  <w14:solidFill>
                    <w14:schemeClr w14:val="tx1"/>
                  </w14:solidFill>
                </w14:textFill>
              </w:rPr>
              <w:t xml:space="preserve"> </w:t>
            </w:r>
          </w:p>
        </w:tc>
      </w:tr>
      <w:tr>
        <w:tblPrEx>
          <w:tblCellMar>
            <w:top w:w="0" w:type="dxa"/>
            <w:left w:w="108" w:type="dxa"/>
            <w:bottom w:w="0" w:type="dxa"/>
            <w:right w:w="108" w:type="dxa"/>
          </w:tblCellMar>
        </w:tblPrEx>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18"/>
                <w:szCs w:val="18"/>
                <w14:textFill>
                  <w14:solidFill>
                    <w14:schemeClr w14:val="tx1"/>
                  </w14:solidFill>
                </w14:textFill>
              </w:rPr>
            </w:pPr>
            <w:r>
              <w:rPr>
                <w:rFonts w:hint="eastAsia" w:ascii="楷体" w:hAnsi="楷体" w:eastAsia="楷体" w:cs="宋体"/>
                <w:color w:val="000000" w:themeColor="text1"/>
                <w:kern w:val="0"/>
                <w:sz w:val="18"/>
                <w:szCs w:val="18"/>
                <w14:textFill>
                  <w14:solidFill>
                    <w14:schemeClr w14:val="tx1"/>
                  </w14:solidFill>
                </w14:textFill>
              </w:rPr>
              <w:t>专项债券</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500.00 </w:t>
            </w:r>
          </w:p>
        </w:tc>
      </w:tr>
      <w:tr>
        <w:tblPrEx>
          <w:tblCellMar>
            <w:top w:w="0" w:type="dxa"/>
            <w:left w:w="108" w:type="dxa"/>
            <w:bottom w:w="0" w:type="dxa"/>
            <w:right w:w="108" w:type="dxa"/>
          </w:tblCellMar>
        </w:tblPrEx>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left"/>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合计</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45,848.90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91,696.80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137,545.70 </w:t>
            </w:r>
          </w:p>
        </w:tc>
      </w:tr>
      <w:tr>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left"/>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资金使用</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left"/>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建设资金使用金额合计</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45,848.90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91,696.80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137,545.70 </w:t>
            </w:r>
          </w:p>
        </w:tc>
      </w:tr>
      <w:tr>
        <w:tblPrEx>
          <w:tblCellMar>
            <w:top w:w="0" w:type="dxa"/>
            <w:left w:w="108" w:type="dxa"/>
            <w:bottom w:w="0" w:type="dxa"/>
            <w:right w:w="108" w:type="dxa"/>
          </w:tblCellMar>
        </w:tblPrEx>
        <w:trPr>
          <w:trHeight w:val="304"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after="0" w:line="240" w:lineRule="auto"/>
              <w:jc w:val="left"/>
              <w:rPr>
                <w:rFonts w:ascii="楷体" w:hAnsi="楷体" w:eastAsia="楷体" w:cs="宋体"/>
                <w:b/>
                <w:bCs/>
                <w:color w:val="000000" w:themeColor="text1"/>
                <w:kern w:val="0"/>
                <w:sz w:val="18"/>
                <w:szCs w:val="18"/>
                <w14:textFill>
                  <w14:solidFill>
                    <w14:schemeClr w14:val="tx1"/>
                  </w14:solidFill>
                </w14:textFill>
              </w:rPr>
            </w:pPr>
            <w:r>
              <w:rPr>
                <w:rFonts w:hint="eastAsia" w:ascii="楷体" w:hAnsi="楷体" w:eastAsia="楷体" w:cs="宋体"/>
                <w:b/>
                <w:bCs/>
                <w:color w:val="000000" w:themeColor="text1"/>
                <w:kern w:val="0"/>
                <w:sz w:val="18"/>
                <w:szCs w:val="18"/>
                <w14:textFill>
                  <w14:solidFill>
                    <w14:schemeClr w14:val="tx1"/>
                  </w14:solidFill>
                </w14:textFill>
              </w:rPr>
              <w:t>资金余额</w:t>
            </w:r>
          </w:p>
        </w:tc>
        <w:tc>
          <w:tcPr>
            <w:tcW w:w="240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spacing w:after="0" w:line="240" w:lineRule="auto"/>
              <w:jc w:val="righ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r>
    </w:tbl>
    <w:p>
      <w:pPr>
        <w:spacing w:after="0" w:line="360" w:lineRule="auto"/>
        <w:ind w:right="105" w:firstLine="402"/>
        <w:jc w:val="center"/>
        <w:rPr>
          <w:rFonts w:ascii="楷体" w:hAnsi="楷体" w:eastAsia="楷体" w:cs="宋体"/>
          <w:color w:val="000000"/>
          <w:sz w:val="20"/>
          <w:szCs w:val="20"/>
        </w:rPr>
      </w:pPr>
    </w:p>
    <w:p>
      <w:pPr>
        <w:widowControl/>
        <w:spacing w:after="0" w:line="240" w:lineRule="auto"/>
        <w:jc w:val="left"/>
        <w:rPr>
          <w:rFonts w:ascii="楷体" w:hAnsi="楷体" w:eastAsia="楷体" w:cs="宋体"/>
          <w:b/>
          <w:bCs/>
          <w:sz w:val="24"/>
          <w:szCs w:val="24"/>
        </w:rPr>
      </w:pPr>
      <w:r>
        <w:rPr>
          <w:rFonts w:ascii="楷体" w:hAnsi="楷体" w:eastAsia="楷体" w:cs="宋体"/>
          <w:b/>
          <w:bCs/>
          <w:sz w:val="24"/>
          <w:szCs w:val="24"/>
        </w:rPr>
        <w:br w:type="page"/>
      </w:r>
    </w:p>
    <w:p>
      <w:pPr>
        <w:widowControl/>
        <w:spacing w:after="0" w:line="240" w:lineRule="auto"/>
        <w:ind w:firstLine="480"/>
        <w:jc w:val="left"/>
        <w:rPr>
          <w:rFonts w:ascii="楷体" w:hAnsi="楷体" w:eastAsia="楷体" w:cs="宋体"/>
          <w:b/>
          <w:bCs/>
          <w:sz w:val="24"/>
          <w:szCs w:val="24"/>
        </w:rPr>
        <w:sectPr>
          <w:pgSz w:w="11906" w:h="16838"/>
          <w:pgMar w:top="1440" w:right="1797" w:bottom="1440" w:left="1797" w:header="851" w:footer="992" w:gutter="0"/>
          <w:cols w:space="425" w:num="1"/>
          <w:docGrid w:type="lines" w:linePitch="312" w:charSpace="0"/>
        </w:sectPr>
      </w:pPr>
    </w:p>
    <w:p>
      <w:pPr>
        <w:widowControl/>
        <w:spacing w:after="0" w:line="240" w:lineRule="auto"/>
        <w:jc w:val="center"/>
        <w:rPr>
          <w:rFonts w:ascii="楷体" w:hAnsi="楷体" w:eastAsia="楷体" w:cs="宋体"/>
          <w:b/>
          <w:bCs/>
          <w:sz w:val="24"/>
          <w:szCs w:val="24"/>
        </w:rPr>
      </w:pPr>
      <w:r>
        <w:rPr>
          <w:rFonts w:hint="eastAsia" w:ascii="楷体" w:hAnsi="楷体" w:eastAsia="楷体" w:cs="宋体"/>
          <w:b/>
          <w:bCs/>
          <w:sz w:val="24"/>
          <w:szCs w:val="24"/>
        </w:rPr>
        <w:t>表5 项目现金流模拟测算表</w:t>
      </w:r>
    </w:p>
    <w:p>
      <w:pPr>
        <w:spacing w:after="0" w:line="360" w:lineRule="auto"/>
        <w:ind w:right="208" w:firstLine="361"/>
        <w:jc w:val="right"/>
        <w:rPr>
          <w:rFonts w:ascii="楷体" w:hAnsi="楷体" w:eastAsia="楷体" w:cs="宋体"/>
          <w:color w:val="000000"/>
          <w:sz w:val="18"/>
          <w:szCs w:val="18"/>
        </w:rPr>
      </w:pPr>
      <w:r>
        <w:rPr>
          <w:rFonts w:hint="eastAsia" w:ascii="楷体" w:hAnsi="楷体" w:eastAsia="楷体" w:cs="宋体"/>
          <w:color w:val="000000"/>
          <w:sz w:val="18"/>
          <w:szCs w:val="18"/>
        </w:rPr>
        <w:t>单位：人民币万元</w:t>
      </w:r>
    </w:p>
    <w:tbl>
      <w:tblPr>
        <w:tblStyle w:val="7"/>
        <w:tblW w:w="13551" w:type="dxa"/>
        <w:tblInd w:w="0" w:type="dxa"/>
        <w:tblLayout w:type="fixed"/>
        <w:tblCellMar>
          <w:top w:w="0" w:type="dxa"/>
          <w:left w:w="108" w:type="dxa"/>
          <w:bottom w:w="0" w:type="dxa"/>
          <w:right w:w="108" w:type="dxa"/>
        </w:tblCellMar>
      </w:tblPr>
      <w:tblGrid>
        <w:gridCol w:w="2542"/>
        <w:gridCol w:w="2201"/>
        <w:gridCol w:w="2202"/>
        <w:gridCol w:w="2202"/>
        <w:gridCol w:w="2202"/>
        <w:gridCol w:w="2202"/>
      </w:tblGrid>
      <w:tr>
        <w:tblPrEx>
          <w:tblCellMar>
            <w:top w:w="0" w:type="dxa"/>
            <w:left w:w="108" w:type="dxa"/>
            <w:bottom w:w="0" w:type="dxa"/>
            <w:right w:w="108" w:type="dxa"/>
          </w:tblCellMar>
        </w:tblPrEx>
        <w:trPr>
          <w:trHeight w:val="299" w:hRule="atLeast"/>
        </w:trPr>
        <w:tc>
          <w:tcPr>
            <w:tcW w:w="2542"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年度</w:t>
            </w:r>
          </w:p>
        </w:tc>
        <w:tc>
          <w:tcPr>
            <w:tcW w:w="2201"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2025</w:t>
            </w:r>
          </w:p>
        </w:tc>
        <w:tc>
          <w:tcPr>
            <w:tcW w:w="2202"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2026</w:t>
            </w:r>
          </w:p>
        </w:tc>
        <w:tc>
          <w:tcPr>
            <w:tcW w:w="2202"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2027</w:t>
            </w:r>
          </w:p>
        </w:tc>
        <w:tc>
          <w:tcPr>
            <w:tcW w:w="2202"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2028</w:t>
            </w:r>
          </w:p>
        </w:tc>
        <w:tc>
          <w:tcPr>
            <w:tcW w:w="2202"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2029</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现金流入</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自筹资金流入</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45,348.90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91,696.80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债券资金流入</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500.00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运营期现金流入</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1,362.96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现金流入总额</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45,848.90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91,696.80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1,362.96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21.60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21.60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现金流出</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建设期资金流出</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45,844.00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91,688.00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运营期现金流出</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337.50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债券发行费用</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0.50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债券还本付息</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4.40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现金流出总额</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45,848.90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91,696.80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346.30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现金净流量</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当年项目现金净流入</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1,016.66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12.80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12.80 </w:t>
            </w:r>
          </w:p>
        </w:tc>
      </w:tr>
      <w:tr>
        <w:tblPrEx>
          <w:tblCellMar>
            <w:top w:w="0" w:type="dxa"/>
            <w:left w:w="108" w:type="dxa"/>
            <w:bottom w:w="0" w:type="dxa"/>
            <w:right w:w="108" w:type="dxa"/>
          </w:tblCellMar>
        </w:tblPrEx>
        <w:trPr>
          <w:trHeight w:val="299"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期末项目累计现金结存额</w:t>
            </w:r>
          </w:p>
        </w:tc>
        <w:tc>
          <w:tcPr>
            <w:tcW w:w="2201"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1,016.66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1,029.46 </w:t>
            </w:r>
          </w:p>
        </w:tc>
        <w:tc>
          <w:tcPr>
            <w:tcW w:w="220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1,042.26 </w:t>
            </w:r>
          </w:p>
        </w:tc>
      </w:tr>
    </w:tbl>
    <w:p>
      <w:pPr>
        <w:widowControl/>
        <w:spacing w:after="0" w:line="240" w:lineRule="auto"/>
        <w:ind w:right="-320" w:firstLine="402"/>
        <w:jc w:val="right"/>
        <w:rPr>
          <w:rFonts w:ascii="楷体" w:hAnsi="楷体" w:eastAsia="楷体" w:cs="华文宋体"/>
          <w:color w:val="000000"/>
          <w:kern w:val="0"/>
          <w:sz w:val="20"/>
          <w:szCs w:val="20"/>
        </w:rPr>
      </w:pPr>
    </w:p>
    <w:p>
      <w:pPr>
        <w:widowControl/>
        <w:spacing w:after="0" w:line="240" w:lineRule="auto"/>
        <w:ind w:right="-574" w:firstLine="402"/>
        <w:jc w:val="right"/>
        <w:rPr>
          <w:rFonts w:ascii="楷体" w:hAnsi="楷体" w:eastAsia="楷体" w:cs="华文宋体"/>
          <w:color w:val="000000"/>
          <w:kern w:val="0"/>
          <w:sz w:val="20"/>
          <w:szCs w:val="20"/>
        </w:rPr>
      </w:pPr>
    </w:p>
    <w:p>
      <w:pPr>
        <w:widowControl/>
        <w:jc w:val="left"/>
        <w:rPr>
          <w:rFonts w:ascii="楷体" w:hAnsi="楷体" w:eastAsia="楷体" w:cs="华文宋体"/>
          <w:color w:val="000000"/>
          <w:kern w:val="0"/>
          <w:sz w:val="24"/>
          <w:szCs w:val="24"/>
        </w:rPr>
      </w:pPr>
      <w:r>
        <w:rPr>
          <w:rFonts w:hint="eastAsia" w:ascii="楷体" w:hAnsi="楷体" w:eastAsia="楷体" w:cs="华文宋体"/>
          <w:color w:val="000000"/>
          <w:kern w:val="0"/>
          <w:sz w:val="24"/>
          <w:szCs w:val="24"/>
        </w:rPr>
        <w:br w:type="page"/>
      </w:r>
    </w:p>
    <w:p>
      <w:pPr>
        <w:widowControl/>
        <w:spacing w:after="0" w:line="240" w:lineRule="auto"/>
        <w:jc w:val="center"/>
        <w:rPr>
          <w:rFonts w:ascii="楷体" w:hAnsi="楷体" w:eastAsia="楷体" w:cs="华文宋体"/>
          <w:b/>
          <w:color w:val="000000"/>
          <w:kern w:val="0"/>
          <w:sz w:val="24"/>
          <w:szCs w:val="24"/>
        </w:rPr>
      </w:pPr>
      <w:r>
        <w:rPr>
          <w:rFonts w:hint="eastAsia" w:ascii="楷体" w:hAnsi="楷体" w:eastAsia="楷体" w:cs="华文宋体"/>
          <w:b/>
          <w:color w:val="000000"/>
          <w:kern w:val="0"/>
          <w:sz w:val="24"/>
          <w:szCs w:val="24"/>
        </w:rPr>
        <w:t>表5项目现金流平衡表（续）</w:t>
      </w:r>
    </w:p>
    <w:p>
      <w:pPr>
        <w:widowControl/>
        <w:spacing w:after="0" w:line="240" w:lineRule="auto"/>
        <w:ind w:right="491" w:firstLine="402"/>
        <w:jc w:val="right"/>
        <w:rPr>
          <w:rFonts w:ascii="楷体" w:hAnsi="楷体" w:eastAsia="楷体" w:cs="华文宋体"/>
          <w:color w:val="000000"/>
          <w:kern w:val="0"/>
          <w:sz w:val="20"/>
          <w:szCs w:val="20"/>
        </w:rPr>
      </w:pPr>
      <w:r>
        <w:rPr>
          <w:rFonts w:hint="eastAsia" w:ascii="楷体" w:hAnsi="楷体" w:eastAsia="楷体" w:cs="华文宋体"/>
          <w:color w:val="000000"/>
          <w:kern w:val="0"/>
          <w:sz w:val="20"/>
          <w:szCs w:val="20"/>
        </w:rPr>
        <w:t>单位： 人民币万元</w:t>
      </w:r>
    </w:p>
    <w:tbl>
      <w:tblPr>
        <w:tblStyle w:val="7"/>
        <w:tblW w:w="13598" w:type="dxa"/>
        <w:tblInd w:w="0" w:type="dxa"/>
        <w:tblLayout w:type="fixed"/>
        <w:tblCellMar>
          <w:top w:w="0" w:type="dxa"/>
          <w:left w:w="108" w:type="dxa"/>
          <w:bottom w:w="0" w:type="dxa"/>
          <w:right w:w="108" w:type="dxa"/>
        </w:tblCellMar>
      </w:tblPr>
      <w:tblGrid>
        <w:gridCol w:w="2542"/>
        <w:gridCol w:w="1579"/>
        <w:gridCol w:w="1579"/>
        <w:gridCol w:w="1580"/>
        <w:gridCol w:w="1579"/>
        <w:gridCol w:w="1580"/>
        <w:gridCol w:w="1579"/>
        <w:gridCol w:w="1580"/>
      </w:tblGrid>
      <w:tr>
        <w:trPr>
          <w:trHeight w:val="312" w:hRule="atLeast"/>
        </w:trPr>
        <w:tc>
          <w:tcPr>
            <w:tcW w:w="2542"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年度</w:t>
            </w:r>
          </w:p>
        </w:tc>
        <w:tc>
          <w:tcPr>
            <w:tcW w:w="1579"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2030</w:t>
            </w:r>
          </w:p>
        </w:tc>
        <w:tc>
          <w:tcPr>
            <w:tcW w:w="1579"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2031</w:t>
            </w:r>
          </w:p>
        </w:tc>
        <w:tc>
          <w:tcPr>
            <w:tcW w:w="158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2032</w:t>
            </w:r>
          </w:p>
        </w:tc>
        <w:tc>
          <w:tcPr>
            <w:tcW w:w="1579"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2033</w:t>
            </w:r>
          </w:p>
        </w:tc>
        <w:tc>
          <w:tcPr>
            <w:tcW w:w="158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2034</w:t>
            </w:r>
          </w:p>
        </w:tc>
        <w:tc>
          <w:tcPr>
            <w:tcW w:w="1579"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2035</w:t>
            </w:r>
          </w:p>
        </w:tc>
        <w:tc>
          <w:tcPr>
            <w:tcW w:w="158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合计</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现金流入</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自筹资金流入</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137,045.70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债券资金流入</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500.00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运营期现金流入</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21.60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1,535.76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现金流入总额</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21.60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21.60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21.60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21.60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21.60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21.60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139,081.46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现金流出</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建设期资金流出</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137,532.00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运营期现金流出</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337.50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债券发行费用</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0.50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债券还本付息</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8.80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 xml:space="preserve"> 504.40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 588.00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现金流出总额</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8.80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504.40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138,458.00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现金净流量</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当年项目现金净流入</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12.80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12.80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12.80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12.80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12.80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-482.80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623.46 </w:t>
            </w:r>
          </w:p>
        </w:tc>
      </w:tr>
      <w:tr>
        <w:tblPrEx>
          <w:tblCellMar>
            <w:top w:w="0" w:type="dxa"/>
            <w:left w:w="108" w:type="dxa"/>
            <w:bottom w:w="0" w:type="dxa"/>
            <w:right w:w="108" w:type="dxa"/>
          </w:tblCellMar>
        </w:tblPrEx>
        <w:trPr>
          <w:trHeight w:val="312" w:hRule="atLeast"/>
        </w:trPr>
        <w:tc>
          <w:tcPr>
            <w:tcW w:w="2542"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期末项目累计现金结存额</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1,055.06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1,067.86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1,080.66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1,093.46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1,106.26 </w:t>
            </w:r>
          </w:p>
        </w:tc>
        <w:tc>
          <w:tcPr>
            <w:tcW w:w="1579"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 xml:space="preserve">623.46 </w:t>
            </w:r>
          </w:p>
        </w:tc>
        <w:tc>
          <w:tcPr>
            <w:tcW w:w="1580"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right"/>
              <w:rPr>
                <w:rFonts w:hint="eastAsia" w:ascii="楷体" w:hAnsi="楷体" w:eastAsia="楷体" w:cs="宋体"/>
                <w:b/>
                <w:bCs/>
                <w:color w:val="000000" w:themeColor="text1"/>
                <w:kern w:val="0"/>
                <w:sz w:val="20"/>
                <w:szCs w:val="20"/>
                <w14:textFill>
                  <w14:solidFill>
                    <w14:schemeClr w14:val="tx1"/>
                  </w14:solidFill>
                </w14:textFill>
              </w:rPr>
            </w:pPr>
          </w:p>
        </w:tc>
      </w:tr>
    </w:tbl>
    <w:p>
      <w:pPr>
        <w:widowControl/>
        <w:spacing w:before="120" w:after="120" w:line="360" w:lineRule="auto"/>
        <w:ind w:firstLine="482"/>
        <w:rPr>
          <w:rFonts w:ascii="楷体" w:hAnsi="楷体" w:eastAsia="楷体" w:cs="华文宋体"/>
          <w:color w:val="000000"/>
          <w:kern w:val="0"/>
          <w:sz w:val="24"/>
          <w:szCs w:val="24"/>
        </w:rPr>
      </w:pPr>
    </w:p>
    <w:p>
      <w:pPr>
        <w:widowControl/>
        <w:spacing w:after="0" w:line="240" w:lineRule="auto"/>
        <w:jc w:val="left"/>
        <w:rPr>
          <w:rFonts w:ascii="楷体" w:hAnsi="楷体" w:eastAsia="楷体" w:cs="华文宋体"/>
          <w:b/>
          <w:color w:val="000000"/>
          <w:kern w:val="0"/>
          <w:sz w:val="24"/>
          <w:szCs w:val="24"/>
        </w:rPr>
      </w:pPr>
      <w:r>
        <w:rPr>
          <w:rFonts w:ascii="楷体" w:hAnsi="楷体" w:eastAsia="楷体" w:cs="宋体"/>
          <w:sz w:val="24"/>
          <w:szCs w:val="24"/>
        </w:rPr>
        <w:br w:type="page"/>
      </w:r>
    </w:p>
    <w:p>
      <w:pPr>
        <w:spacing w:after="0" w:line="360" w:lineRule="auto"/>
        <w:ind w:firstLine="361"/>
        <w:rPr>
          <w:rFonts w:ascii="楷体" w:hAnsi="楷体" w:eastAsia="楷体" w:cs="宋体"/>
          <w:color w:val="000000"/>
          <w:sz w:val="18"/>
          <w:szCs w:val="18"/>
        </w:rPr>
        <w:sectPr>
          <w:pgSz w:w="16838" w:h="11906" w:orient="landscape"/>
          <w:pgMar w:top="1797" w:right="1440" w:bottom="1797" w:left="1440" w:header="851" w:footer="992" w:gutter="0"/>
          <w:cols w:space="425" w:num="1"/>
          <w:docGrid w:type="linesAndChars" w:linePitch="312" w:charSpace="0"/>
        </w:sectPr>
      </w:pPr>
    </w:p>
    <w:p>
      <w:pPr>
        <w:spacing w:after="0" w:line="360" w:lineRule="auto"/>
        <w:rPr>
          <w:rFonts w:ascii="楷体" w:hAnsi="楷体" w:eastAsia="楷体" w:cs="宋体"/>
          <w:sz w:val="24"/>
          <w:szCs w:val="24"/>
          <w:lang w:val="en-GB"/>
        </w:rPr>
      </w:pPr>
      <w:r>
        <w:rPr>
          <w:rFonts w:hint="eastAsia" w:ascii="楷体" w:hAnsi="楷体" w:eastAsia="楷体" w:cs="宋体"/>
          <w:sz w:val="24"/>
          <w:szCs w:val="24"/>
        </w:rPr>
        <w:t xml:space="preserve">    </w:t>
      </w:r>
      <w:r>
        <w:rPr>
          <w:rFonts w:hint="eastAsia" w:ascii="楷体" w:hAnsi="楷体" w:eastAsia="楷体" w:cs="宋体"/>
          <w:sz w:val="24"/>
          <w:szCs w:val="24"/>
          <w:lang w:val="en-GB"/>
        </w:rPr>
        <w:t>基于以上投资计划、资金筹措安排，未发现建设期内所需建设资金存在缺口的情况，且各项目每年资金余额为正值，满足项目自身收益还本付息的前提下，仍有富余资金，显示项目具备一定的盈利能力、偿债能力和可持续性。</w:t>
      </w:r>
      <w:bookmarkStart w:id="7" w:name="_Toc38490438"/>
    </w:p>
    <w:p>
      <w:pPr>
        <w:spacing w:after="0" w:line="360" w:lineRule="auto"/>
        <w:ind w:firstLine="482" w:firstLineChars="200"/>
        <w:rPr>
          <w:rFonts w:ascii="楷体" w:hAnsi="楷体" w:eastAsia="楷体" w:cs="宋体"/>
          <w:b/>
          <w:color w:val="000000"/>
          <w:sz w:val="24"/>
          <w:szCs w:val="24"/>
        </w:rPr>
      </w:pPr>
      <w:r>
        <w:rPr>
          <w:rFonts w:hint="eastAsia" w:ascii="楷体" w:hAnsi="楷体" w:eastAsia="楷体" w:cs="宋体"/>
          <w:b/>
          <w:color w:val="000000"/>
          <w:sz w:val="24"/>
          <w:szCs w:val="24"/>
        </w:rPr>
        <w:t>4、小结</w:t>
      </w:r>
      <w:bookmarkEnd w:id="7"/>
    </w:p>
    <w:p>
      <w:pPr>
        <w:spacing w:after="0" w:line="360" w:lineRule="auto"/>
        <w:ind w:firstLine="482"/>
        <w:rPr>
          <w:rFonts w:ascii="楷体" w:hAnsi="楷体" w:eastAsia="楷体" w:cs="宋体"/>
          <w:color w:val="000000"/>
          <w:sz w:val="24"/>
          <w:szCs w:val="24"/>
        </w:rPr>
      </w:pPr>
      <w:r>
        <w:rPr>
          <w:rFonts w:hint="eastAsia" w:ascii="楷体" w:hAnsi="楷体" w:eastAsia="楷体" w:cs="宋体"/>
          <w:color w:val="000000"/>
          <w:sz w:val="24"/>
          <w:szCs w:val="24"/>
        </w:rPr>
        <w:t>综上，在本期专项债券存续期内，未注意到相关项目资金出现不能满足还本付息要求的情况。</w:t>
      </w:r>
    </w:p>
    <w:p>
      <w:pPr>
        <w:spacing w:after="0" w:line="360" w:lineRule="auto"/>
        <w:ind w:firstLine="482" w:firstLineChars="200"/>
        <w:outlineLvl w:val="0"/>
        <w:rPr>
          <w:rFonts w:ascii="楷体" w:hAnsi="楷体" w:eastAsia="楷体" w:cs="宋体"/>
          <w:b/>
          <w:sz w:val="24"/>
          <w:szCs w:val="24"/>
        </w:rPr>
      </w:pPr>
      <w:bookmarkStart w:id="8" w:name="_Toc38490439"/>
      <w:r>
        <w:rPr>
          <w:rFonts w:hint="eastAsia" w:ascii="楷体" w:hAnsi="楷体" w:eastAsia="楷体" w:cs="宋体"/>
          <w:b/>
          <w:sz w:val="24"/>
          <w:szCs w:val="24"/>
        </w:rPr>
        <w:t>（二）资金稳定性</w:t>
      </w:r>
      <w:bookmarkEnd w:id="8"/>
    </w:p>
    <w:p>
      <w:pPr>
        <w:spacing w:before="120" w:after="120" w:line="360" w:lineRule="auto"/>
        <w:ind w:firstLine="454"/>
        <w:rPr>
          <w:rFonts w:ascii="楷体" w:hAnsi="楷体" w:eastAsia="楷体" w:cs="华文宋体"/>
          <w:color w:val="000000"/>
          <w:sz w:val="24"/>
          <w:szCs w:val="24"/>
        </w:rPr>
      </w:pPr>
      <w:r>
        <w:rPr>
          <w:rFonts w:hint="eastAsia" w:ascii="楷体" w:hAnsi="楷体" w:eastAsia="楷体" w:cs="华文宋体"/>
          <w:color w:val="000000"/>
          <w:sz w:val="24"/>
          <w:szCs w:val="24"/>
        </w:rPr>
        <w:t>本项目专项债券还本付息以项目土地出让收入与停车位收入为基础，具体情况如下：</w:t>
      </w:r>
    </w:p>
    <w:p>
      <w:pPr>
        <w:spacing w:before="120" w:after="120" w:line="360" w:lineRule="auto"/>
        <w:ind w:firstLine="454"/>
        <w:rPr>
          <w:rFonts w:ascii="楷体" w:hAnsi="楷体" w:eastAsia="楷体"/>
          <w:color w:val="000000"/>
          <w:sz w:val="24"/>
          <w:szCs w:val="24"/>
        </w:rPr>
      </w:pPr>
      <w:r>
        <w:rPr>
          <w:rFonts w:hint="eastAsia" w:ascii="楷体" w:hAnsi="楷体" w:eastAsia="楷体"/>
          <w:color w:val="000000"/>
          <w:sz w:val="24"/>
          <w:szCs w:val="24"/>
        </w:rPr>
        <w:t>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期专项债券的项目偿债的土地出让情况见下表：</w:t>
      </w:r>
    </w:p>
    <w:p>
      <w:pPr>
        <w:spacing w:before="100" w:beforeAutospacing="1" w:line="254" w:lineRule="auto"/>
        <w:ind w:right="-999"/>
        <w:jc w:val="center"/>
        <w:rPr>
          <w:rFonts w:ascii="楷体" w:hAnsi="楷体" w:eastAsia="楷体"/>
          <w:b/>
          <w:color w:val="000000"/>
          <w:sz w:val="24"/>
          <w:szCs w:val="24"/>
        </w:rPr>
      </w:pPr>
      <w:r>
        <w:rPr>
          <w:rFonts w:hint="eastAsia" w:ascii="楷体" w:hAnsi="楷体" w:eastAsia="楷体"/>
          <w:b/>
          <w:color w:val="000000"/>
          <w:sz w:val="24"/>
          <w:szCs w:val="24"/>
        </w:rPr>
        <w:t>表6土地出让情况表</w:t>
      </w:r>
    </w:p>
    <w:p>
      <w:pPr>
        <w:spacing w:before="100" w:beforeAutospacing="1" w:line="254" w:lineRule="auto"/>
        <w:ind w:right="-432"/>
        <w:jc w:val="right"/>
        <w:rPr>
          <w:rFonts w:ascii="楷体" w:hAnsi="楷体" w:eastAsia="楷体"/>
          <w:sz w:val="20"/>
          <w:szCs w:val="20"/>
        </w:rPr>
      </w:pPr>
      <w:r>
        <w:rPr>
          <w:rFonts w:hint="eastAsia" w:ascii="楷体" w:hAnsi="楷体" w:eastAsia="楷体"/>
          <w:sz w:val="20"/>
          <w:szCs w:val="20"/>
        </w:rPr>
        <w:t>单位：人民币万元</w:t>
      </w:r>
    </w:p>
    <w:tbl>
      <w:tblPr>
        <w:tblStyle w:val="7"/>
        <w:tblW w:w="11146" w:type="dxa"/>
        <w:jc w:val="center"/>
        <w:tblLayout w:type="fixed"/>
        <w:tblCellMar>
          <w:top w:w="0" w:type="dxa"/>
          <w:left w:w="108" w:type="dxa"/>
          <w:bottom w:w="0" w:type="dxa"/>
          <w:right w:w="108" w:type="dxa"/>
        </w:tblCellMar>
      </w:tblPr>
      <w:tblGrid>
        <w:gridCol w:w="1730"/>
        <w:gridCol w:w="1854"/>
        <w:gridCol w:w="1512"/>
        <w:gridCol w:w="1512"/>
        <w:gridCol w:w="1512"/>
        <w:gridCol w:w="1513"/>
        <w:gridCol w:w="1513"/>
      </w:tblGrid>
      <w:tr>
        <w:tblPrEx>
          <w:tblCellMar>
            <w:top w:w="0" w:type="dxa"/>
            <w:left w:w="108" w:type="dxa"/>
            <w:bottom w:w="0" w:type="dxa"/>
            <w:right w:w="108" w:type="dxa"/>
          </w:tblCellMar>
        </w:tblPrEx>
        <w:trPr>
          <w:trHeight w:val="597" w:hRule="atLeast"/>
          <w:jc w:val="center"/>
        </w:trPr>
        <w:tc>
          <w:tcPr>
            <w:tcW w:w="1730" w:type="dxa"/>
            <w:tcBorders>
              <w:top w:val="single" w:color="000000" w:sz="4" w:space="0"/>
              <w:left w:val="single" w:color="000000" w:sz="4" w:space="0"/>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bookmarkStart w:id="9" w:name="_Hlk178255621"/>
            <w:r>
              <w:rPr>
                <w:rFonts w:hint="eastAsia" w:ascii="楷体" w:hAnsi="楷体" w:eastAsia="楷体"/>
                <w:b/>
                <w:bCs/>
                <w:color w:val="FFFFFF"/>
                <w:sz w:val="24"/>
                <w:szCs w:val="24"/>
              </w:rPr>
              <w:t>项目名称</w:t>
            </w:r>
            <w:bookmarkEnd w:id="9"/>
          </w:p>
        </w:tc>
        <w:tc>
          <w:tcPr>
            <w:tcW w:w="1854" w:type="dxa"/>
            <w:tcBorders>
              <w:top w:val="single" w:color="000000" w:sz="4" w:space="0"/>
              <w:left w:val="nil"/>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r>
              <w:rPr>
                <w:rFonts w:hint="eastAsia" w:ascii="楷体" w:hAnsi="楷体" w:eastAsia="楷体"/>
                <w:b/>
                <w:bCs/>
                <w:color w:val="FFFFFF"/>
                <w:sz w:val="24"/>
                <w:szCs w:val="24"/>
              </w:rPr>
              <w:t>地块编号</w:t>
            </w:r>
          </w:p>
        </w:tc>
        <w:tc>
          <w:tcPr>
            <w:tcW w:w="1512" w:type="dxa"/>
            <w:tcBorders>
              <w:top w:val="single" w:color="000000" w:sz="4" w:space="0"/>
              <w:left w:val="nil"/>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r>
              <w:rPr>
                <w:rFonts w:hint="eastAsia" w:ascii="楷体" w:hAnsi="楷体" w:eastAsia="楷体"/>
                <w:b/>
                <w:bCs/>
                <w:color w:val="FFFFFF"/>
                <w:sz w:val="24"/>
                <w:szCs w:val="24"/>
              </w:rPr>
              <w:t>面积（亩）</w:t>
            </w:r>
          </w:p>
        </w:tc>
        <w:tc>
          <w:tcPr>
            <w:tcW w:w="1512" w:type="dxa"/>
            <w:tcBorders>
              <w:top w:val="single" w:color="000000" w:sz="4" w:space="0"/>
              <w:left w:val="nil"/>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r>
              <w:rPr>
                <w:rFonts w:hint="eastAsia" w:ascii="楷体" w:hAnsi="楷体" w:eastAsia="楷体"/>
                <w:b/>
                <w:bCs/>
                <w:color w:val="FFFFFF"/>
                <w:sz w:val="24"/>
                <w:szCs w:val="24"/>
              </w:rPr>
              <w:t>预估地价（万元/亩）</w:t>
            </w:r>
          </w:p>
        </w:tc>
        <w:tc>
          <w:tcPr>
            <w:tcW w:w="1512" w:type="dxa"/>
            <w:tcBorders>
              <w:top w:val="single" w:color="000000" w:sz="4" w:space="0"/>
              <w:left w:val="nil"/>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r>
              <w:rPr>
                <w:rFonts w:hint="eastAsia" w:ascii="楷体" w:hAnsi="楷体" w:eastAsia="楷体"/>
                <w:b/>
                <w:bCs/>
                <w:color w:val="FFFFFF"/>
                <w:sz w:val="24"/>
                <w:szCs w:val="24"/>
              </w:rPr>
              <w:t>土地性质</w:t>
            </w:r>
          </w:p>
        </w:tc>
        <w:tc>
          <w:tcPr>
            <w:tcW w:w="1513" w:type="dxa"/>
            <w:tcBorders>
              <w:top w:val="single" w:color="000000" w:sz="4" w:space="0"/>
              <w:left w:val="nil"/>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r>
              <w:rPr>
                <w:rFonts w:hint="eastAsia" w:ascii="楷体" w:hAnsi="楷体" w:eastAsia="楷体"/>
                <w:b/>
                <w:bCs/>
                <w:color w:val="FFFFFF"/>
                <w:sz w:val="24"/>
                <w:szCs w:val="24"/>
              </w:rPr>
              <w:t>预计出让年限</w:t>
            </w:r>
          </w:p>
        </w:tc>
        <w:tc>
          <w:tcPr>
            <w:tcW w:w="1513" w:type="dxa"/>
            <w:tcBorders>
              <w:top w:val="single" w:color="000000" w:sz="4" w:space="0"/>
              <w:left w:val="nil"/>
              <w:bottom w:val="single" w:color="000000" w:sz="4" w:space="0"/>
              <w:right w:val="single" w:color="000000" w:sz="4" w:space="0"/>
            </w:tcBorders>
            <w:shd w:val="clear" w:color="auto" w:fill="57595C"/>
            <w:vAlign w:val="center"/>
          </w:tcPr>
          <w:p>
            <w:pPr>
              <w:spacing w:before="100" w:beforeAutospacing="1" w:line="254" w:lineRule="auto"/>
              <w:jc w:val="center"/>
              <w:rPr>
                <w:rFonts w:ascii="楷体" w:hAnsi="楷体" w:eastAsia="楷体"/>
                <w:b/>
                <w:bCs/>
                <w:color w:val="FFFFFF"/>
                <w:sz w:val="24"/>
                <w:szCs w:val="24"/>
              </w:rPr>
            </w:pPr>
            <w:r>
              <w:rPr>
                <w:rFonts w:hint="eastAsia" w:ascii="楷体" w:hAnsi="楷体" w:eastAsia="楷体"/>
                <w:b/>
                <w:bCs/>
                <w:color w:val="FFFFFF"/>
                <w:sz w:val="24"/>
                <w:szCs w:val="24"/>
              </w:rPr>
              <w:t>批次</w:t>
            </w:r>
          </w:p>
        </w:tc>
      </w:tr>
      <w:tr>
        <w:tblPrEx>
          <w:tblCellMar>
            <w:top w:w="0" w:type="dxa"/>
            <w:left w:w="108" w:type="dxa"/>
            <w:bottom w:w="0" w:type="dxa"/>
            <w:right w:w="108" w:type="dxa"/>
          </w:tblCellMar>
        </w:tblPrEx>
        <w:trPr>
          <w:trHeight w:val="1393" w:hRule="atLeast"/>
          <w:jc w:val="center"/>
        </w:trPr>
        <w:tc>
          <w:tcPr>
            <w:tcW w:w="173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spacing w:before="100" w:beforeAutospacing="1" w:line="254" w:lineRule="auto"/>
              <w:jc w:val="center"/>
              <w:rPr>
                <w:rFonts w:ascii="楷体" w:hAnsi="楷体" w:eastAsia="楷体"/>
                <w:color w:val="000000"/>
                <w:sz w:val="24"/>
                <w:szCs w:val="24"/>
              </w:rPr>
            </w:pPr>
            <w:r>
              <w:rPr>
                <w:rFonts w:hint="eastAsia" w:ascii="楷体" w:hAnsi="楷体" w:eastAsia="楷体"/>
                <w:color w:val="000000"/>
                <w:sz w:val="24"/>
                <w:szCs w:val="24"/>
              </w:rPr>
              <w:t>海口市江东新区“一环多支”地下综合管廊骨架系统东半环工程项目</w:t>
            </w:r>
          </w:p>
        </w:tc>
        <w:tc>
          <w:tcPr>
            <w:tcW w:w="1854" w:type="dxa"/>
            <w:tcBorders>
              <w:top w:val="single" w:color="000000" w:sz="4" w:space="0"/>
              <w:left w:val="nil"/>
              <w:bottom w:val="single" w:color="auto" w:sz="4" w:space="0"/>
              <w:right w:val="single" w:color="000000" w:sz="4" w:space="0"/>
            </w:tcBorders>
            <w:shd w:val="clear" w:color="auto" w:fill="FFFFFF"/>
            <w:vAlign w:val="center"/>
          </w:tcPr>
          <w:p>
            <w:pPr>
              <w:spacing w:before="100" w:beforeAutospacing="1" w:line="254" w:lineRule="auto"/>
              <w:jc w:val="center"/>
              <w:rPr>
                <w:rFonts w:ascii="楷体" w:hAnsi="楷体" w:eastAsia="楷体"/>
                <w:color w:val="000000"/>
                <w:sz w:val="24"/>
                <w:szCs w:val="24"/>
              </w:rPr>
            </w:pPr>
            <w:r>
              <w:rPr>
                <w:rFonts w:ascii="楷体" w:hAnsi="楷体" w:eastAsia="楷体"/>
                <w:color w:val="000000"/>
                <w:sz w:val="24"/>
                <w:szCs w:val="24"/>
              </w:rPr>
              <w:t>JDQBN-B02</w:t>
            </w:r>
          </w:p>
        </w:tc>
        <w:tc>
          <w:tcPr>
            <w:tcW w:w="1512" w:type="dxa"/>
            <w:tcBorders>
              <w:top w:val="single" w:color="000000" w:sz="4" w:space="0"/>
              <w:left w:val="nil"/>
              <w:bottom w:val="single" w:color="auto" w:sz="4" w:space="0"/>
              <w:right w:val="single" w:color="000000" w:sz="4" w:space="0"/>
            </w:tcBorders>
            <w:shd w:val="clear" w:color="auto" w:fill="FFFFFF"/>
            <w:vAlign w:val="center"/>
          </w:tcPr>
          <w:p>
            <w:pPr>
              <w:spacing w:before="100" w:beforeAutospacing="1" w:line="254" w:lineRule="auto"/>
              <w:jc w:val="center"/>
              <w:rPr>
                <w:rFonts w:ascii="楷体" w:hAnsi="楷体" w:eastAsia="楷体"/>
                <w:color w:val="000000"/>
                <w:sz w:val="24"/>
                <w:szCs w:val="24"/>
              </w:rPr>
            </w:pPr>
            <w:r>
              <w:rPr>
                <w:rFonts w:ascii="楷体" w:hAnsi="楷体" w:eastAsia="楷体"/>
                <w:color w:val="000000"/>
                <w:sz w:val="24"/>
                <w:szCs w:val="24"/>
              </w:rPr>
              <w:t>1.5</w:t>
            </w:r>
          </w:p>
        </w:tc>
        <w:tc>
          <w:tcPr>
            <w:tcW w:w="1512" w:type="dxa"/>
            <w:tcBorders>
              <w:top w:val="single" w:color="000000" w:sz="4" w:space="0"/>
              <w:left w:val="nil"/>
              <w:bottom w:val="single" w:color="auto" w:sz="4" w:space="0"/>
              <w:right w:val="single" w:color="000000" w:sz="4" w:space="0"/>
            </w:tcBorders>
            <w:shd w:val="clear" w:color="auto" w:fill="FFFFFF"/>
            <w:noWrap/>
            <w:vAlign w:val="center"/>
          </w:tcPr>
          <w:p>
            <w:pPr>
              <w:spacing w:before="100" w:beforeAutospacing="1" w:line="254" w:lineRule="auto"/>
              <w:jc w:val="center"/>
              <w:rPr>
                <w:rFonts w:ascii="楷体" w:hAnsi="楷体" w:eastAsia="楷体"/>
                <w:color w:val="000000"/>
                <w:sz w:val="24"/>
                <w:szCs w:val="24"/>
              </w:rPr>
            </w:pPr>
            <w:r>
              <w:rPr>
                <w:rFonts w:hint="eastAsia" w:ascii="楷体" w:hAnsi="楷体" w:eastAsia="楷体"/>
                <w:color w:val="000000"/>
                <w:sz w:val="24"/>
                <w:szCs w:val="24"/>
              </w:rPr>
              <w:t>1500</w:t>
            </w:r>
          </w:p>
        </w:tc>
        <w:tc>
          <w:tcPr>
            <w:tcW w:w="1512" w:type="dxa"/>
            <w:tcBorders>
              <w:top w:val="single" w:color="000000" w:sz="4" w:space="0"/>
              <w:left w:val="nil"/>
              <w:bottom w:val="single" w:color="auto" w:sz="4" w:space="0"/>
              <w:right w:val="single" w:color="000000" w:sz="4" w:space="0"/>
            </w:tcBorders>
            <w:shd w:val="clear" w:color="auto" w:fill="FFFFFF"/>
            <w:noWrap/>
            <w:vAlign w:val="center"/>
          </w:tcPr>
          <w:p>
            <w:pPr>
              <w:spacing w:before="100" w:beforeAutospacing="1" w:line="254" w:lineRule="auto"/>
              <w:jc w:val="center"/>
              <w:rPr>
                <w:rFonts w:ascii="楷体" w:hAnsi="楷体" w:eastAsia="楷体"/>
                <w:color w:val="000000"/>
                <w:sz w:val="24"/>
                <w:szCs w:val="24"/>
              </w:rPr>
            </w:pPr>
            <w:r>
              <w:rPr>
                <w:rFonts w:hint="eastAsia" w:ascii="楷体" w:hAnsi="楷体" w:eastAsia="楷体"/>
                <w:color w:val="000000"/>
                <w:sz w:val="24"/>
                <w:szCs w:val="24"/>
              </w:rPr>
              <w:t>商管旅文用地</w:t>
            </w:r>
          </w:p>
        </w:tc>
        <w:tc>
          <w:tcPr>
            <w:tcW w:w="1513" w:type="dxa"/>
            <w:tcBorders>
              <w:top w:val="single" w:color="000000" w:sz="4" w:space="0"/>
              <w:left w:val="nil"/>
              <w:bottom w:val="single" w:color="auto" w:sz="4" w:space="0"/>
              <w:right w:val="single" w:color="000000" w:sz="4" w:space="0"/>
            </w:tcBorders>
            <w:shd w:val="clear" w:color="auto" w:fill="FFFFFF"/>
            <w:noWrap/>
            <w:vAlign w:val="center"/>
          </w:tcPr>
          <w:p>
            <w:pPr>
              <w:spacing w:before="100" w:beforeAutospacing="1" w:line="254" w:lineRule="auto"/>
              <w:jc w:val="center"/>
              <w:rPr>
                <w:rFonts w:ascii="楷体" w:hAnsi="楷体" w:eastAsia="楷体"/>
                <w:color w:val="000000"/>
                <w:sz w:val="24"/>
                <w:szCs w:val="24"/>
              </w:rPr>
            </w:pPr>
            <w:r>
              <w:rPr>
                <w:rFonts w:hint="eastAsia" w:ascii="楷体" w:hAnsi="楷体" w:eastAsia="楷体"/>
                <w:color w:val="000000"/>
                <w:sz w:val="24"/>
                <w:szCs w:val="24"/>
              </w:rPr>
              <w:t>202</w:t>
            </w:r>
            <w:r>
              <w:rPr>
                <w:rFonts w:ascii="楷体" w:hAnsi="楷体" w:eastAsia="楷体"/>
                <w:color w:val="000000"/>
                <w:sz w:val="24"/>
                <w:szCs w:val="24"/>
              </w:rPr>
              <w:t>7</w:t>
            </w:r>
          </w:p>
        </w:tc>
        <w:tc>
          <w:tcPr>
            <w:tcW w:w="1513" w:type="dxa"/>
            <w:tcBorders>
              <w:top w:val="single" w:color="000000" w:sz="4" w:space="0"/>
              <w:left w:val="nil"/>
              <w:bottom w:val="single" w:color="auto" w:sz="4" w:space="0"/>
              <w:right w:val="single" w:color="000000" w:sz="4" w:space="0"/>
            </w:tcBorders>
            <w:shd w:val="clear" w:color="auto" w:fill="FFFFFF"/>
            <w:noWrap/>
            <w:vAlign w:val="center"/>
          </w:tcPr>
          <w:p>
            <w:pPr>
              <w:spacing w:before="100" w:beforeAutospacing="1" w:line="254" w:lineRule="auto"/>
              <w:jc w:val="center"/>
              <w:rPr>
                <w:rFonts w:ascii="楷体" w:hAnsi="楷体" w:eastAsia="楷体"/>
                <w:color w:val="000000"/>
                <w:sz w:val="24"/>
                <w:szCs w:val="24"/>
              </w:rPr>
            </w:pPr>
            <w:r>
              <w:rPr>
                <w:rFonts w:ascii="楷体" w:hAnsi="楷体" w:eastAsia="楷体"/>
                <w:color w:val="000000"/>
                <w:sz w:val="24"/>
                <w:szCs w:val="24"/>
              </w:rPr>
              <w:t>2025</w:t>
            </w:r>
            <w:r>
              <w:rPr>
                <w:rFonts w:hint="eastAsia" w:ascii="楷体" w:hAnsi="楷体" w:eastAsia="楷体"/>
                <w:color w:val="000000"/>
                <w:sz w:val="24"/>
                <w:szCs w:val="24"/>
              </w:rPr>
              <w:t>年海南省政府专项债券（一期）资金调剂项目</w:t>
            </w:r>
          </w:p>
        </w:tc>
      </w:tr>
    </w:tbl>
    <w:p>
      <w:pPr>
        <w:ind w:right="-999"/>
        <w:jc w:val="right"/>
        <w:rPr>
          <w:rFonts w:ascii="楷体" w:hAnsi="楷体" w:eastAsia="楷体"/>
          <w:sz w:val="20"/>
          <w:szCs w:val="20"/>
        </w:rPr>
      </w:pPr>
      <w:r>
        <w:rPr>
          <w:rFonts w:hint="eastAsia" w:ascii="楷体" w:hAnsi="楷体" w:eastAsia="楷体"/>
          <w:sz w:val="20"/>
          <w:szCs w:val="20"/>
        </w:rPr>
        <w:t xml:space="preserve"> </w:t>
      </w:r>
    </w:p>
    <w:p>
      <w:pPr>
        <w:spacing w:before="120" w:after="120" w:line="360" w:lineRule="auto"/>
        <w:ind w:firstLine="480" w:firstLineChars="200"/>
        <w:rPr>
          <w:rFonts w:ascii="楷体" w:hAnsi="楷体" w:eastAsia="楷体"/>
          <w:color w:val="000000"/>
          <w:sz w:val="24"/>
          <w:szCs w:val="28"/>
        </w:rPr>
      </w:pPr>
      <w:r>
        <w:rPr>
          <w:rFonts w:hint="eastAsia" w:ascii="楷体" w:hAnsi="楷体" w:eastAsia="楷体"/>
          <w:color w:val="000000"/>
          <w:sz w:val="24"/>
          <w:szCs w:val="28"/>
        </w:rPr>
        <w:t>根据《财政部关于印发&lt;国有土地使用权出让收支管理办法&gt;的通知》（财综[2006]68号）等相关文件要求，海口市土地出让收入需计提国有土地收益基金、农业土地开发资金、教育资金以及农田水利建设资金，参考2024年海南省专项债券已发行其他项目计提情况，上述各项资金计提比例暂按土地出让总价款的25%计提，本次将使用该土地出让收益的60%用于项目还本付息。</w:t>
      </w:r>
    </w:p>
    <w:p>
      <w:pPr>
        <w:spacing w:before="120" w:after="120" w:line="360" w:lineRule="auto"/>
        <w:ind w:firstLine="480" w:firstLineChars="200"/>
        <w:rPr>
          <w:rFonts w:ascii="楷体" w:hAnsi="楷体" w:eastAsia="楷体"/>
          <w:color w:val="000000"/>
          <w:sz w:val="24"/>
          <w:szCs w:val="28"/>
        </w:rPr>
      </w:pPr>
      <w:r>
        <w:rPr>
          <w:rFonts w:hint="eastAsia" w:ascii="楷体" w:hAnsi="楷体" w:eastAsia="楷体"/>
          <w:color w:val="000000"/>
          <w:sz w:val="24"/>
          <w:szCs w:val="28"/>
        </w:rPr>
        <w:t>按照预估的土地出让单价、出让计划及成本费用，在项目存续期间有稳定的政府性基金收入，可稳定覆盖债券存续期间各年利息及到期偿还本金的部分支出需求。</w:t>
      </w:r>
    </w:p>
    <w:p>
      <w:pPr>
        <w:spacing w:before="120" w:after="120" w:line="360" w:lineRule="auto"/>
        <w:ind w:firstLine="480" w:firstLineChars="200"/>
        <w:rPr>
          <w:rFonts w:ascii="楷体" w:hAnsi="楷体" w:eastAsia="楷体"/>
          <w:color w:val="000000"/>
          <w:sz w:val="24"/>
          <w:szCs w:val="28"/>
        </w:rPr>
      </w:pPr>
      <w:r>
        <w:rPr>
          <w:rFonts w:hint="eastAsia" w:ascii="楷体" w:hAnsi="楷体" w:eastAsia="楷体"/>
          <w:color w:val="000000"/>
          <w:sz w:val="24"/>
          <w:szCs w:val="28"/>
        </w:rPr>
        <w:t>此外，项目预计将产生194.40万元的停车位收入，可用于出租的停车位数量为100个，每月租金为200.00元/月，出租率90%，运营期每年将产生21.6万元停车位收入。</w:t>
      </w:r>
    </w:p>
    <w:p>
      <w:pPr>
        <w:spacing w:before="120" w:after="120" w:line="360" w:lineRule="auto"/>
        <w:ind w:firstLine="480" w:firstLineChars="200"/>
        <w:rPr>
          <w:rFonts w:ascii="楷体" w:hAnsi="楷体" w:eastAsia="楷体"/>
          <w:color w:val="000000"/>
          <w:sz w:val="24"/>
          <w:szCs w:val="28"/>
        </w:rPr>
      </w:pPr>
      <w:r>
        <w:rPr>
          <w:rFonts w:hint="eastAsia" w:ascii="楷体" w:hAnsi="楷体" w:eastAsia="楷体" w:cs="华文楷体"/>
          <w:color w:val="000000"/>
          <w:kern w:val="0"/>
          <w:sz w:val="24"/>
          <w:szCs w:val="24"/>
          <w:lang w:bidi="ar"/>
        </w:rPr>
        <w:t>债券存续期（2025-2035年）内各年现金净流量，可覆盖债券存续期间各年利息及到期偿还本金的支出需求；且项目专项债券到期时，在偿还当年到期的债券本息后，仍有623.46万元的累计现金结余。因此，本项目资金稳定性较可靠。项目债券存续期内资金留存情况如图1所示。</w:t>
      </w:r>
    </w:p>
    <w:p>
      <w:pPr>
        <w:spacing w:after="0" w:line="360" w:lineRule="auto"/>
        <w:jc w:val="center"/>
        <w:rPr>
          <w:rFonts w:ascii="楷体" w:hAnsi="楷体" w:eastAsia="楷体"/>
          <w:b/>
        </w:rPr>
      </w:pPr>
      <w:r>
        <w:rPr>
          <w:rFonts w:hint="eastAsia" w:ascii="楷体" w:hAnsi="楷体" w:eastAsia="楷体" w:cs="宋体"/>
          <w:b/>
          <w:bCs/>
          <w:color w:val="000000"/>
          <w:sz w:val="24"/>
          <w:szCs w:val="24"/>
        </w:rPr>
        <w:t>图</w:t>
      </w:r>
      <w:r>
        <w:rPr>
          <w:rFonts w:ascii="楷体" w:hAnsi="楷体" w:eastAsia="楷体" w:cs="宋体"/>
          <w:b/>
          <w:bCs/>
          <w:color w:val="000000"/>
          <w:sz w:val="24"/>
          <w:szCs w:val="24"/>
        </w:rPr>
        <w:t>1</w:t>
      </w:r>
      <w:r>
        <w:rPr>
          <w:rFonts w:hint="eastAsia" w:ascii="楷体" w:hAnsi="楷体" w:eastAsia="楷体" w:cs="宋体"/>
          <w:b/>
          <w:bCs/>
          <w:color w:val="000000"/>
          <w:sz w:val="24"/>
          <w:szCs w:val="24"/>
        </w:rPr>
        <w:t xml:space="preserve"> 债券存续期资金留存情况</w:t>
      </w:r>
    </w:p>
    <w:p>
      <w:pPr>
        <w:spacing w:after="0" w:line="360" w:lineRule="auto"/>
        <w:jc w:val="center"/>
        <w:rPr>
          <w:rFonts w:ascii="楷体" w:hAnsi="楷体" w:eastAsia="楷体"/>
        </w:rPr>
      </w:pPr>
      <w:r>
        <w:drawing>
          <wp:inline distT="0" distB="0" distL="0" distR="0">
            <wp:extent cx="5278120" cy="2649855"/>
            <wp:effectExtent l="0" t="0" r="17780"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after="0" w:line="360" w:lineRule="auto"/>
        <w:ind w:firstLine="482"/>
        <w:rPr>
          <w:rFonts w:ascii="楷体" w:hAnsi="楷体" w:eastAsia="楷体" w:cs="宋体"/>
          <w:color w:val="000000"/>
          <w:sz w:val="24"/>
          <w:szCs w:val="24"/>
        </w:rPr>
      </w:pPr>
      <w:r>
        <w:rPr>
          <w:rFonts w:hint="eastAsia" w:ascii="楷体" w:hAnsi="楷体" w:eastAsia="楷体" w:cs="宋体"/>
          <w:color w:val="000000"/>
          <w:sz w:val="24"/>
          <w:szCs w:val="24"/>
        </w:rPr>
        <w:t>综上，针对本项目在本期专项债券存续期内还本付息资金的测算，未注意到可能对本项目资金稳定性产生重大影响的情况。</w:t>
      </w:r>
    </w:p>
    <w:p>
      <w:pPr>
        <w:spacing w:after="0" w:line="360" w:lineRule="auto"/>
        <w:ind w:firstLine="482" w:firstLineChars="200"/>
        <w:outlineLvl w:val="0"/>
        <w:rPr>
          <w:rFonts w:ascii="楷体" w:hAnsi="楷体" w:eastAsia="楷体" w:cs="宋体"/>
          <w:b/>
          <w:sz w:val="24"/>
          <w:szCs w:val="24"/>
        </w:rPr>
      </w:pPr>
      <w:bookmarkStart w:id="10" w:name="_Toc38490440"/>
    </w:p>
    <w:p>
      <w:pPr>
        <w:spacing w:after="0" w:line="360" w:lineRule="auto"/>
        <w:ind w:firstLine="482" w:firstLineChars="200"/>
        <w:outlineLvl w:val="0"/>
        <w:rPr>
          <w:rFonts w:ascii="楷体" w:hAnsi="楷体" w:eastAsia="楷体" w:cs="宋体"/>
          <w:b/>
          <w:sz w:val="24"/>
          <w:szCs w:val="24"/>
        </w:rPr>
      </w:pPr>
      <w:r>
        <w:rPr>
          <w:rFonts w:hint="eastAsia" w:ascii="楷体" w:hAnsi="楷体" w:eastAsia="楷体" w:cs="宋体"/>
          <w:b/>
          <w:sz w:val="24"/>
          <w:szCs w:val="24"/>
        </w:rPr>
        <w:t>五、</w:t>
      </w:r>
      <w:bookmarkEnd w:id="10"/>
      <w:r>
        <w:rPr>
          <w:rFonts w:hint="eastAsia" w:ascii="楷体" w:hAnsi="楷体" w:eastAsia="楷体" w:cs="宋体"/>
          <w:b/>
          <w:sz w:val="24"/>
          <w:szCs w:val="24"/>
        </w:rPr>
        <w:t>压力测试情况</w:t>
      </w:r>
    </w:p>
    <w:p>
      <w:pPr>
        <w:spacing w:after="0" w:line="360" w:lineRule="auto"/>
        <w:ind w:firstLine="482"/>
        <w:rPr>
          <w:rFonts w:ascii="楷体" w:hAnsi="楷体" w:eastAsia="楷体" w:cs="宋体"/>
          <w:color w:val="000000"/>
          <w:sz w:val="24"/>
          <w:szCs w:val="24"/>
        </w:rPr>
      </w:pPr>
      <w:r>
        <w:rPr>
          <w:rFonts w:hint="eastAsia" w:ascii="楷体" w:hAnsi="楷体" w:eastAsia="楷体" w:cs="宋体"/>
          <w:color w:val="000000"/>
          <w:sz w:val="24"/>
          <w:szCs w:val="24"/>
        </w:rPr>
        <w:t>根据本项目收益与融资平衡的压力测试结果，当各项目的运营收入下降</w:t>
      </w:r>
      <w:r>
        <w:rPr>
          <w:rFonts w:ascii="楷体" w:hAnsi="楷体" w:eastAsia="楷体" w:cs="宋体"/>
          <w:color w:val="000000"/>
          <w:sz w:val="24"/>
          <w:szCs w:val="24"/>
        </w:rPr>
        <w:t>20</w:t>
      </w:r>
      <w:r>
        <w:rPr>
          <w:rFonts w:hint="eastAsia" w:ascii="楷体" w:hAnsi="楷体" w:eastAsia="楷体" w:cs="宋体"/>
          <w:color w:val="000000"/>
          <w:sz w:val="24"/>
          <w:szCs w:val="24"/>
        </w:rPr>
        <w:t>%的情况下，各项目的债券本息覆盖率仍然＞1；当各项目的运营成本和利率分别上升</w:t>
      </w:r>
      <w:r>
        <w:rPr>
          <w:rFonts w:ascii="楷体" w:hAnsi="楷体" w:eastAsia="楷体" w:cs="宋体"/>
          <w:color w:val="000000"/>
          <w:sz w:val="24"/>
          <w:szCs w:val="24"/>
        </w:rPr>
        <w:t>20</w:t>
      </w:r>
      <w:r>
        <w:rPr>
          <w:rFonts w:hint="eastAsia" w:ascii="楷体" w:hAnsi="楷体" w:eastAsia="楷体" w:cs="宋体"/>
          <w:color w:val="000000"/>
          <w:sz w:val="24"/>
          <w:szCs w:val="24"/>
        </w:rPr>
        <w:t>%的情况下，各项目的债券本息覆盖率仍然＞1。因此，本项目中各子项目的项目收益对债券还本付息保障性较高，项目可通过压力测试，还本付息资金具有一定的稳定性与风险抵抗能力。</w:t>
      </w:r>
    </w:p>
    <w:p>
      <w:pPr>
        <w:spacing w:after="0" w:line="360" w:lineRule="auto"/>
        <w:ind w:firstLine="482"/>
        <w:rPr>
          <w:rFonts w:ascii="楷体" w:hAnsi="楷体" w:eastAsia="楷体"/>
          <w:color w:val="000000"/>
          <w:sz w:val="20"/>
          <w:szCs w:val="20"/>
        </w:rPr>
      </w:pPr>
      <w:r>
        <w:rPr>
          <w:rFonts w:hint="eastAsia" w:ascii="楷体" w:hAnsi="楷体" w:eastAsia="楷体" w:cs="宋体"/>
          <w:color w:val="000000"/>
          <w:sz w:val="24"/>
          <w:szCs w:val="24"/>
        </w:rPr>
        <w:t>各子项目的压力测试情况详见下表：</w:t>
      </w:r>
    </w:p>
    <w:p>
      <w:pPr>
        <w:spacing w:after="0" w:line="360" w:lineRule="auto"/>
        <w:jc w:val="center"/>
        <w:rPr>
          <w:rFonts w:ascii="楷体" w:hAnsi="楷体" w:eastAsia="楷体" w:cs="宋体"/>
          <w:b/>
          <w:bCs/>
          <w:color w:val="000000"/>
          <w:sz w:val="24"/>
          <w:szCs w:val="24"/>
        </w:rPr>
      </w:pPr>
      <w:r>
        <w:rPr>
          <w:rFonts w:hint="eastAsia" w:ascii="楷体" w:hAnsi="楷体" w:eastAsia="楷体" w:cs="宋体"/>
          <w:b/>
          <w:bCs/>
          <w:color w:val="000000"/>
          <w:sz w:val="24"/>
          <w:szCs w:val="24"/>
        </w:rPr>
        <w:t>表</w:t>
      </w:r>
      <w:r>
        <w:rPr>
          <w:rFonts w:ascii="楷体" w:hAnsi="楷体" w:eastAsia="楷体" w:cs="宋体"/>
          <w:b/>
          <w:bCs/>
          <w:color w:val="000000"/>
          <w:sz w:val="24"/>
          <w:szCs w:val="24"/>
        </w:rPr>
        <w:t>7</w:t>
      </w:r>
      <w:r>
        <w:rPr>
          <w:rFonts w:hint="eastAsia" w:ascii="楷体" w:hAnsi="楷体" w:eastAsia="楷体" w:cs="宋体"/>
          <w:b/>
          <w:bCs/>
          <w:color w:val="000000"/>
          <w:sz w:val="24"/>
          <w:szCs w:val="24"/>
        </w:rPr>
        <w:t xml:space="preserve"> 项目压力测试表</w:t>
      </w:r>
    </w:p>
    <w:tbl>
      <w:tblPr>
        <w:tblStyle w:val="7"/>
        <w:tblW w:w="9719" w:type="dxa"/>
        <w:jc w:val="center"/>
        <w:tblLayout w:type="fixed"/>
        <w:tblCellMar>
          <w:top w:w="0" w:type="dxa"/>
          <w:left w:w="108" w:type="dxa"/>
          <w:bottom w:w="0" w:type="dxa"/>
          <w:right w:w="108" w:type="dxa"/>
        </w:tblCellMar>
      </w:tblPr>
      <w:tblGrid>
        <w:gridCol w:w="2826"/>
        <w:gridCol w:w="765"/>
        <w:gridCol w:w="766"/>
        <w:gridCol w:w="766"/>
        <w:gridCol w:w="766"/>
        <w:gridCol w:w="766"/>
        <w:gridCol w:w="766"/>
        <w:gridCol w:w="766"/>
        <w:gridCol w:w="766"/>
        <w:gridCol w:w="766"/>
      </w:tblGrid>
      <w:tr>
        <w:tblPrEx>
          <w:tblCellMar>
            <w:top w:w="0" w:type="dxa"/>
            <w:left w:w="108" w:type="dxa"/>
            <w:bottom w:w="0" w:type="dxa"/>
            <w:right w:w="108" w:type="dxa"/>
          </w:tblCellMar>
        </w:tblPrEx>
        <w:trPr>
          <w:trHeight w:val="249" w:hRule="atLeast"/>
          <w:jc w:val="center"/>
        </w:trPr>
        <w:tc>
          <w:tcPr>
            <w:tcW w:w="2826" w:type="dxa"/>
            <w:tcBorders>
              <w:top w:val="single" w:color="000000" w:sz="8" w:space="0"/>
              <w:left w:val="single" w:color="000000" w:sz="8" w:space="0"/>
              <w:bottom w:val="nil"/>
              <w:right w:val="single" w:color="000000" w:sz="8" w:space="0"/>
            </w:tcBorders>
            <w:shd w:val="clear" w:color="auto" w:fill="auto"/>
            <w:noWrap/>
            <w:vAlign w:val="bottom"/>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资金覆盖率 - 压力测试</w:t>
            </w:r>
          </w:p>
        </w:tc>
        <w:tc>
          <w:tcPr>
            <w:tcW w:w="765"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-15%</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-10%</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-5%</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0%</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5%</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10%</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15%</w:t>
            </w:r>
          </w:p>
        </w:tc>
        <w:tc>
          <w:tcPr>
            <w:tcW w:w="76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20%</w:t>
            </w: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（单因素敏感性分析）</w:t>
            </w: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c>
          <w:tcPr>
            <w:tcW w:w="76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楷体" w:hAnsi="楷体" w:eastAsia="楷体" w:cs="宋体"/>
                <w:b/>
                <w:bCs/>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收益变动情况敏感性分析</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债券本金资金覆盖率</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1.63</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1.79</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1.94</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2.09</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2.40</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2.55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2.71</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2.86</w:t>
            </w: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债券本息资金覆盖率</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1.54</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1.67</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1.80</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1.93</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2.06</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2.19</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2.32</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2.45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2.58</w:t>
            </w: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债券本息资金覆盖倍数</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1.52</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1.65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1.78</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1.91</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2.04</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2.17</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2.30</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2.43</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2.56</w:t>
            </w: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b/>
                <w:bCs/>
                <w:color w:val="000000" w:themeColor="text1"/>
                <w:kern w:val="0"/>
                <w:sz w:val="20"/>
                <w:szCs w:val="20"/>
                <w14:textFill>
                  <w14:solidFill>
                    <w14:schemeClr w14:val="tx1"/>
                  </w14:solidFill>
                </w14:textFill>
              </w:rPr>
            </w:pPr>
            <w:r>
              <w:rPr>
                <w:rFonts w:hint="eastAsia" w:ascii="楷体" w:hAnsi="楷体" w:eastAsia="楷体" w:cs="宋体"/>
                <w:b/>
                <w:bCs/>
                <w:color w:val="000000" w:themeColor="text1"/>
                <w:kern w:val="0"/>
                <w:sz w:val="20"/>
                <w:szCs w:val="20"/>
                <w14:textFill>
                  <w14:solidFill>
                    <w14:schemeClr w14:val="tx1"/>
                  </w14:solidFill>
                </w14:textFill>
              </w:rPr>
              <w:t>利率变动情况敏感性分析</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b/>
                <w:bCs/>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楷体" w:hAnsi="楷体" w:eastAsia="楷体" w:cs="Times New Roman"/>
                <w:color w:val="000000" w:themeColor="text1"/>
                <w:kern w:val="0"/>
                <w:sz w:val="20"/>
                <w:szCs w:val="20"/>
                <w14:textFill>
                  <w14:solidFill>
                    <w14:schemeClr w14:val="tx1"/>
                  </w14:solidFill>
                </w14:textFill>
              </w:rPr>
            </w:pP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债券本金资金覆盖率</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2.28</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2.27</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2.26</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2.24</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2.23</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2.22</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2.22</w:t>
            </w: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债券本息资金覆盖率</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2.12</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2.10</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2.09</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2.07</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2.06</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2.03</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2.02</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2.00</w:t>
            </w:r>
          </w:p>
        </w:tc>
      </w:tr>
      <w:tr>
        <w:tblPrEx>
          <w:tblCellMar>
            <w:top w:w="0" w:type="dxa"/>
            <w:left w:w="108" w:type="dxa"/>
            <w:bottom w:w="0" w:type="dxa"/>
            <w:right w:w="108" w:type="dxa"/>
          </w:tblCellMar>
        </w:tblPrEx>
        <w:trPr>
          <w:trHeight w:val="249" w:hRule="atLeast"/>
          <w:jc w:val="center"/>
        </w:trPr>
        <w:tc>
          <w:tcPr>
            <w:tcW w:w="2826" w:type="dxa"/>
            <w:tcBorders>
              <w:top w:val="nil"/>
              <w:left w:val="single" w:color="000000" w:sz="8" w:space="0"/>
              <w:bottom w:val="single" w:color="000000" w:sz="8" w:space="0"/>
              <w:right w:val="single" w:color="000000" w:sz="8" w:space="0"/>
            </w:tcBorders>
            <w:shd w:val="clear" w:color="auto" w:fill="auto"/>
            <w:noWrap/>
            <w:vAlign w:val="bottom"/>
          </w:tcPr>
          <w:p>
            <w:pPr>
              <w:widowControl/>
              <w:spacing w:after="0" w:line="240" w:lineRule="auto"/>
              <w:jc w:val="left"/>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债券本息资金覆盖倍数</w:t>
            </w:r>
          </w:p>
        </w:tc>
        <w:tc>
          <w:tcPr>
            <w:tcW w:w="765"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2.10</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2.08</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2.07</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2.05</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2.04</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2.02</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2.01</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1.99</w:t>
            </w:r>
          </w:p>
        </w:tc>
        <w:tc>
          <w:tcPr>
            <w:tcW w:w="766"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hint="eastAsia" w:ascii="楷体" w:hAnsi="楷体" w:eastAsia="楷体" w:cs="宋体"/>
                <w:color w:val="000000" w:themeColor="text1"/>
                <w:kern w:val="0"/>
                <w:sz w:val="20"/>
                <w:szCs w:val="20"/>
                <w14:textFill>
                  <w14:solidFill>
                    <w14:schemeClr w14:val="tx1"/>
                  </w14:solidFill>
                </w14:textFill>
              </w:rPr>
            </w:pPr>
            <w:r>
              <w:rPr>
                <w:rFonts w:hint="eastAsia" w:ascii="楷体" w:hAnsi="楷体" w:eastAsia="楷体" w:cs="宋体"/>
                <w:color w:val="000000" w:themeColor="text1"/>
                <w:kern w:val="0"/>
                <w:sz w:val="20"/>
                <w:szCs w:val="20"/>
                <w14:textFill>
                  <w14:solidFill>
                    <w14:schemeClr w14:val="tx1"/>
                  </w14:solidFill>
                </w14:textFill>
              </w:rPr>
              <w:t>1.98</w:t>
            </w:r>
          </w:p>
        </w:tc>
      </w:tr>
    </w:tbl>
    <w:p>
      <w:pPr>
        <w:spacing w:after="0" w:line="240" w:lineRule="auto"/>
        <w:jc w:val="left"/>
        <w:rPr>
          <w:rFonts w:ascii="楷体" w:hAnsi="楷体" w:eastAsia="楷体" w:cs="宋体"/>
          <w:sz w:val="24"/>
          <w:szCs w:val="24"/>
        </w:rPr>
      </w:pP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 xml:space="preserve">总体来看，本次各项目专项收入对其拟使用的募集资金保障程度较高；但未来募投收入受宏观经济影响大。若未能实现收入计划，不能偿还到期债券本金，可在专项债务限额内以及满足覆盖倍数的情况下发行专项债券周转偿还，进而在项目收入实现后予以归还，或者通过追加自筹资金等方式来满足还本付息要求。 </w:t>
      </w:r>
    </w:p>
    <w:p>
      <w:pPr>
        <w:spacing w:after="0" w:line="360" w:lineRule="auto"/>
        <w:ind w:firstLine="482"/>
        <w:rPr>
          <w:rFonts w:ascii="楷体" w:hAnsi="楷体" w:eastAsia="楷体" w:cs="宋体"/>
          <w:b/>
          <w:bCs/>
          <w:sz w:val="24"/>
          <w:szCs w:val="24"/>
        </w:rPr>
      </w:pPr>
      <w:r>
        <w:rPr>
          <w:rFonts w:hint="eastAsia" w:ascii="楷体" w:hAnsi="楷体" w:eastAsia="楷体" w:cs="宋体"/>
          <w:b/>
          <w:bCs/>
          <w:sz w:val="24"/>
          <w:szCs w:val="24"/>
        </w:rPr>
        <w:t>六、事前绩效评估</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（一）项目实施的必要性、公益性、收益性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1、必要性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在庆祝海南建省办经济特区30周年大会上的重要讲话和《中共中央、国务院关于支持海南全面深化改革开放的指导意见》明确提出，党中央支持海南全岛建设自由贸易试验区，支持海南逐步探索、稳步推进中国特色自由贸易港建设，分步骤、分阶段建立自由贸易港政策和制度体系。这是习近平总书记亲自谋划、亲自部署、亲自推动的重大国家战略，是党中央着眼于国际国内发展大局，深入研究、统筹考虑、科学谋划作出的重大决策，为海南全面深化改革开放提供了根本遵循、注入了强大动力，也为海南提供了前所未有的发展机遇。</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根据国家对海南自贸区港的战略定位，自贸区港建设是江东新区成立的根基和发展契机，本项目的建设为江东新区发展提供必要的基础设施条件。</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2、公益性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根据《海口市江东新区地下综合管廊专项规划（2019-2035）》，规划江东大道、江东大道二期东段及西段、海文高速联络线北段（即海文北路）、空港环路（即桂江大道）、东寨港大道、南渡江大道、海文高速联络线东段（即海文南路）地下综合管廊，与已建江东大道二期综合管廊形成新区“一环多支”的综合管廊布局。目前规划的“一环”中，其他路段的综合管廊已经建成或正在建设中，因此急需补齐东半环，推进江东新区综合管廊“闭环”，充分发挥综合管廊系统效益。</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3、收益性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本项目建设投入运营后，运营期收入为后续资金回笼和项目运营提供了充足、稳定的现金流入。</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（二）项目建设投资合规性与项目成熟度</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海口市江东新区“一环多支”地下综合管廊骨架系统东半环工程项目已经取得项目建议书批复、用地预审、用地规划许可证、用地批准文件、可行性研究报告批复、建设工程规划许可证、建筑工程施工许可证、环评审批等项目建设前的必要手续，项目建设投资合法合规，具备建设条件。</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（三）项目资金来源和到位可行性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项目为省市重点项目，资金来源为申请地方专项债，资金保障，将会及时到位确保项目顺利建设。</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（四）项目收入、成本、收益预测合理性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本项目专项债券以土地出让收益与运营收益为还本付息基础。</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根据资金平衡测算分析，项目预计债券本金资金覆盖率可达到</w:t>
      </w:r>
      <w:r>
        <w:rPr>
          <w:rFonts w:ascii="楷体" w:hAnsi="楷体" w:eastAsia="楷体" w:cs="宋体"/>
          <w:sz w:val="24"/>
          <w:szCs w:val="24"/>
        </w:rPr>
        <w:t>2.25</w:t>
      </w:r>
      <w:r>
        <w:rPr>
          <w:rFonts w:hint="eastAsia" w:ascii="楷体" w:hAnsi="楷体" w:eastAsia="楷体" w:cs="宋体"/>
          <w:sz w:val="24"/>
          <w:szCs w:val="24"/>
        </w:rPr>
        <w:t>，债券本息资金覆盖率可达到</w:t>
      </w:r>
      <w:r>
        <w:rPr>
          <w:rFonts w:ascii="楷体" w:hAnsi="楷体" w:eastAsia="楷体" w:cs="宋体"/>
          <w:sz w:val="24"/>
          <w:szCs w:val="24"/>
        </w:rPr>
        <w:t>2.06</w:t>
      </w:r>
      <w:r>
        <w:rPr>
          <w:rFonts w:hint="eastAsia" w:ascii="楷体" w:hAnsi="楷体" w:eastAsia="楷体" w:cs="宋体"/>
          <w:sz w:val="24"/>
          <w:szCs w:val="24"/>
        </w:rPr>
        <w:t>，债券本息资金覆盖倍数可达到</w:t>
      </w:r>
      <w:r>
        <w:rPr>
          <w:rFonts w:ascii="楷体" w:hAnsi="楷体" w:eastAsia="楷体" w:cs="宋体"/>
          <w:sz w:val="24"/>
          <w:szCs w:val="24"/>
        </w:rPr>
        <w:t>2.04</w:t>
      </w:r>
      <w:r>
        <w:rPr>
          <w:rFonts w:hint="eastAsia" w:ascii="楷体" w:hAnsi="楷体" w:eastAsia="楷体" w:cs="宋体"/>
          <w:sz w:val="24"/>
          <w:szCs w:val="24"/>
        </w:rPr>
        <w:t>。能够满足债券还本付息的需求。</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另外，在对运营收入和债券利率变动进行压力测试后，结果显示，本项目在运营收入下降20%或债券利率上升20%时，项目收益仍能覆盖债券的还本付息，项目具备一定的抗风险能力。项目收入、成本、收益预测具备合理性。</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（五）债券资金需求合理性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本项目具有公共性，属于公共财政支持范围，筹资渠道符合法律规定、结构合理，资金来源渠道为财政资金及专项债券，资金能准确、及时到位。</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结合建设资金需求及项目财政资金款项到账时间节点，为保障项目建设期间资金需求，项目通过调剂专项债券筹集资金。同时，本项目专项债券将依照项目现金流结余情况，降低利息费用，提高资金使用效率，已考虑运营收益、债券利率等因素变动对专项债券本息资金覆盖情况的影响。</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总体而言，本项目通过调剂专项债可实现降低融资成本，是现阶段解决本项目融资资金问题的推荐方案，申请本次债券资金需求合理。</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（六）项目偿债计划可行性和偿债风险点</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项目偿债计划为拟在还本付息年份内，安排土地出让收入、专项收入等作为债券偿债的主要来源，可以测算得出本项目未来用于还本付息的收入可以覆盖债券还本付息，具备可行性。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但尽管上述对于收入预测遵循了谨慎性原则进行保守推测，但是由于受宏观经济及市场影响较大，存在以上偿债风险点，详见“风险评估”。</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（七）绩效目标合理性</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根据财预〔2020〕10号文绩效指标框架，按照财预〔2021〕61号文事前绩效评估管理办法相关原则，并结合本项目特点，按照“注重规范、突出效果”的原则设计本项目个性评价指标，确保绩效目标可评、可量、可用于指导项目实施阶段绩效评价。本项目事前评价设定的指标如下：</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Layout w:type="autofit"/>
        <w:tblCellMar>
          <w:top w:w="0" w:type="dxa"/>
          <w:left w:w="0" w:type="dxa"/>
          <w:bottom w:w="0" w:type="dxa"/>
          <w:right w:w="0" w:type="dxa"/>
        </w:tblCellMar>
      </w:tblPr>
      <w:tblGrid>
        <w:gridCol w:w="510"/>
        <w:gridCol w:w="795"/>
        <w:gridCol w:w="865"/>
        <w:gridCol w:w="1207"/>
        <w:gridCol w:w="3044"/>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tcMar>
              <w:top w:w="12" w:type="dxa"/>
              <w:left w:w="12" w:type="dxa"/>
              <w:bottom w:w="0" w:type="dxa"/>
              <w:right w:w="12" w:type="dxa"/>
            </w:tcMar>
            <w:vAlign w:val="center"/>
          </w:tcPr>
          <w:p>
            <w:pPr>
              <w:widowControl/>
              <w:spacing w:after="0" w:line="240" w:lineRule="auto"/>
              <w:jc w:val="center"/>
              <w:textAlignment w:val="center"/>
              <w:rPr>
                <w:rFonts w:ascii="楷体" w:hAnsi="楷体" w:eastAsia="楷体" w:cs="Times New Roman"/>
                <w:b/>
                <w:kern w:val="0"/>
                <w:szCs w:val="21"/>
              </w:rPr>
            </w:pPr>
            <w:r>
              <w:rPr>
                <w:rFonts w:hint="eastAsia" w:ascii="楷体" w:hAnsi="楷体" w:eastAsia="楷体" w:cs="Times New Roman"/>
                <w:b/>
                <w:kern w:val="0"/>
                <w:szCs w:val="21"/>
              </w:rPr>
              <w:t>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783" w:type="pct"/>
            <w:gridSpan w:val="2"/>
            <w:tcBorders>
              <w:top w:val="single" w:color="auto" w:sz="4" w:space="0"/>
              <w:left w:val="single" w:color="auto" w:sz="4" w:space="0"/>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项目目标</w:t>
            </w:r>
          </w:p>
        </w:tc>
        <w:tc>
          <w:tcPr>
            <w:tcW w:w="4217" w:type="pct"/>
            <w:gridSpan w:val="4"/>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弥补基建短板，夯实自贸港建设的公共设施基础。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2026" w:type="pct"/>
            <w:gridSpan w:val="4"/>
            <w:tcBorders>
              <w:top w:val="single" w:color="auto" w:sz="4" w:space="0"/>
              <w:left w:val="single" w:color="auto" w:sz="4" w:space="0"/>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绩效指标</w:t>
            </w:r>
          </w:p>
        </w:tc>
        <w:tc>
          <w:tcPr>
            <w:tcW w:w="1826" w:type="pct"/>
            <w:vMerge w:val="restart"/>
            <w:tcBorders>
              <w:top w:val="nil"/>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指标内容</w:t>
            </w:r>
          </w:p>
        </w:tc>
        <w:tc>
          <w:tcPr>
            <w:tcW w:w="1148" w:type="pct"/>
            <w:vMerge w:val="restar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绩效指标设定依据及指标值数据来源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306" w:type="pct"/>
            <w:tcBorders>
              <w:top w:val="single" w:color="auto" w:sz="4" w:space="0"/>
              <w:left w:val="single" w:color="auto" w:sz="4" w:space="0"/>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一级指标</w:t>
            </w:r>
          </w:p>
        </w:tc>
        <w:tc>
          <w:tcPr>
            <w:tcW w:w="477"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二级指标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三级指标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b/>
                <w:szCs w:val="21"/>
              </w:rPr>
            </w:pPr>
            <w:r>
              <w:rPr>
                <w:rFonts w:hint="eastAsia" w:ascii="楷体" w:hAnsi="楷体" w:eastAsia="楷体" w:cs="Times New Roman"/>
                <w:b/>
                <w:kern w:val="0"/>
                <w:szCs w:val="21"/>
              </w:rPr>
              <w:t>指标值</w:t>
            </w: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ind w:firstLine="480"/>
              <w:jc w:val="left"/>
              <w:rPr>
                <w:rFonts w:ascii="楷体" w:hAnsi="楷体" w:eastAsia="楷体" w:cs="Times New Roman"/>
                <w:b/>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spacing w:after="0" w:line="240" w:lineRule="auto"/>
              <w:ind w:firstLine="480"/>
              <w:jc w:val="left"/>
              <w:rPr>
                <w:rFonts w:ascii="楷体" w:hAnsi="楷体" w:eastAsia="楷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306" w:type="pct"/>
            <w:vMerge w:val="restart"/>
            <w:tcBorders>
              <w:top w:val="nil"/>
              <w:left w:val="single" w:color="auto" w:sz="4" w:space="0"/>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产出指标</w:t>
            </w:r>
          </w:p>
        </w:tc>
        <w:tc>
          <w:tcPr>
            <w:tcW w:w="477" w:type="pct"/>
            <w:vMerge w:val="restart"/>
            <w:tcBorders>
              <w:top w:val="nil"/>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数量指标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szCs w:val="21"/>
              </w:rPr>
              <w:t>建设规模指标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85%</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topLinePunct/>
              <w:adjustRightInd w:val="0"/>
              <w:snapToGrid w:val="0"/>
              <w:spacing w:after="0" w:line="360" w:lineRule="auto"/>
              <w:ind w:firstLine="420" w:firstLineChars="200"/>
              <w:rPr>
                <w:rFonts w:ascii="楷体" w:hAnsi="楷体" w:eastAsia="楷体" w:cs="Times New Roman"/>
                <w:szCs w:val="21"/>
              </w:rPr>
            </w:pPr>
            <w:r>
              <w:rPr>
                <w:rFonts w:hint="eastAsia" w:ascii="楷体" w:hAnsi="楷体" w:eastAsia="楷体" w:cs="Times New Roman"/>
                <w:szCs w:val="21"/>
              </w:rPr>
              <w:t>本项目起点接现状江东大道已建成管廊，终点至空港环路(即桂江大道),总长约8.5km,其中江东大道段管廊约1.0km,东寨港段管廊(包含过美兰互通并下穿海文高速段)约7.5km,规模为双仓支线型，配套建设分控中心一座。</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可行性研究报告、初步设计及其批复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投资完成率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85%</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项目年度完成投资额占总投资比值</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widowControl/>
              <w:adjustRightInd w:val="0"/>
              <w:snapToGrid w:val="0"/>
              <w:spacing w:after="0" w:line="240" w:lineRule="auto"/>
              <w:rPr>
                <w:rFonts w:ascii="楷体" w:hAnsi="楷体" w:eastAsia="楷体" w:cs="Times New Roman"/>
                <w:szCs w:val="21"/>
              </w:rPr>
            </w:pPr>
            <w:r>
              <w:rPr>
                <w:rFonts w:hint="eastAsia" w:ascii="楷体" w:hAnsi="楷体" w:eastAsia="楷体" w:cs="Times New Roman"/>
                <w:kern w:val="0"/>
                <w:szCs w:val="21"/>
              </w:rPr>
              <w:t>《项目收益与融资自求平衡方案》资金筹措及使用计划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资金使用率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90%</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年度内专项债券资金使用情况</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widowControl/>
              <w:adjustRightInd w:val="0"/>
              <w:snapToGrid w:val="0"/>
              <w:spacing w:after="0" w:line="240" w:lineRule="auto"/>
              <w:rPr>
                <w:rFonts w:ascii="楷体" w:hAnsi="楷体" w:eastAsia="楷体" w:cs="Times New Roman"/>
                <w:szCs w:val="21"/>
              </w:rPr>
            </w:pPr>
            <w:r>
              <w:rPr>
                <w:rFonts w:hint="eastAsia" w:ascii="楷体" w:hAnsi="楷体" w:eastAsia="楷体" w:cs="Times New Roman"/>
                <w:kern w:val="0"/>
                <w:szCs w:val="21"/>
              </w:rPr>
              <w:t>《项目收益与融资自求平衡方案》资金筹措及使用计划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477"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质量指标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szCs w:val="21"/>
              </w:rPr>
              <w:t>工程质量合格率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95%</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项目验收合格率</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《建设工程质量管理条例》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477" w:type="pct"/>
            <w:vMerge w:val="restart"/>
            <w:tcBorders>
              <w:top w:val="nil"/>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时效指标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开工时效</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szCs w:val="21"/>
              </w:rPr>
              <w:t>按期开工</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项目开工时间</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可行性研究报告、初步设计及其批复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完工时效</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szCs w:val="21"/>
              </w:rPr>
              <w:t>按期完工</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项目完工时间</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可行性研究报告、初步设计及其批复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建设期资金到位率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90%</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kern w:val="0"/>
                <w:szCs w:val="21"/>
              </w:rPr>
              <w:t>建设期项目建设资金到位率</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《项目收益与融资自求平衡方案》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477"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成本指标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项目总投资</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85%</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总投资按时到位</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《项目收益与融资自求平衡方案》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306" w:type="pct"/>
            <w:vMerge w:val="restart"/>
            <w:tcBorders>
              <w:top w:val="nil"/>
              <w:left w:val="single" w:color="auto" w:sz="4" w:space="0"/>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效益指标</w:t>
            </w:r>
          </w:p>
        </w:tc>
        <w:tc>
          <w:tcPr>
            <w:tcW w:w="477" w:type="pct"/>
            <w:vMerge w:val="restart"/>
            <w:tcBorders>
              <w:top w:val="nil"/>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经济效益指标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项目总投资收益率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szCs w:val="21"/>
              </w:rPr>
              <w:t>不低于行业平均水平</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kern w:val="0"/>
                <w:szCs w:val="21"/>
              </w:rPr>
              <w:t>总投资收益率=项目可偿债收益/总投资</w:t>
            </w:r>
          </w:p>
        </w:tc>
        <w:tc>
          <w:tcPr>
            <w:tcW w:w="1148" w:type="pct"/>
            <w:vMerge w:val="restart"/>
            <w:tcBorders>
              <w:top w:val="nil"/>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《项目收益与融资自求平衡方案》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kern w:val="0"/>
                <w:szCs w:val="21"/>
              </w:rPr>
            </w:pPr>
            <w:r>
              <w:rPr>
                <w:rFonts w:hint="eastAsia" w:ascii="楷体" w:hAnsi="楷体" w:eastAsia="楷体" w:cs="Times New Roman"/>
                <w:kern w:val="0"/>
                <w:szCs w:val="21"/>
              </w:rPr>
              <w:t>项目总收益</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kern w:val="0"/>
                <w:szCs w:val="21"/>
              </w:rPr>
            </w:pPr>
            <w:r>
              <w:rPr>
                <w:rFonts w:hint="eastAsia" w:ascii="楷体" w:hAnsi="楷体" w:eastAsia="楷体" w:cs="Times New Roman"/>
                <w:kern w:val="0"/>
                <w:szCs w:val="21"/>
              </w:rPr>
              <w:t>不低于行业平均水平</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kern w:val="0"/>
                <w:szCs w:val="21"/>
              </w:rPr>
            </w:pPr>
            <w:r>
              <w:rPr>
                <w:rFonts w:hint="eastAsia" w:ascii="楷体" w:hAnsi="楷体" w:eastAsia="楷体" w:cs="Times New Roman"/>
                <w:kern w:val="0"/>
                <w:szCs w:val="21"/>
              </w:rPr>
              <w:t>债券存续期项目可偿债总收益</w:t>
            </w:r>
          </w:p>
        </w:tc>
        <w:tc>
          <w:tcPr>
            <w:tcW w:w="0" w:type="auto"/>
            <w:vMerge w:val="continue"/>
            <w:tcBorders>
              <w:top w:val="nil"/>
              <w:left w:val="nil"/>
              <w:bottom w:val="single" w:color="auto" w:sz="4" w:space="0"/>
              <w:right w:val="single" w:color="auto" w:sz="4" w:space="0"/>
            </w:tcBorders>
            <w:vAlign w:val="center"/>
          </w:tcPr>
          <w:p>
            <w:pPr>
              <w:widowControl/>
              <w:spacing w:after="0" w:line="240" w:lineRule="auto"/>
              <w:jc w:val="left"/>
              <w:rPr>
                <w:rFonts w:ascii="楷体" w:hAnsi="楷体" w:eastAsia="楷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477"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社会效益指标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设计功能实现率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≥85%</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kern w:val="0"/>
                <w:szCs w:val="21"/>
              </w:rPr>
              <w:t>设计功能实现率</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可行性研究报告、初步设计及其批复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477"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生态效益指标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提升了环境的承载力</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95%</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kern w:val="0"/>
                <w:szCs w:val="21"/>
              </w:rPr>
              <w:t>促进人居环境提升，推动可持续发展，提升环境承载力，助力海南省生态文明建设</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可行性研究报告、初步设计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477" w:type="pct"/>
            <w:vMerge w:val="restart"/>
            <w:tcBorders>
              <w:top w:val="nil"/>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可持续影响指标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总债务本息保障倍数</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w:t>
            </w:r>
            <w:r>
              <w:rPr>
                <w:rFonts w:hint="eastAsia" w:ascii="楷体" w:hAnsi="楷体" w:eastAsia="楷体" w:cs="Times New Roman"/>
                <w:szCs w:val="21"/>
              </w:rPr>
              <w:t>1.20</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偿债能力</w:t>
            </w:r>
          </w:p>
        </w:tc>
        <w:tc>
          <w:tcPr>
            <w:tcW w:w="1148" w:type="pct"/>
            <w:vMerge w:val="restart"/>
            <w:tcBorders>
              <w:top w:val="nil"/>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《项目收益与融资自求平衡方案》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0" w:type="auto"/>
            <w:vMerge w:val="continue"/>
            <w:tcBorders>
              <w:top w:val="nil"/>
              <w:left w:val="single" w:color="auto" w:sz="4" w:space="0"/>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0" w:type="auto"/>
            <w:vMerge w:val="continue"/>
            <w:tcBorders>
              <w:top w:val="nil"/>
              <w:left w:val="nil"/>
              <w:bottom w:val="single" w:color="auto" w:sz="4" w:space="0"/>
              <w:right w:val="single" w:color="000000" w:sz="4" w:space="0"/>
            </w:tcBorders>
            <w:vAlign w:val="center"/>
          </w:tcPr>
          <w:p>
            <w:pPr>
              <w:widowControl/>
              <w:spacing w:after="0" w:line="240" w:lineRule="auto"/>
              <w:jc w:val="left"/>
              <w:rPr>
                <w:rFonts w:ascii="楷体" w:hAnsi="楷体" w:eastAsia="楷体" w:cs="Times New Roman"/>
                <w:szCs w:val="21"/>
              </w:rPr>
            </w:pP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工程使用年限</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w:t>
            </w:r>
            <w:r>
              <w:rPr>
                <w:rFonts w:ascii="楷体" w:hAnsi="楷体" w:eastAsia="楷体" w:cs="Times New Roman"/>
                <w:kern w:val="0"/>
                <w:szCs w:val="21"/>
              </w:rPr>
              <w:t>1</w:t>
            </w:r>
            <w:r>
              <w:rPr>
                <w:rFonts w:hint="eastAsia" w:ascii="楷体" w:hAnsi="楷体" w:eastAsia="楷体" w:cs="Times New Roman"/>
                <w:kern w:val="0"/>
                <w:szCs w:val="21"/>
              </w:rPr>
              <w:t>0年</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工程使用寿命</w:t>
            </w:r>
          </w:p>
        </w:tc>
        <w:tc>
          <w:tcPr>
            <w:tcW w:w="0" w:type="auto"/>
            <w:vMerge w:val="continue"/>
            <w:tcBorders>
              <w:top w:val="nil"/>
              <w:left w:val="nil"/>
              <w:bottom w:val="single" w:color="auto" w:sz="4" w:space="0"/>
              <w:right w:val="single" w:color="auto" w:sz="4" w:space="0"/>
            </w:tcBorders>
            <w:vAlign w:val="center"/>
          </w:tcPr>
          <w:p>
            <w:pPr>
              <w:widowControl/>
              <w:spacing w:after="0" w:line="240" w:lineRule="auto"/>
              <w:jc w:val="left"/>
              <w:rPr>
                <w:rFonts w:ascii="楷体" w:hAnsi="楷体" w:eastAsia="楷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000000" w:sz="4" w:space="0"/>
          </w:tblBorders>
          <w:tblCellMar>
            <w:top w:w="0" w:type="dxa"/>
            <w:left w:w="0" w:type="dxa"/>
            <w:bottom w:w="0" w:type="dxa"/>
            <w:right w:w="0" w:type="dxa"/>
          </w:tblCellMar>
        </w:tblPrEx>
        <w:trPr>
          <w:trHeight w:val="20" w:hRule="atLeast"/>
          <w:jc w:val="center"/>
        </w:trPr>
        <w:tc>
          <w:tcPr>
            <w:tcW w:w="306" w:type="pct"/>
            <w:tcBorders>
              <w:top w:val="single" w:color="auto" w:sz="4" w:space="0"/>
              <w:left w:val="single" w:color="auto" w:sz="4" w:space="0"/>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满意度指标</w:t>
            </w:r>
          </w:p>
        </w:tc>
        <w:tc>
          <w:tcPr>
            <w:tcW w:w="477"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服务对象满意度指标</w:t>
            </w:r>
          </w:p>
        </w:tc>
        <w:tc>
          <w:tcPr>
            <w:tcW w:w="519"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Times New Roman"/>
                <w:kern w:val="0"/>
                <w:szCs w:val="21"/>
              </w:rPr>
              <w:t>居民满意度指标</w:t>
            </w:r>
          </w:p>
        </w:tc>
        <w:tc>
          <w:tcPr>
            <w:tcW w:w="724"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widowControl/>
              <w:spacing w:after="0" w:line="240" w:lineRule="auto"/>
              <w:textAlignment w:val="center"/>
              <w:rPr>
                <w:rFonts w:ascii="楷体" w:hAnsi="楷体" w:eastAsia="楷体" w:cs="Times New Roman"/>
                <w:szCs w:val="21"/>
              </w:rPr>
            </w:pPr>
            <w:r>
              <w:rPr>
                <w:rFonts w:hint="eastAsia" w:ascii="楷体" w:hAnsi="楷体" w:eastAsia="楷体" w:cs="宋体"/>
                <w:kern w:val="0"/>
                <w:szCs w:val="21"/>
              </w:rPr>
              <w:t>≧</w:t>
            </w:r>
            <w:r>
              <w:rPr>
                <w:rFonts w:hint="eastAsia" w:ascii="楷体" w:hAnsi="楷体" w:eastAsia="楷体" w:cs="Times New Roman"/>
                <w:kern w:val="0"/>
                <w:szCs w:val="21"/>
              </w:rPr>
              <w:t>80%</w:t>
            </w:r>
          </w:p>
        </w:tc>
        <w:tc>
          <w:tcPr>
            <w:tcW w:w="1826" w:type="pct"/>
            <w:tcBorders>
              <w:top w:val="single" w:color="auto" w:sz="4" w:space="0"/>
              <w:left w:val="nil"/>
              <w:bottom w:val="single" w:color="auto" w:sz="4" w:space="0"/>
              <w:right w:val="single" w:color="000000"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居民满意度</w:t>
            </w:r>
          </w:p>
        </w:tc>
        <w:tc>
          <w:tcPr>
            <w:tcW w:w="1148" w:type="pct"/>
            <w:tcBorders>
              <w:top w:val="single" w:color="auto" w:sz="4" w:space="0"/>
              <w:left w:val="nil"/>
              <w:bottom w:val="single" w:color="auto" w:sz="4" w:space="0"/>
              <w:right w:val="single" w:color="auto" w:sz="4" w:space="0"/>
            </w:tcBorders>
            <w:tcMar>
              <w:top w:w="12" w:type="dxa"/>
              <w:left w:w="12" w:type="dxa"/>
              <w:bottom w:w="0" w:type="dxa"/>
              <w:right w:w="12" w:type="dxa"/>
            </w:tcMar>
            <w:vAlign w:val="center"/>
          </w:tcPr>
          <w:p>
            <w:pPr>
              <w:spacing w:after="0" w:line="240" w:lineRule="auto"/>
              <w:rPr>
                <w:rFonts w:ascii="楷体" w:hAnsi="楷体" w:eastAsia="楷体" w:cs="Times New Roman"/>
                <w:szCs w:val="21"/>
              </w:rPr>
            </w:pPr>
            <w:r>
              <w:rPr>
                <w:rFonts w:hint="eastAsia" w:ascii="楷体" w:hAnsi="楷体" w:eastAsia="楷体" w:cs="Times New Roman"/>
                <w:szCs w:val="21"/>
              </w:rPr>
              <w:t>可行性研究报告、初步设计</w:t>
            </w:r>
          </w:p>
        </w:tc>
      </w:tr>
    </w:tbl>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（八）其他需要纳入事前绩效评估的事项</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暂无。</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（九）整体结论</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综上，本项目经事前绩效评估，是已具备申请专项债券资金支持的必要性和可行性。</w:t>
      </w:r>
    </w:p>
    <w:p>
      <w:pPr>
        <w:spacing w:after="0" w:line="360" w:lineRule="auto"/>
        <w:ind w:firstLine="482"/>
        <w:rPr>
          <w:rFonts w:ascii="楷体" w:hAnsi="楷体" w:eastAsia="楷体" w:cs="宋体"/>
          <w:sz w:val="24"/>
          <w:szCs w:val="24"/>
        </w:rPr>
      </w:pPr>
      <w:r>
        <w:rPr>
          <w:rFonts w:hint="eastAsia" w:ascii="楷体" w:hAnsi="楷体" w:eastAsia="楷体" w:cs="宋体"/>
          <w:b/>
          <w:bCs/>
          <w:sz w:val="24"/>
          <w:szCs w:val="24"/>
        </w:rPr>
        <w:t>八、风险评估</w:t>
      </w:r>
    </w:p>
    <w:p>
      <w:pPr>
        <w:pStyle w:val="2"/>
      </w:pPr>
      <w:bookmarkStart w:id="11" w:name="_Toc498385763"/>
      <w:bookmarkStart w:id="12" w:name="_Toc498385095"/>
      <w:bookmarkStart w:id="13" w:name="_Toc498551274"/>
      <w:bookmarkStart w:id="14" w:name="_Toc20908"/>
      <w:r>
        <w:rPr>
          <w:rFonts w:hint="eastAsia"/>
        </w:rPr>
        <w:t>（一）影响项目施工进度或正常运营的风险及控制措施</w:t>
      </w:r>
      <w:bookmarkEnd w:id="11"/>
      <w:bookmarkEnd w:id="12"/>
      <w:bookmarkEnd w:id="13"/>
      <w:bookmarkEnd w:id="14"/>
    </w:p>
    <w:p>
      <w:pPr>
        <w:pStyle w:val="3"/>
        <w:spacing w:after="0" w:line="360" w:lineRule="auto"/>
        <w:ind w:firstLine="480"/>
        <w:rPr>
          <w:rFonts w:ascii="楷体" w:hAnsi="楷体" w:eastAsia="楷体" w:cs="宋体"/>
          <w:b w:val="0"/>
          <w:bCs w:val="0"/>
          <w:sz w:val="24"/>
          <w:szCs w:val="24"/>
        </w:rPr>
      </w:pPr>
      <w:bookmarkStart w:id="15" w:name="_Toc498385096"/>
      <w:bookmarkStart w:id="16" w:name="_Toc498385764"/>
      <w:bookmarkStart w:id="17" w:name="_Toc498551275"/>
      <w:bookmarkStart w:id="18" w:name="_Toc23168"/>
      <w:r>
        <w:rPr>
          <w:rFonts w:hint="eastAsia" w:ascii="楷体" w:hAnsi="楷体" w:eastAsia="楷体" w:cs="宋体"/>
          <w:b w:val="0"/>
          <w:bCs w:val="0"/>
          <w:sz w:val="24"/>
          <w:szCs w:val="24"/>
        </w:rPr>
        <w:t xml:space="preserve">1. </w:t>
      </w:r>
      <w:bookmarkEnd w:id="15"/>
      <w:bookmarkEnd w:id="16"/>
      <w:bookmarkEnd w:id="17"/>
      <w:r>
        <w:rPr>
          <w:rFonts w:hint="eastAsia" w:ascii="楷体" w:hAnsi="楷体" w:eastAsia="楷体" w:cs="宋体"/>
          <w:b w:val="0"/>
          <w:bCs w:val="0"/>
          <w:sz w:val="24"/>
          <w:szCs w:val="24"/>
        </w:rPr>
        <w:t>政策风险</w:t>
      </w:r>
      <w:bookmarkEnd w:id="18"/>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pPr>
        <w:pStyle w:val="3"/>
        <w:spacing w:after="0" w:line="360" w:lineRule="auto"/>
        <w:ind w:firstLine="480"/>
        <w:rPr>
          <w:rFonts w:ascii="楷体" w:hAnsi="楷体" w:eastAsia="楷体" w:cs="宋体"/>
          <w:b w:val="0"/>
          <w:bCs w:val="0"/>
          <w:sz w:val="24"/>
          <w:szCs w:val="24"/>
        </w:rPr>
      </w:pPr>
      <w:bookmarkStart w:id="19" w:name="_Toc498385765"/>
      <w:bookmarkStart w:id="20" w:name="_Toc498551276"/>
      <w:bookmarkStart w:id="21" w:name="_Toc498385097"/>
      <w:bookmarkStart w:id="22" w:name="_Toc26505"/>
      <w:r>
        <w:rPr>
          <w:rFonts w:hint="eastAsia" w:ascii="楷体" w:hAnsi="楷体" w:eastAsia="楷体" w:cs="宋体"/>
          <w:b w:val="0"/>
          <w:bCs w:val="0"/>
          <w:sz w:val="24"/>
          <w:szCs w:val="24"/>
        </w:rPr>
        <w:t xml:space="preserve">2. </w:t>
      </w:r>
      <w:bookmarkEnd w:id="19"/>
      <w:bookmarkEnd w:id="20"/>
      <w:bookmarkEnd w:id="21"/>
      <w:r>
        <w:rPr>
          <w:rFonts w:hint="eastAsia" w:ascii="楷体" w:hAnsi="楷体" w:eastAsia="楷体" w:cs="宋体"/>
          <w:b w:val="0"/>
          <w:bCs w:val="0"/>
          <w:sz w:val="24"/>
          <w:szCs w:val="24"/>
        </w:rPr>
        <w:t>项目实施与管理风险</w:t>
      </w:r>
      <w:bookmarkEnd w:id="22"/>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项目建设期间严格执行文明施工标准，确保项目对民众生活的影响降至最低。若收益暂时难以实现、不能偿还到期债券本金时，可考虑由政府财政统筹安排资金来满足债券存续期间的还本付息责任。</w:t>
      </w:r>
    </w:p>
    <w:p>
      <w:pPr>
        <w:pStyle w:val="3"/>
        <w:spacing w:after="0" w:line="360" w:lineRule="auto"/>
        <w:ind w:firstLine="480"/>
        <w:rPr>
          <w:rFonts w:ascii="楷体" w:hAnsi="楷体" w:eastAsia="楷体" w:cs="宋体"/>
          <w:b w:val="0"/>
          <w:bCs w:val="0"/>
          <w:sz w:val="24"/>
          <w:szCs w:val="24"/>
        </w:rPr>
      </w:pPr>
      <w:bookmarkStart w:id="23" w:name="_Toc22995"/>
      <w:r>
        <w:rPr>
          <w:rFonts w:hint="eastAsia" w:ascii="楷体" w:hAnsi="楷体" w:eastAsia="楷体" w:cs="宋体"/>
          <w:b w:val="0"/>
          <w:bCs w:val="0"/>
          <w:sz w:val="24"/>
          <w:szCs w:val="24"/>
        </w:rPr>
        <w:t>3. 财务风险</w:t>
      </w:r>
      <w:bookmarkEnd w:id="23"/>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总投资规模较大，可能会形成由于资金落实不到位，使项目工期延长，无法按时完成项目建设的风险。项目资金来源拟通过财政拨款、申请融资筹集解决，在融资资金的支撑下，项目的实施将会顺利进行，因此，项目面临的财务风险较小。</w:t>
      </w:r>
    </w:p>
    <w:p>
      <w:pPr>
        <w:pStyle w:val="3"/>
        <w:spacing w:after="0" w:line="360" w:lineRule="auto"/>
        <w:ind w:firstLine="480"/>
        <w:rPr>
          <w:rFonts w:ascii="楷体" w:hAnsi="楷体" w:eastAsia="楷体" w:cs="宋体"/>
          <w:b w:val="0"/>
          <w:bCs w:val="0"/>
          <w:sz w:val="24"/>
          <w:szCs w:val="24"/>
        </w:rPr>
      </w:pPr>
      <w:bookmarkStart w:id="24" w:name="_Toc18164"/>
      <w:r>
        <w:rPr>
          <w:rFonts w:hint="eastAsia" w:ascii="楷体" w:hAnsi="楷体" w:eastAsia="楷体" w:cs="宋体"/>
          <w:b w:val="0"/>
          <w:bCs w:val="0"/>
          <w:sz w:val="24"/>
          <w:szCs w:val="24"/>
        </w:rPr>
        <w:t>4. 社会风险</w:t>
      </w:r>
      <w:bookmarkEnd w:id="24"/>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pPr>
        <w:pStyle w:val="2"/>
      </w:pPr>
      <w:bookmarkStart w:id="25" w:name="_Toc498385766"/>
      <w:bookmarkStart w:id="26" w:name="_Toc17161"/>
      <w:bookmarkStart w:id="27" w:name="_Toc498385098"/>
      <w:bookmarkStart w:id="28" w:name="_Toc498551277"/>
      <w:r>
        <w:rPr>
          <w:rFonts w:hint="eastAsia"/>
        </w:rPr>
        <w:t>（二）影响项目收益的风险及控制措施</w:t>
      </w:r>
      <w:bookmarkEnd w:id="25"/>
      <w:bookmarkEnd w:id="26"/>
      <w:bookmarkEnd w:id="27"/>
      <w:bookmarkEnd w:id="28"/>
    </w:p>
    <w:p>
      <w:pPr>
        <w:spacing w:after="0" w:line="360" w:lineRule="auto"/>
        <w:ind w:firstLine="480" w:firstLineChars="200"/>
        <w:rPr>
          <w:rFonts w:ascii="楷体" w:hAnsi="楷体" w:eastAsia="楷体" w:cs="宋体"/>
          <w:sz w:val="24"/>
          <w:szCs w:val="24"/>
        </w:rPr>
      </w:pPr>
      <w:bookmarkStart w:id="29" w:name="_Toc498385767"/>
      <w:bookmarkStart w:id="30" w:name="_Toc498385099"/>
      <w:bookmarkStart w:id="31" w:name="_Toc498551279"/>
      <w:r>
        <w:rPr>
          <w:rFonts w:hint="eastAsia" w:ascii="楷体" w:hAnsi="楷体" w:eastAsia="楷体" w:cs="宋体"/>
          <w:sz w:val="24"/>
          <w:szCs w:val="24"/>
        </w:rPr>
        <w:t>工程可行性研究报告中的总投资额与实际造价成本可能会发生偏差，影响资金项目资金投入和发债计划安排。</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风险控制措施：按照市政府主管部门的批复结果及时调整项目资金投入计划，保障项目顺利实施。</w:t>
      </w:r>
    </w:p>
    <w:bookmarkEnd w:id="29"/>
    <w:bookmarkEnd w:id="30"/>
    <w:bookmarkEnd w:id="31"/>
    <w:p>
      <w:pPr>
        <w:tabs>
          <w:tab w:val="left" w:pos="789"/>
        </w:tabs>
        <w:spacing w:after="0" w:line="360" w:lineRule="auto"/>
        <w:ind w:left="420" w:leftChars="200"/>
        <w:jc w:val="left"/>
        <w:rPr>
          <w:rFonts w:ascii="楷体" w:hAnsi="楷体" w:eastAsia="楷体" w:cs="宋体"/>
          <w:b/>
          <w:bCs/>
          <w:sz w:val="24"/>
          <w:szCs w:val="24"/>
        </w:rPr>
      </w:pPr>
      <w:bookmarkStart w:id="32" w:name="_Toc498551286"/>
      <w:bookmarkStart w:id="33" w:name="_Toc498385105"/>
      <w:bookmarkStart w:id="34" w:name="_Toc498385773"/>
      <w:bookmarkStart w:id="35" w:name="_Toc7640"/>
      <w:r>
        <w:rPr>
          <w:rFonts w:hint="eastAsia" w:ascii="楷体" w:hAnsi="楷体" w:eastAsia="楷体" w:cs="宋体"/>
          <w:b/>
          <w:bCs/>
          <w:sz w:val="24"/>
          <w:szCs w:val="24"/>
        </w:rPr>
        <w:t>（三）影响融资平衡结果的风险及控制措施</w:t>
      </w:r>
      <w:bookmarkEnd w:id="32"/>
      <w:bookmarkEnd w:id="33"/>
      <w:bookmarkEnd w:id="34"/>
      <w:bookmarkEnd w:id="35"/>
      <w:bookmarkStart w:id="36" w:name="_Toc498385774"/>
      <w:bookmarkStart w:id="37" w:name="_Toc498551287"/>
      <w:bookmarkStart w:id="38" w:name="_Toc7555"/>
      <w:bookmarkStart w:id="39" w:name="_Toc498385106"/>
    </w:p>
    <w:p>
      <w:pPr>
        <w:tabs>
          <w:tab w:val="left" w:pos="789"/>
        </w:tabs>
        <w:spacing w:after="0" w:line="360" w:lineRule="auto"/>
        <w:ind w:left="420" w:leftChars="200"/>
        <w:jc w:val="left"/>
        <w:rPr>
          <w:rFonts w:ascii="楷体" w:hAnsi="楷体" w:eastAsia="楷体" w:cs="宋体"/>
          <w:sz w:val="24"/>
          <w:szCs w:val="24"/>
        </w:rPr>
      </w:pPr>
      <w:r>
        <w:rPr>
          <w:rFonts w:hint="eastAsia" w:ascii="楷体" w:hAnsi="楷体" w:eastAsia="楷体" w:cs="宋体"/>
          <w:sz w:val="24"/>
          <w:szCs w:val="24"/>
        </w:rPr>
        <w:t>1. 投资测算不准确风险</w:t>
      </w:r>
      <w:bookmarkEnd w:id="36"/>
      <w:bookmarkEnd w:id="37"/>
      <w:bookmarkEnd w:id="38"/>
      <w:bookmarkEnd w:id="39"/>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风险控制措施：债券内所含项目的可行性研究报告均聘请了国内知名研究院经过大量分析论证工作后得出，分析结果较为可靠。</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自筹资金比例。</w:t>
      </w:r>
    </w:p>
    <w:p>
      <w:pPr>
        <w:pStyle w:val="3"/>
        <w:spacing w:after="0" w:line="360" w:lineRule="auto"/>
        <w:ind w:firstLine="480"/>
        <w:rPr>
          <w:rFonts w:ascii="楷体" w:hAnsi="楷体" w:eastAsia="楷体" w:cs="宋体"/>
          <w:b w:val="0"/>
          <w:bCs w:val="0"/>
          <w:sz w:val="24"/>
          <w:szCs w:val="24"/>
        </w:rPr>
      </w:pPr>
      <w:bookmarkStart w:id="40" w:name="_Toc3687"/>
      <w:r>
        <w:rPr>
          <w:rFonts w:hint="eastAsia" w:ascii="楷体" w:hAnsi="楷体" w:eastAsia="楷体" w:cs="宋体"/>
          <w:b w:val="0"/>
          <w:bCs w:val="0"/>
          <w:sz w:val="24"/>
          <w:szCs w:val="24"/>
        </w:rPr>
        <w:t>2.利率波动风险</w:t>
      </w:r>
      <w:bookmarkEnd w:id="40"/>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pPr>
        <w:spacing w:after="0" w:line="360" w:lineRule="auto"/>
        <w:ind w:firstLine="482"/>
        <w:rPr>
          <w:rFonts w:ascii="楷体" w:hAnsi="楷体" w:eastAsia="楷体" w:cs="宋体"/>
          <w:b/>
          <w:bCs/>
          <w:sz w:val="24"/>
          <w:szCs w:val="24"/>
        </w:rPr>
      </w:pPr>
      <w:r>
        <w:rPr>
          <w:rFonts w:hint="eastAsia" w:ascii="楷体" w:hAnsi="楷体" w:eastAsia="楷体" w:cs="宋体"/>
          <w:b/>
          <w:bCs/>
          <w:sz w:val="24"/>
          <w:szCs w:val="24"/>
        </w:rPr>
        <w:t>九、偿债保障及投资者保护</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（一）本期专项债券偿债保障措施</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1、根据《财政部关于印发&lt;地方政府专项债务预算管理办法&gt;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pPr>
        <w:spacing w:after="0" w:line="360" w:lineRule="auto"/>
        <w:ind w:firstLine="482" w:firstLineChars="200"/>
        <w:rPr>
          <w:rFonts w:ascii="楷体" w:hAnsi="楷体" w:eastAsia="楷体" w:cs="宋体"/>
          <w:b/>
          <w:sz w:val="24"/>
          <w:szCs w:val="24"/>
        </w:rPr>
      </w:pPr>
      <w:r>
        <w:rPr>
          <w:rFonts w:hint="eastAsia" w:ascii="楷体" w:hAnsi="楷体" w:eastAsia="楷体" w:cs="宋体"/>
          <w:b/>
          <w:sz w:val="24"/>
          <w:szCs w:val="24"/>
        </w:rPr>
        <w:t>（二）本期专项债券的投资者保护措施</w:t>
      </w:r>
    </w:p>
    <w:p>
      <w:pPr>
        <w:spacing w:after="0" w:line="360" w:lineRule="auto"/>
        <w:ind w:firstLine="480" w:firstLineChars="200"/>
        <w:rPr>
          <w:rFonts w:ascii="楷体" w:hAnsi="楷体" w:eastAsia="楷体" w:cs="宋体"/>
          <w:sz w:val="24"/>
          <w:szCs w:val="24"/>
        </w:rPr>
      </w:pPr>
      <w:bookmarkStart w:id="41" w:name="_Hlk26170355"/>
      <w:r>
        <w:rPr>
          <w:rFonts w:hint="eastAsia" w:ascii="楷体" w:hAnsi="楷体" w:eastAsia="楷体" w:cs="宋体"/>
          <w:sz w:val="24"/>
          <w:szCs w:val="24"/>
        </w:rPr>
        <w:t>根据《中华人民共和国预算法》、《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bookmarkEnd w:id="41"/>
    </w:p>
    <w:p>
      <w:pPr>
        <w:spacing w:after="0" w:line="360" w:lineRule="auto"/>
        <w:ind w:firstLine="482"/>
        <w:rPr>
          <w:rFonts w:ascii="楷体" w:hAnsi="楷体" w:eastAsia="楷体" w:cs="宋体"/>
          <w:b/>
          <w:bCs/>
          <w:sz w:val="24"/>
          <w:szCs w:val="24"/>
        </w:rPr>
      </w:pPr>
      <w:r>
        <w:rPr>
          <w:rFonts w:hint="eastAsia" w:ascii="楷体" w:hAnsi="楷体" w:eastAsia="楷体" w:cs="宋体"/>
          <w:b/>
          <w:bCs/>
          <w:sz w:val="24"/>
          <w:szCs w:val="24"/>
        </w:rPr>
        <w:t>十、结论</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基于财政部对地方政府发行和调剂专项债券的要求，本项目可以通过调剂专项债券的方式进行融资以完成资金筹措，并以项目自身收益所对应的充足、稳定现金流作为还本付息的资金来源。</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综上所述，本次调剂项目债券金额，是解决本项目资金来源的较好方式。</w:t>
      </w:r>
    </w:p>
    <w:p>
      <w:pPr>
        <w:wordWrap w:val="0"/>
        <w:spacing w:after="0" w:line="360" w:lineRule="auto"/>
        <w:ind w:right="-58" w:firstLine="480" w:firstLineChars="200"/>
        <w:jc w:val="right"/>
        <w:rPr>
          <w:rFonts w:ascii="楷体" w:hAnsi="楷体" w:eastAsia="楷体" w:cs="宋体"/>
          <w:color w:val="000000"/>
          <w:kern w:val="0"/>
          <w:sz w:val="24"/>
          <w:szCs w:val="24"/>
        </w:rPr>
      </w:pPr>
    </w:p>
    <w:p>
      <w:pPr>
        <w:pStyle w:val="2"/>
        <w:wordWrap/>
      </w:pPr>
    </w:p>
    <w:p>
      <w:pPr>
        <w:spacing w:after="0" w:line="360" w:lineRule="auto"/>
        <w:ind w:right="-58" w:firstLine="480" w:firstLineChars="200"/>
        <w:jc w:val="right"/>
        <w:rPr>
          <w:rFonts w:ascii="楷体" w:hAnsi="楷体" w:eastAsia="楷体" w:cs="宋体"/>
          <w:color w:val="000000"/>
          <w:kern w:val="0"/>
          <w:sz w:val="24"/>
          <w:szCs w:val="24"/>
        </w:rPr>
      </w:pPr>
      <w:r>
        <w:rPr>
          <w:rFonts w:hint="eastAsia" w:ascii="楷体" w:hAnsi="楷体" w:eastAsia="楷体" w:cs="宋体"/>
          <w:color w:val="000000"/>
          <w:kern w:val="0"/>
          <w:sz w:val="24"/>
          <w:szCs w:val="24"/>
        </w:rPr>
        <w:t>海口市路桥建设投资有限公司</w:t>
      </w:r>
    </w:p>
    <w:p>
      <w:pPr>
        <w:spacing w:after="0" w:line="360" w:lineRule="auto"/>
        <w:ind w:right="-58" w:firstLine="480" w:firstLineChars="200"/>
        <w:jc w:val="right"/>
        <w:rPr>
          <w:rFonts w:ascii="楷体" w:hAnsi="楷体" w:eastAsia="楷体" w:cs="宋体"/>
        </w:rPr>
      </w:pPr>
      <w:r>
        <w:rPr>
          <w:rFonts w:hint="eastAsia" w:ascii="楷体" w:hAnsi="楷体" w:eastAsia="楷体" w:cs="宋体"/>
          <w:color w:val="000000"/>
          <w:kern w:val="0"/>
          <w:sz w:val="24"/>
          <w:szCs w:val="24"/>
        </w:rPr>
        <w:t>202</w:t>
      </w:r>
      <w:r>
        <w:rPr>
          <w:rFonts w:ascii="楷体" w:hAnsi="楷体" w:eastAsia="楷体" w:cs="宋体"/>
          <w:color w:val="000000"/>
          <w:kern w:val="0"/>
          <w:sz w:val="24"/>
          <w:szCs w:val="24"/>
        </w:rPr>
        <w:t>5</w:t>
      </w:r>
      <w:r>
        <w:rPr>
          <w:rFonts w:hint="eastAsia" w:ascii="楷体" w:hAnsi="楷体" w:eastAsia="楷体" w:cs="宋体"/>
          <w:color w:val="000000"/>
          <w:kern w:val="0"/>
          <w:sz w:val="24"/>
          <w:szCs w:val="24"/>
        </w:rPr>
        <w:t>年</w:t>
      </w:r>
      <w:r>
        <w:rPr>
          <w:rFonts w:ascii="楷体" w:hAnsi="楷体" w:eastAsia="楷体" w:cs="宋体"/>
          <w:color w:val="000000"/>
          <w:kern w:val="0"/>
          <w:sz w:val="24"/>
          <w:szCs w:val="24"/>
        </w:rPr>
        <w:t>6</w:t>
      </w:r>
      <w:r>
        <w:rPr>
          <w:rFonts w:hint="eastAsia" w:ascii="楷体" w:hAnsi="楷体" w:eastAsia="楷体" w:cs="宋体"/>
          <w:color w:val="000000"/>
          <w:kern w:val="0"/>
          <w:sz w:val="24"/>
          <w:szCs w:val="24"/>
        </w:rPr>
        <w:t>月</w:t>
      </w:r>
      <w:bookmarkStart w:id="42" w:name="_GoBack"/>
      <w:bookmarkEnd w:id="42"/>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1" w:fontKey="{7285AB3D-FA6E-4314-B9B6-71FA512F4A3D}"/>
  </w:font>
  <w:font w:name="华文楷体">
    <w:panose1 w:val="02010600040101010101"/>
    <w:charset w:val="86"/>
    <w:family w:val="auto"/>
    <w:pitch w:val="default"/>
    <w:sig w:usb0="00000287" w:usb1="080F0000" w:usb2="00000000" w:usb3="00000000" w:csb0="0004009F" w:csb1="DFD70000"/>
    <w:embedRegular r:id="rId2" w:fontKey="{109C4641-D459-4FC9-A693-E15B90D7EB83}"/>
  </w:font>
  <w:font w:name="仿宋">
    <w:panose1 w:val="02010609060101010101"/>
    <w:charset w:val="86"/>
    <w:family w:val="modern"/>
    <w:pitch w:val="default"/>
    <w:sig w:usb0="800002BF" w:usb1="38CF7CFA" w:usb2="00000016" w:usb3="00000000" w:csb0="00040001" w:csb1="00000000"/>
    <w:embedRegular r:id="rId3" w:fontKey="{C31DD72E-FE20-4D19-A999-7342709252AC}"/>
  </w:font>
  <w:font w:name="华文宋体">
    <w:panose1 w:val="02010600040101010101"/>
    <w:charset w:val="86"/>
    <w:family w:val="auto"/>
    <w:pitch w:val="default"/>
    <w:sig w:usb0="00000287" w:usb1="080F0000" w:usb2="00000000" w:usb3="00000000" w:csb0="0004009F" w:csb1="DFD70000"/>
    <w:embedRegular r:id="rId4" w:fontKey="{D98A5313-B1AA-4601-8F18-AAE65A6A56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B7230"/>
    <w:multiLevelType w:val="singleLevel"/>
    <w:tmpl w:val="611B7230"/>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0YmUwOWYzMzBiYmM3YzdjZWEzMzU0Njk2MjdkNzYifQ=="/>
  </w:docVars>
  <w:rsids>
    <w:rsidRoot w:val="00F94D2F"/>
    <w:rsid w:val="00010A4B"/>
    <w:rsid w:val="00045CA1"/>
    <w:rsid w:val="001662C6"/>
    <w:rsid w:val="0022220C"/>
    <w:rsid w:val="00225028"/>
    <w:rsid w:val="00250CD3"/>
    <w:rsid w:val="0027347D"/>
    <w:rsid w:val="00285BC7"/>
    <w:rsid w:val="002955EE"/>
    <w:rsid w:val="002C2FA5"/>
    <w:rsid w:val="002C5959"/>
    <w:rsid w:val="00391C45"/>
    <w:rsid w:val="003A3DA3"/>
    <w:rsid w:val="003B59ED"/>
    <w:rsid w:val="003D076E"/>
    <w:rsid w:val="003E2DFD"/>
    <w:rsid w:val="0041170C"/>
    <w:rsid w:val="004445DE"/>
    <w:rsid w:val="00456839"/>
    <w:rsid w:val="00462ABC"/>
    <w:rsid w:val="00480E05"/>
    <w:rsid w:val="004831B3"/>
    <w:rsid w:val="004A504F"/>
    <w:rsid w:val="004B61ED"/>
    <w:rsid w:val="004E4DB6"/>
    <w:rsid w:val="004E67AC"/>
    <w:rsid w:val="00511656"/>
    <w:rsid w:val="00511B9E"/>
    <w:rsid w:val="005578B8"/>
    <w:rsid w:val="006D22EB"/>
    <w:rsid w:val="006E7EF1"/>
    <w:rsid w:val="006F1C7A"/>
    <w:rsid w:val="006F3AD8"/>
    <w:rsid w:val="007725AE"/>
    <w:rsid w:val="007A3193"/>
    <w:rsid w:val="007F1540"/>
    <w:rsid w:val="00814B16"/>
    <w:rsid w:val="00834A0C"/>
    <w:rsid w:val="008713D2"/>
    <w:rsid w:val="008D2C85"/>
    <w:rsid w:val="008D6DCF"/>
    <w:rsid w:val="00975095"/>
    <w:rsid w:val="00975827"/>
    <w:rsid w:val="00986180"/>
    <w:rsid w:val="00A37C38"/>
    <w:rsid w:val="00A87BFA"/>
    <w:rsid w:val="00AB769B"/>
    <w:rsid w:val="00B27EA3"/>
    <w:rsid w:val="00B626D7"/>
    <w:rsid w:val="00B90749"/>
    <w:rsid w:val="00B91ABF"/>
    <w:rsid w:val="00BA20AA"/>
    <w:rsid w:val="00BC7FFB"/>
    <w:rsid w:val="00BE24D7"/>
    <w:rsid w:val="00C32756"/>
    <w:rsid w:val="00C35FA8"/>
    <w:rsid w:val="00CE4063"/>
    <w:rsid w:val="00D4064C"/>
    <w:rsid w:val="00D7404F"/>
    <w:rsid w:val="00D83B60"/>
    <w:rsid w:val="00DF7164"/>
    <w:rsid w:val="00E141DE"/>
    <w:rsid w:val="00E270B4"/>
    <w:rsid w:val="00E62306"/>
    <w:rsid w:val="00EB58FE"/>
    <w:rsid w:val="00EE276F"/>
    <w:rsid w:val="00F1351B"/>
    <w:rsid w:val="00F13BEF"/>
    <w:rsid w:val="00F7521B"/>
    <w:rsid w:val="00F94D2F"/>
    <w:rsid w:val="02BA6C98"/>
    <w:rsid w:val="06B62CBE"/>
    <w:rsid w:val="11B45146"/>
    <w:rsid w:val="17075595"/>
    <w:rsid w:val="1AFF15B0"/>
    <w:rsid w:val="1C18460C"/>
    <w:rsid w:val="1D527A73"/>
    <w:rsid w:val="24457FA2"/>
    <w:rsid w:val="25394749"/>
    <w:rsid w:val="2D21224C"/>
    <w:rsid w:val="2F245151"/>
    <w:rsid w:val="33EA3850"/>
    <w:rsid w:val="38EE5950"/>
    <w:rsid w:val="3D21189F"/>
    <w:rsid w:val="3DDD1570"/>
    <w:rsid w:val="526E45CC"/>
    <w:rsid w:val="52FB3500"/>
    <w:rsid w:val="59C9267A"/>
    <w:rsid w:val="5FE41830"/>
    <w:rsid w:val="61BC3E5A"/>
    <w:rsid w:val="68277187"/>
    <w:rsid w:val="6E557236"/>
    <w:rsid w:val="72D54ABB"/>
    <w:rsid w:val="73D4406C"/>
    <w:rsid w:val="7C904BFE"/>
    <w:rsid w:val="7CAB2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黑体"/>
      <w:kern w:val="2"/>
      <w:sz w:val="21"/>
      <w:szCs w:val="22"/>
      <w:lang w:val="en-US" w:eastAsia="zh-CN" w:bidi="ar-SA"/>
    </w:rPr>
  </w:style>
  <w:style w:type="paragraph" w:styleId="2">
    <w:name w:val="heading 2"/>
    <w:basedOn w:val="1"/>
    <w:next w:val="1"/>
    <w:unhideWhenUsed/>
    <w:qFormat/>
    <w:uiPriority w:val="0"/>
    <w:pPr>
      <w:keepNext/>
      <w:keepLines/>
      <w:spacing w:line="300" w:lineRule="auto"/>
      <w:ind w:firstLine="482" w:firstLineChars="200"/>
      <w:outlineLvl w:val="1"/>
    </w:pPr>
    <w:rPr>
      <w:rFonts w:ascii="楷体" w:hAnsi="楷体" w:eastAsia="楷体" w:cs="宋体"/>
      <w:b/>
      <w:bCs/>
      <w:sz w:val="24"/>
      <w:szCs w:val="28"/>
    </w:rPr>
  </w:style>
  <w:style w:type="paragraph" w:styleId="3">
    <w:name w:val="heading 3"/>
    <w:basedOn w:val="1"/>
    <w:next w:val="1"/>
    <w:unhideWhenUsed/>
    <w:qFormat/>
    <w:uiPriority w:val="0"/>
    <w:pPr>
      <w:keepNext/>
      <w:keepLines/>
      <w:spacing w:line="300" w:lineRule="auto"/>
      <w:ind w:firstLine="1446" w:firstLineChars="200"/>
      <w:outlineLvl w:val="2"/>
    </w:pPr>
    <w:rPr>
      <w:b/>
      <w:bCs/>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320"/>
        <w:tab w:val="right" w:pos="8640"/>
      </w:tabs>
    </w:pPr>
  </w:style>
  <w:style w:type="paragraph" w:styleId="5">
    <w:name w:val="header"/>
    <w:basedOn w:val="1"/>
    <w:link w:val="15"/>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footnote text"/>
    <w:basedOn w:val="1"/>
    <w:unhideWhenUsed/>
    <w:qFormat/>
    <w:uiPriority w:val="99"/>
    <w:pPr>
      <w:spacing w:after="0" w:line="240" w:lineRule="auto"/>
    </w:pPr>
    <w:rPr>
      <w:sz w:val="20"/>
      <w:szCs w:val="20"/>
    </w:rPr>
  </w:style>
  <w:style w:type="character" w:styleId="9">
    <w:name w:val="footnote reference"/>
    <w:basedOn w:val="8"/>
    <w:unhideWhenUsed/>
    <w:qFormat/>
    <w:uiPriority w:val="99"/>
    <w:rPr>
      <w:vertAlign w:val="superscript"/>
    </w:rPr>
  </w:style>
  <w:style w:type="paragraph" w:customStyle="1" w:styleId="10">
    <w:name w:val="Default"/>
    <w:qFormat/>
    <w:uiPriority w:val="0"/>
    <w:pPr>
      <w:widowControl w:val="0"/>
      <w:autoSpaceDE w:val="0"/>
      <w:autoSpaceDN w:val="0"/>
      <w:adjustRightInd w:val="0"/>
      <w:spacing w:after="160" w:line="259" w:lineRule="auto"/>
    </w:pPr>
    <w:rPr>
      <w:rFonts w:ascii="宋体" w:hAnsi="Times New Roman" w:eastAsia="宋体" w:cs="宋体"/>
      <w:color w:val="000000"/>
      <w:sz w:val="24"/>
      <w:szCs w:val="24"/>
      <w:lang w:val="en-US" w:eastAsia="zh-CN" w:bidi="ar-SA"/>
    </w:rPr>
  </w:style>
  <w:style w:type="paragraph" w:customStyle="1" w:styleId="11">
    <w:name w:val="CM13"/>
    <w:basedOn w:val="1"/>
    <w:next w:val="1"/>
    <w:qFormat/>
    <w:uiPriority w:val="99"/>
    <w:pPr>
      <w:autoSpaceDE w:val="0"/>
      <w:autoSpaceDN w:val="0"/>
      <w:adjustRightInd w:val="0"/>
      <w:jc w:val="left"/>
    </w:pPr>
    <w:rPr>
      <w:rFonts w:ascii="宋体"/>
      <w:kern w:val="0"/>
      <w:sz w:val="24"/>
      <w:szCs w:val="24"/>
    </w:rPr>
  </w:style>
  <w:style w:type="paragraph" w:customStyle="1" w:styleId="12">
    <w:name w:val="列表段落1"/>
    <w:basedOn w:val="1"/>
    <w:qFormat/>
    <w:uiPriority w:val="34"/>
    <w:pPr>
      <w:ind w:left="720"/>
      <w:contextualSpacing/>
    </w:pPr>
  </w:style>
  <w:style w:type="character" w:customStyle="1" w:styleId="13">
    <w:name w:val="font11"/>
    <w:basedOn w:val="8"/>
    <w:qFormat/>
    <w:uiPriority w:val="0"/>
    <w:rPr>
      <w:rFonts w:hint="eastAsia" w:ascii="华文楷体" w:hAnsi="华文楷体" w:eastAsia="华文楷体" w:cs="华文楷体"/>
      <w:color w:val="000000"/>
      <w:sz w:val="20"/>
      <w:szCs w:val="20"/>
      <w:u w:val="none"/>
    </w:rPr>
  </w:style>
  <w:style w:type="character" w:customStyle="1" w:styleId="14">
    <w:name w:val="font21"/>
    <w:basedOn w:val="8"/>
    <w:qFormat/>
    <w:uiPriority w:val="0"/>
    <w:rPr>
      <w:rFonts w:hint="eastAsia" w:ascii="华文楷体" w:hAnsi="华文楷体" w:eastAsia="华文楷体" w:cs="华文楷体"/>
      <w:b/>
      <w:color w:val="000000"/>
      <w:sz w:val="20"/>
      <w:szCs w:val="20"/>
      <w:u w:val="none"/>
    </w:rPr>
  </w:style>
  <w:style w:type="character" w:customStyle="1" w:styleId="15">
    <w:name w:val="页眉 字符"/>
    <w:basedOn w:val="8"/>
    <w:link w:val="5"/>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000" b="0" i="0" u="none" strike="noStrike" kern="1200" spc="0" baseline="0">
                <a:solidFill>
                  <a:schemeClr val="tx1">
                    <a:lumMod val="65000"/>
                    <a:lumOff val="35000"/>
                  </a:schemeClr>
                </a:solidFill>
                <a:latin typeface="华文楷体" panose="02010600040101010101" charset="-122"/>
                <a:ea typeface="华文楷体" panose="02010600040101010101" charset="-122"/>
                <a:cs typeface="华文楷体" panose="02010600040101010101" charset="-122"/>
                <a:sym typeface="华文楷体" panose="02010600040101010101" charset="-122"/>
              </a:defRPr>
            </a:pPr>
            <a:r>
              <a:rPr lang="zh-CN" sz="1000">
                <a:latin typeface="华文楷体" panose="02010600040101010101" charset="-122"/>
                <a:ea typeface="华文楷体" panose="02010600040101010101" charset="-122"/>
                <a:cs typeface="华文楷体" panose="02010600040101010101" charset="-122"/>
                <a:sym typeface="华文楷体" panose="02010600040101010101" charset="-122"/>
              </a:rPr>
              <a:t>单位：人民币万元</a:t>
            </a:r>
            <a:endParaRPr lang="en-US" sz="1000">
              <a:latin typeface="华文楷体" panose="02010600040101010101" charset="-122"/>
              <a:ea typeface="华文楷体" panose="02010600040101010101" charset="-122"/>
              <a:cs typeface="华文楷体" panose="02010600040101010101" charset="-122"/>
              <a:sym typeface="华文楷体" panose="02010600040101010101" charset="-122"/>
            </a:endParaRPr>
          </a:p>
        </c:rich>
      </c:tx>
      <c:layout>
        <c:manualLayout>
          <c:xMode val="edge"/>
          <c:yMode val="edge"/>
          <c:x val="0.832913888764001"/>
          <c:y val="0"/>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华文楷体" panose="02010600040101010101" charset="-122"/>
                    <a:ea typeface="华文楷体" panose="02010600040101010101" charset="-122"/>
                    <a:cs typeface="华文楷体" panose="02010600040101010101" charset="-122"/>
                    <a:sym typeface="华文楷体" panose="0201060004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'[海口市江东新区“一环多支”地下综合管廊骨架系统东半环工程项目-20250611.xlsm]现金流模拟测算表'!$J$2:$T$2</c:f>
              <c:numCache>
                <c:formatCode>General</c:formatCode>
                <c:ptCount val="11"/>
                <c:pt idx="0">
                  <c:v>2025</c:v>
                </c:pt>
                <c:pt idx="1">
                  <c:v>2026</c:v>
                </c:pt>
                <c:pt idx="2">
                  <c:v>2027</c:v>
                </c:pt>
                <c:pt idx="3">
                  <c:v>2028</c:v>
                </c:pt>
                <c:pt idx="4">
                  <c:v>2029</c:v>
                </c:pt>
                <c:pt idx="5">
                  <c:v>2030</c:v>
                </c:pt>
                <c:pt idx="6">
                  <c:v>2031</c:v>
                </c:pt>
                <c:pt idx="7">
                  <c:v>2032</c:v>
                </c:pt>
                <c:pt idx="8">
                  <c:v>2033</c:v>
                </c:pt>
                <c:pt idx="9">
                  <c:v>2034</c:v>
                </c:pt>
                <c:pt idx="10">
                  <c:v>2035</c:v>
                </c:pt>
              </c:numCache>
            </c:numRef>
          </c:cat>
          <c:val>
            <c:numRef>
              <c:f>'[海口市江东新区“一环多支”地下综合管廊骨架系统东半环工程项目-20250611.xlsm]现金流模拟测算表'!$J$23:$T$23</c:f>
              <c:numCache>
                <c:formatCode>_(* #,##0.00_);_(* \(#,##0.00\);_(* "-"??_);_(@_)</c:formatCode>
                <c:ptCount val="11"/>
                <c:pt idx="0">
                  <c:v>0</c:v>
                </c:pt>
                <c:pt idx="1">
                  <c:v>0</c:v>
                </c:pt>
                <c:pt idx="2">
                  <c:v>1016.66</c:v>
                </c:pt>
                <c:pt idx="3">
                  <c:v>1029.46</c:v>
                </c:pt>
                <c:pt idx="4">
                  <c:v>1042.26</c:v>
                </c:pt>
                <c:pt idx="5">
                  <c:v>1055.06</c:v>
                </c:pt>
                <c:pt idx="6">
                  <c:v>1067.86</c:v>
                </c:pt>
                <c:pt idx="7">
                  <c:v>1080.66</c:v>
                </c:pt>
                <c:pt idx="8">
                  <c:v>1093.46</c:v>
                </c:pt>
                <c:pt idx="9">
                  <c:v>1106.26</c:v>
                </c:pt>
                <c:pt idx="10">
                  <c:v>623.46</c:v>
                </c:pt>
              </c:numCache>
            </c:numRef>
          </c:val>
        </c:ser>
        <c:dLbls>
          <c:showLegendKey val="0"/>
          <c:showVal val="0"/>
          <c:showCatName val="0"/>
          <c:showSerName val="0"/>
          <c:showPercent val="0"/>
          <c:showBubbleSize val="0"/>
        </c:dLbls>
        <c:gapWidth val="219"/>
        <c:overlap val="-27"/>
        <c:axId val="501556952"/>
        <c:axId val="501557608"/>
      </c:barChart>
      <c:catAx>
        <c:axId val="501556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华文楷体" panose="02010600040101010101" charset="-122"/>
                <a:ea typeface="华文楷体" panose="02010600040101010101" charset="-122"/>
                <a:cs typeface="华文楷体" panose="02010600040101010101" charset="-122"/>
                <a:sym typeface="华文楷体" panose="02010600040101010101" charset="-122"/>
              </a:defRPr>
            </a:pPr>
          </a:p>
        </c:txPr>
        <c:crossAx val="501557608"/>
        <c:crosses val="autoZero"/>
        <c:auto val="1"/>
        <c:lblAlgn val="ctr"/>
        <c:lblOffset val="100"/>
        <c:noMultiLvlLbl val="0"/>
      </c:catAx>
      <c:valAx>
        <c:axId val="50155760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华文楷体" panose="02010600040101010101" charset="-122"/>
                <a:ea typeface="华文楷体" panose="02010600040101010101" charset="-122"/>
                <a:cs typeface="华文楷体" panose="02010600040101010101" charset="-122"/>
                <a:sym typeface="华文楷体" panose="02010600040101010101" charset="-122"/>
              </a:defRPr>
            </a:pPr>
          </a:p>
        </c:txPr>
        <c:crossAx val="501556952"/>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华文楷体" panose="02010600040101010101" charset="-122"/>
          <a:ea typeface="华文楷体" panose="02010600040101010101" charset="-122"/>
          <a:cs typeface="华文楷体" panose="02010600040101010101" charset="-122"/>
          <a:sym typeface="华文楷体" panose="02010600040101010101"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2147</Words>
  <Characters>12244</Characters>
  <Lines>102</Lines>
  <Paragraphs>28</Paragraphs>
  <TotalTime>9</TotalTime>
  <ScaleCrop>false</ScaleCrop>
  <LinksUpToDate>false</LinksUpToDate>
  <CharactersWithSpaces>14363</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2021-08-09T10:24:00Z</dcterms:created>
  <dc:creator>Administrator</dc:creator>
  <cp:lastModifiedBy>꧁꫞꯭韵꯭꫞꧂</cp:lastModifiedBy>
  <cp:lastPrinted>2025-06-22T02:06:57Z</cp:lastPrinted>
  <dcterms:modified xsi:type="dcterms:W3CDTF">2025-06-22T02:07:00Z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AB792CD516DE4546B182AD16CB8392F4</vt:lpwstr>
  </property>
  <property fmtid="{D5CDD505-2E9C-101B-9397-08002B2CF9AE}" pid="4" name="KSOTemplateDocerSaveRecord">
    <vt:lpwstr>eyJoZGlkIjoiZGY0YmUwOWYzMzBiYmM3YzdjZWEzMzU0Njk2MjdkNzYiLCJ1c2VySWQiOiIzMzYwNjUzMzIifQ==</vt:lpwstr>
  </property>
</Properties>
</file>