
<file path=[Content_Types].xml><?xml version="1.0" encoding="utf-8"?>
<Types xmlns="http://schemas.openxmlformats.org/package/2006/content-types">
  <Default Extension="xml" ContentType="application/xml"/>
  <Default Extension="xlsx" ContentType="application/vnd.openxmlformats-officedocument.spreadsheetml.sheet"/>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6F8D5C">
      <w:pPr>
        <w:spacing w:before="156"/>
        <w:ind w:right="84" w:firstLine="0" w:firstLineChars="0"/>
        <w:jc w:val="center"/>
        <w:rPr>
          <w:rFonts w:ascii="仿宋" w:hAnsi="仿宋" w:eastAsia="仿宋" w:cs="Times New Roman"/>
          <w:color w:val="000000" w:themeColor="text1"/>
          <w14:textFill>
            <w14:solidFill>
              <w14:schemeClr w14:val="tx1"/>
            </w14:solidFill>
          </w14:textFill>
        </w:rPr>
      </w:pPr>
      <w:bookmarkStart w:id="0" w:name="_Hlk155963699"/>
    </w:p>
    <w:p w14:paraId="418EE75A">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51633EEB">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67719902">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64D0301D">
      <w:pPr>
        <w:pStyle w:val="19"/>
        <w:spacing w:before="156"/>
        <w:ind w:right="84" w:firstLine="803"/>
        <w:jc w:val="center"/>
        <w:rPr>
          <w:rFonts w:ascii="仿宋" w:hAnsi="仿宋" w:eastAsia="仿宋"/>
          <w:b/>
          <w:bCs/>
        </w:rPr>
      </w:pPr>
      <w:bookmarkStart w:id="1" w:name="_Toc134777299"/>
      <w:bookmarkStart w:id="2" w:name="_Toc134621334"/>
      <w:bookmarkStart w:id="3" w:name="_Toc134623500"/>
      <w:r>
        <w:rPr>
          <w:rFonts w:hint="eastAsia" w:ascii="仿宋" w:hAnsi="仿宋" w:eastAsia="仿宋" w:cs="楷体"/>
          <w:b/>
          <w:color w:val="000000" w:themeColor="text1"/>
          <w:kern w:val="0"/>
          <w:sz w:val="40"/>
          <w14:textFill>
            <w14:solidFill>
              <w14:schemeClr w14:val="tx1"/>
            </w14:solidFill>
          </w14:textFill>
        </w:rPr>
        <w:t>2025年海南省政府专项债券（一期）</w:t>
      </w:r>
    </w:p>
    <w:p w14:paraId="21D2C60B">
      <w:pPr>
        <w:spacing w:before="156"/>
        <w:ind w:left="-809" w:leftChars="-337" w:right="-667" w:rightChars="-278" w:firstLine="803"/>
        <w:jc w:val="center"/>
        <w:rPr>
          <w:rFonts w:ascii="仿宋" w:hAnsi="仿宋" w:eastAsia="仿宋" w:cs="楷体"/>
          <w:b/>
          <w:color w:val="000000" w:themeColor="text1"/>
          <w:kern w:val="0"/>
          <w:sz w:val="40"/>
          <w:szCs w:val="44"/>
          <w:lang w:val="en-GB"/>
          <w14:textFill>
            <w14:solidFill>
              <w14:schemeClr w14:val="tx1"/>
            </w14:solidFill>
          </w14:textFill>
        </w:rPr>
      </w:pPr>
      <w:r>
        <w:rPr>
          <w:rFonts w:hint="eastAsia" w:ascii="仿宋" w:hAnsi="仿宋" w:eastAsia="仿宋" w:cs="楷体"/>
          <w:b/>
          <w:color w:val="000000" w:themeColor="text1"/>
          <w:kern w:val="0"/>
          <w:sz w:val="40"/>
          <w:szCs w:val="44"/>
          <w:lang w:val="en-GB"/>
          <w14:textFill>
            <w14:solidFill>
              <w14:schemeClr w14:val="tx1"/>
            </w14:solidFill>
          </w14:textFill>
        </w:rPr>
        <w:t>海口江东新区总部集聚区基础设施建设项目</w:t>
      </w:r>
    </w:p>
    <w:p w14:paraId="2E0450FD">
      <w:pPr>
        <w:spacing w:before="156"/>
        <w:ind w:left="-809" w:leftChars="-337" w:right="-667" w:rightChars="-278" w:firstLine="803"/>
        <w:jc w:val="center"/>
        <w:rPr>
          <w:rFonts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专项债券收益与融资自求平衡调整方案</w:t>
      </w:r>
    </w:p>
    <w:bookmarkEnd w:id="1"/>
    <w:bookmarkEnd w:id="2"/>
    <w:bookmarkEnd w:id="3"/>
    <w:p w14:paraId="2DB4E374">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391ACC12">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3DB43598">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4578D372">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7FC01259">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6715A7ED">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4754A457">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5E0D77EE">
      <w:pPr>
        <w:spacing w:before="156"/>
        <w:ind w:right="84" w:firstLine="0" w:firstLineChars="0"/>
        <w:jc w:val="center"/>
        <w:rPr>
          <w:rFonts w:ascii="仿宋" w:hAnsi="仿宋" w:eastAsia="仿宋" w:cs="Times New Roman"/>
          <w:color w:val="000000" w:themeColor="text1"/>
          <w14:textFill>
            <w14:solidFill>
              <w14:schemeClr w14:val="tx1"/>
            </w14:solidFill>
          </w14:textFill>
        </w:rPr>
      </w:pPr>
    </w:p>
    <w:p w14:paraId="3D3612D0">
      <w:pPr>
        <w:spacing w:before="156"/>
        <w:ind w:left="648" w:leftChars="270" w:right="84" w:firstLine="602"/>
        <w:jc w:val="left"/>
        <w:rPr>
          <w:rFonts w:ascii="仿宋" w:hAnsi="仿宋" w:eastAsia="仿宋"/>
          <w:b/>
          <w:sz w:val="30"/>
          <w:szCs w:val="30"/>
        </w:rPr>
      </w:pPr>
      <w:r>
        <w:rPr>
          <w:rFonts w:hint="eastAsia" w:ascii="仿宋" w:hAnsi="仿宋" w:eastAsia="仿宋"/>
          <w:b/>
          <w:sz w:val="30"/>
          <w:szCs w:val="30"/>
        </w:rPr>
        <w:t>项目单位：海口旅游文化投资发展集团有限公司</w:t>
      </w:r>
    </w:p>
    <w:p w14:paraId="0CEC5C11">
      <w:pPr>
        <w:spacing w:before="156"/>
        <w:ind w:left="648" w:leftChars="270" w:right="84" w:firstLine="602"/>
        <w:jc w:val="left"/>
        <w:rPr>
          <w:rFonts w:ascii="仿宋" w:hAnsi="仿宋" w:eastAsia="仿宋"/>
          <w:b/>
          <w:sz w:val="30"/>
          <w:szCs w:val="30"/>
        </w:rPr>
      </w:pPr>
      <w:r>
        <w:rPr>
          <w:rFonts w:hint="eastAsia" w:ascii="仿宋" w:hAnsi="仿宋" w:eastAsia="仿宋"/>
          <w:b/>
          <w:sz w:val="30"/>
          <w:szCs w:val="30"/>
        </w:rPr>
        <w:t>主管部门：海口江东新区管理局</w:t>
      </w:r>
    </w:p>
    <w:p w14:paraId="2561465B">
      <w:pPr>
        <w:spacing w:before="156"/>
        <w:ind w:right="84" w:firstLine="0" w:firstLineChars="0"/>
        <w:rPr>
          <w:rFonts w:ascii="仿宋" w:hAnsi="仿宋" w:eastAsia="仿宋" w:cs="Times New Roman"/>
          <w:bCs/>
          <w:color w:val="000000" w:themeColor="text1"/>
          <w:sz w:val="28"/>
          <w:szCs w:val="28"/>
          <w14:textFill>
            <w14:solidFill>
              <w14:schemeClr w14:val="tx1"/>
            </w14:solidFill>
          </w14:textFill>
        </w:rPr>
      </w:pPr>
    </w:p>
    <w:p w14:paraId="7492BB6C">
      <w:pPr>
        <w:spacing w:before="156" w:line="400" w:lineRule="exact"/>
        <w:ind w:right="84" w:firstLine="643"/>
        <w:jc w:val="center"/>
        <w:rPr>
          <w:rFonts w:ascii="仿宋" w:hAnsi="仿宋" w:eastAsia="仿宋"/>
          <w:b/>
          <w:sz w:val="32"/>
          <w:szCs w:val="32"/>
        </w:rPr>
      </w:pPr>
      <w:r>
        <w:rPr>
          <w:rFonts w:ascii="仿宋" w:hAnsi="仿宋" w:eastAsia="仿宋"/>
          <w:b/>
          <w:sz w:val="32"/>
          <w:szCs w:val="32"/>
        </w:rPr>
        <w:t>二〇二</w:t>
      </w:r>
      <w:r>
        <w:rPr>
          <w:rFonts w:hint="eastAsia" w:ascii="仿宋" w:hAnsi="仿宋" w:eastAsia="仿宋"/>
          <w:b/>
          <w:sz w:val="32"/>
          <w:szCs w:val="32"/>
        </w:rPr>
        <w:t>五</w:t>
      </w:r>
      <w:r>
        <w:rPr>
          <w:rFonts w:ascii="仿宋" w:hAnsi="仿宋" w:eastAsia="仿宋"/>
          <w:b/>
          <w:sz w:val="32"/>
          <w:szCs w:val="32"/>
        </w:rPr>
        <w:t>年</w:t>
      </w:r>
      <w:r>
        <w:rPr>
          <w:rFonts w:hint="eastAsia" w:ascii="仿宋" w:hAnsi="仿宋" w:eastAsia="仿宋"/>
          <w:b/>
          <w:sz w:val="32"/>
          <w:szCs w:val="32"/>
        </w:rPr>
        <w:t>六</w:t>
      </w:r>
      <w:r>
        <w:rPr>
          <w:rFonts w:ascii="仿宋" w:hAnsi="仿宋" w:eastAsia="仿宋"/>
          <w:b/>
          <w:sz w:val="32"/>
          <w:szCs w:val="32"/>
        </w:rPr>
        <w:t>月</w:t>
      </w:r>
    </w:p>
    <w:p w14:paraId="43954A23">
      <w:pPr>
        <w:spacing w:before="156"/>
        <w:ind w:right="84" w:firstLine="480"/>
        <w:rPr>
          <w:rFonts w:ascii="仿宋" w:hAnsi="仿宋" w:eastAsia="仿宋" w:cs="Times New Roman"/>
          <w:color w:val="000000" w:themeColor="text1"/>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sdt>
      <w:sdtPr>
        <w:rPr>
          <w:rFonts w:eastAsia="宋体" w:asciiTheme="minorHAnsi" w:hAnsiTheme="minorHAnsi"/>
          <w:sz w:val="24"/>
          <w:szCs w:val="22"/>
        </w:rPr>
        <w:id w:val="108949331"/>
        <w:docPartObj>
          <w:docPartGallery w:val="Table of Contents"/>
          <w:docPartUnique/>
        </w:docPartObj>
      </w:sdtPr>
      <w:sdtEndPr>
        <w:rPr>
          <w:rFonts w:eastAsia="宋体" w:cs="Times New Roman" w:asciiTheme="minorHAnsi" w:hAnsiTheme="minorHAnsi"/>
          <w:color w:val="000000" w:themeColor="text1"/>
          <w:sz w:val="24"/>
          <w:szCs w:val="22"/>
          <w14:textFill>
            <w14:solidFill>
              <w14:schemeClr w14:val="tx1"/>
            </w14:solidFill>
          </w14:textFill>
        </w:rPr>
      </w:sdtEndPr>
      <w:sdtContent>
        <w:p w14:paraId="5149ED97">
          <w:pPr>
            <w:pStyle w:val="45"/>
            <w:ind w:right="84"/>
          </w:pPr>
          <w:r>
            <w:rPr>
              <w:spacing w:val="100"/>
            </w:rPr>
            <w:t>目</w:t>
          </w:r>
          <w:r>
            <w:t>录</w:t>
          </w:r>
        </w:p>
        <w:p w14:paraId="541CC4DB">
          <w:pPr>
            <w:pStyle w:val="17"/>
            <w:spacing w:line="240" w:lineRule="auto"/>
            <w:rPr>
              <w:rFonts w:ascii="仿宋" w:hAnsi="仿宋" w:eastAsia="仿宋"/>
              <w:szCs w:val="24"/>
              <w14:ligatures w14:val="standardContextual"/>
            </w:rPr>
          </w:pPr>
          <w:r>
            <w:rPr>
              <w:rFonts w:ascii="仿宋" w:hAnsi="仿宋" w:eastAsia="仿宋" w:cs="Times New Roman"/>
              <w:szCs w:val="24"/>
            </w:rPr>
            <w:fldChar w:fldCharType="begin"/>
          </w:r>
          <w:r>
            <w:rPr>
              <w:rFonts w:ascii="仿宋" w:hAnsi="仿宋" w:eastAsia="仿宋" w:cs="Times New Roman"/>
              <w:szCs w:val="24"/>
            </w:rPr>
            <w:instrText xml:space="preserve"> TOC \o "1-3" \h \z \u </w:instrText>
          </w:r>
          <w:r>
            <w:rPr>
              <w:rFonts w:ascii="仿宋" w:hAnsi="仿宋" w:eastAsia="仿宋" w:cs="Times New Roman"/>
              <w:szCs w:val="24"/>
            </w:rPr>
            <w:fldChar w:fldCharType="separate"/>
          </w:r>
          <w:r>
            <w:fldChar w:fldCharType="begin"/>
          </w:r>
          <w:r>
            <w:instrText xml:space="preserve"> HYPERLINK \l "_Toc200711860" </w:instrText>
          </w:r>
          <w:r>
            <w:fldChar w:fldCharType="separate"/>
          </w:r>
          <w:r>
            <w:rPr>
              <w:rStyle w:val="28"/>
              <w:rFonts w:ascii="仿宋" w:hAnsi="仿宋" w:eastAsia="仿宋"/>
              <w:color w:val="auto"/>
              <w:szCs w:val="24"/>
            </w:rPr>
            <w:t>一、债券情况</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_Toc200711860 \h </w:instrText>
          </w:r>
          <w:r>
            <w:rPr>
              <w:rFonts w:ascii="仿宋" w:hAnsi="仿宋" w:eastAsia="仿宋"/>
              <w:szCs w:val="24"/>
            </w:rPr>
            <w:fldChar w:fldCharType="separate"/>
          </w:r>
          <w:r>
            <w:rPr>
              <w:rFonts w:ascii="仿宋" w:hAnsi="仿宋" w:eastAsia="仿宋"/>
              <w:szCs w:val="24"/>
            </w:rPr>
            <w:t>1</w:t>
          </w:r>
          <w:r>
            <w:rPr>
              <w:rFonts w:ascii="仿宋" w:hAnsi="仿宋" w:eastAsia="仿宋"/>
              <w:szCs w:val="24"/>
            </w:rPr>
            <w:fldChar w:fldCharType="end"/>
          </w:r>
          <w:r>
            <w:rPr>
              <w:rFonts w:ascii="仿宋" w:hAnsi="仿宋" w:eastAsia="仿宋"/>
              <w:szCs w:val="24"/>
            </w:rPr>
            <w:fldChar w:fldCharType="end"/>
          </w:r>
        </w:p>
        <w:p w14:paraId="6EB8D967">
          <w:pPr>
            <w:pStyle w:val="17"/>
            <w:spacing w:line="240" w:lineRule="auto"/>
            <w:rPr>
              <w:rFonts w:ascii="仿宋" w:hAnsi="仿宋" w:eastAsia="仿宋"/>
              <w:szCs w:val="24"/>
              <w14:ligatures w14:val="standardContextual"/>
            </w:rPr>
          </w:pPr>
          <w:r>
            <w:fldChar w:fldCharType="begin"/>
          </w:r>
          <w:r>
            <w:instrText xml:space="preserve"> HYPERLINK \l "_Toc200711861" </w:instrText>
          </w:r>
          <w:r>
            <w:fldChar w:fldCharType="separate"/>
          </w:r>
          <w:r>
            <w:rPr>
              <w:rStyle w:val="28"/>
              <w:rFonts w:ascii="仿宋" w:hAnsi="仿宋" w:eastAsia="仿宋"/>
              <w:color w:val="auto"/>
              <w:szCs w:val="24"/>
            </w:rPr>
            <w:t>二、地区区位、经济概况</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_Toc200711861 \h </w:instrText>
          </w:r>
          <w:r>
            <w:rPr>
              <w:rFonts w:ascii="仿宋" w:hAnsi="仿宋" w:eastAsia="仿宋"/>
              <w:szCs w:val="24"/>
            </w:rPr>
            <w:fldChar w:fldCharType="separate"/>
          </w:r>
          <w:r>
            <w:rPr>
              <w:rFonts w:ascii="仿宋" w:hAnsi="仿宋" w:eastAsia="仿宋"/>
              <w:szCs w:val="24"/>
            </w:rPr>
            <w:t>1</w:t>
          </w:r>
          <w:r>
            <w:rPr>
              <w:rFonts w:ascii="仿宋" w:hAnsi="仿宋" w:eastAsia="仿宋"/>
              <w:szCs w:val="24"/>
            </w:rPr>
            <w:fldChar w:fldCharType="end"/>
          </w:r>
          <w:r>
            <w:rPr>
              <w:rFonts w:ascii="仿宋" w:hAnsi="仿宋" w:eastAsia="仿宋"/>
              <w:szCs w:val="24"/>
            </w:rPr>
            <w:fldChar w:fldCharType="end"/>
          </w:r>
        </w:p>
        <w:p w14:paraId="44792813">
          <w:pPr>
            <w:pStyle w:val="17"/>
            <w:spacing w:line="240" w:lineRule="auto"/>
            <w:rPr>
              <w:rFonts w:ascii="仿宋" w:hAnsi="仿宋" w:eastAsia="仿宋"/>
              <w:szCs w:val="24"/>
              <w14:ligatures w14:val="standardContextual"/>
            </w:rPr>
          </w:pPr>
          <w:r>
            <w:fldChar w:fldCharType="begin"/>
          </w:r>
          <w:r>
            <w:instrText xml:space="preserve"> HYPERLINK \l "_Toc200711862" </w:instrText>
          </w:r>
          <w:r>
            <w:fldChar w:fldCharType="separate"/>
          </w:r>
          <w:r>
            <w:rPr>
              <w:rStyle w:val="28"/>
              <w:rFonts w:ascii="仿宋" w:hAnsi="仿宋" w:eastAsia="仿宋"/>
              <w:color w:val="auto"/>
              <w:szCs w:val="24"/>
              <w:lang w:val="en-GB"/>
            </w:rPr>
            <w:t>（一）项目区位情况</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_Toc200711862 \h </w:instrText>
          </w:r>
          <w:r>
            <w:rPr>
              <w:rFonts w:ascii="仿宋" w:hAnsi="仿宋" w:eastAsia="仿宋"/>
              <w:szCs w:val="24"/>
            </w:rPr>
            <w:fldChar w:fldCharType="separate"/>
          </w:r>
          <w:r>
            <w:rPr>
              <w:rFonts w:ascii="仿宋" w:hAnsi="仿宋" w:eastAsia="仿宋"/>
              <w:szCs w:val="24"/>
            </w:rPr>
            <w:t>1</w:t>
          </w:r>
          <w:r>
            <w:rPr>
              <w:rFonts w:ascii="仿宋" w:hAnsi="仿宋" w:eastAsia="仿宋"/>
              <w:szCs w:val="24"/>
            </w:rPr>
            <w:fldChar w:fldCharType="end"/>
          </w:r>
          <w:r>
            <w:rPr>
              <w:rFonts w:ascii="仿宋" w:hAnsi="仿宋" w:eastAsia="仿宋"/>
              <w:szCs w:val="24"/>
            </w:rPr>
            <w:fldChar w:fldCharType="end"/>
          </w:r>
        </w:p>
        <w:p w14:paraId="77032ADB">
          <w:pPr>
            <w:pStyle w:val="15"/>
            <w:tabs>
              <w:tab w:val="right" w:leader="dot" w:pos="8296"/>
            </w:tabs>
            <w:spacing w:line="240" w:lineRule="auto"/>
            <w:rPr>
              <w:rFonts w:ascii="仿宋" w:hAnsi="仿宋" w:eastAsia="仿宋"/>
              <w:szCs w:val="24"/>
              <w14:ligatures w14:val="standardContextual"/>
            </w:rPr>
          </w:pPr>
          <w:r>
            <w:fldChar w:fldCharType="begin"/>
          </w:r>
          <w:r>
            <w:instrText xml:space="preserve"> HYPERLINK \l "_Toc200711863" </w:instrText>
          </w:r>
          <w:r>
            <w:fldChar w:fldCharType="separate"/>
          </w:r>
          <w:r>
            <w:rPr>
              <w:rStyle w:val="28"/>
              <w:rFonts w:ascii="仿宋" w:hAnsi="仿宋" w:eastAsia="仿宋"/>
              <w:color w:val="auto"/>
              <w:szCs w:val="24"/>
            </w:rPr>
            <w:t>三、项目概述</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_Toc200711863 \h </w:instrText>
          </w:r>
          <w:r>
            <w:rPr>
              <w:rFonts w:ascii="仿宋" w:hAnsi="仿宋" w:eastAsia="仿宋"/>
              <w:szCs w:val="24"/>
            </w:rPr>
            <w:fldChar w:fldCharType="separate"/>
          </w:r>
          <w:r>
            <w:rPr>
              <w:rFonts w:ascii="仿宋" w:hAnsi="仿宋" w:eastAsia="仿宋"/>
              <w:szCs w:val="24"/>
            </w:rPr>
            <w:t>2</w:t>
          </w:r>
          <w:r>
            <w:rPr>
              <w:rFonts w:ascii="仿宋" w:hAnsi="仿宋" w:eastAsia="仿宋"/>
              <w:szCs w:val="24"/>
            </w:rPr>
            <w:fldChar w:fldCharType="end"/>
          </w:r>
          <w:r>
            <w:rPr>
              <w:rFonts w:ascii="仿宋" w:hAnsi="仿宋" w:eastAsia="仿宋"/>
              <w:szCs w:val="24"/>
            </w:rPr>
            <w:fldChar w:fldCharType="end"/>
          </w:r>
        </w:p>
        <w:p w14:paraId="4F8FF81D">
          <w:pPr>
            <w:pStyle w:val="17"/>
            <w:spacing w:line="240" w:lineRule="auto"/>
            <w:rPr>
              <w:rFonts w:ascii="仿宋" w:hAnsi="仿宋" w:eastAsia="仿宋"/>
              <w:szCs w:val="24"/>
              <w14:ligatures w14:val="standardContextual"/>
            </w:rPr>
          </w:pPr>
          <w:r>
            <w:fldChar w:fldCharType="begin"/>
          </w:r>
          <w:r>
            <w:instrText xml:space="preserve"> HYPERLINK \l "_Toc200711864" </w:instrText>
          </w:r>
          <w:r>
            <w:fldChar w:fldCharType="separate"/>
          </w:r>
          <w:r>
            <w:rPr>
              <w:rStyle w:val="28"/>
              <w:rFonts w:ascii="仿宋" w:hAnsi="仿宋" w:eastAsia="仿宋"/>
              <w:color w:val="auto"/>
              <w:szCs w:val="24"/>
              <w:lang w:val="en-GB"/>
            </w:rPr>
            <w:t>（一）项目背景</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_Toc200711864 \h </w:instrText>
          </w:r>
          <w:r>
            <w:rPr>
              <w:rFonts w:ascii="仿宋" w:hAnsi="仿宋" w:eastAsia="仿宋"/>
              <w:szCs w:val="24"/>
            </w:rPr>
            <w:fldChar w:fldCharType="separate"/>
          </w:r>
          <w:r>
            <w:rPr>
              <w:rFonts w:ascii="仿宋" w:hAnsi="仿宋" w:eastAsia="仿宋"/>
              <w:szCs w:val="24"/>
            </w:rPr>
            <w:t>2</w:t>
          </w:r>
          <w:r>
            <w:rPr>
              <w:rFonts w:ascii="仿宋" w:hAnsi="仿宋" w:eastAsia="仿宋"/>
              <w:szCs w:val="24"/>
            </w:rPr>
            <w:fldChar w:fldCharType="end"/>
          </w:r>
          <w:r>
            <w:rPr>
              <w:rFonts w:ascii="仿宋" w:hAnsi="仿宋" w:eastAsia="仿宋"/>
              <w:szCs w:val="24"/>
            </w:rPr>
            <w:fldChar w:fldCharType="end"/>
          </w:r>
        </w:p>
        <w:p w14:paraId="612E4162">
          <w:pPr>
            <w:pStyle w:val="17"/>
            <w:spacing w:line="240" w:lineRule="auto"/>
            <w:rPr>
              <w:rFonts w:ascii="仿宋" w:hAnsi="仿宋" w:eastAsia="仿宋"/>
              <w:szCs w:val="24"/>
              <w14:ligatures w14:val="standardContextual"/>
            </w:rPr>
          </w:pPr>
          <w:r>
            <w:fldChar w:fldCharType="begin"/>
          </w:r>
          <w:r>
            <w:instrText xml:space="preserve"> HYPERLINK \l "_Toc200711865" </w:instrText>
          </w:r>
          <w:r>
            <w:fldChar w:fldCharType="separate"/>
          </w:r>
          <w:r>
            <w:rPr>
              <w:rStyle w:val="28"/>
              <w:rFonts w:ascii="仿宋" w:hAnsi="仿宋" w:eastAsia="仿宋"/>
              <w:color w:val="auto"/>
              <w:szCs w:val="24"/>
              <w:lang w:val="en-GB"/>
            </w:rPr>
            <w:t>（二）项目概况</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_Toc200711865 \h </w:instrText>
          </w:r>
          <w:r>
            <w:rPr>
              <w:rFonts w:ascii="仿宋" w:hAnsi="仿宋" w:eastAsia="仿宋"/>
              <w:szCs w:val="24"/>
            </w:rPr>
            <w:fldChar w:fldCharType="separate"/>
          </w:r>
          <w:r>
            <w:rPr>
              <w:rFonts w:ascii="仿宋" w:hAnsi="仿宋" w:eastAsia="仿宋"/>
              <w:szCs w:val="24"/>
            </w:rPr>
            <w:t>2</w:t>
          </w:r>
          <w:r>
            <w:rPr>
              <w:rFonts w:ascii="仿宋" w:hAnsi="仿宋" w:eastAsia="仿宋"/>
              <w:szCs w:val="24"/>
            </w:rPr>
            <w:fldChar w:fldCharType="end"/>
          </w:r>
          <w:r>
            <w:rPr>
              <w:rFonts w:ascii="仿宋" w:hAnsi="仿宋" w:eastAsia="仿宋"/>
              <w:szCs w:val="24"/>
            </w:rPr>
            <w:fldChar w:fldCharType="end"/>
          </w:r>
        </w:p>
        <w:p w14:paraId="468F2611">
          <w:pPr>
            <w:pStyle w:val="17"/>
            <w:spacing w:line="240" w:lineRule="auto"/>
            <w:rPr>
              <w:rFonts w:ascii="仿宋" w:hAnsi="仿宋" w:eastAsia="仿宋"/>
              <w:szCs w:val="24"/>
              <w14:ligatures w14:val="standardContextual"/>
            </w:rPr>
          </w:pPr>
          <w:r>
            <w:fldChar w:fldCharType="begin"/>
          </w:r>
          <w:r>
            <w:instrText xml:space="preserve"> HYPERLINK \l "_Toc200711866" </w:instrText>
          </w:r>
          <w:r>
            <w:fldChar w:fldCharType="separate"/>
          </w:r>
          <w:r>
            <w:rPr>
              <w:rStyle w:val="28"/>
              <w:rFonts w:ascii="仿宋" w:hAnsi="仿宋" w:eastAsia="仿宋"/>
              <w:color w:val="auto"/>
              <w:szCs w:val="24"/>
              <w:lang w:val="en-GB"/>
            </w:rPr>
            <w:t>（三）经济社会效益</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_Toc200711866 \h </w:instrText>
          </w:r>
          <w:r>
            <w:rPr>
              <w:rFonts w:ascii="仿宋" w:hAnsi="仿宋" w:eastAsia="仿宋"/>
              <w:szCs w:val="24"/>
            </w:rPr>
            <w:fldChar w:fldCharType="separate"/>
          </w:r>
          <w:r>
            <w:rPr>
              <w:rFonts w:ascii="仿宋" w:hAnsi="仿宋" w:eastAsia="仿宋"/>
              <w:szCs w:val="24"/>
            </w:rPr>
            <w:t>5</w:t>
          </w:r>
          <w:r>
            <w:rPr>
              <w:rFonts w:ascii="仿宋" w:hAnsi="仿宋" w:eastAsia="仿宋"/>
              <w:szCs w:val="24"/>
            </w:rPr>
            <w:fldChar w:fldCharType="end"/>
          </w:r>
          <w:r>
            <w:rPr>
              <w:rFonts w:ascii="仿宋" w:hAnsi="仿宋" w:eastAsia="仿宋"/>
              <w:szCs w:val="24"/>
            </w:rPr>
            <w:fldChar w:fldCharType="end"/>
          </w:r>
        </w:p>
        <w:p w14:paraId="7CB42F5E">
          <w:pPr>
            <w:pStyle w:val="17"/>
            <w:spacing w:line="240" w:lineRule="auto"/>
            <w:rPr>
              <w:rFonts w:ascii="仿宋" w:hAnsi="仿宋" w:eastAsia="仿宋"/>
              <w:szCs w:val="24"/>
              <w14:ligatures w14:val="standardContextual"/>
            </w:rPr>
          </w:pPr>
          <w:r>
            <w:fldChar w:fldCharType="begin"/>
          </w:r>
          <w:r>
            <w:instrText xml:space="preserve"> HYPERLINK \l "_Toc200711867" </w:instrText>
          </w:r>
          <w:r>
            <w:fldChar w:fldCharType="separate"/>
          </w:r>
          <w:r>
            <w:rPr>
              <w:rStyle w:val="28"/>
              <w:rFonts w:ascii="仿宋" w:hAnsi="仿宋" w:eastAsia="仿宋"/>
              <w:color w:val="auto"/>
              <w:szCs w:val="24"/>
              <w:lang w:val="en-GB"/>
            </w:rPr>
            <w:t>（</w:t>
          </w:r>
          <w:r>
            <w:rPr>
              <w:rStyle w:val="28"/>
              <w:rFonts w:ascii="仿宋" w:hAnsi="仿宋" w:eastAsia="仿宋"/>
              <w:color w:val="auto"/>
              <w:szCs w:val="24"/>
            </w:rPr>
            <w:t>四</w:t>
          </w:r>
          <w:r>
            <w:rPr>
              <w:rStyle w:val="28"/>
              <w:rFonts w:ascii="仿宋" w:hAnsi="仿宋" w:eastAsia="仿宋"/>
              <w:color w:val="auto"/>
              <w:szCs w:val="24"/>
              <w:lang w:val="en-GB"/>
            </w:rPr>
            <w:t>）项目立项情况或实施依据</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_Toc200711867 \h </w:instrText>
          </w:r>
          <w:r>
            <w:rPr>
              <w:rFonts w:ascii="仿宋" w:hAnsi="仿宋" w:eastAsia="仿宋"/>
              <w:szCs w:val="24"/>
            </w:rPr>
            <w:fldChar w:fldCharType="separate"/>
          </w:r>
          <w:r>
            <w:rPr>
              <w:rFonts w:ascii="仿宋" w:hAnsi="仿宋" w:eastAsia="仿宋"/>
              <w:szCs w:val="24"/>
            </w:rPr>
            <w:t>5</w:t>
          </w:r>
          <w:r>
            <w:rPr>
              <w:rFonts w:ascii="仿宋" w:hAnsi="仿宋" w:eastAsia="仿宋"/>
              <w:szCs w:val="24"/>
            </w:rPr>
            <w:fldChar w:fldCharType="end"/>
          </w:r>
          <w:r>
            <w:rPr>
              <w:rFonts w:ascii="仿宋" w:hAnsi="仿宋" w:eastAsia="仿宋"/>
              <w:szCs w:val="24"/>
            </w:rPr>
            <w:fldChar w:fldCharType="end"/>
          </w:r>
        </w:p>
        <w:p w14:paraId="278A1725">
          <w:pPr>
            <w:pStyle w:val="17"/>
            <w:spacing w:line="240" w:lineRule="auto"/>
            <w:rPr>
              <w:rFonts w:ascii="仿宋" w:hAnsi="仿宋" w:eastAsia="仿宋"/>
              <w:szCs w:val="24"/>
              <w14:ligatures w14:val="standardContextual"/>
            </w:rPr>
          </w:pPr>
          <w:r>
            <w:fldChar w:fldCharType="begin"/>
          </w:r>
          <w:r>
            <w:instrText xml:space="preserve"> HYPERLINK \l "_Toc200711868" </w:instrText>
          </w:r>
          <w:r>
            <w:fldChar w:fldCharType="separate"/>
          </w:r>
          <w:r>
            <w:rPr>
              <w:rStyle w:val="28"/>
              <w:rFonts w:ascii="仿宋" w:hAnsi="仿宋" w:eastAsia="仿宋"/>
              <w:color w:val="auto"/>
              <w:szCs w:val="24"/>
            </w:rPr>
            <w:t>四、项目预测收益与融资平衡情况</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_Toc200711868 \h </w:instrText>
          </w:r>
          <w:r>
            <w:rPr>
              <w:rFonts w:ascii="仿宋" w:hAnsi="仿宋" w:eastAsia="仿宋"/>
              <w:szCs w:val="24"/>
            </w:rPr>
            <w:fldChar w:fldCharType="separate"/>
          </w:r>
          <w:r>
            <w:rPr>
              <w:rFonts w:ascii="仿宋" w:hAnsi="仿宋" w:eastAsia="仿宋"/>
              <w:szCs w:val="24"/>
            </w:rPr>
            <w:t>6</w:t>
          </w:r>
          <w:r>
            <w:rPr>
              <w:rFonts w:ascii="仿宋" w:hAnsi="仿宋" w:eastAsia="仿宋"/>
              <w:szCs w:val="24"/>
            </w:rPr>
            <w:fldChar w:fldCharType="end"/>
          </w:r>
          <w:r>
            <w:rPr>
              <w:rFonts w:ascii="仿宋" w:hAnsi="仿宋" w:eastAsia="仿宋"/>
              <w:szCs w:val="24"/>
            </w:rPr>
            <w:fldChar w:fldCharType="end"/>
          </w:r>
        </w:p>
        <w:p w14:paraId="77A6B2CA">
          <w:pPr>
            <w:pStyle w:val="17"/>
            <w:spacing w:line="240" w:lineRule="auto"/>
            <w:rPr>
              <w:rFonts w:ascii="仿宋" w:hAnsi="仿宋" w:eastAsia="仿宋"/>
              <w:szCs w:val="24"/>
              <w14:ligatures w14:val="standardContextual"/>
            </w:rPr>
          </w:pPr>
          <w:r>
            <w:fldChar w:fldCharType="begin"/>
          </w:r>
          <w:r>
            <w:instrText xml:space="preserve"> HYPERLINK \l "_Toc200711869" </w:instrText>
          </w:r>
          <w:r>
            <w:fldChar w:fldCharType="separate"/>
          </w:r>
          <w:r>
            <w:rPr>
              <w:rStyle w:val="28"/>
              <w:rFonts w:ascii="仿宋" w:hAnsi="仿宋" w:eastAsia="仿宋"/>
              <w:color w:val="auto"/>
              <w:szCs w:val="24"/>
              <w:lang w:val="en-GB"/>
            </w:rPr>
            <w:t>（一）资金充足性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_Toc200711869 \h </w:instrText>
          </w:r>
          <w:r>
            <w:rPr>
              <w:rFonts w:ascii="仿宋" w:hAnsi="仿宋" w:eastAsia="仿宋"/>
              <w:szCs w:val="24"/>
            </w:rPr>
            <w:fldChar w:fldCharType="separate"/>
          </w:r>
          <w:r>
            <w:rPr>
              <w:rFonts w:ascii="仿宋" w:hAnsi="仿宋" w:eastAsia="仿宋"/>
              <w:szCs w:val="24"/>
            </w:rPr>
            <w:t>6</w:t>
          </w:r>
          <w:r>
            <w:rPr>
              <w:rFonts w:ascii="仿宋" w:hAnsi="仿宋" w:eastAsia="仿宋"/>
              <w:szCs w:val="24"/>
            </w:rPr>
            <w:fldChar w:fldCharType="end"/>
          </w:r>
          <w:r>
            <w:rPr>
              <w:rFonts w:ascii="仿宋" w:hAnsi="仿宋" w:eastAsia="仿宋"/>
              <w:szCs w:val="24"/>
            </w:rPr>
            <w:fldChar w:fldCharType="end"/>
          </w:r>
        </w:p>
        <w:p w14:paraId="0749A6D8">
          <w:pPr>
            <w:pStyle w:val="17"/>
            <w:spacing w:line="240" w:lineRule="auto"/>
            <w:rPr>
              <w:rFonts w:ascii="仿宋" w:hAnsi="仿宋" w:eastAsia="仿宋"/>
              <w:szCs w:val="24"/>
              <w14:ligatures w14:val="standardContextual"/>
            </w:rPr>
          </w:pPr>
          <w:r>
            <w:fldChar w:fldCharType="begin"/>
          </w:r>
          <w:r>
            <w:instrText xml:space="preserve"> HYPERLINK \l "_Toc200711873" </w:instrText>
          </w:r>
          <w:r>
            <w:fldChar w:fldCharType="separate"/>
          </w:r>
          <w:r>
            <w:rPr>
              <w:rStyle w:val="28"/>
              <w:rFonts w:ascii="仿宋" w:hAnsi="仿宋" w:eastAsia="仿宋"/>
              <w:color w:val="auto"/>
              <w:szCs w:val="24"/>
              <w:lang w:val="en-GB"/>
            </w:rPr>
            <w:t>（二）资金稳定性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_Toc200711873 \h </w:instrText>
          </w:r>
          <w:r>
            <w:rPr>
              <w:rFonts w:ascii="仿宋" w:hAnsi="仿宋" w:eastAsia="仿宋"/>
              <w:szCs w:val="24"/>
            </w:rPr>
            <w:fldChar w:fldCharType="separate"/>
          </w:r>
          <w:r>
            <w:rPr>
              <w:rFonts w:ascii="仿宋" w:hAnsi="仿宋" w:eastAsia="仿宋"/>
              <w:szCs w:val="24"/>
            </w:rPr>
            <w:t>10</w:t>
          </w:r>
          <w:r>
            <w:rPr>
              <w:rFonts w:ascii="仿宋" w:hAnsi="仿宋" w:eastAsia="仿宋"/>
              <w:szCs w:val="24"/>
            </w:rPr>
            <w:fldChar w:fldCharType="end"/>
          </w:r>
          <w:r>
            <w:rPr>
              <w:rFonts w:ascii="仿宋" w:hAnsi="仿宋" w:eastAsia="仿宋"/>
              <w:szCs w:val="24"/>
            </w:rPr>
            <w:fldChar w:fldCharType="end"/>
          </w:r>
        </w:p>
        <w:p w14:paraId="2F926CFC">
          <w:pPr>
            <w:pStyle w:val="17"/>
            <w:spacing w:line="240" w:lineRule="auto"/>
            <w:rPr>
              <w:rFonts w:ascii="仿宋" w:hAnsi="仿宋" w:eastAsia="仿宋"/>
              <w:szCs w:val="24"/>
              <w14:ligatures w14:val="standardContextual"/>
            </w:rPr>
          </w:pPr>
          <w:r>
            <w:fldChar w:fldCharType="begin"/>
          </w:r>
          <w:r>
            <w:instrText xml:space="preserve"> HYPERLINK \l "_Toc200711874" </w:instrText>
          </w:r>
          <w:r>
            <w:fldChar w:fldCharType="separate"/>
          </w:r>
          <w:r>
            <w:rPr>
              <w:rStyle w:val="28"/>
              <w:rFonts w:ascii="仿宋" w:hAnsi="仿宋" w:eastAsia="仿宋"/>
              <w:color w:val="auto"/>
              <w:szCs w:val="24"/>
              <w:lang w:val="en-GB"/>
            </w:rPr>
            <w:t>（三）风险分析</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_Toc200711874 \h </w:instrText>
          </w:r>
          <w:r>
            <w:rPr>
              <w:rFonts w:ascii="仿宋" w:hAnsi="仿宋" w:eastAsia="仿宋"/>
              <w:szCs w:val="24"/>
            </w:rPr>
            <w:fldChar w:fldCharType="separate"/>
          </w:r>
          <w:r>
            <w:rPr>
              <w:rFonts w:ascii="仿宋" w:hAnsi="仿宋" w:eastAsia="仿宋"/>
              <w:szCs w:val="24"/>
            </w:rPr>
            <w:t>11</w:t>
          </w:r>
          <w:r>
            <w:rPr>
              <w:rFonts w:ascii="仿宋" w:hAnsi="仿宋" w:eastAsia="仿宋"/>
              <w:szCs w:val="24"/>
            </w:rPr>
            <w:fldChar w:fldCharType="end"/>
          </w:r>
          <w:r>
            <w:rPr>
              <w:rFonts w:ascii="仿宋" w:hAnsi="仿宋" w:eastAsia="仿宋"/>
              <w:szCs w:val="24"/>
            </w:rPr>
            <w:fldChar w:fldCharType="end"/>
          </w:r>
        </w:p>
        <w:p w14:paraId="1F6BC216">
          <w:pPr>
            <w:pStyle w:val="17"/>
            <w:spacing w:line="240" w:lineRule="auto"/>
            <w:rPr>
              <w:rFonts w:ascii="仿宋" w:hAnsi="仿宋" w:eastAsia="仿宋"/>
              <w:szCs w:val="24"/>
              <w14:ligatures w14:val="standardContextual"/>
            </w:rPr>
          </w:pPr>
          <w:r>
            <w:fldChar w:fldCharType="begin"/>
          </w:r>
          <w:r>
            <w:instrText xml:space="preserve"> HYPERLINK \l "_Toc200711875" </w:instrText>
          </w:r>
          <w:r>
            <w:fldChar w:fldCharType="separate"/>
          </w:r>
          <w:r>
            <w:rPr>
              <w:rStyle w:val="28"/>
              <w:rFonts w:ascii="仿宋" w:hAnsi="仿宋" w:eastAsia="仿宋"/>
              <w:color w:val="auto"/>
              <w:szCs w:val="24"/>
              <w:lang w:val="en-GB"/>
            </w:rPr>
            <w:t>（四）预期收益及成本分析</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_Toc200711875 \h </w:instrText>
          </w:r>
          <w:r>
            <w:rPr>
              <w:rFonts w:ascii="仿宋" w:hAnsi="仿宋" w:eastAsia="仿宋"/>
              <w:szCs w:val="24"/>
            </w:rPr>
            <w:fldChar w:fldCharType="separate"/>
          </w:r>
          <w:r>
            <w:rPr>
              <w:rFonts w:ascii="仿宋" w:hAnsi="仿宋" w:eastAsia="仿宋"/>
              <w:szCs w:val="24"/>
            </w:rPr>
            <w:t>11</w:t>
          </w:r>
          <w:r>
            <w:rPr>
              <w:rFonts w:ascii="仿宋" w:hAnsi="仿宋" w:eastAsia="仿宋"/>
              <w:szCs w:val="24"/>
            </w:rPr>
            <w:fldChar w:fldCharType="end"/>
          </w:r>
          <w:r>
            <w:rPr>
              <w:rFonts w:ascii="仿宋" w:hAnsi="仿宋" w:eastAsia="仿宋"/>
              <w:szCs w:val="24"/>
            </w:rPr>
            <w:fldChar w:fldCharType="end"/>
          </w:r>
        </w:p>
        <w:p w14:paraId="4952AE9C">
          <w:pPr>
            <w:pStyle w:val="17"/>
            <w:spacing w:line="240" w:lineRule="auto"/>
            <w:rPr>
              <w:rFonts w:ascii="仿宋" w:hAnsi="仿宋" w:eastAsia="仿宋"/>
              <w:szCs w:val="24"/>
              <w14:ligatures w14:val="standardContextual"/>
            </w:rPr>
          </w:pPr>
          <w:r>
            <w:fldChar w:fldCharType="begin"/>
          </w:r>
          <w:r>
            <w:instrText xml:space="preserve"> HYPERLINK \l "_Toc200711877" </w:instrText>
          </w:r>
          <w:r>
            <w:fldChar w:fldCharType="separate"/>
          </w:r>
          <w:r>
            <w:rPr>
              <w:rStyle w:val="28"/>
              <w:rFonts w:ascii="仿宋" w:hAnsi="仿宋" w:eastAsia="仿宋"/>
              <w:color w:val="auto"/>
              <w:szCs w:val="24"/>
            </w:rPr>
            <w:t>五、主管部门责任</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_Toc200711877 \h </w:instrText>
          </w:r>
          <w:r>
            <w:rPr>
              <w:rFonts w:ascii="仿宋" w:hAnsi="仿宋" w:eastAsia="仿宋"/>
              <w:szCs w:val="24"/>
            </w:rPr>
            <w:fldChar w:fldCharType="separate"/>
          </w:r>
          <w:r>
            <w:rPr>
              <w:rFonts w:ascii="仿宋" w:hAnsi="仿宋" w:eastAsia="仿宋"/>
              <w:szCs w:val="24"/>
            </w:rPr>
            <w:t>15</w:t>
          </w:r>
          <w:r>
            <w:rPr>
              <w:rFonts w:ascii="仿宋" w:hAnsi="仿宋" w:eastAsia="仿宋"/>
              <w:szCs w:val="24"/>
            </w:rPr>
            <w:fldChar w:fldCharType="end"/>
          </w:r>
          <w:r>
            <w:rPr>
              <w:rFonts w:ascii="仿宋" w:hAnsi="仿宋" w:eastAsia="仿宋"/>
              <w:szCs w:val="24"/>
            </w:rPr>
            <w:fldChar w:fldCharType="end"/>
          </w:r>
        </w:p>
        <w:p w14:paraId="0401637A">
          <w:pPr>
            <w:pStyle w:val="17"/>
            <w:spacing w:line="240" w:lineRule="auto"/>
            <w:rPr>
              <w:rFonts w:ascii="仿宋" w:hAnsi="仿宋" w:eastAsia="仿宋"/>
              <w:szCs w:val="24"/>
              <w14:ligatures w14:val="standardContextual"/>
            </w:rPr>
          </w:pPr>
          <w:r>
            <w:fldChar w:fldCharType="begin"/>
          </w:r>
          <w:r>
            <w:instrText xml:space="preserve"> HYPERLINK \l "_Toc200711878" </w:instrText>
          </w:r>
          <w:r>
            <w:fldChar w:fldCharType="separate"/>
          </w:r>
          <w:r>
            <w:rPr>
              <w:rStyle w:val="28"/>
              <w:rFonts w:ascii="仿宋" w:hAnsi="仿宋" w:eastAsia="仿宋"/>
              <w:color w:val="auto"/>
              <w:szCs w:val="24"/>
            </w:rPr>
            <w:t>六、事前绩效评估</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_Toc200711878 \h </w:instrText>
          </w:r>
          <w:r>
            <w:rPr>
              <w:rFonts w:ascii="仿宋" w:hAnsi="仿宋" w:eastAsia="仿宋"/>
              <w:szCs w:val="24"/>
            </w:rPr>
            <w:fldChar w:fldCharType="separate"/>
          </w:r>
          <w:r>
            <w:rPr>
              <w:rFonts w:ascii="仿宋" w:hAnsi="仿宋" w:eastAsia="仿宋"/>
              <w:szCs w:val="24"/>
            </w:rPr>
            <w:t>16</w:t>
          </w:r>
          <w:r>
            <w:rPr>
              <w:rFonts w:ascii="仿宋" w:hAnsi="仿宋" w:eastAsia="仿宋"/>
              <w:szCs w:val="24"/>
            </w:rPr>
            <w:fldChar w:fldCharType="end"/>
          </w:r>
          <w:r>
            <w:rPr>
              <w:rFonts w:ascii="仿宋" w:hAnsi="仿宋" w:eastAsia="仿宋"/>
              <w:szCs w:val="24"/>
            </w:rPr>
            <w:fldChar w:fldCharType="end"/>
          </w:r>
        </w:p>
        <w:p w14:paraId="4451F9C4">
          <w:pPr>
            <w:pStyle w:val="17"/>
            <w:spacing w:line="240" w:lineRule="auto"/>
            <w:rPr>
              <w:rFonts w:ascii="仿宋" w:hAnsi="仿宋" w:eastAsia="仿宋"/>
              <w:szCs w:val="24"/>
              <w14:ligatures w14:val="standardContextual"/>
            </w:rPr>
          </w:pPr>
          <w:r>
            <w:fldChar w:fldCharType="begin"/>
          </w:r>
          <w:r>
            <w:instrText xml:space="preserve"> HYPERLINK \l "_Toc200711879" </w:instrText>
          </w:r>
          <w:r>
            <w:fldChar w:fldCharType="separate"/>
          </w:r>
          <w:r>
            <w:rPr>
              <w:rStyle w:val="28"/>
              <w:rFonts w:ascii="仿宋" w:hAnsi="仿宋" w:eastAsia="仿宋"/>
              <w:color w:val="auto"/>
              <w:szCs w:val="24"/>
              <w:lang w:val="en-GB"/>
            </w:rPr>
            <w:t>（一）项目实施的必要性、公益性、收益性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_Toc200711879 \h </w:instrText>
          </w:r>
          <w:r>
            <w:rPr>
              <w:rFonts w:ascii="仿宋" w:hAnsi="仿宋" w:eastAsia="仿宋"/>
              <w:szCs w:val="24"/>
            </w:rPr>
            <w:fldChar w:fldCharType="separate"/>
          </w:r>
          <w:r>
            <w:rPr>
              <w:rFonts w:ascii="仿宋" w:hAnsi="仿宋" w:eastAsia="仿宋"/>
              <w:szCs w:val="24"/>
            </w:rPr>
            <w:t>16</w:t>
          </w:r>
          <w:r>
            <w:rPr>
              <w:rFonts w:ascii="仿宋" w:hAnsi="仿宋" w:eastAsia="仿宋"/>
              <w:szCs w:val="24"/>
            </w:rPr>
            <w:fldChar w:fldCharType="end"/>
          </w:r>
          <w:r>
            <w:rPr>
              <w:rFonts w:ascii="仿宋" w:hAnsi="仿宋" w:eastAsia="仿宋"/>
              <w:szCs w:val="24"/>
            </w:rPr>
            <w:fldChar w:fldCharType="end"/>
          </w:r>
        </w:p>
        <w:p w14:paraId="17E7A1C2">
          <w:pPr>
            <w:pStyle w:val="17"/>
            <w:spacing w:line="240" w:lineRule="auto"/>
            <w:rPr>
              <w:rFonts w:ascii="仿宋" w:hAnsi="仿宋" w:eastAsia="仿宋"/>
              <w:szCs w:val="24"/>
              <w14:ligatures w14:val="standardContextual"/>
            </w:rPr>
          </w:pPr>
          <w:r>
            <w:fldChar w:fldCharType="begin"/>
          </w:r>
          <w:r>
            <w:instrText xml:space="preserve"> HYPERLINK \l "_Toc200711880" </w:instrText>
          </w:r>
          <w:r>
            <w:fldChar w:fldCharType="separate"/>
          </w:r>
          <w:r>
            <w:rPr>
              <w:rStyle w:val="28"/>
              <w:rFonts w:ascii="仿宋" w:hAnsi="仿宋" w:eastAsia="仿宋"/>
              <w:color w:val="auto"/>
              <w:szCs w:val="24"/>
              <w:lang w:val="en-GB"/>
            </w:rPr>
            <w:t>（二）项目建设投资合规性与项目成熟度</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_Toc200711880 \h </w:instrText>
          </w:r>
          <w:r>
            <w:rPr>
              <w:rFonts w:ascii="仿宋" w:hAnsi="仿宋" w:eastAsia="仿宋"/>
              <w:szCs w:val="24"/>
            </w:rPr>
            <w:fldChar w:fldCharType="separate"/>
          </w:r>
          <w:r>
            <w:rPr>
              <w:rFonts w:ascii="仿宋" w:hAnsi="仿宋" w:eastAsia="仿宋"/>
              <w:szCs w:val="24"/>
            </w:rPr>
            <w:t>17</w:t>
          </w:r>
          <w:r>
            <w:rPr>
              <w:rFonts w:ascii="仿宋" w:hAnsi="仿宋" w:eastAsia="仿宋"/>
              <w:szCs w:val="24"/>
            </w:rPr>
            <w:fldChar w:fldCharType="end"/>
          </w:r>
          <w:r>
            <w:rPr>
              <w:rFonts w:ascii="仿宋" w:hAnsi="仿宋" w:eastAsia="仿宋"/>
              <w:szCs w:val="24"/>
            </w:rPr>
            <w:fldChar w:fldCharType="end"/>
          </w:r>
        </w:p>
        <w:p w14:paraId="2C3542E1">
          <w:pPr>
            <w:pStyle w:val="17"/>
            <w:spacing w:line="240" w:lineRule="auto"/>
            <w:rPr>
              <w:rFonts w:ascii="仿宋" w:hAnsi="仿宋" w:eastAsia="仿宋"/>
              <w:szCs w:val="24"/>
              <w14:ligatures w14:val="standardContextual"/>
            </w:rPr>
          </w:pPr>
          <w:r>
            <w:fldChar w:fldCharType="begin"/>
          </w:r>
          <w:r>
            <w:instrText xml:space="preserve"> HYPERLINK \l "_Toc200711881" </w:instrText>
          </w:r>
          <w:r>
            <w:fldChar w:fldCharType="separate"/>
          </w:r>
          <w:r>
            <w:rPr>
              <w:rStyle w:val="28"/>
              <w:rFonts w:ascii="仿宋" w:hAnsi="仿宋" w:eastAsia="仿宋"/>
              <w:color w:val="auto"/>
              <w:szCs w:val="24"/>
              <w:lang w:val="en-GB"/>
            </w:rPr>
            <w:t>（三）项目资金来源和到位可行性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_Toc200711881 \h </w:instrText>
          </w:r>
          <w:r>
            <w:rPr>
              <w:rFonts w:ascii="仿宋" w:hAnsi="仿宋" w:eastAsia="仿宋"/>
              <w:szCs w:val="24"/>
            </w:rPr>
            <w:fldChar w:fldCharType="separate"/>
          </w:r>
          <w:r>
            <w:rPr>
              <w:rFonts w:ascii="仿宋" w:hAnsi="仿宋" w:eastAsia="仿宋"/>
              <w:szCs w:val="24"/>
            </w:rPr>
            <w:t>17</w:t>
          </w:r>
          <w:r>
            <w:rPr>
              <w:rFonts w:ascii="仿宋" w:hAnsi="仿宋" w:eastAsia="仿宋"/>
              <w:szCs w:val="24"/>
            </w:rPr>
            <w:fldChar w:fldCharType="end"/>
          </w:r>
          <w:r>
            <w:rPr>
              <w:rFonts w:ascii="仿宋" w:hAnsi="仿宋" w:eastAsia="仿宋"/>
              <w:szCs w:val="24"/>
            </w:rPr>
            <w:fldChar w:fldCharType="end"/>
          </w:r>
        </w:p>
        <w:p w14:paraId="12537C72">
          <w:pPr>
            <w:pStyle w:val="17"/>
            <w:spacing w:line="240" w:lineRule="auto"/>
            <w:rPr>
              <w:rFonts w:ascii="仿宋" w:hAnsi="仿宋" w:eastAsia="仿宋"/>
              <w:szCs w:val="24"/>
              <w14:ligatures w14:val="standardContextual"/>
            </w:rPr>
          </w:pPr>
          <w:r>
            <w:fldChar w:fldCharType="begin"/>
          </w:r>
          <w:r>
            <w:instrText xml:space="preserve"> HYPERLINK \l "_Toc200711882" </w:instrText>
          </w:r>
          <w:r>
            <w:fldChar w:fldCharType="separate"/>
          </w:r>
          <w:r>
            <w:rPr>
              <w:rStyle w:val="28"/>
              <w:rFonts w:ascii="仿宋" w:hAnsi="仿宋" w:eastAsia="仿宋"/>
              <w:color w:val="auto"/>
              <w:szCs w:val="24"/>
              <w:lang w:val="en-GB"/>
            </w:rPr>
            <w:t>（四）项目收入、成本、收益预测合理性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_Toc200711882 \h </w:instrText>
          </w:r>
          <w:r>
            <w:rPr>
              <w:rFonts w:ascii="仿宋" w:hAnsi="仿宋" w:eastAsia="仿宋"/>
              <w:szCs w:val="24"/>
            </w:rPr>
            <w:fldChar w:fldCharType="separate"/>
          </w:r>
          <w:r>
            <w:rPr>
              <w:rFonts w:ascii="仿宋" w:hAnsi="仿宋" w:eastAsia="仿宋"/>
              <w:szCs w:val="24"/>
            </w:rPr>
            <w:t>17</w:t>
          </w:r>
          <w:r>
            <w:rPr>
              <w:rFonts w:ascii="仿宋" w:hAnsi="仿宋" w:eastAsia="仿宋"/>
              <w:szCs w:val="24"/>
            </w:rPr>
            <w:fldChar w:fldCharType="end"/>
          </w:r>
          <w:r>
            <w:rPr>
              <w:rFonts w:ascii="仿宋" w:hAnsi="仿宋" w:eastAsia="仿宋"/>
              <w:szCs w:val="24"/>
            </w:rPr>
            <w:fldChar w:fldCharType="end"/>
          </w:r>
        </w:p>
        <w:p w14:paraId="27D9D890">
          <w:pPr>
            <w:pStyle w:val="17"/>
            <w:spacing w:line="240" w:lineRule="auto"/>
            <w:rPr>
              <w:rFonts w:ascii="仿宋" w:hAnsi="仿宋" w:eastAsia="仿宋"/>
              <w:szCs w:val="24"/>
              <w14:ligatures w14:val="standardContextual"/>
            </w:rPr>
          </w:pPr>
          <w:r>
            <w:fldChar w:fldCharType="begin"/>
          </w:r>
          <w:r>
            <w:instrText xml:space="preserve"> HYPERLINK \l "_Toc200711883" </w:instrText>
          </w:r>
          <w:r>
            <w:fldChar w:fldCharType="separate"/>
          </w:r>
          <w:r>
            <w:rPr>
              <w:rStyle w:val="28"/>
              <w:rFonts w:ascii="仿宋" w:hAnsi="仿宋" w:eastAsia="仿宋"/>
              <w:color w:val="auto"/>
              <w:szCs w:val="24"/>
              <w:lang w:val="en-GB"/>
            </w:rPr>
            <w:t>（五）债券资金需求合理性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_Toc200711883 \h </w:instrText>
          </w:r>
          <w:r>
            <w:rPr>
              <w:rFonts w:ascii="仿宋" w:hAnsi="仿宋" w:eastAsia="仿宋"/>
              <w:szCs w:val="24"/>
            </w:rPr>
            <w:fldChar w:fldCharType="separate"/>
          </w:r>
          <w:r>
            <w:rPr>
              <w:rFonts w:ascii="仿宋" w:hAnsi="仿宋" w:eastAsia="仿宋"/>
              <w:szCs w:val="24"/>
            </w:rPr>
            <w:t>17</w:t>
          </w:r>
          <w:r>
            <w:rPr>
              <w:rFonts w:ascii="仿宋" w:hAnsi="仿宋" w:eastAsia="仿宋"/>
              <w:szCs w:val="24"/>
            </w:rPr>
            <w:fldChar w:fldCharType="end"/>
          </w:r>
          <w:r>
            <w:rPr>
              <w:rFonts w:ascii="仿宋" w:hAnsi="仿宋" w:eastAsia="仿宋"/>
              <w:szCs w:val="24"/>
            </w:rPr>
            <w:fldChar w:fldCharType="end"/>
          </w:r>
        </w:p>
        <w:p w14:paraId="6B55DA29">
          <w:pPr>
            <w:pStyle w:val="17"/>
            <w:spacing w:line="240" w:lineRule="auto"/>
            <w:rPr>
              <w:rFonts w:ascii="仿宋" w:hAnsi="仿宋" w:eastAsia="仿宋"/>
              <w:szCs w:val="24"/>
              <w14:ligatures w14:val="standardContextual"/>
            </w:rPr>
          </w:pPr>
          <w:r>
            <w:fldChar w:fldCharType="begin"/>
          </w:r>
          <w:r>
            <w:instrText xml:space="preserve"> HYPERLINK \l "_Toc200711884" </w:instrText>
          </w:r>
          <w:r>
            <w:fldChar w:fldCharType="separate"/>
          </w:r>
          <w:r>
            <w:rPr>
              <w:rStyle w:val="28"/>
              <w:rFonts w:ascii="仿宋" w:hAnsi="仿宋" w:eastAsia="仿宋"/>
              <w:color w:val="auto"/>
              <w:szCs w:val="24"/>
              <w:lang w:val="en-GB"/>
            </w:rPr>
            <w:t>（六）项目偿债计划可行性和偿债风险点</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_Toc200711884 \h </w:instrText>
          </w:r>
          <w:r>
            <w:rPr>
              <w:rFonts w:ascii="仿宋" w:hAnsi="仿宋" w:eastAsia="仿宋"/>
              <w:szCs w:val="24"/>
            </w:rPr>
            <w:fldChar w:fldCharType="separate"/>
          </w:r>
          <w:r>
            <w:rPr>
              <w:rFonts w:ascii="仿宋" w:hAnsi="仿宋" w:eastAsia="仿宋"/>
              <w:szCs w:val="24"/>
            </w:rPr>
            <w:t>18</w:t>
          </w:r>
          <w:r>
            <w:rPr>
              <w:rFonts w:ascii="仿宋" w:hAnsi="仿宋" w:eastAsia="仿宋"/>
              <w:szCs w:val="24"/>
            </w:rPr>
            <w:fldChar w:fldCharType="end"/>
          </w:r>
          <w:r>
            <w:rPr>
              <w:rFonts w:ascii="仿宋" w:hAnsi="仿宋" w:eastAsia="仿宋"/>
              <w:szCs w:val="24"/>
            </w:rPr>
            <w:fldChar w:fldCharType="end"/>
          </w:r>
        </w:p>
        <w:p w14:paraId="579F4C88">
          <w:pPr>
            <w:pStyle w:val="17"/>
            <w:spacing w:line="240" w:lineRule="auto"/>
            <w:rPr>
              <w:rFonts w:ascii="仿宋" w:hAnsi="仿宋" w:eastAsia="仿宋"/>
              <w:szCs w:val="24"/>
              <w14:ligatures w14:val="standardContextual"/>
            </w:rPr>
          </w:pPr>
          <w:r>
            <w:fldChar w:fldCharType="begin"/>
          </w:r>
          <w:r>
            <w:instrText xml:space="preserve"> HYPERLINK \l "_Toc200711885" </w:instrText>
          </w:r>
          <w:r>
            <w:fldChar w:fldCharType="separate"/>
          </w:r>
          <w:r>
            <w:rPr>
              <w:rStyle w:val="28"/>
              <w:rFonts w:ascii="仿宋" w:hAnsi="仿宋" w:eastAsia="仿宋"/>
              <w:color w:val="auto"/>
              <w:szCs w:val="24"/>
              <w:lang w:val="en-GB"/>
            </w:rPr>
            <w:t>（七）绩效目标合理性</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_Toc200711885 \h </w:instrText>
          </w:r>
          <w:r>
            <w:rPr>
              <w:rFonts w:ascii="仿宋" w:hAnsi="仿宋" w:eastAsia="仿宋"/>
              <w:szCs w:val="24"/>
            </w:rPr>
            <w:fldChar w:fldCharType="separate"/>
          </w:r>
          <w:r>
            <w:rPr>
              <w:rFonts w:ascii="仿宋" w:hAnsi="仿宋" w:eastAsia="仿宋"/>
              <w:szCs w:val="24"/>
            </w:rPr>
            <w:t>18</w:t>
          </w:r>
          <w:r>
            <w:rPr>
              <w:rFonts w:ascii="仿宋" w:hAnsi="仿宋" w:eastAsia="仿宋"/>
              <w:szCs w:val="24"/>
            </w:rPr>
            <w:fldChar w:fldCharType="end"/>
          </w:r>
          <w:r>
            <w:rPr>
              <w:rFonts w:ascii="仿宋" w:hAnsi="仿宋" w:eastAsia="仿宋"/>
              <w:szCs w:val="24"/>
            </w:rPr>
            <w:fldChar w:fldCharType="end"/>
          </w:r>
        </w:p>
        <w:p w14:paraId="1547DE24">
          <w:pPr>
            <w:pStyle w:val="17"/>
            <w:spacing w:line="240" w:lineRule="auto"/>
            <w:rPr>
              <w:rFonts w:ascii="仿宋" w:hAnsi="仿宋" w:eastAsia="仿宋"/>
              <w:szCs w:val="24"/>
              <w14:ligatures w14:val="standardContextual"/>
            </w:rPr>
          </w:pPr>
          <w:r>
            <w:fldChar w:fldCharType="begin"/>
          </w:r>
          <w:r>
            <w:instrText xml:space="preserve"> HYPERLINK \l "_Toc200711886" </w:instrText>
          </w:r>
          <w:r>
            <w:fldChar w:fldCharType="separate"/>
          </w:r>
          <w:r>
            <w:rPr>
              <w:rStyle w:val="28"/>
              <w:rFonts w:ascii="仿宋" w:hAnsi="仿宋" w:eastAsia="仿宋"/>
              <w:color w:val="auto"/>
              <w:szCs w:val="24"/>
              <w:lang w:val="en-GB"/>
            </w:rPr>
            <w:t>（八）其他需要纳入事前绩效评估的事项</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_Toc200711886 \h </w:instrText>
          </w:r>
          <w:r>
            <w:rPr>
              <w:rFonts w:ascii="仿宋" w:hAnsi="仿宋" w:eastAsia="仿宋"/>
              <w:szCs w:val="24"/>
            </w:rPr>
            <w:fldChar w:fldCharType="separate"/>
          </w:r>
          <w:r>
            <w:rPr>
              <w:rFonts w:ascii="仿宋" w:hAnsi="仿宋" w:eastAsia="仿宋"/>
              <w:szCs w:val="24"/>
            </w:rPr>
            <w:t>18</w:t>
          </w:r>
          <w:r>
            <w:rPr>
              <w:rFonts w:ascii="仿宋" w:hAnsi="仿宋" w:eastAsia="仿宋"/>
              <w:szCs w:val="24"/>
            </w:rPr>
            <w:fldChar w:fldCharType="end"/>
          </w:r>
          <w:r>
            <w:rPr>
              <w:rFonts w:ascii="仿宋" w:hAnsi="仿宋" w:eastAsia="仿宋"/>
              <w:szCs w:val="24"/>
            </w:rPr>
            <w:fldChar w:fldCharType="end"/>
          </w:r>
        </w:p>
        <w:p w14:paraId="0121D1AA">
          <w:pPr>
            <w:pStyle w:val="17"/>
            <w:spacing w:line="240" w:lineRule="auto"/>
            <w:rPr>
              <w:rFonts w:ascii="仿宋" w:hAnsi="仿宋" w:eastAsia="仿宋"/>
              <w:szCs w:val="24"/>
              <w14:ligatures w14:val="standardContextual"/>
            </w:rPr>
          </w:pPr>
          <w:r>
            <w:fldChar w:fldCharType="begin"/>
          </w:r>
          <w:r>
            <w:instrText xml:space="preserve"> HYPERLINK \l "_Toc200711887" </w:instrText>
          </w:r>
          <w:r>
            <w:fldChar w:fldCharType="separate"/>
          </w:r>
          <w:r>
            <w:rPr>
              <w:rStyle w:val="28"/>
              <w:rFonts w:ascii="仿宋" w:hAnsi="仿宋" w:eastAsia="仿宋"/>
              <w:color w:val="auto"/>
              <w:szCs w:val="24"/>
              <w:lang w:val="en-GB"/>
            </w:rPr>
            <w:t>（九）整体结论</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_Toc200711887 \h </w:instrText>
          </w:r>
          <w:r>
            <w:rPr>
              <w:rFonts w:ascii="仿宋" w:hAnsi="仿宋" w:eastAsia="仿宋"/>
              <w:szCs w:val="24"/>
            </w:rPr>
            <w:fldChar w:fldCharType="separate"/>
          </w:r>
          <w:r>
            <w:rPr>
              <w:rFonts w:ascii="仿宋" w:hAnsi="仿宋" w:eastAsia="仿宋"/>
              <w:szCs w:val="24"/>
            </w:rPr>
            <w:t>18</w:t>
          </w:r>
          <w:r>
            <w:rPr>
              <w:rFonts w:ascii="仿宋" w:hAnsi="仿宋" w:eastAsia="仿宋"/>
              <w:szCs w:val="24"/>
            </w:rPr>
            <w:fldChar w:fldCharType="end"/>
          </w:r>
          <w:r>
            <w:rPr>
              <w:rFonts w:ascii="仿宋" w:hAnsi="仿宋" w:eastAsia="仿宋"/>
              <w:szCs w:val="24"/>
            </w:rPr>
            <w:fldChar w:fldCharType="end"/>
          </w:r>
        </w:p>
        <w:p w14:paraId="09751E49">
          <w:pPr>
            <w:pStyle w:val="17"/>
            <w:spacing w:line="240" w:lineRule="auto"/>
            <w:rPr>
              <w:rFonts w:ascii="仿宋" w:hAnsi="仿宋" w:eastAsia="仿宋"/>
              <w:szCs w:val="24"/>
              <w14:ligatures w14:val="standardContextual"/>
            </w:rPr>
          </w:pPr>
          <w:r>
            <w:fldChar w:fldCharType="begin"/>
          </w:r>
          <w:r>
            <w:instrText xml:space="preserve"> HYPERLINK \l "_Toc200711888" </w:instrText>
          </w:r>
          <w:r>
            <w:fldChar w:fldCharType="separate"/>
          </w:r>
          <w:r>
            <w:rPr>
              <w:rStyle w:val="28"/>
              <w:rFonts w:ascii="仿宋" w:hAnsi="仿宋" w:eastAsia="仿宋"/>
              <w:color w:val="auto"/>
              <w:szCs w:val="24"/>
            </w:rPr>
            <w:t>七、风险评估</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_Toc200711888 \h </w:instrText>
          </w:r>
          <w:r>
            <w:rPr>
              <w:rFonts w:ascii="仿宋" w:hAnsi="仿宋" w:eastAsia="仿宋"/>
              <w:szCs w:val="24"/>
            </w:rPr>
            <w:fldChar w:fldCharType="separate"/>
          </w:r>
          <w:r>
            <w:rPr>
              <w:rFonts w:ascii="仿宋" w:hAnsi="仿宋" w:eastAsia="仿宋"/>
              <w:szCs w:val="24"/>
            </w:rPr>
            <w:t>20</w:t>
          </w:r>
          <w:r>
            <w:rPr>
              <w:rFonts w:ascii="仿宋" w:hAnsi="仿宋" w:eastAsia="仿宋"/>
              <w:szCs w:val="24"/>
            </w:rPr>
            <w:fldChar w:fldCharType="end"/>
          </w:r>
          <w:r>
            <w:rPr>
              <w:rFonts w:ascii="仿宋" w:hAnsi="仿宋" w:eastAsia="仿宋"/>
              <w:szCs w:val="24"/>
            </w:rPr>
            <w:fldChar w:fldCharType="end"/>
          </w:r>
        </w:p>
        <w:p w14:paraId="6D177A7C">
          <w:pPr>
            <w:pStyle w:val="17"/>
            <w:spacing w:line="240" w:lineRule="auto"/>
            <w:rPr>
              <w:rFonts w:ascii="仿宋" w:hAnsi="仿宋" w:eastAsia="仿宋"/>
              <w:szCs w:val="24"/>
              <w14:ligatures w14:val="standardContextual"/>
            </w:rPr>
          </w:pPr>
          <w:r>
            <w:fldChar w:fldCharType="begin"/>
          </w:r>
          <w:r>
            <w:instrText xml:space="preserve"> HYPERLINK \l "_Toc200711889" </w:instrText>
          </w:r>
          <w:r>
            <w:fldChar w:fldCharType="separate"/>
          </w:r>
          <w:r>
            <w:rPr>
              <w:rStyle w:val="28"/>
              <w:rFonts w:ascii="仿宋" w:hAnsi="仿宋" w:eastAsia="仿宋"/>
              <w:color w:val="auto"/>
              <w:szCs w:val="24"/>
              <w:lang w:val="en-GB"/>
            </w:rPr>
            <w:t>（一）影响项目施工进度或正常运营的风险及控制措施</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_Toc200711889 \h </w:instrText>
          </w:r>
          <w:r>
            <w:rPr>
              <w:rFonts w:ascii="仿宋" w:hAnsi="仿宋" w:eastAsia="仿宋"/>
              <w:szCs w:val="24"/>
            </w:rPr>
            <w:fldChar w:fldCharType="separate"/>
          </w:r>
          <w:r>
            <w:rPr>
              <w:rFonts w:ascii="仿宋" w:hAnsi="仿宋" w:eastAsia="仿宋"/>
              <w:szCs w:val="24"/>
            </w:rPr>
            <w:t>20</w:t>
          </w:r>
          <w:r>
            <w:rPr>
              <w:rFonts w:ascii="仿宋" w:hAnsi="仿宋" w:eastAsia="仿宋"/>
              <w:szCs w:val="24"/>
            </w:rPr>
            <w:fldChar w:fldCharType="end"/>
          </w:r>
          <w:r>
            <w:rPr>
              <w:rFonts w:ascii="仿宋" w:hAnsi="仿宋" w:eastAsia="仿宋"/>
              <w:szCs w:val="24"/>
            </w:rPr>
            <w:fldChar w:fldCharType="end"/>
          </w:r>
        </w:p>
        <w:p w14:paraId="540F2176">
          <w:pPr>
            <w:pStyle w:val="17"/>
            <w:spacing w:line="240" w:lineRule="auto"/>
            <w:rPr>
              <w:rFonts w:ascii="仿宋" w:hAnsi="仿宋" w:eastAsia="仿宋"/>
              <w:szCs w:val="24"/>
              <w14:ligatures w14:val="standardContextual"/>
            </w:rPr>
          </w:pPr>
          <w:r>
            <w:fldChar w:fldCharType="begin"/>
          </w:r>
          <w:r>
            <w:instrText xml:space="preserve"> HYPERLINK \l "_Toc200711893" </w:instrText>
          </w:r>
          <w:r>
            <w:fldChar w:fldCharType="separate"/>
          </w:r>
          <w:r>
            <w:rPr>
              <w:rStyle w:val="28"/>
              <w:rFonts w:ascii="仿宋" w:hAnsi="仿宋" w:eastAsia="仿宋"/>
              <w:color w:val="auto"/>
              <w:szCs w:val="24"/>
              <w:lang w:val="en-GB"/>
            </w:rPr>
            <w:t>（二）影响项目收益的风险及控制措施</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_Toc200711893 \h </w:instrText>
          </w:r>
          <w:r>
            <w:rPr>
              <w:rFonts w:ascii="仿宋" w:hAnsi="仿宋" w:eastAsia="仿宋"/>
              <w:szCs w:val="24"/>
            </w:rPr>
            <w:fldChar w:fldCharType="separate"/>
          </w:r>
          <w:r>
            <w:rPr>
              <w:rFonts w:ascii="仿宋" w:hAnsi="仿宋" w:eastAsia="仿宋"/>
              <w:szCs w:val="24"/>
            </w:rPr>
            <w:t>20</w:t>
          </w:r>
          <w:r>
            <w:rPr>
              <w:rFonts w:ascii="仿宋" w:hAnsi="仿宋" w:eastAsia="仿宋"/>
              <w:szCs w:val="24"/>
            </w:rPr>
            <w:fldChar w:fldCharType="end"/>
          </w:r>
          <w:r>
            <w:rPr>
              <w:rFonts w:ascii="仿宋" w:hAnsi="仿宋" w:eastAsia="仿宋"/>
              <w:szCs w:val="24"/>
            </w:rPr>
            <w:fldChar w:fldCharType="end"/>
          </w:r>
        </w:p>
        <w:p w14:paraId="63837BE4">
          <w:pPr>
            <w:pStyle w:val="17"/>
            <w:spacing w:line="240" w:lineRule="auto"/>
            <w:rPr>
              <w:rFonts w:ascii="仿宋" w:hAnsi="仿宋" w:eastAsia="仿宋"/>
              <w:szCs w:val="24"/>
              <w14:ligatures w14:val="standardContextual"/>
            </w:rPr>
          </w:pPr>
          <w:r>
            <w:fldChar w:fldCharType="begin"/>
          </w:r>
          <w:r>
            <w:instrText xml:space="preserve"> HYPERLINK \l "_Toc200711894" </w:instrText>
          </w:r>
          <w:r>
            <w:fldChar w:fldCharType="separate"/>
          </w:r>
          <w:r>
            <w:rPr>
              <w:rStyle w:val="28"/>
              <w:rFonts w:ascii="仿宋" w:hAnsi="仿宋" w:eastAsia="仿宋"/>
              <w:color w:val="auto"/>
              <w:szCs w:val="24"/>
              <w:lang w:val="en-GB"/>
            </w:rPr>
            <w:t>（三）影响融资平衡结果的风险及控制措施</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_Toc200711894 \h </w:instrText>
          </w:r>
          <w:r>
            <w:rPr>
              <w:rFonts w:ascii="仿宋" w:hAnsi="仿宋" w:eastAsia="仿宋"/>
              <w:szCs w:val="24"/>
            </w:rPr>
            <w:fldChar w:fldCharType="separate"/>
          </w:r>
          <w:r>
            <w:rPr>
              <w:rFonts w:ascii="仿宋" w:hAnsi="仿宋" w:eastAsia="仿宋"/>
              <w:szCs w:val="24"/>
            </w:rPr>
            <w:t>21</w:t>
          </w:r>
          <w:r>
            <w:rPr>
              <w:rFonts w:ascii="仿宋" w:hAnsi="仿宋" w:eastAsia="仿宋"/>
              <w:szCs w:val="24"/>
            </w:rPr>
            <w:fldChar w:fldCharType="end"/>
          </w:r>
          <w:r>
            <w:rPr>
              <w:rFonts w:ascii="仿宋" w:hAnsi="仿宋" w:eastAsia="仿宋"/>
              <w:szCs w:val="24"/>
            </w:rPr>
            <w:fldChar w:fldCharType="end"/>
          </w:r>
        </w:p>
        <w:p w14:paraId="66EE044D">
          <w:pPr>
            <w:pStyle w:val="17"/>
            <w:spacing w:line="240" w:lineRule="auto"/>
            <w:rPr>
              <w:rFonts w:ascii="仿宋" w:hAnsi="仿宋" w:eastAsia="仿宋"/>
              <w:szCs w:val="24"/>
              <w14:ligatures w14:val="standardContextual"/>
            </w:rPr>
          </w:pPr>
          <w:r>
            <w:fldChar w:fldCharType="begin"/>
          </w:r>
          <w:r>
            <w:instrText xml:space="preserve"> HYPERLINK \l "_Toc200711898" </w:instrText>
          </w:r>
          <w:r>
            <w:fldChar w:fldCharType="separate"/>
          </w:r>
          <w:r>
            <w:rPr>
              <w:rStyle w:val="28"/>
              <w:rFonts w:ascii="仿宋" w:hAnsi="仿宋" w:eastAsia="仿宋"/>
              <w:color w:val="auto"/>
              <w:szCs w:val="24"/>
            </w:rPr>
            <w:t>八、偿债保障及投资者保护</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_Toc200711898 \h </w:instrText>
          </w:r>
          <w:r>
            <w:rPr>
              <w:rFonts w:ascii="仿宋" w:hAnsi="仿宋" w:eastAsia="仿宋"/>
              <w:szCs w:val="24"/>
            </w:rPr>
            <w:fldChar w:fldCharType="separate"/>
          </w:r>
          <w:r>
            <w:rPr>
              <w:rFonts w:ascii="仿宋" w:hAnsi="仿宋" w:eastAsia="仿宋"/>
              <w:szCs w:val="24"/>
            </w:rPr>
            <w:t>23</w:t>
          </w:r>
          <w:r>
            <w:rPr>
              <w:rFonts w:ascii="仿宋" w:hAnsi="仿宋" w:eastAsia="仿宋"/>
              <w:szCs w:val="24"/>
            </w:rPr>
            <w:fldChar w:fldCharType="end"/>
          </w:r>
          <w:r>
            <w:rPr>
              <w:rFonts w:ascii="仿宋" w:hAnsi="仿宋" w:eastAsia="仿宋"/>
              <w:szCs w:val="24"/>
            </w:rPr>
            <w:fldChar w:fldCharType="end"/>
          </w:r>
        </w:p>
        <w:p w14:paraId="5427E419">
          <w:pPr>
            <w:pStyle w:val="17"/>
            <w:spacing w:line="240" w:lineRule="auto"/>
            <w:rPr>
              <w:rFonts w:ascii="仿宋" w:hAnsi="仿宋" w:eastAsia="仿宋"/>
              <w:szCs w:val="24"/>
              <w14:ligatures w14:val="standardContextual"/>
            </w:rPr>
          </w:pPr>
          <w:r>
            <w:fldChar w:fldCharType="begin"/>
          </w:r>
          <w:r>
            <w:instrText xml:space="preserve"> HYPERLINK \l "_Toc200711899" </w:instrText>
          </w:r>
          <w:r>
            <w:fldChar w:fldCharType="separate"/>
          </w:r>
          <w:r>
            <w:rPr>
              <w:rStyle w:val="28"/>
              <w:rFonts w:ascii="仿宋" w:hAnsi="仿宋" w:eastAsia="仿宋"/>
              <w:color w:val="auto"/>
              <w:szCs w:val="24"/>
              <w:lang w:val="en-GB"/>
            </w:rPr>
            <w:t>（一）本期专项债券偿债保障措施</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_Toc200711899 \h </w:instrText>
          </w:r>
          <w:r>
            <w:rPr>
              <w:rFonts w:ascii="仿宋" w:hAnsi="仿宋" w:eastAsia="仿宋"/>
              <w:szCs w:val="24"/>
            </w:rPr>
            <w:fldChar w:fldCharType="separate"/>
          </w:r>
          <w:r>
            <w:rPr>
              <w:rFonts w:ascii="仿宋" w:hAnsi="仿宋" w:eastAsia="仿宋"/>
              <w:szCs w:val="24"/>
            </w:rPr>
            <w:t>23</w:t>
          </w:r>
          <w:r>
            <w:rPr>
              <w:rFonts w:ascii="仿宋" w:hAnsi="仿宋" w:eastAsia="仿宋"/>
              <w:szCs w:val="24"/>
            </w:rPr>
            <w:fldChar w:fldCharType="end"/>
          </w:r>
          <w:r>
            <w:rPr>
              <w:rFonts w:ascii="仿宋" w:hAnsi="仿宋" w:eastAsia="仿宋"/>
              <w:szCs w:val="24"/>
            </w:rPr>
            <w:fldChar w:fldCharType="end"/>
          </w:r>
        </w:p>
        <w:p w14:paraId="19668307">
          <w:pPr>
            <w:pStyle w:val="17"/>
            <w:spacing w:line="240" w:lineRule="auto"/>
            <w:rPr>
              <w:rFonts w:ascii="仿宋" w:hAnsi="仿宋" w:eastAsia="仿宋"/>
              <w:szCs w:val="24"/>
              <w14:ligatures w14:val="standardContextual"/>
            </w:rPr>
          </w:pPr>
          <w:r>
            <w:fldChar w:fldCharType="begin"/>
          </w:r>
          <w:r>
            <w:instrText xml:space="preserve"> HYPERLINK \l "_Toc200711900" </w:instrText>
          </w:r>
          <w:r>
            <w:fldChar w:fldCharType="separate"/>
          </w:r>
          <w:r>
            <w:rPr>
              <w:rStyle w:val="28"/>
              <w:rFonts w:ascii="仿宋" w:hAnsi="仿宋" w:eastAsia="仿宋"/>
              <w:color w:val="auto"/>
              <w:szCs w:val="24"/>
              <w:lang w:val="en-GB"/>
            </w:rPr>
            <w:t>（二）本期专项债券的投资者保护措施</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_Toc200711900 \h </w:instrText>
          </w:r>
          <w:r>
            <w:rPr>
              <w:rFonts w:ascii="仿宋" w:hAnsi="仿宋" w:eastAsia="仿宋"/>
              <w:szCs w:val="24"/>
            </w:rPr>
            <w:fldChar w:fldCharType="separate"/>
          </w:r>
          <w:r>
            <w:rPr>
              <w:rFonts w:ascii="仿宋" w:hAnsi="仿宋" w:eastAsia="仿宋"/>
              <w:szCs w:val="24"/>
            </w:rPr>
            <w:t>23</w:t>
          </w:r>
          <w:r>
            <w:rPr>
              <w:rFonts w:ascii="仿宋" w:hAnsi="仿宋" w:eastAsia="仿宋"/>
              <w:szCs w:val="24"/>
            </w:rPr>
            <w:fldChar w:fldCharType="end"/>
          </w:r>
          <w:r>
            <w:rPr>
              <w:rFonts w:ascii="仿宋" w:hAnsi="仿宋" w:eastAsia="仿宋"/>
              <w:szCs w:val="24"/>
            </w:rPr>
            <w:fldChar w:fldCharType="end"/>
          </w:r>
        </w:p>
        <w:p w14:paraId="0CBD6542">
          <w:pPr>
            <w:pStyle w:val="17"/>
            <w:spacing w:line="240" w:lineRule="auto"/>
            <w:rPr>
              <w:rFonts w:ascii="仿宋" w:hAnsi="仿宋" w:eastAsia="仿宋"/>
              <w:szCs w:val="24"/>
              <w14:ligatures w14:val="standardContextual"/>
            </w:rPr>
          </w:pPr>
          <w:r>
            <w:fldChar w:fldCharType="begin"/>
          </w:r>
          <w:r>
            <w:instrText xml:space="preserve"> HYPERLINK \l "_Toc200711901" </w:instrText>
          </w:r>
          <w:r>
            <w:fldChar w:fldCharType="separate"/>
          </w:r>
          <w:r>
            <w:rPr>
              <w:rStyle w:val="28"/>
              <w:rFonts w:ascii="仿宋" w:hAnsi="仿宋" w:eastAsia="仿宋"/>
              <w:color w:val="auto"/>
              <w:szCs w:val="24"/>
            </w:rPr>
            <w:t>九、结论</w:t>
          </w:r>
          <w:r>
            <w:rPr>
              <w:rFonts w:ascii="仿宋" w:hAnsi="仿宋" w:eastAsia="仿宋"/>
              <w:szCs w:val="24"/>
            </w:rPr>
            <w:tab/>
          </w:r>
          <w:r>
            <w:rPr>
              <w:rFonts w:ascii="仿宋" w:hAnsi="仿宋" w:eastAsia="仿宋"/>
              <w:szCs w:val="24"/>
            </w:rPr>
            <w:fldChar w:fldCharType="begin"/>
          </w:r>
          <w:r>
            <w:rPr>
              <w:rFonts w:ascii="仿宋" w:hAnsi="仿宋" w:eastAsia="仿宋"/>
              <w:szCs w:val="24"/>
            </w:rPr>
            <w:instrText xml:space="preserve"> PAGEREF _Toc200711901 \h </w:instrText>
          </w:r>
          <w:r>
            <w:rPr>
              <w:rFonts w:ascii="仿宋" w:hAnsi="仿宋" w:eastAsia="仿宋"/>
              <w:szCs w:val="24"/>
            </w:rPr>
            <w:fldChar w:fldCharType="separate"/>
          </w:r>
          <w:r>
            <w:rPr>
              <w:rFonts w:ascii="仿宋" w:hAnsi="仿宋" w:eastAsia="仿宋"/>
              <w:szCs w:val="24"/>
            </w:rPr>
            <w:t>24</w:t>
          </w:r>
          <w:r>
            <w:rPr>
              <w:rFonts w:ascii="仿宋" w:hAnsi="仿宋" w:eastAsia="仿宋"/>
              <w:szCs w:val="24"/>
            </w:rPr>
            <w:fldChar w:fldCharType="end"/>
          </w:r>
          <w:r>
            <w:rPr>
              <w:rFonts w:ascii="仿宋" w:hAnsi="仿宋" w:eastAsia="仿宋"/>
              <w:szCs w:val="24"/>
            </w:rPr>
            <w:fldChar w:fldCharType="end"/>
          </w:r>
        </w:p>
        <w:p w14:paraId="1D178495">
          <w:pPr>
            <w:spacing w:before="156" w:line="276" w:lineRule="auto"/>
            <w:ind w:right="84" w:firstLine="480"/>
            <w:rPr>
              <w:rFonts w:ascii="仿宋" w:hAnsi="仿宋" w:eastAsia="仿宋" w:cs="Times New Roman"/>
              <w:color w:val="000000" w:themeColor="text1"/>
              <w14:textFill>
                <w14:solidFill>
                  <w14:schemeClr w14:val="tx1"/>
                </w14:solidFill>
              </w14:textFill>
            </w:rPr>
          </w:pPr>
          <w:r>
            <w:rPr>
              <w:rFonts w:ascii="仿宋" w:hAnsi="仿宋" w:eastAsia="仿宋" w:cs="Times New Roman"/>
              <w:szCs w:val="24"/>
            </w:rPr>
            <w:fldChar w:fldCharType="end"/>
          </w:r>
        </w:p>
      </w:sdtContent>
    </w:sdt>
    <w:p w14:paraId="2A45FD1B">
      <w:pPr>
        <w:spacing w:before="156"/>
        <w:ind w:right="84" w:firstLine="480"/>
        <w:rPr>
          <w:rFonts w:ascii="仿宋" w:hAnsi="仿宋" w:eastAsia="仿宋" w:cs="Times New Roman"/>
          <w:color w:val="000000" w:themeColor="text1"/>
          <w14:textFill>
            <w14:solidFill>
              <w14:schemeClr w14:val="tx1"/>
            </w14:solidFill>
          </w14:textFill>
        </w:rPr>
        <w:sectPr>
          <w:footerReference r:id="rId11" w:type="default"/>
          <w:pgSz w:w="11906" w:h="16838"/>
          <w:pgMar w:top="1440" w:right="1800" w:bottom="1440" w:left="1800" w:header="851" w:footer="992" w:gutter="0"/>
          <w:pgNumType w:start="1"/>
          <w:cols w:space="425" w:num="1"/>
          <w:docGrid w:type="lines" w:linePitch="312" w:charSpace="0"/>
        </w:sectPr>
      </w:pPr>
    </w:p>
    <w:p w14:paraId="06DBA1C4">
      <w:pPr>
        <w:pStyle w:val="4"/>
        <w:ind w:left="0" w:right="84"/>
      </w:pPr>
      <w:bookmarkStart w:id="4" w:name="_Toc183188336"/>
      <w:bookmarkStart w:id="5" w:name="_Toc200711860"/>
      <w:bookmarkStart w:id="6" w:name="_Toc133524559"/>
      <w:bookmarkStart w:id="7" w:name="_Toc158117256"/>
      <w:bookmarkStart w:id="8" w:name="_Toc124153209"/>
      <w:r>
        <w:rPr>
          <w:rFonts w:hint="eastAsia"/>
        </w:rPr>
        <w:t>一、债券情况</w:t>
      </w:r>
      <w:bookmarkEnd w:id="4"/>
      <w:bookmarkEnd w:id="5"/>
    </w:p>
    <w:p w14:paraId="32D98D5B">
      <w:pPr>
        <w:autoSpaceDE w:val="0"/>
        <w:autoSpaceDN w:val="0"/>
        <w:adjustRightInd w:val="0"/>
        <w:ind w:right="84" w:firstLine="560"/>
        <w:rPr>
          <w:rFonts w:ascii="仿宋" w:hAnsi="仿宋" w:eastAsia="仿宋" w:cs="楷体"/>
          <w:b/>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根据财政部有关文件要求，经批准，拟对2025年海南省政府专项债券（一期）中部分项目的专项债券资金额度进行调整，并将调整出来的资金分配至</w:t>
      </w:r>
      <w:r>
        <w:rPr>
          <w:rFonts w:hint="eastAsia" w:ascii="仿宋" w:hAnsi="仿宋" w:eastAsia="仿宋" w:cs="楷体"/>
          <w:bCs/>
          <w:color w:val="000000" w:themeColor="text1"/>
          <w:kern w:val="0"/>
          <w:sz w:val="28"/>
          <w:szCs w:val="28"/>
          <w:lang w:val="en-GB"/>
          <w14:textFill>
            <w14:solidFill>
              <w14:schemeClr w14:val="tx1"/>
            </w14:solidFill>
          </w14:textFill>
        </w:rPr>
        <w:t>海口江东新区总部集聚区基础设施建设项目</w:t>
      </w:r>
      <w:r>
        <w:rPr>
          <w:rFonts w:hint="eastAsia" w:ascii="仿宋" w:hAnsi="仿宋" w:eastAsia="仿宋" w:cs="楷体"/>
          <w:color w:val="000000" w:themeColor="text1"/>
          <w:kern w:val="0"/>
          <w:sz w:val="28"/>
          <w:szCs w:val="28"/>
          <w:lang w:val="en-GB"/>
          <w14:textFill>
            <w14:solidFill>
              <w14:schemeClr w14:val="tx1"/>
            </w14:solidFill>
          </w14:textFill>
        </w:rPr>
        <w:t>使用。债券品种为记账式固定利率附息债券，期限为10年期</w:t>
      </w:r>
      <w:r>
        <w:rPr>
          <w:rFonts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lang w:val="en-GB"/>
          <w14:textFill>
            <w14:solidFill>
              <w14:schemeClr w14:val="tx1"/>
            </w14:solidFill>
          </w14:textFill>
        </w:rPr>
        <w:t>付息方式为：利息按半年支付，最后一次利息随本金一起支付。</w:t>
      </w:r>
    </w:p>
    <w:tbl>
      <w:tblPr>
        <w:tblStyle w:val="21"/>
        <w:tblW w:w="506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1614"/>
        <w:gridCol w:w="7364"/>
      </w:tblGrid>
      <w:tr w14:paraId="7AD94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5F10BBE4">
            <w:pPr>
              <w:spacing w:line="240" w:lineRule="auto"/>
              <w:ind w:right="84" w:firstLine="199" w:firstLineChars="99"/>
              <w:rPr>
                <w:rFonts w:ascii="仿宋" w:hAnsi="仿宋" w:eastAsia="仿宋" w:cs="Calibri"/>
                <w:b/>
                <w:bCs/>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债券名称</w:t>
            </w:r>
          </w:p>
        </w:tc>
        <w:tc>
          <w:tcPr>
            <w:tcW w:w="4101" w:type="pct"/>
            <w:shd w:val="clear" w:color="auto" w:fill="FFFFFF" w:themeFill="background1"/>
            <w:vAlign w:val="center"/>
          </w:tcPr>
          <w:p w14:paraId="2004FFE2">
            <w:pPr>
              <w:spacing w:line="240" w:lineRule="auto"/>
              <w:ind w:right="84" w:firstLine="400"/>
              <w:jc w:val="center"/>
              <w:rPr>
                <w:rFonts w:ascii="仿宋" w:hAnsi="仿宋" w:eastAsia="仿宋"/>
              </w:rPr>
            </w:pPr>
            <w:r>
              <w:rPr>
                <w:rFonts w:hint="eastAsia" w:ascii="仿宋" w:hAnsi="仿宋" w:eastAsia="仿宋" w:cs="楷体"/>
                <w:color w:val="000000" w:themeColor="text1"/>
                <w:kern w:val="0"/>
                <w:sz w:val="20"/>
                <w:szCs w:val="20"/>
                <w14:textFill>
                  <w14:solidFill>
                    <w14:schemeClr w14:val="tx1"/>
                  </w14:solidFill>
                </w14:textFill>
              </w:rPr>
              <w:t>2025年海南省政府专项债券（一期）</w:t>
            </w:r>
          </w:p>
        </w:tc>
      </w:tr>
      <w:tr w14:paraId="4DB2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7C07894F">
            <w:pPr>
              <w:spacing w:line="240" w:lineRule="auto"/>
              <w:ind w:right="84" w:firstLine="199" w:firstLineChars="99"/>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发行规模</w:t>
            </w:r>
          </w:p>
        </w:tc>
        <w:tc>
          <w:tcPr>
            <w:tcW w:w="4101" w:type="pct"/>
            <w:shd w:val="clear" w:color="auto" w:fill="FFFFFF" w:themeFill="background1"/>
            <w:vAlign w:val="center"/>
          </w:tcPr>
          <w:p w14:paraId="482BA6FE">
            <w:pPr>
              <w:spacing w:line="240" w:lineRule="auto"/>
              <w:ind w:right="84" w:firstLine="400"/>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2,000万元</w:t>
            </w:r>
          </w:p>
        </w:tc>
      </w:tr>
      <w:tr w14:paraId="08515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473C97EF">
            <w:pPr>
              <w:spacing w:line="240" w:lineRule="auto"/>
              <w:ind w:right="84" w:firstLine="199" w:firstLineChars="99"/>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债券期限</w:t>
            </w:r>
          </w:p>
        </w:tc>
        <w:tc>
          <w:tcPr>
            <w:tcW w:w="4101" w:type="pct"/>
            <w:shd w:val="clear" w:color="auto" w:fill="FFFFFF" w:themeFill="background1"/>
            <w:vAlign w:val="center"/>
          </w:tcPr>
          <w:p w14:paraId="7A9D8702">
            <w:pPr>
              <w:spacing w:line="240" w:lineRule="auto"/>
              <w:ind w:right="84" w:firstLine="400"/>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10年期</w:t>
            </w:r>
          </w:p>
        </w:tc>
      </w:tr>
      <w:tr w14:paraId="0D44F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33FA7362">
            <w:pPr>
              <w:spacing w:line="240" w:lineRule="auto"/>
              <w:ind w:right="84" w:firstLine="199" w:firstLineChars="99"/>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债券利率</w:t>
            </w:r>
          </w:p>
        </w:tc>
        <w:tc>
          <w:tcPr>
            <w:tcW w:w="4101" w:type="pct"/>
            <w:shd w:val="clear" w:color="auto" w:fill="FFFFFF" w:themeFill="background1"/>
            <w:vAlign w:val="center"/>
          </w:tcPr>
          <w:p w14:paraId="2A294B92">
            <w:pPr>
              <w:spacing w:line="240" w:lineRule="auto"/>
              <w:ind w:right="84" w:firstLine="400"/>
              <w:jc w:val="center"/>
              <w:rPr>
                <w:rFonts w:ascii="仿宋" w:hAnsi="仿宋" w:eastAsia="仿宋" w:cs="楷体"/>
                <w:color w:val="000000" w:themeColor="text1"/>
                <w:kern w:val="0"/>
                <w:sz w:val="20"/>
                <w:szCs w:val="20"/>
                <w:lang w:val="en-GB"/>
                <w14:textFill>
                  <w14:solidFill>
                    <w14:schemeClr w14:val="tx1"/>
                  </w14:solidFill>
                </w14:textFill>
              </w:rPr>
            </w:pPr>
            <w:r>
              <w:rPr>
                <w:rFonts w:hint="eastAsia" w:ascii="仿宋" w:hAnsi="仿宋" w:eastAsia="仿宋" w:cs="楷体"/>
                <w:color w:val="000000" w:themeColor="text1"/>
                <w:kern w:val="0"/>
                <w:sz w:val="20"/>
                <w:szCs w:val="20"/>
                <w:lang w:val="en-GB"/>
                <w14:textFill>
                  <w14:solidFill>
                    <w14:schemeClr w14:val="tx1"/>
                  </w14:solidFill>
                </w14:textFill>
              </w:rPr>
              <w:t>固定利率</w:t>
            </w:r>
          </w:p>
        </w:tc>
      </w:tr>
      <w:tr w14:paraId="5B35C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2A163FB4">
            <w:pPr>
              <w:spacing w:line="240" w:lineRule="auto"/>
              <w:ind w:right="84" w:firstLine="199" w:firstLineChars="99"/>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付息方式</w:t>
            </w:r>
          </w:p>
        </w:tc>
        <w:tc>
          <w:tcPr>
            <w:tcW w:w="4101" w:type="pct"/>
            <w:shd w:val="clear" w:color="auto" w:fill="FFFFFF" w:themeFill="background1"/>
            <w:vAlign w:val="center"/>
          </w:tcPr>
          <w:p w14:paraId="3296B8A1">
            <w:pPr>
              <w:spacing w:line="240" w:lineRule="auto"/>
              <w:ind w:right="84" w:firstLine="400"/>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利息按半年支付，最后一次利息随本金一起支付</w:t>
            </w:r>
          </w:p>
        </w:tc>
      </w:tr>
      <w:tr w14:paraId="51ABB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38856CB3">
            <w:pPr>
              <w:spacing w:line="240" w:lineRule="auto"/>
              <w:ind w:right="84" w:firstLine="0" w:firstLineChars="0"/>
              <w:rPr>
                <w:rFonts w:ascii="仿宋" w:hAnsi="仿宋" w:eastAsia="仿宋" w:cs="楷体"/>
                <w:b/>
                <w:color w:val="000000" w:themeColor="text1"/>
                <w:kern w:val="0"/>
                <w:sz w:val="20"/>
                <w:szCs w:val="20"/>
                <w:lang w:val="en-GB"/>
                <w14:textFill>
                  <w14:solidFill>
                    <w14:schemeClr w14:val="tx1"/>
                  </w14:solidFill>
                </w14:textFill>
              </w:rPr>
            </w:pPr>
            <w:r>
              <w:rPr>
                <w:rFonts w:hint="eastAsia" w:ascii="仿宋" w:hAnsi="仿宋" w:eastAsia="仿宋" w:cs="楷体"/>
                <w:b/>
                <w:color w:val="000000" w:themeColor="text1"/>
                <w:kern w:val="0"/>
                <w:sz w:val="20"/>
                <w:szCs w:val="20"/>
                <w:lang w:val="en-GB"/>
                <w14:textFill>
                  <w14:solidFill>
                    <w14:schemeClr w14:val="tx1"/>
                  </w14:solidFill>
                </w14:textFill>
              </w:rPr>
              <w:t>上市流通安排</w:t>
            </w:r>
          </w:p>
        </w:tc>
        <w:tc>
          <w:tcPr>
            <w:tcW w:w="4101" w:type="pct"/>
            <w:shd w:val="clear" w:color="auto" w:fill="FFFFFF" w:themeFill="background1"/>
            <w:vAlign w:val="center"/>
          </w:tcPr>
          <w:p w14:paraId="71A7E93D">
            <w:pPr>
              <w:spacing w:line="240" w:lineRule="auto"/>
              <w:ind w:right="84" w:firstLine="400"/>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于上市日（即招标日后第</w:t>
            </w:r>
            <w:r>
              <w:rPr>
                <w:rFonts w:ascii="仿宋" w:hAnsi="仿宋" w:eastAsia="仿宋" w:cs="楷体"/>
                <w:color w:val="000000" w:themeColor="text1"/>
                <w:kern w:val="0"/>
                <w:sz w:val="20"/>
                <w:szCs w:val="20"/>
                <w14:textFill>
                  <w14:solidFill>
                    <w14:schemeClr w14:val="tx1"/>
                  </w14:solidFill>
                </w14:textFill>
              </w:rPr>
              <w:t>3个工作日）起，按规定在交易场所上市流通</w:t>
            </w:r>
          </w:p>
        </w:tc>
      </w:tr>
    </w:tbl>
    <w:p w14:paraId="61337EA1">
      <w:pPr>
        <w:pStyle w:val="4"/>
        <w:ind w:left="0" w:right="84"/>
      </w:pPr>
      <w:bookmarkStart w:id="9" w:name="_Toc200711861"/>
      <w:bookmarkStart w:id="10" w:name="_Toc183188337"/>
      <w:r>
        <w:rPr>
          <w:rFonts w:hint="eastAsia"/>
        </w:rPr>
        <w:t>二、地区区位、经济概况</w:t>
      </w:r>
      <w:bookmarkEnd w:id="9"/>
      <w:bookmarkEnd w:id="10"/>
    </w:p>
    <w:p w14:paraId="0F8DD589">
      <w:pPr>
        <w:pStyle w:val="4"/>
        <w:ind w:left="0" w:right="84"/>
        <w:rPr>
          <w:lang w:val="en-GB"/>
        </w:rPr>
      </w:pPr>
      <w:bookmarkStart w:id="11" w:name="_Toc183188338"/>
      <w:bookmarkStart w:id="12" w:name="_Toc200711862"/>
      <w:r>
        <w:rPr>
          <w:rFonts w:hint="eastAsia"/>
          <w:lang w:val="en-GB"/>
        </w:rPr>
        <w:t>（一）项目区位情况</w:t>
      </w:r>
      <w:bookmarkEnd w:id="11"/>
      <w:bookmarkEnd w:id="12"/>
    </w:p>
    <w:p w14:paraId="6E37F3FB">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南省，简称“琼”，是中华人民共和国最南端的省级行政区，省会海口，是中国的经济特区、自由贸易试验区；地处中国华南地区，北以琼州海峡与广东划界，西临北部湾与广西、越南相对，东濒南海与台湾对望，东南和南部在南海与菲律宾、文莱、马来西亚为邻。海南省陆地总面积3.54万平方公里，其中海南岛3.39万平方公里，海域面积约200万平方公里。</w:t>
      </w:r>
      <w:bookmarkStart w:id="13" w:name="_Toc183188339"/>
    </w:p>
    <w:p w14:paraId="7E2287C9">
      <w:pPr>
        <w:autoSpaceDE w:val="0"/>
        <w:autoSpaceDN w:val="0"/>
        <w:adjustRightInd w:val="0"/>
        <w:ind w:right="84" w:firstLine="562"/>
        <w:rPr>
          <w:rFonts w:ascii="仿宋" w:hAnsi="仿宋" w:eastAsia="仿宋" w:cs="楷体"/>
          <w:b/>
          <w:bCs/>
          <w:color w:val="000000" w:themeColor="text1"/>
          <w:kern w:val="0"/>
          <w:sz w:val="28"/>
          <w:szCs w:val="28"/>
          <w:lang w:val="en-GB"/>
          <w14:textFill>
            <w14:solidFill>
              <w14:schemeClr w14:val="tx1"/>
            </w14:solidFill>
          </w14:textFill>
        </w:rPr>
      </w:pPr>
      <w:r>
        <w:rPr>
          <w:rFonts w:hint="eastAsia" w:ascii="仿宋" w:hAnsi="仿宋" w:eastAsia="仿宋" w:cs="楷体"/>
          <w:b/>
          <w:bCs/>
          <w:color w:val="000000" w:themeColor="text1"/>
          <w:kern w:val="0"/>
          <w:sz w:val="28"/>
          <w:szCs w:val="28"/>
          <w:lang w:val="en-GB"/>
          <w14:textFill>
            <w14:solidFill>
              <w14:schemeClr w14:val="tx1"/>
            </w14:solidFill>
          </w14:textFill>
        </w:rPr>
        <w:t>（二）地区经济情况</w:t>
      </w:r>
      <w:bookmarkEnd w:id="13"/>
    </w:p>
    <w:p w14:paraId="0DC01B51">
      <w:pPr>
        <w:autoSpaceDE w:val="0"/>
        <w:autoSpaceDN w:val="0"/>
        <w:adjustRightInd w:val="0"/>
        <w:spacing w:line="240" w:lineRule="auto"/>
        <w:ind w:right="84" w:firstLine="562"/>
        <w:jc w:val="center"/>
        <w:rPr>
          <w:rFonts w:ascii="仿宋" w:hAnsi="仿宋" w:eastAsia="仿宋" w:cs="楷体"/>
          <w:b/>
          <w:bCs/>
          <w:color w:val="000000" w:themeColor="text1"/>
          <w:kern w:val="0"/>
          <w:sz w:val="28"/>
          <w:szCs w:val="28"/>
          <w:lang w:val="en-GB"/>
          <w14:textFill>
            <w14:solidFill>
              <w14:schemeClr w14:val="tx1"/>
            </w14:solidFill>
          </w14:textFill>
        </w:rPr>
      </w:pPr>
      <w:r>
        <w:rPr>
          <w:rFonts w:hint="eastAsia" w:ascii="仿宋" w:hAnsi="仿宋" w:eastAsia="仿宋" w:cs="楷体"/>
          <w:b/>
          <w:bCs/>
          <w:color w:val="000000" w:themeColor="text1"/>
          <w:kern w:val="0"/>
          <w:sz w:val="28"/>
          <w:szCs w:val="28"/>
          <w:lang w:val="en-GB"/>
          <w14:textFill>
            <w14:solidFill>
              <w14:schemeClr w14:val="tx1"/>
            </w14:solidFill>
          </w14:textFill>
        </w:rPr>
        <w:t>海口市20</w:t>
      </w:r>
      <w:r>
        <w:rPr>
          <w:rFonts w:ascii="仿宋" w:hAnsi="仿宋" w:eastAsia="仿宋" w:cs="楷体"/>
          <w:b/>
          <w:bCs/>
          <w:color w:val="000000" w:themeColor="text1"/>
          <w:kern w:val="0"/>
          <w:sz w:val="28"/>
          <w:szCs w:val="28"/>
          <w:lang w:val="en-GB"/>
          <w14:textFill>
            <w14:solidFill>
              <w14:schemeClr w14:val="tx1"/>
            </w14:solidFill>
          </w14:textFill>
        </w:rPr>
        <w:t>2</w:t>
      </w:r>
      <w:r>
        <w:rPr>
          <w:rFonts w:hint="eastAsia" w:ascii="仿宋" w:hAnsi="仿宋" w:eastAsia="仿宋" w:cs="楷体"/>
          <w:b/>
          <w:bCs/>
          <w:color w:val="000000" w:themeColor="text1"/>
          <w:kern w:val="0"/>
          <w:sz w:val="28"/>
          <w:szCs w:val="28"/>
          <w:lang w:val="en-GB"/>
          <w14:textFill>
            <w14:solidFill>
              <w14:schemeClr w14:val="tx1"/>
            </w14:solidFill>
          </w14:textFill>
        </w:rPr>
        <w:t>2—2024年财政经济数据</w:t>
      </w:r>
    </w:p>
    <w:p w14:paraId="1DE4981E">
      <w:pPr>
        <w:spacing w:line="240" w:lineRule="auto"/>
        <w:ind w:right="84" w:firstLine="400"/>
        <w:jc w:val="right"/>
        <w:rPr>
          <w:rFonts w:ascii="仿宋" w:hAnsi="仿宋" w:eastAsia="仿宋"/>
          <w:color w:val="000000"/>
          <w:sz w:val="20"/>
          <w:szCs w:val="20"/>
        </w:rPr>
      </w:pPr>
      <w:r>
        <w:rPr>
          <w:rFonts w:hint="eastAsia" w:ascii="仿宋" w:hAnsi="仿宋" w:eastAsia="仿宋"/>
          <w:color w:val="000000"/>
          <w:sz w:val="20"/>
          <w:szCs w:val="20"/>
        </w:rPr>
        <w:t>单位：人民币亿元</w:t>
      </w:r>
    </w:p>
    <w:tbl>
      <w:tblPr>
        <w:tblStyle w:val="21"/>
        <w:tblW w:w="0" w:type="auto"/>
        <w:jc w:val="center"/>
        <w:tblBorders>
          <w:top w:val="single" w:color="auto" w:sz="12" w:space="0"/>
          <w:left w:val="none" w:color="auto" w:sz="0" w:space="0"/>
          <w:bottom w:val="single" w:color="auto" w:sz="12" w:space="0"/>
          <w:right w:val="none" w:color="auto" w:sz="0" w:space="0"/>
          <w:insideH w:val="none" w:color="auto" w:sz="0" w:space="0"/>
          <w:insideV w:val="single" w:color="auto" w:sz="4" w:space="0"/>
        </w:tblBorders>
        <w:tblLayout w:type="fixed"/>
        <w:tblCellMar>
          <w:top w:w="0" w:type="dxa"/>
          <w:left w:w="108" w:type="dxa"/>
          <w:bottom w:w="0" w:type="dxa"/>
          <w:right w:w="108" w:type="dxa"/>
        </w:tblCellMar>
      </w:tblPr>
      <w:tblGrid>
        <w:gridCol w:w="4588"/>
        <w:gridCol w:w="1351"/>
        <w:gridCol w:w="1351"/>
        <w:gridCol w:w="1350"/>
      </w:tblGrid>
      <w:tr w14:paraId="7D88D0D0">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tcBorders>
              <w:top w:val="single" w:color="auto" w:sz="12" w:space="0"/>
              <w:bottom w:val="single" w:color="auto" w:sz="4" w:space="0"/>
            </w:tcBorders>
            <w:vAlign w:val="center"/>
          </w:tcPr>
          <w:p w14:paraId="7DE3A091">
            <w:pPr>
              <w:ind w:firstLine="400"/>
              <w:jc w:val="center"/>
              <w:rPr>
                <w:rFonts w:ascii="仿宋" w:hAnsi="仿宋" w:eastAsia="仿宋" w:cs="宋体"/>
                <w:color w:val="000000"/>
                <w:sz w:val="20"/>
                <w:szCs w:val="20"/>
              </w:rPr>
            </w:pPr>
            <w:r>
              <w:rPr>
                <w:rFonts w:ascii="仿宋" w:hAnsi="仿宋" w:eastAsia="仿宋" w:cs="宋体"/>
                <w:color w:val="000000"/>
                <w:sz w:val="20"/>
                <w:szCs w:val="20"/>
              </w:rPr>
              <w:t>项目</w:t>
            </w:r>
          </w:p>
        </w:tc>
        <w:tc>
          <w:tcPr>
            <w:tcW w:w="1351" w:type="dxa"/>
            <w:tcBorders>
              <w:top w:val="single" w:color="auto" w:sz="12" w:space="0"/>
              <w:bottom w:val="single" w:color="auto" w:sz="4" w:space="0"/>
            </w:tcBorders>
            <w:vAlign w:val="center"/>
          </w:tcPr>
          <w:p w14:paraId="2093DC01">
            <w:pPr>
              <w:ind w:firstLine="0" w:firstLineChars="0"/>
              <w:jc w:val="center"/>
              <w:rPr>
                <w:rFonts w:ascii="仿宋" w:hAnsi="仿宋" w:eastAsia="仿宋" w:cs="宋体"/>
                <w:color w:val="000000"/>
                <w:sz w:val="20"/>
                <w:szCs w:val="20"/>
              </w:rPr>
            </w:pPr>
            <w:r>
              <w:rPr>
                <w:rFonts w:ascii="仿宋" w:hAnsi="仿宋" w:eastAsia="仿宋" w:cs="宋体"/>
                <w:color w:val="000000"/>
                <w:sz w:val="20"/>
                <w:szCs w:val="20"/>
              </w:rPr>
              <w:t>202</w:t>
            </w:r>
            <w:r>
              <w:rPr>
                <w:rFonts w:hint="eastAsia" w:ascii="仿宋" w:hAnsi="仿宋" w:eastAsia="仿宋" w:cs="宋体"/>
                <w:color w:val="000000"/>
                <w:sz w:val="20"/>
                <w:szCs w:val="20"/>
              </w:rPr>
              <w:t>2</w:t>
            </w:r>
            <w:r>
              <w:rPr>
                <w:rFonts w:ascii="仿宋" w:hAnsi="仿宋" w:eastAsia="仿宋" w:cs="宋体"/>
                <w:color w:val="000000"/>
                <w:sz w:val="20"/>
                <w:szCs w:val="20"/>
              </w:rPr>
              <w:t>年</w:t>
            </w:r>
          </w:p>
        </w:tc>
        <w:tc>
          <w:tcPr>
            <w:tcW w:w="1351" w:type="dxa"/>
            <w:tcBorders>
              <w:top w:val="single" w:color="auto" w:sz="12" w:space="0"/>
              <w:bottom w:val="single" w:color="auto" w:sz="4" w:space="0"/>
            </w:tcBorders>
            <w:vAlign w:val="center"/>
          </w:tcPr>
          <w:p w14:paraId="636BD99E">
            <w:pPr>
              <w:ind w:firstLine="0" w:firstLineChars="0"/>
              <w:jc w:val="center"/>
              <w:rPr>
                <w:rFonts w:ascii="仿宋" w:hAnsi="仿宋" w:eastAsia="仿宋" w:cs="宋体"/>
                <w:color w:val="000000"/>
                <w:sz w:val="20"/>
                <w:szCs w:val="20"/>
              </w:rPr>
            </w:pPr>
            <w:r>
              <w:rPr>
                <w:rFonts w:ascii="仿宋" w:hAnsi="仿宋" w:eastAsia="仿宋" w:cs="宋体"/>
                <w:color w:val="000000"/>
                <w:sz w:val="20"/>
                <w:szCs w:val="20"/>
              </w:rPr>
              <w:t>202</w:t>
            </w:r>
            <w:r>
              <w:rPr>
                <w:rFonts w:hint="eastAsia" w:ascii="仿宋" w:hAnsi="仿宋" w:eastAsia="仿宋" w:cs="宋体"/>
                <w:color w:val="000000"/>
                <w:sz w:val="20"/>
                <w:szCs w:val="20"/>
              </w:rPr>
              <w:t>3</w:t>
            </w:r>
            <w:r>
              <w:rPr>
                <w:rFonts w:ascii="仿宋" w:hAnsi="仿宋" w:eastAsia="仿宋" w:cs="宋体"/>
                <w:color w:val="000000"/>
                <w:sz w:val="20"/>
                <w:szCs w:val="20"/>
              </w:rPr>
              <w:t>年</w:t>
            </w:r>
          </w:p>
        </w:tc>
        <w:tc>
          <w:tcPr>
            <w:tcW w:w="1350" w:type="dxa"/>
            <w:tcBorders>
              <w:top w:val="single" w:color="auto" w:sz="12" w:space="0"/>
              <w:bottom w:val="single" w:color="auto" w:sz="4" w:space="0"/>
            </w:tcBorders>
            <w:vAlign w:val="center"/>
          </w:tcPr>
          <w:p w14:paraId="3B8878A3">
            <w:pPr>
              <w:ind w:firstLine="0" w:firstLineChars="0"/>
              <w:jc w:val="center"/>
              <w:rPr>
                <w:rFonts w:ascii="仿宋" w:hAnsi="仿宋" w:eastAsia="仿宋" w:cs="宋体"/>
                <w:color w:val="000000"/>
                <w:sz w:val="20"/>
                <w:szCs w:val="20"/>
              </w:rPr>
            </w:pPr>
            <w:r>
              <w:rPr>
                <w:rFonts w:hint="eastAsia" w:ascii="仿宋" w:hAnsi="仿宋" w:eastAsia="仿宋" w:cs="宋体"/>
                <w:color w:val="000000"/>
                <w:sz w:val="20"/>
                <w:szCs w:val="20"/>
              </w:rPr>
              <w:t>2</w:t>
            </w:r>
            <w:r>
              <w:rPr>
                <w:rFonts w:ascii="仿宋" w:hAnsi="仿宋" w:eastAsia="仿宋" w:cs="宋体"/>
                <w:color w:val="000000"/>
                <w:sz w:val="20"/>
                <w:szCs w:val="20"/>
              </w:rPr>
              <w:t>02</w:t>
            </w:r>
            <w:r>
              <w:rPr>
                <w:rFonts w:hint="eastAsia" w:ascii="仿宋" w:hAnsi="仿宋" w:eastAsia="仿宋" w:cs="宋体"/>
                <w:color w:val="000000"/>
                <w:sz w:val="20"/>
                <w:szCs w:val="20"/>
              </w:rPr>
              <w:t>4年</w:t>
            </w:r>
          </w:p>
        </w:tc>
      </w:tr>
      <w:tr w14:paraId="067F14BF">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tcBorders>
              <w:top w:val="single" w:color="auto" w:sz="4" w:space="0"/>
            </w:tcBorders>
            <w:vAlign w:val="center"/>
          </w:tcPr>
          <w:p w14:paraId="04BFC655">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地区生产总值</w:t>
            </w:r>
          </w:p>
        </w:tc>
        <w:tc>
          <w:tcPr>
            <w:tcW w:w="1351" w:type="dxa"/>
            <w:tcBorders>
              <w:top w:val="single" w:color="auto" w:sz="4" w:space="0"/>
            </w:tcBorders>
            <w:vAlign w:val="center"/>
          </w:tcPr>
          <w:p w14:paraId="4C286DA4">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2,134.80</w:t>
            </w:r>
          </w:p>
        </w:tc>
        <w:tc>
          <w:tcPr>
            <w:tcW w:w="1351" w:type="dxa"/>
            <w:tcBorders>
              <w:top w:val="single" w:color="auto" w:sz="4" w:space="0"/>
            </w:tcBorders>
            <w:vAlign w:val="center"/>
          </w:tcPr>
          <w:p w14:paraId="4603005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2,358.44</w:t>
            </w:r>
          </w:p>
        </w:tc>
        <w:tc>
          <w:tcPr>
            <w:tcW w:w="1350" w:type="dxa"/>
            <w:tcBorders>
              <w:top w:val="single" w:color="auto" w:sz="4" w:space="0"/>
            </w:tcBorders>
            <w:vAlign w:val="center"/>
          </w:tcPr>
          <w:p w14:paraId="7C313304">
            <w:pPr>
              <w:ind w:firstLine="0" w:firstLineChars="0"/>
              <w:jc w:val="center"/>
              <w:rPr>
                <w:rFonts w:ascii="仿宋" w:hAnsi="仿宋" w:eastAsia="仿宋" w:cs="宋体"/>
                <w:color w:val="000000"/>
                <w:sz w:val="20"/>
                <w:szCs w:val="20"/>
                <w:shd w:val="clear" w:color="auto" w:fill="FFFFFF"/>
              </w:rPr>
            </w:pPr>
            <w:r>
              <w:rPr>
                <w:rStyle w:val="96"/>
                <w:rFonts w:ascii="仿宋" w:hAnsi="仿宋" w:eastAsia="仿宋" w:cs="Segoe UI"/>
                <w:color w:val="000000"/>
                <w:sz w:val="20"/>
                <w:szCs w:val="20"/>
              </w:rPr>
              <w:t>2</w:t>
            </w:r>
            <w:r>
              <w:rPr>
                <w:rStyle w:val="96"/>
                <w:rFonts w:hint="eastAsia" w:ascii="仿宋" w:hAnsi="仿宋" w:eastAsia="仿宋" w:cs="Segoe UI"/>
                <w:color w:val="000000"/>
                <w:sz w:val="20"/>
                <w:szCs w:val="20"/>
              </w:rPr>
              <w:t>,</w:t>
            </w:r>
            <w:r>
              <w:rPr>
                <w:rStyle w:val="96"/>
                <w:rFonts w:ascii="仿宋" w:hAnsi="仿宋" w:eastAsia="仿宋" w:cs="Segoe UI"/>
                <w:color w:val="000000"/>
                <w:sz w:val="20"/>
                <w:szCs w:val="20"/>
              </w:rPr>
              <w:t>470.63</w:t>
            </w:r>
          </w:p>
        </w:tc>
      </w:tr>
      <w:tr w14:paraId="1FB7E249">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544B9344">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一般预算收入（一般公共预算收入）</w:t>
            </w:r>
          </w:p>
        </w:tc>
        <w:tc>
          <w:tcPr>
            <w:tcW w:w="1351" w:type="dxa"/>
            <w:vAlign w:val="center"/>
          </w:tcPr>
          <w:p w14:paraId="725D742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204.82</w:t>
            </w:r>
          </w:p>
        </w:tc>
        <w:tc>
          <w:tcPr>
            <w:tcW w:w="1351" w:type="dxa"/>
            <w:vAlign w:val="center"/>
          </w:tcPr>
          <w:p w14:paraId="063E4EA5">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266.8</w:t>
            </w:r>
          </w:p>
        </w:tc>
        <w:tc>
          <w:tcPr>
            <w:tcW w:w="1350" w:type="dxa"/>
            <w:vAlign w:val="center"/>
          </w:tcPr>
          <w:p w14:paraId="1F5BCC43">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258.2</w:t>
            </w:r>
          </w:p>
        </w:tc>
      </w:tr>
      <w:tr w14:paraId="2D4473B4">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6C70C9FB">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一般预算收入（一般公共预算总收入）</w:t>
            </w:r>
          </w:p>
        </w:tc>
        <w:tc>
          <w:tcPr>
            <w:tcW w:w="1351" w:type="dxa"/>
            <w:vAlign w:val="center"/>
          </w:tcPr>
          <w:p w14:paraId="3E019C9E">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518.12</w:t>
            </w:r>
          </w:p>
        </w:tc>
        <w:tc>
          <w:tcPr>
            <w:tcW w:w="1351" w:type="dxa"/>
            <w:vAlign w:val="center"/>
          </w:tcPr>
          <w:p w14:paraId="5EE22BBE">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578.08</w:t>
            </w:r>
          </w:p>
        </w:tc>
        <w:tc>
          <w:tcPr>
            <w:tcW w:w="1350" w:type="dxa"/>
            <w:vAlign w:val="center"/>
          </w:tcPr>
          <w:p w14:paraId="25B509C4">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597.76</w:t>
            </w:r>
          </w:p>
        </w:tc>
      </w:tr>
      <w:tr w14:paraId="01AEA81B">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36178F84">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政府性基金收入</w:t>
            </w:r>
          </w:p>
        </w:tc>
        <w:tc>
          <w:tcPr>
            <w:tcW w:w="1351" w:type="dxa"/>
            <w:vAlign w:val="center"/>
          </w:tcPr>
          <w:p w14:paraId="40E98D9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192.34</w:t>
            </w:r>
          </w:p>
        </w:tc>
        <w:tc>
          <w:tcPr>
            <w:tcW w:w="1351" w:type="dxa"/>
            <w:vAlign w:val="center"/>
          </w:tcPr>
          <w:p w14:paraId="5AEA0DD5">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140.39</w:t>
            </w:r>
          </w:p>
        </w:tc>
        <w:tc>
          <w:tcPr>
            <w:tcW w:w="1350" w:type="dxa"/>
            <w:vAlign w:val="center"/>
          </w:tcPr>
          <w:p w14:paraId="602189C1">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120.43</w:t>
            </w:r>
          </w:p>
        </w:tc>
      </w:tr>
      <w:tr w14:paraId="41AA6FEF">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2473B202">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其中：国有土地出让收入</w:t>
            </w:r>
          </w:p>
        </w:tc>
        <w:tc>
          <w:tcPr>
            <w:tcW w:w="1351" w:type="dxa"/>
            <w:vAlign w:val="center"/>
          </w:tcPr>
          <w:p w14:paraId="0580B1ED">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176.60</w:t>
            </w:r>
          </w:p>
        </w:tc>
        <w:tc>
          <w:tcPr>
            <w:tcW w:w="1351" w:type="dxa"/>
            <w:vAlign w:val="center"/>
          </w:tcPr>
          <w:p w14:paraId="3536883F">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124.67</w:t>
            </w:r>
          </w:p>
        </w:tc>
        <w:tc>
          <w:tcPr>
            <w:tcW w:w="1350" w:type="dxa"/>
            <w:vAlign w:val="center"/>
          </w:tcPr>
          <w:p w14:paraId="0815A6BE">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108.59</w:t>
            </w:r>
          </w:p>
        </w:tc>
      </w:tr>
      <w:tr w14:paraId="3CD283D9">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42950468">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政府性基金支出</w:t>
            </w:r>
          </w:p>
        </w:tc>
        <w:tc>
          <w:tcPr>
            <w:tcW w:w="1351" w:type="dxa"/>
            <w:vAlign w:val="center"/>
          </w:tcPr>
          <w:p w14:paraId="69D6E8CA">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310.21</w:t>
            </w:r>
          </w:p>
        </w:tc>
        <w:tc>
          <w:tcPr>
            <w:tcW w:w="1351" w:type="dxa"/>
            <w:vAlign w:val="center"/>
          </w:tcPr>
          <w:p w14:paraId="74AD7382">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264.76</w:t>
            </w:r>
          </w:p>
        </w:tc>
        <w:tc>
          <w:tcPr>
            <w:tcW w:w="1350" w:type="dxa"/>
            <w:vAlign w:val="center"/>
          </w:tcPr>
          <w:p w14:paraId="3D35322C">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294.07</w:t>
            </w:r>
          </w:p>
        </w:tc>
      </w:tr>
      <w:tr w14:paraId="41A1F32D">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7318E8B5">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其中：国有土地出让支出</w:t>
            </w:r>
          </w:p>
        </w:tc>
        <w:tc>
          <w:tcPr>
            <w:tcW w:w="1351" w:type="dxa"/>
            <w:vAlign w:val="center"/>
          </w:tcPr>
          <w:p w14:paraId="1DA44F88">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147.61</w:t>
            </w:r>
          </w:p>
        </w:tc>
        <w:tc>
          <w:tcPr>
            <w:tcW w:w="1351" w:type="dxa"/>
            <w:vAlign w:val="center"/>
          </w:tcPr>
          <w:p w14:paraId="438BDDE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109.46</w:t>
            </w:r>
          </w:p>
        </w:tc>
        <w:tc>
          <w:tcPr>
            <w:tcW w:w="1350" w:type="dxa"/>
            <w:vAlign w:val="center"/>
          </w:tcPr>
          <w:p w14:paraId="67CD14C0">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72.02</w:t>
            </w:r>
          </w:p>
        </w:tc>
      </w:tr>
      <w:tr w14:paraId="4C5D523A">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7CFACEA0">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地方债务限额</w:t>
            </w:r>
          </w:p>
        </w:tc>
        <w:tc>
          <w:tcPr>
            <w:tcW w:w="1351" w:type="dxa"/>
            <w:vAlign w:val="center"/>
          </w:tcPr>
          <w:p w14:paraId="3CD5C2B1">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752.70</w:t>
            </w:r>
          </w:p>
        </w:tc>
        <w:tc>
          <w:tcPr>
            <w:tcW w:w="1351" w:type="dxa"/>
            <w:vAlign w:val="center"/>
          </w:tcPr>
          <w:p w14:paraId="6F9ACFCC">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892.40</w:t>
            </w:r>
          </w:p>
        </w:tc>
        <w:tc>
          <w:tcPr>
            <w:tcW w:w="1350" w:type="dxa"/>
            <w:vAlign w:val="center"/>
          </w:tcPr>
          <w:p w14:paraId="2122BA9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1</w:t>
            </w:r>
            <w:r>
              <w:rPr>
                <w:rStyle w:val="96"/>
                <w:rFonts w:hint="eastAsia" w:ascii="仿宋" w:hAnsi="仿宋" w:eastAsia="仿宋" w:cs="Segoe UI"/>
                <w:color w:val="000000"/>
                <w:sz w:val="20"/>
                <w:szCs w:val="20"/>
              </w:rPr>
              <w:t>,</w:t>
            </w:r>
            <w:r>
              <w:rPr>
                <w:rStyle w:val="96"/>
                <w:rFonts w:ascii="仿宋" w:hAnsi="仿宋" w:eastAsia="仿宋" w:cs="Segoe UI"/>
                <w:color w:val="000000"/>
                <w:sz w:val="20"/>
                <w:szCs w:val="20"/>
              </w:rPr>
              <w:t>161.30</w:t>
            </w:r>
          </w:p>
        </w:tc>
      </w:tr>
      <w:tr w14:paraId="2A81F6F9">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33286253">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其中：一般债务限额</w:t>
            </w:r>
          </w:p>
        </w:tc>
        <w:tc>
          <w:tcPr>
            <w:tcW w:w="1351" w:type="dxa"/>
            <w:vAlign w:val="center"/>
          </w:tcPr>
          <w:p w14:paraId="2F50C92B">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219.77</w:t>
            </w:r>
          </w:p>
        </w:tc>
        <w:tc>
          <w:tcPr>
            <w:tcW w:w="1351" w:type="dxa"/>
            <w:vAlign w:val="center"/>
          </w:tcPr>
          <w:p w14:paraId="4942473E">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230.47</w:t>
            </w:r>
          </w:p>
        </w:tc>
        <w:tc>
          <w:tcPr>
            <w:tcW w:w="1350" w:type="dxa"/>
            <w:vAlign w:val="center"/>
          </w:tcPr>
          <w:p w14:paraId="0EB40073">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235.24</w:t>
            </w:r>
          </w:p>
        </w:tc>
      </w:tr>
      <w:tr w14:paraId="63AD1B8B">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56EC74F7">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专项债务限额</w:t>
            </w:r>
          </w:p>
        </w:tc>
        <w:tc>
          <w:tcPr>
            <w:tcW w:w="1351" w:type="dxa"/>
            <w:vAlign w:val="center"/>
          </w:tcPr>
          <w:p w14:paraId="484FFEA6">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532.93</w:t>
            </w:r>
          </w:p>
        </w:tc>
        <w:tc>
          <w:tcPr>
            <w:tcW w:w="1351" w:type="dxa"/>
            <w:vAlign w:val="center"/>
          </w:tcPr>
          <w:p w14:paraId="3FE8F4C1">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661.93</w:t>
            </w:r>
          </w:p>
        </w:tc>
        <w:tc>
          <w:tcPr>
            <w:tcW w:w="1350" w:type="dxa"/>
            <w:vAlign w:val="center"/>
          </w:tcPr>
          <w:p w14:paraId="670270C5">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926.07</w:t>
            </w:r>
          </w:p>
        </w:tc>
      </w:tr>
      <w:tr w14:paraId="70BC676C">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03068582">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地方债务余额</w:t>
            </w:r>
          </w:p>
        </w:tc>
        <w:tc>
          <w:tcPr>
            <w:tcW w:w="1351" w:type="dxa"/>
            <w:vAlign w:val="center"/>
          </w:tcPr>
          <w:p w14:paraId="2C3C6FD2">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752.70</w:t>
            </w:r>
          </w:p>
        </w:tc>
        <w:tc>
          <w:tcPr>
            <w:tcW w:w="1351" w:type="dxa"/>
            <w:vAlign w:val="center"/>
          </w:tcPr>
          <w:p w14:paraId="259A897C">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889.45</w:t>
            </w:r>
          </w:p>
        </w:tc>
        <w:tc>
          <w:tcPr>
            <w:tcW w:w="1350" w:type="dxa"/>
            <w:vAlign w:val="center"/>
          </w:tcPr>
          <w:p w14:paraId="34991B63">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1</w:t>
            </w:r>
            <w:r>
              <w:rPr>
                <w:rStyle w:val="96"/>
                <w:rFonts w:hint="eastAsia" w:ascii="仿宋" w:hAnsi="仿宋" w:eastAsia="仿宋" w:cs="Segoe UI"/>
                <w:color w:val="000000"/>
                <w:sz w:val="20"/>
                <w:szCs w:val="20"/>
              </w:rPr>
              <w:t>,</w:t>
            </w:r>
            <w:r>
              <w:rPr>
                <w:rStyle w:val="96"/>
                <w:rFonts w:ascii="仿宋" w:hAnsi="仿宋" w:eastAsia="仿宋" w:cs="Segoe UI"/>
                <w:color w:val="000000"/>
                <w:sz w:val="20"/>
                <w:szCs w:val="20"/>
              </w:rPr>
              <w:t>141.70</w:t>
            </w:r>
          </w:p>
        </w:tc>
      </w:tr>
      <w:tr w14:paraId="70F7B762">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06D89EDC">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其中：一般债务余额</w:t>
            </w:r>
          </w:p>
        </w:tc>
        <w:tc>
          <w:tcPr>
            <w:tcW w:w="1351" w:type="dxa"/>
            <w:vAlign w:val="center"/>
          </w:tcPr>
          <w:p w14:paraId="3F5324E1">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219.77</w:t>
            </w:r>
          </w:p>
        </w:tc>
        <w:tc>
          <w:tcPr>
            <w:tcW w:w="1351" w:type="dxa"/>
            <w:vAlign w:val="center"/>
          </w:tcPr>
          <w:p w14:paraId="73BAA619">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228.11</w:t>
            </w:r>
          </w:p>
        </w:tc>
        <w:tc>
          <w:tcPr>
            <w:tcW w:w="1350" w:type="dxa"/>
            <w:vAlign w:val="center"/>
          </w:tcPr>
          <w:p w14:paraId="5A830F88">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227.33</w:t>
            </w:r>
          </w:p>
        </w:tc>
      </w:tr>
      <w:tr w14:paraId="452C6BEA">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4588" w:type="dxa"/>
            <w:vAlign w:val="center"/>
          </w:tcPr>
          <w:p w14:paraId="6A4328C7">
            <w:pPr>
              <w:ind w:firstLine="400"/>
              <w:jc w:val="center"/>
              <w:rPr>
                <w:rFonts w:ascii="仿宋" w:hAnsi="仿宋" w:eastAsia="仿宋" w:cs="宋体"/>
                <w:color w:val="000000"/>
                <w:sz w:val="20"/>
                <w:szCs w:val="20"/>
              </w:rPr>
            </w:pPr>
            <w:r>
              <w:rPr>
                <w:rFonts w:ascii="仿宋" w:hAnsi="仿宋" w:eastAsia="仿宋" w:cs="宋体"/>
                <w:color w:val="000000"/>
                <w:sz w:val="20"/>
                <w:szCs w:val="20"/>
                <w:lang w:bidi="ar"/>
              </w:rPr>
              <w:t>专项债务余额</w:t>
            </w:r>
          </w:p>
        </w:tc>
        <w:tc>
          <w:tcPr>
            <w:tcW w:w="1351" w:type="dxa"/>
            <w:vAlign w:val="center"/>
          </w:tcPr>
          <w:p w14:paraId="2D805600">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532.93</w:t>
            </w:r>
          </w:p>
        </w:tc>
        <w:tc>
          <w:tcPr>
            <w:tcW w:w="1351" w:type="dxa"/>
            <w:vAlign w:val="center"/>
          </w:tcPr>
          <w:p w14:paraId="2F701392">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lang w:val="en-GB"/>
              </w:rPr>
              <w:t>661.34</w:t>
            </w:r>
          </w:p>
        </w:tc>
        <w:tc>
          <w:tcPr>
            <w:tcW w:w="1350" w:type="dxa"/>
            <w:vAlign w:val="center"/>
          </w:tcPr>
          <w:p w14:paraId="79AB8C25">
            <w:pPr>
              <w:ind w:firstLine="0" w:firstLineChars="0"/>
              <w:jc w:val="center"/>
              <w:rPr>
                <w:rFonts w:ascii="仿宋" w:hAnsi="仿宋" w:eastAsia="仿宋" w:cs="宋体"/>
                <w:color w:val="000000"/>
                <w:sz w:val="20"/>
                <w:szCs w:val="20"/>
              </w:rPr>
            </w:pPr>
            <w:r>
              <w:rPr>
                <w:rStyle w:val="96"/>
                <w:rFonts w:ascii="仿宋" w:hAnsi="仿宋" w:eastAsia="仿宋" w:cs="Segoe UI"/>
                <w:color w:val="000000"/>
                <w:sz w:val="20"/>
                <w:szCs w:val="20"/>
              </w:rPr>
              <w:t>914.37</w:t>
            </w:r>
          </w:p>
        </w:tc>
      </w:tr>
    </w:tbl>
    <w:p w14:paraId="1062F46F">
      <w:pPr>
        <w:autoSpaceDE w:val="0"/>
        <w:autoSpaceDN w:val="0"/>
        <w:adjustRightInd w:val="0"/>
        <w:ind w:right="84" w:firstLine="0" w:firstLineChars="0"/>
        <w:rPr>
          <w:rFonts w:ascii="仿宋" w:hAnsi="仿宋" w:eastAsia="仿宋" w:cs="楷体"/>
          <w:color w:val="000000" w:themeColor="text1"/>
          <w:kern w:val="0"/>
          <w:sz w:val="28"/>
          <w:szCs w:val="28"/>
          <w:lang w:val="en-GB"/>
          <w14:textFill>
            <w14:solidFill>
              <w14:schemeClr w14:val="tx1"/>
            </w14:solidFill>
          </w14:textFill>
        </w:rPr>
      </w:pPr>
      <w:bookmarkStart w:id="14" w:name="_Toc200657887"/>
      <w:r>
        <w:rPr>
          <w:rFonts w:hint="eastAsia" w:ascii="仿宋" w:hAnsi="仿宋" w:eastAsia="仿宋" w:cs="楷体"/>
          <w:color w:val="000000" w:themeColor="text1"/>
          <w:kern w:val="0"/>
          <w:sz w:val="28"/>
          <w:szCs w:val="28"/>
          <w:lang w:val="en-GB"/>
          <w14:textFill>
            <w14:solidFill>
              <w14:schemeClr w14:val="tx1"/>
            </w14:solidFill>
          </w14:textFill>
        </w:rPr>
        <w:t>注：以上数据来源于海口市财政局。</w:t>
      </w:r>
      <w:bookmarkEnd w:id="14"/>
      <w:bookmarkStart w:id="15" w:name="_Toc183188340"/>
    </w:p>
    <w:p w14:paraId="2A799DE4">
      <w:pPr>
        <w:pStyle w:val="2"/>
        <w:ind w:right="84"/>
        <w:rPr>
          <w:rFonts w:cs="Times New Roman"/>
          <w:kern w:val="2"/>
        </w:rPr>
      </w:pPr>
      <w:bookmarkStart w:id="16" w:name="_Toc200657888"/>
      <w:bookmarkStart w:id="17" w:name="_Toc200711863"/>
      <w:r>
        <w:rPr>
          <w:rFonts w:hint="eastAsia"/>
        </w:rPr>
        <w:t>三、项目概述</w:t>
      </w:r>
      <w:bookmarkEnd w:id="15"/>
      <w:bookmarkEnd w:id="16"/>
      <w:bookmarkEnd w:id="17"/>
    </w:p>
    <w:p w14:paraId="16AB03C8">
      <w:pPr>
        <w:pStyle w:val="4"/>
        <w:ind w:left="0" w:right="84"/>
        <w:rPr>
          <w:lang w:val="en-GB"/>
        </w:rPr>
      </w:pPr>
      <w:bookmarkStart w:id="18" w:name="_Toc183188341"/>
      <w:bookmarkStart w:id="19" w:name="_Toc200711864"/>
      <w:r>
        <w:rPr>
          <w:rFonts w:hint="eastAsia"/>
          <w:lang w:val="en-GB"/>
        </w:rPr>
        <w:t>（一）项目背景</w:t>
      </w:r>
      <w:bookmarkEnd w:id="18"/>
      <w:bookmarkEnd w:id="19"/>
    </w:p>
    <w:p w14:paraId="39BCBBDD">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市，别称“椰城”，海南省省会，国家“一带一路”战略支点城市，中国（海南）自由贸易试验区（港）核心城市，地处海南岛北部，东邻文昌，西接澄迈，南毗定安，北濒琼州海峡，是海南省政治、经济、科技、文化中心和最大的交通枢纽。海口拥有“中国魅力城市”、“中国最具幸福感城市”、“中国最具投资潜力城市”、“中国优秀旅游城市”、“国家环境保护模范城市”、“国家卫生城市”、“国家园林城市”、“ 国家历史文化名城”、“ 全国文明城市”、“全国双拥模范城市”等荣誉称号，荣获由住建部颁发的年度“中国人居环境奖”，2018年被联合国国际湿地公约组织评定为全球首批“国际湿地城市”</w:t>
      </w:r>
      <w:r>
        <w:rPr>
          <w:rFonts w:ascii="仿宋" w:hAnsi="仿宋" w:eastAsia="仿宋" w:cs="楷体"/>
          <w:color w:val="000000" w:themeColor="text1"/>
          <w:kern w:val="0"/>
          <w:sz w:val="28"/>
          <w:szCs w:val="28"/>
          <w:lang w:val="en-GB"/>
          <w14:textFill>
            <w14:solidFill>
              <w14:schemeClr w14:val="tx1"/>
            </w14:solidFill>
          </w14:textFill>
        </w:rPr>
        <w:t>。</w:t>
      </w:r>
    </w:p>
    <w:p w14:paraId="3C7B0F21">
      <w:pPr>
        <w:pStyle w:val="4"/>
        <w:ind w:left="0" w:right="84"/>
        <w:rPr>
          <w:lang w:val="en-GB"/>
        </w:rPr>
      </w:pPr>
      <w:bookmarkStart w:id="20" w:name="_Toc183188342"/>
      <w:bookmarkStart w:id="21" w:name="_Toc200711865"/>
      <w:r>
        <w:rPr>
          <w:rFonts w:hint="eastAsia"/>
          <w:lang w:val="en-GB"/>
        </w:rPr>
        <w:t>（二）项目概况</w:t>
      </w:r>
      <w:bookmarkEnd w:id="20"/>
      <w:bookmarkEnd w:id="21"/>
    </w:p>
    <w:p w14:paraId="1EA429B7">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bookmarkStart w:id="22" w:name="_Toc200657891"/>
      <w:r>
        <w:rPr>
          <w:rFonts w:hint="eastAsia" w:ascii="仿宋" w:hAnsi="仿宋" w:eastAsia="仿宋" w:cs="楷体"/>
          <w:color w:val="000000" w:themeColor="text1"/>
          <w:kern w:val="0"/>
          <w:sz w:val="28"/>
          <w:szCs w:val="28"/>
          <w:lang w:val="en-GB"/>
          <w14:textFill>
            <w14:solidFill>
              <w14:schemeClr w14:val="tx1"/>
            </w14:solidFill>
          </w14:textFill>
        </w:rPr>
        <w:t>根据财政部有关文件要求，经批准，拟对</w:t>
      </w:r>
      <w:r>
        <w:rPr>
          <w:rFonts w:ascii="仿宋" w:hAnsi="仿宋" w:eastAsia="仿宋" w:cs="楷体"/>
          <w:color w:val="000000" w:themeColor="text1"/>
          <w:kern w:val="0"/>
          <w:sz w:val="28"/>
          <w:szCs w:val="28"/>
          <w:lang w:val="en-GB"/>
          <w14:textFill>
            <w14:solidFill>
              <w14:schemeClr w14:val="tx1"/>
            </w14:solidFill>
          </w14:textFill>
        </w:rPr>
        <w:t>202</w:t>
      </w:r>
      <w:r>
        <w:rPr>
          <w:rFonts w:hint="eastAsia" w:ascii="仿宋" w:hAnsi="仿宋" w:eastAsia="仿宋" w:cs="楷体"/>
          <w:color w:val="000000" w:themeColor="text1"/>
          <w:kern w:val="0"/>
          <w:sz w:val="28"/>
          <w:szCs w:val="28"/>
          <w:lang w:val="en-GB"/>
          <w14:textFill>
            <w14:solidFill>
              <w14:schemeClr w14:val="tx1"/>
            </w14:solidFill>
          </w14:textFill>
        </w:rPr>
        <w:t>5年海南省政府专项债券（一期）中海南省中医院新院区（含省职业病医院）周边配套路网项目的专项债券资金额度进行调整，并将调整出来的资金分配至海口江东新区总部集聚区基础设施建设项目，具体调整情况如下表：</w:t>
      </w:r>
      <w:bookmarkEnd w:id="22"/>
    </w:p>
    <w:p w14:paraId="5939B79D">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调整项目基本情况如下：</w:t>
      </w:r>
    </w:p>
    <w:p w14:paraId="633DFD75">
      <w:pPr>
        <w:ind w:right="84" w:firstLine="560"/>
        <w:rPr>
          <w:rFonts w:ascii="仿宋" w:hAnsi="仿宋" w:eastAsia="仿宋"/>
          <w:sz w:val="28"/>
          <w:szCs w:val="28"/>
          <w:lang w:val="en-GB"/>
        </w:rPr>
      </w:pPr>
      <w:r>
        <w:rPr>
          <w:rFonts w:ascii="仿宋" w:hAnsi="仿宋" w:eastAsia="仿宋"/>
          <w:sz w:val="28"/>
          <w:szCs w:val="28"/>
        </w:rPr>
        <w:t>项目名称：</w:t>
      </w:r>
      <w:r>
        <w:rPr>
          <w:rFonts w:hint="eastAsia" w:ascii="仿宋" w:hAnsi="仿宋" w:eastAsia="仿宋"/>
          <w:sz w:val="28"/>
          <w:szCs w:val="28"/>
          <w:lang w:val="en-GB"/>
        </w:rPr>
        <w:t>海口江东新区总部集聚区基础设施建设项目</w:t>
      </w:r>
    </w:p>
    <w:p w14:paraId="5C314D11">
      <w:pPr>
        <w:ind w:right="84" w:firstLine="560"/>
        <w:rPr>
          <w:rFonts w:ascii="仿宋" w:hAnsi="仿宋" w:eastAsia="仿宋"/>
          <w:sz w:val="28"/>
          <w:szCs w:val="28"/>
        </w:rPr>
      </w:pPr>
      <w:r>
        <w:rPr>
          <w:rFonts w:ascii="仿宋" w:hAnsi="仿宋" w:eastAsia="仿宋"/>
          <w:sz w:val="28"/>
          <w:szCs w:val="28"/>
        </w:rPr>
        <w:t>项目业主：</w:t>
      </w:r>
      <w:r>
        <w:rPr>
          <w:rFonts w:hint="eastAsia" w:ascii="仿宋" w:hAnsi="仿宋" w:eastAsia="仿宋"/>
          <w:sz w:val="28"/>
          <w:szCs w:val="28"/>
        </w:rPr>
        <w:t>海口旅游文化投资发展集团有限公司</w:t>
      </w:r>
    </w:p>
    <w:p w14:paraId="6A665DAA">
      <w:pPr>
        <w:ind w:right="84" w:firstLine="560"/>
        <w:rPr>
          <w:rFonts w:ascii="仿宋" w:hAnsi="仿宋" w:eastAsia="仿宋"/>
          <w:sz w:val="28"/>
          <w:szCs w:val="28"/>
        </w:rPr>
      </w:pPr>
      <w:r>
        <w:rPr>
          <w:rFonts w:hint="eastAsia" w:ascii="仿宋" w:hAnsi="仿宋" w:eastAsia="仿宋"/>
          <w:sz w:val="28"/>
          <w:szCs w:val="28"/>
        </w:rPr>
        <w:t>行业主管部门：海口江东新区管理局</w:t>
      </w:r>
    </w:p>
    <w:p w14:paraId="0C034898">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建设期：</w:t>
      </w:r>
      <w:r>
        <w:rPr>
          <w:rFonts w:ascii="仿宋" w:hAnsi="仿宋" w:eastAsia="仿宋" w:cs="楷体"/>
          <w:color w:val="000000" w:themeColor="text1"/>
          <w:kern w:val="0"/>
          <w:sz w:val="28"/>
          <w:szCs w:val="28"/>
          <w:lang w:val="en-GB"/>
          <w14:textFill>
            <w14:solidFill>
              <w14:schemeClr w14:val="tx1"/>
            </w14:solidFill>
          </w14:textFill>
        </w:rPr>
        <w:t>2024年6月-2025年12月</w:t>
      </w:r>
    </w:p>
    <w:p w14:paraId="00E1032F">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项目内容：</w:t>
      </w:r>
      <w:bookmarkStart w:id="23" w:name="_Hlk157876501"/>
      <w:r>
        <w:rPr>
          <w:rFonts w:hint="eastAsia" w:ascii="仿宋" w:hAnsi="仿宋" w:eastAsia="仿宋" w:cs="楷体"/>
          <w:color w:val="000000" w:themeColor="text1"/>
          <w:kern w:val="0"/>
          <w:sz w:val="28"/>
          <w:szCs w:val="28"/>
          <w:lang w:val="en-GB"/>
          <w14:textFill>
            <w14:solidFill>
              <w14:schemeClr w14:val="tx1"/>
            </w14:solidFill>
          </w14:textFill>
        </w:rPr>
        <w:t>该项目建设范围位于江东新区北部，西起芙蓉河东侧至林海二路合信和渔业段，北起海岸线南至江东大道范围，计划范围区域约长度</w:t>
      </w:r>
      <w:r>
        <w:rPr>
          <w:rFonts w:ascii="仿宋" w:hAnsi="仿宋" w:eastAsia="仿宋" w:cs="楷体"/>
          <w:color w:val="000000" w:themeColor="text1"/>
          <w:kern w:val="0"/>
          <w:sz w:val="28"/>
          <w:szCs w:val="28"/>
          <w:lang w:val="en-GB"/>
          <w14:textFill>
            <w14:solidFill>
              <w14:schemeClr w14:val="tx1"/>
            </w14:solidFill>
          </w14:textFill>
        </w:rPr>
        <w:t>2.1公里、宽度0.6公里范围的滨海区域。项目建设内容包括整体公共环境整治、市政道路工程、公共慢行步道工程、公共服务建筑建设工程、公共配套工程、标识系统、给排水工程、电气工程</w:t>
      </w:r>
      <w:r>
        <w:rPr>
          <w:rFonts w:hint="eastAsia" w:ascii="仿宋" w:hAnsi="仿宋" w:eastAsia="仿宋" w:cs="楷体"/>
          <w:color w:val="000000" w:themeColor="text1"/>
          <w:kern w:val="0"/>
          <w:sz w:val="28"/>
          <w:szCs w:val="28"/>
          <w:lang w:val="en-GB"/>
          <w14:textFill>
            <w14:solidFill>
              <w14:schemeClr w14:val="tx1"/>
            </w14:solidFill>
          </w14:textFill>
        </w:rPr>
        <w:t>。</w:t>
      </w:r>
      <w:r>
        <w:rPr>
          <w:rFonts w:ascii="仿宋" w:hAnsi="仿宋" w:eastAsia="仿宋" w:cs="楷体"/>
          <w:color w:val="000000" w:themeColor="text1"/>
          <w:kern w:val="0"/>
          <w:sz w:val="28"/>
          <w:szCs w:val="28"/>
          <w:lang w:val="en-GB"/>
          <w14:textFill>
            <w14:solidFill>
              <w14:schemeClr w14:val="tx1"/>
            </w14:solidFill>
          </w14:textFill>
        </w:rPr>
        <w:t>市政道路包含兴洋大道、林海二横路、振海三横路、林海四横路、振海西路、林海五横路的新建与更新；公共慢行步道工程包含慢行步道铺装工程、步道放大节点工程；公共服务建筑建设工程包含游客服务中心、滨海科普馆、海风公社、滨海图书馆</w:t>
      </w:r>
      <w:r>
        <w:rPr>
          <w:rFonts w:hint="eastAsia" w:ascii="仿宋" w:hAnsi="仿宋" w:eastAsia="仿宋" w:cs="楷体"/>
          <w:color w:val="000000" w:themeColor="text1"/>
          <w:kern w:val="0"/>
          <w:sz w:val="28"/>
          <w:szCs w:val="28"/>
          <w:lang w:val="en-GB"/>
          <w14:textFill>
            <w14:solidFill>
              <w14:schemeClr w14:val="tx1"/>
            </w14:solidFill>
          </w14:textFill>
        </w:rPr>
        <w:t>、滨海文创中心、沙滩运动俱乐部、智慧便民服务站；公共配套工程包含便民服务广场、林下全民健身场地、公共停车场。</w:t>
      </w:r>
    </w:p>
    <w:bookmarkEnd w:id="23"/>
    <w:p w14:paraId="5343DDB7">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项目建设进度：</w:t>
      </w:r>
      <w:r>
        <w:rPr>
          <w:rFonts w:hint="eastAsia" w:ascii="仿宋" w:hAnsi="仿宋" w:eastAsia="仿宋" w:cs="楷体"/>
          <w:color w:val="000000" w:themeColor="text1"/>
          <w:kern w:val="0"/>
          <w:sz w:val="28"/>
          <w:szCs w:val="28"/>
          <w14:textFill>
            <w14:solidFill>
              <w14:schemeClr w14:val="tx1"/>
            </w14:solidFill>
          </w14:textFill>
        </w:rPr>
        <w:t>滨海浴场项目整体形象进度完成约</w:t>
      </w:r>
      <w:r>
        <w:rPr>
          <w:rFonts w:ascii="仿宋" w:hAnsi="仿宋" w:eastAsia="仿宋" w:cs="楷体"/>
          <w:color w:val="000000" w:themeColor="text1"/>
          <w:kern w:val="0"/>
          <w:sz w:val="28"/>
          <w:szCs w:val="28"/>
          <w14:textFill>
            <w14:solidFill>
              <w14:schemeClr w14:val="tx1"/>
            </w14:solidFill>
          </w14:textFill>
        </w:rPr>
        <w:t>40%</w:t>
      </w:r>
      <w:r>
        <w:rPr>
          <w:rFonts w:hint="eastAsia" w:ascii="仿宋" w:hAnsi="仿宋" w:eastAsia="仿宋" w:cs="楷体"/>
          <w:color w:val="000000" w:themeColor="text1"/>
          <w:kern w:val="0"/>
          <w:sz w:val="28"/>
          <w:szCs w:val="28"/>
          <w:lang w:val="en-GB"/>
          <w14:textFill>
            <w14:solidFill>
              <w14:schemeClr w14:val="tx1"/>
            </w14:solidFill>
          </w14:textFill>
        </w:rPr>
        <w:t>。目前完成情况：</w:t>
      </w:r>
    </w:p>
    <w:p w14:paraId="6D114A5E">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（一）滨海浴场部分：</w:t>
      </w:r>
    </w:p>
    <w:p w14:paraId="42FF9F9C">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1.桩基工程8个主体共587根管桩，7个主体合计342根桩基施工已完成，剩余滨海科普馆245根，已完成4根试桩，桩基施工整体完成进度约为60%（第一阶段任务7个主体建筑桩基已完成）；</w:t>
      </w:r>
    </w:p>
    <w:p w14:paraId="639AF81D">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2.智慧便民服务站和滨海文创中心主体结构已完成，屋面防水已完工</w:t>
      </w:r>
      <w:r>
        <w:rPr>
          <w:rFonts w:hint="eastAsia" w:ascii="仿宋" w:hAnsi="仿宋" w:eastAsia="仿宋" w:cs="楷体"/>
          <w:color w:val="000000" w:themeColor="text1"/>
          <w:kern w:val="0"/>
          <w:sz w:val="28"/>
          <w:szCs w:val="28"/>
          <w14:textFill>
            <w14:solidFill>
              <w14:schemeClr w14:val="tx1"/>
            </w14:solidFill>
          </w14:textFill>
        </w:rPr>
        <w:t>；</w:t>
      </w:r>
    </w:p>
    <w:p w14:paraId="4B2D6593">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3.图书馆地下室主体结构完成100%，一层基础完成100%，一层内架、模板安装完成45%；</w:t>
      </w:r>
    </w:p>
    <w:p w14:paraId="279E879A">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4.游客服务中心一层、二层主体结构混凝土已浇筑完成，三层墙体钢筋安装完成100%，外架搭设完成80％，内架完成50％</w:t>
      </w:r>
      <w:r>
        <w:rPr>
          <w:rFonts w:hint="eastAsia" w:ascii="仿宋" w:hAnsi="仿宋" w:eastAsia="仿宋" w:cs="楷体"/>
          <w:color w:val="000000" w:themeColor="text1"/>
          <w:kern w:val="0"/>
          <w:sz w:val="28"/>
          <w:szCs w:val="28"/>
          <w14:textFill>
            <w14:solidFill>
              <w14:schemeClr w14:val="tx1"/>
            </w14:solidFill>
          </w14:textFill>
        </w:rPr>
        <w:t>；</w:t>
      </w:r>
    </w:p>
    <w:p w14:paraId="07C4F890">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5.海风公社一层墙柱二层梁板钢筋绑扎完成，叠合板吊装完成；一层包间模板安装完成40％。6、沙滩俱乐部1主体结构完成。沙滩俱乐部2基础已全部完成，一层内架、柱子钢筋绑扎、顶板模板安装完成100%，梁钢筋安装完成90%。</w:t>
      </w:r>
    </w:p>
    <w:p w14:paraId="2A806915">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（二）市政道路部分</w:t>
      </w:r>
    </w:p>
    <w:p w14:paraId="1B4C0A05">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1.兴洋大道：林海一路至林海三路雨污水、电力通信管道已全部完成，水泥土搅拌桩施工全部完成。路基平整完成50％</w:t>
      </w:r>
      <w:r>
        <w:rPr>
          <w:rFonts w:hint="eastAsia" w:ascii="仿宋" w:hAnsi="仿宋" w:eastAsia="仿宋" w:cs="楷体"/>
          <w:color w:val="000000" w:themeColor="text1"/>
          <w:kern w:val="0"/>
          <w:sz w:val="28"/>
          <w:szCs w:val="28"/>
          <w14:textFill>
            <w14:solidFill>
              <w14:schemeClr w14:val="tx1"/>
            </w14:solidFill>
          </w14:textFill>
        </w:rPr>
        <w:t>；</w:t>
      </w:r>
    </w:p>
    <w:p w14:paraId="4F292EEB">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2.振海三横路：雨污水管道施工完成；电力管道施工完成；通信管道完成</w:t>
      </w:r>
      <w:r>
        <w:rPr>
          <w:rFonts w:hint="eastAsia" w:ascii="仿宋" w:hAnsi="仿宋" w:eastAsia="仿宋" w:cs="楷体"/>
          <w:color w:val="000000" w:themeColor="text1"/>
          <w:kern w:val="0"/>
          <w:sz w:val="28"/>
          <w:szCs w:val="28"/>
          <w14:textFill>
            <w14:solidFill>
              <w14:schemeClr w14:val="tx1"/>
            </w14:solidFill>
          </w14:textFill>
        </w:rPr>
        <w:t>；</w:t>
      </w:r>
    </w:p>
    <w:p w14:paraId="79F9C3AF">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3.振海西路：雨水完成100%；污水完成100%；电力主管完成100%；通信主管完成100%</w:t>
      </w:r>
      <w:r>
        <w:rPr>
          <w:rFonts w:hint="eastAsia" w:ascii="仿宋" w:hAnsi="仿宋" w:eastAsia="仿宋" w:cs="楷体"/>
          <w:color w:val="000000" w:themeColor="text1"/>
          <w:kern w:val="0"/>
          <w:sz w:val="28"/>
          <w:szCs w:val="28"/>
          <w14:textFill>
            <w14:solidFill>
              <w14:schemeClr w14:val="tx1"/>
            </w14:solidFill>
          </w14:textFill>
        </w:rPr>
        <w:t>；</w:t>
      </w:r>
    </w:p>
    <w:p w14:paraId="7DD51A5D">
      <w:pPr>
        <w:autoSpaceDE w:val="0"/>
        <w:autoSpaceDN w:val="0"/>
        <w:adjustRightInd w:val="0"/>
        <w:ind w:firstLine="560"/>
        <w:rPr>
          <w:rFonts w:ascii="仿宋" w:hAnsi="仿宋" w:eastAsia="仿宋" w:cs="楷体"/>
          <w:color w:val="000000" w:themeColor="text1"/>
          <w:kern w:val="0"/>
          <w:sz w:val="28"/>
          <w:szCs w:val="28"/>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4.林海四横路：污水管道完成80%，通信管道完成80％、雨水管道安装完成80%，电力排管完成80％</w:t>
      </w:r>
      <w:r>
        <w:rPr>
          <w:rFonts w:hint="eastAsia" w:ascii="仿宋" w:hAnsi="仿宋" w:eastAsia="仿宋" w:cs="楷体"/>
          <w:color w:val="000000" w:themeColor="text1"/>
          <w:kern w:val="0"/>
          <w:sz w:val="28"/>
          <w:szCs w:val="28"/>
          <w14:textFill>
            <w14:solidFill>
              <w14:schemeClr w14:val="tx1"/>
            </w14:solidFill>
          </w14:textFill>
        </w:rPr>
        <w:t>；</w:t>
      </w:r>
    </w:p>
    <w:p w14:paraId="7A850F51">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cs="楷体"/>
          <w:color w:val="000000" w:themeColor="text1"/>
          <w:kern w:val="0"/>
          <w:sz w:val="28"/>
          <w:szCs w:val="28"/>
          <w14:textFill>
            <w14:solidFill>
              <w14:schemeClr w14:val="tx1"/>
            </w14:solidFill>
          </w14:textFill>
        </w:rPr>
        <w:t>5.林海五横路：混凝土路面破除100％，污水管道安装完成110米，雨水管道安装完成90米，电力通信管安装完成60米。</w:t>
      </w:r>
    </w:p>
    <w:p w14:paraId="20AF79AD">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本次拟调减债券额度明细如下：</w:t>
      </w:r>
    </w:p>
    <w:p w14:paraId="2F34A8EA">
      <w:pPr>
        <w:widowControl/>
        <w:ind w:right="84" w:firstLine="482"/>
        <w:jc w:val="center"/>
        <w:rPr>
          <w:rFonts w:ascii="仿宋" w:hAnsi="仿宋" w:eastAsia="仿宋"/>
          <w:b/>
          <w:color w:val="000000"/>
          <w:kern w:val="0"/>
          <w:szCs w:val="24"/>
        </w:rPr>
        <w:sectPr>
          <w:footerReference r:id="rId13" w:type="first"/>
          <w:footerReference r:id="rId12" w:type="default"/>
          <w:pgSz w:w="12240" w:h="15840"/>
          <w:pgMar w:top="1276" w:right="1800" w:bottom="1276" w:left="1800" w:header="708" w:footer="850" w:gutter="0"/>
          <w:pgNumType w:start="1"/>
          <w:cols w:space="708" w:num="1"/>
          <w:docGrid w:linePitch="360" w:charSpace="0"/>
        </w:sectPr>
      </w:pPr>
    </w:p>
    <w:p w14:paraId="198DA9CE">
      <w:pPr>
        <w:widowControl/>
        <w:ind w:right="84" w:firstLine="482"/>
        <w:jc w:val="center"/>
        <w:rPr>
          <w:rFonts w:ascii="仿宋" w:hAnsi="仿宋" w:eastAsia="仿宋"/>
          <w:b/>
          <w:color w:val="000000"/>
          <w:kern w:val="0"/>
          <w:szCs w:val="24"/>
        </w:rPr>
      </w:pPr>
      <w:r>
        <w:rPr>
          <w:rFonts w:hint="eastAsia" w:ascii="仿宋" w:hAnsi="仿宋" w:eastAsia="仿宋"/>
          <w:b/>
          <w:color w:val="000000"/>
          <w:kern w:val="0"/>
          <w:szCs w:val="24"/>
        </w:rPr>
        <w:t>表</w:t>
      </w:r>
      <w:r>
        <w:rPr>
          <w:rFonts w:ascii="仿宋" w:hAnsi="仿宋" w:eastAsia="仿宋"/>
          <w:b/>
          <w:color w:val="000000"/>
          <w:kern w:val="0"/>
          <w:szCs w:val="24"/>
        </w:rPr>
        <w:t>1</w:t>
      </w:r>
      <w:r>
        <w:rPr>
          <w:rFonts w:hint="eastAsia" w:ascii="仿宋" w:hAnsi="仿宋" w:eastAsia="仿宋"/>
          <w:b/>
          <w:color w:val="000000"/>
          <w:kern w:val="0"/>
          <w:szCs w:val="24"/>
        </w:rPr>
        <w:t>本次债券额度调整情况表</w:t>
      </w:r>
    </w:p>
    <w:p w14:paraId="6AB7F67C">
      <w:pPr>
        <w:widowControl/>
        <w:spacing w:line="240" w:lineRule="auto"/>
        <w:ind w:left="868" w:right="-485" w:rightChars="-202" w:firstLine="400"/>
        <w:jc w:val="right"/>
        <w:rPr>
          <w:rFonts w:ascii="仿宋" w:hAnsi="仿宋" w:eastAsia="仿宋" w:cs="Arial"/>
          <w:kern w:val="0"/>
          <w:sz w:val="20"/>
          <w:szCs w:val="20"/>
        </w:rPr>
      </w:pPr>
      <w:r>
        <w:rPr>
          <w:rFonts w:hint="eastAsia" w:ascii="仿宋" w:hAnsi="仿宋" w:eastAsia="仿宋" w:cs="Arial"/>
          <w:kern w:val="0"/>
          <w:sz w:val="20"/>
          <w:szCs w:val="20"/>
        </w:rPr>
        <w:t>单位：人民币万元</w:t>
      </w:r>
    </w:p>
    <w:tbl>
      <w:tblPr>
        <w:tblStyle w:val="22"/>
        <w:tblW w:w="9923" w:type="dxa"/>
        <w:tblInd w:w="-6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0"/>
        <w:gridCol w:w="2088"/>
        <w:gridCol w:w="2307"/>
        <w:gridCol w:w="1559"/>
        <w:gridCol w:w="1559"/>
        <w:gridCol w:w="1910"/>
      </w:tblGrid>
      <w:tr w14:paraId="60EC7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Merge w:val="restart"/>
            <w:vAlign w:val="center"/>
          </w:tcPr>
          <w:p w14:paraId="150AD114">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序号</w:t>
            </w:r>
          </w:p>
        </w:tc>
        <w:tc>
          <w:tcPr>
            <w:tcW w:w="2088" w:type="dxa"/>
            <w:vMerge w:val="restart"/>
            <w:vAlign w:val="center"/>
          </w:tcPr>
          <w:p w14:paraId="5B03A582">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债券调整批次</w:t>
            </w:r>
          </w:p>
        </w:tc>
        <w:tc>
          <w:tcPr>
            <w:tcW w:w="3866" w:type="dxa"/>
            <w:gridSpan w:val="2"/>
            <w:vAlign w:val="center"/>
          </w:tcPr>
          <w:p w14:paraId="088C18A3">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调减债券额度项目</w:t>
            </w:r>
          </w:p>
        </w:tc>
        <w:tc>
          <w:tcPr>
            <w:tcW w:w="3469" w:type="dxa"/>
            <w:gridSpan w:val="2"/>
            <w:vAlign w:val="center"/>
          </w:tcPr>
          <w:p w14:paraId="08AFF23B">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调增债券额度项目</w:t>
            </w:r>
          </w:p>
        </w:tc>
      </w:tr>
      <w:tr w14:paraId="6C790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Merge w:val="continue"/>
            <w:vAlign w:val="center"/>
          </w:tcPr>
          <w:p w14:paraId="6BEBD931">
            <w:pPr>
              <w:widowControl/>
              <w:spacing w:line="240" w:lineRule="auto"/>
              <w:ind w:firstLine="0" w:firstLineChars="0"/>
              <w:jc w:val="center"/>
              <w:rPr>
                <w:rFonts w:ascii="仿宋" w:hAnsi="仿宋" w:eastAsia="仿宋" w:cs="Arial"/>
                <w:kern w:val="0"/>
                <w:sz w:val="20"/>
                <w:szCs w:val="20"/>
              </w:rPr>
            </w:pPr>
          </w:p>
        </w:tc>
        <w:tc>
          <w:tcPr>
            <w:tcW w:w="2088" w:type="dxa"/>
            <w:vMerge w:val="continue"/>
            <w:vAlign w:val="center"/>
          </w:tcPr>
          <w:p w14:paraId="51F8292E">
            <w:pPr>
              <w:widowControl/>
              <w:spacing w:line="240" w:lineRule="auto"/>
              <w:ind w:firstLine="0" w:firstLineChars="0"/>
              <w:jc w:val="center"/>
              <w:rPr>
                <w:rFonts w:ascii="仿宋" w:hAnsi="仿宋" w:eastAsia="仿宋" w:cs="Arial"/>
                <w:kern w:val="0"/>
                <w:sz w:val="20"/>
                <w:szCs w:val="20"/>
              </w:rPr>
            </w:pPr>
          </w:p>
        </w:tc>
        <w:tc>
          <w:tcPr>
            <w:tcW w:w="2307" w:type="dxa"/>
            <w:vAlign w:val="center"/>
          </w:tcPr>
          <w:p w14:paraId="3850B7A2">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项目名称</w:t>
            </w:r>
          </w:p>
        </w:tc>
        <w:tc>
          <w:tcPr>
            <w:tcW w:w="1559" w:type="dxa"/>
            <w:vAlign w:val="center"/>
          </w:tcPr>
          <w:p w14:paraId="0BA1873D">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本次调减金额</w:t>
            </w:r>
          </w:p>
        </w:tc>
        <w:tc>
          <w:tcPr>
            <w:tcW w:w="1559" w:type="dxa"/>
            <w:vAlign w:val="center"/>
          </w:tcPr>
          <w:p w14:paraId="4ECDEA47">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项目名称</w:t>
            </w:r>
          </w:p>
        </w:tc>
        <w:tc>
          <w:tcPr>
            <w:tcW w:w="1910" w:type="dxa"/>
            <w:vAlign w:val="center"/>
          </w:tcPr>
          <w:p w14:paraId="4CA18BB2">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cs="Calibri"/>
                <w:b/>
                <w:bCs/>
                <w:kern w:val="0"/>
                <w:sz w:val="20"/>
                <w:szCs w:val="20"/>
              </w:rPr>
              <w:t>本次调增额度</w:t>
            </w:r>
          </w:p>
        </w:tc>
      </w:tr>
      <w:tr w14:paraId="4A789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A02F576">
            <w:pPr>
              <w:widowControl/>
              <w:spacing w:line="240" w:lineRule="auto"/>
              <w:ind w:firstLine="0" w:firstLineChars="0"/>
              <w:jc w:val="center"/>
              <w:rPr>
                <w:rFonts w:ascii="仿宋" w:hAnsi="仿宋" w:eastAsia="仿宋" w:cs="Arial"/>
                <w:kern w:val="0"/>
                <w:sz w:val="20"/>
                <w:szCs w:val="20"/>
              </w:rPr>
            </w:pPr>
            <w:r>
              <w:rPr>
                <w:rFonts w:ascii="仿宋" w:hAnsi="仿宋" w:eastAsia="仿宋"/>
                <w:kern w:val="0"/>
                <w:sz w:val="20"/>
                <w:szCs w:val="20"/>
              </w:rPr>
              <w:t>1</w:t>
            </w:r>
          </w:p>
        </w:tc>
        <w:tc>
          <w:tcPr>
            <w:tcW w:w="2088" w:type="dxa"/>
            <w:vAlign w:val="center"/>
          </w:tcPr>
          <w:p w14:paraId="5E8FBA8F">
            <w:pPr>
              <w:widowControl/>
              <w:spacing w:line="240" w:lineRule="auto"/>
              <w:ind w:firstLine="0" w:firstLineChars="0"/>
              <w:jc w:val="center"/>
              <w:rPr>
                <w:rFonts w:ascii="仿宋" w:hAnsi="仿宋" w:eastAsia="仿宋" w:cs="Arial"/>
                <w:kern w:val="0"/>
                <w:sz w:val="20"/>
                <w:szCs w:val="20"/>
              </w:rPr>
            </w:pPr>
            <w:r>
              <w:rPr>
                <w:rFonts w:ascii="仿宋" w:hAnsi="仿宋" w:eastAsia="仿宋"/>
                <w:kern w:val="0"/>
                <w:sz w:val="20"/>
                <w:szCs w:val="20"/>
              </w:rPr>
              <w:t>202</w:t>
            </w:r>
            <w:r>
              <w:rPr>
                <w:rFonts w:hint="eastAsia" w:ascii="仿宋" w:hAnsi="仿宋" w:eastAsia="仿宋"/>
                <w:kern w:val="0"/>
                <w:sz w:val="20"/>
                <w:szCs w:val="20"/>
              </w:rPr>
              <w:t>5</w:t>
            </w:r>
            <w:r>
              <w:rPr>
                <w:rFonts w:hint="eastAsia" w:ascii="仿宋" w:hAnsi="仿宋" w:eastAsia="仿宋" w:cs="宋体"/>
                <w:kern w:val="0"/>
                <w:sz w:val="20"/>
                <w:szCs w:val="20"/>
              </w:rPr>
              <w:t>年海南省政府专项债券（一期）</w:t>
            </w:r>
          </w:p>
        </w:tc>
        <w:tc>
          <w:tcPr>
            <w:tcW w:w="2307" w:type="dxa"/>
            <w:vAlign w:val="center"/>
          </w:tcPr>
          <w:p w14:paraId="4AF4E22E">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kern w:val="0"/>
                <w:sz w:val="20"/>
                <w:szCs w:val="20"/>
              </w:rPr>
              <w:t>海南省中医院新院区（含省职业病医院）周边配套路网项目</w:t>
            </w:r>
          </w:p>
        </w:tc>
        <w:tc>
          <w:tcPr>
            <w:tcW w:w="1559" w:type="dxa"/>
            <w:vAlign w:val="center"/>
          </w:tcPr>
          <w:p w14:paraId="2F95DD92">
            <w:pPr>
              <w:widowControl/>
              <w:spacing w:line="240" w:lineRule="auto"/>
              <w:ind w:firstLine="0" w:firstLineChars="0"/>
              <w:jc w:val="right"/>
              <w:rPr>
                <w:rFonts w:ascii="仿宋" w:hAnsi="仿宋" w:eastAsia="仿宋" w:cs="Arial"/>
                <w:kern w:val="0"/>
                <w:sz w:val="20"/>
                <w:szCs w:val="20"/>
              </w:rPr>
            </w:pPr>
            <w:r>
              <w:rPr>
                <w:rFonts w:hint="eastAsia" w:ascii="仿宋" w:hAnsi="仿宋" w:eastAsia="仿宋"/>
                <w:kern w:val="0"/>
                <w:sz w:val="20"/>
                <w:szCs w:val="20"/>
                <w:lang w:val="en-GB"/>
              </w:rPr>
              <w:t>1</w:t>
            </w:r>
            <w:r>
              <w:rPr>
                <w:rFonts w:ascii="仿宋" w:hAnsi="仿宋" w:eastAsia="仿宋"/>
                <w:kern w:val="0"/>
                <w:sz w:val="20"/>
                <w:szCs w:val="20"/>
                <w:lang w:val="en-GB"/>
              </w:rPr>
              <w:t>2,</w:t>
            </w:r>
            <w:r>
              <w:rPr>
                <w:rFonts w:hint="eastAsia" w:ascii="仿宋" w:hAnsi="仿宋" w:eastAsia="仿宋"/>
                <w:kern w:val="0"/>
                <w:sz w:val="20"/>
                <w:szCs w:val="20"/>
                <w:lang w:val="en-GB"/>
              </w:rPr>
              <w:t>7</w:t>
            </w:r>
            <w:r>
              <w:rPr>
                <w:rFonts w:ascii="仿宋" w:hAnsi="仿宋" w:eastAsia="仿宋"/>
                <w:kern w:val="0"/>
                <w:sz w:val="20"/>
                <w:szCs w:val="20"/>
                <w:lang w:val="en-GB"/>
              </w:rPr>
              <w:t>00</w:t>
            </w:r>
          </w:p>
        </w:tc>
        <w:tc>
          <w:tcPr>
            <w:tcW w:w="1559" w:type="dxa"/>
            <w:vAlign w:val="center"/>
          </w:tcPr>
          <w:p w14:paraId="2362023B">
            <w:pPr>
              <w:widowControl/>
              <w:spacing w:line="240" w:lineRule="auto"/>
              <w:ind w:firstLine="0" w:firstLineChars="0"/>
              <w:jc w:val="center"/>
              <w:rPr>
                <w:rFonts w:ascii="仿宋" w:hAnsi="仿宋" w:eastAsia="仿宋" w:cs="Arial"/>
                <w:kern w:val="0"/>
                <w:sz w:val="20"/>
                <w:szCs w:val="20"/>
              </w:rPr>
            </w:pPr>
            <w:r>
              <w:rPr>
                <w:rFonts w:hint="eastAsia" w:ascii="仿宋" w:hAnsi="仿宋" w:eastAsia="仿宋"/>
                <w:kern w:val="0"/>
                <w:sz w:val="20"/>
                <w:szCs w:val="20"/>
                <w:lang w:val="en-GB"/>
              </w:rPr>
              <w:t>海口江东新区总部集聚区基础设施建设项目</w:t>
            </w:r>
          </w:p>
        </w:tc>
        <w:tc>
          <w:tcPr>
            <w:tcW w:w="1910" w:type="dxa"/>
            <w:vAlign w:val="center"/>
          </w:tcPr>
          <w:p w14:paraId="01FC6342">
            <w:pPr>
              <w:widowControl/>
              <w:spacing w:line="240" w:lineRule="auto"/>
              <w:ind w:firstLine="0" w:firstLineChars="0"/>
              <w:jc w:val="right"/>
              <w:rPr>
                <w:rFonts w:ascii="仿宋" w:hAnsi="仿宋" w:eastAsia="仿宋" w:cs="Arial"/>
                <w:kern w:val="0"/>
                <w:sz w:val="20"/>
                <w:szCs w:val="20"/>
              </w:rPr>
            </w:pPr>
            <w:r>
              <w:rPr>
                <w:rFonts w:ascii="仿宋" w:hAnsi="仿宋" w:eastAsia="仿宋"/>
                <w:kern w:val="0"/>
                <w:sz w:val="20"/>
                <w:szCs w:val="20"/>
                <w:lang w:val="en-GB"/>
              </w:rPr>
              <w:t>2,</w:t>
            </w:r>
            <w:r>
              <w:rPr>
                <w:rFonts w:hint="eastAsia" w:ascii="仿宋" w:hAnsi="仿宋" w:eastAsia="仿宋"/>
                <w:kern w:val="0"/>
                <w:sz w:val="20"/>
                <w:szCs w:val="20"/>
                <w:lang w:val="en-GB"/>
              </w:rPr>
              <w:t>0</w:t>
            </w:r>
            <w:r>
              <w:rPr>
                <w:rFonts w:ascii="仿宋" w:hAnsi="仿宋" w:eastAsia="仿宋"/>
                <w:kern w:val="0"/>
                <w:sz w:val="20"/>
                <w:szCs w:val="20"/>
                <w:lang w:val="en-GB"/>
              </w:rPr>
              <w:t>00</w:t>
            </w:r>
          </w:p>
        </w:tc>
      </w:tr>
      <w:tr w14:paraId="11717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5" w:type="dxa"/>
            <w:gridSpan w:val="3"/>
            <w:vAlign w:val="center"/>
          </w:tcPr>
          <w:p w14:paraId="288980AA">
            <w:pPr>
              <w:widowControl/>
              <w:spacing w:line="240" w:lineRule="auto"/>
              <w:ind w:firstLine="0" w:firstLineChars="0"/>
              <w:rPr>
                <w:rFonts w:ascii="仿宋" w:hAnsi="仿宋" w:eastAsia="仿宋" w:cs="Arial"/>
                <w:kern w:val="0"/>
                <w:sz w:val="20"/>
                <w:szCs w:val="20"/>
              </w:rPr>
            </w:pPr>
            <w:r>
              <w:rPr>
                <w:rFonts w:hint="eastAsia" w:ascii="仿宋" w:hAnsi="仿宋" w:eastAsia="仿宋" w:cs="Calibri"/>
                <w:b/>
                <w:bCs/>
                <w:kern w:val="0"/>
                <w:sz w:val="20"/>
                <w:szCs w:val="20"/>
                <w:lang w:val="en-GB"/>
              </w:rPr>
              <w:t>合计</w:t>
            </w:r>
          </w:p>
        </w:tc>
        <w:tc>
          <w:tcPr>
            <w:tcW w:w="1559" w:type="dxa"/>
            <w:vAlign w:val="center"/>
          </w:tcPr>
          <w:p w14:paraId="3E19B241">
            <w:pPr>
              <w:widowControl/>
              <w:spacing w:line="240" w:lineRule="auto"/>
              <w:ind w:firstLine="0" w:firstLineChars="0"/>
              <w:jc w:val="right"/>
              <w:rPr>
                <w:rFonts w:ascii="仿宋" w:hAnsi="仿宋" w:eastAsia="仿宋" w:cs="Arial"/>
                <w:b/>
                <w:bCs/>
                <w:kern w:val="0"/>
                <w:sz w:val="20"/>
                <w:szCs w:val="20"/>
              </w:rPr>
            </w:pPr>
            <w:r>
              <w:rPr>
                <w:rFonts w:hint="eastAsia" w:ascii="仿宋" w:hAnsi="仿宋" w:eastAsia="仿宋"/>
                <w:b/>
                <w:bCs/>
                <w:kern w:val="0"/>
                <w:sz w:val="20"/>
                <w:szCs w:val="20"/>
                <w:lang w:val="en-GB"/>
              </w:rPr>
              <w:t>1</w:t>
            </w:r>
            <w:r>
              <w:rPr>
                <w:rFonts w:ascii="仿宋" w:hAnsi="仿宋" w:eastAsia="仿宋"/>
                <w:b/>
                <w:bCs/>
                <w:kern w:val="0"/>
                <w:sz w:val="20"/>
                <w:szCs w:val="20"/>
                <w:lang w:val="en-GB"/>
              </w:rPr>
              <w:t>2,</w:t>
            </w:r>
            <w:r>
              <w:rPr>
                <w:rFonts w:hint="eastAsia" w:ascii="仿宋" w:hAnsi="仿宋" w:eastAsia="仿宋"/>
                <w:b/>
                <w:bCs/>
                <w:kern w:val="0"/>
                <w:sz w:val="20"/>
                <w:szCs w:val="20"/>
                <w:lang w:val="en-GB"/>
              </w:rPr>
              <w:t>7</w:t>
            </w:r>
            <w:r>
              <w:rPr>
                <w:rFonts w:ascii="仿宋" w:hAnsi="仿宋" w:eastAsia="仿宋"/>
                <w:b/>
                <w:bCs/>
                <w:kern w:val="0"/>
                <w:sz w:val="20"/>
                <w:szCs w:val="20"/>
                <w:lang w:val="en-GB"/>
              </w:rPr>
              <w:t>00</w:t>
            </w:r>
          </w:p>
        </w:tc>
        <w:tc>
          <w:tcPr>
            <w:tcW w:w="1559" w:type="dxa"/>
            <w:vAlign w:val="center"/>
          </w:tcPr>
          <w:p w14:paraId="7AD83FCD">
            <w:pPr>
              <w:widowControl/>
              <w:spacing w:line="240" w:lineRule="auto"/>
              <w:ind w:firstLine="0" w:firstLineChars="0"/>
              <w:jc w:val="center"/>
              <w:rPr>
                <w:rFonts w:ascii="仿宋" w:hAnsi="仿宋" w:eastAsia="仿宋" w:cs="Arial"/>
                <w:b/>
                <w:bCs/>
                <w:kern w:val="0"/>
                <w:sz w:val="20"/>
                <w:szCs w:val="20"/>
              </w:rPr>
            </w:pPr>
          </w:p>
        </w:tc>
        <w:tc>
          <w:tcPr>
            <w:tcW w:w="1910" w:type="dxa"/>
            <w:vAlign w:val="center"/>
          </w:tcPr>
          <w:p w14:paraId="551493A8">
            <w:pPr>
              <w:widowControl/>
              <w:spacing w:line="240" w:lineRule="auto"/>
              <w:ind w:firstLine="0" w:firstLineChars="0"/>
              <w:jc w:val="right"/>
              <w:rPr>
                <w:rFonts w:ascii="仿宋" w:hAnsi="仿宋" w:eastAsia="仿宋" w:cs="Arial"/>
                <w:b/>
                <w:bCs/>
                <w:kern w:val="0"/>
                <w:sz w:val="20"/>
                <w:szCs w:val="20"/>
              </w:rPr>
            </w:pPr>
            <w:r>
              <w:rPr>
                <w:rFonts w:ascii="仿宋" w:hAnsi="仿宋" w:eastAsia="仿宋"/>
                <w:b/>
                <w:bCs/>
                <w:kern w:val="0"/>
                <w:sz w:val="20"/>
                <w:szCs w:val="20"/>
                <w:lang w:val="en-GB"/>
              </w:rPr>
              <w:t>2,000</w:t>
            </w:r>
          </w:p>
        </w:tc>
      </w:tr>
    </w:tbl>
    <w:p w14:paraId="38E7DC7B">
      <w:pPr>
        <w:widowControl/>
        <w:spacing w:line="240" w:lineRule="auto"/>
        <w:ind w:left="868" w:right="-485" w:rightChars="-202" w:firstLine="400"/>
        <w:jc w:val="right"/>
        <w:rPr>
          <w:rFonts w:ascii="仿宋" w:hAnsi="仿宋" w:eastAsia="仿宋" w:cs="Arial"/>
          <w:kern w:val="0"/>
          <w:sz w:val="20"/>
          <w:szCs w:val="20"/>
        </w:rPr>
      </w:pPr>
    </w:p>
    <w:p w14:paraId="46F247AB">
      <w:pPr>
        <w:autoSpaceDE w:val="0"/>
        <w:autoSpaceDN w:val="0"/>
        <w:adjustRightInd w:val="0"/>
        <w:ind w:right="84" w:firstLine="0" w:firstLineChars="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Arial"/>
          <w:kern w:val="0"/>
          <w:sz w:val="20"/>
        </w:rPr>
        <w:t>注：海南省中医院新院区（含省职业病医院）周边配套路网项目本次共调减金额</w:t>
      </w:r>
      <w:r>
        <w:rPr>
          <w:rFonts w:ascii="仿宋" w:hAnsi="仿宋" w:eastAsia="仿宋" w:cs="Arial"/>
          <w:kern w:val="0"/>
          <w:sz w:val="20"/>
        </w:rPr>
        <w:t>12,700</w:t>
      </w:r>
      <w:r>
        <w:rPr>
          <w:rFonts w:hint="eastAsia" w:ascii="仿宋" w:hAnsi="仿宋" w:eastAsia="仿宋" w:cs="Arial"/>
          <w:kern w:val="0"/>
          <w:sz w:val="20"/>
        </w:rPr>
        <w:t>万元，其中调剂用于本项目的金额</w:t>
      </w:r>
      <w:r>
        <w:rPr>
          <w:rFonts w:ascii="仿宋" w:hAnsi="仿宋" w:eastAsia="仿宋" w:cs="Arial"/>
          <w:kern w:val="0"/>
          <w:sz w:val="20"/>
        </w:rPr>
        <w:t>2,000</w:t>
      </w:r>
      <w:r>
        <w:rPr>
          <w:rFonts w:hint="eastAsia" w:ascii="仿宋" w:hAnsi="仿宋" w:eastAsia="仿宋" w:cs="Arial"/>
          <w:kern w:val="0"/>
          <w:sz w:val="20"/>
        </w:rPr>
        <w:t>万元，其余金额本报告暂不披露。</w:t>
      </w:r>
    </w:p>
    <w:p w14:paraId="4DB8B1B1">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为保障本项目合理融资需求，按照《中华人民共和国预算法》(2018修正)、《国务院关于加强地方政府性债务管理的意见》（国发〔2014〕43号）、《关于做好2018年地方政府债券发行工作的意见》（财库〔2018〕61号）等文件精神，结合本项目建设计划和海口市2025年发债计划，海口市政府决定通过发行地方政府专项债券实施本项目，以满足海口市基础设施建设的融资需求。</w:t>
      </w:r>
    </w:p>
    <w:p w14:paraId="3CEFF1F0">
      <w:pPr>
        <w:pStyle w:val="4"/>
        <w:ind w:left="0" w:right="84"/>
        <w:rPr>
          <w:lang w:val="en-GB"/>
        </w:rPr>
      </w:pPr>
      <w:bookmarkStart w:id="24" w:name="_Toc183188343"/>
      <w:bookmarkStart w:id="25" w:name="_Toc200711866"/>
      <w:r>
        <w:rPr>
          <w:rFonts w:hint="eastAsia"/>
          <w:lang w:val="en-GB"/>
        </w:rPr>
        <w:t>（三）经济社会效益</w:t>
      </w:r>
      <w:bookmarkEnd w:id="24"/>
      <w:bookmarkEnd w:id="25"/>
    </w:p>
    <w:p w14:paraId="5C214DD7">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坚持战略引领，着眼区域协同、联动发展，对生态保护、城乡建设、产业发展以及设施配套等方面进行全域统筹规划。尊重当地山水形胜、历史底蕴和生态本底，以生态安全、低碳环保为前提，通过先进技术手段，实现城市智慧高效可持续运行。</w:t>
      </w:r>
    </w:p>
    <w:p w14:paraId="0EC030E1">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本项目有利于海口市加强生态文明建设,创建国家生态文明示范市；有利于提升海口城市生态安全与服务功能；有利于增强海口城市竞争力，带动滨水沿岸经济发展。</w:t>
      </w:r>
    </w:p>
    <w:p w14:paraId="2F78A0EE">
      <w:pPr>
        <w:pStyle w:val="4"/>
        <w:ind w:left="0" w:right="84"/>
      </w:pPr>
      <w:bookmarkStart w:id="26" w:name="_Toc200711867"/>
      <w:bookmarkStart w:id="27" w:name="_Toc183188344"/>
      <w:r>
        <w:rPr>
          <w:rFonts w:hint="eastAsia"/>
          <w:lang w:val="en-GB"/>
        </w:rPr>
        <w:t>（</w:t>
      </w:r>
      <w:r>
        <w:rPr>
          <w:rFonts w:hint="eastAsia"/>
        </w:rPr>
        <w:t>四</w:t>
      </w:r>
      <w:r>
        <w:rPr>
          <w:rFonts w:hint="eastAsia"/>
          <w:lang w:val="en-GB"/>
        </w:rPr>
        <w:t>）项目立项情况或实施依据</w:t>
      </w:r>
      <w:bookmarkEnd w:id="26"/>
      <w:bookmarkEnd w:id="27"/>
    </w:p>
    <w:p w14:paraId="41C28DD2">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项目拟通过项目运营期收益作为专项债券还本付息的资金来源，实现项目收益与融资自求平衡。</w:t>
      </w:r>
    </w:p>
    <w:p w14:paraId="5FC79671">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项目已取得的相关批复如下：</w:t>
      </w:r>
    </w:p>
    <w:p w14:paraId="5012A6A6">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《海口江东新区管理局关于同意海口江东新区总部集聚区基础设施建设项目项目可行性研究报告的复函》(海江东审〔</w:t>
      </w:r>
      <w:r>
        <w:rPr>
          <w:rFonts w:ascii="仿宋" w:hAnsi="仿宋" w:eastAsia="仿宋" w:cs="楷体"/>
          <w:color w:val="000000" w:themeColor="text1"/>
          <w:kern w:val="0"/>
          <w:sz w:val="28"/>
          <w:szCs w:val="28"/>
          <w14:textFill>
            <w14:solidFill>
              <w14:schemeClr w14:val="tx1"/>
            </w14:solidFill>
          </w14:textFill>
        </w:rPr>
        <w:t>20</w:t>
      </w:r>
      <w:r>
        <w:rPr>
          <w:rFonts w:hint="eastAsia" w:ascii="仿宋" w:hAnsi="仿宋" w:eastAsia="仿宋" w:cs="楷体"/>
          <w:color w:val="000000" w:themeColor="text1"/>
          <w:kern w:val="0"/>
          <w:sz w:val="28"/>
          <w:szCs w:val="28"/>
          <w14:textFill>
            <w14:solidFill>
              <w14:schemeClr w14:val="tx1"/>
            </w14:solidFill>
          </w14:textFill>
        </w:rPr>
        <w:t>24</w:t>
      </w:r>
      <w:r>
        <w:rPr>
          <w:rFonts w:ascii="仿宋" w:hAnsi="仿宋" w:eastAsia="仿宋" w:cs="楷体"/>
          <w:color w:val="000000" w:themeColor="text1"/>
          <w:kern w:val="0"/>
          <w:sz w:val="28"/>
          <w:szCs w:val="28"/>
          <w14:textFill>
            <w14:solidFill>
              <w14:schemeClr w14:val="tx1"/>
            </w14:solidFill>
          </w14:textFill>
        </w:rPr>
        <w:t>〕</w:t>
      </w:r>
      <w:r>
        <w:rPr>
          <w:rFonts w:hint="eastAsia" w:ascii="仿宋" w:hAnsi="仿宋" w:eastAsia="仿宋" w:cs="楷体"/>
          <w:color w:val="000000" w:themeColor="text1"/>
          <w:kern w:val="0"/>
          <w:sz w:val="28"/>
          <w:szCs w:val="28"/>
          <w14:textFill>
            <w14:solidFill>
              <w14:schemeClr w14:val="tx1"/>
            </w14:solidFill>
          </w14:textFill>
        </w:rPr>
        <w:t>2号)；</w:t>
      </w:r>
    </w:p>
    <w:p w14:paraId="76AC991F">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《海口江东新区管理局关于同意海口江东新区总部集聚区基础设施建设项目初步设计及概算的复函》(海江东审〔</w:t>
      </w:r>
      <w:r>
        <w:rPr>
          <w:rFonts w:ascii="仿宋" w:hAnsi="仿宋" w:eastAsia="仿宋" w:cs="楷体"/>
          <w:color w:val="000000" w:themeColor="text1"/>
          <w:kern w:val="0"/>
          <w:sz w:val="28"/>
          <w:szCs w:val="28"/>
          <w14:textFill>
            <w14:solidFill>
              <w14:schemeClr w14:val="tx1"/>
            </w14:solidFill>
          </w14:textFill>
        </w:rPr>
        <w:t>20</w:t>
      </w:r>
      <w:r>
        <w:rPr>
          <w:rFonts w:hint="eastAsia" w:ascii="仿宋" w:hAnsi="仿宋" w:eastAsia="仿宋" w:cs="楷体"/>
          <w:color w:val="000000" w:themeColor="text1"/>
          <w:kern w:val="0"/>
          <w:sz w:val="28"/>
          <w:szCs w:val="28"/>
          <w14:textFill>
            <w14:solidFill>
              <w14:schemeClr w14:val="tx1"/>
            </w14:solidFill>
          </w14:textFill>
        </w:rPr>
        <w:t>24</w:t>
      </w:r>
      <w:r>
        <w:rPr>
          <w:rFonts w:ascii="仿宋" w:hAnsi="仿宋" w:eastAsia="仿宋" w:cs="楷体"/>
          <w:color w:val="000000" w:themeColor="text1"/>
          <w:kern w:val="0"/>
          <w:sz w:val="28"/>
          <w:szCs w:val="28"/>
          <w14:textFill>
            <w14:solidFill>
              <w14:schemeClr w14:val="tx1"/>
            </w14:solidFill>
          </w14:textFill>
        </w:rPr>
        <w:t>〕</w:t>
      </w:r>
      <w:r>
        <w:rPr>
          <w:rFonts w:hint="eastAsia" w:ascii="仿宋" w:hAnsi="仿宋" w:eastAsia="仿宋" w:cs="楷体"/>
          <w:color w:val="000000" w:themeColor="text1"/>
          <w:kern w:val="0"/>
          <w:sz w:val="28"/>
          <w:szCs w:val="28"/>
          <w14:textFill>
            <w14:solidFill>
              <w14:schemeClr w14:val="tx1"/>
            </w14:solidFill>
          </w14:textFill>
        </w:rPr>
        <w:t>63号)；</w:t>
      </w:r>
    </w:p>
    <w:p w14:paraId="5D5F5AFE">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《海口市财政局关于海口江东新区总部集聚区基础设施建设项目财政预算评审结果的复函》。</w:t>
      </w:r>
    </w:p>
    <w:p w14:paraId="5792E37D">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本项目立项依据充分，前期手续完备，项目整体成熟，在债券资金到位的情况下，项目可按计划竣工。</w:t>
      </w:r>
    </w:p>
    <w:bookmarkEnd w:id="6"/>
    <w:bookmarkEnd w:id="7"/>
    <w:bookmarkEnd w:id="8"/>
    <w:p w14:paraId="047D9A20">
      <w:pPr>
        <w:pStyle w:val="4"/>
        <w:ind w:left="0" w:right="84"/>
      </w:pPr>
      <w:bookmarkStart w:id="28" w:name="_Toc183188345"/>
      <w:bookmarkStart w:id="29" w:name="_Toc200711868"/>
      <w:r>
        <w:rPr>
          <w:rFonts w:hint="eastAsia"/>
        </w:rPr>
        <w:t>四、项目预测收益与融资平衡情况</w:t>
      </w:r>
      <w:bookmarkEnd w:id="28"/>
      <w:bookmarkEnd w:id="29"/>
    </w:p>
    <w:p w14:paraId="618E8375">
      <w:pPr>
        <w:pStyle w:val="4"/>
        <w:ind w:left="0" w:right="84"/>
        <w:rPr>
          <w:lang w:val="en-GB"/>
        </w:rPr>
      </w:pPr>
      <w:bookmarkStart w:id="30" w:name="_Toc200711869"/>
      <w:bookmarkStart w:id="31" w:name="_Toc183188346"/>
      <w:r>
        <w:rPr>
          <w:rFonts w:hint="eastAsia"/>
          <w:lang w:val="en-GB"/>
        </w:rPr>
        <w:t>（一）资金充足性</w:t>
      </w:r>
      <w:bookmarkEnd w:id="30"/>
      <w:bookmarkEnd w:id="31"/>
    </w:p>
    <w:p w14:paraId="3356046F">
      <w:pPr>
        <w:widowControl/>
        <w:ind w:right="84" w:firstLine="562"/>
        <w:outlineLvl w:val="2"/>
        <w:rPr>
          <w:rFonts w:ascii="仿宋" w:hAnsi="仿宋" w:eastAsia="仿宋"/>
          <w:b/>
          <w:color w:val="000000" w:themeColor="text1"/>
          <w:kern w:val="0"/>
          <w:sz w:val="28"/>
          <w:szCs w:val="28"/>
          <w14:textFill>
            <w14:solidFill>
              <w14:schemeClr w14:val="tx1"/>
            </w14:solidFill>
          </w14:textFill>
        </w:rPr>
      </w:pPr>
      <w:bookmarkStart w:id="32" w:name="_Toc200711870"/>
      <w:bookmarkStart w:id="33" w:name="_Toc200657896"/>
      <w:r>
        <w:rPr>
          <w:rFonts w:hint="eastAsia" w:ascii="仿宋" w:hAnsi="仿宋" w:eastAsia="仿宋"/>
          <w:b/>
          <w:color w:val="000000" w:themeColor="text1"/>
          <w:kern w:val="0"/>
          <w:sz w:val="28"/>
          <w:szCs w:val="28"/>
          <w14:textFill>
            <w14:solidFill>
              <w14:schemeClr w14:val="tx1"/>
            </w14:solidFill>
          </w14:textFill>
        </w:rPr>
        <w:t>1．投资估算</w:t>
      </w:r>
      <w:bookmarkEnd w:id="32"/>
      <w:bookmarkEnd w:id="33"/>
    </w:p>
    <w:p w14:paraId="780245D9">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bookmarkStart w:id="34" w:name="_Toc200657897"/>
      <w:r>
        <w:rPr>
          <w:rFonts w:hint="eastAsia" w:ascii="仿宋" w:hAnsi="仿宋" w:eastAsia="仿宋" w:cs="楷体"/>
          <w:color w:val="000000" w:themeColor="text1"/>
          <w:kern w:val="0"/>
          <w:sz w:val="28"/>
          <w:szCs w:val="28"/>
          <w14:textFill>
            <w14:solidFill>
              <w14:schemeClr w14:val="tx1"/>
            </w14:solidFill>
          </w14:textFill>
        </w:rPr>
        <w:t>本次对</w:t>
      </w:r>
      <w:r>
        <w:rPr>
          <w:rFonts w:ascii="仿宋" w:hAnsi="仿宋" w:eastAsia="仿宋" w:cs="楷体"/>
          <w:color w:val="000000" w:themeColor="text1"/>
          <w:kern w:val="0"/>
          <w:sz w:val="28"/>
          <w:szCs w:val="28"/>
          <w14:textFill>
            <w14:solidFill>
              <w14:schemeClr w14:val="tx1"/>
            </w14:solidFill>
          </w14:textFill>
        </w:rPr>
        <w:t>2025</w:t>
      </w:r>
      <w:r>
        <w:rPr>
          <w:rFonts w:hint="eastAsia" w:ascii="仿宋" w:hAnsi="仿宋" w:eastAsia="仿宋" w:cs="楷体"/>
          <w:color w:val="000000" w:themeColor="text1"/>
          <w:kern w:val="0"/>
          <w:sz w:val="28"/>
          <w:szCs w:val="28"/>
          <w14:textFill>
            <w14:solidFill>
              <w14:schemeClr w14:val="tx1"/>
            </w14:solidFill>
          </w14:textFill>
        </w:rPr>
        <w:t>年海南省政府专项债券（一期）中发行的</w:t>
      </w:r>
      <w:r>
        <w:rPr>
          <w:rFonts w:ascii="仿宋" w:hAnsi="仿宋" w:eastAsia="仿宋" w:cs="楷体"/>
          <w:color w:val="000000" w:themeColor="text1"/>
          <w:kern w:val="0"/>
          <w:sz w:val="28"/>
          <w:szCs w:val="28"/>
          <w14:textFill>
            <w14:solidFill>
              <w14:schemeClr w14:val="tx1"/>
            </w14:solidFill>
          </w14:textFill>
        </w:rPr>
        <w:t>2,000</w:t>
      </w:r>
      <w:r>
        <w:rPr>
          <w:rFonts w:hint="eastAsia" w:ascii="仿宋" w:hAnsi="仿宋" w:eastAsia="仿宋" w:cs="楷体"/>
          <w:color w:val="000000" w:themeColor="text1"/>
          <w:kern w:val="0"/>
          <w:sz w:val="28"/>
          <w:szCs w:val="28"/>
          <w14:textFill>
            <w14:solidFill>
              <w14:schemeClr w14:val="tx1"/>
            </w14:solidFill>
          </w14:textFill>
        </w:rPr>
        <w:t>万元的债券额度进行调整，将调整后的额度分配至海口江东新区总部集聚区基础设施建设项目使用。</w:t>
      </w:r>
      <w:bookmarkEnd w:id="34"/>
    </w:p>
    <w:p w14:paraId="5E8EF86F">
      <w:pPr>
        <w:autoSpaceDE w:val="0"/>
        <w:autoSpaceDN w:val="0"/>
        <w:adjustRightInd w:val="0"/>
        <w:ind w:right="84" w:firstLine="560"/>
        <w:rPr>
          <w:rFonts w:ascii="仿宋" w:hAnsi="仿宋" w:eastAsia="仿宋" w:cs="楷体"/>
          <w:color w:val="000000" w:themeColor="text1"/>
          <w:kern w:val="0"/>
          <w:sz w:val="28"/>
          <w:szCs w:val="28"/>
          <w14:textFill>
            <w14:solidFill>
              <w14:schemeClr w14:val="tx1"/>
            </w14:solidFill>
          </w14:textFill>
        </w:rPr>
      </w:pPr>
      <w:bookmarkStart w:id="35" w:name="_Toc200657898"/>
      <w:r>
        <w:rPr>
          <w:rFonts w:hint="eastAsia" w:ascii="仿宋" w:hAnsi="仿宋" w:eastAsia="仿宋" w:cs="楷体"/>
          <w:color w:val="000000" w:themeColor="text1"/>
          <w:kern w:val="0"/>
          <w:sz w:val="28"/>
          <w:szCs w:val="28"/>
          <w14:textFill>
            <w14:solidFill>
              <w14:schemeClr w14:val="tx1"/>
            </w14:solidFill>
          </w14:textFill>
        </w:rPr>
        <w:t>海口江东新区总部集聚区基础设施建设项目已发行专项债</w:t>
      </w:r>
      <w:r>
        <w:rPr>
          <w:rFonts w:ascii="仿宋" w:hAnsi="仿宋" w:eastAsia="仿宋" w:cs="楷体"/>
          <w:color w:val="000000" w:themeColor="text1"/>
          <w:kern w:val="0"/>
          <w:sz w:val="28"/>
          <w:szCs w:val="28"/>
          <w14:textFill>
            <w14:solidFill>
              <w14:schemeClr w14:val="tx1"/>
            </w14:solidFill>
          </w14:textFill>
        </w:rPr>
        <w:t>10,000</w:t>
      </w:r>
      <w:r>
        <w:rPr>
          <w:rFonts w:hint="eastAsia" w:ascii="仿宋" w:hAnsi="仿宋" w:eastAsia="仿宋" w:cs="楷体"/>
          <w:color w:val="000000" w:themeColor="text1"/>
          <w:kern w:val="0"/>
          <w:sz w:val="28"/>
          <w:szCs w:val="28"/>
          <w14:textFill>
            <w14:solidFill>
              <w14:schemeClr w14:val="tx1"/>
            </w14:solidFill>
          </w14:textFill>
        </w:rPr>
        <w:t>万元，其中</w:t>
      </w:r>
      <w:r>
        <w:rPr>
          <w:rFonts w:ascii="仿宋" w:hAnsi="仿宋" w:eastAsia="仿宋" w:cs="楷体"/>
          <w:color w:val="000000" w:themeColor="text1"/>
          <w:kern w:val="0"/>
          <w:sz w:val="28"/>
          <w:szCs w:val="28"/>
          <w14:textFill>
            <w14:solidFill>
              <w14:schemeClr w14:val="tx1"/>
            </w14:solidFill>
          </w14:textFill>
        </w:rPr>
        <w:t>2024</w:t>
      </w:r>
      <w:r>
        <w:rPr>
          <w:rFonts w:hint="eastAsia" w:ascii="仿宋" w:hAnsi="仿宋" w:eastAsia="仿宋" w:cs="楷体"/>
          <w:color w:val="000000" w:themeColor="text1"/>
          <w:kern w:val="0"/>
          <w:sz w:val="28"/>
          <w:szCs w:val="28"/>
          <w14:textFill>
            <w14:solidFill>
              <w14:schemeClr w14:val="tx1"/>
            </w14:solidFill>
          </w14:textFill>
        </w:rPr>
        <w:t>年</w:t>
      </w:r>
      <w:r>
        <w:rPr>
          <w:rFonts w:ascii="仿宋" w:hAnsi="仿宋" w:eastAsia="仿宋" w:cs="楷体"/>
          <w:color w:val="000000" w:themeColor="text1"/>
          <w:kern w:val="0"/>
          <w:sz w:val="28"/>
          <w:szCs w:val="28"/>
          <w14:textFill>
            <w14:solidFill>
              <w14:schemeClr w14:val="tx1"/>
            </w14:solidFill>
          </w14:textFill>
        </w:rPr>
        <w:t>5</w:t>
      </w:r>
      <w:r>
        <w:rPr>
          <w:rFonts w:hint="eastAsia" w:ascii="仿宋" w:hAnsi="仿宋" w:eastAsia="仿宋" w:cs="楷体"/>
          <w:color w:val="000000" w:themeColor="text1"/>
          <w:kern w:val="0"/>
          <w:sz w:val="28"/>
          <w:szCs w:val="28"/>
          <w14:textFill>
            <w14:solidFill>
              <w14:schemeClr w14:val="tx1"/>
            </w14:solidFill>
          </w14:textFill>
        </w:rPr>
        <w:t>月已发行</w:t>
      </w:r>
      <w:r>
        <w:rPr>
          <w:rFonts w:ascii="仿宋" w:hAnsi="仿宋" w:eastAsia="仿宋" w:cs="楷体"/>
          <w:color w:val="000000" w:themeColor="text1"/>
          <w:kern w:val="0"/>
          <w:sz w:val="28"/>
          <w:szCs w:val="28"/>
          <w14:textFill>
            <w14:solidFill>
              <w14:schemeClr w14:val="tx1"/>
            </w14:solidFill>
          </w14:textFill>
        </w:rPr>
        <w:t>10</w:t>
      </w:r>
      <w:r>
        <w:rPr>
          <w:rFonts w:hint="eastAsia" w:ascii="仿宋" w:hAnsi="仿宋" w:eastAsia="仿宋" w:cs="楷体"/>
          <w:color w:val="000000" w:themeColor="text1"/>
          <w:kern w:val="0"/>
          <w:sz w:val="28"/>
          <w:szCs w:val="28"/>
          <w14:textFill>
            <w14:solidFill>
              <w14:schemeClr w14:val="tx1"/>
            </w14:solidFill>
          </w14:textFill>
        </w:rPr>
        <w:t>年期专项债券</w:t>
      </w:r>
      <w:r>
        <w:rPr>
          <w:rFonts w:ascii="仿宋" w:hAnsi="仿宋" w:eastAsia="仿宋" w:cs="楷体"/>
          <w:color w:val="000000" w:themeColor="text1"/>
          <w:kern w:val="0"/>
          <w:sz w:val="28"/>
          <w:szCs w:val="28"/>
          <w14:textFill>
            <w14:solidFill>
              <w14:schemeClr w14:val="tx1"/>
            </w14:solidFill>
          </w14:textFill>
        </w:rPr>
        <w:t>1,000</w:t>
      </w:r>
      <w:r>
        <w:rPr>
          <w:rFonts w:hint="eastAsia" w:ascii="仿宋" w:hAnsi="仿宋" w:eastAsia="仿宋" w:cs="楷体"/>
          <w:color w:val="000000" w:themeColor="text1"/>
          <w:kern w:val="0"/>
          <w:sz w:val="28"/>
          <w:szCs w:val="28"/>
          <w14:textFill>
            <w14:solidFill>
              <w14:schemeClr w14:val="tx1"/>
            </w14:solidFill>
          </w14:textFill>
        </w:rPr>
        <w:t>万元，</w:t>
      </w:r>
      <w:r>
        <w:rPr>
          <w:rFonts w:ascii="仿宋" w:hAnsi="仿宋" w:eastAsia="仿宋" w:cs="楷体"/>
          <w:color w:val="000000" w:themeColor="text1"/>
          <w:kern w:val="0"/>
          <w:sz w:val="28"/>
          <w:szCs w:val="28"/>
          <w14:textFill>
            <w14:solidFill>
              <w14:schemeClr w14:val="tx1"/>
            </w14:solidFill>
          </w14:textFill>
        </w:rPr>
        <w:t>2024</w:t>
      </w:r>
      <w:r>
        <w:rPr>
          <w:rFonts w:hint="eastAsia" w:ascii="仿宋" w:hAnsi="仿宋" w:eastAsia="仿宋" w:cs="楷体"/>
          <w:color w:val="000000" w:themeColor="text1"/>
          <w:kern w:val="0"/>
          <w:sz w:val="28"/>
          <w:szCs w:val="28"/>
          <w14:textFill>
            <w14:solidFill>
              <w14:schemeClr w14:val="tx1"/>
            </w14:solidFill>
          </w14:textFill>
        </w:rPr>
        <w:t>年</w:t>
      </w:r>
      <w:r>
        <w:rPr>
          <w:rFonts w:ascii="仿宋" w:hAnsi="仿宋" w:eastAsia="仿宋" w:cs="楷体"/>
          <w:color w:val="000000" w:themeColor="text1"/>
          <w:kern w:val="0"/>
          <w:sz w:val="28"/>
          <w:szCs w:val="28"/>
          <w14:textFill>
            <w14:solidFill>
              <w14:schemeClr w14:val="tx1"/>
            </w14:solidFill>
          </w14:textFill>
        </w:rPr>
        <w:t>10</w:t>
      </w:r>
      <w:r>
        <w:rPr>
          <w:rFonts w:hint="eastAsia" w:ascii="仿宋" w:hAnsi="仿宋" w:eastAsia="仿宋" w:cs="楷体"/>
          <w:color w:val="000000" w:themeColor="text1"/>
          <w:kern w:val="0"/>
          <w:sz w:val="28"/>
          <w:szCs w:val="28"/>
          <w14:textFill>
            <w14:solidFill>
              <w14:schemeClr w14:val="tx1"/>
            </w14:solidFill>
          </w14:textFill>
        </w:rPr>
        <w:t>月已发行</w:t>
      </w:r>
      <w:r>
        <w:rPr>
          <w:rFonts w:ascii="仿宋" w:hAnsi="仿宋" w:eastAsia="仿宋" w:cs="楷体"/>
          <w:color w:val="000000" w:themeColor="text1"/>
          <w:kern w:val="0"/>
          <w:sz w:val="28"/>
          <w:szCs w:val="28"/>
          <w14:textFill>
            <w14:solidFill>
              <w14:schemeClr w14:val="tx1"/>
            </w14:solidFill>
          </w14:textFill>
        </w:rPr>
        <w:t>10</w:t>
      </w:r>
      <w:r>
        <w:rPr>
          <w:rFonts w:hint="eastAsia" w:ascii="仿宋" w:hAnsi="仿宋" w:eastAsia="仿宋" w:cs="楷体"/>
          <w:color w:val="000000" w:themeColor="text1"/>
          <w:kern w:val="0"/>
          <w:sz w:val="28"/>
          <w:szCs w:val="28"/>
          <w14:textFill>
            <w14:solidFill>
              <w14:schemeClr w14:val="tx1"/>
            </w14:solidFill>
          </w14:textFill>
        </w:rPr>
        <w:t>年期专项债券</w:t>
      </w:r>
      <w:r>
        <w:rPr>
          <w:rFonts w:ascii="仿宋" w:hAnsi="仿宋" w:eastAsia="仿宋" w:cs="楷体"/>
          <w:color w:val="000000" w:themeColor="text1"/>
          <w:kern w:val="0"/>
          <w:sz w:val="28"/>
          <w:szCs w:val="28"/>
          <w14:textFill>
            <w14:solidFill>
              <w14:schemeClr w14:val="tx1"/>
            </w14:solidFill>
          </w14:textFill>
        </w:rPr>
        <w:t>9,000</w:t>
      </w:r>
      <w:r>
        <w:rPr>
          <w:rFonts w:hint="eastAsia" w:ascii="仿宋" w:hAnsi="仿宋" w:eastAsia="仿宋" w:cs="楷体"/>
          <w:color w:val="000000" w:themeColor="text1"/>
          <w:kern w:val="0"/>
          <w:sz w:val="28"/>
          <w:szCs w:val="28"/>
          <w14:textFill>
            <w14:solidFill>
              <w14:schemeClr w14:val="tx1"/>
            </w14:solidFill>
          </w14:textFill>
        </w:rPr>
        <w:t>万元。本次调整后专项债券资金增加</w:t>
      </w:r>
      <w:r>
        <w:rPr>
          <w:rFonts w:ascii="仿宋" w:hAnsi="仿宋" w:eastAsia="仿宋" w:cs="楷体"/>
          <w:color w:val="000000" w:themeColor="text1"/>
          <w:kern w:val="0"/>
          <w:sz w:val="28"/>
          <w:szCs w:val="28"/>
          <w14:textFill>
            <w14:solidFill>
              <w14:schemeClr w14:val="tx1"/>
            </w14:solidFill>
          </w14:textFill>
        </w:rPr>
        <w:t>2,000</w:t>
      </w:r>
      <w:r>
        <w:rPr>
          <w:rFonts w:hint="eastAsia" w:ascii="仿宋" w:hAnsi="仿宋" w:eastAsia="仿宋" w:cs="楷体"/>
          <w:color w:val="000000" w:themeColor="text1"/>
          <w:kern w:val="0"/>
          <w:sz w:val="28"/>
          <w:szCs w:val="28"/>
          <w14:textFill>
            <w14:solidFill>
              <w14:schemeClr w14:val="tx1"/>
            </w14:solidFill>
          </w14:textFill>
        </w:rPr>
        <w:t>万元，本项目合计使用专项债券资金</w:t>
      </w:r>
      <w:r>
        <w:rPr>
          <w:rFonts w:ascii="仿宋" w:hAnsi="仿宋" w:eastAsia="仿宋" w:cs="楷体"/>
          <w:color w:val="000000" w:themeColor="text1"/>
          <w:kern w:val="0"/>
          <w:sz w:val="28"/>
          <w:szCs w:val="28"/>
          <w14:textFill>
            <w14:solidFill>
              <w14:schemeClr w14:val="tx1"/>
            </w14:solidFill>
          </w14:textFill>
        </w:rPr>
        <w:t>12,000</w:t>
      </w:r>
      <w:r>
        <w:rPr>
          <w:rFonts w:hint="eastAsia" w:ascii="仿宋" w:hAnsi="仿宋" w:eastAsia="仿宋" w:cs="楷体"/>
          <w:color w:val="000000" w:themeColor="text1"/>
          <w:kern w:val="0"/>
          <w:sz w:val="28"/>
          <w:szCs w:val="28"/>
          <w14:textFill>
            <w14:solidFill>
              <w14:schemeClr w14:val="tx1"/>
            </w14:solidFill>
          </w14:textFill>
        </w:rPr>
        <w:t>万元。项目本息覆盖率可达到</w:t>
      </w:r>
      <w:r>
        <w:rPr>
          <w:rFonts w:ascii="仿宋" w:hAnsi="仿宋" w:eastAsia="仿宋" w:cs="楷体"/>
          <w:color w:val="000000" w:themeColor="text1"/>
          <w:kern w:val="0"/>
          <w:sz w:val="28"/>
          <w:szCs w:val="28"/>
          <w14:textFill>
            <w14:solidFill>
              <w14:schemeClr w14:val="tx1"/>
            </w14:solidFill>
          </w14:textFill>
        </w:rPr>
        <w:t>1.</w:t>
      </w:r>
      <w:r>
        <w:rPr>
          <w:rFonts w:hint="eastAsia" w:ascii="仿宋" w:hAnsi="仿宋" w:eastAsia="仿宋" w:cs="楷体"/>
          <w:color w:val="000000" w:themeColor="text1"/>
          <w:kern w:val="0"/>
          <w:sz w:val="28"/>
          <w:szCs w:val="28"/>
          <w14:textFill>
            <w14:solidFill>
              <w14:schemeClr w14:val="tx1"/>
            </w14:solidFill>
          </w14:textFill>
        </w:rPr>
        <w:t>32，根据项目收益与融资平衡分析结果显示，本项目在债券存续期内还本付息资金充足。</w:t>
      </w:r>
      <w:r>
        <w:rPr>
          <w:rFonts w:ascii="仿宋" w:hAnsi="仿宋" w:eastAsia="仿宋" w:cs="楷体"/>
          <w:color w:val="000000" w:themeColor="text1"/>
          <w:kern w:val="0"/>
          <w:sz w:val="28"/>
          <w:szCs w:val="28"/>
          <w14:textFill>
            <w14:solidFill>
              <w14:schemeClr w14:val="tx1"/>
            </w14:solidFill>
          </w14:textFill>
        </w:rPr>
        <w:t>详见表</w:t>
      </w:r>
      <w:r>
        <w:rPr>
          <w:rFonts w:hint="eastAsia" w:ascii="仿宋" w:hAnsi="仿宋" w:eastAsia="仿宋" w:cs="楷体"/>
          <w:color w:val="000000" w:themeColor="text1"/>
          <w:kern w:val="0"/>
          <w:sz w:val="28"/>
          <w:szCs w:val="28"/>
          <w14:textFill>
            <w14:solidFill>
              <w14:schemeClr w14:val="tx1"/>
            </w14:solidFill>
          </w14:textFill>
        </w:rPr>
        <w:t>2</w:t>
      </w:r>
      <w:r>
        <w:rPr>
          <w:rFonts w:ascii="仿宋" w:hAnsi="仿宋" w:eastAsia="仿宋" w:cs="楷体"/>
          <w:color w:val="000000" w:themeColor="text1"/>
          <w:kern w:val="0"/>
          <w:sz w:val="28"/>
          <w:szCs w:val="28"/>
          <w14:textFill>
            <w14:solidFill>
              <w14:schemeClr w14:val="tx1"/>
            </w14:solidFill>
          </w14:textFill>
        </w:rPr>
        <w:t>：</w:t>
      </w:r>
      <w:bookmarkEnd w:id="35"/>
    </w:p>
    <w:p w14:paraId="55694067">
      <w:pPr>
        <w:spacing w:line="240" w:lineRule="auto"/>
        <w:ind w:right="84" w:firstLine="482"/>
        <w:jc w:val="center"/>
        <w:rPr>
          <w:rFonts w:ascii="仿宋" w:hAnsi="仿宋" w:eastAsia="仿宋" w:cs="楷体"/>
          <w:b/>
          <w:bCs/>
          <w:kern w:val="0"/>
          <w:szCs w:val="24"/>
          <w:vertAlign w:val="superscript"/>
        </w:rPr>
      </w:pPr>
      <w:r>
        <w:rPr>
          <w:rFonts w:ascii="仿宋" w:hAnsi="仿宋" w:eastAsia="仿宋" w:cs="楷体"/>
          <w:b/>
          <w:bCs/>
          <w:kern w:val="0"/>
          <w:szCs w:val="24"/>
        </w:rPr>
        <w:t>表</w:t>
      </w:r>
      <w:r>
        <w:rPr>
          <w:rFonts w:hint="eastAsia" w:ascii="仿宋" w:hAnsi="仿宋" w:eastAsia="仿宋" w:cs="楷体"/>
          <w:b/>
          <w:bCs/>
          <w:kern w:val="0"/>
          <w:szCs w:val="24"/>
        </w:rPr>
        <w:t>2</w:t>
      </w:r>
      <w:r>
        <w:rPr>
          <w:rFonts w:hint="eastAsia" w:ascii="仿宋" w:hAnsi="仿宋" w:eastAsia="仿宋"/>
          <w:b/>
          <w:color w:val="000000"/>
        </w:rPr>
        <w:t>海口江东新区总部集聚区基础设施建设项目</w:t>
      </w:r>
      <w:r>
        <w:rPr>
          <w:rFonts w:ascii="仿宋" w:hAnsi="仿宋" w:eastAsia="仿宋" w:cs="楷体"/>
          <w:b/>
          <w:bCs/>
          <w:kern w:val="0"/>
          <w:szCs w:val="24"/>
        </w:rPr>
        <w:t>本息覆盖率表</w:t>
      </w:r>
    </w:p>
    <w:p w14:paraId="41D89878">
      <w:pPr>
        <w:spacing w:before="120" w:beforeLines="50" w:line="240" w:lineRule="auto"/>
        <w:ind w:right="84" w:firstLine="400"/>
        <w:jc w:val="right"/>
        <w:rPr>
          <w:rFonts w:ascii="仿宋" w:hAnsi="仿宋" w:eastAsia="仿宋"/>
          <w:color w:val="000000"/>
          <w:sz w:val="20"/>
          <w:szCs w:val="20"/>
        </w:rPr>
      </w:pPr>
      <w:r>
        <w:rPr>
          <w:rFonts w:ascii="仿宋" w:hAnsi="仿宋" w:eastAsia="仿宋"/>
          <w:color w:val="000000"/>
          <w:sz w:val="20"/>
          <w:szCs w:val="20"/>
        </w:rPr>
        <w:t>单位：人民币万元</w:t>
      </w:r>
    </w:p>
    <w:tbl>
      <w:tblPr>
        <w:tblStyle w:val="22"/>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992"/>
        <w:gridCol w:w="992"/>
        <w:gridCol w:w="946"/>
        <w:gridCol w:w="900"/>
        <w:gridCol w:w="850"/>
        <w:gridCol w:w="990"/>
        <w:gridCol w:w="709"/>
        <w:gridCol w:w="708"/>
      </w:tblGrid>
      <w:tr w14:paraId="5D10B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546F9D97">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项目</w:t>
            </w:r>
          </w:p>
        </w:tc>
        <w:tc>
          <w:tcPr>
            <w:tcW w:w="992" w:type="dxa"/>
            <w:vAlign w:val="center"/>
          </w:tcPr>
          <w:p w14:paraId="58FD9DFE">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调整后项目总投资</w:t>
            </w:r>
          </w:p>
        </w:tc>
        <w:tc>
          <w:tcPr>
            <w:tcW w:w="992" w:type="dxa"/>
            <w:vAlign w:val="center"/>
          </w:tcPr>
          <w:p w14:paraId="14A307F2">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用于资金平衡的项目收益</w:t>
            </w:r>
          </w:p>
        </w:tc>
        <w:tc>
          <w:tcPr>
            <w:tcW w:w="946" w:type="dxa"/>
            <w:vAlign w:val="center"/>
          </w:tcPr>
          <w:p w14:paraId="4D748D41">
            <w:pPr>
              <w:spacing w:line="240" w:lineRule="auto"/>
              <w:ind w:right="84" w:firstLine="0" w:firstLineChars="0"/>
              <w:jc w:val="center"/>
              <w:rPr>
                <w:rFonts w:ascii="仿宋" w:hAnsi="仿宋" w:eastAsia="仿宋"/>
                <w:color w:val="000000"/>
                <w:sz w:val="20"/>
                <w:szCs w:val="20"/>
              </w:rPr>
            </w:pPr>
            <w:r>
              <w:rPr>
                <w:rFonts w:hint="eastAsia" w:ascii="仿宋" w:hAnsi="仿宋" w:eastAsia="仿宋" w:cs="Calibri"/>
                <w:b/>
                <w:bCs/>
                <w:kern w:val="0"/>
                <w:sz w:val="20"/>
                <w:szCs w:val="20"/>
              </w:rPr>
              <w:t>期末项目累计现金结存额</w:t>
            </w:r>
          </w:p>
        </w:tc>
        <w:tc>
          <w:tcPr>
            <w:tcW w:w="900" w:type="dxa"/>
            <w:vAlign w:val="center"/>
          </w:tcPr>
          <w:p w14:paraId="0B5BD540">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已发行债券额度</w:t>
            </w:r>
          </w:p>
        </w:tc>
        <w:tc>
          <w:tcPr>
            <w:tcW w:w="850" w:type="dxa"/>
            <w:vAlign w:val="center"/>
          </w:tcPr>
          <w:p w14:paraId="123D8FA9">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本期调整额度</w:t>
            </w:r>
          </w:p>
        </w:tc>
        <w:tc>
          <w:tcPr>
            <w:tcW w:w="990" w:type="dxa"/>
            <w:vAlign w:val="center"/>
          </w:tcPr>
          <w:p w14:paraId="2083F3FB">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预计债券本息合计</w:t>
            </w:r>
          </w:p>
        </w:tc>
        <w:tc>
          <w:tcPr>
            <w:tcW w:w="709" w:type="dxa"/>
            <w:vAlign w:val="center"/>
          </w:tcPr>
          <w:p w14:paraId="7859BC41">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本息覆盖率</w:t>
            </w:r>
          </w:p>
        </w:tc>
        <w:tc>
          <w:tcPr>
            <w:tcW w:w="708" w:type="dxa"/>
            <w:vAlign w:val="center"/>
          </w:tcPr>
          <w:p w14:paraId="38AAC4C2">
            <w:pPr>
              <w:spacing w:line="240" w:lineRule="auto"/>
              <w:ind w:right="84" w:firstLine="0" w:firstLineChars="0"/>
              <w:jc w:val="center"/>
              <w:rPr>
                <w:rFonts w:ascii="仿宋" w:hAnsi="仿宋" w:eastAsia="仿宋"/>
                <w:color w:val="000000"/>
                <w:sz w:val="20"/>
                <w:szCs w:val="20"/>
              </w:rPr>
            </w:pPr>
            <w:r>
              <w:rPr>
                <w:rFonts w:hint="eastAsia" w:ascii="仿宋" w:hAnsi="仿宋" w:eastAsia="仿宋" w:cs="微软雅黑"/>
                <w:b/>
                <w:bCs/>
                <w:kern w:val="0"/>
                <w:sz w:val="20"/>
                <w:szCs w:val="20"/>
              </w:rPr>
              <w:t>本息覆盖倍数</w:t>
            </w:r>
          </w:p>
        </w:tc>
      </w:tr>
      <w:tr w14:paraId="2FB74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65F754F4">
            <w:pPr>
              <w:spacing w:line="240" w:lineRule="auto"/>
              <w:ind w:right="84" w:firstLine="0" w:firstLineChars="0"/>
              <w:jc w:val="center"/>
              <w:rPr>
                <w:rFonts w:ascii="仿宋" w:hAnsi="仿宋" w:eastAsia="仿宋"/>
                <w:color w:val="000000"/>
                <w:sz w:val="20"/>
                <w:szCs w:val="20"/>
              </w:rPr>
            </w:pPr>
            <w:r>
              <w:rPr>
                <w:rFonts w:hint="eastAsia" w:ascii="仿宋" w:hAnsi="仿宋" w:eastAsia="仿宋"/>
                <w:kern w:val="0"/>
                <w:sz w:val="20"/>
                <w:szCs w:val="20"/>
              </w:rPr>
              <w:t>海口江东新区总部集聚区基础设施建设项目</w:t>
            </w:r>
          </w:p>
        </w:tc>
        <w:tc>
          <w:tcPr>
            <w:tcW w:w="992" w:type="dxa"/>
            <w:vAlign w:val="center"/>
          </w:tcPr>
          <w:p w14:paraId="5C82FAD7">
            <w:pPr>
              <w:spacing w:line="240" w:lineRule="auto"/>
              <w:ind w:right="84" w:firstLine="0" w:firstLineChars="0"/>
              <w:jc w:val="right"/>
              <w:rPr>
                <w:rFonts w:ascii="仿宋" w:hAnsi="仿宋" w:eastAsia="仿宋"/>
                <w:color w:val="000000"/>
                <w:sz w:val="20"/>
                <w:szCs w:val="20"/>
              </w:rPr>
            </w:pPr>
            <w:r>
              <w:rPr>
                <w:rFonts w:ascii="仿宋" w:hAnsi="仿宋" w:eastAsia="仿宋" w:cs="Calibri"/>
                <w:color w:val="000000"/>
                <w:kern w:val="0"/>
                <w:sz w:val="20"/>
                <w:szCs w:val="20"/>
              </w:rPr>
              <w:t>39,440</w:t>
            </w:r>
          </w:p>
        </w:tc>
        <w:tc>
          <w:tcPr>
            <w:tcW w:w="992" w:type="dxa"/>
            <w:vAlign w:val="center"/>
          </w:tcPr>
          <w:p w14:paraId="27DE0105">
            <w:pPr>
              <w:spacing w:line="240" w:lineRule="auto"/>
              <w:ind w:right="84" w:firstLine="0" w:firstLineChars="0"/>
              <w:jc w:val="right"/>
              <w:rPr>
                <w:rFonts w:ascii="仿宋" w:hAnsi="仿宋" w:eastAsia="仿宋"/>
                <w:color w:val="000000"/>
                <w:sz w:val="20"/>
                <w:szCs w:val="20"/>
              </w:rPr>
            </w:pPr>
            <w:r>
              <w:rPr>
                <w:rFonts w:hint="eastAsia" w:ascii="仿宋" w:hAnsi="仿宋" w:eastAsia="仿宋" w:cs="Calibri"/>
                <w:color w:val="000000"/>
                <w:kern w:val="0"/>
                <w:sz w:val="20"/>
                <w:szCs w:val="20"/>
              </w:rPr>
              <w:t>19,052</w:t>
            </w:r>
          </w:p>
        </w:tc>
        <w:tc>
          <w:tcPr>
            <w:tcW w:w="946" w:type="dxa"/>
            <w:vAlign w:val="center"/>
          </w:tcPr>
          <w:p w14:paraId="0AD9DA69">
            <w:pPr>
              <w:spacing w:line="240" w:lineRule="auto"/>
              <w:ind w:right="84" w:firstLine="0" w:firstLineChars="0"/>
              <w:jc w:val="right"/>
              <w:rPr>
                <w:rFonts w:ascii="仿宋" w:hAnsi="仿宋" w:eastAsia="仿宋"/>
                <w:color w:val="000000"/>
                <w:sz w:val="20"/>
                <w:szCs w:val="20"/>
              </w:rPr>
            </w:pPr>
            <w:r>
              <w:rPr>
                <w:rFonts w:ascii="仿宋" w:hAnsi="仿宋" w:eastAsia="仿宋" w:cs="Calibri"/>
                <w:color w:val="000000"/>
                <w:kern w:val="0"/>
                <w:sz w:val="20"/>
                <w:szCs w:val="20"/>
              </w:rPr>
              <w:t>4,658</w:t>
            </w:r>
          </w:p>
        </w:tc>
        <w:tc>
          <w:tcPr>
            <w:tcW w:w="900" w:type="dxa"/>
            <w:vAlign w:val="center"/>
          </w:tcPr>
          <w:p w14:paraId="629CAD75">
            <w:pPr>
              <w:spacing w:line="240" w:lineRule="auto"/>
              <w:ind w:right="84" w:firstLine="0" w:firstLineChars="0"/>
              <w:jc w:val="right"/>
              <w:rPr>
                <w:rFonts w:ascii="仿宋" w:hAnsi="仿宋" w:eastAsia="仿宋"/>
                <w:color w:val="000000"/>
                <w:sz w:val="20"/>
                <w:szCs w:val="20"/>
              </w:rPr>
            </w:pPr>
            <w:r>
              <w:rPr>
                <w:rFonts w:hint="eastAsia" w:ascii="仿宋" w:hAnsi="仿宋" w:eastAsia="仿宋" w:cs="Calibri"/>
                <w:color w:val="000000"/>
                <w:kern w:val="0"/>
                <w:sz w:val="20"/>
                <w:szCs w:val="20"/>
              </w:rPr>
              <w:t>10,000</w:t>
            </w:r>
          </w:p>
        </w:tc>
        <w:tc>
          <w:tcPr>
            <w:tcW w:w="850" w:type="dxa"/>
            <w:vAlign w:val="center"/>
          </w:tcPr>
          <w:p w14:paraId="11B3DE3B">
            <w:pPr>
              <w:spacing w:line="240" w:lineRule="auto"/>
              <w:ind w:right="84" w:firstLine="0" w:firstLineChars="0"/>
              <w:jc w:val="right"/>
              <w:rPr>
                <w:rFonts w:ascii="仿宋" w:hAnsi="仿宋" w:eastAsia="仿宋"/>
                <w:color w:val="000000"/>
                <w:sz w:val="20"/>
                <w:szCs w:val="20"/>
              </w:rPr>
            </w:pPr>
            <w:r>
              <w:rPr>
                <w:rFonts w:hint="eastAsia" w:ascii="仿宋" w:hAnsi="仿宋" w:eastAsia="仿宋" w:cs="Calibri"/>
                <w:color w:val="000000"/>
                <w:kern w:val="0"/>
                <w:sz w:val="20"/>
                <w:szCs w:val="20"/>
              </w:rPr>
              <w:t>2,000</w:t>
            </w:r>
          </w:p>
        </w:tc>
        <w:tc>
          <w:tcPr>
            <w:tcW w:w="990" w:type="dxa"/>
            <w:vAlign w:val="center"/>
          </w:tcPr>
          <w:p w14:paraId="34C3AF41">
            <w:pPr>
              <w:spacing w:line="240" w:lineRule="auto"/>
              <w:ind w:right="84" w:firstLine="0" w:firstLineChars="0"/>
              <w:jc w:val="right"/>
              <w:rPr>
                <w:rFonts w:ascii="仿宋" w:hAnsi="仿宋" w:eastAsia="仿宋"/>
                <w:color w:val="000000"/>
                <w:sz w:val="20"/>
                <w:szCs w:val="20"/>
              </w:rPr>
            </w:pPr>
            <w:r>
              <w:rPr>
                <w:rFonts w:ascii="仿宋" w:hAnsi="仿宋" w:eastAsia="仿宋" w:cs="Calibri"/>
                <w:color w:val="000000"/>
                <w:kern w:val="0"/>
                <w:sz w:val="20"/>
                <w:szCs w:val="20"/>
              </w:rPr>
              <w:t>14,654</w:t>
            </w:r>
          </w:p>
        </w:tc>
        <w:tc>
          <w:tcPr>
            <w:tcW w:w="709" w:type="dxa"/>
            <w:vAlign w:val="center"/>
          </w:tcPr>
          <w:p w14:paraId="50C99632">
            <w:pPr>
              <w:spacing w:line="240" w:lineRule="auto"/>
              <w:ind w:right="84" w:firstLine="0" w:firstLineChars="0"/>
              <w:jc w:val="right"/>
              <w:rPr>
                <w:rFonts w:ascii="仿宋" w:hAnsi="仿宋" w:eastAsia="仿宋"/>
                <w:color w:val="000000"/>
                <w:sz w:val="20"/>
                <w:szCs w:val="20"/>
              </w:rPr>
            </w:pPr>
            <w:r>
              <w:rPr>
                <w:rFonts w:ascii="仿宋" w:hAnsi="仿宋" w:eastAsia="仿宋" w:cs="Calibri"/>
                <w:color w:val="000000"/>
                <w:kern w:val="0"/>
                <w:sz w:val="20"/>
                <w:szCs w:val="20"/>
              </w:rPr>
              <w:t>1.32</w:t>
            </w:r>
          </w:p>
        </w:tc>
        <w:tc>
          <w:tcPr>
            <w:tcW w:w="708" w:type="dxa"/>
            <w:vAlign w:val="center"/>
          </w:tcPr>
          <w:p w14:paraId="7FC1ADFB">
            <w:pPr>
              <w:spacing w:line="240" w:lineRule="auto"/>
              <w:ind w:right="84" w:firstLine="0" w:firstLineChars="0"/>
              <w:jc w:val="right"/>
              <w:rPr>
                <w:rFonts w:ascii="仿宋" w:hAnsi="仿宋" w:eastAsia="仿宋"/>
                <w:color w:val="000000"/>
                <w:sz w:val="20"/>
                <w:szCs w:val="20"/>
              </w:rPr>
            </w:pPr>
            <w:r>
              <w:rPr>
                <w:rFonts w:ascii="仿宋" w:hAnsi="仿宋" w:eastAsia="仿宋" w:cs="Calibri"/>
                <w:color w:val="000000"/>
                <w:kern w:val="0"/>
                <w:sz w:val="20"/>
                <w:szCs w:val="20"/>
              </w:rPr>
              <w:t>1.30</w:t>
            </w:r>
          </w:p>
        </w:tc>
      </w:tr>
    </w:tbl>
    <w:p w14:paraId="4832B1D0">
      <w:pPr>
        <w:spacing w:before="120" w:after="120"/>
        <w:ind w:right="84" w:firstLine="560"/>
        <w:rPr>
          <w:rFonts w:ascii="仿宋" w:hAnsi="仿宋" w:eastAsia="仿宋"/>
          <w:color w:val="000000"/>
          <w:sz w:val="28"/>
          <w:szCs w:val="28"/>
        </w:rPr>
      </w:pPr>
      <w:r>
        <w:rPr>
          <w:rFonts w:ascii="仿宋" w:hAnsi="仿宋" w:eastAsia="仿宋"/>
          <w:color w:val="000000"/>
          <w:sz w:val="28"/>
          <w:szCs w:val="28"/>
        </w:rPr>
        <w:t>对此，我们从投资估算、债券发行和还本付息、发债项目盈利能力、偿债能力和可持续性等方面分析如下：</w:t>
      </w:r>
    </w:p>
    <w:p w14:paraId="3D279196">
      <w:pPr>
        <w:spacing w:before="120" w:after="120"/>
        <w:ind w:firstLine="560"/>
        <w:rPr>
          <w:rFonts w:ascii="仿宋" w:hAnsi="仿宋" w:eastAsia="仿宋"/>
          <w:color w:val="000000"/>
          <w:sz w:val="28"/>
          <w:szCs w:val="28"/>
        </w:rPr>
      </w:pPr>
      <w:r>
        <w:rPr>
          <w:rFonts w:ascii="仿宋" w:hAnsi="仿宋" w:eastAsia="仿宋"/>
          <w:color w:val="000000"/>
          <w:sz w:val="28"/>
          <w:szCs w:val="28"/>
        </w:rPr>
        <w:t>2024</w:t>
      </w:r>
      <w:r>
        <w:rPr>
          <w:rFonts w:hint="eastAsia" w:ascii="仿宋" w:hAnsi="仿宋" w:eastAsia="仿宋"/>
          <w:color w:val="000000"/>
          <w:sz w:val="28"/>
          <w:szCs w:val="28"/>
        </w:rPr>
        <w:t>年</w:t>
      </w:r>
      <w:r>
        <w:rPr>
          <w:rFonts w:ascii="仿宋" w:hAnsi="仿宋" w:eastAsia="仿宋"/>
          <w:color w:val="000000"/>
          <w:sz w:val="28"/>
          <w:szCs w:val="28"/>
        </w:rPr>
        <w:t>5</w:t>
      </w:r>
      <w:r>
        <w:rPr>
          <w:rFonts w:hint="eastAsia" w:ascii="仿宋" w:hAnsi="仿宋" w:eastAsia="仿宋"/>
          <w:color w:val="000000"/>
          <w:sz w:val="28"/>
          <w:szCs w:val="28"/>
        </w:rPr>
        <w:t>月已发行的</w:t>
      </w:r>
      <w:r>
        <w:rPr>
          <w:rFonts w:ascii="仿宋" w:hAnsi="仿宋" w:eastAsia="仿宋"/>
          <w:color w:val="000000"/>
          <w:sz w:val="28"/>
          <w:szCs w:val="28"/>
        </w:rPr>
        <w:t>10</w:t>
      </w:r>
      <w:r>
        <w:rPr>
          <w:rFonts w:hint="eastAsia" w:ascii="仿宋" w:hAnsi="仿宋" w:eastAsia="仿宋"/>
          <w:color w:val="000000"/>
          <w:sz w:val="28"/>
          <w:szCs w:val="28"/>
        </w:rPr>
        <w:t>年期债券利率参考</w:t>
      </w:r>
      <w:r>
        <w:rPr>
          <w:rFonts w:ascii="仿宋" w:hAnsi="仿宋" w:eastAsia="仿宋"/>
          <w:color w:val="000000"/>
          <w:sz w:val="28"/>
          <w:szCs w:val="28"/>
        </w:rPr>
        <w:t>2024</w:t>
      </w:r>
      <w:r>
        <w:rPr>
          <w:rFonts w:hint="eastAsia" w:ascii="仿宋" w:hAnsi="仿宋" w:eastAsia="仿宋"/>
          <w:color w:val="000000"/>
          <w:sz w:val="28"/>
          <w:szCs w:val="28"/>
        </w:rPr>
        <w:t>年海南省政府专项债券（八期）票面利率</w:t>
      </w:r>
      <w:r>
        <w:rPr>
          <w:rFonts w:ascii="仿宋" w:hAnsi="仿宋" w:eastAsia="仿宋"/>
          <w:color w:val="000000"/>
          <w:sz w:val="28"/>
          <w:szCs w:val="28"/>
        </w:rPr>
        <w:t>2.41%</w:t>
      </w:r>
      <w:r>
        <w:rPr>
          <w:rFonts w:hint="eastAsia" w:ascii="仿宋" w:hAnsi="仿宋" w:eastAsia="仿宋"/>
          <w:color w:val="000000"/>
          <w:sz w:val="28"/>
          <w:szCs w:val="28"/>
        </w:rPr>
        <w:t>计算，</w:t>
      </w:r>
      <w:r>
        <w:rPr>
          <w:rFonts w:ascii="仿宋" w:hAnsi="仿宋" w:eastAsia="仿宋"/>
          <w:color w:val="000000"/>
          <w:sz w:val="28"/>
          <w:szCs w:val="28"/>
        </w:rPr>
        <w:t>2024</w:t>
      </w:r>
      <w:r>
        <w:rPr>
          <w:rFonts w:hint="eastAsia" w:ascii="仿宋" w:hAnsi="仿宋" w:eastAsia="仿宋"/>
          <w:color w:val="000000"/>
          <w:sz w:val="28"/>
          <w:szCs w:val="28"/>
        </w:rPr>
        <w:t>年</w:t>
      </w:r>
      <w:r>
        <w:rPr>
          <w:rFonts w:ascii="仿宋" w:hAnsi="仿宋" w:eastAsia="仿宋"/>
          <w:color w:val="000000"/>
          <w:sz w:val="28"/>
          <w:szCs w:val="28"/>
        </w:rPr>
        <w:t>10</w:t>
      </w:r>
      <w:r>
        <w:rPr>
          <w:rFonts w:hint="eastAsia" w:ascii="仿宋" w:hAnsi="仿宋" w:eastAsia="仿宋"/>
          <w:color w:val="000000"/>
          <w:sz w:val="28"/>
          <w:szCs w:val="28"/>
        </w:rPr>
        <w:t>月已发行的</w:t>
      </w:r>
      <w:r>
        <w:rPr>
          <w:rFonts w:ascii="仿宋" w:hAnsi="仿宋" w:eastAsia="仿宋"/>
          <w:color w:val="000000"/>
          <w:sz w:val="28"/>
          <w:szCs w:val="28"/>
        </w:rPr>
        <w:t>10</w:t>
      </w:r>
      <w:r>
        <w:rPr>
          <w:rFonts w:hint="eastAsia" w:ascii="仿宋" w:hAnsi="仿宋" w:eastAsia="仿宋"/>
          <w:color w:val="000000"/>
          <w:sz w:val="28"/>
          <w:szCs w:val="28"/>
        </w:rPr>
        <w:t>年期债券利率参考</w:t>
      </w:r>
      <w:r>
        <w:rPr>
          <w:rFonts w:ascii="仿宋" w:hAnsi="仿宋" w:eastAsia="仿宋"/>
          <w:color w:val="000000"/>
          <w:sz w:val="28"/>
          <w:szCs w:val="28"/>
        </w:rPr>
        <w:t>2024</w:t>
      </w:r>
      <w:r>
        <w:rPr>
          <w:rFonts w:hint="eastAsia" w:ascii="仿宋" w:hAnsi="仿宋" w:eastAsia="仿宋"/>
          <w:color w:val="000000"/>
          <w:sz w:val="28"/>
          <w:szCs w:val="28"/>
        </w:rPr>
        <w:t>年海南省政府专项债券（二十四期）票面利率</w:t>
      </w:r>
      <w:r>
        <w:rPr>
          <w:rFonts w:ascii="仿宋" w:hAnsi="仿宋" w:eastAsia="仿宋"/>
          <w:color w:val="000000"/>
          <w:sz w:val="28"/>
          <w:szCs w:val="28"/>
        </w:rPr>
        <w:t>2.29%</w:t>
      </w:r>
      <w:r>
        <w:rPr>
          <w:rFonts w:hint="eastAsia" w:ascii="仿宋" w:hAnsi="仿宋" w:eastAsia="仿宋"/>
          <w:color w:val="000000"/>
          <w:sz w:val="28"/>
          <w:szCs w:val="28"/>
        </w:rPr>
        <w:t>计算。本次调增的</w:t>
      </w:r>
      <w:r>
        <w:rPr>
          <w:rFonts w:ascii="仿宋" w:hAnsi="仿宋" w:eastAsia="仿宋"/>
          <w:color w:val="000000"/>
          <w:sz w:val="28"/>
          <w:szCs w:val="28"/>
        </w:rPr>
        <w:t>2025</w:t>
      </w:r>
      <w:r>
        <w:rPr>
          <w:rFonts w:hint="eastAsia" w:ascii="仿宋" w:hAnsi="仿宋" w:eastAsia="仿宋"/>
          <w:color w:val="000000"/>
          <w:sz w:val="28"/>
          <w:szCs w:val="28"/>
        </w:rPr>
        <w:t>年海南省政府专项债券（一期）的债券发行利率为</w:t>
      </w:r>
      <w:r>
        <w:rPr>
          <w:rFonts w:ascii="仿宋" w:hAnsi="仿宋" w:eastAsia="仿宋"/>
          <w:color w:val="000000"/>
          <w:sz w:val="28"/>
          <w:szCs w:val="28"/>
        </w:rPr>
        <w:t>1.76%</w:t>
      </w:r>
      <w:r>
        <w:rPr>
          <w:rFonts w:hint="eastAsia" w:ascii="仿宋" w:hAnsi="仿宋" w:eastAsia="仿宋"/>
          <w:color w:val="000000"/>
          <w:sz w:val="28"/>
          <w:szCs w:val="28"/>
        </w:rPr>
        <w:t>。发行费率暂取</w:t>
      </w:r>
      <w:r>
        <w:rPr>
          <w:rFonts w:ascii="仿宋" w:hAnsi="仿宋" w:eastAsia="仿宋"/>
          <w:color w:val="000000"/>
          <w:sz w:val="28"/>
          <w:szCs w:val="28"/>
        </w:rPr>
        <w:t>0.10%</w:t>
      </w:r>
      <w:r>
        <w:rPr>
          <w:rFonts w:hint="eastAsia" w:ascii="仿宋" w:hAnsi="仿宋" w:eastAsia="仿宋"/>
          <w:color w:val="000000"/>
          <w:sz w:val="28"/>
          <w:szCs w:val="28"/>
        </w:rPr>
        <w:t>。据此估算海口江东新区总部集聚区基础设施建设项目总投资为39,440万元，</w:t>
      </w:r>
      <w:r>
        <w:rPr>
          <w:rFonts w:ascii="仿宋" w:hAnsi="仿宋" w:eastAsia="仿宋"/>
          <w:color w:val="000000"/>
          <w:sz w:val="28"/>
          <w:szCs w:val="28"/>
        </w:rPr>
        <w:t>详见表</w:t>
      </w:r>
      <w:r>
        <w:rPr>
          <w:rFonts w:hint="eastAsia" w:ascii="仿宋" w:hAnsi="仿宋" w:eastAsia="仿宋"/>
          <w:color w:val="000000"/>
          <w:sz w:val="28"/>
          <w:szCs w:val="28"/>
        </w:rPr>
        <w:t>3</w:t>
      </w:r>
      <w:r>
        <w:rPr>
          <w:rFonts w:ascii="仿宋" w:hAnsi="仿宋" w:eastAsia="仿宋"/>
          <w:color w:val="000000"/>
          <w:sz w:val="28"/>
          <w:szCs w:val="28"/>
        </w:rPr>
        <w:t>：</w:t>
      </w:r>
    </w:p>
    <w:p w14:paraId="682684D5">
      <w:pPr>
        <w:spacing w:line="240" w:lineRule="auto"/>
        <w:ind w:right="84" w:firstLine="482"/>
        <w:jc w:val="center"/>
        <w:rPr>
          <w:rFonts w:ascii="仿宋" w:hAnsi="仿宋" w:eastAsia="仿宋" w:cs="楷体"/>
          <w:b/>
          <w:bCs/>
          <w:kern w:val="0"/>
          <w:szCs w:val="24"/>
        </w:rPr>
      </w:pPr>
      <w:r>
        <w:rPr>
          <w:rFonts w:ascii="仿宋" w:hAnsi="仿宋" w:eastAsia="仿宋" w:cs="楷体"/>
          <w:b/>
          <w:bCs/>
          <w:kern w:val="0"/>
          <w:szCs w:val="24"/>
        </w:rPr>
        <w:t xml:space="preserve">表3 </w:t>
      </w:r>
      <w:r>
        <w:rPr>
          <w:rFonts w:hint="eastAsia" w:ascii="仿宋" w:hAnsi="仿宋" w:eastAsia="仿宋" w:cs="楷体"/>
          <w:b/>
          <w:bCs/>
          <w:kern w:val="0"/>
          <w:szCs w:val="24"/>
        </w:rPr>
        <w:t>海口江东新区总部集聚区基础设施建设项目总投资估算表</w:t>
      </w:r>
    </w:p>
    <w:p w14:paraId="28C2BDA4">
      <w:pPr>
        <w:ind w:right="84" w:firstLine="400"/>
        <w:jc w:val="right"/>
        <w:rPr>
          <w:rFonts w:ascii="仿宋" w:hAnsi="仿宋" w:eastAsia="仿宋"/>
          <w:color w:val="000000"/>
          <w:sz w:val="20"/>
          <w:szCs w:val="20"/>
        </w:rPr>
      </w:pPr>
      <w:r>
        <w:rPr>
          <w:rFonts w:ascii="仿宋" w:hAnsi="仿宋" w:eastAsia="仿宋"/>
          <w:color w:val="000000"/>
          <w:sz w:val="20"/>
          <w:szCs w:val="20"/>
        </w:rPr>
        <w:t>单位：人民币万元</w:t>
      </w:r>
    </w:p>
    <w:tbl>
      <w:tblPr>
        <w:tblStyle w:val="21"/>
        <w:tblW w:w="5000" w:type="pct"/>
        <w:jc w:val="center"/>
        <w:tblLayout w:type="autofit"/>
        <w:tblCellMar>
          <w:top w:w="0" w:type="dxa"/>
          <w:left w:w="108" w:type="dxa"/>
          <w:bottom w:w="0" w:type="dxa"/>
          <w:right w:w="108" w:type="dxa"/>
        </w:tblCellMar>
      </w:tblPr>
      <w:tblGrid>
        <w:gridCol w:w="1301"/>
        <w:gridCol w:w="2829"/>
        <w:gridCol w:w="1468"/>
        <w:gridCol w:w="1630"/>
        <w:gridCol w:w="1628"/>
      </w:tblGrid>
      <w:tr w14:paraId="0CFE1AB1">
        <w:tblPrEx>
          <w:tblCellMar>
            <w:top w:w="0" w:type="dxa"/>
            <w:left w:w="108" w:type="dxa"/>
            <w:bottom w:w="0" w:type="dxa"/>
            <w:right w:w="108" w:type="dxa"/>
          </w:tblCellMar>
        </w:tblPrEx>
        <w:trPr>
          <w:trHeight w:val="276" w:hRule="atLeast"/>
          <w:jc w:val="center"/>
        </w:trPr>
        <w:tc>
          <w:tcPr>
            <w:tcW w:w="735"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B3842DA">
            <w:pPr>
              <w:widowControl/>
              <w:spacing w:line="240" w:lineRule="auto"/>
              <w:ind w:right="84"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序号</w:t>
            </w:r>
          </w:p>
        </w:tc>
        <w:tc>
          <w:tcPr>
            <w:tcW w:w="1597" w:type="pct"/>
            <w:tcBorders>
              <w:top w:val="single" w:color="auto" w:sz="4" w:space="0"/>
              <w:left w:val="nil"/>
              <w:bottom w:val="single" w:color="auto" w:sz="4" w:space="0"/>
              <w:right w:val="single" w:color="auto" w:sz="4" w:space="0"/>
            </w:tcBorders>
            <w:shd w:val="clear" w:color="auto" w:fill="auto"/>
            <w:noWrap/>
            <w:vAlign w:val="center"/>
          </w:tcPr>
          <w:p w14:paraId="18698E66">
            <w:pPr>
              <w:widowControl/>
              <w:spacing w:line="240" w:lineRule="auto"/>
              <w:ind w:right="84"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名称</w:t>
            </w:r>
            <w:r>
              <w:rPr>
                <w:rFonts w:ascii="仿宋" w:hAnsi="仿宋" w:eastAsia="仿宋" w:cs="宋体"/>
                <w:b/>
                <w:bCs/>
                <w:kern w:val="0"/>
                <w:sz w:val="20"/>
                <w:szCs w:val="20"/>
              </w:rPr>
              <w:t>/</w:t>
            </w:r>
            <w:r>
              <w:rPr>
                <w:rFonts w:hint="eastAsia" w:ascii="仿宋" w:hAnsi="仿宋" w:eastAsia="仿宋" w:cs="宋体"/>
                <w:b/>
                <w:bCs/>
                <w:kern w:val="0"/>
                <w:sz w:val="20"/>
                <w:szCs w:val="20"/>
              </w:rPr>
              <w:t>年份</w:t>
            </w:r>
          </w:p>
        </w:tc>
        <w:tc>
          <w:tcPr>
            <w:tcW w:w="829" w:type="pct"/>
            <w:tcBorders>
              <w:top w:val="single" w:color="auto" w:sz="4" w:space="0"/>
              <w:left w:val="nil"/>
              <w:bottom w:val="single" w:color="auto" w:sz="4" w:space="0"/>
              <w:right w:val="single" w:color="auto" w:sz="4" w:space="0"/>
            </w:tcBorders>
            <w:shd w:val="clear" w:color="auto" w:fill="auto"/>
            <w:noWrap/>
            <w:vAlign w:val="center"/>
          </w:tcPr>
          <w:p w14:paraId="2488936E">
            <w:pPr>
              <w:widowControl/>
              <w:spacing w:line="240" w:lineRule="auto"/>
              <w:ind w:right="84"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w:t>
            </w:r>
            <w:r>
              <w:rPr>
                <w:rFonts w:hint="eastAsia" w:ascii="仿宋" w:hAnsi="仿宋" w:eastAsia="仿宋" w:cs="宋体"/>
                <w:b/>
                <w:bCs/>
                <w:kern w:val="0"/>
                <w:sz w:val="20"/>
                <w:szCs w:val="20"/>
              </w:rPr>
              <w:t>4年</w:t>
            </w:r>
          </w:p>
        </w:tc>
        <w:tc>
          <w:tcPr>
            <w:tcW w:w="920" w:type="pct"/>
            <w:tcBorders>
              <w:top w:val="single" w:color="auto" w:sz="4" w:space="0"/>
              <w:left w:val="nil"/>
              <w:bottom w:val="single" w:color="auto" w:sz="4" w:space="0"/>
              <w:right w:val="single" w:color="auto" w:sz="4" w:space="0"/>
            </w:tcBorders>
            <w:shd w:val="clear" w:color="auto" w:fill="auto"/>
            <w:noWrap/>
            <w:vAlign w:val="center"/>
          </w:tcPr>
          <w:p w14:paraId="268CBB87">
            <w:pPr>
              <w:widowControl/>
              <w:spacing w:line="240" w:lineRule="auto"/>
              <w:ind w:right="84"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w:t>
            </w:r>
            <w:r>
              <w:rPr>
                <w:rFonts w:hint="eastAsia" w:ascii="仿宋" w:hAnsi="仿宋" w:eastAsia="仿宋" w:cs="宋体"/>
                <w:b/>
                <w:bCs/>
                <w:kern w:val="0"/>
                <w:sz w:val="20"/>
                <w:szCs w:val="20"/>
              </w:rPr>
              <w:t>5年</w:t>
            </w:r>
          </w:p>
        </w:tc>
        <w:tc>
          <w:tcPr>
            <w:tcW w:w="919" w:type="pct"/>
            <w:tcBorders>
              <w:top w:val="single" w:color="auto" w:sz="4" w:space="0"/>
              <w:left w:val="nil"/>
              <w:bottom w:val="single" w:color="auto" w:sz="4" w:space="0"/>
              <w:right w:val="single" w:color="auto" w:sz="4" w:space="0"/>
            </w:tcBorders>
            <w:shd w:val="clear" w:color="auto" w:fill="auto"/>
            <w:noWrap/>
            <w:vAlign w:val="center"/>
          </w:tcPr>
          <w:p w14:paraId="0002F859">
            <w:pPr>
              <w:widowControl/>
              <w:spacing w:line="240" w:lineRule="auto"/>
              <w:ind w:right="84"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合计</w:t>
            </w:r>
          </w:p>
        </w:tc>
      </w:tr>
      <w:tr w14:paraId="6D70B942">
        <w:tblPrEx>
          <w:tblCellMar>
            <w:top w:w="0" w:type="dxa"/>
            <w:left w:w="108" w:type="dxa"/>
            <w:bottom w:w="0" w:type="dxa"/>
            <w:right w:w="108" w:type="dxa"/>
          </w:tblCellMar>
        </w:tblPrEx>
        <w:trPr>
          <w:trHeight w:val="276" w:hRule="atLeast"/>
          <w:jc w:val="center"/>
        </w:trPr>
        <w:tc>
          <w:tcPr>
            <w:tcW w:w="735" w:type="pct"/>
            <w:tcBorders>
              <w:top w:val="nil"/>
              <w:left w:val="single" w:color="auto" w:sz="4" w:space="0"/>
              <w:bottom w:val="single" w:color="auto" w:sz="4" w:space="0"/>
              <w:right w:val="single" w:color="auto" w:sz="4" w:space="0"/>
            </w:tcBorders>
            <w:shd w:val="clear" w:color="auto" w:fill="auto"/>
            <w:noWrap/>
            <w:vAlign w:val="center"/>
          </w:tcPr>
          <w:p w14:paraId="0B52C029">
            <w:pPr>
              <w:widowControl/>
              <w:spacing w:line="240" w:lineRule="auto"/>
              <w:ind w:right="84" w:firstLine="0" w:firstLineChars="0"/>
              <w:jc w:val="center"/>
              <w:rPr>
                <w:rFonts w:ascii="仿宋" w:hAnsi="仿宋" w:eastAsia="仿宋" w:cs="宋体"/>
                <w:color w:val="000000"/>
                <w:kern w:val="0"/>
                <w:sz w:val="20"/>
                <w:szCs w:val="20"/>
              </w:rPr>
            </w:pPr>
            <w:r>
              <w:rPr>
                <w:rFonts w:ascii="仿宋" w:hAnsi="仿宋" w:eastAsia="仿宋" w:cs="宋体"/>
                <w:color w:val="000000"/>
                <w:kern w:val="0"/>
                <w:sz w:val="20"/>
                <w:szCs w:val="20"/>
              </w:rPr>
              <w:t>1</w:t>
            </w:r>
          </w:p>
        </w:tc>
        <w:tc>
          <w:tcPr>
            <w:tcW w:w="1597" w:type="pct"/>
            <w:tcBorders>
              <w:top w:val="nil"/>
              <w:left w:val="nil"/>
              <w:bottom w:val="single" w:color="auto" w:sz="4" w:space="0"/>
              <w:right w:val="single" w:color="auto" w:sz="4" w:space="0"/>
            </w:tcBorders>
            <w:shd w:val="clear" w:color="auto" w:fill="auto"/>
            <w:noWrap/>
            <w:vAlign w:val="center"/>
          </w:tcPr>
          <w:p w14:paraId="00A2ADA0">
            <w:pPr>
              <w:widowControl/>
              <w:spacing w:line="240" w:lineRule="auto"/>
              <w:ind w:right="84"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建设开发成本</w:t>
            </w:r>
          </w:p>
        </w:tc>
        <w:tc>
          <w:tcPr>
            <w:tcW w:w="829" w:type="pct"/>
            <w:tcBorders>
              <w:top w:val="nil"/>
              <w:left w:val="nil"/>
              <w:bottom w:val="single" w:color="auto" w:sz="4" w:space="0"/>
              <w:right w:val="single" w:color="auto" w:sz="4" w:space="0"/>
            </w:tcBorders>
            <w:shd w:val="clear" w:color="auto" w:fill="auto"/>
            <w:noWrap/>
            <w:vAlign w:val="center"/>
          </w:tcPr>
          <w:p w14:paraId="7BEB8D80">
            <w:pPr>
              <w:widowControl/>
              <w:spacing w:line="240" w:lineRule="auto"/>
              <w:ind w:right="84" w:firstLine="0" w:firstLineChars="0"/>
              <w:jc w:val="right"/>
              <w:rPr>
                <w:rFonts w:ascii="仿宋" w:hAnsi="仿宋" w:eastAsia="仿宋" w:cs="宋体"/>
                <w:color w:val="000000"/>
                <w:kern w:val="0"/>
                <w:sz w:val="18"/>
                <w:szCs w:val="18"/>
              </w:rPr>
            </w:pPr>
            <w:r>
              <w:rPr>
                <w:rFonts w:ascii="仿宋" w:hAnsi="仿宋" w:eastAsia="仿宋"/>
                <w:sz w:val="18"/>
                <w:szCs w:val="18"/>
              </w:rPr>
              <w:t>10,000</w:t>
            </w:r>
          </w:p>
        </w:tc>
        <w:tc>
          <w:tcPr>
            <w:tcW w:w="920" w:type="pct"/>
            <w:tcBorders>
              <w:top w:val="nil"/>
              <w:left w:val="nil"/>
              <w:bottom w:val="single" w:color="auto" w:sz="4" w:space="0"/>
              <w:right w:val="single" w:color="auto" w:sz="4" w:space="0"/>
            </w:tcBorders>
            <w:shd w:val="clear" w:color="auto" w:fill="auto"/>
            <w:noWrap/>
            <w:vAlign w:val="center"/>
          </w:tcPr>
          <w:p w14:paraId="16A063B5">
            <w:pPr>
              <w:widowControl/>
              <w:spacing w:line="240" w:lineRule="auto"/>
              <w:ind w:right="84" w:firstLine="0" w:firstLineChars="0"/>
              <w:jc w:val="right"/>
              <w:rPr>
                <w:rFonts w:ascii="仿宋" w:hAnsi="仿宋" w:eastAsia="仿宋" w:cs="宋体"/>
                <w:color w:val="000000"/>
                <w:kern w:val="0"/>
                <w:sz w:val="18"/>
                <w:szCs w:val="18"/>
              </w:rPr>
            </w:pPr>
            <w:r>
              <w:rPr>
                <w:rFonts w:ascii="仿宋" w:hAnsi="仿宋" w:eastAsia="仿宋"/>
                <w:sz w:val="18"/>
                <w:szCs w:val="18"/>
              </w:rPr>
              <w:t>29,168</w:t>
            </w:r>
          </w:p>
        </w:tc>
        <w:tc>
          <w:tcPr>
            <w:tcW w:w="919" w:type="pct"/>
            <w:tcBorders>
              <w:top w:val="nil"/>
              <w:left w:val="nil"/>
              <w:bottom w:val="single" w:color="auto" w:sz="4" w:space="0"/>
              <w:right w:val="single" w:color="auto" w:sz="4" w:space="0"/>
            </w:tcBorders>
            <w:shd w:val="clear" w:color="auto" w:fill="auto"/>
            <w:noWrap/>
            <w:vAlign w:val="center"/>
          </w:tcPr>
          <w:p w14:paraId="221DD492">
            <w:pPr>
              <w:widowControl/>
              <w:spacing w:line="240" w:lineRule="auto"/>
              <w:ind w:right="84" w:firstLine="0" w:firstLineChars="0"/>
              <w:jc w:val="right"/>
              <w:rPr>
                <w:rFonts w:ascii="仿宋" w:hAnsi="仿宋" w:eastAsia="仿宋" w:cs="宋体"/>
                <w:b/>
                <w:bCs/>
                <w:color w:val="000000"/>
                <w:kern w:val="0"/>
                <w:sz w:val="18"/>
                <w:szCs w:val="18"/>
              </w:rPr>
            </w:pPr>
            <w:r>
              <w:rPr>
                <w:rFonts w:ascii="仿宋" w:hAnsi="仿宋" w:eastAsia="仿宋"/>
                <w:b/>
                <w:bCs/>
                <w:sz w:val="18"/>
                <w:szCs w:val="18"/>
              </w:rPr>
              <w:t>39,168</w:t>
            </w:r>
          </w:p>
        </w:tc>
      </w:tr>
      <w:tr w14:paraId="5BBA8A60">
        <w:tblPrEx>
          <w:tblCellMar>
            <w:top w:w="0" w:type="dxa"/>
            <w:left w:w="108" w:type="dxa"/>
            <w:bottom w:w="0" w:type="dxa"/>
            <w:right w:w="108" w:type="dxa"/>
          </w:tblCellMar>
        </w:tblPrEx>
        <w:trPr>
          <w:trHeight w:val="276" w:hRule="atLeast"/>
          <w:jc w:val="center"/>
        </w:trPr>
        <w:tc>
          <w:tcPr>
            <w:tcW w:w="735" w:type="pct"/>
            <w:tcBorders>
              <w:top w:val="nil"/>
              <w:left w:val="single" w:color="auto" w:sz="4" w:space="0"/>
              <w:bottom w:val="single" w:color="auto" w:sz="4" w:space="0"/>
              <w:right w:val="single" w:color="auto" w:sz="4" w:space="0"/>
            </w:tcBorders>
            <w:shd w:val="clear" w:color="auto" w:fill="auto"/>
            <w:noWrap/>
            <w:vAlign w:val="center"/>
          </w:tcPr>
          <w:p w14:paraId="5F70168F">
            <w:pPr>
              <w:widowControl/>
              <w:spacing w:line="240" w:lineRule="auto"/>
              <w:ind w:right="84" w:firstLine="0" w:firstLineChars="0"/>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1597" w:type="pct"/>
            <w:tcBorders>
              <w:top w:val="nil"/>
              <w:left w:val="nil"/>
              <w:bottom w:val="single" w:color="auto" w:sz="4" w:space="0"/>
              <w:right w:val="single" w:color="auto" w:sz="4" w:space="0"/>
            </w:tcBorders>
            <w:shd w:val="clear" w:color="auto" w:fill="auto"/>
            <w:noWrap/>
            <w:vAlign w:val="center"/>
          </w:tcPr>
          <w:p w14:paraId="6A1E427D">
            <w:pPr>
              <w:widowControl/>
              <w:spacing w:line="240" w:lineRule="auto"/>
              <w:ind w:right="84"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专项费用</w:t>
            </w:r>
          </w:p>
        </w:tc>
        <w:tc>
          <w:tcPr>
            <w:tcW w:w="829" w:type="pct"/>
            <w:tcBorders>
              <w:top w:val="nil"/>
              <w:left w:val="nil"/>
              <w:bottom w:val="single" w:color="auto" w:sz="4" w:space="0"/>
              <w:right w:val="single" w:color="auto" w:sz="4" w:space="0"/>
            </w:tcBorders>
            <w:shd w:val="clear" w:color="auto" w:fill="auto"/>
            <w:noWrap/>
            <w:vAlign w:val="center"/>
          </w:tcPr>
          <w:p w14:paraId="25E9ADBF">
            <w:pPr>
              <w:widowControl/>
              <w:spacing w:line="240" w:lineRule="auto"/>
              <w:ind w:right="84" w:firstLine="0" w:firstLineChars="0"/>
              <w:jc w:val="right"/>
              <w:rPr>
                <w:rFonts w:ascii="仿宋" w:hAnsi="仿宋" w:eastAsia="仿宋" w:cs="宋体"/>
                <w:color w:val="000000"/>
                <w:kern w:val="0"/>
                <w:sz w:val="18"/>
                <w:szCs w:val="18"/>
              </w:rPr>
            </w:pPr>
            <w:r>
              <w:rPr>
                <w:rFonts w:hint="eastAsia" w:ascii="仿宋" w:hAnsi="仿宋" w:eastAsia="仿宋" w:cs="宋体"/>
                <w:color w:val="000000"/>
                <w:kern w:val="0"/>
                <w:sz w:val="18"/>
                <w:szCs w:val="18"/>
              </w:rPr>
              <w:t>22</w:t>
            </w:r>
          </w:p>
        </w:tc>
        <w:tc>
          <w:tcPr>
            <w:tcW w:w="920" w:type="pct"/>
            <w:tcBorders>
              <w:top w:val="nil"/>
              <w:left w:val="nil"/>
              <w:bottom w:val="single" w:color="auto" w:sz="4" w:space="0"/>
              <w:right w:val="single" w:color="auto" w:sz="4" w:space="0"/>
            </w:tcBorders>
            <w:shd w:val="clear" w:color="auto" w:fill="auto"/>
            <w:noWrap/>
            <w:vAlign w:val="center"/>
          </w:tcPr>
          <w:p w14:paraId="10BB474A">
            <w:pPr>
              <w:widowControl/>
              <w:spacing w:line="240" w:lineRule="auto"/>
              <w:ind w:right="84" w:firstLine="0" w:firstLineChars="0"/>
              <w:jc w:val="right"/>
              <w:rPr>
                <w:rFonts w:ascii="仿宋" w:hAnsi="仿宋" w:eastAsia="仿宋" w:cs="Times New Roman"/>
                <w:kern w:val="0"/>
                <w:sz w:val="18"/>
                <w:szCs w:val="18"/>
              </w:rPr>
            </w:pPr>
            <w:r>
              <w:rPr>
                <w:rFonts w:hint="eastAsia" w:ascii="仿宋" w:hAnsi="仿宋" w:eastAsia="仿宋" w:cs="Times New Roman"/>
                <w:kern w:val="0"/>
                <w:sz w:val="18"/>
                <w:szCs w:val="18"/>
              </w:rPr>
              <w:t>250</w:t>
            </w:r>
            <w:r>
              <w:rPr>
                <w:rFonts w:ascii="仿宋" w:hAnsi="仿宋" w:eastAsia="仿宋" w:cs="Times New Roman"/>
                <w:kern w:val="0"/>
                <w:sz w:val="18"/>
                <w:szCs w:val="18"/>
              </w:rPr>
              <w:t xml:space="preserve"> </w:t>
            </w:r>
          </w:p>
        </w:tc>
        <w:tc>
          <w:tcPr>
            <w:tcW w:w="919" w:type="pct"/>
            <w:tcBorders>
              <w:top w:val="nil"/>
              <w:left w:val="nil"/>
              <w:bottom w:val="single" w:color="auto" w:sz="4" w:space="0"/>
              <w:right w:val="single" w:color="auto" w:sz="4" w:space="0"/>
            </w:tcBorders>
            <w:shd w:val="clear" w:color="auto" w:fill="auto"/>
            <w:noWrap/>
            <w:vAlign w:val="center"/>
          </w:tcPr>
          <w:p w14:paraId="7BAA9F9F">
            <w:pPr>
              <w:widowControl/>
              <w:spacing w:line="240" w:lineRule="auto"/>
              <w:ind w:right="84" w:firstLine="0" w:firstLineChars="0"/>
              <w:jc w:val="right"/>
              <w:rPr>
                <w:rFonts w:ascii="仿宋" w:hAnsi="仿宋" w:eastAsia="仿宋" w:cs="Times New Roman"/>
                <w:b/>
                <w:bCs/>
                <w:kern w:val="0"/>
                <w:sz w:val="18"/>
                <w:szCs w:val="18"/>
              </w:rPr>
            </w:pPr>
            <w:r>
              <w:rPr>
                <w:rFonts w:hint="eastAsia" w:ascii="仿宋" w:hAnsi="仿宋" w:eastAsia="仿宋" w:cs="Times New Roman"/>
                <w:b/>
                <w:bCs/>
                <w:kern w:val="0"/>
                <w:sz w:val="18"/>
                <w:szCs w:val="18"/>
              </w:rPr>
              <w:t>272</w:t>
            </w:r>
            <w:r>
              <w:rPr>
                <w:rFonts w:ascii="仿宋" w:hAnsi="仿宋" w:eastAsia="仿宋" w:cs="Times New Roman"/>
                <w:b/>
                <w:bCs/>
                <w:kern w:val="0"/>
                <w:sz w:val="18"/>
                <w:szCs w:val="18"/>
              </w:rPr>
              <w:t xml:space="preserve"> </w:t>
            </w:r>
          </w:p>
        </w:tc>
      </w:tr>
      <w:tr w14:paraId="00CF9F54">
        <w:tblPrEx>
          <w:tblCellMar>
            <w:top w:w="0" w:type="dxa"/>
            <w:left w:w="108" w:type="dxa"/>
            <w:bottom w:w="0" w:type="dxa"/>
            <w:right w:w="108" w:type="dxa"/>
          </w:tblCellMar>
        </w:tblPrEx>
        <w:trPr>
          <w:trHeight w:val="276" w:hRule="atLeast"/>
          <w:jc w:val="center"/>
        </w:trPr>
        <w:tc>
          <w:tcPr>
            <w:tcW w:w="735" w:type="pct"/>
            <w:tcBorders>
              <w:top w:val="nil"/>
              <w:left w:val="single" w:color="auto" w:sz="4" w:space="0"/>
              <w:bottom w:val="single" w:color="auto" w:sz="4" w:space="0"/>
              <w:right w:val="single" w:color="auto" w:sz="4" w:space="0"/>
            </w:tcBorders>
            <w:shd w:val="clear" w:color="auto" w:fill="auto"/>
            <w:noWrap/>
            <w:vAlign w:val="center"/>
          </w:tcPr>
          <w:p w14:paraId="1E5B6935">
            <w:pPr>
              <w:widowControl/>
              <w:spacing w:line="240" w:lineRule="auto"/>
              <w:ind w:right="84" w:firstLine="0" w:firstLineChars="0"/>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rPr>
              <w:t>2</w:t>
            </w:r>
            <w:r>
              <w:rPr>
                <w:rFonts w:ascii="仿宋" w:hAnsi="仿宋" w:eastAsia="仿宋" w:cs="宋体"/>
                <w:color w:val="000000"/>
                <w:kern w:val="0"/>
                <w:sz w:val="20"/>
                <w:szCs w:val="20"/>
              </w:rPr>
              <w:t>.1</w:t>
            </w:r>
          </w:p>
        </w:tc>
        <w:tc>
          <w:tcPr>
            <w:tcW w:w="1597" w:type="pct"/>
            <w:tcBorders>
              <w:top w:val="nil"/>
              <w:left w:val="nil"/>
              <w:bottom w:val="single" w:color="auto" w:sz="4" w:space="0"/>
              <w:right w:val="single" w:color="auto" w:sz="4" w:space="0"/>
            </w:tcBorders>
            <w:shd w:val="clear" w:color="auto" w:fill="auto"/>
            <w:noWrap/>
            <w:vAlign w:val="center"/>
          </w:tcPr>
          <w:p w14:paraId="33DFD20C">
            <w:pPr>
              <w:widowControl/>
              <w:spacing w:line="240" w:lineRule="auto"/>
              <w:ind w:right="84"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债券发行费用</w:t>
            </w:r>
          </w:p>
        </w:tc>
        <w:tc>
          <w:tcPr>
            <w:tcW w:w="829" w:type="pct"/>
            <w:tcBorders>
              <w:top w:val="nil"/>
              <w:left w:val="nil"/>
              <w:bottom w:val="single" w:color="auto" w:sz="4" w:space="0"/>
              <w:right w:val="single" w:color="auto" w:sz="4" w:space="0"/>
            </w:tcBorders>
            <w:shd w:val="clear" w:color="auto" w:fill="auto"/>
            <w:noWrap/>
            <w:vAlign w:val="center"/>
          </w:tcPr>
          <w:p w14:paraId="2C89EE40">
            <w:pPr>
              <w:widowControl/>
              <w:spacing w:line="240" w:lineRule="auto"/>
              <w:ind w:right="84" w:firstLine="0" w:firstLineChars="0"/>
              <w:jc w:val="right"/>
              <w:rPr>
                <w:rFonts w:ascii="仿宋" w:hAnsi="仿宋" w:eastAsia="仿宋" w:cs="宋体"/>
                <w:color w:val="000000"/>
                <w:kern w:val="0"/>
                <w:sz w:val="18"/>
                <w:szCs w:val="18"/>
              </w:rPr>
            </w:pPr>
            <w:r>
              <w:rPr>
                <w:rFonts w:hint="eastAsia" w:ascii="仿宋" w:hAnsi="仿宋" w:eastAsia="仿宋" w:cs="宋体"/>
                <w:color w:val="000000"/>
                <w:kern w:val="0"/>
                <w:sz w:val="18"/>
                <w:szCs w:val="18"/>
              </w:rPr>
              <w:t>10</w:t>
            </w:r>
          </w:p>
        </w:tc>
        <w:tc>
          <w:tcPr>
            <w:tcW w:w="920" w:type="pct"/>
            <w:tcBorders>
              <w:top w:val="nil"/>
              <w:left w:val="nil"/>
              <w:bottom w:val="single" w:color="auto" w:sz="4" w:space="0"/>
              <w:right w:val="single" w:color="auto" w:sz="4" w:space="0"/>
            </w:tcBorders>
            <w:shd w:val="clear" w:color="auto" w:fill="auto"/>
            <w:noWrap/>
            <w:vAlign w:val="center"/>
          </w:tcPr>
          <w:p w14:paraId="4285E990">
            <w:pPr>
              <w:widowControl/>
              <w:spacing w:line="240" w:lineRule="auto"/>
              <w:ind w:right="84" w:firstLine="0" w:firstLineChars="0"/>
              <w:jc w:val="right"/>
              <w:rPr>
                <w:rFonts w:ascii="仿宋" w:hAnsi="仿宋" w:eastAsia="仿宋" w:cs="Times New Roman"/>
                <w:kern w:val="0"/>
                <w:sz w:val="18"/>
                <w:szCs w:val="18"/>
              </w:rPr>
            </w:pPr>
            <w:r>
              <w:rPr>
                <w:rFonts w:hint="eastAsia" w:ascii="仿宋" w:hAnsi="仿宋" w:eastAsia="仿宋" w:cs="Times New Roman"/>
                <w:kern w:val="0"/>
                <w:sz w:val="18"/>
                <w:szCs w:val="18"/>
              </w:rPr>
              <w:t>2</w:t>
            </w:r>
            <w:r>
              <w:rPr>
                <w:rFonts w:ascii="仿宋" w:hAnsi="仿宋" w:eastAsia="仿宋" w:cs="Times New Roman"/>
                <w:kern w:val="0"/>
                <w:sz w:val="18"/>
                <w:szCs w:val="18"/>
              </w:rPr>
              <w:t xml:space="preserve"> </w:t>
            </w:r>
          </w:p>
        </w:tc>
        <w:tc>
          <w:tcPr>
            <w:tcW w:w="919" w:type="pct"/>
            <w:tcBorders>
              <w:top w:val="nil"/>
              <w:left w:val="nil"/>
              <w:bottom w:val="single" w:color="auto" w:sz="4" w:space="0"/>
              <w:right w:val="single" w:color="auto" w:sz="4" w:space="0"/>
            </w:tcBorders>
            <w:shd w:val="clear" w:color="auto" w:fill="auto"/>
            <w:noWrap/>
            <w:vAlign w:val="center"/>
          </w:tcPr>
          <w:p w14:paraId="265E0AC3">
            <w:pPr>
              <w:widowControl/>
              <w:spacing w:line="240" w:lineRule="auto"/>
              <w:ind w:right="84" w:firstLine="0" w:firstLineChars="0"/>
              <w:jc w:val="right"/>
              <w:rPr>
                <w:rFonts w:ascii="仿宋" w:hAnsi="仿宋" w:eastAsia="仿宋" w:cs="Times New Roman"/>
                <w:b/>
                <w:bCs/>
                <w:kern w:val="0"/>
                <w:sz w:val="18"/>
                <w:szCs w:val="18"/>
              </w:rPr>
            </w:pPr>
            <w:r>
              <w:rPr>
                <w:rFonts w:hint="eastAsia" w:ascii="仿宋" w:hAnsi="仿宋" w:eastAsia="仿宋" w:cs="Times New Roman"/>
                <w:b/>
                <w:bCs/>
                <w:kern w:val="0"/>
                <w:sz w:val="18"/>
                <w:szCs w:val="18"/>
              </w:rPr>
              <w:t>12</w:t>
            </w:r>
            <w:r>
              <w:rPr>
                <w:rFonts w:ascii="仿宋" w:hAnsi="仿宋" w:eastAsia="仿宋" w:cs="Times New Roman"/>
                <w:b/>
                <w:bCs/>
                <w:kern w:val="0"/>
                <w:sz w:val="18"/>
                <w:szCs w:val="18"/>
              </w:rPr>
              <w:t xml:space="preserve"> </w:t>
            </w:r>
          </w:p>
        </w:tc>
      </w:tr>
      <w:tr w14:paraId="7BD1103D">
        <w:tblPrEx>
          <w:tblCellMar>
            <w:top w:w="0" w:type="dxa"/>
            <w:left w:w="108" w:type="dxa"/>
            <w:bottom w:w="0" w:type="dxa"/>
            <w:right w:w="108" w:type="dxa"/>
          </w:tblCellMar>
        </w:tblPrEx>
        <w:trPr>
          <w:trHeight w:val="276" w:hRule="atLeast"/>
          <w:jc w:val="center"/>
        </w:trPr>
        <w:tc>
          <w:tcPr>
            <w:tcW w:w="735" w:type="pct"/>
            <w:tcBorders>
              <w:top w:val="nil"/>
              <w:left w:val="single" w:color="auto" w:sz="4" w:space="0"/>
              <w:bottom w:val="single" w:color="auto" w:sz="4" w:space="0"/>
              <w:right w:val="single" w:color="auto" w:sz="4" w:space="0"/>
            </w:tcBorders>
            <w:shd w:val="clear" w:color="auto" w:fill="auto"/>
            <w:noWrap/>
            <w:vAlign w:val="center"/>
          </w:tcPr>
          <w:p w14:paraId="38200DBE">
            <w:pPr>
              <w:widowControl/>
              <w:spacing w:line="240" w:lineRule="auto"/>
              <w:ind w:right="84" w:firstLine="0" w:firstLineChars="0"/>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rPr>
              <w:t>2</w:t>
            </w:r>
            <w:r>
              <w:rPr>
                <w:rFonts w:ascii="仿宋" w:hAnsi="仿宋" w:eastAsia="仿宋" w:cs="宋体"/>
                <w:color w:val="000000"/>
                <w:kern w:val="0"/>
                <w:sz w:val="20"/>
                <w:szCs w:val="20"/>
              </w:rPr>
              <w:t>.2</w:t>
            </w:r>
          </w:p>
        </w:tc>
        <w:tc>
          <w:tcPr>
            <w:tcW w:w="1597" w:type="pct"/>
            <w:tcBorders>
              <w:top w:val="nil"/>
              <w:left w:val="nil"/>
              <w:bottom w:val="single" w:color="auto" w:sz="4" w:space="0"/>
              <w:right w:val="single" w:color="auto" w:sz="4" w:space="0"/>
            </w:tcBorders>
            <w:shd w:val="clear" w:color="auto" w:fill="auto"/>
            <w:noWrap/>
            <w:vAlign w:val="center"/>
          </w:tcPr>
          <w:p w14:paraId="40BBFCA7">
            <w:pPr>
              <w:widowControl/>
              <w:spacing w:line="240" w:lineRule="auto"/>
              <w:ind w:right="84"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建设期利息</w:t>
            </w:r>
          </w:p>
        </w:tc>
        <w:tc>
          <w:tcPr>
            <w:tcW w:w="829" w:type="pct"/>
            <w:tcBorders>
              <w:top w:val="nil"/>
              <w:left w:val="nil"/>
              <w:bottom w:val="single" w:color="auto" w:sz="4" w:space="0"/>
              <w:right w:val="single" w:color="auto" w:sz="4" w:space="0"/>
            </w:tcBorders>
            <w:shd w:val="clear" w:color="auto" w:fill="auto"/>
            <w:noWrap/>
            <w:vAlign w:val="center"/>
          </w:tcPr>
          <w:p w14:paraId="06D874AE">
            <w:pPr>
              <w:widowControl/>
              <w:spacing w:line="240" w:lineRule="auto"/>
              <w:ind w:right="84" w:firstLine="0" w:firstLineChars="0"/>
              <w:jc w:val="right"/>
              <w:rPr>
                <w:rFonts w:ascii="仿宋" w:hAnsi="仿宋" w:eastAsia="仿宋" w:cs="宋体"/>
                <w:color w:val="000000"/>
                <w:kern w:val="0"/>
                <w:sz w:val="18"/>
                <w:szCs w:val="18"/>
              </w:rPr>
            </w:pPr>
            <w:r>
              <w:rPr>
                <w:rFonts w:hint="eastAsia" w:ascii="仿宋" w:hAnsi="仿宋" w:eastAsia="仿宋" w:cs="宋体"/>
                <w:color w:val="000000"/>
                <w:kern w:val="0"/>
                <w:sz w:val="18"/>
                <w:szCs w:val="18"/>
              </w:rPr>
              <w:t>12</w:t>
            </w:r>
          </w:p>
        </w:tc>
        <w:tc>
          <w:tcPr>
            <w:tcW w:w="920" w:type="pct"/>
            <w:tcBorders>
              <w:top w:val="nil"/>
              <w:left w:val="nil"/>
              <w:bottom w:val="single" w:color="auto" w:sz="4" w:space="0"/>
              <w:right w:val="single" w:color="auto" w:sz="4" w:space="0"/>
            </w:tcBorders>
            <w:shd w:val="clear" w:color="auto" w:fill="auto"/>
            <w:noWrap/>
            <w:vAlign w:val="center"/>
          </w:tcPr>
          <w:p w14:paraId="3900DACD">
            <w:pPr>
              <w:widowControl/>
              <w:spacing w:line="240" w:lineRule="auto"/>
              <w:ind w:right="84" w:firstLine="0" w:firstLineChars="0"/>
              <w:jc w:val="right"/>
              <w:rPr>
                <w:rFonts w:ascii="仿宋" w:hAnsi="仿宋" w:eastAsia="仿宋" w:cs="Times New Roman"/>
                <w:kern w:val="0"/>
                <w:sz w:val="18"/>
                <w:szCs w:val="18"/>
              </w:rPr>
            </w:pPr>
            <w:r>
              <w:rPr>
                <w:rFonts w:hint="eastAsia" w:ascii="仿宋" w:hAnsi="仿宋" w:eastAsia="仿宋" w:cs="Times New Roman"/>
                <w:kern w:val="0"/>
                <w:sz w:val="18"/>
                <w:szCs w:val="18"/>
              </w:rPr>
              <w:t>248</w:t>
            </w:r>
            <w:r>
              <w:rPr>
                <w:rFonts w:ascii="仿宋" w:hAnsi="仿宋" w:eastAsia="仿宋" w:cs="Times New Roman"/>
                <w:kern w:val="0"/>
                <w:sz w:val="18"/>
                <w:szCs w:val="18"/>
              </w:rPr>
              <w:t xml:space="preserve"> </w:t>
            </w:r>
          </w:p>
        </w:tc>
        <w:tc>
          <w:tcPr>
            <w:tcW w:w="919" w:type="pct"/>
            <w:tcBorders>
              <w:top w:val="nil"/>
              <w:left w:val="nil"/>
              <w:bottom w:val="single" w:color="auto" w:sz="4" w:space="0"/>
              <w:right w:val="single" w:color="auto" w:sz="4" w:space="0"/>
            </w:tcBorders>
            <w:shd w:val="clear" w:color="auto" w:fill="auto"/>
            <w:noWrap/>
            <w:vAlign w:val="center"/>
          </w:tcPr>
          <w:p w14:paraId="70D6CF06">
            <w:pPr>
              <w:widowControl/>
              <w:spacing w:line="240" w:lineRule="auto"/>
              <w:ind w:right="84" w:firstLine="0" w:firstLineChars="0"/>
              <w:jc w:val="right"/>
              <w:rPr>
                <w:rFonts w:ascii="仿宋" w:hAnsi="仿宋" w:eastAsia="仿宋" w:cs="Times New Roman"/>
                <w:b/>
                <w:bCs/>
                <w:kern w:val="0"/>
                <w:sz w:val="18"/>
                <w:szCs w:val="18"/>
              </w:rPr>
            </w:pPr>
            <w:r>
              <w:rPr>
                <w:rFonts w:hint="eastAsia" w:ascii="仿宋" w:hAnsi="仿宋" w:eastAsia="仿宋" w:cs="Times New Roman"/>
                <w:b/>
                <w:bCs/>
                <w:kern w:val="0"/>
                <w:sz w:val="18"/>
                <w:szCs w:val="18"/>
              </w:rPr>
              <w:t>260</w:t>
            </w:r>
            <w:r>
              <w:rPr>
                <w:rFonts w:ascii="仿宋" w:hAnsi="仿宋" w:eastAsia="仿宋" w:cs="Times New Roman"/>
                <w:b/>
                <w:bCs/>
                <w:kern w:val="0"/>
                <w:sz w:val="18"/>
                <w:szCs w:val="18"/>
              </w:rPr>
              <w:t xml:space="preserve"> </w:t>
            </w:r>
          </w:p>
        </w:tc>
      </w:tr>
      <w:tr w14:paraId="16EE8A1F">
        <w:tblPrEx>
          <w:tblCellMar>
            <w:top w:w="0" w:type="dxa"/>
            <w:left w:w="108" w:type="dxa"/>
            <w:bottom w:w="0" w:type="dxa"/>
            <w:right w:w="108" w:type="dxa"/>
          </w:tblCellMar>
        </w:tblPrEx>
        <w:trPr>
          <w:trHeight w:val="276" w:hRule="atLeast"/>
          <w:jc w:val="center"/>
        </w:trPr>
        <w:tc>
          <w:tcPr>
            <w:tcW w:w="735" w:type="pct"/>
            <w:tcBorders>
              <w:top w:val="nil"/>
              <w:left w:val="single" w:color="auto" w:sz="4" w:space="0"/>
              <w:bottom w:val="single" w:color="auto" w:sz="4" w:space="0"/>
              <w:right w:val="single" w:color="auto" w:sz="4" w:space="0"/>
            </w:tcBorders>
            <w:shd w:val="clear" w:color="auto" w:fill="auto"/>
            <w:noWrap/>
            <w:vAlign w:val="center"/>
          </w:tcPr>
          <w:p w14:paraId="1E68E621">
            <w:pPr>
              <w:widowControl/>
              <w:spacing w:line="240" w:lineRule="auto"/>
              <w:ind w:right="84" w:firstLine="0" w:firstLineChars="0"/>
              <w:jc w:val="center"/>
              <w:rPr>
                <w:rFonts w:ascii="仿宋" w:hAnsi="仿宋" w:eastAsia="仿宋" w:cs="宋体"/>
                <w:color w:val="000000"/>
                <w:kern w:val="0"/>
                <w:sz w:val="20"/>
                <w:szCs w:val="20"/>
              </w:rPr>
            </w:pPr>
          </w:p>
        </w:tc>
        <w:tc>
          <w:tcPr>
            <w:tcW w:w="1597" w:type="pct"/>
            <w:tcBorders>
              <w:top w:val="nil"/>
              <w:left w:val="nil"/>
              <w:bottom w:val="single" w:color="auto" w:sz="4" w:space="0"/>
              <w:right w:val="single" w:color="auto" w:sz="4" w:space="0"/>
            </w:tcBorders>
            <w:shd w:val="clear" w:color="auto" w:fill="auto"/>
            <w:noWrap/>
            <w:vAlign w:val="center"/>
          </w:tcPr>
          <w:p w14:paraId="39513E1B">
            <w:pPr>
              <w:widowControl/>
              <w:spacing w:line="240" w:lineRule="auto"/>
              <w:ind w:right="84" w:firstLine="0" w:firstLineChars="0"/>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合计</w:t>
            </w:r>
          </w:p>
        </w:tc>
        <w:tc>
          <w:tcPr>
            <w:tcW w:w="829" w:type="pct"/>
            <w:tcBorders>
              <w:top w:val="nil"/>
              <w:left w:val="nil"/>
              <w:bottom w:val="single" w:color="auto" w:sz="4" w:space="0"/>
              <w:right w:val="single" w:color="auto" w:sz="4" w:space="0"/>
            </w:tcBorders>
            <w:shd w:val="clear" w:color="auto" w:fill="auto"/>
            <w:noWrap/>
            <w:vAlign w:val="center"/>
          </w:tcPr>
          <w:p w14:paraId="7CC85B89">
            <w:pPr>
              <w:widowControl/>
              <w:spacing w:line="240" w:lineRule="auto"/>
              <w:ind w:right="84" w:firstLine="0" w:firstLineChars="0"/>
              <w:jc w:val="right"/>
              <w:rPr>
                <w:rFonts w:ascii="仿宋" w:hAnsi="仿宋" w:eastAsia="仿宋" w:cs="宋体"/>
                <w:b/>
                <w:bCs/>
                <w:color w:val="000000"/>
                <w:kern w:val="0"/>
                <w:sz w:val="18"/>
                <w:szCs w:val="18"/>
              </w:rPr>
            </w:pPr>
            <w:r>
              <w:rPr>
                <w:rFonts w:ascii="仿宋" w:hAnsi="仿宋" w:eastAsia="仿宋" w:cs="宋体"/>
                <w:b/>
                <w:bCs/>
                <w:color w:val="000000"/>
                <w:kern w:val="0"/>
                <w:sz w:val="18"/>
                <w:szCs w:val="18"/>
              </w:rPr>
              <w:t>1</w:t>
            </w:r>
            <w:r>
              <w:rPr>
                <w:rFonts w:hint="eastAsia" w:ascii="仿宋" w:hAnsi="仿宋" w:eastAsia="仿宋" w:cs="宋体"/>
                <w:b/>
                <w:bCs/>
                <w:color w:val="000000"/>
                <w:kern w:val="0"/>
                <w:sz w:val="18"/>
                <w:szCs w:val="18"/>
              </w:rPr>
              <w:t>0</w:t>
            </w:r>
            <w:r>
              <w:rPr>
                <w:rFonts w:ascii="仿宋" w:hAnsi="仿宋" w:eastAsia="仿宋" w:cs="宋体"/>
                <w:b/>
                <w:bCs/>
                <w:color w:val="000000"/>
                <w:kern w:val="0"/>
                <w:sz w:val="18"/>
                <w:szCs w:val="18"/>
              </w:rPr>
              <w:t>,0</w:t>
            </w:r>
            <w:r>
              <w:rPr>
                <w:rFonts w:hint="eastAsia" w:ascii="仿宋" w:hAnsi="仿宋" w:eastAsia="仿宋" w:cs="宋体"/>
                <w:b/>
                <w:bCs/>
                <w:color w:val="000000"/>
                <w:kern w:val="0"/>
                <w:sz w:val="18"/>
                <w:szCs w:val="18"/>
              </w:rPr>
              <w:t>22</w:t>
            </w:r>
          </w:p>
        </w:tc>
        <w:tc>
          <w:tcPr>
            <w:tcW w:w="920" w:type="pct"/>
            <w:tcBorders>
              <w:top w:val="nil"/>
              <w:left w:val="nil"/>
              <w:bottom w:val="single" w:color="auto" w:sz="4" w:space="0"/>
              <w:right w:val="single" w:color="auto" w:sz="4" w:space="0"/>
            </w:tcBorders>
            <w:shd w:val="clear" w:color="auto" w:fill="auto"/>
            <w:noWrap/>
            <w:vAlign w:val="center"/>
          </w:tcPr>
          <w:p w14:paraId="2D6C8CC8">
            <w:pPr>
              <w:widowControl/>
              <w:spacing w:line="240" w:lineRule="auto"/>
              <w:ind w:right="84" w:firstLine="0" w:firstLineChars="0"/>
              <w:jc w:val="right"/>
              <w:rPr>
                <w:rFonts w:ascii="仿宋" w:hAnsi="仿宋" w:eastAsia="仿宋" w:cs="Times New Roman"/>
                <w:b/>
                <w:bCs/>
                <w:kern w:val="0"/>
                <w:sz w:val="18"/>
                <w:szCs w:val="18"/>
              </w:rPr>
            </w:pPr>
            <w:r>
              <w:rPr>
                <w:rFonts w:hint="eastAsia" w:ascii="仿宋" w:hAnsi="仿宋" w:eastAsia="仿宋" w:cs="Times New Roman"/>
                <w:b/>
                <w:bCs/>
                <w:kern w:val="0"/>
                <w:sz w:val="18"/>
                <w:szCs w:val="18"/>
              </w:rPr>
              <w:t>29,418</w:t>
            </w:r>
            <w:r>
              <w:rPr>
                <w:rFonts w:ascii="仿宋" w:hAnsi="仿宋" w:eastAsia="仿宋" w:cs="Times New Roman"/>
                <w:b/>
                <w:bCs/>
                <w:kern w:val="0"/>
                <w:sz w:val="18"/>
                <w:szCs w:val="18"/>
              </w:rPr>
              <w:t xml:space="preserve"> </w:t>
            </w:r>
          </w:p>
        </w:tc>
        <w:tc>
          <w:tcPr>
            <w:tcW w:w="919" w:type="pct"/>
            <w:tcBorders>
              <w:top w:val="nil"/>
              <w:left w:val="nil"/>
              <w:bottom w:val="single" w:color="auto" w:sz="4" w:space="0"/>
              <w:right w:val="single" w:color="auto" w:sz="4" w:space="0"/>
            </w:tcBorders>
            <w:shd w:val="clear" w:color="auto" w:fill="auto"/>
            <w:noWrap/>
            <w:vAlign w:val="center"/>
          </w:tcPr>
          <w:p w14:paraId="3861B1CB">
            <w:pPr>
              <w:widowControl/>
              <w:spacing w:line="240" w:lineRule="auto"/>
              <w:ind w:right="84" w:firstLine="0" w:firstLineChars="0"/>
              <w:jc w:val="right"/>
              <w:rPr>
                <w:rFonts w:ascii="仿宋" w:hAnsi="仿宋" w:eastAsia="仿宋" w:cs="Times New Roman"/>
                <w:b/>
                <w:bCs/>
                <w:kern w:val="0"/>
                <w:sz w:val="18"/>
                <w:szCs w:val="18"/>
              </w:rPr>
            </w:pPr>
            <w:r>
              <w:rPr>
                <w:rFonts w:ascii="仿宋" w:hAnsi="仿宋" w:eastAsia="仿宋" w:cs="Times New Roman"/>
                <w:b/>
                <w:bCs/>
                <w:kern w:val="0"/>
                <w:sz w:val="18"/>
                <w:szCs w:val="18"/>
              </w:rPr>
              <w:t>3</w:t>
            </w:r>
            <w:r>
              <w:rPr>
                <w:rFonts w:hint="eastAsia" w:ascii="仿宋" w:hAnsi="仿宋" w:eastAsia="仿宋" w:cs="Times New Roman"/>
                <w:b/>
                <w:bCs/>
                <w:kern w:val="0"/>
                <w:sz w:val="18"/>
                <w:szCs w:val="18"/>
              </w:rPr>
              <w:t>9</w:t>
            </w:r>
            <w:r>
              <w:rPr>
                <w:rFonts w:ascii="仿宋" w:hAnsi="仿宋" w:eastAsia="仿宋" w:cs="Times New Roman"/>
                <w:b/>
                <w:bCs/>
                <w:kern w:val="0"/>
                <w:sz w:val="18"/>
                <w:szCs w:val="18"/>
              </w:rPr>
              <w:t>,</w:t>
            </w:r>
            <w:r>
              <w:rPr>
                <w:rFonts w:hint="eastAsia" w:ascii="仿宋" w:hAnsi="仿宋" w:eastAsia="仿宋" w:cs="Times New Roman"/>
                <w:b/>
                <w:bCs/>
                <w:kern w:val="0"/>
                <w:sz w:val="18"/>
                <w:szCs w:val="18"/>
              </w:rPr>
              <w:t>44</w:t>
            </w:r>
            <w:r>
              <w:rPr>
                <w:rFonts w:ascii="仿宋" w:hAnsi="仿宋" w:eastAsia="仿宋" w:cs="Times New Roman"/>
                <w:b/>
                <w:bCs/>
                <w:kern w:val="0"/>
                <w:sz w:val="18"/>
                <w:szCs w:val="18"/>
              </w:rPr>
              <w:t xml:space="preserve">0 </w:t>
            </w:r>
          </w:p>
        </w:tc>
      </w:tr>
    </w:tbl>
    <w:p w14:paraId="67B11DA4">
      <w:pPr>
        <w:widowControl/>
        <w:spacing w:before="120"/>
        <w:ind w:right="84" w:firstLine="562"/>
        <w:outlineLvl w:val="2"/>
        <w:rPr>
          <w:rFonts w:ascii="仿宋" w:hAnsi="仿宋" w:eastAsia="仿宋"/>
          <w:b/>
          <w:color w:val="000000" w:themeColor="text1"/>
          <w:kern w:val="0"/>
          <w:sz w:val="28"/>
          <w:szCs w:val="28"/>
          <w14:textFill>
            <w14:solidFill>
              <w14:schemeClr w14:val="tx1"/>
            </w14:solidFill>
          </w14:textFill>
        </w:rPr>
      </w:pPr>
      <w:bookmarkStart w:id="36" w:name="_Toc200657899"/>
      <w:bookmarkStart w:id="37" w:name="_Toc200711871"/>
      <w:r>
        <w:rPr>
          <w:rFonts w:hint="eastAsia" w:ascii="仿宋" w:hAnsi="仿宋" w:eastAsia="仿宋"/>
          <w:b/>
          <w:color w:val="000000" w:themeColor="text1"/>
          <w:kern w:val="0"/>
          <w:sz w:val="28"/>
          <w:szCs w:val="28"/>
          <w14:textFill>
            <w14:solidFill>
              <w14:schemeClr w14:val="tx1"/>
            </w14:solidFill>
          </w14:textFill>
        </w:rPr>
        <w:t>2．债券发行和还本付息</w:t>
      </w:r>
      <w:bookmarkEnd w:id="36"/>
      <w:bookmarkEnd w:id="37"/>
    </w:p>
    <w:p w14:paraId="634AD837">
      <w:pPr>
        <w:spacing w:before="120" w:after="120"/>
        <w:ind w:right="84" w:firstLine="560"/>
        <w:rPr>
          <w:rFonts w:ascii="仿宋" w:hAnsi="仿宋" w:eastAsia="仿宋"/>
          <w:color w:val="000000"/>
          <w:sz w:val="28"/>
          <w:szCs w:val="28"/>
        </w:rPr>
      </w:pPr>
      <w:r>
        <w:rPr>
          <w:rFonts w:hint="eastAsia" w:ascii="仿宋" w:hAnsi="仿宋" w:eastAsia="仿宋"/>
          <w:color w:val="000000"/>
          <w:sz w:val="28"/>
          <w:szCs w:val="28"/>
        </w:rPr>
        <w:t>本次债券发行所涉及的项目的还本付息方式为利息按半年支付，最后一次利息随本金一起支付。海口江东新区总部集聚区基础设施建设项目债券本息</w:t>
      </w:r>
      <w:r>
        <w:rPr>
          <w:rFonts w:hint="eastAsia" w:ascii="仿宋" w:hAnsi="仿宋" w:eastAsia="仿宋"/>
          <w:sz w:val="28"/>
          <w:szCs w:val="28"/>
          <w:shd w:val="clear" w:color="auto" w:fill="FFFFFF" w:themeFill="background1"/>
        </w:rPr>
        <w:t>合计14,654万元</w:t>
      </w:r>
      <w:r>
        <w:rPr>
          <w:rFonts w:hint="eastAsia" w:ascii="仿宋" w:hAnsi="仿宋" w:eastAsia="仿宋"/>
          <w:color w:val="000000"/>
          <w:sz w:val="28"/>
          <w:szCs w:val="28"/>
        </w:rPr>
        <w:t>。自发行之日起债券存续期还本付息情况如表4</w:t>
      </w:r>
      <w:r>
        <w:rPr>
          <w:rFonts w:ascii="仿宋" w:hAnsi="仿宋" w:eastAsia="仿宋"/>
          <w:color w:val="000000"/>
          <w:sz w:val="28"/>
          <w:szCs w:val="28"/>
        </w:rPr>
        <w:t>：</w:t>
      </w:r>
    </w:p>
    <w:p w14:paraId="65A30C65">
      <w:pPr>
        <w:spacing w:line="240" w:lineRule="auto"/>
        <w:ind w:right="84" w:firstLine="482"/>
        <w:jc w:val="center"/>
        <w:rPr>
          <w:rFonts w:ascii="仿宋" w:hAnsi="仿宋" w:eastAsia="仿宋" w:cs="楷体"/>
          <w:b/>
          <w:bCs/>
          <w:kern w:val="0"/>
          <w:szCs w:val="24"/>
        </w:rPr>
      </w:pPr>
      <w:r>
        <w:rPr>
          <w:rFonts w:ascii="仿宋" w:hAnsi="仿宋" w:eastAsia="仿宋" w:cs="楷体"/>
          <w:b/>
          <w:bCs/>
          <w:kern w:val="0"/>
          <w:szCs w:val="24"/>
        </w:rPr>
        <w:t xml:space="preserve">表4 </w:t>
      </w:r>
      <w:r>
        <w:rPr>
          <w:rFonts w:hint="eastAsia" w:ascii="仿宋" w:hAnsi="仿宋" w:eastAsia="仿宋" w:cs="楷体"/>
          <w:b/>
          <w:bCs/>
          <w:kern w:val="0"/>
          <w:szCs w:val="24"/>
        </w:rPr>
        <w:t>海口江东新区总部集聚区基础设施建设项目</w:t>
      </w:r>
      <w:r>
        <w:rPr>
          <w:rFonts w:ascii="仿宋" w:hAnsi="仿宋" w:eastAsia="仿宋" w:cs="楷体"/>
          <w:b/>
          <w:bCs/>
          <w:kern w:val="0"/>
          <w:szCs w:val="24"/>
        </w:rPr>
        <w:t>债券还本付息表</w:t>
      </w:r>
    </w:p>
    <w:p w14:paraId="63DB8E71">
      <w:pPr>
        <w:spacing w:line="259" w:lineRule="auto"/>
        <w:ind w:right="-36" w:rightChars="-15" w:firstLine="400"/>
        <w:jc w:val="right"/>
        <w:rPr>
          <w:rFonts w:ascii="仿宋" w:hAnsi="仿宋" w:eastAsia="仿宋"/>
          <w:sz w:val="20"/>
          <w:szCs w:val="20"/>
        </w:rPr>
      </w:pPr>
      <w:r>
        <w:rPr>
          <w:rFonts w:hint="eastAsia" w:ascii="仿宋" w:hAnsi="仿宋" w:eastAsia="仿宋"/>
          <w:sz w:val="20"/>
          <w:szCs w:val="20"/>
        </w:rPr>
        <w:t>单位：人民币万元</w:t>
      </w:r>
    </w:p>
    <w:tbl>
      <w:tblPr>
        <w:tblStyle w:val="21"/>
        <w:tblW w:w="9633" w:type="dxa"/>
        <w:jc w:val="center"/>
        <w:tblLayout w:type="autofit"/>
        <w:tblCellMar>
          <w:top w:w="0" w:type="dxa"/>
          <w:left w:w="108" w:type="dxa"/>
          <w:bottom w:w="0" w:type="dxa"/>
          <w:right w:w="108" w:type="dxa"/>
        </w:tblCellMar>
      </w:tblPr>
      <w:tblGrid>
        <w:gridCol w:w="1619"/>
        <w:gridCol w:w="1226"/>
        <w:gridCol w:w="1133"/>
        <w:gridCol w:w="1131"/>
        <w:gridCol w:w="1131"/>
        <w:gridCol w:w="1131"/>
        <w:gridCol w:w="1131"/>
        <w:gridCol w:w="1131"/>
      </w:tblGrid>
      <w:tr w14:paraId="769931FE">
        <w:tblPrEx>
          <w:tblCellMar>
            <w:top w:w="0" w:type="dxa"/>
            <w:left w:w="108" w:type="dxa"/>
            <w:bottom w:w="0" w:type="dxa"/>
            <w:right w:w="108" w:type="dxa"/>
          </w:tblCellMar>
        </w:tblPrEx>
        <w:trPr>
          <w:trHeight w:val="270" w:hRule="atLeast"/>
          <w:jc w:val="center"/>
        </w:trPr>
        <w:tc>
          <w:tcPr>
            <w:tcW w:w="840" w:type="pct"/>
            <w:tcBorders>
              <w:top w:val="single" w:color="auto" w:sz="4" w:space="0"/>
              <w:left w:val="single" w:color="auto" w:sz="4" w:space="0"/>
              <w:bottom w:val="single" w:color="auto" w:sz="4" w:space="0"/>
              <w:right w:val="single" w:color="auto" w:sz="4" w:space="0"/>
            </w:tcBorders>
            <w:shd w:val="clear" w:color="auto" w:fill="auto"/>
            <w:vAlign w:val="center"/>
          </w:tcPr>
          <w:p w14:paraId="2D16E691">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项目/年度</w:t>
            </w:r>
          </w:p>
        </w:tc>
        <w:tc>
          <w:tcPr>
            <w:tcW w:w="636" w:type="pct"/>
            <w:tcBorders>
              <w:top w:val="single" w:color="auto" w:sz="4" w:space="0"/>
              <w:left w:val="nil"/>
              <w:bottom w:val="single" w:color="auto" w:sz="4" w:space="0"/>
              <w:right w:val="single" w:color="auto" w:sz="4" w:space="0"/>
            </w:tcBorders>
            <w:shd w:val="clear" w:color="000000" w:fill="FFFFFF"/>
            <w:noWrap/>
            <w:vAlign w:val="center"/>
          </w:tcPr>
          <w:p w14:paraId="6298249C">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2024年</w:t>
            </w:r>
          </w:p>
        </w:tc>
        <w:tc>
          <w:tcPr>
            <w:tcW w:w="588" w:type="pct"/>
            <w:tcBorders>
              <w:top w:val="single" w:color="auto" w:sz="4" w:space="0"/>
              <w:left w:val="nil"/>
              <w:bottom w:val="single" w:color="auto" w:sz="4" w:space="0"/>
              <w:right w:val="single" w:color="auto" w:sz="4" w:space="0"/>
            </w:tcBorders>
            <w:shd w:val="clear" w:color="000000" w:fill="FFFFFF"/>
            <w:noWrap/>
            <w:vAlign w:val="center"/>
          </w:tcPr>
          <w:p w14:paraId="01C17002">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2025年</w:t>
            </w:r>
          </w:p>
        </w:tc>
        <w:tc>
          <w:tcPr>
            <w:tcW w:w="587" w:type="pct"/>
            <w:tcBorders>
              <w:top w:val="single" w:color="auto" w:sz="4" w:space="0"/>
              <w:left w:val="nil"/>
              <w:bottom w:val="single" w:color="auto" w:sz="4" w:space="0"/>
              <w:right w:val="single" w:color="auto" w:sz="4" w:space="0"/>
            </w:tcBorders>
            <w:shd w:val="clear" w:color="000000" w:fill="FFFFFF"/>
            <w:noWrap/>
            <w:vAlign w:val="center"/>
          </w:tcPr>
          <w:p w14:paraId="74F2AF73">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2026年</w:t>
            </w:r>
          </w:p>
        </w:tc>
        <w:tc>
          <w:tcPr>
            <w:tcW w:w="587" w:type="pct"/>
            <w:tcBorders>
              <w:top w:val="single" w:color="auto" w:sz="4" w:space="0"/>
              <w:left w:val="nil"/>
              <w:bottom w:val="single" w:color="auto" w:sz="4" w:space="0"/>
              <w:right w:val="single" w:color="auto" w:sz="4" w:space="0"/>
            </w:tcBorders>
            <w:shd w:val="clear" w:color="000000" w:fill="FFFFFF"/>
            <w:noWrap/>
            <w:vAlign w:val="center"/>
          </w:tcPr>
          <w:p w14:paraId="1D41CDDC">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2027年</w:t>
            </w:r>
          </w:p>
        </w:tc>
        <w:tc>
          <w:tcPr>
            <w:tcW w:w="587" w:type="pct"/>
            <w:tcBorders>
              <w:top w:val="single" w:color="auto" w:sz="4" w:space="0"/>
              <w:left w:val="nil"/>
              <w:bottom w:val="single" w:color="auto" w:sz="4" w:space="0"/>
              <w:right w:val="single" w:color="auto" w:sz="4" w:space="0"/>
            </w:tcBorders>
            <w:shd w:val="clear" w:color="000000" w:fill="FFFFFF"/>
            <w:noWrap/>
            <w:vAlign w:val="center"/>
          </w:tcPr>
          <w:p w14:paraId="00833DE1">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2028年</w:t>
            </w:r>
          </w:p>
        </w:tc>
        <w:tc>
          <w:tcPr>
            <w:tcW w:w="587" w:type="pct"/>
            <w:tcBorders>
              <w:top w:val="single" w:color="auto" w:sz="4" w:space="0"/>
              <w:left w:val="nil"/>
              <w:bottom w:val="single" w:color="auto" w:sz="4" w:space="0"/>
              <w:right w:val="single" w:color="auto" w:sz="4" w:space="0"/>
            </w:tcBorders>
            <w:shd w:val="clear" w:color="000000" w:fill="FFFFFF"/>
            <w:noWrap/>
            <w:vAlign w:val="center"/>
          </w:tcPr>
          <w:p w14:paraId="45E982C1">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2029年</w:t>
            </w:r>
          </w:p>
        </w:tc>
        <w:tc>
          <w:tcPr>
            <w:tcW w:w="587" w:type="pct"/>
            <w:tcBorders>
              <w:top w:val="single" w:color="auto" w:sz="4" w:space="0"/>
              <w:left w:val="nil"/>
              <w:bottom w:val="single" w:color="auto" w:sz="4" w:space="0"/>
              <w:right w:val="single" w:color="auto" w:sz="4" w:space="0"/>
            </w:tcBorders>
            <w:shd w:val="clear" w:color="000000" w:fill="FFFFFF"/>
            <w:noWrap/>
            <w:vAlign w:val="center"/>
          </w:tcPr>
          <w:p w14:paraId="2A4A11CA">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2030年</w:t>
            </w:r>
          </w:p>
        </w:tc>
      </w:tr>
      <w:tr w14:paraId="33009645">
        <w:tblPrEx>
          <w:tblCellMar>
            <w:top w:w="0" w:type="dxa"/>
            <w:left w:w="108" w:type="dxa"/>
            <w:bottom w:w="0" w:type="dxa"/>
            <w:right w:w="108" w:type="dxa"/>
          </w:tblCellMar>
        </w:tblPrEx>
        <w:trPr>
          <w:trHeight w:val="273"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6E1FE5A4">
            <w:pPr>
              <w:widowControl/>
              <w:spacing w:line="240" w:lineRule="auto"/>
              <w:ind w:firstLine="0" w:firstLineChars="0"/>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债券期初余额</w:t>
            </w:r>
          </w:p>
        </w:tc>
        <w:tc>
          <w:tcPr>
            <w:tcW w:w="636" w:type="pct"/>
            <w:tcBorders>
              <w:top w:val="nil"/>
              <w:left w:val="nil"/>
              <w:bottom w:val="single" w:color="auto" w:sz="4" w:space="0"/>
              <w:right w:val="single" w:color="auto" w:sz="4" w:space="0"/>
            </w:tcBorders>
            <w:shd w:val="clear" w:color="000000" w:fill="FFFFFF"/>
            <w:noWrap/>
            <w:vAlign w:val="center"/>
          </w:tcPr>
          <w:p w14:paraId="58B9B4E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8" w:type="pct"/>
            <w:tcBorders>
              <w:top w:val="nil"/>
              <w:left w:val="nil"/>
              <w:bottom w:val="single" w:color="auto" w:sz="4" w:space="0"/>
              <w:right w:val="single" w:color="auto" w:sz="4" w:space="0"/>
            </w:tcBorders>
            <w:shd w:val="clear" w:color="000000" w:fill="FFFFFF"/>
            <w:noWrap/>
            <w:vAlign w:val="center"/>
          </w:tcPr>
          <w:p w14:paraId="675D99D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10,000</w:t>
            </w:r>
          </w:p>
        </w:tc>
        <w:tc>
          <w:tcPr>
            <w:tcW w:w="587" w:type="pct"/>
            <w:tcBorders>
              <w:top w:val="nil"/>
              <w:left w:val="nil"/>
              <w:bottom w:val="single" w:color="auto" w:sz="4" w:space="0"/>
              <w:right w:val="single" w:color="auto" w:sz="4" w:space="0"/>
            </w:tcBorders>
            <w:shd w:val="clear" w:color="000000" w:fill="FFFFFF"/>
            <w:noWrap/>
            <w:vAlign w:val="center"/>
          </w:tcPr>
          <w:p w14:paraId="0CE2E4F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7776526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114463F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07BB715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3CF8E1F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r>
      <w:tr w14:paraId="00B6B265">
        <w:tblPrEx>
          <w:tblCellMar>
            <w:top w:w="0" w:type="dxa"/>
            <w:left w:w="108" w:type="dxa"/>
            <w:bottom w:w="0" w:type="dxa"/>
            <w:right w:w="108" w:type="dxa"/>
          </w:tblCellMar>
        </w:tblPrEx>
        <w:trPr>
          <w:trHeight w:val="264"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3891A5FD">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本期发行</w:t>
            </w:r>
          </w:p>
        </w:tc>
        <w:tc>
          <w:tcPr>
            <w:tcW w:w="636" w:type="pct"/>
            <w:tcBorders>
              <w:top w:val="nil"/>
              <w:left w:val="nil"/>
              <w:bottom w:val="single" w:color="auto" w:sz="4" w:space="0"/>
              <w:right w:val="single" w:color="auto" w:sz="4" w:space="0"/>
            </w:tcBorders>
            <w:shd w:val="clear" w:color="000000" w:fill="FFFFFF"/>
            <w:noWrap/>
            <w:vAlign w:val="center"/>
          </w:tcPr>
          <w:p w14:paraId="4699BB5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10,000</w:t>
            </w:r>
          </w:p>
        </w:tc>
        <w:tc>
          <w:tcPr>
            <w:tcW w:w="588" w:type="pct"/>
            <w:tcBorders>
              <w:top w:val="nil"/>
              <w:left w:val="nil"/>
              <w:bottom w:val="single" w:color="auto" w:sz="4" w:space="0"/>
              <w:right w:val="single" w:color="auto" w:sz="4" w:space="0"/>
            </w:tcBorders>
            <w:shd w:val="clear" w:color="000000" w:fill="FFFFFF"/>
            <w:noWrap/>
            <w:vAlign w:val="center"/>
          </w:tcPr>
          <w:p w14:paraId="12B4F00B">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2,000</w:t>
            </w:r>
          </w:p>
        </w:tc>
        <w:tc>
          <w:tcPr>
            <w:tcW w:w="587" w:type="pct"/>
            <w:tcBorders>
              <w:top w:val="nil"/>
              <w:left w:val="nil"/>
              <w:bottom w:val="single" w:color="auto" w:sz="4" w:space="0"/>
              <w:right w:val="single" w:color="auto" w:sz="4" w:space="0"/>
            </w:tcBorders>
            <w:shd w:val="clear" w:color="000000" w:fill="FFFFFF"/>
            <w:noWrap/>
            <w:vAlign w:val="center"/>
          </w:tcPr>
          <w:p w14:paraId="42699E0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68DF553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5AD427EB">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180C4A86">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2A93BC97">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r>
      <w:tr w14:paraId="534B438B">
        <w:tblPrEx>
          <w:tblCellMar>
            <w:top w:w="0" w:type="dxa"/>
            <w:left w:w="108" w:type="dxa"/>
            <w:bottom w:w="0" w:type="dxa"/>
            <w:right w:w="108" w:type="dxa"/>
          </w:tblCellMar>
        </w:tblPrEx>
        <w:trPr>
          <w:trHeight w:val="281"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7BE66F61">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利息支出</w:t>
            </w:r>
          </w:p>
        </w:tc>
        <w:tc>
          <w:tcPr>
            <w:tcW w:w="636" w:type="pct"/>
            <w:tcBorders>
              <w:top w:val="nil"/>
              <w:left w:val="nil"/>
              <w:bottom w:val="single" w:color="auto" w:sz="4" w:space="0"/>
              <w:right w:val="single" w:color="auto" w:sz="4" w:space="0"/>
            </w:tcBorders>
            <w:shd w:val="clear" w:color="000000" w:fill="FFFFFF"/>
            <w:noWrap/>
            <w:vAlign w:val="center"/>
          </w:tcPr>
          <w:p w14:paraId="524BE04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w:t>
            </w:r>
          </w:p>
        </w:tc>
        <w:tc>
          <w:tcPr>
            <w:tcW w:w="588" w:type="pct"/>
            <w:tcBorders>
              <w:top w:val="nil"/>
              <w:left w:val="nil"/>
              <w:bottom w:val="single" w:color="auto" w:sz="4" w:space="0"/>
              <w:right w:val="single" w:color="auto" w:sz="4" w:space="0"/>
            </w:tcBorders>
            <w:shd w:val="clear" w:color="000000" w:fill="FFFFFF"/>
            <w:noWrap/>
            <w:vAlign w:val="center"/>
          </w:tcPr>
          <w:p w14:paraId="43E751AB">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248</w:t>
            </w:r>
          </w:p>
        </w:tc>
        <w:tc>
          <w:tcPr>
            <w:tcW w:w="587" w:type="pct"/>
            <w:tcBorders>
              <w:top w:val="nil"/>
              <w:left w:val="nil"/>
              <w:bottom w:val="single" w:color="auto" w:sz="4" w:space="0"/>
              <w:right w:val="single" w:color="auto" w:sz="4" w:space="0"/>
            </w:tcBorders>
            <w:shd w:val="clear" w:color="000000" w:fill="FFFFFF"/>
            <w:noWrap/>
            <w:vAlign w:val="center"/>
          </w:tcPr>
          <w:p w14:paraId="1C34D31B">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31937F5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0287E50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3268E8AC">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7DB2E6C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r>
      <w:tr w14:paraId="4D3346B3">
        <w:tblPrEx>
          <w:tblCellMar>
            <w:top w:w="0" w:type="dxa"/>
            <w:left w:w="108" w:type="dxa"/>
            <w:bottom w:w="0" w:type="dxa"/>
            <w:right w:w="108" w:type="dxa"/>
          </w:tblCellMar>
        </w:tblPrEx>
        <w:trPr>
          <w:trHeight w:val="272"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096B05A3">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本期还款</w:t>
            </w:r>
          </w:p>
        </w:tc>
        <w:tc>
          <w:tcPr>
            <w:tcW w:w="636" w:type="pct"/>
            <w:tcBorders>
              <w:top w:val="nil"/>
              <w:left w:val="nil"/>
              <w:bottom w:val="single" w:color="auto" w:sz="4" w:space="0"/>
              <w:right w:val="single" w:color="auto" w:sz="4" w:space="0"/>
            </w:tcBorders>
            <w:shd w:val="clear" w:color="000000" w:fill="FFFFFF"/>
            <w:noWrap/>
            <w:vAlign w:val="center"/>
          </w:tcPr>
          <w:p w14:paraId="69C4056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w:t>
            </w:r>
          </w:p>
        </w:tc>
        <w:tc>
          <w:tcPr>
            <w:tcW w:w="588" w:type="pct"/>
            <w:tcBorders>
              <w:top w:val="nil"/>
              <w:left w:val="nil"/>
              <w:bottom w:val="single" w:color="auto" w:sz="4" w:space="0"/>
              <w:right w:val="single" w:color="auto" w:sz="4" w:space="0"/>
            </w:tcBorders>
            <w:shd w:val="clear" w:color="000000" w:fill="FFFFFF"/>
            <w:noWrap/>
            <w:vAlign w:val="center"/>
          </w:tcPr>
          <w:p w14:paraId="200FE2F6">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248</w:t>
            </w:r>
          </w:p>
        </w:tc>
        <w:tc>
          <w:tcPr>
            <w:tcW w:w="587" w:type="pct"/>
            <w:tcBorders>
              <w:top w:val="nil"/>
              <w:left w:val="nil"/>
              <w:bottom w:val="single" w:color="auto" w:sz="4" w:space="0"/>
              <w:right w:val="single" w:color="auto" w:sz="4" w:space="0"/>
            </w:tcBorders>
            <w:shd w:val="clear" w:color="000000" w:fill="FFFFFF"/>
            <w:noWrap/>
            <w:vAlign w:val="center"/>
          </w:tcPr>
          <w:p w14:paraId="1C82C71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601CA162">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4568193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459D6E4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439BDB27">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r>
      <w:tr w14:paraId="7294F6C8">
        <w:tblPrEx>
          <w:tblCellMar>
            <w:top w:w="0" w:type="dxa"/>
            <w:left w:w="108" w:type="dxa"/>
            <w:bottom w:w="0" w:type="dxa"/>
            <w:right w:w="108" w:type="dxa"/>
          </w:tblCellMar>
        </w:tblPrEx>
        <w:trPr>
          <w:trHeight w:val="261"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432C3192">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其中：本金偿还</w:t>
            </w:r>
          </w:p>
        </w:tc>
        <w:tc>
          <w:tcPr>
            <w:tcW w:w="636" w:type="pct"/>
            <w:tcBorders>
              <w:top w:val="nil"/>
              <w:left w:val="nil"/>
              <w:bottom w:val="single" w:color="auto" w:sz="4" w:space="0"/>
              <w:right w:val="single" w:color="auto" w:sz="4" w:space="0"/>
            </w:tcBorders>
            <w:shd w:val="clear" w:color="000000" w:fill="FFFFFF"/>
            <w:noWrap/>
            <w:vAlign w:val="center"/>
          </w:tcPr>
          <w:p w14:paraId="1176812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8" w:type="pct"/>
            <w:tcBorders>
              <w:top w:val="nil"/>
              <w:left w:val="nil"/>
              <w:bottom w:val="single" w:color="auto" w:sz="4" w:space="0"/>
              <w:right w:val="single" w:color="auto" w:sz="4" w:space="0"/>
            </w:tcBorders>
            <w:shd w:val="clear" w:color="000000" w:fill="FFFFFF"/>
            <w:noWrap/>
            <w:vAlign w:val="center"/>
          </w:tcPr>
          <w:p w14:paraId="0A44E00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0F541F6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294478B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42D90D2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1BDB76BA">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587" w:type="pct"/>
            <w:tcBorders>
              <w:top w:val="nil"/>
              <w:left w:val="nil"/>
              <w:bottom w:val="single" w:color="auto" w:sz="4" w:space="0"/>
              <w:right w:val="single" w:color="auto" w:sz="4" w:space="0"/>
            </w:tcBorders>
            <w:shd w:val="clear" w:color="000000" w:fill="FFFFFF"/>
            <w:noWrap/>
            <w:vAlign w:val="center"/>
          </w:tcPr>
          <w:p w14:paraId="4D668F5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r>
      <w:tr w14:paraId="37A0A876">
        <w:tblPrEx>
          <w:tblCellMar>
            <w:top w:w="0" w:type="dxa"/>
            <w:left w:w="108" w:type="dxa"/>
            <w:bottom w:w="0" w:type="dxa"/>
            <w:right w:w="108" w:type="dxa"/>
          </w:tblCellMar>
        </w:tblPrEx>
        <w:trPr>
          <w:trHeight w:val="293"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57CC471F">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其中：付息</w:t>
            </w:r>
          </w:p>
        </w:tc>
        <w:tc>
          <w:tcPr>
            <w:tcW w:w="636" w:type="pct"/>
            <w:tcBorders>
              <w:top w:val="nil"/>
              <w:left w:val="nil"/>
              <w:bottom w:val="single" w:color="auto" w:sz="4" w:space="0"/>
              <w:right w:val="single" w:color="auto" w:sz="4" w:space="0"/>
            </w:tcBorders>
            <w:shd w:val="clear" w:color="000000" w:fill="FFFFFF"/>
            <w:noWrap/>
            <w:vAlign w:val="center"/>
          </w:tcPr>
          <w:p w14:paraId="52D162D4">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w:t>
            </w:r>
          </w:p>
        </w:tc>
        <w:tc>
          <w:tcPr>
            <w:tcW w:w="588" w:type="pct"/>
            <w:tcBorders>
              <w:top w:val="nil"/>
              <w:left w:val="nil"/>
              <w:bottom w:val="single" w:color="auto" w:sz="4" w:space="0"/>
              <w:right w:val="single" w:color="auto" w:sz="4" w:space="0"/>
            </w:tcBorders>
            <w:shd w:val="clear" w:color="000000" w:fill="FFFFFF"/>
            <w:noWrap/>
            <w:vAlign w:val="center"/>
          </w:tcPr>
          <w:p w14:paraId="45C92E7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248</w:t>
            </w:r>
          </w:p>
        </w:tc>
        <w:tc>
          <w:tcPr>
            <w:tcW w:w="587" w:type="pct"/>
            <w:tcBorders>
              <w:top w:val="nil"/>
              <w:left w:val="nil"/>
              <w:bottom w:val="single" w:color="auto" w:sz="4" w:space="0"/>
              <w:right w:val="single" w:color="auto" w:sz="4" w:space="0"/>
            </w:tcBorders>
            <w:shd w:val="clear" w:color="000000" w:fill="FFFFFF"/>
            <w:noWrap/>
            <w:vAlign w:val="center"/>
          </w:tcPr>
          <w:p w14:paraId="52076D3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01F56106">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3D97E3B2">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0706E63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587" w:type="pct"/>
            <w:tcBorders>
              <w:top w:val="nil"/>
              <w:left w:val="nil"/>
              <w:bottom w:val="single" w:color="auto" w:sz="4" w:space="0"/>
              <w:right w:val="single" w:color="auto" w:sz="4" w:space="0"/>
            </w:tcBorders>
            <w:shd w:val="clear" w:color="000000" w:fill="FFFFFF"/>
            <w:noWrap/>
            <w:vAlign w:val="center"/>
          </w:tcPr>
          <w:p w14:paraId="2EBA2EC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r>
      <w:tr w14:paraId="7395ECF3">
        <w:tblPrEx>
          <w:tblCellMar>
            <w:top w:w="0" w:type="dxa"/>
            <w:left w:w="108" w:type="dxa"/>
            <w:bottom w:w="0" w:type="dxa"/>
            <w:right w:w="108" w:type="dxa"/>
          </w:tblCellMar>
        </w:tblPrEx>
        <w:trPr>
          <w:trHeight w:val="269" w:hRule="atLeast"/>
          <w:jc w:val="center"/>
        </w:trPr>
        <w:tc>
          <w:tcPr>
            <w:tcW w:w="840" w:type="pct"/>
            <w:tcBorders>
              <w:top w:val="nil"/>
              <w:left w:val="single" w:color="auto" w:sz="4" w:space="0"/>
              <w:bottom w:val="single" w:color="auto" w:sz="4" w:space="0"/>
              <w:right w:val="single" w:color="auto" w:sz="4" w:space="0"/>
            </w:tcBorders>
            <w:shd w:val="clear" w:color="auto" w:fill="auto"/>
            <w:vAlign w:val="center"/>
          </w:tcPr>
          <w:p w14:paraId="296B847F">
            <w:pPr>
              <w:widowControl/>
              <w:spacing w:line="240" w:lineRule="auto"/>
              <w:ind w:firstLine="0" w:firstLineChars="0"/>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债券期末余额</w:t>
            </w:r>
          </w:p>
        </w:tc>
        <w:tc>
          <w:tcPr>
            <w:tcW w:w="636" w:type="pct"/>
            <w:tcBorders>
              <w:top w:val="nil"/>
              <w:left w:val="nil"/>
              <w:bottom w:val="single" w:color="auto" w:sz="4" w:space="0"/>
              <w:right w:val="single" w:color="auto" w:sz="4" w:space="0"/>
            </w:tcBorders>
            <w:shd w:val="clear" w:color="000000" w:fill="FFFFFF"/>
            <w:noWrap/>
            <w:vAlign w:val="center"/>
          </w:tcPr>
          <w:p w14:paraId="1CC6B682">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10,000</w:t>
            </w:r>
          </w:p>
        </w:tc>
        <w:tc>
          <w:tcPr>
            <w:tcW w:w="588" w:type="pct"/>
            <w:tcBorders>
              <w:top w:val="nil"/>
              <w:left w:val="nil"/>
              <w:bottom w:val="single" w:color="auto" w:sz="4" w:space="0"/>
              <w:right w:val="single" w:color="auto" w:sz="4" w:space="0"/>
            </w:tcBorders>
            <w:shd w:val="clear" w:color="000000" w:fill="FFFFFF"/>
            <w:noWrap/>
            <w:vAlign w:val="center"/>
          </w:tcPr>
          <w:p w14:paraId="0E545FD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55EC661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69152452">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6B1F3ED2">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28B9E0B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587" w:type="pct"/>
            <w:tcBorders>
              <w:top w:val="nil"/>
              <w:left w:val="nil"/>
              <w:bottom w:val="single" w:color="auto" w:sz="4" w:space="0"/>
              <w:right w:val="single" w:color="auto" w:sz="4" w:space="0"/>
            </w:tcBorders>
            <w:shd w:val="clear" w:color="000000" w:fill="FFFFFF"/>
            <w:noWrap/>
            <w:vAlign w:val="center"/>
          </w:tcPr>
          <w:p w14:paraId="7DEFCCE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r>
    </w:tbl>
    <w:p w14:paraId="1736F0D7">
      <w:pPr>
        <w:spacing w:line="259" w:lineRule="auto"/>
        <w:ind w:right="84" w:firstLine="400"/>
        <w:jc w:val="right"/>
        <w:rPr>
          <w:rFonts w:ascii="仿宋" w:hAnsi="仿宋" w:eastAsia="仿宋"/>
          <w:sz w:val="20"/>
          <w:szCs w:val="20"/>
        </w:rPr>
      </w:pPr>
    </w:p>
    <w:tbl>
      <w:tblPr>
        <w:tblStyle w:val="21"/>
        <w:tblW w:w="5578" w:type="pct"/>
        <w:jc w:val="center"/>
        <w:tblLayout w:type="autofit"/>
        <w:tblCellMar>
          <w:top w:w="0" w:type="dxa"/>
          <w:left w:w="108" w:type="dxa"/>
          <w:bottom w:w="0" w:type="dxa"/>
          <w:right w:w="108" w:type="dxa"/>
        </w:tblCellMar>
      </w:tblPr>
      <w:tblGrid>
        <w:gridCol w:w="1707"/>
        <w:gridCol w:w="1373"/>
        <w:gridCol w:w="1373"/>
        <w:gridCol w:w="1373"/>
        <w:gridCol w:w="1373"/>
        <w:gridCol w:w="1490"/>
        <w:gridCol w:w="1191"/>
      </w:tblGrid>
      <w:tr w14:paraId="2C8CF24D">
        <w:tblPrEx>
          <w:tblCellMar>
            <w:top w:w="0" w:type="dxa"/>
            <w:left w:w="108" w:type="dxa"/>
            <w:bottom w:w="0" w:type="dxa"/>
            <w:right w:w="108" w:type="dxa"/>
          </w:tblCellMar>
        </w:tblPrEx>
        <w:trPr>
          <w:trHeight w:val="305" w:hRule="atLeast"/>
          <w:jc w:val="center"/>
        </w:trPr>
        <w:tc>
          <w:tcPr>
            <w:tcW w:w="864" w:type="pct"/>
            <w:tcBorders>
              <w:top w:val="single" w:color="auto" w:sz="4" w:space="0"/>
              <w:left w:val="single" w:color="auto" w:sz="4" w:space="0"/>
              <w:bottom w:val="single" w:color="auto" w:sz="4" w:space="0"/>
              <w:right w:val="single" w:color="auto" w:sz="4" w:space="0"/>
            </w:tcBorders>
            <w:shd w:val="clear" w:color="000000" w:fill="FFFFFF"/>
            <w:vAlign w:val="center"/>
          </w:tcPr>
          <w:p w14:paraId="2C05DBC1">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项目/年度</w:t>
            </w:r>
          </w:p>
        </w:tc>
        <w:tc>
          <w:tcPr>
            <w:tcW w:w="695" w:type="pct"/>
            <w:tcBorders>
              <w:top w:val="single" w:color="auto" w:sz="4" w:space="0"/>
              <w:left w:val="nil"/>
              <w:bottom w:val="single" w:color="auto" w:sz="4" w:space="0"/>
              <w:right w:val="single" w:color="auto" w:sz="4" w:space="0"/>
            </w:tcBorders>
            <w:shd w:val="clear" w:color="000000" w:fill="FFFFFF"/>
            <w:noWrap/>
            <w:vAlign w:val="center"/>
          </w:tcPr>
          <w:p w14:paraId="77CC5061">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2031年</w:t>
            </w:r>
          </w:p>
        </w:tc>
        <w:tc>
          <w:tcPr>
            <w:tcW w:w="695" w:type="pct"/>
            <w:tcBorders>
              <w:top w:val="single" w:color="auto" w:sz="4" w:space="0"/>
              <w:left w:val="nil"/>
              <w:bottom w:val="single" w:color="auto" w:sz="4" w:space="0"/>
              <w:right w:val="single" w:color="auto" w:sz="4" w:space="0"/>
            </w:tcBorders>
            <w:shd w:val="clear" w:color="000000" w:fill="FFFFFF"/>
            <w:noWrap/>
            <w:vAlign w:val="center"/>
          </w:tcPr>
          <w:p w14:paraId="74348E33">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2032年</w:t>
            </w:r>
          </w:p>
        </w:tc>
        <w:tc>
          <w:tcPr>
            <w:tcW w:w="695" w:type="pct"/>
            <w:tcBorders>
              <w:top w:val="single" w:color="auto" w:sz="4" w:space="0"/>
              <w:left w:val="nil"/>
              <w:bottom w:val="single" w:color="auto" w:sz="4" w:space="0"/>
              <w:right w:val="single" w:color="auto" w:sz="4" w:space="0"/>
            </w:tcBorders>
            <w:shd w:val="clear" w:color="000000" w:fill="FFFFFF"/>
            <w:noWrap/>
            <w:vAlign w:val="center"/>
          </w:tcPr>
          <w:p w14:paraId="1F402933">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2033年</w:t>
            </w:r>
          </w:p>
        </w:tc>
        <w:tc>
          <w:tcPr>
            <w:tcW w:w="695" w:type="pct"/>
            <w:tcBorders>
              <w:top w:val="single" w:color="auto" w:sz="4" w:space="0"/>
              <w:left w:val="nil"/>
              <w:bottom w:val="single" w:color="auto" w:sz="4" w:space="0"/>
              <w:right w:val="single" w:color="auto" w:sz="4" w:space="0"/>
            </w:tcBorders>
            <w:shd w:val="clear" w:color="000000" w:fill="FFFFFF"/>
            <w:noWrap/>
            <w:vAlign w:val="center"/>
          </w:tcPr>
          <w:p w14:paraId="7B7947F0">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2034年</w:t>
            </w:r>
          </w:p>
        </w:tc>
        <w:tc>
          <w:tcPr>
            <w:tcW w:w="754" w:type="pct"/>
            <w:tcBorders>
              <w:top w:val="single" w:color="auto" w:sz="4" w:space="0"/>
              <w:left w:val="nil"/>
              <w:bottom w:val="single" w:color="auto" w:sz="4" w:space="0"/>
              <w:right w:val="single" w:color="auto" w:sz="4" w:space="0"/>
            </w:tcBorders>
            <w:shd w:val="clear" w:color="000000" w:fill="FFFFFF"/>
            <w:noWrap/>
            <w:vAlign w:val="center"/>
          </w:tcPr>
          <w:p w14:paraId="76C9CE27">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2035年</w:t>
            </w:r>
          </w:p>
        </w:tc>
        <w:tc>
          <w:tcPr>
            <w:tcW w:w="602" w:type="pct"/>
            <w:tcBorders>
              <w:top w:val="single" w:color="auto" w:sz="4" w:space="0"/>
              <w:left w:val="nil"/>
              <w:bottom w:val="single" w:color="auto" w:sz="4" w:space="0"/>
              <w:right w:val="single" w:color="auto" w:sz="4" w:space="0"/>
            </w:tcBorders>
            <w:shd w:val="clear" w:color="000000" w:fill="FFFFFF"/>
            <w:noWrap/>
            <w:vAlign w:val="center"/>
          </w:tcPr>
          <w:p w14:paraId="36F693B2">
            <w:pPr>
              <w:widowControl/>
              <w:spacing w:line="240" w:lineRule="auto"/>
              <w:ind w:firstLine="0" w:firstLineChars="0"/>
              <w:jc w:val="center"/>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合计</w:t>
            </w:r>
          </w:p>
        </w:tc>
      </w:tr>
      <w:tr w14:paraId="266FBDE5">
        <w:tblPrEx>
          <w:tblCellMar>
            <w:top w:w="0" w:type="dxa"/>
            <w:left w:w="108" w:type="dxa"/>
            <w:bottom w:w="0" w:type="dxa"/>
            <w:right w:w="108" w:type="dxa"/>
          </w:tblCellMar>
        </w:tblPrEx>
        <w:trPr>
          <w:trHeight w:val="241"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36383742">
            <w:pPr>
              <w:widowControl/>
              <w:spacing w:line="240" w:lineRule="auto"/>
              <w:ind w:firstLine="0" w:firstLineChars="0"/>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债券期初余额</w:t>
            </w:r>
          </w:p>
        </w:tc>
        <w:tc>
          <w:tcPr>
            <w:tcW w:w="695" w:type="pct"/>
            <w:tcBorders>
              <w:top w:val="nil"/>
              <w:left w:val="nil"/>
              <w:bottom w:val="single" w:color="auto" w:sz="4" w:space="0"/>
              <w:right w:val="single" w:color="auto" w:sz="4" w:space="0"/>
            </w:tcBorders>
            <w:shd w:val="clear" w:color="000000" w:fill="FFFFFF"/>
            <w:noWrap/>
            <w:vAlign w:val="center"/>
          </w:tcPr>
          <w:p w14:paraId="25ACBD2A">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6EE1B41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63C6F3A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627D4B84">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754" w:type="pct"/>
            <w:tcBorders>
              <w:top w:val="nil"/>
              <w:left w:val="nil"/>
              <w:bottom w:val="single" w:color="auto" w:sz="4" w:space="0"/>
              <w:right w:val="single" w:color="auto" w:sz="4" w:space="0"/>
            </w:tcBorders>
            <w:shd w:val="clear" w:color="000000" w:fill="FFFFFF"/>
            <w:noWrap/>
            <w:vAlign w:val="center"/>
          </w:tcPr>
          <w:p w14:paraId="7BC6F399">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2,000</w:t>
            </w:r>
          </w:p>
        </w:tc>
        <w:tc>
          <w:tcPr>
            <w:tcW w:w="602" w:type="pct"/>
            <w:tcBorders>
              <w:top w:val="nil"/>
              <w:left w:val="nil"/>
              <w:bottom w:val="single" w:color="auto" w:sz="4" w:space="0"/>
              <w:right w:val="single" w:color="auto" w:sz="4" w:space="0"/>
            </w:tcBorders>
            <w:shd w:val="clear" w:color="000000" w:fill="FFFFFF"/>
            <w:noWrap/>
            <w:vAlign w:val="center"/>
          </w:tcPr>
          <w:p w14:paraId="1A7C1CF6">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w:t>
            </w:r>
          </w:p>
        </w:tc>
      </w:tr>
      <w:tr w14:paraId="05D35971">
        <w:tblPrEx>
          <w:tblCellMar>
            <w:top w:w="0" w:type="dxa"/>
            <w:left w:w="108" w:type="dxa"/>
            <w:bottom w:w="0" w:type="dxa"/>
            <w:right w:w="108" w:type="dxa"/>
          </w:tblCellMar>
        </w:tblPrEx>
        <w:trPr>
          <w:trHeight w:val="276"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27D4BA55">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本期发行</w:t>
            </w:r>
          </w:p>
        </w:tc>
        <w:tc>
          <w:tcPr>
            <w:tcW w:w="695" w:type="pct"/>
            <w:tcBorders>
              <w:top w:val="nil"/>
              <w:left w:val="nil"/>
              <w:bottom w:val="single" w:color="auto" w:sz="4" w:space="0"/>
              <w:right w:val="single" w:color="auto" w:sz="4" w:space="0"/>
            </w:tcBorders>
            <w:shd w:val="clear" w:color="000000" w:fill="FFFFFF"/>
            <w:noWrap/>
            <w:vAlign w:val="center"/>
          </w:tcPr>
          <w:p w14:paraId="26FD14F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56190EA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1A542A36">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29E411AA">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754" w:type="pct"/>
            <w:tcBorders>
              <w:top w:val="nil"/>
              <w:left w:val="nil"/>
              <w:bottom w:val="single" w:color="auto" w:sz="4" w:space="0"/>
              <w:right w:val="single" w:color="auto" w:sz="4" w:space="0"/>
            </w:tcBorders>
            <w:shd w:val="clear" w:color="000000" w:fill="FFFFFF"/>
            <w:noWrap/>
            <w:vAlign w:val="center"/>
          </w:tcPr>
          <w:p w14:paraId="2D867B8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02" w:type="pct"/>
            <w:tcBorders>
              <w:top w:val="nil"/>
              <w:left w:val="nil"/>
              <w:bottom w:val="single" w:color="auto" w:sz="4" w:space="0"/>
              <w:right w:val="single" w:color="auto" w:sz="4" w:space="0"/>
            </w:tcBorders>
            <w:shd w:val="clear" w:color="000000" w:fill="FFFFFF"/>
            <w:noWrap/>
            <w:vAlign w:val="center"/>
          </w:tcPr>
          <w:p w14:paraId="1B3CC80D">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12,000</w:t>
            </w:r>
          </w:p>
        </w:tc>
      </w:tr>
      <w:tr w14:paraId="0516800C">
        <w:tblPrEx>
          <w:tblCellMar>
            <w:top w:w="0" w:type="dxa"/>
            <w:left w:w="108" w:type="dxa"/>
            <w:bottom w:w="0" w:type="dxa"/>
            <w:right w:w="108" w:type="dxa"/>
          </w:tblCellMar>
        </w:tblPrEx>
        <w:trPr>
          <w:trHeight w:val="276"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181AF8CE">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利息支出</w:t>
            </w:r>
          </w:p>
        </w:tc>
        <w:tc>
          <w:tcPr>
            <w:tcW w:w="695" w:type="pct"/>
            <w:tcBorders>
              <w:top w:val="nil"/>
              <w:left w:val="nil"/>
              <w:bottom w:val="single" w:color="auto" w:sz="4" w:space="0"/>
              <w:right w:val="single" w:color="auto" w:sz="4" w:space="0"/>
            </w:tcBorders>
            <w:shd w:val="clear" w:color="000000" w:fill="FFFFFF"/>
            <w:noWrap/>
            <w:vAlign w:val="center"/>
          </w:tcPr>
          <w:p w14:paraId="5DC7A584">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4F25990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706BDCA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74FE022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253</w:t>
            </w:r>
          </w:p>
        </w:tc>
        <w:tc>
          <w:tcPr>
            <w:tcW w:w="754" w:type="pct"/>
            <w:tcBorders>
              <w:top w:val="nil"/>
              <w:left w:val="nil"/>
              <w:bottom w:val="single" w:color="auto" w:sz="4" w:space="0"/>
              <w:right w:val="single" w:color="auto" w:sz="4" w:space="0"/>
            </w:tcBorders>
            <w:shd w:val="clear" w:color="000000" w:fill="FFFFFF"/>
            <w:noWrap/>
            <w:vAlign w:val="center"/>
          </w:tcPr>
          <w:p w14:paraId="4FA6B265">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18</w:t>
            </w:r>
          </w:p>
        </w:tc>
        <w:tc>
          <w:tcPr>
            <w:tcW w:w="602" w:type="pct"/>
            <w:tcBorders>
              <w:top w:val="nil"/>
              <w:left w:val="nil"/>
              <w:bottom w:val="single" w:color="auto" w:sz="4" w:space="0"/>
              <w:right w:val="single" w:color="auto" w:sz="4" w:space="0"/>
            </w:tcBorders>
            <w:shd w:val="clear" w:color="000000" w:fill="FFFFFF"/>
            <w:noWrap/>
            <w:vAlign w:val="center"/>
          </w:tcPr>
          <w:p w14:paraId="4916A721">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2,654</w:t>
            </w:r>
          </w:p>
        </w:tc>
      </w:tr>
      <w:tr w14:paraId="4C632908">
        <w:tblPrEx>
          <w:tblCellMar>
            <w:top w:w="0" w:type="dxa"/>
            <w:left w:w="108" w:type="dxa"/>
            <w:bottom w:w="0" w:type="dxa"/>
            <w:right w:w="108" w:type="dxa"/>
          </w:tblCellMar>
        </w:tblPrEx>
        <w:trPr>
          <w:trHeight w:val="276"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4B3B04C8">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本期还款</w:t>
            </w:r>
          </w:p>
        </w:tc>
        <w:tc>
          <w:tcPr>
            <w:tcW w:w="695" w:type="pct"/>
            <w:tcBorders>
              <w:top w:val="nil"/>
              <w:left w:val="nil"/>
              <w:bottom w:val="single" w:color="auto" w:sz="4" w:space="0"/>
              <w:right w:val="single" w:color="auto" w:sz="4" w:space="0"/>
            </w:tcBorders>
            <w:shd w:val="clear" w:color="000000" w:fill="FFFFFF"/>
            <w:noWrap/>
            <w:vAlign w:val="center"/>
          </w:tcPr>
          <w:p w14:paraId="32333DE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72D9B6A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2542182A">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73A5CCE9">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10,253</w:t>
            </w:r>
          </w:p>
        </w:tc>
        <w:tc>
          <w:tcPr>
            <w:tcW w:w="754" w:type="pct"/>
            <w:tcBorders>
              <w:top w:val="nil"/>
              <w:left w:val="nil"/>
              <w:bottom w:val="single" w:color="auto" w:sz="4" w:space="0"/>
              <w:right w:val="single" w:color="auto" w:sz="4" w:space="0"/>
            </w:tcBorders>
            <w:shd w:val="clear" w:color="000000" w:fill="FFFFFF"/>
            <w:noWrap/>
            <w:vAlign w:val="center"/>
          </w:tcPr>
          <w:p w14:paraId="3AB2F5B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2,018</w:t>
            </w:r>
          </w:p>
        </w:tc>
        <w:tc>
          <w:tcPr>
            <w:tcW w:w="602" w:type="pct"/>
            <w:tcBorders>
              <w:top w:val="nil"/>
              <w:left w:val="nil"/>
              <w:bottom w:val="single" w:color="auto" w:sz="4" w:space="0"/>
              <w:right w:val="single" w:color="auto" w:sz="4" w:space="0"/>
            </w:tcBorders>
            <w:shd w:val="clear" w:color="000000" w:fill="FFFFFF"/>
            <w:noWrap/>
            <w:vAlign w:val="center"/>
          </w:tcPr>
          <w:p w14:paraId="7E884244">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14,654</w:t>
            </w:r>
          </w:p>
        </w:tc>
      </w:tr>
      <w:tr w14:paraId="5C5728F9">
        <w:tblPrEx>
          <w:tblCellMar>
            <w:top w:w="0" w:type="dxa"/>
            <w:left w:w="108" w:type="dxa"/>
            <w:bottom w:w="0" w:type="dxa"/>
            <w:right w:w="108" w:type="dxa"/>
          </w:tblCellMar>
        </w:tblPrEx>
        <w:trPr>
          <w:trHeight w:val="283"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1329FB57">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其中：本金偿还</w:t>
            </w:r>
          </w:p>
        </w:tc>
        <w:tc>
          <w:tcPr>
            <w:tcW w:w="695" w:type="pct"/>
            <w:tcBorders>
              <w:top w:val="nil"/>
              <w:left w:val="nil"/>
              <w:bottom w:val="single" w:color="auto" w:sz="4" w:space="0"/>
              <w:right w:val="single" w:color="auto" w:sz="4" w:space="0"/>
            </w:tcBorders>
            <w:shd w:val="clear" w:color="000000" w:fill="FFFFFF"/>
            <w:noWrap/>
            <w:vAlign w:val="center"/>
          </w:tcPr>
          <w:p w14:paraId="4C9BED8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14F350D9">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55714649">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95" w:type="pct"/>
            <w:tcBorders>
              <w:top w:val="nil"/>
              <w:left w:val="nil"/>
              <w:bottom w:val="single" w:color="auto" w:sz="4" w:space="0"/>
              <w:right w:val="single" w:color="auto" w:sz="4" w:space="0"/>
            </w:tcBorders>
            <w:shd w:val="clear" w:color="000000" w:fill="FFFFFF"/>
            <w:noWrap/>
            <w:vAlign w:val="center"/>
          </w:tcPr>
          <w:p w14:paraId="75A233DC">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10,000</w:t>
            </w:r>
          </w:p>
        </w:tc>
        <w:tc>
          <w:tcPr>
            <w:tcW w:w="754" w:type="pct"/>
            <w:tcBorders>
              <w:top w:val="nil"/>
              <w:left w:val="nil"/>
              <w:bottom w:val="single" w:color="auto" w:sz="4" w:space="0"/>
              <w:right w:val="single" w:color="auto" w:sz="4" w:space="0"/>
            </w:tcBorders>
            <w:shd w:val="clear" w:color="000000" w:fill="FFFFFF"/>
            <w:noWrap/>
            <w:vAlign w:val="center"/>
          </w:tcPr>
          <w:p w14:paraId="6AAC7ADA">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2,000</w:t>
            </w:r>
          </w:p>
        </w:tc>
        <w:tc>
          <w:tcPr>
            <w:tcW w:w="602" w:type="pct"/>
            <w:tcBorders>
              <w:top w:val="nil"/>
              <w:left w:val="nil"/>
              <w:bottom w:val="single" w:color="auto" w:sz="4" w:space="0"/>
              <w:right w:val="single" w:color="auto" w:sz="4" w:space="0"/>
            </w:tcBorders>
            <w:shd w:val="clear" w:color="000000" w:fill="FFFFFF"/>
            <w:noWrap/>
            <w:vAlign w:val="center"/>
          </w:tcPr>
          <w:p w14:paraId="75F1E7D1">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12,000</w:t>
            </w:r>
          </w:p>
        </w:tc>
      </w:tr>
      <w:tr w14:paraId="46BD5A4D">
        <w:tblPrEx>
          <w:tblCellMar>
            <w:top w:w="0" w:type="dxa"/>
            <w:left w:w="108" w:type="dxa"/>
            <w:bottom w:w="0" w:type="dxa"/>
            <w:right w:w="108" w:type="dxa"/>
          </w:tblCellMar>
        </w:tblPrEx>
        <w:trPr>
          <w:trHeight w:val="260"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16CBAF9A">
            <w:pPr>
              <w:widowControl/>
              <w:spacing w:line="240" w:lineRule="auto"/>
              <w:ind w:firstLine="0" w:firstLineChars="0"/>
              <w:rPr>
                <w:rFonts w:ascii="仿宋" w:hAnsi="仿宋" w:eastAsia="仿宋" w:cs="宋体"/>
                <w:color w:val="000000"/>
                <w:kern w:val="0"/>
                <w:sz w:val="20"/>
                <w:szCs w:val="20"/>
              </w:rPr>
            </w:pPr>
            <w:r>
              <w:rPr>
                <w:rFonts w:hint="eastAsia" w:ascii="仿宋" w:hAnsi="仿宋" w:eastAsia="仿宋" w:cs="宋体"/>
                <w:color w:val="000000"/>
                <w:kern w:val="0"/>
                <w:sz w:val="20"/>
                <w:szCs w:val="20"/>
              </w:rPr>
              <w:t>其中：付息</w:t>
            </w:r>
          </w:p>
        </w:tc>
        <w:tc>
          <w:tcPr>
            <w:tcW w:w="695" w:type="pct"/>
            <w:tcBorders>
              <w:top w:val="nil"/>
              <w:left w:val="nil"/>
              <w:bottom w:val="single" w:color="auto" w:sz="4" w:space="0"/>
              <w:right w:val="single" w:color="auto" w:sz="4" w:space="0"/>
            </w:tcBorders>
            <w:shd w:val="clear" w:color="000000" w:fill="FFFFFF"/>
            <w:noWrap/>
            <w:vAlign w:val="center"/>
          </w:tcPr>
          <w:p w14:paraId="1F1C63F0">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1F32C27C">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795BCFC8">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265</w:t>
            </w:r>
          </w:p>
        </w:tc>
        <w:tc>
          <w:tcPr>
            <w:tcW w:w="695" w:type="pct"/>
            <w:tcBorders>
              <w:top w:val="nil"/>
              <w:left w:val="nil"/>
              <w:bottom w:val="single" w:color="auto" w:sz="4" w:space="0"/>
              <w:right w:val="single" w:color="auto" w:sz="4" w:space="0"/>
            </w:tcBorders>
            <w:shd w:val="clear" w:color="000000" w:fill="FFFFFF"/>
            <w:noWrap/>
            <w:vAlign w:val="center"/>
          </w:tcPr>
          <w:p w14:paraId="523F2976">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253</w:t>
            </w:r>
          </w:p>
        </w:tc>
        <w:tc>
          <w:tcPr>
            <w:tcW w:w="754" w:type="pct"/>
            <w:tcBorders>
              <w:top w:val="nil"/>
              <w:left w:val="nil"/>
              <w:bottom w:val="single" w:color="auto" w:sz="4" w:space="0"/>
              <w:right w:val="single" w:color="auto" w:sz="4" w:space="0"/>
            </w:tcBorders>
            <w:shd w:val="clear" w:color="000000" w:fill="FFFFFF"/>
            <w:noWrap/>
            <w:vAlign w:val="center"/>
          </w:tcPr>
          <w:p w14:paraId="5C266CC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18</w:t>
            </w:r>
          </w:p>
        </w:tc>
        <w:tc>
          <w:tcPr>
            <w:tcW w:w="602" w:type="pct"/>
            <w:tcBorders>
              <w:top w:val="nil"/>
              <w:left w:val="nil"/>
              <w:bottom w:val="single" w:color="auto" w:sz="4" w:space="0"/>
              <w:right w:val="single" w:color="auto" w:sz="4" w:space="0"/>
            </w:tcBorders>
            <w:shd w:val="clear" w:color="000000" w:fill="FFFFFF"/>
            <w:noWrap/>
            <w:vAlign w:val="center"/>
          </w:tcPr>
          <w:p w14:paraId="49290BFA">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2,654</w:t>
            </w:r>
          </w:p>
        </w:tc>
      </w:tr>
      <w:tr w14:paraId="5298ED00">
        <w:tblPrEx>
          <w:tblCellMar>
            <w:top w:w="0" w:type="dxa"/>
            <w:left w:w="108" w:type="dxa"/>
            <w:bottom w:w="0" w:type="dxa"/>
            <w:right w:w="108" w:type="dxa"/>
          </w:tblCellMar>
        </w:tblPrEx>
        <w:trPr>
          <w:trHeight w:val="351" w:hRule="atLeast"/>
          <w:jc w:val="center"/>
        </w:trPr>
        <w:tc>
          <w:tcPr>
            <w:tcW w:w="864" w:type="pct"/>
            <w:tcBorders>
              <w:top w:val="nil"/>
              <w:left w:val="single" w:color="auto" w:sz="4" w:space="0"/>
              <w:bottom w:val="single" w:color="auto" w:sz="4" w:space="0"/>
              <w:right w:val="single" w:color="auto" w:sz="4" w:space="0"/>
            </w:tcBorders>
            <w:shd w:val="clear" w:color="000000" w:fill="FFFFFF"/>
            <w:vAlign w:val="center"/>
          </w:tcPr>
          <w:p w14:paraId="693E05B3">
            <w:pPr>
              <w:widowControl/>
              <w:spacing w:line="240" w:lineRule="auto"/>
              <w:ind w:firstLine="0" w:firstLineChars="0"/>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债券期末余额</w:t>
            </w:r>
          </w:p>
        </w:tc>
        <w:tc>
          <w:tcPr>
            <w:tcW w:w="695" w:type="pct"/>
            <w:tcBorders>
              <w:top w:val="nil"/>
              <w:left w:val="nil"/>
              <w:bottom w:val="single" w:color="auto" w:sz="4" w:space="0"/>
              <w:right w:val="single" w:color="auto" w:sz="4" w:space="0"/>
            </w:tcBorders>
            <w:shd w:val="clear" w:color="000000" w:fill="FFFFFF"/>
            <w:noWrap/>
            <w:vAlign w:val="center"/>
          </w:tcPr>
          <w:p w14:paraId="0B6D9A0B">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06BB4EB3">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5AC6CD11">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12,000</w:t>
            </w:r>
          </w:p>
        </w:tc>
        <w:tc>
          <w:tcPr>
            <w:tcW w:w="695" w:type="pct"/>
            <w:tcBorders>
              <w:top w:val="nil"/>
              <w:left w:val="nil"/>
              <w:bottom w:val="single" w:color="auto" w:sz="4" w:space="0"/>
              <w:right w:val="single" w:color="auto" w:sz="4" w:space="0"/>
            </w:tcBorders>
            <w:shd w:val="clear" w:color="000000" w:fill="FFFFFF"/>
            <w:noWrap/>
            <w:vAlign w:val="center"/>
          </w:tcPr>
          <w:p w14:paraId="17B5ED2E">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2,000</w:t>
            </w:r>
          </w:p>
        </w:tc>
        <w:tc>
          <w:tcPr>
            <w:tcW w:w="754" w:type="pct"/>
            <w:tcBorders>
              <w:top w:val="nil"/>
              <w:left w:val="nil"/>
              <w:bottom w:val="single" w:color="auto" w:sz="4" w:space="0"/>
              <w:right w:val="single" w:color="auto" w:sz="4" w:space="0"/>
            </w:tcBorders>
            <w:shd w:val="clear" w:color="000000" w:fill="FFFFFF"/>
            <w:noWrap/>
            <w:vAlign w:val="center"/>
          </w:tcPr>
          <w:p w14:paraId="3958B5AF">
            <w:pPr>
              <w:widowControl/>
              <w:spacing w:line="240" w:lineRule="auto"/>
              <w:ind w:firstLine="0" w:firstLineChars="0"/>
              <w:jc w:val="right"/>
              <w:rPr>
                <w:rFonts w:ascii="仿宋" w:hAnsi="仿宋" w:eastAsia="仿宋" w:cs="宋体"/>
                <w:color w:val="000000"/>
                <w:kern w:val="0"/>
                <w:sz w:val="20"/>
                <w:szCs w:val="20"/>
              </w:rPr>
            </w:pPr>
            <w:r>
              <w:rPr>
                <w:rFonts w:hint="eastAsia" w:ascii="仿宋" w:hAnsi="仿宋" w:eastAsia="仿宋" w:cs="宋体"/>
                <w:color w:val="000000"/>
                <w:kern w:val="0"/>
                <w:sz w:val="20"/>
                <w:szCs w:val="20"/>
              </w:rPr>
              <w:t>-</w:t>
            </w:r>
          </w:p>
        </w:tc>
        <w:tc>
          <w:tcPr>
            <w:tcW w:w="602" w:type="pct"/>
            <w:tcBorders>
              <w:top w:val="nil"/>
              <w:left w:val="nil"/>
              <w:bottom w:val="single" w:color="auto" w:sz="4" w:space="0"/>
              <w:right w:val="single" w:color="auto" w:sz="4" w:space="0"/>
            </w:tcBorders>
            <w:shd w:val="clear" w:color="000000" w:fill="FFFFFF"/>
            <w:noWrap/>
            <w:vAlign w:val="center"/>
          </w:tcPr>
          <w:p w14:paraId="1B3EC85A">
            <w:pPr>
              <w:widowControl/>
              <w:spacing w:line="240" w:lineRule="auto"/>
              <w:ind w:firstLine="0" w:firstLineChars="0"/>
              <w:jc w:val="right"/>
              <w:rPr>
                <w:rFonts w:ascii="仿宋" w:hAnsi="仿宋" w:eastAsia="仿宋" w:cs="宋体"/>
                <w:b/>
                <w:bCs/>
                <w:color w:val="000000"/>
                <w:kern w:val="0"/>
                <w:sz w:val="20"/>
                <w:szCs w:val="20"/>
              </w:rPr>
            </w:pPr>
            <w:r>
              <w:rPr>
                <w:rFonts w:hint="eastAsia" w:ascii="仿宋" w:hAnsi="仿宋" w:eastAsia="仿宋" w:cs="宋体"/>
                <w:b/>
                <w:bCs/>
                <w:color w:val="000000"/>
                <w:kern w:val="0"/>
                <w:sz w:val="20"/>
                <w:szCs w:val="20"/>
              </w:rPr>
              <w:t>-</w:t>
            </w:r>
          </w:p>
        </w:tc>
      </w:tr>
    </w:tbl>
    <w:p w14:paraId="2064094C">
      <w:pPr>
        <w:spacing w:line="259" w:lineRule="auto"/>
        <w:ind w:right="84" w:firstLine="400"/>
        <w:jc w:val="right"/>
        <w:rPr>
          <w:rFonts w:ascii="仿宋" w:hAnsi="仿宋" w:eastAsia="仿宋"/>
          <w:sz w:val="20"/>
          <w:szCs w:val="20"/>
        </w:rPr>
      </w:pPr>
    </w:p>
    <w:p w14:paraId="04F6D1DA">
      <w:pPr>
        <w:widowControl/>
        <w:spacing w:before="120"/>
        <w:ind w:right="84" w:firstLine="562"/>
        <w:outlineLvl w:val="2"/>
        <w:rPr>
          <w:rFonts w:ascii="仿宋" w:hAnsi="仿宋" w:eastAsia="仿宋"/>
          <w:b/>
          <w:color w:val="000000" w:themeColor="text1"/>
          <w:kern w:val="0"/>
          <w:sz w:val="28"/>
          <w:szCs w:val="28"/>
          <w14:textFill>
            <w14:solidFill>
              <w14:schemeClr w14:val="tx1"/>
            </w14:solidFill>
          </w14:textFill>
        </w:rPr>
      </w:pPr>
      <w:bookmarkStart w:id="38" w:name="_Toc200657900"/>
      <w:bookmarkStart w:id="39" w:name="_Toc200711872"/>
      <w:r>
        <w:rPr>
          <w:rFonts w:hint="eastAsia" w:ascii="仿宋" w:hAnsi="仿宋" w:eastAsia="仿宋"/>
          <w:b/>
          <w:color w:val="000000" w:themeColor="text1"/>
          <w:kern w:val="0"/>
          <w:sz w:val="28"/>
          <w:szCs w:val="28"/>
          <w14:textFill>
            <w14:solidFill>
              <w14:schemeClr w14:val="tx1"/>
            </w14:solidFill>
          </w14:textFill>
        </w:rPr>
        <w:t>3．</w:t>
      </w:r>
      <w:r>
        <w:rPr>
          <w:rFonts w:ascii="仿宋" w:hAnsi="仿宋" w:eastAsia="仿宋"/>
          <w:b/>
          <w:color w:val="000000" w:themeColor="text1"/>
          <w:kern w:val="0"/>
          <w:sz w:val="28"/>
          <w:szCs w:val="28"/>
          <w14:textFill>
            <w14:solidFill>
              <w14:schemeClr w14:val="tx1"/>
            </w14:solidFill>
          </w14:textFill>
        </w:rPr>
        <w:t>发债项目盈利能力、偿债能力和可持续性</w:t>
      </w:r>
      <w:bookmarkEnd w:id="38"/>
      <w:bookmarkEnd w:id="39"/>
    </w:p>
    <w:p w14:paraId="0BDD533E">
      <w:pPr>
        <w:autoSpaceDE w:val="0"/>
        <w:autoSpaceDN w:val="0"/>
        <w:adjustRightInd w:val="0"/>
        <w:ind w:right="84" w:firstLine="560"/>
        <w:rPr>
          <w:rFonts w:ascii="仿宋" w:hAnsi="仿宋" w:eastAsia="仿宋" w:cs="楷体"/>
          <w:color w:val="000000" w:themeColor="text1"/>
          <w:kern w:val="0"/>
          <w:sz w:val="28"/>
          <w:szCs w:val="28"/>
          <w:lang w:val="en-GB"/>
          <w14:textFill>
            <w14:solidFill>
              <w14:schemeClr w14:val="tx1"/>
            </w14:solidFill>
          </w14:textFill>
        </w:rPr>
      </w:pPr>
      <w:bookmarkStart w:id="40" w:name="_Hlk158034097"/>
      <w:r>
        <w:rPr>
          <w:rFonts w:hint="eastAsia" w:ascii="仿宋" w:hAnsi="仿宋" w:eastAsia="仿宋" w:cs="楷体"/>
          <w:bCs/>
          <w:color w:val="000000" w:themeColor="text1"/>
          <w:kern w:val="0"/>
          <w:sz w:val="28"/>
          <w:szCs w:val="28"/>
          <w14:textFill>
            <w14:solidFill>
              <w14:schemeClr w14:val="tx1"/>
            </w14:solidFill>
          </w14:textFill>
        </w:rPr>
        <w:t>海口江东新区总部集聚区基础设施建设项目</w:t>
      </w:r>
      <w:r>
        <w:rPr>
          <w:rFonts w:hint="eastAsia" w:ascii="仿宋" w:hAnsi="仿宋" w:eastAsia="仿宋" w:cs="楷体"/>
          <w:color w:val="000000" w:themeColor="text1"/>
          <w:kern w:val="0"/>
          <w:sz w:val="28"/>
          <w:szCs w:val="28"/>
          <w:lang w:val="en-GB"/>
          <w14:textFill>
            <w14:solidFill>
              <w14:schemeClr w14:val="tx1"/>
            </w14:solidFill>
          </w14:textFill>
        </w:rPr>
        <w:t>累计资金筹措总额39,440万元，其中，自筹资金27,440万元，通过发行专项债券筹集资金12,000万元，其中，</w:t>
      </w:r>
      <w:r>
        <w:rPr>
          <w:rFonts w:ascii="仿宋" w:hAnsi="仿宋" w:eastAsia="仿宋" w:cs="楷体"/>
          <w:color w:val="000000" w:themeColor="text1"/>
          <w:kern w:val="0"/>
          <w:sz w:val="28"/>
          <w:szCs w:val="28"/>
          <w:lang w:val="en-GB"/>
          <w14:textFill>
            <w14:solidFill>
              <w14:schemeClr w14:val="tx1"/>
            </w14:solidFill>
          </w14:textFill>
        </w:rPr>
        <w:t>2024</w:t>
      </w:r>
      <w:r>
        <w:rPr>
          <w:rFonts w:hint="eastAsia" w:ascii="仿宋" w:hAnsi="仿宋" w:eastAsia="仿宋" w:cs="楷体"/>
          <w:color w:val="000000" w:themeColor="text1"/>
          <w:kern w:val="0"/>
          <w:sz w:val="28"/>
          <w:szCs w:val="28"/>
          <w:lang w:val="en-GB"/>
          <w14:textFill>
            <w14:solidFill>
              <w14:schemeClr w14:val="tx1"/>
            </w14:solidFill>
          </w14:textFill>
        </w:rPr>
        <w:t>年</w:t>
      </w:r>
      <w:r>
        <w:rPr>
          <w:rFonts w:ascii="仿宋" w:hAnsi="仿宋" w:eastAsia="仿宋" w:cs="楷体"/>
          <w:color w:val="000000" w:themeColor="text1"/>
          <w:kern w:val="0"/>
          <w:sz w:val="28"/>
          <w:szCs w:val="28"/>
          <w:lang w:val="en-GB"/>
          <w14:textFill>
            <w14:solidFill>
              <w14:schemeClr w14:val="tx1"/>
            </w14:solidFill>
          </w14:textFill>
        </w:rPr>
        <w:t>5月</w:t>
      </w:r>
      <w:r>
        <w:rPr>
          <w:rFonts w:hint="eastAsia" w:ascii="仿宋" w:hAnsi="仿宋" w:eastAsia="仿宋" w:cs="楷体"/>
          <w:color w:val="000000" w:themeColor="text1"/>
          <w:kern w:val="0"/>
          <w:sz w:val="28"/>
          <w:szCs w:val="28"/>
          <w:lang w:val="en-GB"/>
          <w14:textFill>
            <w14:solidFill>
              <w14:schemeClr w14:val="tx1"/>
            </w14:solidFill>
          </w14:textFill>
        </w:rPr>
        <w:t>已发行专项债券1</w:t>
      </w:r>
      <w:r>
        <w:rPr>
          <w:rFonts w:ascii="仿宋" w:hAnsi="仿宋" w:eastAsia="仿宋" w:cs="楷体"/>
          <w:color w:val="000000" w:themeColor="text1"/>
          <w:kern w:val="0"/>
          <w:sz w:val="28"/>
          <w:szCs w:val="28"/>
          <w:lang w:val="en-GB"/>
          <w14:textFill>
            <w14:solidFill>
              <w14:schemeClr w14:val="tx1"/>
            </w14:solidFill>
          </w14:textFill>
        </w:rPr>
        <w:t>,000</w:t>
      </w:r>
      <w:r>
        <w:rPr>
          <w:rFonts w:hint="eastAsia" w:ascii="仿宋" w:hAnsi="仿宋" w:eastAsia="仿宋" w:cs="楷体"/>
          <w:color w:val="000000" w:themeColor="text1"/>
          <w:kern w:val="0"/>
          <w:sz w:val="28"/>
          <w:szCs w:val="28"/>
          <w:lang w:val="en-GB"/>
          <w14:textFill>
            <w14:solidFill>
              <w14:schemeClr w14:val="tx1"/>
            </w14:solidFill>
          </w14:textFill>
        </w:rPr>
        <w:t>万元；</w:t>
      </w:r>
      <w:r>
        <w:rPr>
          <w:rFonts w:ascii="仿宋" w:hAnsi="仿宋" w:eastAsia="仿宋" w:cs="楷体"/>
          <w:color w:val="000000" w:themeColor="text1"/>
          <w:kern w:val="0"/>
          <w:sz w:val="28"/>
          <w:szCs w:val="28"/>
          <w:lang w:val="en-GB"/>
          <w14:textFill>
            <w14:solidFill>
              <w14:schemeClr w14:val="tx1"/>
            </w14:solidFill>
          </w14:textFill>
        </w:rPr>
        <w:t>2024</w:t>
      </w:r>
      <w:r>
        <w:rPr>
          <w:rFonts w:hint="eastAsia" w:ascii="仿宋" w:hAnsi="仿宋" w:eastAsia="仿宋" w:cs="楷体"/>
          <w:color w:val="000000" w:themeColor="text1"/>
          <w:kern w:val="0"/>
          <w:sz w:val="28"/>
          <w:szCs w:val="28"/>
          <w:lang w:val="en-GB"/>
          <w14:textFill>
            <w14:solidFill>
              <w14:schemeClr w14:val="tx1"/>
            </w14:solidFill>
          </w14:textFill>
        </w:rPr>
        <w:t>年</w:t>
      </w:r>
      <w:r>
        <w:rPr>
          <w:rFonts w:ascii="仿宋" w:hAnsi="仿宋" w:eastAsia="仿宋" w:cs="楷体"/>
          <w:color w:val="000000" w:themeColor="text1"/>
          <w:kern w:val="0"/>
          <w:sz w:val="28"/>
          <w:szCs w:val="28"/>
          <w:lang w:val="en-GB"/>
          <w14:textFill>
            <w14:solidFill>
              <w14:schemeClr w14:val="tx1"/>
            </w14:solidFill>
          </w14:textFill>
        </w:rPr>
        <w:t>10月</w:t>
      </w:r>
      <w:r>
        <w:rPr>
          <w:rFonts w:hint="eastAsia" w:ascii="仿宋" w:hAnsi="仿宋" w:eastAsia="仿宋" w:cs="楷体"/>
          <w:color w:val="000000" w:themeColor="text1"/>
          <w:kern w:val="0"/>
          <w:sz w:val="28"/>
          <w:szCs w:val="28"/>
          <w:lang w:val="en-GB"/>
          <w14:textFill>
            <w14:solidFill>
              <w14:schemeClr w14:val="tx1"/>
            </w14:solidFill>
          </w14:textFill>
        </w:rPr>
        <w:t>已发行专项债券9</w:t>
      </w:r>
      <w:r>
        <w:rPr>
          <w:rFonts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lang w:val="en-GB"/>
          <w14:textFill>
            <w14:solidFill>
              <w14:schemeClr w14:val="tx1"/>
            </w14:solidFill>
          </w14:textFill>
        </w:rPr>
        <w:t>0</w:t>
      </w:r>
      <w:r>
        <w:rPr>
          <w:rFonts w:ascii="仿宋" w:hAnsi="仿宋" w:eastAsia="仿宋" w:cs="楷体"/>
          <w:color w:val="000000" w:themeColor="text1"/>
          <w:kern w:val="0"/>
          <w:sz w:val="28"/>
          <w:szCs w:val="28"/>
          <w:lang w:val="en-GB"/>
          <w14:textFill>
            <w14:solidFill>
              <w14:schemeClr w14:val="tx1"/>
            </w14:solidFill>
          </w14:textFill>
        </w:rPr>
        <w:t>00</w:t>
      </w:r>
      <w:r>
        <w:rPr>
          <w:rFonts w:hint="eastAsia" w:ascii="仿宋" w:hAnsi="仿宋" w:eastAsia="仿宋" w:cs="楷体"/>
          <w:color w:val="000000" w:themeColor="text1"/>
          <w:kern w:val="0"/>
          <w:sz w:val="28"/>
          <w:szCs w:val="28"/>
          <w:lang w:val="en-GB"/>
          <w14:textFill>
            <w14:solidFill>
              <w14:schemeClr w14:val="tx1"/>
            </w14:solidFill>
          </w14:textFill>
        </w:rPr>
        <w:t>万元，</w:t>
      </w:r>
      <w:r>
        <w:rPr>
          <w:rFonts w:hint="eastAsia" w:ascii="仿宋" w:hAnsi="仿宋" w:eastAsia="仿宋" w:cs="楷体"/>
          <w:color w:val="000000" w:themeColor="text1"/>
          <w:kern w:val="0"/>
          <w:sz w:val="28"/>
          <w:szCs w:val="28"/>
          <w14:textFill>
            <w14:solidFill>
              <w14:schemeClr w14:val="tx1"/>
            </w14:solidFill>
          </w14:textFill>
        </w:rPr>
        <w:t>本次计划调增10年期专项债券2,000万元。</w:t>
      </w:r>
      <w:r>
        <w:rPr>
          <w:rFonts w:hint="eastAsia" w:ascii="仿宋" w:hAnsi="仿宋" w:eastAsia="仿宋" w:cs="楷体"/>
          <w:color w:val="000000" w:themeColor="text1"/>
          <w:kern w:val="0"/>
          <w:sz w:val="28"/>
          <w:szCs w:val="28"/>
          <w:lang w:val="en-GB"/>
          <w14:textFill>
            <w14:solidFill>
              <w14:schemeClr w14:val="tx1"/>
            </w14:solidFill>
          </w14:textFill>
        </w:rPr>
        <w:t>本项目的自筹资金由政府通过财政资金统筹安排。本项目</w:t>
      </w:r>
      <w:r>
        <w:rPr>
          <w:rFonts w:ascii="仿宋" w:hAnsi="仿宋" w:eastAsia="仿宋" w:cs="楷体"/>
          <w:color w:val="000000" w:themeColor="text1"/>
          <w:kern w:val="0"/>
          <w:sz w:val="28"/>
          <w:szCs w:val="28"/>
          <w:lang w:val="en-GB"/>
          <w14:textFill>
            <w14:solidFill>
              <w14:schemeClr w14:val="tx1"/>
            </w14:solidFill>
          </w14:textFill>
        </w:rPr>
        <w:t>年度投资计划及资金筹措方案详见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5</w:t>
      </w:r>
      <w:r>
        <w:rPr>
          <w:rFonts w:ascii="仿宋" w:hAnsi="仿宋" w:eastAsia="仿宋" w:cs="楷体"/>
          <w:color w:val="000000" w:themeColor="text1"/>
          <w:kern w:val="0"/>
          <w:sz w:val="28"/>
          <w:szCs w:val="28"/>
          <w:lang w:val="en-GB"/>
          <w14:textFill>
            <w14:solidFill>
              <w14:schemeClr w14:val="tx1"/>
            </w14:solidFill>
          </w14:textFill>
        </w:rPr>
        <w:t>，项目</w:t>
      </w:r>
      <w:r>
        <w:rPr>
          <w:rFonts w:hint="eastAsia" w:ascii="仿宋" w:hAnsi="仿宋" w:eastAsia="仿宋" w:cs="楷体"/>
          <w:color w:val="000000" w:themeColor="text1"/>
          <w:kern w:val="0"/>
          <w:sz w:val="28"/>
          <w:szCs w:val="28"/>
          <w:lang w:val="en-GB"/>
          <w14:textFill>
            <w14:solidFill>
              <w14:schemeClr w14:val="tx1"/>
            </w14:solidFill>
          </w14:textFill>
        </w:rPr>
        <w:t>现金流模拟测算表</w:t>
      </w:r>
      <w:r>
        <w:rPr>
          <w:rFonts w:ascii="仿宋" w:hAnsi="仿宋" w:eastAsia="仿宋" w:cs="楷体"/>
          <w:color w:val="000000" w:themeColor="text1"/>
          <w:kern w:val="0"/>
          <w:sz w:val="28"/>
          <w:szCs w:val="28"/>
          <w:lang w:val="en-GB"/>
          <w14:textFill>
            <w14:solidFill>
              <w14:schemeClr w14:val="tx1"/>
            </w14:solidFill>
          </w14:textFill>
        </w:rPr>
        <w:t>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6</w:t>
      </w:r>
      <w:r>
        <w:rPr>
          <w:rFonts w:ascii="仿宋" w:hAnsi="仿宋" w:eastAsia="仿宋" w:cs="楷体"/>
          <w:color w:val="000000" w:themeColor="text1"/>
          <w:kern w:val="0"/>
          <w:sz w:val="28"/>
          <w:szCs w:val="28"/>
          <w:lang w:val="en-GB"/>
          <w14:textFill>
            <w14:solidFill>
              <w14:schemeClr w14:val="tx1"/>
            </w14:solidFill>
          </w14:textFill>
        </w:rPr>
        <w:t>：</w:t>
      </w:r>
    </w:p>
    <w:bookmarkEnd w:id="40"/>
    <w:p w14:paraId="5572238F">
      <w:pPr>
        <w:ind w:right="84" w:firstLine="482"/>
        <w:jc w:val="center"/>
        <w:rPr>
          <w:rFonts w:ascii="仿宋" w:hAnsi="仿宋" w:eastAsia="仿宋"/>
          <w:b/>
          <w:color w:val="000000"/>
        </w:rPr>
      </w:pPr>
      <w:r>
        <w:rPr>
          <w:rFonts w:hint="eastAsia" w:ascii="仿宋" w:hAnsi="仿宋" w:eastAsia="仿宋"/>
          <w:b/>
          <w:color w:val="000000"/>
        </w:rPr>
        <w:t>表</w:t>
      </w:r>
      <w:r>
        <w:rPr>
          <w:rFonts w:ascii="仿宋" w:hAnsi="仿宋" w:eastAsia="仿宋"/>
          <w:b/>
          <w:color w:val="000000"/>
        </w:rPr>
        <w:t xml:space="preserve">5 </w:t>
      </w:r>
      <w:r>
        <w:rPr>
          <w:rFonts w:hint="eastAsia" w:ascii="仿宋" w:hAnsi="仿宋" w:eastAsia="仿宋"/>
          <w:b/>
          <w:color w:val="000000"/>
        </w:rPr>
        <w:t>海口江东新区总部集聚区基础设施建设项目投资计划及资金筹措表</w:t>
      </w:r>
    </w:p>
    <w:p w14:paraId="66AB008C">
      <w:pPr>
        <w:spacing w:before="120" w:beforeLines="50" w:line="240" w:lineRule="auto"/>
        <w:ind w:right="84" w:firstLine="400"/>
        <w:jc w:val="right"/>
        <w:rPr>
          <w:rFonts w:ascii="仿宋" w:hAnsi="仿宋" w:eastAsia="仿宋"/>
          <w:color w:val="000000"/>
          <w:sz w:val="20"/>
          <w:szCs w:val="20"/>
        </w:rPr>
      </w:pPr>
      <w:r>
        <w:rPr>
          <w:rFonts w:hint="eastAsia" w:ascii="仿宋" w:hAnsi="仿宋" w:eastAsia="仿宋"/>
          <w:color w:val="000000"/>
          <w:sz w:val="20"/>
          <w:szCs w:val="20"/>
        </w:rPr>
        <w:t>单位：人民币万元</w:t>
      </w:r>
    </w:p>
    <w:tbl>
      <w:tblPr>
        <w:tblStyle w:val="21"/>
        <w:tblW w:w="5000" w:type="pct"/>
        <w:jc w:val="center"/>
        <w:tblLayout w:type="autofit"/>
        <w:tblCellMar>
          <w:top w:w="0" w:type="dxa"/>
          <w:left w:w="108" w:type="dxa"/>
          <w:bottom w:w="0" w:type="dxa"/>
          <w:right w:w="108" w:type="dxa"/>
        </w:tblCellMar>
      </w:tblPr>
      <w:tblGrid>
        <w:gridCol w:w="3404"/>
        <w:gridCol w:w="1970"/>
        <w:gridCol w:w="1860"/>
        <w:gridCol w:w="1622"/>
      </w:tblGrid>
      <w:tr w14:paraId="1B7F2BDD">
        <w:tblPrEx>
          <w:tblCellMar>
            <w:top w:w="0" w:type="dxa"/>
            <w:left w:w="108" w:type="dxa"/>
            <w:bottom w:w="0" w:type="dxa"/>
            <w:right w:w="108" w:type="dxa"/>
          </w:tblCellMar>
        </w:tblPrEx>
        <w:trPr>
          <w:trHeight w:val="312" w:hRule="atLeast"/>
          <w:jc w:val="center"/>
        </w:trPr>
        <w:tc>
          <w:tcPr>
            <w:tcW w:w="1922" w:type="pct"/>
            <w:tcBorders>
              <w:top w:val="single" w:color="auto" w:sz="4" w:space="0"/>
              <w:left w:val="single" w:color="auto" w:sz="4" w:space="0"/>
              <w:bottom w:val="single" w:color="auto" w:sz="4" w:space="0"/>
              <w:right w:val="single" w:color="auto" w:sz="4" w:space="0"/>
            </w:tcBorders>
            <w:shd w:val="clear" w:color="000000" w:fill="FFFFFF"/>
            <w:noWrap/>
            <w:vAlign w:val="center"/>
          </w:tcPr>
          <w:p w14:paraId="4C537B21">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建设期资金平衡表</w:t>
            </w:r>
          </w:p>
        </w:tc>
        <w:tc>
          <w:tcPr>
            <w:tcW w:w="1112" w:type="pct"/>
            <w:tcBorders>
              <w:top w:val="single" w:color="auto" w:sz="4" w:space="0"/>
              <w:left w:val="nil"/>
              <w:bottom w:val="single" w:color="auto" w:sz="4" w:space="0"/>
              <w:right w:val="single" w:color="auto" w:sz="4" w:space="0"/>
            </w:tcBorders>
            <w:shd w:val="clear" w:color="000000" w:fill="FFFFFF"/>
            <w:noWrap/>
            <w:vAlign w:val="center"/>
          </w:tcPr>
          <w:p w14:paraId="39A778A8">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lang w:val="en-GB"/>
              </w:rPr>
              <w:t>2024</w:t>
            </w:r>
            <w:r>
              <w:rPr>
                <w:rFonts w:hint="eastAsia" w:ascii="仿宋" w:hAnsi="仿宋" w:eastAsia="仿宋" w:cs="宋体"/>
                <w:b/>
                <w:bCs/>
                <w:kern w:val="0"/>
                <w:sz w:val="20"/>
                <w:szCs w:val="20"/>
                <w:lang w:val="en-GB"/>
              </w:rPr>
              <w:t>年</w:t>
            </w:r>
          </w:p>
        </w:tc>
        <w:tc>
          <w:tcPr>
            <w:tcW w:w="1050" w:type="pct"/>
            <w:tcBorders>
              <w:top w:val="single" w:color="auto" w:sz="4" w:space="0"/>
              <w:left w:val="nil"/>
              <w:bottom w:val="single" w:color="auto" w:sz="4" w:space="0"/>
              <w:right w:val="single" w:color="auto" w:sz="4" w:space="0"/>
            </w:tcBorders>
            <w:shd w:val="clear" w:color="000000" w:fill="FFFFFF"/>
            <w:noWrap/>
            <w:vAlign w:val="center"/>
          </w:tcPr>
          <w:p w14:paraId="68CC8C70">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lang w:val="en-GB"/>
              </w:rPr>
              <w:t>2025</w:t>
            </w:r>
            <w:r>
              <w:rPr>
                <w:rFonts w:hint="eastAsia" w:ascii="仿宋" w:hAnsi="仿宋" w:eastAsia="仿宋" w:cs="宋体"/>
                <w:b/>
                <w:bCs/>
                <w:kern w:val="0"/>
                <w:sz w:val="20"/>
                <w:szCs w:val="20"/>
                <w:lang w:val="en-GB"/>
              </w:rPr>
              <w:t>年</w:t>
            </w:r>
          </w:p>
        </w:tc>
        <w:tc>
          <w:tcPr>
            <w:tcW w:w="916" w:type="pct"/>
            <w:tcBorders>
              <w:top w:val="single" w:color="auto" w:sz="4" w:space="0"/>
              <w:left w:val="nil"/>
              <w:bottom w:val="single" w:color="auto" w:sz="4" w:space="0"/>
              <w:right w:val="single" w:color="auto" w:sz="4" w:space="0"/>
            </w:tcBorders>
            <w:shd w:val="clear" w:color="000000" w:fill="FFFFFF"/>
            <w:noWrap/>
            <w:vAlign w:val="center"/>
          </w:tcPr>
          <w:p w14:paraId="0A348280">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合计</w:t>
            </w:r>
          </w:p>
        </w:tc>
      </w:tr>
      <w:tr w14:paraId="0B764582">
        <w:tblPrEx>
          <w:tblCellMar>
            <w:top w:w="0" w:type="dxa"/>
            <w:left w:w="108" w:type="dxa"/>
            <w:bottom w:w="0" w:type="dxa"/>
            <w:right w:w="108" w:type="dxa"/>
          </w:tblCellMar>
        </w:tblPrEx>
        <w:trPr>
          <w:trHeight w:val="312"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78C27C12">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资金筹措</w:t>
            </w:r>
          </w:p>
        </w:tc>
        <w:tc>
          <w:tcPr>
            <w:tcW w:w="1112" w:type="pct"/>
            <w:tcBorders>
              <w:top w:val="nil"/>
              <w:left w:val="nil"/>
              <w:bottom w:val="single" w:color="auto" w:sz="4" w:space="0"/>
              <w:right w:val="single" w:color="auto" w:sz="4" w:space="0"/>
            </w:tcBorders>
            <w:shd w:val="clear" w:color="000000" w:fill="FFFFFF"/>
            <w:noWrap/>
            <w:vAlign w:val="center"/>
          </w:tcPr>
          <w:p w14:paraId="581EC6FB">
            <w:pPr>
              <w:widowControl/>
              <w:spacing w:line="240" w:lineRule="auto"/>
              <w:ind w:firstLine="0" w:firstLineChars="0"/>
              <w:jc w:val="right"/>
              <w:rPr>
                <w:rFonts w:ascii="仿宋" w:hAnsi="仿宋" w:eastAsia="仿宋" w:cs="宋体"/>
                <w:b/>
                <w:bCs/>
                <w:kern w:val="0"/>
                <w:sz w:val="20"/>
                <w:szCs w:val="20"/>
              </w:rPr>
            </w:pPr>
          </w:p>
        </w:tc>
        <w:tc>
          <w:tcPr>
            <w:tcW w:w="1050" w:type="pct"/>
            <w:tcBorders>
              <w:top w:val="nil"/>
              <w:left w:val="nil"/>
              <w:bottom w:val="single" w:color="auto" w:sz="4" w:space="0"/>
              <w:right w:val="single" w:color="auto" w:sz="4" w:space="0"/>
            </w:tcBorders>
            <w:shd w:val="clear" w:color="000000" w:fill="FFFFFF"/>
            <w:noWrap/>
            <w:vAlign w:val="center"/>
          </w:tcPr>
          <w:p w14:paraId="2FC4828C">
            <w:pPr>
              <w:widowControl/>
              <w:spacing w:line="240" w:lineRule="auto"/>
              <w:ind w:firstLine="0" w:firstLineChars="0"/>
              <w:jc w:val="right"/>
              <w:rPr>
                <w:rFonts w:ascii="仿宋" w:hAnsi="仿宋" w:eastAsia="仿宋" w:cs="宋体"/>
                <w:b/>
                <w:bCs/>
                <w:kern w:val="0"/>
                <w:sz w:val="20"/>
                <w:szCs w:val="20"/>
              </w:rPr>
            </w:pPr>
          </w:p>
        </w:tc>
        <w:tc>
          <w:tcPr>
            <w:tcW w:w="916" w:type="pct"/>
            <w:tcBorders>
              <w:top w:val="nil"/>
              <w:left w:val="nil"/>
              <w:bottom w:val="single" w:color="auto" w:sz="4" w:space="0"/>
              <w:right w:val="single" w:color="auto" w:sz="4" w:space="0"/>
            </w:tcBorders>
            <w:shd w:val="clear" w:color="000000" w:fill="FFFFFF"/>
            <w:noWrap/>
            <w:vAlign w:val="center"/>
          </w:tcPr>
          <w:p w14:paraId="20D0F5E6">
            <w:pPr>
              <w:widowControl/>
              <w:spacing w:line="240" w:lineRule="auto"/>
              <w:ind w:firstLine="0" w:firstLineChars="0"/>
              <w:jc w:val="right"/>
              <w:rPr>
                <w:rFonts w:ascii="仿宋" w:hAnsi="仿宋" w:eastAsia="仿宋" w:cs="宋体"/>
                <w:b/>
                <w:bCs/>
                <w:kern w:val="0"/>
                <w:sz w:val="20"/>
                <w:szCs w:val="20"/>
              </w:rPr>
            </w:pPr>
          </w:p>
        </w:tc>
      </w:tr>
      <w:tr w14:paraId="5F5974AD">
        <w:tblPrEx>
          <w:tblCellMar>
            <w:top w:w="0" w:type="dxa"/>
            <w:left w:w="108" w:type="dxa"/>
            <w:bottom w:w="0" w:type="dxa"/>
            <w:right w:w="108" w:type="dxa"/>
          </w:tblCellMar>
        </w:tblPrEx>
        <w:trPr>
          <w:trHeight w:val="312"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5355549B">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自筹资金</w:t>
            </w:r>
          </w:p>
        </w:tc>
        <w:tc>
          <w:tcPr>
            <w:tcW w:w="1112" w:type="pct"/>
            <w:tcBorders>
              <w:top w:val="nil"/>
              <w:left w:val="nil"/>
              <w:bottom w:val="single" w:color="auto" w:sz="4" w:space="0"/>
              <w:right w:val="single" w:color="auto" w:sz="4" w:space="0"/>
            </w:tcBorders>
            <w:shd w:val="clear" w:color="000000" w:fill="FFFFFF"/>
            <w:noWrap/>
            <w:vAlign w:val="center"/>
          </w:tcPr>
          <w:p w14:paraId="0B9BA9FC">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22</w:t>
            </w:r>
          </w:p>
        </w:tc>
        <w:tc>
          <w:tcPr>
            <w:tcW w:w="1050" w:type="pct"/>
            <w:tcBorders>
              <w:top w:val="nil"/>
              <w:left w:val="nil"/>
              <w:bottom w:val="single" w:color="auto" w:sz="4" w:space="0"/>
              <w:right w:val="single" w:color="auto" w:sz="4" w:space="0"/>
            </w:tcBorders>
            <w:shd w:val="clear" w:color="000000" w:fill="FFFFFF"/>
            <w:noWrap/>
            <w:vAlign w:val="center"/>
          </w:tcPr>
          <w:p w14:paraId="6DD4DCB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27,418</w:t>
            </w:r>
          </w:p>
        </w:tc>
        <w:tc>
          <w:tcPr>
            <w:tcW w:w="916" w:type="pct"/>
            <w:tcBorders>
              <w:top w:val="nil"/>
              <w:left w:val="nil"/>
              <w:bottom w:val="single" w:color="auto" w:sz="4" w:space="0"/>
              <w:right w:val="single" w:color="auto" w:sz="4" w:space="0"/>
            </w:tcBorders>
            <w:shd w:val="clear" w:color="000000" w:fill="FFFFFF"/>
            <w:noWrap/>
            <w:vAlign w:val="center"/>
          </w:tcPr>
          <w:p w14:paraId="1A2382B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27,440</w:t>
            </w:r>
          </w:p>
        </w:tc>
      </w:tr>
      <w:tr w14:paraId="713F6B2F">
        <w:tblPrEx>
          <w:tblCellMar>
            <w:top w:w="0" w:type="dxa"/>
            <w:left w:w="108" w:type="dxa"/>
            <w:bottom w:w="0" w:type="dxa"/>
            <w:right w:w="108" w:type="dxa"/>
          </w:tblCellMar>
        </w:tblPrEx>
        <w:trPr>
          <w:trHeight w:val="354"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05DDE96B">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债券发行</w:t>
            </w:r>
          </w:p>
        </w:tc>
        <w:tc>
          <w:tcPr>
            <w:tcW w:w="1112" w:type="pct"/>
            <w:tcBorders>
              <w:top w:val="nil"/>
              <w:left w:val="nil"/>
              <w:bottom w:val="single" w:color="auto" w:sz="4" w:space="0"/>
              <w:right w:val="single" w:color="auto" w:sz="4" w:space="0"/>
            </w:tcBorders>
            <w:shd w:val="clear" w:color="000000" w:fill="FFFFFF"/>
            <w:noWrap/>
            <w:vAlign w:val="center"/>
          </w:tcPr>
          <w:p w14:paraId="2D5055CF">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10,000</w:t>
            </w:r>
          </w:p>
        </w:tc>
        <w:tc>
          <w:tcPr>
            <w:tcW w:w="1050" w:type="pct"/>
            <w:tcBorders>
              <w:top w:val="nil"/>
              <w:left w:val="nil"/>
              <w:bottom w:val="single" w:color="auto" w:sz="4" w:space="0"/>
              <w:right w:val="single" w:color="auto" w:sz="4" w:space="0"/>
            </w:tcBorders>
            <w:shd w:val="clear" w:color="000000" w:fill="FFFFFF"/>
            <w:noWrap/>
            <w:vAlign w:val="center"/>
          </w:tcPr>
          <w:p w14:paraId="7DF8B8EB">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2,000</w:t>
            </w:r>
          </w:p>
        </w:tc>
        <w:tc>
          <w:tcPr>
            <w:tcW w:w="916" w:type="pct"/>
            <w:tcBorders>
              <w:top w:val="nil"/>
              <w:left w:val="nil"/>
              <w:bottom w:val="single" w:color="auto" w:sz="4" w:space="0"/>
              <w:right w:val="single" w:color="auto" w:sz="4" w:space="0"/>
            </w:tcBorders>
            <w:shd w:val="clear" w:color="000000" w:fill="FFFFFF"/>
            <w:noWrap/>
            <w:vAlign w:val="center"/>
          </w:tcPr>
          <w:p w14:paraId="49DAFD97">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12,000</w:t>
            </w:r>
          </w:p>
        </w:tc>
      </w:tr>
      <w:tr w14:paraId="61EA153B">
        <w:tblPrEx>
          <w:tblCellMar>
            <w:top w:w="0" w:type="dxa"/>
            <w:left w:w="108" w:type="dxa"/>
            <w:bottom w:w="0" w:type="dxa"/>
            <w:right w:w="108" w:type="dxa"/>
          </w:tblCellMar>
        </w:tblPrEx>
        <w:trPr>
          <w:trHeight w:val="312"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5D67F698">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合计</w:t>
            </w:r>
          </w:p>
        </w:tc>
        <w:tc>
          <w:tcPr>
            <w:tcW w:w="1112" w:type="pct"/>
            <w:tcBorders>
              <w:top w:val="nil"/>
              <w:left w:val="nil"/>
              <w:bottom w:val="single" w:color="auto" w:sz="4" w:space="0"/>
              <w:right w:val="single" w:color="auto" w:sz="4" w:space="0"/>
            </w:tcBorders>
            <w:shd w:val="clear" w:color="000000" w:fill="FFFFFF"/>
            <w:noWrap/>
            <w:vAlign w:val="center"/>
          </w:tcPr>
          <w:p w14:paraId="786BFB8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10,022</w:t>
            </w:r>
          </w:p>
        </w:tc>
        <w:tc>
          <w:tcPr>
            <w:tcW w:w="1050" w:type="pct"/>
            <w:tcBorders>
              <w:top w:val="nil"/>
              <w:left w:val="nil"/>
              <w:bottom w:val="single" w:color="auto" w:sz="4" w:space="0"/>
              <w:right w:val="single" w:color="auto" w:sz="4" w:space="0"/>
            </w:tcBorders>
            <w:shd w:val="clear" w:color="000000" w:fill="FFFFFF"/>
            <w:noWrap/>
            <w:vAlign w:val="center"/>
          </w:tcPr>
          <w:p w14:paraId="619D9A33">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29,418</w:t>
            </w:r>
          </w:p>
        </w:tc>
        <w:tc>
          <w:tcPr>
            <w:tcW w:w="916" w:type="pct"/>
            <w:tcBorders>
              <w:top w:val="nil"/>
              <w:left w:val="nil"/>
              <w:bottom w:val="single" w:color="auto" w:sz="4" w:space="0"/>
              <w:right w:val="single" w:color="auto" w:sz="4" w:space="0"/>
            </w:tcBorders>
            <w:shd w:val="clear" w:color="000000" w:fill="FFFFFF"/>
            <w:noWrap/>
            <w:vAlign w:val="center"/>
          </w:tcPr>
          <w:p w14:paraId="763171DD">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39,440</w:t>
            </w:r>
          </w:p>
        </w:tc>
      </w:tr>
      <w:tr w14:paraId="3236E72F">
        <w:tblPrEx>
          <w:tblCellMar>
            <w:top w:w="0" w:type="dxa"/>
            <w:left w:w="108" w:type="dxa"/>
            <w:bottom w:w="0" w:type="dxa"/>
            <w:right w:w="108" w:type="dxa"/>
          </w:tblCellMar>
        </w:tblPrEx>
        <w:trPr>
          <w:trHeight w:val="312"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6C3D72A4">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资金使用</w:t>
            </w:r>
          </w:p>
        </w:tc>
        <w:tc>
          <w:tcPr>
            <w:tcW w:w="1112" w:type="pct"/>
            <w:tcBorders>
              <w:top w:val="nil"/>
              <w:left w:val="nil"/>
              <w:bottom w:val="single" w:color="auto" w:sz="4" w:space="0"/>
              <w:right w:val="single" w:color="auto" w:sz="4" w:space="0"/>
            </w:tcBorders>
            <w:shd w:val="clear" w:color="000000" w:fill="FFFFFF"/>
            <w:noWrap/>
            <w:vAlign w:val="center"/>
          </w:tcPr>
          <w:p w14:paraId="0C63E13C">
            <w:pPr>
              <w:widowControl/>
              <w:spacing w:line="240" w:lineRule="auto"/>
              <w:ind w:firstLine="0" w:firstLineChars="0"/>
              <w:jc w:val="right"/>
              <w:rPr>
                <w:rFonts w:ascii="仿宋" w:hAnsi="仿宋" w:eastAsia="仿宋" w:cs="宋体"/>
                <w:b/>
                <w:bCs/>
                <w:kern w:val="0"/>
                <w:sz w:val="20"/>
                <w:szCs w:val="20"/>
              </w:rPr>
            </w:pPr>
          </w:p>
        </w:tc>
        <w:tc>
          <w:tcPr>
            <w:tcW w:w="1050" w:type="pct"/>
            <w:tcBorders>
              <w:top w:val="nil"/>
              <w:left w:val="nil"/>
              <w:bottom w:val="single" w:color="auto" w:sz="4" w:space="0"/>
              <w:right w:val="single" w:color="auto" w:sz="4" w:space="0"/>
            </w:tcBorders>
            <w:shd w:val="clear" w:color="000000" w:fill="FFFFFF"/>
            <w:noWrap/>
            <w:vAlign w:val="center"/>
          </w:tcPr>
          <w:p w14:paraId="6EC484C0">
            <w:pPr>
              <w:widowControl/>
              <w:spacing w:line="240" w:lineRule="auto"/>
              <w:ind w:firstLine="0" w:firstLineChars="0"/>
              <w:jc w:val="right"/>
              <w:rPr>
                <w:rFonts w:ascii="仿宋" w:hAnsi="仿宋" w:eastAsia="仿宋" w:cs="宋体"/>
                <w:b/>
                <w:bCs/>
                <w:kern w:val="0"/>
                <w:sz w:val="20"/>
                <w:szCs w:val="20"/>
              </w:rPr>
            </w:pPr>
          </w:p>
        </w:tc>
        <w:tc>
          <w:tcPr>
            <w:tcW w:w="916" w:type="pct"/>
            <w:tcBorders>
              <w:top w:val="nil"/>
              <w:left w:val="nil"/>
              <w:bottom w:val="single" w:color="auto" w:sz="4" w:space="0"/>
              <w:right w:val="single" w:color="auto" w:sz="4" w:space="0"/>
            </w:tcBorders>
            <w:shd w:val="clear" w:color="000000" w:fill="FFFFFF"/>
            <w:noWrap/>
            <w:vAlign w:val="center"/>
          </w:tcPr>
          <w:p w14:paraId="04259E4F">
            <w:pPr>
              <w:widowControl/>
              <w:spacing w:line="240" w:lineRule="auto"/>
              <w:ind w:firstLine="0" w:firstLineChars="0"/>
              <w:jc w:val="right"/>
              <w:rPr>
                <w:rFonts w:ascii="仿宋" w:hAnsi="仿宋" w:eastAsia="仿宋" w:cs="宋体"/>
                <w:b/>
                <w:bCs/>
                <w:kern w:val="0"/>
                <w:sz w:val="20"/>
                <w:szCs w:val="20"/>
              </w:rPr>
            </w:pPr>
          </w:p>
        </w:tc>
      </w:tr>
      <w:tr w14:paraId="5C8667C8">
        <w:tblPrEx>
          <w:tblCellMar>
            <w:top w:w="0" w:type="dxa"/>
            <w:left w:w="108" w:type="dxa"/>
            <w:bottom w:w="0" w:type="dxa"/>
            <w:right w:w="108" w:type="dxa"/>
          </w:tblCellMar>
        </w:tblPrEx>
        <w:trPr>
          <w:trHeight w:val="281" w:hRule="atLeast"/>
          <w:jc w:val="center"/>
        </w:trPr>
        <w:tc>
          <w:tcPr>
            <w:tcW w:w="1922" w:type="pct"/>
            <w:tcBorders>
              <w:top w:val="nil"/>
              <w:left w:val="single" w:color="auto" w:sz="4" w:space="0"/>
              <w:bottom w:val="single" w:color="auto" w:sz="4" w:space="0"/>
              <w:right w:val="single" w:color="auto" w:sz="4" w:space="0"/>
            </w:tcBorders>
            <w:shd w:val="clear" w:color="000000" w:fill="FFFFFF"/>
            <w:noWrap/>
            <w:vAlign w:val="center"/>
          </w:tcPr>
          <w:p w14:paraId="7F4FCF89">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建设资金使用金额合计</w:t>
            </w:r>
          </w:p>
        </w:tc>
        <w:tc>
          <w:tcPr>
            <w:tcW w:w="1112" w:type="pct"/>
            <w:tcBorders>
              <w:top w:val="nil"/>
              <w:left w:val="nil"/>
              <w:bottom w:val="single" w:color="auto" w:sz="4" w:space="0"/>
              <w:right w:val="single" w:color="auto" w:sz="4" w:space="0"/>
            </w:tcBorders>
            <w:shd w:val="clear" w:color="000000" w:fill="FFFFFF"/>
            <w:noWrap/>
            <w:vAlign w:val="center"/>
          </w:tcPr>
          <w:p w14:paraId="33D9B654">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10,022</w:t>
            </w:r>
          </w:p>
        </w:tc>
        <w:tc>
          <w:tcPr>
            <w:tcW w:w="1050" w:type="pct"/>
            <w:tcBorders>
              <w:top w:val="nil"/>
              <w:left w:val="nil"/>
              <w:bottom w:val="single" w:color="auto" w:sz="4" w:space="0"/>
              <w:right w:val="single" w:color="auto" w:sz="4" w:space="0"/>
            </w:tcBorders>
            <w:shd w:val="clear" w:color="000000" w:fill="FFFFFF"/>
            <w:noWrap/>
            <w:vAlign w:val="center"/>
          </w:tcPr>
          <w:p w14:paraId="42347C39">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29,418</w:t>
            </w:r>
          </w:p>
        </w:tc>
        <w:tc>
          <w:tcPr>
            <w:tcW w:w="916" w:type="pct"/>
            <w:tcBorders>
              <w:top w:val="nil"/>
              <w:left w:val="nil"/>
              <w:bottom w:val="single" w:color="auto" w:sz="4" w:space="0"/>
              <w:right w:val="single" w:color="auto" w:sz="4" w:space="0"/>
            </w:tcBorders>
            <w:shd w:val="clear" w:color="000000" w:fill="FFFFFF"/>
            <w:noWrap/>
            <w:vAlign w:val="center"/>
          </w:tcPr>
          <w:p w14:paraId="728E6A06">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39,440</w:t>
            </w:r>
          </w:p>
        </w:tc>
      </w:tr>
      <w:tr w14:paraId="527D4FD9">
        <w:tblPrEx>
          <w:tblCellMar>
            <w:top w:w="0" w:type="dxa"/>
            <w:left w:w="108" w:type="dxa"/>
            <w:bottom w:w="0" w:type="dxa"/>
            <w:right w:w="108" w:type="dxa"/>
          </w:tblCellMar>
        </w:tblPrEx>
        <w:trPr>
          <w:trHeight w:val="323" w:hRule="atLeast"/>
          <w:jc w:val="center"/>
        </w:trPr>
        <w:tc>
          <w:tcPr>
            <w:tcW w:w="1922" w:type="pct"/>
            <w:tcBorders>
              <w:top w:val="nil"/>
              <w:left w:val="single" w:color="auto" w:sz="4" w:space="0"/>
              <w:bottom w:val="single" w:color="auto" w:sz="4" w:space="0"/>
              <w:right w:val="single" w:color="auto" w:sz="4" w:space="0"/>
            </w:tcBorders>
            <w:shd w:val="clear" w:color="000000" w:fill="FFFFFF"/>
            <w:vAlign w:val="center"/>
          </w:tcPr>
          <w:p w14:paraId="2B484A62">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资金余额（资金筹措</w:t>
            </w:r>
            <w:r>
              <w:rPr>
                <w:rFonts w:ascii="仿宋" w:hAnsi="仿宋" w:eastAsia="仿宋" w:cs="宋体"/>
                <w:b/>
                <w:bCs/>
                <w:kern w:val="0"/>
                <w:sz w:val="20"/>
                <w:szCs w:val="20"/>
              </w:rPr>
              <w:t>—</w:t>
            </w:r>
            <w:r>
              <w:rPr>
                <w:rFonts w:hint="eastAsia" w:ascii="仿宋" w:hAnsi="仿宋" w:eastAsia="仿宋" w:cs="宋体"/>
                <w:b/>
                <w:bCs/>
                <w:kern w:val="0"/>
                <w:sz w:val="20"/>
                <w:szCs w:val="20"/>
              </w:rPr>
              <w:t>资金使用）</w:t>
            </w:r>
          </w:p>
        </w:tc>
        <w:tc>
          <w:tcPr>
            <w:tcW w:w="1112" w:type="pct"/>
            <w:tcBorders>
              <w:top w:val="nil"/>
              <w:left w:val="nil"/>
              <w:bottom w:val="single" w:color="auto" w:sz="4" w:space="0"/>
              <w:right w:val="single" w:color="auto" w:sz="4" w:space="0"/>
            </w:tcBorders>
            <w:shd w:val="clear" w:color="000000" w:fill="FFFFFF"/>
            <w:noWrap/>
            <w:vAlign w:val="center"/>
          </w:tcPr>
          <w:p w14:paraId="0F5A6C9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w:t>
            </w:r>
          </w:p>
        </w:tc>
        <w:tc>
          <w:tcPr>
            <w:tcW w:w="1050" w:type="pct"/>
            <w:tcBorders>
              <w:top w:val="nil"/>
              <w:left w:val="nil"/>
              <w:bottom w:val="single" w:color="auto" w:sz="4" w:space="0"/>
              <w:right w:val="single" w:color="auto" w:sz="4" w:space="0"/>
            </w:tcBorders>
            <w:shd w:val="clear" w:color="000000" w:fill="FFFFFF"/>
            <w:noWrap/>
            <w:vAlign w:val="center"/>
          </w:tcPr>
          <w:p w14:paraId="1B03BDC9">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w:t>
            </w:r>
          </w:p>
        </w:tc>
        <w:tc>
          <w:tcPr>
            <w:tcW w:w="916" w:type="pct"/>
            <w:tcBorders>
              <w:top w:val="nil"/>
              <w:left w:val="nil"/>
              <w:bottom w:val="single" w:color="auto" w:sz="4" w:space="0"/>
              <w:right w:val="single" w:color="auto" w:sz="4" w:space="0"/>
            </w:tcBorders>
            <w:shd w:val="clear" w:color="000000" w:fill="FFFFFF"/>
            <w:noWrap/>
            <w:vAlign w:val="center"/>
          </w:tcPr>
          <w:p w14:paraId="799489F4">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lang w:val="en-GB"/>
              </w:rPr>
              <w:t>-</w:t>
            </w:r>
          </w:p>
        </w:tc>
      </w:tr>
    </w:tbl>
    <w:p w14:paraId="3962A5CF">
      <w:pPr>
        <w:ind w:right="84" w:firstLine="400"/>
        <w:jc w:val="right"/>
        <w:rPr>
          <w:rFonts w:ascii="仿宋" w:hAnsi="仿宋" w:eastAsia="仿宋"/>
          <w:color w:val="000000"/>
          <w:sz w:val="20"/>
          <w:szCs w:val="20"/>
        </w:rPr>
      </w:pPr>
    </w:p>
    <w:p w14:paraId="187FD403">
      <w:pPr>
        <w:ind w:right="84" w:firstLine="400"/>
        <w:jc w:val="right"/>
        <w:rPr>
          <w:rFonts w:ascii="仿宋" w:hAnsi="仿宋" w:eastAsia="仿宋"/>
          <w:color w:val="000000"/>
          <w:sz w:val="20"/>
          <w:szCs w:val="20"/>
        </w:rPr>
      </w:pPr>
    </w:p>
    <w:p w14:paraId="7AF53A72">
      <w:pPr>
        <w:ind w:right="84" w:firstLine="482"/>
        <w:rPr>
          <w:rFonts w:ascii="仿宋" w:hAnsi="仿宋" w:eastAsia="仿宋"/>
          <w:b/>
          <w:color w:val="000000"/>
        </w:rPr>
        <w:sectPr>
          <w:pgSz w:w="12240" w:h="15840"/>
          <w:pgMar w:top="1276" w:right="1800" w:bottom="1276" w:left="1800" w:header="708" w:footer="850" w:gutter="0"/>
          <w:cols w:space="708" w:num="1"/>
          <w:docGrid w:linePitch="360" w:charSpace="0"/>
        </w:sectPr>
      </w:pPr>
      <w:r>
        <w:rPr>
          <w:rFonts w:ascii="仿宋" w:hAnsi="仿宋" w:eastAsia="仿宋"/>
          <w:b/>
          <w:color w:val="000000"/>
        </w:rPr>
        <w:br w:type="page"/>
      </w:r>
    </w:p>
    <w:p w14:paraId="2CD032EF">
      <w:pPr>
        <w:spacing w:after="160" w:line="259" w:lineRule="auto"/>
        <w:ind w:right="84" w:firstLine="482"/>
        <w:jc w:val="center"/>
        <w:rPr>
          <w:rFonts w:ascii="仿宋" w:hAnsi="仿宋" w:eastAsia="仿宋"/>
          <w:b/>
        </w:rPr>
      </w:pPr>
      <w:r>
        <w:rPr>
          <w:rFonts w:ascii="仿宋" w:hAnsi="仿宋" w:eastAsia="仿宋"/>
          <w:b/>
          <w:color w:val="000000"/>
        </w:rPr>
        <w:t xml:space="preserve">表6 </w:t>
      </w:r>
      <w:r>
        <w:rPr>
          <w:rFonts w:hint="eastAsia" w:ascii="仿宋" w:hAnsi="仿宋" w:eastAsia="仿宋"/>
          <w:b/>
          <w:color w:val="000000"/>
        </w:rPr>
        <w:t>海口江东新区总部集聚区基础设施建设项目</w:t>
      </w:r>
      <w:r>
        <w:rPr>
          <w:rFonts w:hint="eastAsia" w:ascii="仿宋" w:hAnsi="仿宋" w:eastAsia="仿宋"/>
          <w:b/>
        </w:rPr>
        <w:t>现金流模拟测算表</w:t>
      </w:r>
    </w:p>
    <w:p w14:paraId="4A3EB6B1">
      <w:pPr>
        <w:spacing w:line="259" w:lineRule="auto"/>
        <w:ind w:right="-36" w:rightChars="-15" w:firstLine="400"/>
        <w:jc w:val="right"/>
        <w:rPr>
          <w:rFonts w:ascii="仿宋" w:hAnsi="仿宋" w:eastAsia="仿宋"/>
          <w:sz w:val="20"/>
          <w:szCs w:val="20"/>
        </w:rPr>
      </w:pPr>
      <w:r>
        <w:rPr>
          <w:rFonts w:hint="eastAsia" w:ascii="仿宋" w:hAnsi="仿宋" w:eastAsia="仿宋"/>
          <w:sz w:val="20"/>
          <w:szCs w:val="20"/>
        </w:rPr>
        <w:t>单位：人民币万元</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5"/>
        <w:gridCol w:w="1150"/>
        <w:gridCol w:w="1133"/>
        <w:gridCol w:w="1038"/>
        <w:gridCol w:w="1038"/>
        <w:gridCol w:w="1038"/>
        <w:gridCol w:w="1034"/>
      </w:tblGrid>
      <w:tr w14:paraId="0B0A9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00" w:type="pct"/>
            <w:shd w:val="clear" w:color="000000" w:fill="FFFFFF"/>
            <w:noWrap/>
            <w:vAlign w:val="center"/>
          </w:tcPr>
          <w:p w14:paraId="23238523">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项目/年度</w:t>
            </w:r>
          </w:p>
        </w:tc>
        <w:tc>
          <w:tcPr>
            <w:tcW w:w="678" w:type="pct"/>
            <w:shd w:val="clear" w:color="000000" w:fill="FFFFFF"/>
            <w:noWrap/>
            <w:vAlign w:val="center"/>
          </w:tcPr>
          <w:p w14:paraId="24B7668F">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2024年</w:t>
            </w:r>
          </w:p>
        </w:tc>
        <w:tc>
          <w:tcPr>
            <w:tcW w:w="668" w:type="pct"/>
            <w:shd w:val="clear" w:color="000000" w:fill="FFFFFF"/>
            <w:noWrap/>
            <w:vAlign w:val="center"/>
          </w:tcPr>
          <w:p w14:paraId="2AE6436F">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2025年</w:t>
            </w:r>
          </w:p>
        </w:tc>
        <w:tc>
          <w:tcPr>
            <w:tcW w:w="614" w:type="pct"/>
            <w:shd w:val="clear" w:color="000000" w:fill="FFFFFF"/>
            <w:noWrap/>
            <w:vAlign w:val="center"/>
          </w:tcPr>
          <w:p w14:paraId="5EB5B7BD">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2026年</w:t>
            </w:r>
          </w:p>
        </w:tc>
        <w:tc>
          <w:tcPr>
            <w:tcW w:w="614" w:type="pct"/>
            <w:shd w:val="clear" w:color="000000" w:fill="FFFFFF"/>
            <w:noWrap/>
            <w:vAlign w:val="center"/>
          </w:tcPr>
          <w:p w14:paraId="7C56B342">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2027年</w:t>
            </w:r>
          </w:p>
        </w:tc>
        <w:tc>
          <w:tcPr>
            <w:tcW w:w="614" w:type="pct"/>
            <w:shd w:val="clear" w:color="000000" w:fill="FFFFFF"/>
            <w:noWrap/>
            <w:vAlign w:val="center"/>
          </w:tcPr>
          <w:p w14:paraId="2527F6DF">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2028年</w:t>
            </w:r>
          </w:p>
        </w:tc>
        <w:tc>
          <w:tcPr>
            <w:tcW w:w="614" w:type="pct"/>
            <w:shd w:val="clear" w:color="000000" w:fill="FFFFFF"/>
            <w:noWrap/>
            <w:vAlign w:val="center"/>
          </w:tcPr>
          <w:p w14:paraId="09368149">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2029年</w:t>
            </w:r>
          </w:p>
        </w:tc>
      </w:tr>
      <w:tr w14:paraId="0AB57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jc w:val="center"/>
        </w:trPr>
        <w:tc>
          <w:tcPr>
            <w:tcW w:w="1200" w:type="pct"/>
            <w:shd w:val="clear" w:color="000000" w:fill="FFFFFF"/>
            <w:noWrap/>
            <w:vAlign w:val="center"/>
          </w:tcPr>
          <w:p w14:paraId="2F620D06">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现金流入</w:t>
            </w:r>
          </w:p>
        </w:tc>
        <w:tc>
          <w:tcPr>
            <w:tcW w:w="678" w:type="pct"/>
            <w:shd w:val="clear" w:color="000000" w:fill="FFFFFF"/>
            <w:noWrap/>
            <w:vAlign w:val="center"/>
          </w:tcPr>
          <w:p w14:paraId="5F9A5F04">
            <w:pPr>
              <w:widowControl/>
              <w:spacing w:line="240" w:lineRule="auto"/>
              <w:ind w:firstLine="0" w:firstLineChars="0"/>
              <w:jc w:val="right"/>
              <w:rPr>
                <w:rFonts w:ascii="仿宋" w:hAnsi="仿宋" w:eastAsia="仿宋" w:cs="宋体"/>
                <w:kern w:val="0"/>
                <w:sz w:val="20"/>
                <w:szCs w:val="20"/>
              </w:rPr>
            </w:pPr>
          </w:p>
        </w:tc>
        <w:tc>
          <w:tcPr>
            <w:tcW w:w="668" w:type="pct"/>
            <w:shd w:val="clear" w:color="000000" w:fill="FFFFFF"/>
            <w:noWrap/>
            <w:vAlign w:val="center"/>
          </w:tcPr>
          <w:p w14:paraId="403C135D">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5BBFBABD">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656BCA56">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733E31BC">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3406FA1A">
            <w:pPr>
              <w:widowControl/>
              <w:spacing w:line="240" w:lineRule="auto"/>
              <w:ind w:firstLine="0" w:firstLineChars="0"/>
              <w:jc w:val="right"/>
              <w:rPr>
                <w:rFonts w:ascii="仿宋" w:hAnsi="仿宋" w:eastAsia="仿宋" w:cs="宋体"/>
                <w:kern w:val="0"/>
                <w:sz w:val="20"/>
                <w:szCs w:val="20"/>
              </w:rPr>
            </w:pPr>
          </w:p>
        </w:tc>
      </w:tr>
      <w:tr w14:paraId="186C8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200" w:type="pct"/>
            <w:shd w:val="clear" w:color="000000" w:fill="FFFFFF"/>
            <w:noWrap/>
            <w:vAlign w:val="center"/>
          </w:tcPr>
          <w:p w14:paraId="6E38215E">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自筹资金流入</w:t>
            </w:r>
          </w:p>
        </w:tc>
        <w:tc>
          <w:tcPr>
            <w:tcW w:w="678" w:type="pct"/>
            <w:shd w:val="clear" w:color="000000" w:fill="FFFFFF"/>
            <w:noWrap/>
            <w:vAlign w:val="center"/>
          </w:tcPr>
          <w:p w14:paraId="7A65069C">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22</w:t>
            </w:r>
          </w:p>
        </w:tc>
        <w:tc>
          <w:tcPr>
            <w:tcW w:w="668" w:type="pct"/>
            <w:shd w:val="clear" w:color="000000" w:fill="FFFFFF"/>
            <w:noWrap/>
            <w:vAlign w:val="center"/>
          </w:tcPr>
          <w:p w14:paraId="10BB8B6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27,418</w:t>
            </w:r>
          </w:p>
        </w:tc>
        <w:tc>
          <w:tcPr>
            <w:tcW w:w="614" w:type="pct"/>
            <w:shd w:val="clear" w:color="000000" w:fill="FFFFFF"/>
            <w:noWrap/>
            <w:vAlign w:val="center"/>
          </w:tcPr>
          <w:p w14:paraId="05E0BF1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1A0EF3A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4AA6068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5E55B0C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r>
      <w:tr w14:paraId="38853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200" w:type="pct"/>
            <w:shd w:val="clear" w:color="000000" w:fill="FFFFFF"/>
            <w:noWrap/>
            <w:vAlign w:val="center"/>
          </w:tcPr>
          <w:p w14:paraId="1745B7ED">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债券资金流入</w:t>
            </w:r>
          </w:p>
        </w:tc>
        <w:tc>
          <w:tcPr>
            <w:tcW w:w="678" w:type="pct"/>
            <w:shd w:val="clear" w:color="000000" w:fill="FFFFFF"/>
            <w:noWrap/>
            <w:vAlign w:val="center"/>
          </w:tcPr>
          <w:p w14:paraId="68ADB37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10,000</w:t>
            </w:r>
          </w:p>
        </w:tc>
        <w:tc>
          <w:tcPr>
            <w:tcW w:w="668" w:type="pct"/>
            <w:shd w:val="clear" w:color="000000" w:fill="FFFFFF"/>
            <w:noWrap/>
            <w:vAlign w:val="center"/>
          </w:tcPr>
          <w:p w14:paraId="6ACB0185">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2,000</w:t>
            </w:r>
          </w:p>
        </w:tc>
        <w:tc>
          <w:tcPr>
            <w:tcW w:w="614" w:type="pct"/>
            <w:shd w:val="clear" w:color="000000" w:fill="FFFFFF"/>
            <w:noWrap/>
            <w:vAlign w:val="center"/>
          </w:tcPr>
          <w:p w14:paraId="09063FFC">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4FD152FB">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2C693602">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5B49C7DC">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r>
      <w:tr w14:paraId="66342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200" w:type="pct"/>
            <w:shd w:val="clear" w:color="000000" w:fill="FFFFFF"/>
            <w:noWrap/>
            <w:vAlign w:val="center"/>
          </w:tcPr>
          <w:p w14:paraId="6A2822E9">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运营期现金流入</w:t>
            </w:r>
          </w:p>
        </w:tc>
        <w:tc>
          <w:tcPr>
            <w:tcW w:w="678" w:type="pct"/>
            <w:shd w:val="clear" w:color="000000" w:fill="FFFFFF"/>
            <w:noWrap/>
            <w:vAlign w:val="center"/>
          </w:tcPr>
          <w:p w14:paraId="20D0235B">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68" w:type="pct"/>
            <w:shd w:val="clear" w:color="000000" w:fill="FFFFFF"/>
            <w:noWrap/>
            <w:vAlign w:val="center"/>
          </w:tcPr>
          <w:p w14:paraId="6BE9244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6A22EB2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614" w:type="pct"/>
            <w:shd w:val="clear" w:color="000000" w:fill="FFFFFF"/>
            <w:noWrap/>
            <w:vAlign w:val="center"/>
          </w:tcPr>
          <w:p w14:paraId="58A3115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614" w:type="pct"/>
            <w:shd w:val="clear" w:color="000000" w:fill="FFFFFF"/>
            <w:noWrap/>
            <w:vAlign w:val="center"/>
          </w:tcPr>
          <w:p w14:paraId="02DD84A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614" w:type="pct"/>
            <w:shd w:val="clear" w:color="000000" w:fill="FFFFFF"/>
            <w:noWrap/>
            <w:vAlign w:val="center"/>
          </w:tcPr>
          <w:p w14:paraId="07370E81">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r>
      <w:tr w14:paraId="065C6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1200" w:type="pct"/>
            <w:shd w:val="clear" w:color="000000" w:fill="FFFFFF"/>
            <w:noWrap/>
            <w:vAlign w:val="center"/>
          </w:tcPr>
          <w:p w14:paraId="7AA79F4F">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现金流入总额</w:t>
            </w:r>
          </w:p>
        </w:tc>
        <w:tc>
          <w:tcPr>
            <w:tcW w:w="678" w:type="pct"/>
            <w:shd w:val="clear" w:color="000000" w:fill="FFFFFF"/>
            <w:noWrap/>
            <w:vAlign w:val="center"/>
          </w:tcPr>
          <w:p w14:paraId="0B978B5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10,022</w:t>
            </w:r>
          </w:p>
        </w:tc>
        <w:tc>
          <w:tcPr>
            <w:tcW w:w="668" w:type="pct"/>
            <w:shd w:val="clear" w:color="000000" w:fill="FFFFFF"/>
            <w:noWrap/>
            <w:vAlign w:val="center"/>
          </w:tcPr>
          <w:p w14:paraId="4FCA5DC1">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29,418</w:t>
            </w:r>
          </w:p>
        </w:tc>
        <w:tc>
          <w:tcPr>
            <w:tcW w:w="614" w:type="pct"/>
            <w:shd w:val="clear" w:color="000000" w:fill="FFFFFF"/>
            <w:noWrap/>
            <w:vAlign w:val="center"/>
          </w:tcPr>
          <w:p w14:paraId="217B8F5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614" w:type="pct"/>
            <w:shd w:val="clear" w:color="000000" w:fill="FFFFFF"/>
            <w:noWrap/>
            <w:vAlign w:val="center"/>
          </w:tcPr>
          <w:p w14:paraId="1C3657AB">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614" w:type="pct"/>
            <w:shd w:val="clear" w:color="000000" w:fill="FFFFFF"/>
            <w:noWrap/>
            <w:vAlign w:val="center"/>
          </w:tcPr>
          <w:p w14:paraId="6BCDFFE7">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614" w:type="pct"/>
            <w:shd w:val="clear" w:color="000000" w:fill="FFFFFF"/>
            <w:noWrap/>
            <w:vAlign w:val="center"/>
          </w:tcPr>
          <w:p w14:paraId="58DF3761">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r>
      <w:tr w14:paraId="0F1F9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1200" w:type="pct"/>
            <w:shd w:val="clear" w:color="000000" w:fill="FFFFFF"/>
            <w:noWrap/>
            <w:vAlign w:val="center"/>
          </w:tcPr>
          <w:p w14:paraId="2194AB4D">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现金流出</w:t>
            </w:r>
          </w:p>
        </w:tc>
        <w:tc>
          <w:tcPr>
            <w:tcW w:w="678" w:type="pct"/>
            <w:shd w:val="clear" w:color="000000" w:fill="FFFFFF"/>
            <w:noWrap/>
            <w:vAlign w:val="center"/>
          </w:tcPr>
          <w:p w14:paraId="5F7C68BC">
            <w:pPr>
              <w:widowControl/>
              <w:spacing w:line="240" w:lineRule="auto"/>
              <w:ind w:firstLine="0" w:firstLineChars="0"/>
              <w:jc w:val="right"/>
              <w:rPr>
                <w:rFonts w:ascii="仿宋" w:hAnsi="仿宋" w:eastAsia="仿宋" w:cs="宋体"/>
                <w:kern w:val="0"/>
                <w:sz w:val="20"/>
                <w:szCs w:val="20"/>
              </w:rPr>
            </w:pPr>
          </w:p>
        </w:tc>
        <w:tc>
          <w:tcPr>
            <w:tcW w:w="668" w:type="pct"/>
            <w:shd w:val="clear" w:color="000000" w:fill="FFFFFF"/>
            <w:noWrap/>
            <w:vAlign w:val="center"/>
          </w:tcPr>
          <w:p w14:paraId="42CAE43D">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7CA2E03B">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0F81431A">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6CF80619">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020EDC21">
            <w:pPr>
              <w:widowControl/>
              <w:spacing w:line="240" w:lineRule="auto"/>
              <w:ind w:firstLine="0" w:firstLineChars="0"/>
              <w:jc w:val="right"/>
              <w:rPr>
                <w:rFonts w:ascii="仿宋" w:hAnsi="仿宋" w:eastAsia="仿宋" w:cs="宋体"/>
                <w:kern w:val="0"/>
                <w:sz w:val="20"/>
                <w:szCs w:val="20"/>
              </w:rPr>
            </w:pPr>
          </w:p>
        </w:tc>
      </w:tr>
      <w:tr w14:paraId="33CD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1200" w:type="pct"/>
            <w:shd w:val="clear" w:color="000000" w:fill="FFFFFF"/>
            <w:noWrap/>
            <w:vAlign w:val="center"/>
          </w:tcPr>
          <w:p w14:paraId="4A3BC6F9">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建设期资金流出</w:t>
            </w:r>
          </w:p>
        </w:tc>
        <w:tc>
          <w:tcPr>
            <w:tcW w:w="678" w:type="pct"/>
            <w:shd w:val="clear" w:color="000000" w:fill="FFFFFF"/>
            <w:noWrap/>
            <w:vAlign w:val="center"/>
          </w:tcPr>
          <w:p w14:paraId="724D126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10,000</w:t>
            </w:r>
          </w:p>
        </w:tc>
        <w:tc>
          <w:tcPr>
            <w:tcW w:w="668" w:type="pct"/>
            <w:shd w:val="clear" w:color="000000" w:fill="FFFFFF"/>
            <w:noWrap/>
            <w:vAlign w:val="center"/>
          </w:tcPr>
          <w:p w14:paraId="11C6D78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29,168</w:t>
            </w:r>
          </w:p>
        </w:tc>
        <w:tc>
          <w:tcPr>
            <w:tcW w:w="614" w:type="pct"/>
            <w:shd w:val="clear" w:color="000000" w:fill="FFFFFF"/>
            <w:noWrap/>
            <w:vAlign w:val="center"/>
          </w:tcPr>
          <w:p w14:paraId="14460F4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5EC434E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282FAC7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47F8EDF5">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r>
      <w:tr w14:paraId="785BB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1200" w:type="pct"/>
            <w:shd w:val="clear" w:color="000000" w:fill="FFFFFF"/>
            <w:noWrap/>
            <w:vAlign w:val="center"/>
          </w:tcPr>
          <w:p w14:paraId="7552859E">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运营期现金流出</w:t>
            </w:r>
          </w:p>
        </w:tc>
        <w:tc>
          <w:tcPr>
            <w:tcW w:w="678" w:type="pct"/>
            <w:shd w:val="clear" w:color="000000" w:fill="FFFFFF"/>
            <w:noWrap/>
            <w:vAlign w:val="center"/>
          </w:tcPr>
          <w:p w14:paraId="79DD025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68" w:type="pct"/>
            <w:shd w:val="clear" w:color="000000" w:fill="FFFFFF"/>
            <w:noWrap/>
            <w:vAlign w:val="center"/>
          </w:tcPr>
          <w:p w14:paraId="2EAFE53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2CF9B445">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614" w:type="pct"/>
            <w:shd w:val="clear" w:color="000000" w:fill="FFFFFF"/>
            <w:noWrap/>
            <w:vAlign w:val="center"/>
          </w:tcPr>
          <w:p w14:paraId="0285788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614" w:type="pct"/>
            <w:shd w:val="clear" w:color="000000" w:fill="FFFFFF"/>
            <w:noWrap/>
            <w:vAlign w:val="center"/>
          </w:tcPr>
          <w:p w14:paraId="556CEAF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614" w:type="pct"/>
            <w:shd w:val="clear" w:color="000000" w:fill="FFFFFF"/>
            <w:noWrap/>
            <w:vAlign w:val="center"/>
          </w:tcPr>
          <w:p w14:paraId="4E7EFA7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r>
      <w:tr w14:paraId="6FA1A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1200" w:type="pct"/>
            <w:shd w:val="clear" w:color="000000" w:fill="FFFFFF"/>
            <w:noWrap/>
            <w:vAlign w:val="center"/>
          </w:tcPr>
          <w:p w14:paraId="729FD78D">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债券还本付息</w:t>
            </w:r>
          </w:p>
        </w:tc>
        <w:tc>
          <w:tcPr>
            <w:tcW w:w="678" w:type="pct"/>
            <w:shd w:val="clear" w:color="000000" w:fill="FFFFFF"/>
            <w:noWrap/>
            <w:vAlign w:val="center"/>
          </w:tcPr>
          <w:p w14:paraId="791D1EC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12</w:t>
            </w:r>
          </w:p>
        </w:tc>
        <w:tc>
          <w:tcPr>
            <w:tcW w:w="668" w:type="pct"/>
            <w:shd w:val="clear" w:color="000000" w:fill="FFFFFF"/>
            <w:noWrap/>
            <w:vAlign w:val="center"/>
          </w:tcPr>
          <w:p w14:paraId="6D31A68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248</w:t>
            </w:r>
          </w:p>
        </w:tc>
        <w:tc>
          <w:tcPr>
            <w:tcW w:w="614" w:type="pct"/>
            <w:shd w:val="clear" w:color="000000" w:fill="FFFFFF"/>
            <w:noWrap/>
            <w:vAlign w:val="center"/>
          </w:tcPr>
          <w:p w14:paraId="24CF8AB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614" w:type="pct"/>
            <w:shd w:val="clear" w:color="000000" w:fill="FFFFFF"/>
            <w:noWrap/>
            <w:vAlign w:val="center"/>
          </w:tcPr>
          <w:p w14:paraId="4908CB45">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614" w:type="pct"/>
            <w:shd w:val="clear" w:color="000000" w:fill="FFFFFF"/>
            <w:noWrap/>
            <w:vAlign w:val="center"/>
          </w:tcPr>
          <w:p w14:paraId="716AF286">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614" w:type="pct"/>
            <w:shd w:val="clear" w:color="000000" w:fill="FFFFFF"/>
            <w:noWrap/>
            <w:vAlign w:val="center"/>
          </w:tcPr>
          <w:p w14:paraId="2EE7046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r>
      <w:tr w14:paraId="2382E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1200" w:type="pct"/>
            <w:shd w:val="clear" w:color="000000" w:fill="FFFFFF"/>
            <w:noWrap/>
            <w:vAlign w:val="center"/>
          </w:tcPr>
          <w:p w14:paraId="285B021A">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债券发行费用</w:t>
            </w:r>
          </w:p>
        </w:tc>
        <w:tc>
          <w:tcPr>
            <w:tcW w:w="678" w:type="pct"/>
            <w:shd w:val="clear" w:color="000000" w:fill="FFFFFF"/>
            <w:noWrap/>
            <w:vAlign w:val="center"/>
          </w:tcPr>
          <w:p w14:paraId="466C5EE9">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10</w:t>
            </w:r>
          </w:p>
        </w:tc>
        <w:tc>
          <w:tcPr>
            <w:tcW w:w="668" w:type="pct"/>
            <w:shd w:val="clear" w:color="000000" w:fill="FFFFFF"/>
            <w:noWrap/>
            <w:vAlign w:val="center"/>
          </w:tcPr>
          <w:p w14:paraId="4681E4B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w:t>
            </w:r>
          </w:p>
        </w:tc>
        <w:tc>
          <w:tcPr>
            <w:tcW w:w="614" w:type="pct"/>
            <w:shd w:val="clear" w:color="000000" w:fill="FFFFFF"/>
            <w:noWrap/>
            <w:vAlign w:val="center"/>
          </w:tcPr>
          <w:p w14:paraId="003012A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4F495AA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4C279069">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614" w:type="pct"/>
            <w:shd w:val="clear" w:color="000000" w:fill="FFFFFF"/>
            <w:noWrap/>
            <w:vAlign w:val="center"/>
          </w:tcPr>
          <w:p w14:paraId="24DBE8E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r>
      <w:tr w14:paraId="77C1A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1200" w:type="pct"/>
            <w:shd w:val="clear" w:color="000000" w:fill="FFFFFF"/>
            <w:noWrap/>
            <w:vAlign w:val="center"/>
          </w:tcPr>
          <w:p w14:paraId="6F054D77">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现金流出总额</w:t>
            </w:r>
          </w:p>
        </w:tc>
        <w:tc>
          <w:tcPr>
            <w:tcW w:w="678" w:type="pct"/>
            <w:shd w:val="clear" w:color="000000" w:fill="FFFFFF"/>
            <w:noWrap/>
            <w:vAlign w:val="center"/>
          </w:tcPr>
          <w:p w14:paraId="3979D16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10,022</w:t>
            </w:r>
          </w:p>
        </w:tc>
        <w:tc>
          <w:tcPr>
            <w:tcW w:w="668" w:type="pct"/>
            <w:shd w:val="clear" w:color="000000" w:fill="FFFFFF"/>
            <w:noWrap/>
            <w:vAlign w:val="center"/>
          </w:tcPr>
          <w:p w14:paraId="116444E7">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29,418</w:t>
            </w:r>
          </w:p>
        </w:tc>
        <w:tc>
          <w:tcPr>
            <w:tcW w:w="614" w:type="pct"/>
            <w:shd w:val="clear" w:color="000000" w:fill="FFFFFF"/>
            <w:noWrap/>
            <w:vAlign w:val="center"/>
          </w:tcPr>
          <w:p w14:paraId="4EB40086">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614" w:type="pct"/>
            <w:shd w:val="clear" w:color="000000" w:fill="FFFFFF"/>
            <w:noWrap/>
            <w:vAlign w:val="center"/>
          </w:tcPr>
          <w:p w14:paraId="6A84EDC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614" w:type="pct"/>
            <w:shd w:val="clear" w:color="000000" w:fill="FFFFFF"/>
            <w:noWrap/>
            <w:vAlign w:val="center"/>
          </w:tcPr>
          <w:p w14:paraId="08A27749">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614" w:type="pct"/>
            <w:shd w:val="clear" w:color="000000" w:fill="FFFFFF"/>
            <w:noWrap/>
            <w:vAlign w:val="center"/>
          </w:tcPr>
          <w:p w14:paraId="5BC6E16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r>
      <w:tr w14:paraId="2463E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1200" w:type="pct"/>
            <w:shd w:val="clear" w:color="000000" w:fill="FFFFFF"/>
            <w:noWrap/>
            <w:vAlign w:val="center"/>
          </w:tcPr>
          <w:p w14:paraId="5BAA2297">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现金净流量</w:t>
            </w:r>
          </w:p>
        </w:tc>
        <w:tc>
          <w:tcPr>
            <w:tcW w:w="678" w:type="pct"/>
            <w:shd w:val="clear" w:color="000000" w:fill="FFFFFF"/>
            <w:noWrap/>
            <w:vAlign w:val="center"/>
          </w:tcPr>
          <w:p w14:paraId="28FDD525">
            <w:pPr>
              <w:widowControl/>
              <w:spacing w:line="240" w:lineRule="auto"/>
              <w:ind w:firstLine="0" w:firstLineChars="0"/>
              <w:jc w:val="right"/>
              <w:rPr>
                <w:rFonts w:ascii="仿宋" w:hAnsi="仿宋" w:eastAsia="仿宋" w:cs="宋体"/>
                <w:kern w:val="0"/>
                <w:sz w:val="20"/>
                <w:szCs w:val="20"/>
              </w:rPr>
            </w:pPr>
          </w:p>
        </w:tc>
        <w:tc>
          <w:tcPr>
            <w:tcW w:w="668" w:type="pct"/>
            <w:shd w:val="clear" w:color="000000" w:fill="FFFFFF"/>
            <w:noWrap/>
            <w:vAlign w:val="center"/>
          </w:tcPr>
          <w:p w14:paraId="2CE6C190">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2B9C71FA">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2BCD544B">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7F279E3B">
            <w:pPr>
              <w:widowControl/>
              <w:spacing w:line="240" w:lineRule="auto"/>
              <w:ind w:firstLine="0" w:firstLineChars="0"/>
              <w:jc w:val="right"/>
              <w:rPr>
                <w:rFonts w:ascii="仿宋" w:hAnsi="仿宋" w:eastAsia="仿宋" w:cs="宋体"/>
                <w:kern w:val="0"/>
                <w:sz w:val="20"/>
                <w:szCs w:val="20"/>
              </w:rPr>
            </w:pPr>
          </w:p>
        </w:tc>
        <w:tc>
          <w:tcPr>
            <w:tcW w:w="614" w:type="pct"/>
            <w:shd w:val="clear" w:color="000000" w:fill="FFFFFF"/>
            <w:noWrap/>
            <w:vAlign w:val="center"/>
          </w:tcPr>
          <w:p w14:paraId="2DEE273C">
            <w:pPr>
              <w:widowControl/>
              <w:spacing w:line="240" w:lineRule="auto"/>
              <w:ind w:firstLine="0" w:firstLineChars="0"/>
              <w:jc w:val="right"/>
              <w:rPr>
                <w:rFonts w:ascii="仿宋" w:hAnsi="仿宋" w:eastAsia="仿宋" w:cs="宋体"/>
                <w:kern w:val="0"/>
                <w:sz w:val="20"/>
                <w:szCs w:val="20"/>
              </w:rPr>
            </w:pPr>
          </w:p>
        </w:tc>
      </w:tr>
      <w:tr w14:paraId="59946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1200" w:type="pct"/>
            <w:shd w:val="clear" w:color="000000" w:fill="FFFFFF"/>
            <w:noWrap/>
            <w:vAlign w:val="center"/>
          </w:tcPr>
          <w:p w14:paraId="28C39B8C">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当年项目现金净流入</w:t>
            </w:r>
          </w:p>
        </w:tc>
        <w:tc>
          <w:tcPr>
            <w:tcW w:w="678" w:type="pct"/>
            <w:shd w:val="clear" w:color="000000" w:fill="FFFFFF"/>
            <w:noWrap/>
            <w:vAlign w:val="center"/>
          </w:tcPr>
          <w:p w14:paraId="73331B27">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c>
          <w:tcPr>
            <w:tcW w:w="668" w:type="pct"/>
            <w:shd w:val="clear" w:color="000000" w:fill="FFFFFF"/>
            <w:noWrap/>
            <w:vAlign w:val="center"/>
          </w:tcPr>
          <w:p w14:paraId="0AA5AA72">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c>
          <w:tcPr>
            <w:tcW w:w="614" w:type="pct"/>
            <w:shd w:val="clear" w:color="000000" w:fill="FFFFFF"/>
            <w:noWrap/>
            <w:vAlign w:val="center"/>
          </w:tcPr>
          <w:p w14:paraId="108893E2">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614" w:type="pct"/>
            <w:shd w:val="clear" w:color="000000" w:fill="FFFFFF"/>
            <w:noWrap/>
            <w:vAlign w:val="center"/>
          </w:tcPr>
          <w:p w14:paraId="629E0EFB">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614" w:type="pct"/>
            <w:shd w:val="clear" w:color="000000" w:fill="FFFFFF"/>
            <w:noWrap/>
            <w:vAlign w:val="center"/>
          </w:tcPr>
          <w:p w14:paraId="64B190C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614" w:type="pct"/>
            <w:shd w:val="clear" w:color="000000" w:fill="FFFFFF"/>
            <w:noWrap/>
            <w:vAlign w:val="center"/>
          </w:tcPr>
          <w:p w14:paraId="0B0BAA6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r>
      <w:tr w14:paraId="63368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1200" w:type="pct"/>
            <w:shd w:val="clear" w:color="000000" w:fill="FFFFFF"/>
            <w:noWrap/>
            <w:vAlign w:val="center"/>
          </w:tcPr>
          <w:p w14:paraId="2CAB56DB">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期末项目累计现金结存额</w:t>
            </w:r>
          </w:p>
        </w:tc>
        <w:tc>
          <w:tcPr>
            <w:tcW w:w="678" w:type="pct"/>
            <w:shd w:val="clear" w:color="000000" w:fill="FFFFFF"/>
            <w:noWrap/>
            <w:vAlign w:val="center"/>
          </w:tcPr>
          <w:p w14:paraId="442FEB0C">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c>
          <w:tcPr>
            <w:tcW w:w="668" w:type="pct"/>
            <w:shd w:val="clear" w:color="000000" w:fill="FFFFFF"/>
            <w:noWrap/>
            <w:vAlign w:val="center"/>
          </w:tcPr>
          <w:p w14:paraId="7D58FCE1">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c>
          <w:tcPr>
            <w:tcW w:w="614" w:type="pct"/>
            <w:shd w:val="clear" w:color="000000" w:fill="FFFFFF"/>
            <w:noWrap/>
            <w:vAlign w:val="center"/>
          </w:tcPr>
          <w:p w14:paraId="59EA358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614" w:type="pct"/>
            <w:shd w:val="clear" w:color="000000" w:fill="FFFFFF"/>
            <w:noWrap/>
            <w:vAlign w:val="center"/>
          </w:tcPr>
          <w:p w14:paraId="09155F22">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3,665</w:t>
            </w:r>
          </w:p>
        </w:tc>
        <w:tc>
          <w:tcPr>
            <w:tcW w:w="614" w:type="pct"/>
            <w:shd w:val="clear" w:color="000000" w:fill="FFFFFF"/>
            <w:noWrap/>
            <w:vAlign w:val="center"/>
          </w:tcPr>
          <w:p w14:paraId="13EF46F6">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5,498</w:t>
            </w:r>
          </w:p>
        </w:tc>
        <w:tc>
          <w:tcPr>
            <w:tcW w:w="614" w:type="pct"/>
            <w:shd w:val="clear" w:color="000000" w:fill="FFFFFF"/>
            <w:noWrap/>
            <w:vAlign w:val="center"/>
          </w:tcPr>
          <w:p w14:paraId="5D821A4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7,330</w:t>
            </w:r>
          </w:p>
        </w:tc>
      </w:tr>
    </w:tbl>
    <w:p w14:paraId="1C1F34DE">
      <w:pPr>
        <w:spacing w:line="259" w:lineRule="auto"/>
        <w:ind w:right="-36" w:rightChars="-15" w:firstLine="400"/>
        <w:jc w:val="right"/>
        <w:rPr>
          <w:rFonts w:ascii="仿宋" w:hAnsi="仿宋" w:eastAsia="仿宋"/>
          <w:sz w:val="20"/>
          <w:szCs w:val="20"/>
        </w:rPr>
      </w:pP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5"/>
        <w:gridCol w:w="994"/>
        <w:gridCol w:w="976"/>
        <w:gridCol w:w="893"/>
        <w:gridCol w:w="893"/>
        <w:gridCol w:w="893"/>
        <w:gridCol w:w="893"/>
        <w:gridCol w:w="889"/>
      </w:tblGrid>
      <w:tr w14:paraId="2CBD5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069" w:type="pct"/>
            <w:shd w:val="clear" w:color="000000" w:fill="FFFFFF"/>
            <w:noWrap/>
            <w:vAlign w:val="center"/>
          </w:tcPr>
          <w:p w14:paraId="451E83E9">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项目/年度</w:t>
            </w:r>
          </w:p>
        </w:tc>
        <w:tc>
          <w:tcPr>
            <w:tcW w:w="604" w:type="pct"/>
            <w:shd w:val="clear" w:color="000000" w:fill="FFFFFF"/>
            <w:noWrap/>
            <w:vAlign w:val="center"/>
          </w:tcPr>
          <w:p w14:paraId="3EB74B00">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2030年</w:t>
            </w:r>
          </w:p>
        </w:tc>
        <w:tc>
          <w:tcPr>
            <w:tcW w:w="594" w:type="pct"/>
            <w:shd w:val="clear" w:color="000000" w:fill="FFFFFF"/>
            <w:noWrap/>
            <w:vAlign w:val="center"/>
          </w:tcPr>
          <w:p w14:paraId="18C5122C">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2031年</w:t>
            </w:r>
          </w:p>
        </w:tc>
        <w:tc>
          <w:tcPr>
            <w:tcW w:w="547" w:type="pct"/>
            <w:shd w:val="clear" w:color="000000" w:fill="FFFFFF"/>
            <w:noWrap/>
            <w:vAlign w:val="center"/>
          </w:tcPr>
          <w:p w14:paraId="5B56ED49">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2032年</w:t>
            </w:r>
          </w:p>
        </w:tc>
        <w:tc>
          <w:tcPr>
            <w:tcW w:w="547" w:type="pct"/>
            <w:shd w:val="clear" w:color="000000" w:fill="FFFFFF"/>
            <w:noWrap/>
            <w:vAlign w:val="center"/>
          </w:tcPr>
          <w:p w14:paraId="30D9F86A">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2033年</w:t>
            </w:r>
          </w:p>
        </w:tc>
        <w:tc>
          <w:tcPr>
            <w:tcW w:w="547" w:type="pct"/>
            <w:shd w:val="clear" w:color="000000" w:fill="FFFFFF"/>
            <w:noWrap/>
            <w:vAlign w:val="center"/>
          </w:tcPr>
          <w:p w14:paraId="351BCDC1">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2034年</w:t>
            </w:r>
          </w:p>
        </w:tc>
        <w:tc>
          <w:tcPr>
            <w:tcW w:w="547" w:type="pct"/>
            <w:shd w:val="clear" w:color="000000" w:fill="FFFFFF"/>
            <w:noWrap/>
            <w:vAlign w:val="center"/>
          </w:tcPr>
          <w:p w14:paraId="06B13763">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2035年</w:t>
            </w:r>
          </w:p>
        </w:tc>
        <w:tc>
          <w:tcPr>
            <w:tcW w:w="547" w:type="pct"/>
            <w:shd w:val="clear" w:color="000000" w:fill="FFFFFF"/>
            <w:noWrap/>
            <w:vAlign w:val="center"/>
          </w:tcPr>
          <w:p w14:paraId="57A69560">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合计</w:t>
            </w:r>
          </w:p>
        </w:tc>
      </w:tr>
      <w:tr w14:paraId="4E1F3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jc w:val="center"/>
        </w:trPr>
        <w:tc>
          <w:tcPr>
            <w:tcW w:w="1069" w:type="pct"/>
            <w:shd w:val="clear" w:color="000000" w:fill="FFFFFF"/>
            <w:noWrap/>
            <w:vAlign w:val="center"/>
          </w:tcPr>
          <w:p w14:paraId="76D271E2">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现金流入</w:t>
            </w:r>
          </w:p>
        </w:tc>
        <w:tc>
          <w:tcPr>
            <w:tcW w:w="604" w:type="pct"/>
            <w:shd w:val="clear" w:color="000000" w:fill="FFFFFF"/>
            <w:noWrap/>
            <w:vAlign w:val="center"/>
          </w:tcPr>
          <w:p w14:paraId="0267E7A3">
            <w:pPr>
              <w:widowControl/>
              <w:spacing w:line="240" w:lineRule="auto"/>
              <w:ind w:firstLine="0" w:firstLineChars="0"/>
              <w:jc w:val="right"/>
              <w:rPr>
                <w:rFonts w:ascii="仿宋" w:hAnsi="仿宋" w:eastAsia="仿宋" w:cs="宋体"/>
                <w:kern w:val="0"/>
                <w:sz w:val="20"/>
                <w:szCs w:val="20"/>
              </w:rPr>
            </w:pPr>
          </w:p>
        </w:tc>
        <w:tc>
          <w:tcPr>
            <w:tcW w:w="594" w:type="pct"/>
            <w:shd w:val="clear" w:color="000000" w:fill="FFFFFF"/>
            <w:noWrap/>
            <w:vAlign w:val="center"/>
          </w:tcPr>
          <w:p w14:paraId="672E077E">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6BE25E37">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664554F8">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0CD9AB01">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1581F0F9">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35064F5C">
            <w:pPr>
              <w:widowControl/>
              <w:spacing w:line="240" w:lineRule="auto"/>
              <w:ind w:firstLine="0" w:firstLineChars="0"/>
              <w:jc w:val="right"/>
              <w:rPr>
                <w:rFonts w:ascii="仿宋" w:hAnsi="仿宋" w:eastAsia="仿宋" w:cs="宋体"/>
                <w:kern w:val="0"/>
                <w:sz w:val="20"/>
                <w:szCs w:val="20"/>
              </w:rPr>
            </w:pPr>
          </w:p>
        </w:tc>
      </w:tr>
      <w:tr w14:paraId="0231F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1069" w:type="pct"/>
            <w:shd w:val="clear" w:color="000000" w:fill="FFFFFF"/>
            <w:noWrap/>
            <w:vAlign w:val="center"/>
          </w:tcPr>
          <w:p w14:paraId="1F072A83">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自筹资金流入</w:t>
            </w:r>
          </w:p>
        </w:tc>
        <w:tc>
          <w:tcPr>
            <w:tcW w:w="604" w:type="pct"/>
            <w:shd w:val="clear" w:color="000000" w:fill="FFFFFF"/>
            <w:noWrap/>
            <w:vAlign w:val="center"/>
          </w:tcPr>
          <w:p w14:paraId="70F6A17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94" w:type="pct"/>
            <w:shd w:val="clear" w:color="000000" w:fill="FFFFFF"/>
            <w:noWrap/>
            <w:vAlign w:val="center"/>
          </w:tcPr>
          <w:p w14:paraId="409DC6D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7FE3351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4A78E2F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1AA8D4C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59F6EFF1">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715FC5B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27,440</w:t>
            </w:r>
          </w:p>
        </w:tc>
      </w:tr>
      <w:tr w14:paraId="137DF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069" w:type="pct"/>
            <w:shd w:val="clear" w:color="000000" w:fill="FFFFFF"/>
            <w:noWrap/>
            <w:vAlign w:val="center"/>
          </w:tcPr>
          <w:p w14:paraId="5204A42B">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债券资金流入</w:t>
            </w:r>
          </w:p>
        </w:tc>
        <w:tc>
          <w:tcPr>
            <w:tcW w:w="604" w:type="pct"/>
            <w:shd w:val="clear" w:color="000000" w:fill="FFFFFF"/>
            <w:noWrap/>
            <w:vAlign w:val="center"/>
          </w:tcPr>
          <w:p w14:paraId="171AE2F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94" w:type="pct"/>
            <w:shd w:val="clear" w:color="000000" w:fill="FFFFFF"/>
            <w:noWrap/>
            <w:vAlign w:val="center"/>
          </w:tcPr>
          <w:p w14:paraId="7D82B476">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1A5207A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57FD7EF1">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2FBD07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017A760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520E8E82">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12,000</w:t>
            </w:r>
          </w:p>
        </w:tc>
      </w:tr>
      <w:tr w14:paraId="279C1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jc w:val="center"/>
        </w:trPr>
        <w:tc>
          <w:tcPr>
            <w:tcW w:w="1069" w:type="pct"/>
            <w:shd w:val="clear" w:color="000000" w:fill="FFFFFF"/>
            <w:noWrap/>
            <w:vAlign w:val="center"/>
          </w:tcPr>
          <w:p w14:paraId="61C3BBE5">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运营期现金流入</w:t>
            </w:r>
          </w:p>
        </w:tc>
        <w:tc>
          <w:tcPr>
            <w:tcW w:w="604" w:type="pct"/>
            <w:shd w:val="clear" w:color="000000" w:fill="FFFFFF"/>
            <w:noWrap/>
            <w:vAlign w:val="center"/>
          </w:tcPr>
          <w:p w14:paraId="2D0C2BF1">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594" w:type="pct"/>
            <w:shd w:val="clear" w:color="000000" w:fill="FFFFFF"/>
            <w:noWrap/>
            <w:vAlign w:val="center"/>
          </w:tcPr>
          <w:p w14:paraId="46FE77AB">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547" w:type="pct"/>
            <w:shd w:val="clear" w:color="000000" w:fill="FFFFFF"/>
            <w:noWrap/>
            <w:vAlign w:val="center"/>
          </w:tcPr>
          <w:p w14:paraId="2B41C106">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547" w:type="pct"/>
            <w:shd w:val="clear" w:color="000000" w:fill="FFFFFF"/>
            <w:noWrap/>
            <w:vAlign w:val="center"/>
          </w:tcPr>
          <w:p w14:paraId="1496DE3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547" w:type="pct"/>
            <w:shd w:val="clear" w:color="000000" w:fill="FFFFFF"/>
            <w:noWrap/>
            <w:vAlign w:val="center"/>
          </w:tcPr>
          <w:p w14:paraId="7AD7D86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5,751</w:t>
            </w:r>
          </w:p>
        </w:tc>
        <w:tc>
          <w:tcPr>
            <w:tcW w:w="547" w:type="pct"/>
            <w:shd w:val="clear" w:color="000000" w:fill="FFFFFF"/>
            <w:noWrap/>
            <w:vAlign w:val="center"/>
          </w:tcPr>
          <w:p w14:paraId="4596650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479</w:t>
            </w:r>
          </w:p>
        </w:tc>
        <w:tc>
          <w:tcPr>
            <w:tcW w:w="547" w:type="pct"/>
            <w:shd w:val="clear" w:color="000000" w:fill="FFFFFF"/>
            <w:noWrap/>
            <w:vAlign w:val="center"/>
          </w:tcPr>
          <w:p w14:paraId="35AF7805">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52,239</w:t>
            </w:r>
          </w:p>
        </w:tc>
      </w:tr>
      <w:tr w14:paraId="21C21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jc w:val="center"/>
        </w:trPr>
        <w:tc>
          <w:tcPr>
            <w:tcW w:w="1069" w:type="pct"/>
            <w:shd w:val="clear" w:color="000000" w:fill="FFFFFF"/>
            <w:noWrap/>
            <w:vAlign w:val="center"/>
          </w:tcPr>
          <w:p w14:paraId="2A66D707">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现金流入总额</w:t>
            </w:r>
          </w:p>
        </w:tc>
        <w:tc>
          <w:tcPr>
            <w:tcW w:w="604" w:type="pct"/>
            <w:shd w:val="clear" w:color="000000" w:fill="FFFFFF"/>
            <w:noWrap/>
            <w:vAlign w:val="center"/>
          </w:tcPr>
          <w:p w14:paraId="46540068">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594" w:type="pct"/>
            <w:shd w:val="clear" w:color="000000" w:fill="FFFFFF"/>
            <w:noWrap/>
            <w:vAlign w:val="center"/>
          </w:tcPr>
          <w:p w14:paraId="1FA07FF5">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547" w:type="pct"/>
            <w:shd w:val="clear" w:color="000000" w:fill="FFFFFF"/>
            <w:noWrap/>
            <w:vAlign w:val="center"/>
          </w:tcPr>
          <w:p w14:paraId="6B599C3D">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547" w:type="pct"/>
            <w:shd w:val="clear" w:color="000000" w:fill="FFFFFF"/>
            <w:noWrap/>
            <w:vAlign w:val="center"/>
          </w:tcPr>
          <w:p w14:paraId="67CBBFE0">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547" w:type="pct"/>
            <w:shd w:val="clear" w:color="000000" w:fill="FFFFFF"/>
            <w:noWrap/>
            <w:vAlign w:val="center"/>
          </w:tcPr>
          <w:p w14:paraId="0E8CEDFD">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5,751</w:t>
            </w:r>
          </w:p>
        </w:tc>
        <w:tc>
          <w:tcPr>
            <w:tcW w:w="547" w:type="pct"/>
            <w:shd w:val="clear" w:color="000000" w:fill="FFFFFF"/>
            <w:noWrap/>
            <w:vAlign w:val="center"/>
          </w:tcPr>
          <w:p w14:paraId="4F92AED1">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479</w:t>
            </w:r>
          </w:p>
        </w:tc>
        <w:tc>
          <w:tcPr>
            <w:tcW w:w="547" w:type="pct"/>
            <w:shd w:val="clear" w:color="000000" w:fill="FFFFFF"/>
            <w:noWrap/>
            <w:vAlign w:val="center"/>
          </w:tcPr>
          <w:p w14:paraId="494972B3">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91,679</w:t>
            </w:r>
          </w:p>
        </w:tc>
      </w:tr>
      <w:tr w14:paraId="573E0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1069" w:type="pct"/>
            <w:shd w:val="clear" w:color="000000" w:fill="FFFFFF"/>
            <w:noWrap/>
            <w:vAlign w:val="center"/>
          </w:tcPr>
          <w:p w14:paraId="2D057F0E">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现金流出</w:t>
            </w:r>
          </w:p>
        </w:tc>
        <w:tc>
          <w:tcPr>
            <w:tcW w:w="604" w:type="pct"/>
            <w:shd w:val="clear" w:color="000000" w:fill="FFFFFF"/>
            <w:noWrap/>
            <w:vAlign w:val="center"/>
          </w:tcPr>
          <w:p w14:paraId="46E81241">
            <w:pPr>
              <w:widowControl/>
              <w:spacing w:line="240" w:lineRule="auto"/>
              <w:ind w:firstLine="0" w:firstLineChars="0"/>
              <w:jc w:val="right"/>
              <w:rPr>
                <w:rFonts w:ascii="仿宋" w:hAnsi="仿宋" w:eastAsia="仿宋" w:cs="宋体"/>
                <w:kern w:val="0"/>
                <w:sz w:val="20"/>
                <w:szCs w:val="20"/>
              </w:rPr>
            </w:pPr>
          </w:p>
        </w:tc>
        <w:tc>
          <w:tcPr>
            <w:tcW w:w="594" w:type="pct"/>
            <w:shd w:val="clear" w:color="000000" w:fill="FFFFFF"/>
            <w:noWrap/>
            <w:vAlign w:val="center"/>
          </w:tcPr>
          <w:p w14:paraId="50111D1B">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3B967850">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1692774C">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0BF7571C">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2AD57F00">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5B75F4D2">
            <w:pPr>
              <w:widowControl/>
              <w:spacing w:line="240" w:lineRule="auto"/>
              <w:ind w:firstLine="0" w:firstLineChars="0"/>
              <w:jc w:val="right"/>
              <w:rPr>
                <w:rFonts w:ascii="仿宋" w:hAnsi="仿宋" w:eastAsia="仿宋" w:cs="宋体"/>
                <w:kern w:val="0"/>
                <w:sz w:val="20"/>
                <w:szCs w:val="20"/>
              </w:rPr>
            </w:pPr>
          </w:p>
        </w:tc>
      </w:tr>
      <w:tr w14:paraId="1257D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1069" w:type="pct"/>
            <w:shd w:val="clear" w:color="000000" w:fill="FFFFFF"/>
            <w:noWrap/>
            <w:vAlign w:val="center"/>
          </w:tcPr>
          <w:p w14:paraId="011D8A63">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建设期资金流出</w:t>
            </w:r>
          </w:p>
        </w:tc>
        <w:tc>
          <w:tcPr>
            <w:tcW w:w="604" w:type="pct"/>
            <w:shd w:val="clear" w:color="000000" w:fill="FFFFFF"/>
            <w:noWrap/>
            <w:vAlign w:val="center"/>
          </w:tcPr>
          <w:p w14:paraId="65529E1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94" w:type="pct"/>
            <w:shd w:val="clear" w:color="000000" w:fill="FFFFFF"/>
            <w:noWrap/>
            <w:vAlign w:val="center"/>
          </w:tcPr>
          <w:p w14:paraId="2D8836B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5DA90085">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785E4E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26AC468B">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A1B124C">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B99B23F">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39,168</w:t>
            </w:r>
          </w:p>
        </w:tc>
      </w:tr>
      <w:tr w14:paraId="128CD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069" w:type="pct"/>
            <w:shd w:val="clear" w:color="000000" w:fill="FFFFFF"/>
            <w:noWrap/>
            <w:vAlign w:val="center"/>
          </w:tcPr>
          <w:p w14:paraId="4FC7FE1C">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运营期现金流出</w:t>
            </w:r>
          </w:p>
        </w:tc>
        <w:tc>
          <w:tcPr>
            <w:tcW w:w="604" w:type="pct"/>
            <w:shd w:val="clear" w:color="000000" w:fill="FFFFFF"/>
            <w:noWrap/>
            <w:vAlign w:val="center"/>
          </w:tcPr>
          <w:p w14:paraId="466C4F7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594" w:type="pct"/>
            <w:shd w:val="clear" w:color="000000" w:fill="FFFFFF"/>
            <w:noWrap/>
            <w:vAlign w:val="center"/>
          </w:tcPr>
          <w:p w14:paraId="44315329">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547" w:type="pct"/>
            <w:shd w:val="clear" w:color="000000" w:fill="FFFFFF"/>
            <w:noWrap/>
            <w:vAlign w:val="center"/>
          </w:tcPr>
          <w:p w14:paraId="335017F3">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547" w:type="pct"/>
            <w:shd w:val="clear" w:color="000000" w:fill="FFFFFF"/>
            <w:noWrap/>
            <w:vAlign w:val="center"/>
          </w:tcPr>
          <w:p w14:paraId="22B386C4">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3,653</w:t>
            </w:r>
          </w:p>
        </w:tc>
        <w:tc>
          <w:tcPr>
            <w:tcW w:w="547" w:type="pct"/>
            <w:shd w:val="clear" w:color="000000" w:fill="FFFFFF"/>
            <w:noWrap/>
            <w:vAlign w:val="center"/>
          </w:tcPr>
          <w:p w14:paraId="5C45DD9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3,656</w:t>
            </w:r>
          </w:p>
        </w:tc>
        <w:tc>
          <w:tcPr>
            <w:tcW w:w="547" w:type="pct"/>
            <w:shd w:val="clear" w:color="000000" w:fill="FFFFFF"/>
            <w:noWrap/>
            <w:vAlign w:val="center"/>
          </w:tcPr>
          <w:p w14:paraId="7F5332F6">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306</w:t>
            </w:r>
          </w:p>
        </w:tc>
        <w:tc>
          <w:tcPr>
            <w:tcW w:w="547" w:type="pct"/>
            <w:shd w:val="clear" w:color="000000" w:fill="FFFFFF"/>
            <w:noWrap/>
            <w:vAlign w:val="center"/>
          </w:tcPr>
          <w:p w14:paraId="35D6F54A">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33,187</w:t>
            </w:r>
          </w:p>
        </w:tc>
      </w:tr>
      <w:tr w14:paraId="319FF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jc w:val="center"/>
        </w:trPr>
        <w:tc>
          <w:tcPr>
            <w:tcW w:w="1069" w:type="pct"/>
            <w:shd w:val="clear" w:color="000000" w:fill="FFFFFF"/>
            <w:noWrap/>
            <w:vAlign w:val="center"/>
          </w:tcPr>
          <w:p w14:paraId="41143B0E">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债券还本付息</w:t>
            </w:r>
          </w:p>
        </w:tc>
        <w:tc>
          <w:tcPr>
            <w:tcW w:w="604" w:type="pct"/>
            <w:shd w:val="clear" w:color="000000" w:fill="FFFFFF"/>
            <w:noWrap/>
            <w:vAlign w:val="center"/>
          </w:tcPr>
          <w:p w14:paraId="402A69DE">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594" w:type="pct"/>
            <w:shd w:val="clear" w:color="000000" w:fill="FFFFFF"/>
            <w:noWrap/>
            <w:vAlign w:val="center"/>
          </w:tcPr>
          <w:p w14:paraId="362C451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547" w:type="pct"/>
            <w:shd w:val="clear" w:color="000000" w:fill="FFFFFF"/>
            <w:noWrap/>
            <w:vAlign w:val="center"/>
          </w:tcPr>
          <w:p w14:paraId="5B62415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547" w:type="pct"/>
            <w:shd w:val="clear" w:color="000000" w:fill="FFFFFF"/>
            <w:noWrap/>
            <w:vAlign w:val="center"/>
          </w:tcPr>
          <w:p w14:paraId="637282B8">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265</w:t>
            </w:r>
          </w:p>
        </w:tc>
        <w:tc>
          <w:tcPr>
            <w:tcW w:w="547" w:type="pct"/>
            <w:shd w:val="clear" w:color="000000" w:fill="FFFFFF"/>
            <w:noWrap/>
            <w:vAlign w:val="center"/>
          </w:tcPr>
          <w:p w14:paraId="3B0DC94D">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10,253</w:t>
            </w:r>
          </w:p>
        </w:tc>
        <w:tc>
          <w:tcPr>
            <w:tcW w:w="547" w:type="pct"/>
            <w:shd w:val="clear" w:color="000000" w:fill="FFFFFF"/>
            <w:noWrap/>
            <w:vAlign w:val="center"/>
          </w:tcPr>
          <w:p w14:paraId="1AF05D80">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2,018</w:t>
            </w:r>
          </w:p>
        </w:tc>
        <w:tc>
          <w:tcPr>
            <w:tcW w:w="547" w:type="pct"/>
            <w:shd w:val="clear" w:color="000000" w:fill="FFFFFF"/>
            <w:noWrap/>
            <w:vAlign w:val="center"/>
          </w:tcPr>
          <w:p w14:paraId="123FB8C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14,654</w:t>
            </w:r>
          </w:p>
        </w:tc>
      </w:tr>
      <w:tr w14:paraId="77C9F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69" w:type="pct"/>
            <w:shd w:val="clear" w:color="000000" w:fill="FFFFFF"/>
            <w:noWrap/>
            <w:vAlign w:val="center"/>
          </w:tcPr>
          <w:p w14:paraId="602E790B">
            <w:pPr>
              <w:widowControl/>
              <w:spacing w:line="240" w:lineRule="auto"/>
              <w:ind w:firstLine="0" w:firstLineChars="0"/>
              <w:jc w:val="left"/>
              <w:rPr>
                <w:rFonts w:ascii="仿宋" w:hAnsi="仿宋" w:eastAsia="仿宋" w:cs="宋体"/>
                <w:kern w:val="0"/>
                <w:sz w:val="20"/>
                <w:szCs w:val="20"/>
              </w:rPr>
            </w:pPr>
            <w:r>
              <w:rPr>
                <w:rFonts w:hint="eastAsia" w:ascii="仿宋" w:hAnsi="仿宋" w:eastAsia="仿宋" w:cs="宋体"/>
                <w:kern w:val="0"/>
                <w:sz w:val="20"/>
                <w:szCs w:val="20"/>
              </w:rPr>
              <w:t>债券发行费用</w:t>
            </w:r>
          </w:p>
        </w:tc>
        <w:tc>
          <w:tcPr>
            <w:tcW w:w="604" w:type="pct"/>
            <w:shd w:val="clear" w:color="000000" w:fill="FFFFFF"/>
            <w:noWrap/>
            <w:vAlign w:val="center"/>
          </w:tcPr>
          <w:p w14:paraId="71E687CA">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94" w:type="pct"/>
            <w:shd w:val="clear" w:color="000000" w:fill="FFFFFF"/>
            <w:noWrap/>
            <w:vAlign w:val="center"/>
          </w:tcPr>
          <w:p w14:paraId="33F446B2">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D48ED4F">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31C4D6F4">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67770DA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5D53B6A7">
            <w:pPr>
              <w:widowControl/>
              <w:spacing w:line="240" w:lineRule="auto"/>
              <w:ind w:firstLine="0" w:firstLineChars="0"/>
              <w:jc w:val="right"/>
              <w:rPr>
                <w:rFonts w:ascii="仿宋" w:hAnsi="仿宋" w:eastAsia="仿宋" w:cs="宋体"/>
                <w:kern w:val="0"/>
                <w:sz w:val="20"/>
                <w:szCs w:val="20"/>
              </w:rPr>
            </w:pPr>
            <w:r>
              <w:rPr>
                <w:rFonts w:hint="eastAsia" w:ascii="仿宋" w:hAnsi="仿宋" w:eastAsia="仿宋" w:cs="宋体"/>
                <w:kern w:val="0"/>
                <w:sz w:val="20"/>
                <w:szCs w:val="20"/>
              </w:rPr>
              <w:t>-</w:t>
            </w:r>
          </w:p>
        </w:tc>
        <w:tc>
          <w:tcPr>
            <w:tcW w:w="547" w:type="pct"/>
            <w:shd w:val="clear" w:color="000000" w:fill="FFFFFF"/>
            <w:noWrap/>
            <w:vAlign w:val="center"/>
          </w:tcPr>
          <w:p w14:paraId="6F930F97">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12</w:t>
            </w:r>
          </w:p>
        </w:tc>
      </w:tr>
      <w:tr w14:paraId="19EF9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1069" w:type="pct"/>
            <w:shd w:val="clear" w:color="000000" w:fill="FFFFFF"/>
            <w:noWrap/>
            <w:vAlign w:val="center"/>
          </w:tcPr>
          <w:p w14:paraId="19D8AA2B">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现金流出总额</w:t>
            </w:r>
          </w:p>
        </w:tc>
        <w:tc>
          <w:tcPr>
            <w:tcW w:w="604" w:type="pct"/>
            <w:shd w:val="clear" w:color="000000" w:fill="FFFFFF"/>
            <w:noWrap/>
            <w:vAlign w:val="center"/>
          </w:tcPr>
          <w:p w14:paraId="2804F230">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594" w:type="pct"/>
            <w:shd w:val="clear" w:color="000000" w:fill="FFFFFF"/>
            <w:noWrap/>
            <w:vAlign w:val="center"/>
          </w:tcPr>
          <w:p w14:paraId="60CBE89D">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547" w:type="pct"/>
            <w:shd w:val="clear" w:color="000000" w:fill="FFFFFF"/>
            <w:noWrap/>
            <w:vAlign w:val="center"/>
          </w:tcPr>
          <w:p w14:paraId="09A7AC53">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547" w:type="pct"/>
            <w:shd w:val="clear" w:color="000000" w:fill="FFFFFF"/>
            <w:noWrap/>
            <w:vAlign w:val="center"/>
          </w:tcPr>
          <w:p w14:paraId="008AA51A">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3,919</w:t>
            </w:r>
          </w:p>
        </w:tc>
        <w:tc>
          <w:tcPr>
            <w:tcW w:w="547" w:type="pct"/>
            <w:shd w:val="clear" w:color="000000" w:fill="FFFFFF"/>
            <w:noWrap/>
            <w:vAlign w:val="center"/>
          </w:tcPr>
          <w:p w14:paraId="61EC8BB8">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13,909</w:t>
            </w:r>
          </w:p>
        </w:tc>
        <w:tc>
          <w:tcPr>
            <w:tcW w:w="547" w:type="pct"/>
            <w:shd w:val="clear" w:color="000000" w:fill="FFFFFF"/>
            <w:noWrap/>
            <w:vAlign w:val="center"/>
          </w:tcPr>
          <w:p w14:paraId="4AB8F14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2,323</w:t>
            </w:r>
          </w:p>
        </w:tc>
        <w:tc>
          <w:tcPr>
            <w:tcW w:w="547" w:type="pct"/>
            <w:shd w:val="clear" w:color="000000" w:fill="FFFFFF"/>
            <w:noWrap/>
            <w:vAlign w:val="center"/>
          </w:tcPr>
          <w:p w14:paraId="340E0C03">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87,020</w:t>
            </w:r>
          </w:p>
        </w:tc>
      </w:tr>
      <w:tr w14:paraId="21861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 w:hRule="atLeast"/>
          <w:jc w:val="center"/>
        </w:trPr>
        <w:tc>
          <w:tcPr>
            <w:tcW w:w="1069" w:type="pct"/>
            <w:shd w:val="clear" w:color="000000" w:fill="FFFFFF"/>
            <w:noWrap/>
            <w:vAlign w:val="center"/>
          </w:tcPr>
          <w:p w14:paraId="18985680">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现金净流量</w:t>
            </w:r>
          </w:p>
        </w:tc>
        <w:tc>
          <w:tcPr>
            <w:tcW w:w="604" w:type="pct"/>
            <w:shd w:val="clear" w:color="000000" w:fill="FFFFFF"/>
            <w:noWrap/>
            <w:vAlign w:val="center"/>
          </w:tcPr>
          <w:p w14:paraId="273B2945">
            <w:pPr>
              <w:widowControl/>
              <w:spacing w:line="240" w:lineRule="auto"/>
              <w:ind w:firstLine="0" w:firstLineChars="0"/>
              <w:jc w:val="right"/>
              <w:rPr>
                <w:rFonts w:ascii="仿宋" w:hAnsi="仿宋" w:eastAsia="仿宋" w:cs="宋体"/>
                <w:kern w:val="0"/>
                <w:sz w:val="20"/>
                <w:szCs w:val="20"/>
              </w:rPr>
            </w:pPr>
          </w:p>
        </w:tc>
        <w:tc>
          <w:tcPr>
            <w:tcW w:w="594" w:type="pct"/>
            <w:shd w:val="clear" w:color="000000" w:fill="FFFFFF"/>
            <w:noWrap/>
            <w:vAlign w:val="center"/>
          </w:tcPr>
          <w:p w14:paraId="23AAFB75">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717D849A">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7755049F">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139F518F">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62088FEC">
            <w:pPr>
              <w:widowControl/>
              <w:spacing w:line="240" w:lineRule="auto"/>
              <w:ind w:firstLine="0" w:firstLineChars="0"/>
              <w:jc w:val="right"/>
              <w:rPr>
                <w:rFonts w:ascii="仿宋" w:hAnsi="仿宋" w:eastAsia="仿宋" w:cs="宋体"/>
                <w:kern w:val="0"/>
                <w:sz w:val="20"/>
                <w:szCs w:val="20"/>
              </w:rPr>
            </w:pPr>
          </w:p>
        </w:tc>
        <w:tc>
          <w:tcPr>
            <w:tcW w:w="547" w:type="pct"/>
            <w:shd w:val="clear" w:color="000000" w:fill="FFFFFF"/>
            <w:noWrap/>
            <w:vAlign w:val="center"/>
          </w:tcPr>
          <w:p w14:paraId="7D863AAE">
            <w:pPr>
              <w:widowControl/>
              <w:spacing w:line="240" w:lineRule="auto"/>
              <w:ind w:firstLine="0" w:firstLineChars="0"/>
              <w:jc w:val="right"/>
              <w:rPr>
                <w:rFonts w:ascii="仿宋" w:hAnsi="仿宋" w:eastAsia="仿宋" w:cs="宋体"/>
                <w:kern w:val="0"/>
                <w:sz w:val="20"/>
                <w:szCs w:val="20"/>
              </w:rPr>
            </w:pPr>
          </w:p>
        </w:tc>
      </w:tr>
      <w:tr w14:paraId="211A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069" w:type="pct"/>
            <w:shd w:val="clear" w:color="000000" w:fill="FFFFFF"/>
            <w:noWrap/>
            <w:vAlign w:val="center"/>
          </w:tcPr>
          <w:p w14:paraId="316A6FDC">
            <w:pPr>
              <w:widowControl/>
              <w:spacing w:line="240" w:lineRule="auto"/>
              <w:ind w:firstLine="0" w:firstLineChars="0"/>
              <w:jc w:val="left"/>
              <w:rPr>
                <w:rFonts w:ascii="仿宋" w:hAnsi="仿宋" w:eastAsia="仿宋" w:cs="宋体"/>
                <w:b/>
                <w:bCs/>
                <w:kern w:val="0"/>
                <w:sz w:val="20"/>
                <w:szCs w:val="20"/>
              </w:rPr>
            </w:pPr>
            <w:r>
              <w:rPr>
                <w:rFonts w:hint="eastAsia" w:ascii="仿宋" w:hAnsi="仿宋" w:eastAsia="仿宋" w:cs="宋体"/>
                <w:b/>
                <w:bCs/>
                <w:kern w:val="0"/>
                <w:sz w:val="20"/>
                <w:szCs w:val="20"/>
              </w:rPr>
              <w:t>当年项目现金净流入</w:t>
            </w:r>
          </w:p>
        </w:tc>
        <w:tc>
          <w:tcPr>
            <w:tcW w:w="604" w:type="pct"/>
            <w:shd w:val="clear" w:color="000000" w:fill="FFFFFF"/>
            <w:noWrap/>
            <w:vAlign w:val="center"/>
          </w:tcPr>
          <w:p w14:paraId="5B5223EF">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594" w:type="pct"/>
            <w:shd w:val="clear" w:color="000000" w:fill="FFFFFF"/>
            <w:noWrap/>
            <w:vAlign w:val="center"/>
          </w:tcPr>
          <w:p w14:paraId="79397FEE">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547" w:type="pct"/>
            <w:shd w:val="clear" w:color="000000" w:fill="FFFFFF"/>
            <w:noWrap/>
            <w:vAlign w:val="center"/>
          </w:tcPr>
          <w:p w14:paraId="2DEDD42F">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547" w:type="pct"/>
            <w:shd w:val="clear" w:color="000000" w:fill="FFFFFF"/>
            <w:noWrap/>
            <w:vAlign w:val="center"/>
          </w:tcPr>
          <w:p w14:paraId="17F1D955">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1,833</w:t>
            </w:r>
          </w:p>
        </w:tc>
        <w:tc>
          <w:tcPr>
            <w:tcW w:w="547" w:type="pct"/>
            <w:shd w:val="clear" w:color="000000" w:fill="FFFFFF"/>
            <w:noWrap/>
            <w:vAlign w:val="center"/>
          </w:tcPr>
          <w:p w14:paraId="342B4595">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-8,158</w:t>
            </w:r>
          </w:p>
        </w:tc>
        <w:tc>
          <w:tcPr>
            <w:tcW w:w="547" w:type="pct"/>
            <w:shd w:val="clear" w:color="000000" w:fill="FFFFFF"/>
            <w:noWrap/>
            <w:vAlign w:val="center"/>
          </w:tcPr>
          <w:p w14:paraId="7B192557">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-1,844</w:t>
            </w:r>
          </w:p>
        </w:tc>
        <w:tc>
          <w:tcPr>
            <w:tcW w:w="547" w:type="pct"/>
            <w:shd w:val="clear" w:color="000000" w:fill="FFFFFF"/>
            <w:noWrap/>
            <w:vAlign w:val="center"/>
          </w:tcPr>
          <w:p w14:paraId="0EBA6E00">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r>
      <w:tr w14:paraId="709CB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1069" w:type="pct"/>
            <w:shd w:val="clear" w:color="000000" w:fill="FFFFFF"/>
            <w:noWrap/>
            <w:vAlign w:val="center"/>
          </w:tcPr>
          <w:p w14:paraId="1552111A">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期末项目累计现金结存额</w:t>
            </w:r>
          </w:p>
        </w:tc>
        <w:tc>
          <w:tcPr>
            <w:tcW w:w="604" w:type="pct"/>
            <w:shd w:val="clear" w:color="000000" w:fill="FFFFFF"/>
            <w:noWrap/>
            <w:vAlign w:val="center"/>
          </w:tcPr>
          <w:p w14:paraId="0866C6F9">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9,163</w:t>
            </w:r>
          </w:p>
        </w:tc>
        <w:tc>
          <w:tcPr>
            <w:tcW w:w="594" w:type="pct"/>
            <w:shd w:val="clear" w:color="000000" w:fill="FFFFFF"/>
            <w:noWrap/>
            <w:vAlign w:val="center"/>
          </w:tcPr>
          <w:p w14:paraId="69EBFE98">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10,995</w:t>
            </w:r>
          </w:p>
        </w:tc>
        <w:tc>
          <w:tcPr>
            <w:tcW w:w="547" w:type="pct"/>
            <w:shd w:val="clear" w:color="000000" w:fill="FFFFFF"/>
            <w:noWrap/>
            <w:vAlign w:val="center"/>
          </w:tcPr>
          <w:p w14:paraId="1D92F9A4">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12,828</w:t>
            </w:r>
          </w:p>
        </w:tc>
        <w:tc>
          <w:tcPr>
            <w:tcW w:w="547" w:type="pct"/>
            <w:shd w:val="clear" w:color="000000" w:fill="FFFFFF"/>
            <w:noWrap/>
            <w:vAlign w:val="center"/>
          </w:tcPr>
          <w:p w14:paraId="2A7FDC0D">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14,661</w:t>
            </w:r>
          </w:p>
        </w:tc>
        <w:tc>
          <w:tcPr>
            <w:tcW w:w="547" w:type="pct"/>
            <w:shd w:val="clear" w:color="000000" w:fill="FFFFFF"/>
            <w:noWrap/>
            <w:vAlign w:val="center"/>
          </w:tcPr>
          <w:p w14:paraId="06299F8A">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6,502</w:t>
            </w:r>
          </w:p>
        </w:tc>
        <w:tc>
          <w:tcPr>
            <w:tcW w:w="547" w:type="pct"/>
            <w:shd w:val="clear" w:color="000000" w:fill="FFFFFF"/>
            <w:noWrap/>
            <w:vAlign w:val="center"/>
          </w:tcPr>
          <w:p w14:paraId="05DA292F">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4,658</w:t>
            </w:r>
          </w:p>
        </w:tc>
        <w:tc>
          <w:tcPr>
            <w:tcW w:w="547" w:type="pct"/>
            <w:shd w:val="clear" w:color="000000" w:fill="FFFFFF"/>
            <w:noWrap/>
            <w:vAlign w:val="center"/>
          </w:tcPr>
          <w:p w14:paraId="1D6A9E75">
            <w:pPr>
              <w:widowControl/>
              <w:spacing w:line="240" w:lineRule="auto"/>
              <w:ind w:firstLine="0" w:firstLineChars="0"/>
              <w:jc w:val="right"/>
              <w:rPr>
                <w:rFonts w:ascii="仿宋" w:hAnsi="仿宋" w:eastAsia="仿宋" w:cs="宋体"/>
                <w:b/>
                <w:bCs/>
                <w:kern w:val="0"/>
                <w:sz w:val="20"/>
                <w:szCs w:val="20"/>
              </w:rPr>
            </w:pPr>
            <w:r>
              <w:rPr>
                <w:rFonts w:hint="eastAsia" w:ascii="仿宋" w:hAnsi="仿宋" w:eastAsia="仿宋" w:cs="宋体"/>
                <w:b/>
                <w:bCs/>
                <w:kern w:val="0"/>
                <w:sz w:val="20"/>
                <w:szCs w:val="20"/>
              </w:rPr>
              <w:t>-</w:t>
            </w:r>
          </w:p>
        </w:tc>
      </w:tr>
    </w:tbl>
    <w:p w14:paraId="5AA045A4">
      <w:pPr>
        <w:spacing w:line="259" w:lineRule="auto"/>
        <w:ind w:right="-36" w:rightChars="-15" w:firstLine="400"/>
        <w:jc w:val="right"/>
        <w:rPr>
          <w:rFonts w:ascii="仿宋" w:hAnsi="仿宋" w:eastAsia="仿宋"/>
          <w:sz w:val="20"/>
          <w:szCs w:val="20"/>
        </w:rPr>
      </w:pPr>
    </w:p>
    <w:p w14:paraId="7C085FA5">
      <w:pPr>
        <w:spacing w:line="259" w:lineRule="auto"/>
        <w:ind w:right="-36" w:rightChars="-15" w:firstLine="400"/>
        <w:jc w:val="right"/>
        <w:rPr>
          <w:rFonts w:ascii="仿宋" w:hAnsi="仿宋" w:eastAsia="仿宋"/>
          <w:sz w:val="20"/>
          <w:szCs w:val="20"/>
        </w:rPr>
      </w:pPr>
    </w:p>
    <w:p w14:paraId="6D07FCBB">
      <w:pPr>
        <w:spacing w:line="259" w:lineRule="auto"/>
        <w:ind w:right="-36" w:rightChars="-15" w:firstLine="400"/>
        <w:jc w:val="right"/>
        <w:rPr>
          <w:rFonts w:ascii="仿宋" w:hAnsi="仿宋" w:eastAsia="仿宋"/>
          <w:sz w:val="20"/>
          <w:szCs w:val="20"/>
        </w:rPr>
      </w:pPr>
    </w:p>
    <w:p w14:paraId="5E6EB871">
      <w:pPr>
        <w:ind w:right="84" w:firstLine="400"/>
        <w:rPr>
          <w:rFonts w:ascii="仿宋" w:hAnsi="仿宋" w:eastAsia="仿宋"/>
          <w:sz w:val="20"/>
          <w:szCs w:val="20"/>
        </w:rPr>
      </w:pPr>
    </w:p>
    <w:p w14:paraId="58A6B678">
      <w:pPr>
        <w:spacing w:line="259" w:lineRule="auto"/>
        <w:ind w:right="-720" w:rightChars="-300" w:firstLine="400"/>
        <w:jc w:val="right"/>
        <w:rPr>
          <w:rFonts w:ascii="仿宋" w:hAnsi="仿宋" w:eastAsia="仿宋"/>
          <w:sz w:val="20"/>
          <w:szCs w:val="20"/>
        </w:rPr>
      </w:pPr>
    </w:p>
    <w:p w14:paraId="0EB2F742">
      <w:pPr>
        <w:ind w:right="84" w:firstLine="482"/>
        <w:rPr>
          <w:rFonts w:ascii="仿宋" w:hAnsi="仿宋" w:eastAsia="仿宋"/>
          <w:b/>
          <w:color w:val="000000"/>
        </w:rPr>
        <w:sectPr>
          <w:pgSz w:w="12240" w:h="15840"/>
          <w:pgMar w:top="1276" w:right="1800" w:bottom="1276" w:left="1800" w:header="708" w:footer="850" w:gutter="0"/>
          <w:cols w:space="708" w:num="1"/>
          <w:docGrid w:linePitch="360" w:charSpace="0"/>
        </w:sectPr>
      </w:pPr>
      <w:r>
        <w:rPr>
          <w:rFonts w:ascii="仿宋" w:hAnsi="仿宋" w:eastAsia="仿宋"/>
          <w:b/>
          <w:color w:val="000000"/>
        </w:rPr>
        <w:br w:type="page"/>
      </w:r>
    </w:p>
    <w:p w14:paraId="02C45468">
      <w:pPr>
        <w:autoSpaceDE w:val="0"/>
        <w:autoSpaceDN w:val="0"/>
        <w:adjustRightInd w:val="0"/>
        <w:spacing w:before="156"/>
        <w:ind w:right="84"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基于以上投资计划、资金筹措安排，我们未发现建设期内所需建设资金存在缺口的情况，且项目每年资金余额为正值，满足项目自身收益还本付息的前提下，仍有富余资金，显示项目具备一定的盈利能力、偿债能力和可持续性。</w:t>
      </w:r>
    </w:p>
    <w:p w14:paraId="6C5631A6">
      <w:pPr>
        <w:pStyle w:val="4"/>
        <w:spacing w:before="156"/>
        <w:ind w:left="0"/>
        <w:rPr>
          <w:lang w:val="en-GB"/>
        </w:rPr>
      </w:pPr>
      <w:bookmarkStart w:id="41" w:name="_Toc183188347"/>
      <w:bookmarkStart w:id="42" w:name="_Toc200711873"/>
      <w:bookmarkStart w:id="43" w:name="_Toc118825514"/>
      <w:r>
        <w:rPr>
          <w:rFonts w:hint="eastAsia"/>
          <w:lang w:val="en-GB"/>
        </w:rPr>
        <w:t>（二）</w:t>
      </w:r>
      <w:r>
        <w:rPr>
          <w:lang w:val="en-GB"/>
        </w:rPr>
        <w:t>资金稳定性</w:t>
      </w:r>
      <w:bookmarkEnd w:id="41"/>
      <w:bookmarkEnd w:id="42"/>
    </w:p>
    <w:p w14:paraId="41BBA99C">
      <w:pPr>
        <w:widowControl/>
        <w:spacing w:before="156"/>
        <w:ind w:firstLine="56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bCs/>
          <w:color w:val="000000" w:themeColor="text1"/>
          <w:kern w:val="0"/>
          <w:sz w:val="28"/>
          <w:szCs w:val="28"/>
          <w14:textFill>
            <w14:solidFill>
              <w14:schemeClr w14:val="tx1"/>
            </w14:solidFill>
          </w14:textFill>
        </w:rPr>
        <w:t>海口江东新区总部集聚区基础设施建设项目</w:t>
      </w:r>
      <w:r>
        <w:rPr>
          <w:rFonts w:hint="eastAsia" w:ascii="仿宋" w:hAnsi="仿宋" w:eastAsia="仿宋"/>
          <w:color w:val="000000" w:themeColor="text1"/>
          <w:kern w:val="0"/>
          <w:sz w:val="28"/>
          <w:szCs w:val="28"/>
          <w14:textFill>
            <w14:solidFill>
              <w14:schemeClr w14:val="tx1"/>
            </w14:solidFill>
          </w14:textFill>
        </w:rPr>
        <w:t>以项目运营收入作为偿债收益来源。债券存续期（</w:t>
      </w:r>
      <w:r>
        <w:rPr>
          <w:rFonts w:ascii="仿宋" w:hAnsi="仿宋" w:eastAsia="仿宋"/>
          <w:color w:val="000000" w:themeColor="text1"/>
          <w:kern w:val="0"/>
          <w:sz w:val="28"/>
          <w:szCs w:val="28"/>
          <w14:textFill>
            <w14:solidFill>
              <w14:schemeClr w14:val="tx1"/>
            </w14:solidFill>
          </w14:textFill>
        </w:rPr>
        <w:t>2024-20</w:t>
      </w:r>
      <w:r>
        <w:rPr>
          <w:rFonts w:hint="eastAsia" w:ascii="仿宋" w:hAnsi="仿宋" w:eastAsia="仿宋"/>
          <w:color w:val="000000" w:themeColor="text1"/>
          <w:kern w:val="0"/>
          <w:sz w:val="28"/>
          <w:szCs w:val="28"/>
          <w14:textFill>
            <w14:solidFill>
              <w14:schemeClr w14:val="tx1"/>
            </w14:solidFill>
          </w14:textFill>
        </w:rPr>
        <w:t>35</w:t>
      </w:r>
      <w:r>
        <w:rPr>
          <w:rFonts w:ascii="仿宋" w:hAnsi="仿宋" w:eastAsia="仿宋"/>
          <w:color w:val="000000" w:themeColor="text1"/>
          <w:kern w:val="0"/>
          <w:sz w:val="28"/>
          <w:szCs w:val="28"/>
          <w14:textFill>
            <w14:solidFill>
              <w14:schemeClr w14:val="tx1"/>
            </w14:solidFill>
          </w14:textFill>
        </w:rPr>
        <w:t>年）</w:t>
      </w:r>
      <w:r>
        <w:rPr>
          <w:rFonts w:hint="eastAsia" w:ascii="仿宋" w:hAnsi="仿宋" w:eastAsia="仿宋"/>
          <w:color w:val="000000" w:themeColor="text1"/>
          <w:kern w:val="0"/>
          <w:sz w:val="28"/>
          <w:szCs w:val="28"/>
          <w14:textFill>
            <w14:solidFill>
              <w14:schemeClr w14:val="tx1"/>
            </w14:solidFill>
          </w14:textFill>
        </w:rPr>
        <w:t>内各年现金净流量可覆盖债券存续期间各年利息及到期偿还本金的支出需求；专项债券存续期到期时，在偿还当年到期的债券本息后，仍有4,658万元的累计现金结余，综合本息覆盖倍数为</w:t>
      </w:r>
      <w:r>
        <w:rPr>
          <w:rFonts w:ascii="仿宋" w:hAnsi="仿宋" w:eastAsia="仿宋"/>
          <w:color w:val="000000" w:themeColor="text1"/>
          <w:kern w:val="0"/>
          <w:sz w:val="28"/>
          <w:szCs w:val="28"/>
          <w14:textFill>
            <w14:solidFill>
              <w14:schemeClr w14:val="tx1"/>
            </w14:solidFill>
          </w14:textFill>
        </w:rPr>
        <w:t>1.</w:t>
      </w:r>
      <w:r>
        <w:rPr>
          <w:rFonts w:hint="eastAsia" w:ascii="仿宋" w:hAnsi="仿宋" w:eastAsia="仿宋"/>
          <w:color w:val="000000" w:themeColor="text1"/>
          <w:kern w:val="0"/>
          <w:sz w:val="28"/>
          <w:szCs w:val="28"/>
          <w14:textFill>
            <w14:solidFill>
              <w14:schemeClr w14:val="tx1"/>
            </w14:solidFill>
          </w14:textFill>
        </w:rPr>
        <w:t>30。</w:t>
      </w:r>
      <w:r>
        <w:rPr>
          <w:rFonts w:ascii="仿宋" w:hAnsi="仿宋" w:eastAsia="仿宋" w:cs="楷体"/>
          <w:color w:val="000000" w:themeColor="text1"/>
          <w:kern w:val="0"/>
          <w:sz w:val="28"/>
          <w:szCs w:val="28"/>
          <w:lang w:val="en-GB"/>
          <w14:textFill>
            <w14:solidFill>
              <w14:schemeClr w14:val="tx1"/>
            </w14:solidFill>
          </w14:textFill>
        </w:rPr>
        <w:t>因此，</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项目资金稳定性较可靠。</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项目债券存续期内资金留存情况如</w:t>
      </w:r>
      <w:r>
        <w:rPr>
          <w:rFonts w:hint="eastAsia" w:ascii="仿宋" w:hAnsi="仿宋" w:eastAsia="仿宋" w:cs="楷体"/>
          <w:color w:val="000000" w:themeColor="text1"/>
          <w:kern w:val="0"/>
          <w:sz w:val="28"/>
          <w:szCs w:val="28"/>
          <w:lang w:val="en-GB"/>
          <w14:textFill>
            <w14:solidFill>
              <w14:schemeClr w14:val="tx1"/>
            </w14:solidFill>
          </w14:textFill>
        </w:rPr>
        <w:t>下图</w:t>
      </w:r>
      <w:r>
        <w:rPr>
          <w:rFonts w:ascii="仿宋" w:hAnsi="仿宋" w:eastAsia="仿宋" w:cs="楷体"/>
          <w:color w:val="000000" w:themeColor="text1"/>
          <w:kern w:val="0"/>
          <w:sz w:val="28"/>
          <w:szCs w:val="28"/>
          <w:lang w:val="en-GB"/>
          <w14:textFill>
            <w14:solidFill>
              <w14:schemeClr w14:val="tx1"/>
            </w14:solidFill>
          </w14:textFill>
        </w:rPr>
        <w:t>所示。</w:t>
      </w:r>
    </w:p>
    <w:p w14:paraId="0232F3F9">
      <w:pPr>
        <w:widowControl/>
        <w:spacing w:before="156"/>
        <w:ind w:firstLine="0" w:firstLineChars="0"/>
        <w:rPr>
          <w:rFonts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rPr>
        <w:drawing>
          <wp:inline distT="0" distB="0" distL="0" distR="0">
            <wp:extent cx="5274310" cy="3178175"/>
            <wp:effectExtent l="0" t="0" r="2540" b="3175"/>
            <wp:docPr id="142539308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41F8F73">
      <w:pPr>
        <w:widowControl/>
        <w:spacing w:before="156" w:after="120" w:line="240" w:lineRule="auto"/>
        <w:ind w:firstLine="482"/>
        <w:jc w:val="center"/>
        <w:rPr>
          <w:rFonts w:ascii="仿宋" w:hAnsi="仿宋" w:eastAsia="仿宋" w:cs="楷体"/>
          <w:color w:val="000000" w:themeColor="text1"/>
          <w:kern w:val="0"/>
          <w:sz w:val="28"/>
          <w:szCs w:val="28"/>
          <w14:textFill>
            <w14:solidFill>
              <w14:schemeClr w14:val="tx1"/>
            </w14:solidFill>
          </w14:textFill>
        </w:rPr>
      </w:pPr>
      <w:r>
        <w:rPr>
          <w:rFonts w:ascii="仿宋" w:hAnsi="仿宋" w:eastAsia="仿宋"/>
          <w:b/>
          <w:color w:val="000000" w:themeColor="text1"/>
          <w:kern w:val="0"/>
          <w:szCs w:val="24"/>
          <w14:textFill>
            <w14:solidFill>
              <w14:schemeClr w14:val="tx1"/>
            </w14:solidFill>
          </w14:textFill>
        </w:rPr>
        <w:t>图1债券存续期内项目累计资金留存情况</w:t>
      </w:r>
    </w:p>
    <w:p w14:paraId="759C29F0">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综上，</w:t>
      </w:r>
      <w:r>
        <w:rPr>
          <w:rFonts w:hint="eastAsia" w:ascii="仿宋" w:hAnsi="仿宋" w:eastAsia="仿宋"/>
          <w:color w:val="000000" w:themeColor="text1"/>
          <w:kern w:val="0"/>
          <w:sz w:val="28"/>
          <w:szCs w:val="28"/>
          <w14:textFill>
            <w14:solidFill>
              <w14:schemeClr w14:val="tx1"/>
            </w14:solidFill>
          </w14:textFill>
        </w:rPr>
        <w:t>针对本项目在调增后存续期内还本付息资金的测算，我们未注意到可能对本项目资金稳定性产生重大影响的情况。</w:t>
      </w:r>
    </w:p>
    <w:p w14:paraId="0301D3ED">
      <w:pPr>
        <w:pStyle w:val="4"/>
        <w:spacing w:before="156"/>
        <w:ind w:left="0"/>
        <w:rPr>
          <w:lang w:val="en-GB"/>
        </w:rPr>
      </w:pPr>
      <w:bookmarkStart w:id="44" w:name="_Toc183188348"/>
      <w:bookmarkStart w:id="45" w:name="_Toc200711874"/>
      <w:r>
        <w:rPr>
          <w:rFonts w:hint="eastAsia"/>
          <w:lang w:val="en-GB"/>
        </w:rPr>
        <w:t>（三）</w:t>
      </w:r>
      <w:r>
        <w:rPr>
          <w:lang w:val="en-GB"/>
        </w:rPr>
        <w:t>风险分析</w:t>
      </w:r>
      <w:bookmarkEnd w:id="44"/>
      <w:bookmarkEnd w:id="45"/>
    </w:p>
    <w:p w14:paraId="08C33508">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根据</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项目收益与融资平衡的压力测试结果，</w:t>
      </w:r>
      <w:r>
        <w:rPr>
          <w:rFonts w:hint="eastAsia" w:ascii="仿宋" w:hAnsi="仿宋" w:eastAsia="仿宋"/>
          <w:color w:val="000000" w:themeColor="text1"/>
          <w:kern w:val="0"/>
          <w:sz w:val="28"/>
          <w:szCs w:val="28"/>
          <w14:textFill>
            <w14:solidFill>
              <w14:schemeClr w14:val="tx1"/>
            </w14:solidFill>
          </w14:textFill>
        </w:rPr>
        <w:t>当项目的运营收益下降</w:t>
      </w:r>
      <w:r>
        <w:rPr>
          <w:rFonts w:ascii="仿宋" w:hAnsi="仿宋" w:eastAsia="仿宋"/>
          <w:color w:val="000000" w:themeColor="text1"/>
          <w:kern w:val="0"/>
          <w:sz w:val="28"/>
          <w:szCs w:val="28"/>
          <w14:textFill>
            <w14:solidFill>
              <w14:schemeClr w14:val="tx1"/>
            </w14:solidFill>
          </w14:textFill>
        </w:rPr>
        <w:t>20%的情况下，项目的债券本息覆盖率仍然＞1。因此，</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项目的收益对债券还本付息保障性较高，可通过压力测试，还本付息资金具有一定的稳定性与风险抵抗能力。</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项目的压力测试情况详见下表</w:t>
      </w:r>
      <w:r>
        <w:rPr>
          <w:rFonts w:hint="eastAsia" w:ascii="仿宋" w:hAnsi="仿宋" w:eastAsia="仿宋"/>
          <w:color w:val="000000" w:themeColor="text1"/>
          <w:kern w:val="0"/>
          <w:sz w:val="28"/>
          <w:szCs w:val="28"/>
          <w14:textFill>
            <w14:solidFill>
              <w14:schemeClr w14:val="tx1"/>
            </w14:solidFill>
          </w14:textFill>
        </w:rPr>
        <w:t>7</w:t>
      </w:r>
      <w:r>
        <w:rPr>
          <w:rFonts w:ascii="仿宋" w:hAnsi="仿宋" w:eastAsia="仿宋"/>
          <w:color w:val="000000" w:themeColor="text1"/>
          <w:kern w:val="0"/>
          <w:sz w:val="28"/>
          <w:szCs w:val="28"/>
          <w14:textFill>
            <w14:solidFill>
              <w14:schemeClr w14:val="tx1"/>
            </w14:solidFill>
          </w14:textFill>
        </w:rPr>
        <w:t>：</w:t>
      </w:r>
    </w:p>
    <w:p w14:paraId="7B079846">
      <w:pPr>
        <w:widowControl/>
        <w:spacing w:before="156"/>
        <w:ind w:firstLine="482"/>
        <w:jc w:val="center"/>
        <w:rPr>
          <w:rFonts w:ascii="仿宋" w:hAnsi="仿宋" w:eastAsia="仿宋"/>
          <w:b/>
          <w:color w:val="000000" w:themeColor="text1"/>
          <w:kern w:val="0"/>
          <w:szCs w:val="24"/>
          <w14:textFill>
            <w14:solidFill>
              <w14:schemeClr w14:val="tx1"/>
            </w14:solidFill>
          </w14:textFill>
        </w:rPr>
      </w:pPr>
      <w:r>
        <w:rPr>
          <w:rFonts w:hint="eastAsia" w:ascii="仿宋" w:hAnsi="仿宋" w:eastAsia="仿宋"/>
          <w:b/>
          <w:color w:val="000000" w:themeColor="text1"/>
          <w:kern w:val="0"/>
          <w:szCs w:val="24"/>
          <w14:textFill>
            <w14:solidFill>
              <w14:schemeClr w14:val="tx1"/>
            </w14:solidFill>
          </w14:textFill>
        </w:rPr>
        <w:t>表7</w:t>
      </w:r>
      <w:r>
        <w:rPr>
          <w:rFonts w:hint="eastAsia" w:ascii="仿宋" w:hAnsi="仿宋" w:eastAsia="仿宋"/>
          <w:b/>
          <w:bCs/>
          <w:color w:val="000000" w:themeColor="text1"/>
          <w:kern w:val="0"/>
          <w:szCs w:val="24"/>
          <w14:textFill>
            <w14:solidFill>
              <w14:schemeClr w14:val="tx1"/>
            </w14:solidFill>
          </w14:textFill>
        </w:rPr>
        <w:t>海口江东新区总部集聚区基础设施建设项目</w:t>
      </w:r>
      <w:r>
        <w:rPr>
          <w:rFonts w:hint="eastAsia" w:ascii="仿宋" w:hAnsi="仿宋" w:eastAsia="仿宋"/>
          <w:b/>
          <w:color w:val="000000" w:themeColor="text1"/>
          <w:kern w:val="0"/>
          <w:szCs w:val="24"/>
          <w14:textFill>
            <w14:solidFill>
              <w14:schemeClr w14:val="tx1"/>
            </w14:solidFill>
          </w14:textFill>
        </w:rPr>
        <w:t>压力测试表</w:t>
      </w:r>
    </w:p>
    <w:tbl>
      <w:tblPr>
        <w:tblStyle w:val="21"/>
        <w:tblW w:w="5000" w:type="pct"/>
        <w:jc w:val="center"/>
        <w:tblLayout w:type="autofit"/>
        <w:tblCellMar>
          <w:top w:w="0" w:type="dxa"/>
          <w:left w:w="108" w:type="dxa"/>
          <w:bottom w:w="0" w:type="dxa"/>
          <w:right w:w="108" w:type="dxa"/>
        </w:tblCellMar>
      </w:tblPr>
      <w:tblGrid>
        <w:gridCol w:w="2224"/>
        <w:gridCol w:w="901"/>
        <w:gridCol w:w="643"/>
        <w:gridCol w:w="643"/>
        <w:gridCol w:w="643"/>
        <w:gridCol w:w="772"/>
        <w:gridCol w:w="772"/>
        <w:gridCol w:w="643"/>
        <w:gridCol w:w="643"/>
        <w:gridCol w:w="638"/>
      </w:tblGrid>
      <w:tr w14:paraId="6C9E4D9A">
        <w:tblPrEx>
          <w:tblCellMar>
            <w:top w:w="0" w:type="dxa"/>
            <w:left w:w="108" w:type="dxa"/>
            <w:bottom w:w="0" w:type="dxa"/>
            <w:right w:w="108" w:type="dxa"/>
          </w:tblCellMar>
        </w:tblPrEx>
        <w:trPr>
          <w:trHeight w:val="570" w:hRule="atLeast"/>
          <w:jc w:val="center"/>
        </w:trPr>
        <w:tc>
          <w:tcPr>
            <w:tcW w:w="919" w:type="pct"/>
            <w:tcBorders>
              <w:top w:val="single" w:color="auto" w:sz="4" w:space="0"/>
              <w:left w:val="single" w:color="auto" w:sz="4" w:space="0"/>
              <w:bottom w:val="single" w:color="auto" w:sz="4" w:space="0"/>
              <w:right w:val="single" w:color="000000" w:sz="4" w:space="0"/>
            </w:tcBorders>
            <w:shd w:val="clear" w:color="000000" w:fill="FFFFFF"/>
            <w:noWrap/>
            <w:vAlign w:val="center"/>
          </w:tcPr>
          <w:p w14:paraId="65D83356">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资金覆盖率-压力测试</w:t>
            </w:r>
          </w:p>
          <w:p w14:paraId="595DBB51">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（单因素敏感性分析）</w:t>
            </w:r>
          </w:p>
        </w:tc>
        <w:tc>
          <w:tcPr>
            <w:tcW w:w="572" w:type="pct"/>
            <w:tcBorders>
              <w:top w:val="single" w:color="auto" w:sz="4" w:space="0"/>
              <w:left w:val="nil"/>
              <w:bottom w:val="single" w:color="auto" w:sz="4" w:space="0"/>
              <w:right w:val="single" w:color="auto" w:sz="4" w:space="0"/>
            </w:tcBorders>
            <w:shd w:val="clear" w:color="000000" w:fill="FFFFFF"/>
            <w:noWrap/>
            <w:vAlign w:val="center"/>
          </w:tcPr>
          <w:p w14:paraId="7BE7FA93">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-20%</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0D84C5AD">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-15%</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39A04375">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-10%</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5448AF87">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-5%</w:t>
            </w:r>
          </w:p>
        </w:tc>
        <w:tc>
          <w:tcPr>
            <w:tcW w:w="496" w:type="pct"/>
            <w:tcBorders>
              <w:top w:val="single" w:color="auto" w:sz="4" w:space="0"/>
              <w:left w:val="nil"/>
              <w:bottom w:val="single" w:color="auto" w:sz="4" w:space="0"/>
              <w:right w:val="single" w:color="auto" w:sz="4" w:space="0"/>
            </w:tcBorders>
            <w:shd w:val="clear" w:color="000000" w:fill="FFFFFF"/>
            <w:noWrap/>
            <w:vAlign w:val="center"/>
          </w:tcPr>
          <w:p w14:paraId="0382A796">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0%</w:t>
            </w:r>
          </w:p>
        </w:tc>
        <w:tc>
          <w:tcPr>
            <w:tcW w:w="496" w:type="pct"/>
            <w:tcBorders>
              <w:top w:val="single" w:color="auto" w:sz="4" w:space="0"/>
              <w:left w:val="nil"/>
              <w:bottom w:val="single" w:color="auto" w:sz="4" w:space="0"/>
              <w:right w:val="single" w:color="auto" w:sz="4" w:space="0"/>
            </w:tcBorders>
            <w:shd w:val="clear" w:color="000000" w:fill="FFFFFF"/>
            <w:noWrap/>
            <w:vAlign w:val="center"/>
          </w:tcPr>
          <w:p w14:paraId="4663DB4A">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5%</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7FE08FC1">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10%</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64F7D234">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15%</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1247EEBC">
            <w:pPr>
              <w:widowControl/>
              <w:spacing w:line="240" w:lineRule="auto"/>
              <w:ind w:firstLine="0" w:firstLineChars="0"/>
              <w:jc w:val="center"/>
              <w:rPr>
                <w:rFonts w:ascii="仿宋" w:hAnsi="仿宋" w:eastAsia="仿宋" w:cs="Arial"/>
                <w:b/>
                <w:bCs/>
                <w:kern w:val="0"/>
                <w:sz w:val="20"/>
                <w:szCs w:val="20"/>
              </w:rPr>
            </w:pPr>
            <w:r>
              <w:rPr>
                <w:rFonts w:ascii="仿宋" w:hAnsi="仿宋" w:eastAsia="仿宋" w:cs="Arial"/>
                <w:b/>
                <w:bCs/>
                <w:kern w:val="0"/>
                <w:sz w:val="20"/>
                <w:szCs w:val="20"/>
              </w:rPr>
              <w:t>20%</w:t>
            </w:r>
          </w:p>
        </w:tc>
      </w:tr>
      <w:tr w14:paraId="35304F3B">
        <w:tblPrEx>
          <w:tblCellMar>
            <w:top w:w="0" w:type="dxa"/>
            <w:left w:w="108" w:type="dxa"/>
            <w:bottom w:w="0" w:type="dxa"/>
            <w:right w:w="108" w:type="dxa"/>
          </w:tblCellMar>
        </w:tblPrEx>
        <w:trPr>
          <w:trHeight w:val="187" w:hRule="atLeast"/>
          <w:jc w:val="center"/>
        </w:trPr>
        <w:tc>
          <w:tcPr>
            <w:tcW w:w="919" w:type="pct"/>
            <w:tcBorders>
              <w:top w:val="single" w:color="auto" w:sz="4" w:space="0"/>
              <w:left w:val="single" w:color="auto" w:sz="4" w:space="0"/>
              <w:bottom w:val="single" w:color="auto" w:sz="4" w:space="0"/>
              <w:right w:val="single" w:color="000000" w:sz="4" w:space="0"/>
            </w:tcBorders>
            <w:shd w:val="clear" w:color="000000" w:fill="FFFFFF"/>
            <w:noWrap/>
            <w:vAlign w:val="center"/>
          </w:tcPr>
          <w:p w14:paraId="10140CB4">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净收益变动敏感性分析</w:t>
            </w:r>
          </w:p>
        </w:tc>
        <w:tc>
          <w:tcPr>
            <w:tcW w:w="572" w:type="pct"/>
            <w:tcBorders>
              <w:top w:val="nil"/>
              <w:left w:val="nil"/>
              <w:bottom w:val="single" w:color="auto" w:sz="4" w:space="0"/>
              <w:right w:val="single" w:color="auto" w:sz="4" w:space="0"/>
            </w:tcBorders>
            <w:shd w:val="clear" w:color="000000" w:fill="FFFFFF"/>
            <w:noWrap/>
            <w:vAlign w:val="center"/>
          </w:tcPr>
          <w:p w14:paraId="6C37FD53">
            <w:pPr>
              <w:widowControl/>
              <w:spacing w:line="240" w:lineRule="auto"/>
              <w:ind w:firstLine="0" w:firstLineChars="0"/>
              <w:jc w:val="right"/>
              <w:rPr>
                <w:rFonts w:ascii="仿宋" w:hAnsi="仿宋" w:eastAsia="仿宋" w:cs="宋体"/>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3AFE523D">
            <w:pPr>
              <w:widowControl/>
              <w:spacing w:line="240" w:lineRule="auto"/>
              <w:ind w:firstLine="0" w:firstLineChars="0"/>
              <w:jc w:val="right"/>
              <w:rPr>
                <w:rFonts w:ascii="仿宋" w:hAnsi="仿宋" w:eastAsia="仿宋" w:cs="Arial"/>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49A5B604">
            <w:pPr>
              <w:widowControl/>
              <w:spacing w:line="240" w:lineRule="auto"/>
              <w:ind w:firstLine="0" w:firstLineChars="0"/>
              <w:jc w:val="right"/>
              <w:rPr>
                <w:rFonts w:ascii="仿宋" w:hAnsi="仿宋" w:eastAsia="仿宋" w:cs="Arial"/>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754498B5">
            <w:pPr>
              <w:widowControl/>
              <w:spacing w:line="240" w:lineRule="auto"/>
              <w:ind w:firstLine="0" w:firstLineChars="0"/>
              <w:jc w:val="right"/>
              <w:rPr>
                <w:rFonts w:ascii="仿宋" w:hAnsi="仿宋" w:eastAsia="仿宋" w:cs="Arial"/>
                <w:b/>
                <w:bCs/>
                <w:kern w:val="0"/>
                <w:sz w:val="20"/>
                <w:szCs w:val="20"/>
              </w:rPr>
            </w:pPr>
          </w:p>
        </w:tc>
        <w:tc>
          <w:tcPr>
            <w:tcW w:w="496" w:type="pct"/>
            <w:tcBorders>
              <w:top w:val="nil"/>
              <w:left w:val="nil"/>
              <w:bottom w:val="single" w:color="auto" w:sz="4" w:space="0"/>
              <w:right w:val="single" w:color="auto" w:sz="4" w:space="0"/>
            </w:tcBorders>
            <w:shd w:val="clear" w:color="000000" w:fill="FFFFFF"/>
            <w:noWrap/>
            <w:vAlign w:val="center"/>
          </w:tcPr>
          <w:p w14:paraId="63A34F1D">
            <w:pPr>
              <w:widowControl/>
              <w:spacing w:line="240" w:lineRule="auto"/>
              <w:ind w:firstLine="0" w:firstLineChars="0"/>
              <w:jc w:val="right"/>
              <w:rPr>
                <w:rFonts w:ascii="仿宋" w:hAnsi="仿宋" w:eastAsia="仿宋" w:cs="Arial"/>
                <w:b/>
                <w:bCs/>
                <w:kern w:val="0"/>
                <w:sz w:val="20"/>
                <w:szCs w:val="20"/>
              </w:rPr>
            </w:pPr>
          </w:p>
        </w:tc>
        <w:tc>
          <w:tcPr>
            <w:tcW w:w="496" w:type="pct"/>
            <w:tcBorders>
              <w:top w:val="nil"/>
              <w:left w:val="nil"/>
              <w:bottom w:val="single" w:color="auto" w:sz="4" w:space="0"/>
              <w:right w:val="single" w:color="auto" w:sz="4" w:space="0"/>
            </w:tcBorders>
            <w:shd w:val="clear" w:color="000000" w:fill="FFFFFF"/>
            <w:noWrap/>
            <w:vAlign w:val="center"/>
          </w:tcPr>
          <w:p w14:paraId="0B1EF304">
            <w:pPr>
              <w:widowControl/>
              <w:spacing w:line="240" w:lineRule="auto"/>
              <w:ind w:firstLine="0" w:firstLineChars="0"/>
              <w:jc w:val="right"/>
              <w:rPr>
                <w:rFonts w:ascii="仿宋" w:hAnsi="仿宋" w:eastAsia="仿宋" w:cs="Arial"/>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3D5D8E03">
            <w:pPr>
              <w:widowControl/>
              <w:spacing w:line="240" w:lineRule="auto"/>
              <w:ind w:firstLine="0" w:firstLineChars="0"/>
              <w:jc w:val="right"/>
              <w:rPr>
                <w:rFonts w:ascii="仿宋" w:hAnsi="仿宋" w:eastAsia="仿宋" w:cs="Arial"/>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491DCD59">
            <w:pPr>
              <w:widowControl/>
              <w:spacing w:line="240" w:lineRule="auto"/>
              <w:ind w:firstLine="0" w:firstLineChars="0"/>
              <w:jc w:val="right"/>
              <w:rPr>
                <w:rFonts w:ascii="仿宋" w:hAnsi="仿宋" w:eastAsia="仿宋" w:cs="Arial"/>
                <w:b/>
                <w:bCs/>
                <w:kern w:val="0"/>
                <w:sz w:val="20"/>
                <w:szCs w:val="20"/>
              </w:rPr>
            </w:pPr>
          </w:p>
        </w:tc>
        <w:tc>
          <w:tcPr>
            <w:tcW w:w="420" w:type="pct"/>
            <w:tcBorders>
              <w:top w:val="nil"/>
              <w:left w:val="nil"/>
              <w:bottom w:val="single" w:color="auto" w:sz="4" w:space="0"/>
              <w:right w:val="single" w:color="auto" w:sz="4" w:space="0"/>
            </w:tcBorders>
            <w:shd w:val="clear" w:color="000000" w:fill="FFFFFF"/>
            <w:noWrap/>
            <w:vAlign w:val="center"/>
          </w:tcPr>
          <w:p w14:paraId="175BBB62">
            <w:pPr>
              <w:widowControl/>
              <w:spacing w:line="240" w:lineRule="auto"/>
              <w:ind w:firstLine="0" w:firstLineChars="0"/>
              <w:jc w:val="right"/>
              <w:rPr>
                <w:rFonts w:ascii="仿宋" w:hAnsi="仿宋" w:eastAsia="仿宋" w:cs="Arial"/>
                <w:b/>
                <w:bCs/>
                <w:kern w:val="0"/>
                <w:sz w:val="20"/>
                <w:szCs w:val="20"/>
              </w:rPr>
            </w:pPr>
          </w:p>
        </w:tc>
      </w:tr>
      <w:tr w14:paraId="080FBA56">
        <w:tblPrEx>
          <w:tblCellMar>
            <w:top w:w="0" w:type="dxa"/>
            <w:left w:w="108" w:type="dxa"/>
            <w:bottom w:w="0" w:type="dxa"/>
            <w:right w:w="108" w:type="dxa"/>
          </w:tblCellMar>
        </w:tblPrEx>
        <w:trPr>
          <w:trHeight w:val="138" w:hRule="atLeast"/>
          <w:jc w:val="center"/>
        </w:trPr>
        <w:tc>
          <w:tcPr>
            <w:tcW w:w="919" w:type="pct"/>
            <w:tcBorders>
              <w:top w:val="single" w:color="auto" w:sz="4" w:space="0"/>
              <w:left w:val="single" w:color="auto" w:sz="4" w:space="0"/>
              <w:bottom w:val="single" w:color="auto" w:sz="4" w:space="0"/>
              <w:right w:val="single" w:color="000000" w:sz="4" w:space="0"/>
            </w:tcBorders>
            <w:shd w:val="clear" w:color="000000" w:fill="FFFFFF"/>
            <w:noWrap/>
            <w:vAlign w:val="center"/>
          </w:tcPr>
          <w:p w14:paraId="195C5FDB">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债券本金资金覆盖率</w:t>
            </w:r>
          </w:p>
        </w:tc>
        <w:tc>
          <w:tcPr>
            <w:tcW w:w="572" w:type="pct"/>
            <w:tcBorders>
              <w:top w:val="nil"/>
              <w:left w:val="nil"/>
              <w:bottom w:val="single" w:color="auto" w:sz="4" w:space="0"/>
              <w:right w:val="single" w:color="auto" w:sz="4" w:space="0"/>
            </w:tcBorders>
            <w:shd w:val="clear" w:color="auto" w:fill="auto"/>
            <w:noWrap/>
            <w:vAlign w:val="center"/>
          </w:tcPr>
          <w:p w14:paraId="07D60ABC">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1.06</w:t>
            </w:r>
          </w:p>
        </w:tc>
        <w:tc>
          <w:tcPr>
            <w:tcW w:w="420" w:type="pct"/>
            <w:tcBorders>
              <w:top w:val="nil"/>
              <w:left w:val="nil"/>
              <w:bottom w:val="single" w:color="auto" w:sz="4" w:space="0"/>
              <w:right w:val="single" w:color="auto" w:sz="4" w:space="0"/>
            </w:tcBorders>
            <w:shd w:val="clear" w:color="auto" w:fill="auto"/>
            <w:noWrap/>
            <w:vAlign w:val="center"/>
          </w:tcPr>
          <w:p w14:paraId="39668E49">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1.14</w:t>
            </w:r>
          </w:p>
        </w:tc>
        <w:tc>
          <w:tcPr>
            <w:tcW w:w="420" w:type="pct"/>
            <w:tcBorders>
              <w:top w:val="nil"/>
              <w:left w:val="nil"/>
              <w:bottom w:val="single" w:color="auto" w:sz="4" w:space="0"/>
              <w:right w:val="single" w:color="auto" w:sz="4" w:space="0"/>
            </w:tcBorders>
            <w:shd w:val="clear" w:color="auto" w:fill="auto"/>
            <w:noWrap/>
            <w:vAlign w:val="center"/>
          </w:tcPr>
          <w:p w14:paraId="2E6D6501">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1.22</w:t>
            </w:r>
          </w:p>
        </w:tc>
        <w:tc>
          <w:tcPr>
            <w:tcW w:w="420" w:type="pct"/>
            <w:tcBorders>
              <w:top w:val="nil"/>
              <w:left w:val="nil"/>
              <w:bottom w:val="single" w:color="auto" w:sz="4" w:space="0"/>
              <w:right w:val="single" w:color="auto" w:sz="4" w:space="0"/>
            </w:tcBorders>
            <w:shd w:val="clear" w:color="auto" w:fill="auto"/>
            <w:noWrap/>
            <w:vAlign w:val="center"/>
          </w:tcPr>
          <w:p w14:paraId="35C8B314">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1.31</w:t>
            </w:r>
          </w:p>
        </w:tc>
        <w:tc>
          <w:tcPr>
            <w:tcW w:w="496" w:type="pct"/>
            <w:tcBorders>
              <w:top w:val="nil"/>
              <w:left w:val="nil"/>
              <w:bottom w:val="single" w:color="auto" w:sz="4" w:space="0"/>
              <w:right w:val="single" w:color="auto" w:sz="4" w:space="0"/>
            </w:tcBorders>
            <w:shd w:val="clear" w:color="auto" w:fill="auto"/>
            <w:noWrap/>
            <w:vAlign w:val="center"/>
          </w:tcPr>
          <w:p w14:paraId="6F8AC654">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1.39</w:t>
            </w:r>
          </w:p>
        </w:tc>
        <w:tc>
          <w:tcPr>
            <w:tcW w:w="496" w:type="pct"/>
            <w:tcBorders>
              <w:top w:val="nil"/>
              <w:left w:val="nil"/>
              <w:bottom w:val="single" w:color="auto" w:sz="4" w:space="0"/>
              <w:right w:val="single" w:color="auto" w:sz="4" w:space="0"/>
            </w:tcBorders>
            <w:shd w:val="clear" w:color="auto" w:fill="auto"/>
            <w:noWrap/>
            <w:vAlign w:val="center"/>
          </w:tcPr>
          <w:p w14:paraId="39E769F8">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1.47</w:t>
            </w:r>
          </w:p>
        </w:tc>
        <w:tc>
          <w:tcPr>
            <w:tcW w:w="420" w:type="pct"/>
            <w:tcBorders>
              <w:top w:val="nil"/>
              <w:left w:val="nil"/>
              <w:bottom w:val="single" w:color="auto" w:sz="4" w:space="0"/>
              <w:right w:val="single" w:color="auto" w:sz="4" w:space="0"/>
            </w:tcBorders>
            <w:shd w:val="clear" w:color="auto" w:fill="auto"/>
            <w:noWrap/>
            <w:vAlign w:val="center"/>
          </w:tcPr>
          <w:p w14:paraId="7DD926D5">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1.55</w:t>
            </w:r>
          </w:p>
        </w:tc>
        <w:tc>
          <w:tcPr>
            <w:tcW w:w="420" w:type="pct"/>
            <w:tcBorders>
              <w:top w:val="nil"/>
              <w:left w:val="nil"/>
              <w:bottom w:val="single" w:color="auto" w:sz="4" w:space="0"/>
              <w:right w:val="single" w:color="auto" w:sz="4" w:space="0"/>
            </w:tcBorders>
            <w:shd w:val="clear" w:color="auto" w:fill="auto"/>
            <w:noWrap/>
            <w:vAlign w:val="center"/>
          </w:tcPr>
          <w:p w14:paraId="0EB3AE1F">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1.63</w:t>
            </w:r>
          </w:p>
        </w:tc>
        <w:tc>
          <w:tcPr>
            <w:tcW w:w="420" w:type="pct"/>
            <w:tcBorders>
              <w:top w:val="nil"/>
              <w:left w:val="nil"/>
              <w:bottom w:val="single" w:color="auto" w:sz="4" w:space="0"/>
              <w:right w:val="single" w:color="auto" w:sz="4" w:space="0"/>
            </w:tcBorders>
            <w:shd w:val="clear" w:color="auto" w:fill="auto"/>
            <w:noWrap/>
            <w:vAlign w:val="center"/>
          </w:tcPr>
          <w:p w14:paraId="1E2B8EBD">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1.71</w:t>
            </w:r>
          </w:p>
        </w:tc>
      </w:tr>
      <w:tr w14:paraId="56C23D31">
        <w:tblPrEx>
          <w:tblCellMar>
            <w:top w:w="0" w:type="dxa"/>
            <w:left w:w="108" w:type="dxa"/>
            <w:bottom w:w="0" w:type="dxa"/>
            <w:right w:w="108" w:type="dxa"/>
          </w:tblCellMar>
        </w:tblPrEx>
        <w:trPr>
          <w:trHeight w:val="230" w:hRule="atLeast"/>
          <w:jc w:val="center"/>
        </w:trPr>
        <w:tc>
          <w:tcPr>
            <w:tcW w:w="919" w:type="pct"/>
            <w:tcBorders>
              <w:top w:val="single" w:color="auto" w:sz="4" w:space="0"/>
              <w:left w:val="single" w:color="auto" w:sz="4" w:space="0"/>
              <w:bottom w:val="single" w:color="auto" w:sz="4" w:space="0"/>
              <w:right w:val="single" w:color="000000" w:sz="4" w:space="0"/>
            </w:tcBorders>
            <w:shd w:val="clear" w:color="000000" w:fill="FFFFFF"/>
            <w:noWrap/>
            <w:vAlign w:val="center"/>
          </w:tcPr>
          <w:p w14:paraId="5E6C2844">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债券本息资金覆盖率</w:t>
            </w:r>
          </w:p>
        </w:tc>
        <w:tc>
          <w:tcPr>
            <w:tcW w:w="572" w:type="pct"/>
            <w:tcBorders>
              <w:top w:val="nil"/>
              <w:left w:val="nil"/>
              <w:bottom w:val="single" w:color="auto" w:sz="4" w:space="0"/>
              <w:right w:val="single" w:color="auto" w:sz="4" w:space="0"/>
            </w:tcBorders>
            <w:shd w:val="clear" w:color="auto" w:fill="auto"/>
            <w:noWrap/>
            <w:vAlign w:val="center"/>
          </w:tcPr>
          <w:p w14:paraId="7651AD4A">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1.05</w:t>
            </w:r>
          </w:p>
        </w:tc>
        <w:tc>
          <w:tcPr>
            <w:tcW w:w="420" w:type="pct"/>
            <w:tcBorders>
              <w:top w:val="nil"/>
              <w:left w:val="nil"/>
              <w:bottom w:val="single" w:color="auto" w:sz="4" w:space="0"/>
              <w:right w:val="single" w:color="auto" w:sz="4" w:space="0"/>
            </w:tcBorders>
            <w:shd w:val="clear" w:color="auto" w:fill="auto"/>
            <w:noWrap/>
            <w:vAlign w:val="center"/>
          </w:tcPr>
          <w:p w14:paraId="3671E200">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1.12</w:t>
            </w:r>
          </w:p>
        </w:tc>
        <w:tc>
          <w:tcPr>
            <w:tcW w:w="420" w:type="pct"/>
            <w:tcBorders>
              <w:top w:val="nil"/>
              <w:left w:val="nil"/>
              <w:bottom w:val="single" w:color="auto" w:sz="4" w:space="0"/>
              <w:right w:val="single" w:color="auto" w:sz="4" w:space="0"/>
            </w:tcBorders>
            <w:shd w:val="clear" w:color="auto" w:fill="auto"/>
            <w:noWrap/>
            <w:vAlign w:val="center"/>
          </w:tcPr>
          <w:p w14:paraId="49F7E60D">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1.18</w:t>
            </w:r>
          </w:p>
        </w:tc>
        <w:tc>
          <w:tcPr>
            <w:tcW w:w="420" w:type="pct"/>
            <w:tcBorders>
              <w:top w:val="nil"/>
              <w:left w:val="nil"/>
              <w:bottom w:val="single" w:color="auto" w:sz="4" w:space="0"/>
              <w:right w:val="single" w:color="auto" w:sz="4" w:space="0"/>
            </w:tcBorders>
            <w:shd w:val="clear" w:color="auto" w:fill="auto"/>
            <w:noWrap/>
            <w:vAlign w:val="center"/>
          </w:tcPr>
          <w:p w14:paraId="46416893">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1.25</w:t>
            </w:r>
          </w:p>
        </w:tc>
        <w:tc>
          <w:tcPr>
            <w:tcW w:w="496" w:type="pct"/>
            <w:tcBorders>
              <w:top w:val="nil"/>
              <w:left w:val="nil"/>
              <w:bottom w:val="single" w:color="auto" w:sz="4" w:space="0"/>
              <w:right w:val="single" w:color="auto" w:sz="4" w:space="0"/>
            </w:tcBorders>
            <w:shd w:val="clear" w:color="auto" w:fill="auto"/>
            <w:noWrap/>
            <w:vAlign w:val="center"/>
          </w:tcPr>
          <w:p w14:paraId="56559FCD">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1.32</w:t>
            </w:r>
          </w:p>
        </w:tc>
        <w:tc>
          <w:tcPr>
            <w:tcW w:w="496" w:type="pct"/>
            <w:tcBorders>
              <w:top w:val="nil"/>
              <w:left w:val="nil"/>
              <w:bottom w:val="single" w:color="auto" w:sz="4" w:space="0"/>
              <w:right w:val="single" w:color="auto" w:sz="4" w:space="0"/>
            </w:tcBorders>
            <w:shd w:val="clear" w:color="auto" w:fill="auto"/>
            <w:noWrap/>
            <w:vAlign w:val="center"/>
          </w:tcPr>
          <w:p w14:paraId="2DE0517E">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1.38</w:t>
            </w:r>
          </w:p>
        </w:tc>
        <w:tc>
          <w:tcPr>
            <w:tcW w:w="420" w:type="pct"/>
            <w:tcBorders>
              <w:top w:val="nil"/>
              <w:left w:val="nil"/>
              <w:bottom w:val="single" w:color="auto" w:sz="4" w:space="0"/>
              <w:right w:val="single" w:color="auto" w:sz="4" w:space="0"/>
            </w:tcBorders>
            <w:shd w:val="clear" w:color="auto" w:fill="auto"/>
            <w:noWrap/>
            <w:vAlign w:val="center"/>
          </w:tcPr>
          <w:p w14:paraId="11A31655">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1.45</w:t>
            </w:r>
          </w:p>
        </w:tc>
        <w:tc>
          <w:tcPr>
            <w:tcW w:w="420" w:type="pct"/>
            <w:tcBorders>
              <w:top w:val="nil"/>
              <w:left w:val="nil"/>
              <w:bottom w:val="single" w:color="auto" w:sz="4" w:space="0"/>
              <w:right w:val="single" w:color="auto" w:sz="4" w:space="0"/>
            </w:tcBorders>
            <w:shd w:val="clear" w:color="auto" w:fill="auto"/>
            <w:noWrap/>
            <w:vAlign w:val="center"/>
          </w:tcPr>
          <w:p w14:paraId="389C8043">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1.52</w:t>
            </w:r>
          </w:p>
        </w:tc>
        <w:tc>
          <w:tcPr>
            <w:tcW w:w="420" w:type="pct"/>
            <w:tcBorders>
              <w:top w:val="nil"/>
              <w:left w:val="nil"/>
              <w:bottom w:val="single" w:color="auto" w:sz="4" w:space="0"/>
              <w:right w:val="single" w:color="auto" w:sz="4" w:space="0"/>
            </w:tcBorders>
            <w:shd w:val="clear" w:color="auto" w:fill="auto"/>
            <w:noWrap/>
            <w:vAlign w:val="center"/>
          </w:tcPr>
          <w:p w14:paraId="66F16BD2">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1.59</w:t>
            </w:r>
          </w:p>
        </w:tc>
      </w:tr>
      <w:tr w14:paraId="08D40418">
        <w:tblPrEx>
          <w:tblCellMar>
            <w:top w:w="0" w:type="dxa"/>
            <w:left w:w="108" w:type="dxa"/>
            <w:bottom w:w="0" w:type="dxa"/>
            <w:right w:w="108" w:type="dxa"/>
          </w:tblCellMar>
        </w:tblPrEx>
        <w:trPr>
          <w:trHeight w:val="179" w:hRule="atLeast"/>
          <w:jc w:val="center"/>
        </w:trPr>
        <w:tc>
          <w:tcPr>
            <w:tcW w:w="919" w:type="pct"/>
            <w:tcBorders>
              <w:top w:val="single" w:color="auto" w:sz="4" w:space="0"/>
              <w:left w:val="single" w:color="auto" w:sz="4" w:space="0"/>
              <w:bottom w:val="single" w:color="auto" w:sz="4" w:space="0"/>
              <w:right w:val="single" w:color="000000" w:sz="4" w:space="0"/>
            </w:tcBorders>
            <w:shd w:val="clear" w:color="000000" w:fill="FFFFFF"/>
            <w:noWrap/>
            <w:vAlign w:val="center"/>
          </w:tcPr>
          <w:p w14:paraId="74B25BD6">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债券本息保障倍数</w:t>
            </w:r>
          </w:p>
        </w:tc>
        <w:tc>
          <w:tcPr>
            <w:tcW w:w="572" w:type="pct"/>
            <w:tcBorders>
              <w:top w:val="nil"/>
              <w:left w:val="nil"/>
              <w:bottom w:val="single" w:color="auto" w:sz="4" w:space="0"/>
              <w:right w:val="single" w:color="auto" w:sz="4" w:space="0"/>
            </w:tcBorders>
            <w:shd w:val="clear" w:color="auto" w:fill="auto"/>
            <w:noWrap/>
            <w:vAlign w:val="center"/>
          </w:tcPr>
          <w:p w14:paraId="797A152D">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1.03</w:t>
            </w:r>
          </w:p>
        </w:tc>
        <w:tc>
          <w:tcPr>
            <w:tcW w:w="420" w:type="pct"/>
            <w:tcBorders>
              <w:top w:val="nil"/>
              <w:left w:val="nil"/>
              <w:bottom w:val="single" w:color="auto" w:sz="4" w:space="0"/>
              <w:right w:val="single" w:color="auto" w:sz="4" w:space="0"/>
            </w:tcBorders>
            <w:shd w:val="clear" w:color="auto" w:fill="auto"/>
            <w:noWrap/>
            <w:vAlign w:val="center"/>
          </w:tcPr>
          <w:p w14:paraId="5B8B6A0A">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1.10</w:t>
            </w:r>
          </w:p>
        </w:tc>
        <w:tc>
          <w:tcPr>
            <w:tcW w:w="420" w:type="pct"/>
            <w:tcBorders>
              <w:top w:val="nil"/>
              <w:left w:val="nil"/>
              <w:bottom w:val="single" w:color="auto" w:sz="4" w:space="0"/>
              <w:right w:val="single" w:color="auto" w:sz="4" w:space="0"/>
            </w:tcBorders>
            <w:shd w:val="clear" w:color="auto" w:fill="auto"/>
            <w:noWrap/>
            <w:vAlign w:val="center"/>
          </w:tcPr>
          <w:p w14:paraId="0E6FE3DE">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1.17</w:t>
            </w:r>
          </w:p>
        </w:tc>
        <w:tc>
          <w:tcPr>
            <w:tcW w:w="420" w:type="pct"/>
            <w:tcBorders>
              <w:top w:val="nil"/>
              <w:left w:val="nil"/>
              <w:bottom w:val="single" w:color="auto" w:sz="4" w:space="0"/>
              <w:right w:val="single" w:color="auto" w:sz="4" w:space="0"/>
            </w:tcBorders>
            <w:shd w:val="clear" w:color="auto" w:fill="auto"/>
            <w:noWrap/>
            <w:vAlign w:val="center"/>
          </w:tcPr>
          <w:p w14:paraId="75857424">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1.23</w:t>
            </w:r>
          </w:p>
        </w:tc>
        <w:tc>
          <w:tcPr>
            <w:tcW w:w="496" w:type="pct"/>
            <w:tcBorders>
              <w:top w:val="nil"/>
              <w:left w:val="nil"/>
              <w:bottom w:val="single" w:color="auto" w:sz="4" w:space="0"/>
              <w:right w:val="single" w:color="auto" w:sz="4" w:space="0"/>
            </w:tcBorders>
            <w:shd w:val="clear" w:color="auto" w:fill="auto"/>
            <w:noWrap/>
            <w:vAlign w:val="center"/>
          </w:tcPr>
          <w:p w14:paraId="1BC587A2">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1.30</w:t>
            </w:r>
          </w:p>
        </w:tc>
        <w:tc>
          <w:tcPr>
            <w:tcW w:w="496" w:type="pct"/>
            <w:tcBorders>
              <w:top w:val="nil"/>
              <w:left w:val="nil"/>
              <w:bottom w:val="single" w:color="auto" w:sz="4" w:space="0"/>
              <w:right w:val="single" w:color="auto" w:sz="4" w:space="0"/>
            </w:tcBorders>
            <w:shd w:val="clear" w:color="auto" w:fill="auto"/>
            <w:noWrap/>
            <w:vAlign w:val="center"/>
          </w:tcPr>
          <w:p w14:paraId="03F123C1">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1.37</w:t>
            </w:r>
          </w:p>
        </w:tc>
        <w:tc>
          <w:tcPr>
            <w:tcW w:w="420" w:type="pct"/>
            <w:tcBorders>
              <w:top w:val="nil"/>
              <w:left w:val="nil"/>
              <w:bottom w:val="single" w:color="auto" w:sz="4" w:space="0"/>
              <w:right w:val="single" w:color="auto" w:sz="4" w:space="0"/>
            </w:tcBorders>
            <w:shd w:val="clear" w:color="auto" w:fill="auto"/>
            <w:noWrap/>
            <w:vAlign w:val="center"/>
          </w:tcPr>
          <w:p w14:paraId="54F544AE">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1.43</w:t>
            </w:r>
          </w:p>
        </w:tc>
        <w:tc>
          <w:tcPr>
            <w:tcW w:w="420" w:type="pct"/>
            <w:tcBorders>
              <w:top w:val="nil"/>
              <w:left w:val="nil"/>
              <w:bottom w:val="single" w:color="auto" w:sz="4" w:space="0"/>
              <w:right w:val="single" w:color="auto" w:sz="4" w:space="0"/>
            </w:tcBorders>
            <w:shd w:val="clear" w:color="auto" w:fill="auto"/>
            <w:noWrap/>
            <w:vAlign w:val="center"/>
          </w:tcPr>
          <w:p w14:paraId="6058AF6F">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1.50</w:t>
            </w:r>
          </w:p>
        </w:tc>
        <w:tc>
          <w:tcPr>
            <w:tcW w:w="420" w:type="pct"/>
            <w:tcBorders>
              <w:top w:val="nil"/>
              <w:left w:val="nil"/>
              <w:bottom w:val="single" w:color="auto" w:sz="4" w:space="0"/>
              <w:right w:val="single" w:color="auto" w:sz="4" w:space="0"/>
            </w:tcBorders>
            <w:shd w:val="clear" w:color="auto" w:fill="auto"/>
            <w:noWrap/>
            <w:vAlign w:val="center"/>
          </w:tcPr>
          <w:p w14:paraId="454F2890">
            <w:pPr>
              <w:widowControl/>
              <w:spacing w:line="240" w:lineRule="auto"/>
              <w:ind w:firstLine="0" w:firstLineChars="0"/>
              <w:jc w:val="right"/>
              <w:rPr>
                <w:rFonts w:ascii="仿宋" w:hAnsi="仿宋" w:eastAsia="仿宋" w:cs="Arial"/>
                <w:color w:val="000000"/>
                <w:kern w:val="0"/>
                <w:sz w:val="20"/>
                <w:szCs w:val="20"/>
              </w:rPr>
            </w:pPr>
            <w:r>
              <w:rPr>
                <w:rFonts w:ascii="仿宋" w:hAnsi="仿宋" w:eastAsia="仿宋" w:cs="Arial"/>
                <w:color w:val="000000"/>
                <w:kern w:val="0"/>
                <w:sz w:val="20"/>
                <w:szCs w:val="20"/>
              </w:rPr>
              <w:t>1.57</w:t>
            </w:r>
          </w:p>
        </w:tc>
      </w:tr>
    </w:tbl>
    <w:p w14:paraId="40CB53EA">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总体而言，本项目产生收入对其拟使用的募集资金保障程度较高。同时，因本项目还本付息资金主要来源于</w:t>
      </w:r>
      <w:r>
        <w:rPr>
          <w:rFonts w:hint="eastAsia" w:ascii="仿宋" w:hAnsi="仿宋" w:eastAsia="仿宋"/>
          <w:color w:val="000000" w:themeColor="text1"/>
          <w:kern w:val="0"/>
          <w:sz w:val="28"/>
          <w:szCs w:val="28"/>
          <w14:textFill>
            <w14:solidFill>
              <w14:schemeClr w14:val="tx1"/>
            </w14:solidFill>
          </w14:textFill>
        </w:rPr>
        <w:t>项目运营收入</w:t>
      </w:r>
      <w:r>
        <w:rPr>
          <w:rFonts w:ascii="仿宋" w:hAnsi="仿宋" w:eastAsia="仿宋"/>
          <w:color w:val="000000" w:themeColor="text1"/>
          <w:kern w:val="0"/>
          <w:sz w:val="28"/>
          <w:szCs w:val="28"/>
          <w14:textFill>
            <w14:solidFill>
              <w14:schemeClr w14:val="tx1"/>
            </w14:solidFill>
          </w14:textFill>
        </w:rPr>
        <w:t>，建议进一步关注项目施工进度、项目选点的变化、政府定价风险、宏观经济以及利率等影响项目收益情况的风险要素。若未能实现收入计划，不能偿还到期债券本金，可在专项债务限额内以及满足覆盖倍数的情况下发行专项债券周转偿还，进而在项目收入实现后予以归还，或者通过追加自筹资金等方式来满足还本付息要求。</w:t>
      </w:r>
    </w:p>
    <w:bookmarkEnd w:id="43"/>
    <w:p w14:paraId="54AAE591">
      <w:pPr>
        <w:pStyle w:val="4"/>
        <w:spacing w:before="156"/>
        <w:ind w:left="0"/>
        <w:rPr>
          <w:lang w:val="en-GB"/>
        </w:rPr>
      </w:pPr>
      <w:bookmarkStart w:id="46" w:name="_Toc183188349"/>
      <w:bookmarkStart w:id="47" w:name="_Toc200711875"/>
      <w:r>
        <w:rPr>
          <w:rFonts w:hint="eastAsia"/>
          <w:lang w:val="en-GB"/>
        </w:rPr>
        <w:t>（四）预期收益及成本分析</w:t>
      </w:r>
      <w:bookmarkEnd w:id="46"/>
      <w:bookmarkEnd w:id="47"/>
    </w:p>
    <w:p w14:paraId="3B35C165">
      <w:pPr>
        <w:widowControl/>
        <w:spacing w:before="156"/>
        <w:ind w:firstLine="562"/>
        <w:outlineLvl w:val="2"/>
        <w:rPr>
          <w:rFonts w:ascii="仿宋" w:hAnsi="仿宋" w:eastAsia="仿宋"/>
          <w:b/>
          <w:color w:val="000000" w:themeColor="text1"/>
          <w:kern w:val="0"/>
          <w:sz w:val="28"/>
          <w:szCs w:val="28"/>
          <w14:textFill>
            <w14:solidFill>
              <w14:schemeClr w14:val="tx1"/>
            </w14:solidFill>
          </w14:textFill>
        </w:rPr>
      </w:pPr>
      <w:bookmarkStart w:id="48" w:name="_Toc200711876"/>
      <w:bookmarkStart w:id="49" w:name="_Toc200657904"/>
      <w:r>
        <w:rPr>
          <w:rFonts w:ascii="仿宋" w:hAnsi="仿宋" w:eastAsia="仿宋"/>
          <w:b/>
          <w:color w:val="000000" w:themeColor="text1"/>
          <w:kern w:val="0"/>
          <w:sz w:val="28"/>
          <w:szCs w:val="28"/>
          <w14:textFill>
            <w14:solidFill>
              <w14:schemeClr w14:val="tx1"/>
            </w14:solidFill>
          </w14:textFill>
        </w:rPr>
        <w:t>1</w:t>
      </w:r>
      <w:r>
        <w:rPr>
          <w:rFonts w:hint="eastAsia" w:ascii="仿宋" w:hAnsi="仿宋" w:eastAsia="仿宋"/>
          <w:b/>
          <w:color w:val="000000" w:themeColor="text1"/>
          <w:kern w:val="0"/>
          <w:sz w:val="28"/>
          <w:szCs w:val="28"/>
          <w14:textFill>
            <w14:solidFill>
              <w14:schemeClr w14:val="tx1"/>
            </w14:solidFill>
          </w14:textFill>
        </w:rPr>
        <w:t>.</w:t>
      </w:r>
      <w:r>
        <w:rPr>
          <w:rFonts w:ascii="仿宋" w:hAnsi="仿宋" w:eastAsia="仿宋"/>
          <w:b/>
          <w:color w:val="000000" w:themeColor="text1"/>
          <w:kern w:val="0"/>
          <w:sz w:val="28"/>
          <w:szCs w:val="28"/>
          <w14:textFill>
            <w14:solidFill>
              <w14:schemeClr w14:val="tx1"/>
            </w14:solidFill>
          </w14:textFill>
        </w:rPr>
        <w:t>预期收入分析</w:t>
      </w:r>
      <w:bookmarkEnd w:id="48"/>
      <w:bookmarkEnd w:id="49"/>
    </w:p>
    <w:p w14:paraId="31582258">
      <w:pPr>
        <w:widowControl/>
        <w:spacing w:before="156" w:after="120"/>
        <w:ind w:right="-488"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海口江东新区总部集聚区基础设施建设项目专项债券还本付息以项目专项收入为基础。</w:t>
      </w:r>
    </w:p>
    <w:p w14:paraId="1D2A51AD">
      <w:pPr>
        <w:widowControl/>
        <w:spacing w:before="156" w:after="120"/>
        <w:ind w:right="84"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海口江东新区总部集聚区基础设施建设项目的专项收入主要为充电桩收入、停车位收入、公园及浴场服务收入。结合债券实际发行时间和收入实现情况预估，从保守谨慎的角度出发，计划用于本次债券还本付息的运营收支为总运营收支的</w:t>
      </w:r>
      <w:r>
        <w:rPr>
          <w:rFonts w:ascii="仿宋" w:hAnsi="仿宋" w:eastAsia="仿宋" w:cs="Times New Roman"/>
          <w:color w:val="000000"/>
          <w:kern w:val="0"/>
          <w:sz w:val="28"/>
          <w:szCs w:val="28"/>
        </w:rPr>
        <w:t>15%</w:t>
      </w:r>
      <w:r>
        <w:rPr>
          <w:rFonts w:hint="eastAsia" w:ascii="仿宋" w:hAnsi="仿宋" w:eastAsia="仿宋" w:cs="Times New Roman"/>
          <w:color w:val="000000"/>
          <w:kern w:val="0"/>
          <w:sz w:val="28"/>
          <w:szCs w:val="28"/>
        </w:rPr>
        <w:t>，债券存续期最后一年仅考虑1个月收支。</w:t>
      </w:r>
    </w:p>
    <w:p w14:paraId="7B8C2D2A">
      <w:pPr>
        <w:widowControl/>
        <w:spacing w:before="156" w:after="120"/>
        <w:ind w:right="84" w:firstLine="560"/>
        <w:rPr>
          <w:rFonts w:ascii="仿宋" w:hAnsi="仿宋" w:eastAsia="仿宋" w:cs="Times New Roman"/>
          <w:color w:val="000000"/>
          <w:kern w:val="0"/>
          <w:sz w:val="28"/>
          <w:szCs w:val="28"/>
        </w:rPr>
      </w:pPr>
      <w:r>
        <w:rPr>
          <w:rFonts w:ascii="仿宋" w:hAnsi="仿宋" w:eastAsia="仿宋" w:cs="Times New Roman"/>
          <w:color w:val="000000"/>
          <w:kern w:val="0"/>
          <w:sz w:val="28"/>
          <w:szCs w:val="28"/>
        </w:rPr>
        <w:fldChar w:fldCharType="begin"/>
      </w:r>
      <w:r>
        <w:rPr>
          <w:rFonts w:ascii="仿宋" w:hAnsi="仿宋" w:eastAsia="仿宋" w:cs="Times New Roman"/>
          <w:color w:val="000000"/>
          <w:kern w:val="0"/>
          <w:sz w:val="28"/>
          <w:szCs w:val="28"/>
        </w:rPr>
        <w:instrText xml:space="preserve"> </w:instrText>
      </w:r>
      <w:r>
        <w:rPr>
          <w:rFonts w:hint="eastAsia" w:ascii="仿宋" w:hAnsi="仿宋" w:eastAsia="仿宋" w:cs="Times New Roman"/>
          <w:color w:val="000000"/>
          <w:kern w:val="0"/>
          <w:sz w:val="28"/>
          <w:szCs w:val="28"/>
        </w:rPr>
        <w:instrText xml:space="preserve">= 1 \* GB3</w:instrText>
      </w:r>
      <w:r>
        <w:rPr>
          <w:rFonts w:ascii="仿宋" w:hAnsi="仿宋" w:eastAsia="仿宋" w:cs="Times New Roman"/>
          <w:color w:val="000000"/>
          <w:kern w:val="0"/>
          <w:sz w:val="28"/>
          <w:szCs w:val="28"/>
        </w:rPr>
        <w:instrText xml:space="preserve"> </w:instrText>
      </w:r>
      <w:r>
        <w:rPr>
          <w:rFonts w:ascii="仿宋" w:hAnsi="仿宋" w:eastAsia="仿宋" w:cs="Times New Roman"/>
          <w:color w:val="000000"/>
          <w:kern w:val="0"/>
          <w:sz w:val="28"/>
          <w:szCs w:val="28"/>
        </w:rPr>
        <w:fldChar w:fldCharType="separate"/>
      </w:r>
      <w:r>
        <w:rPr>
          <w:rFonts w:hint="eastAsia" w:ascii="仿宋" w:hAnsi="仿宋" w:eastAsia="仿宋" w:cs="Times New Roman"/>
          <w:color w:val="000000"/>
          <w:kern w:val="0"/>
          <w:sz w:val="28"/>
          <w:szCs w:val="28"/>
        </w:rPr>
        <w:t>①</w:t>
      </w:r>
      <w:r>
        <w:rPr>
          <w:rFonts w:ascii="仿宋" w:hAnsi="仿宋" w:eastAsia="仿宋" w:cs="Times New Roman"/>
          <w:color w:val="000000"/>
          <w:kern w:val="0"/>
          <w:sz w:val="28"/>
          <w:szCs w:val="28"/>
        </w:rPr>
        <w:fldChar w:fldCharType="end"/>
      </w:r>
      <w:r>
        <w:rPr>
          <w:rFonts w:hint="eastAsia" w:ascii="仿宋" w:hAnsi="仿宋" w:eastAsia="仿宋" w:cs="Times New Roman"/>
          <w:color w:val="000000"/>
          <w:kern w:val="0"/>
          <w:sz w:val="28"/>
          <w:szCs w:val="28"/>
        </w:rPr>
        <w:t>充电桩收入</w:t>
      </w:r>
    </w:p>
    <w:p w14:paraId="4BADA3DC">
      <w:pPr>
        <w:widowControl/>
        <w:spacing w:before="156" w:after="120"/>
        <w:ind w:right="84"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根据业主单位提供的信息、《海口江东新区总部集聚区基础设施建设项目可行性研究报告》及根据《海南省电动汽车充电设施建设技术标准》</w:t>
      </w:r>
      <w:r>
        <w:rPr>
          <w:rFonts w:ascii="仿宋" w:hAnsi="仿宋" w:eastAsia="仿宋" w:cs="Times New Roman"/>
          <w:color w:val="000000"/>
          <w:kern w:val="0"/>
          <w:sz w:val="28"/>
          <w:szCs w:val="28"/>
        </w:rPr>
        <w:t>DBJ46-41-2022</w:t>
      </w:r>
      <w:r>
        <w:rPr>
          <w:rFonts w:hint="eastAsia" w:ascii="仿宋" w:hAnsi="仿宋" w:eastAsia="仿宋" w:cs="Times New Roman"/>
          <w:color w:val="000000"/>
          <w:kern w:val="0"/>
          <w:sz w:val="28"/>
          <w:szCs w:val="28"/>
        </w:rPr>
        <w:t>、《海南省居住（小）区、建筑物、停车场配套充电设施建设管理暂行办法》新建地面专用停车场、公用停车场应按照不低于</w:t>
      </w:r>
      <w:r>
        <w:rPr>
          <w:rFonts w:ascii="仿宋" w:hAnsi="仿宋" w:eastAsia="仿宋" w:cs="Times New Roman"/>
          <w:color w:val="000000"/>
          <w:kern w:val="0"/>
          <w:sz w:val="28"/>
          <w:szCs w:val="28"/>
        </w:rPr>
        <w:t>20%</w:t>
      </w:r>
      <w:r>
        <w:rPr>
          <w:rFonts w:hint="eastAsia" w:ascii="仿宋" w:hAnsi="仿宋" w:eastAsia="仿宋" w:cs="Times New Roman"/>
          <w:color w:val="000000"/>
          <w:kern w:val="0"/>
          <w:sz w:val="28"/>
          <w:szCs w:val="28"/>
        </w:rPr>
        <w:t>的停车位比例配建充电基础设施。本项目共设置</w:t>
      </w:r>
      <w:r>
        <w:rPr>
          <w:rFonts w:ascii="仿宋" w:hAnsi="仿宋" w:eastAsia="仿宋" w:cs="Times New Roman"/>
          <w:color w:val="000000"/>
          <w:kern w:val="0"/>
          <w:sz w:val="28"/>
          <w:szCs w:val="28"/>
        </w:rPr>
        <w:t>297</w:t>
      </w:r>
      <w:r>
        <w:rPr>
          <w:rFonts w:hint="eastAsia" w:ascii="仿宋" w:hAnsi="仿宋" w:eastAsia="仿宋" w:cs="Times New Roman"/>
          <w:color w:val="000000"/>
          <w:kern w:val="0"/>
          <w:sz w:val="28"/>
          <w:szCs w:val="28"/>
        </w:rPr>
        <w:t>个充电桩。根据海口市发展和改革委员会印发的《关于电动汽车充换电服务费收费标准的通知》，明确海口市新能源汽车充电服务费上限标准为</w:t>
      </w:r>
      <w:r>
        <w:rPr>
          <w:rFonts w:ascii="仿宋" w:hAnsi="仿宋" w:eastAsia="仿宋" w:cs="Times New Roman"/>
          <w:color w:val="000000"/>
          <w:kern w:val="0"/>
          <w:sz w:val="28"/>
          <w:szCs w:val="28"/>
        </w:rPr>
        <w:t>0.65</w:t>
      </w:r>
      <w:r>
        <w:rPr>
          <w:rFonts w:hint="eastAsia" w:ascii="仿宋" w:hAnsi="仿宋" w:eastAsia="仿宋" w:cs="Times New Roman"/>
          <w:color w:val="000000"/>
          <w:kern w:val="0"/>
          <w:sz w:val="28"/>
          <w:szCs w:val="28"/>
        </w:rPr>
        <w:t>元</w:t>
      </w:r>
      <w:r>
        <w:rPr>
          <w:rFonts w:ascii="仿宋" w:hAnsi="仿宋" w:eastAsia="仿宋" w:cs="Times New Roman"/>
          <w:color w:val="000000"/>
          <w:kern w:val="0"/>
          <w:sz w:val="28"/>
          <w:szCs w:val="28"/>
        </w:rPr>
        <w:t>/KWH</w:t>
      </w:r>
      <w:r>
        <w:rPr>
          <w:rFonts w:hint="eastAsia" w:ascii="仿宋" w:hAnsi="仿宋" w:eastAsia="仿宋" w:cs="Times New Roman"/>
          <w:color w:val="000000"/>
          <w:kern w:val="0"/>
          <w:sz w:val="28"/>
          <w:szCs w:val="28"/>
        </w:rPr>
        <w:t>，本项目单价取</w:t>
      </w:r>
      <w:r>
        <w:rPr>
          <w:rFonts w:ascii="仿宋" w:hAnsi="仿宋" w:eastAsia="仿宋" w:cs="Times New Roman"/>
          <w:color w:val="000000"/>
          <w:kern w:val="0"/>
          <w:sz w:val="28"/>
          <w:szCs w:val="28"/>
        </w:rPr>
        <w:t>0.60</w:t>
      </w:r>
      <w:r>
        <w:rPr>
          <w:rFonts w:hint="eastAsia" w:ascii="仿宋" w:hAnsi="仿宋" w:eastAsia="仿宋" w:cs="Times New Roman"/>
          <w:color w:val="000000"/>
          <w:kern w:val="0"/>
          <w:sz w:val="28"/>
          <w:szCs w:val="28"/>
        </w:rPr>
        <w:t>元</w:t>
      </w:r>
      <w:r>
        <w:rPr>
          <w:rFonts w:ascii="仿宋" w:hAnsi="仿宋" w:eastAsia="仿宋" w:cs="Times New Roman"/>
          <w:color w:val="000000"/>
          <w:kern w:val="0"/>
          <w:sz w:val="28"/>
          <w:szCs w:val="28"/>
        </w:rPr>
        <w:t>/KWH</w:t>
      </w:r>
      <w:r>
        <w:rPr>
          <w:rFonts w:hint="eastAsia" w:ascii="仿宋" w:hAnsi="仿宋" w:eastAsia="仿宋" w:cs="Times New Roman"/>
          <w:color w:val="000000"/>
          <w:kern w:val="0"/>
          <w:sz w:val="28"/>
          <w:szCs w:val="28"/>
        </w:rPr>
        <w:t>。每台充电桩预计每日充电</w:t>
      </w:r>
      <w:r>
        <w:rPr>
          <w:rFonts w:ascii="仿宋" w:hAnsi="仿宋" w:eastAsia="仿宋" w:cs="Times New Roman"/>
          <w:color w:val="000000"/>
          <w:kern w:val="0"/>
          <w:sz w:val="28"/>
          <w:szCs w:val="28"/>
        </w:rPr>
        <w:t>50KWH</w:t>
      </w:r>
      <w:r>
        <w:rPr>
          <w:rFonts w:hint="eastAsia" w:ascii="仿宋" w:hAnsi="仿宋" w:eastAsia="仿宋" w:cs="Times New Roman"/>
          <w:color w:val="000000"/>
          <w:kern w:val="0"/>
          <w:sz w:val="28"/>
          <w:szCs w:val="28"/>
        </w:rPr>
        <w:t>，预计年收入为</w:t>
      </w:r>
      <w:r>
        <w:rPr>
          <w:rFonts w:ascii="仿宋" w:hAnsi="仿宋" w:eastAsia="仿宋" w:cs="Times New Roman"/>
          <w:color w:val="000000"/>
          <w:kern w:val="0"/>
          <w:sz w:val="28"/>
          <w:szCs w:val="28"/>
        </w:rPr>
        <w:t>325</w:t>
      </w:r>
      <w:r>
        <w:rPr>
          <w:rFonts w:hint="eastAsia" w:ascii="仿宋" w:hAnsi="仿宋" w:eastAsia="仿宋" w:cs="Times New Roman"/>
          <w:color w:val="000000"/>
          <w:kern w:val="0"/>
          <w:sz w:val="28"/>
          <w:szCs w:val="28"/>
        </w:rPr>
        <w:t>万元。</w:t>
      </w:r>
    </w:p>
    <w:p w14:paraId="5F7415A6">
      <w:pPr>
        <w:widowControl/>
        <w:spacing w:before="156" w:after="120"/>
        <w:ind w:right="84" w:firstLine="560"/>
        <w:rPr>
          <w:rFonts w:ascii="仿宋" w:hAnsi="仿宋" w:eastAsia="仿宋" w:cs="Times New Roman"/>
          <w:color w:val="000000"/>
          <w:kern w:val="0"/>
          <w:sz w:val="28"/>
          <w:szCs w:val="28"/>
        </w:rPr>
      </w:pPr>
      <w:r>
        <w:rPr>
          <w:rFonts w:ascii="仿宋" w:hAnsi="仿宋" w:eastAsia="仿宋" w:cs="Times New Roman"/>
          <w:color w:val="000000"/>
          <w:kern w:val="0"/>
          <w:sz w:val="28"/>
          <w:szCs w:val="28"/>
        </w:rPr>
        <w:fldChar w:fldCharType="begin"/>
      </w:r>
      <w:r>
        <w:rPr>
          <w:rFonts w:ascii="仿宋" w:hAnsi="仿宋" w:eastAsia="仿宋" w:cs="Times New Roman"/>
          <w:color w:val="000000"/>
          <w:kern w:val="0"/>
          <w:sz w:val="28"/>
          <w:szCs w:val="28"/>
        </w:rPr>
        <w:instrText xml:space="preserve"> </w:instrText>
      </w:r>
      <w:r>
        <w:rPr>
          <w:rFonts w:hint="eastAsia" w:ascii="仿宋" w:hAnsi="仿宋" w:eastAsia="仿宋" w:cs="Times New Roman"/>
          <w:color w:val="000000"/>
          <w:kern w:val="0"/>
          <w:sz w:val="28"/>
          <w:szCs w:val="28"/>
        </w:rPr>
        <w:instrText xml:space="preserve">= 2 \* GB3</w:instrText>
      </w:r>
      <w:r>
        <w:rPr>
          <w:rFonts w:ascii="仿宋" w:hAnsi="仿宋" w:eastAsia="仿宋" w:cs="Times New Roman"/>
          <w:color w:val="000000"/>
          <w:kern w:val="0"/>
          <w:sz w:val="28"/>
          <w:szCs w:val="28"/>
        </w:rPr>
        <w:instrText xml:space="preserve"> </w:instrText>
      </w:r>
      <w:r>
        <w:rPr>
          <w:rFonts w:ascii="仿宋" w:hAnsi="仿宋" w:eastAsia="仿宋" w:cs="Times New Roman"/>
          <w:color w:val="000000"/>
          <w:kern w:val="0"/>
          <w:sz w:val="28"/>
          <w:szCs w:val="28"/>
        </w:rPr>
        <w:fldChar w:fldCharType="separate"/>
      </w:r>
      <w:r>
        <w:rPr>
          <w:rFonts w:hint="eastAsia" w:ascii="仿宋" w:hAnsi="仿宋" w:eastAsia="仿宋" w:cs="Times New Roman"/>
          <w:color w:val="000000"/>
          <w:kern w:val="0"/>
          <w:sz w:val="28"/>
          <w:szCs w:val="28"/>
        </w:rPr>
        <w:t>②</w:t>
      </w:r>
      <w:r>
        <w:rPr>
          <w:rFonts w:ascii="仿宋" w:hAnsi="仿宋" w:eastAsia="仿宋" w:cs="Times New Roman"/>
          <w:color w:val="000000"/>
          <w:kern w:val="0"/>
          <w:sz w:val="28"/>
          <w:szCs w:val="28"/>
        </w:rPr>
        <w:fldChar w:fldCharType="end"/>
      </w:r>
      <w:r>
        <w:rPr>
          <w:rFonts w:hint="eastAsia" w:ascii="仿宋" w:hAnsi="仿宋" w:eastAsia="仿宋" w:cs="Times New Roman"/>
          <w:color w:val="000000"/>
          <w:kern w:val="0"/>
          <w:sz w:val="28"/>
          <w:szCs w:val="28"/>
        </w:rPr>
        <w:t>停车位收入</w:t>
      </w:r>
    </w:p>
    <w:p w14:paraId="036F5C46">
      <w:pPr>
        <w:widowControl/>
        <w:spacing w:before="156" w:after="120"/>
        <w:ind w:right="84"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根据业主单位提供的信息及《海口江东新区总部集聚区基础设施建设项目可行性研究报告》本项目拟设置</w:t>
      </w:r>
      <w:r>
        <w:rPr>
          <w:rFonts w:ascii="仿宋" w:hAnsi="仿宋" w:eastAsia="仿宋" w:cs="Times New Roman"/>
          <w:color w:val="000000"/>
          <w:kern w:val="0"/>
          <w:sz w:val="28"/>
          <w:szCs w:val="28"/>
        </w:rPr>
        <w:t>2</w:t>
      </w:r>
      <w:r>
        <w:rPr>
          <w:rFonts w:hint="eastAsia" w:ascii="仿宋" w:hAnsi="仿宋" w:eastAsia="仿宋" w:cs="Times New Roman"/>
          <w:color w:val="000000"/>
          <w:kern w:val="0"/>
          <w:sz w:val="28"/>
          <w:szCs w:val="28"/>
        </w:rPr>
        <w:t>个公共停车场，共计</w:t>
      </w:r>
      <w:r>
        <w:rPr>
          <w:rFonts w:ascii="仿宋" w:hAnsi="仿宋" w:eastAsia="仿宋" w:cs="Times New Roman"/>
          <w:color w:val="000000"/>
          <w:kern w:val="0"/>
          <w:sz w:val="28"/>
          <w:szCs w:val="28"/>
        </w:rPr>
        <w:t>635</w:t>
      </w:r>
      <w:r>
        <w:rPr>
          <w:rFonts w:hint="eastAsia" w:ascii="仿宋" w:hAnsi="仿宋" w:eastAsia="仿宋" w:cs="Times New Roman"/>
          <w:color w:val="000000"/>
          <w:kern w:val="0"/>
          <w:sz w:val="28"/>
          <w:szCs w:val="28"/>
        </w:rPr>
        <w:t>个停车位。公共停车场一面积约</w:t>
      </w:r>
      <w:r>
        <w:rPr>
          <w:rFonts w:ascii="仿宋" w:hAnsi="仿宋" w:eastAsia="仿宋" w:cs="Times New Roman"/>
          <w:color w:val="000000"/>
          <w:kern w:val="0"/>
          <w:sz w:val="28"/>
          <w:szCs w:val="28"/>
        </w:rPr>
        <w:t>15,000</w:t>
      </w:r>
      <w:r>
        <w:rPr>
          <w:rFonts w:hint="eastAsia" w:ascii="仿宋" w:hAnsi="仿宋" w:eastAsia="仿宋" w:cs="Times New Roman"/>
          <w:color w:val="000000"/>
          <w:kern w:val="0"/>
          <w:sz w:val="28"/>
          <w:szCs w:val="28"/>
        </w:rPr>
        <w:t>m</w:t>
      </w:r>
      <w:r>
        <w:rPr>
          <w:rFonts w:ascii="仿宋" w:hAnsi="仿宋" w:eastAsia="仿宋" w:cs="Times New Roman"/>
          <w:color w:val="000000"/>
          <w:kern w:val="0"/>
          <w:sz w:val="28"/>
          <w:szCs w:val="28"/>
          <w:vertAlign w:val="superscript"/>
        </w:rPr>
        <w:t>2</w:t>
      </w:r>
      <w:r>
        <w:rPr>
          <w:rFonts w:hint="eastAsia" w:ascii="仿宋" w:hAnsi="仿宋" w:eastAsia="仿宋" w:cs="Times New Roman"/>
          <w:color w:val="000000"/>
          <w:kern w:val="0"/>
          <w:sz w:val="28"/>
          <w:szCs w:val="28"/>
        </w:rPr>
        <w:t>左右，小车停车位共</w:t>
      </w:r>
      <w:r>
        <w:rPr>
          <w:rFonts w:ascii="仿宋" w:hAnsi="仿宋" w:eastAsia="仿宋" w:cs="Times New Roman"/>
          <w:color w:val="000000"/>
          <w:kern w:val="0"/>
          <w:sz w:val="28"/>
          <w:szCs w:val="28"/>
        </w:rPr>
        <w:t>360</w:t>
      </w:r>
      <w:r>
        <w:rPr>
          <w:rFonts w:hint="eastAsia" w:ascii="仿宋" w:hAnsi="仿宋" w:eastAsia="仿宋" w:cs="Times New Roman"/>
          <w:color w:val="000000"/>
          <w:kern w:val="0"/>
          <w:sz w:val="28"/>
          <w:szCs w:val="28"/>
        </w:rPr>
        <w:t>个，大巴车停车位约</w:t>
      </w:r>
      <w:r>
        <w:rPr>
          <w:rFonts w:ascii="仿宋" w:hAnsi="仿宋" w:eastAsia="仿宋" w:cs="Times New Roman"/>
          <w:color w:val="000000"/>
          <w:kern w:val="0"/>
          <w:sz w:val="28"/>
          <w:szCs w:val="28"/>
        </w:rPr>
        <w:t>30</w:t>
      </w:r>
      <w:r>
        <w:rPr>
          <w:rFonts w:hint="eastAsia" w:ascii="仿宋" w:hAnsi="仿宋" w:eastAsia="仿宋" w:cs="Times New Roman"/>
          <w:color w:val="000000"/>
          <w:kern w:val="0"/>
          <w:sz w:val="28"/>
          <w:szCs w:val="28"/>
        </w:rPr>
        <w:t>个；公共停车场二面积约</w:t>
      </w:r>
      <w:r>
        <w:rPr>
          <w:rFonts w:ascii="仿宋" w:hAnsi="仿宋" w:eastAsia="仿宋" w:cs="Times New Roman"/>
          <w:color w:val="000000"/>
          <w:kern w:val="0"/>
          <w:sz w:val="28"/>
          <w:szCs w:val="28"/>
        </w:rPr>
        <w:t>8,900</w:t>
      </w:r>
      <w:r>
        <w:rPr>
          <w:rFonts w:hint="eastAsia" w:ascii="仿宋" w:hAnsi="仿宋" w:eastAsia="仿宋" w:cs="Times New Roman"/>
          <w:color w:val="000000"/>
          <w:kern w:val="0"/>
          <w:sz w:val="28"/>
          <w:szCs w:val="28"/>
        </w:rPr>
        <w:t>m</w:t>
      </w:r>
      <w:r>
        <w:rPr>
          <w:rFonts w:ascii="仿宋" w:hAnsi="仿宋" w:eastAsia="仿宋" w:cs="Times New Roman"/>
          <w:color w:val="000000"/>
          <w:kern w:val="0"/>
          <w:sz w:val="28"/>
          <w:szCs w:val="28"/>
          <w:vertAlign w:val="superscript"/>
        </w:rPr>
        <w:t>2</w:t>
      </w:r>
      <w:r>
        <w:rPr>
          <w:rFonts w:hint="eastAsia" w:ascii="仿宋" w:hAnsi="仿宋" w:eastAsia="仿宋" w:cs="Times New Roman"/>
          <w:color w:val="000000"/>
          <w:kern w:val="0"/>
          <w:sz w:val="28"/>
          <w:szCs w:val="28"/>
        </w:rPr>
        <w:t>左右，小车停车位共</w:t>
      </w:r>
      <w:r>
        <w:rPr>
          <w:rFonts w:ascii="仿宋" w:hAnsi="仿宋" w:eastAsia="仿宋" w:cs="Times New Roman"/>
          <w:color w:val="000000"/>
          <w:kern w:val="0"/>
          <w:sz w:val="28"/>
          <w:szCs w:val="28"/>
        </w:rPr>
        <w:t>230</w:t>
      </w:r>
      <w:r>
        <w:rPr>
          <w:rFonts w:hint="eastAsia" w:ascii="仿宋" w:hAnsi="仿宋" w:eastAsia="仿宋" w:cs="Times New Roman"/>
          <w:color w:val="000000"/>
          <w:kern w:val="0"/>
          <w:sz w:val="28"/>
          <w:szCs w:val="28"/>
        </w:rPr>
        <w:t>个，大巴车停车位约</w:t>
      </w:r>
      <w:r>
        <w:rPr>
          <w:rFonts w:ascii="仿宋" w:hAnsi="仿宋" w:eastAsia="仿宋" w:cs="Times New Roman"/>
          <w:color w:val="000000"/>
          <w:kern w:val="0"/>
          <w:sz w:val="28"/>
          <w:szCs w:val="28"/>
        </w:rPr>
        <w:t>15</w:t>
      </w:r>
      <w:r>
        <w:rPr>
          <w:rFonts w:hint="eastAsia" w:ascii="仿宋" w:hAnsi="仿宋" w:eastAsia="仿宋" w:cs="Times New Roman"/>
          <w:color w:val="000000"/>
          <w:kern w:val="0"/>
          <w:sz w:val="28"/>
          <w:szCs w:val="28"/>
        </w:rPr>
        <w:t>个。</w:t>
      </w:r>
    </w:p>
    <w:p w14:paraId="62338A2C">
      <w:pPr>
        <w:widowControl/>
        <w:spacing w:before="156" w:after="120"/>
        <w:ind w:right="84"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大车及小车停车位单价均参考《海口市各类停车设施车辆停放服务费收费标准》海发改物价〔</w:t>
      </w:r>
      <w:r>
        <w:rPr>
          <w:rFonts w:ascii="仿宋" w:hAnsi="仿宋" w:eastAsia="仿宋" w:cs="Times New Roman"/>
          <w:color w:val="000000"/>
          <w:kern w:val="0"/>
          <w:sz w:val="28"/>
          <w:szCs w:val="28"/>
        </w:rPr>
        <w:t>2018</w:t>
      </w:r>
      <w:r>
        <w:rPr>
          <w:rFonts w:hint="eastAsia" w:ascii="仿宋" w:hAnsi="仿宋" w:eastAsia="仿宋" w:cs="Times New Roman"/>
          <w:color w:val="000000"/>
          <w:kern w:val="0"/>
          <w:sz w:val="28"/>
          <w:szCs w:val="28"/>
        </w:rPr>
        <w:t>〕</w:t>
      </w:r>
      <w:r>
        <w:rPr>
          <w:rFonts w:ascii="仿宋" w:hAnsi="仿宋" w:eastAsia="仿宋" w:cs="Times New Roman"/>
          <w:color w:val="000000"/>
          <w:kern w:val="0"/>
          <w:sz w:val="28"/>
          <w:szCs w:val="28"/>
        </w:rPr>
        <w:t>160</w:t>
      </w:r>
      <w:r>
        <w:rPr>
          <w:rFonts w:hint="eastAsia" w:ascii="仿宋" w:hAnsi="仿宋" w:eastAsia="仿宋" w:cs="Times New Roman"/>
          <w:color w:val="000000"/>
          <w:kern w:val="0"/>
          <w:sz w:val="28"/>
          <w:szCs w:val="28"/>
        </w:rPr>
        <w:t>号，保守估计，小车夜间停车场使用率为</w:t>
      </w:r>
      <w:r>
        <w:rPr>
          <w:rFonts w:ascii="仿宋" w:hAnsi="仿宋" w:eastAsia="仿宋" w:cs="Times New Roman"/>
          <w:color w:val="000000"/>
          <w:kern w:val="0"/>
          <w:sz w:val="28"/>
          <w:szCs w:val="28"/>
        </w:rPr>
        <w:t>30%</w:t>
      </w:r>
      <w:r>
        <w:rPr>
          <w:rFonts w:hint="eastAsia" w:ascii="仿宋" w:hAnsi="仿宋" w:eastAsia="仿宋" w:cs="Times New Roman"/>
          <w:color w:val="000000"/>
          <w:kern w:val="0"/>
          <w:sz w:val="28"/>
          <w:szCs w:val="28"/>
        </w:rPr>
        <w:t>，大车夜间停车场使用率为</w:t>
      </w:r>
      <w:r>
        <w:rPr>
          <w:rFonts w:ascii="仿宋" w:hAnsi="仿宋" w:eastAsia="仿宋" w:cs="Times New Roman"/>
          <w:color w:val="000000"/>
          <w:kern w:val="0"/>
          <w:sz w:val="28"/>
          <w:szCs w:val="28"/>
        </w:rPr>
        <w:t>50%</w:t>
      </w:r>
      <w:r>
        <w:rPr>
          <w:rFonts w:hint="eastAsia" w:ascii="仿宋" w:hAnsi="仿宋" w:eastAsia="仿宋" w:cs="Times New Roman"/>
          <w:color w:val="000000"/>
          <w:kern w:val="0"/>
          <w:sz w:val="28"/>
          <w:szCs w:val="28"/>
        </w:rPr>
        <w:t>，预计年收入为</w:t>
      </w:r>
      <w:r>
        <w:rPr>
          <w:rFonts w:ascii="仿宋" w:hAnsi="仿宋" w:eastAsia="仿宋" w:cs="Times New Roman"/>
          <w:color w:val="000000"/>
          <w:kern w:val="0"/>
          <w:sz w:val="28"/>
          <w:szCs w:val="28"/>
        </w:rPr>
        <w:t>458</w:t>
      </w:r>
      <w:r>
        <w:rPr>
          <w:rFonts w:hint="eastAsia" w:ascii="仿宋" w:hAnsi="仿宋" w:eastAsia="仿宋" w:cs="Times New Roman"/>
          <w:color w:val="000000"/>
          <w:kern w:val="0"/>
          <w:sz w:val="28"/>
          <w:szCs w:val="28"/>
        </w:rPr>
        <w:t>万元。</w:t>
      </w:r>
    </w:p>
    <w:p w14:paraId="6E48A248">
      <w:pPr>
        <w:widowControl/>
        <w:spacing w:before="156" w:after="120"/>
        <w:ind w:right="84" w:firstLine="560"/>
        <w:rPr>
          <w:rFonts w:ascii="仿宋" w:hAnsi="仿宋" w:eastAsia="仿宋" w:cs="Times New Roman"/>
          <w:color w:val="000000"/>
          <w:kern w:val="0"/>
          <w:sz w:val="28"/>
          <w:szCs w:val="28"/>
        </w:rPr>
      </w:pPr>
      <w:r>
        <w:rPr>
          <w:rFonts w:ascii="仿宋" w:hAnsi="仿宋" w:eastAsia="仿宋" w:cs="Times New Roman"/>
          <w:color w:val="000000"/>
          <w:kern w:val="0"/>
          <w:sz w:val="28"/>
          <w:szCs w:val="28"/>
        </w:rPr>
        <w:fldChar w:fldCharType="begin"/>
      </w:r>
      <w:r>
        <w:rPr>
          <w:rFonts w:ascii="仿宋" w:hAnsi="仿宋" w:eastAsia="仿宋" w:cs="Times New Roman"/>
          <w:color w:val="000000"/>
          <w:kern w:val="0"/>
          <w:sz w:val="28"/>
          <w:szCs w:val="28"/>
        </w:rPr>
        <w:instrText xml:space="preserve"> </w:instrText>
      </w:r>
      <w:r>
        <w:rPr>
          <w:rFonts w:hint="eastAsia" w:ascii="仿宋" w:hAnsi="仿宋" w:eastAsia="仿宋" w:cs="Times New Roman"/>
          <w:color w:val="000000"/>
          <w:kern w:val="0"/>
          <w:sz w:val="28"/>
          <w:szCs w:val="28"/>
        </w:rPr>
        <w:instrText xml:space="preserve">= 3 \* GB3</w:instrText>
      </w:r>
      <w:r>
        <w:rPr>
          <w:rFonts w:ascii="仿宋" w:hAnsi="仿宋" w:eastAsia="仿宋" w:cs="Times New Roman"/>
          <w:color w:val="000000"/>
          <w:kern w:val="0"/>
          <w:sz w:val="28"/>
          <w:szCs w:val="28"/>
        </w:rPr>
        <w:instrText xml:space="preserve"> </w:instrText>
      </w:r>
      <w:r>
        <w:rPr>
          <w:rFonts w:ascii="仿宋" w:hAnsi="仿宋" w:eastAsia="仿宋" w:cs="Times New Roman"/>
          <w:color w:val="000000"/>
          <w:kern w:val="0"/>
          <w:sz w:val="28"/>
          <w:szCs w:val="28"/>
        </w:rPr>
        <w:fldChar w:fldCharType="separate"/>
      </w:r>
      <w:r>
        <w:rPr>
          <w:rFonts w:hint="eastAsia" w:ascii="仿宋" w:hAnsi="仿宋" w:eastAsia="仿宋" w:cs="Times New Roman"/>
          <w:color w:val="000000"/>
          <w:kern w:val="0"/>
          <w:sz w:val="28"/>
          <w:szCs w:val="28"/>
        </w:rPr>
        <w:t>③</w:t>
      </w:r>
      <w:r>
        <w:rPr>
          <w:rFonts w:ascii="仿宋" w:hAnsi="仿宋" w:eastAsia="仿宋" w:cs="Times New Roman"/>
          <w:color w:val="000000"/>
          <w:kern w:val="0"/>
          <w:sz w:val="28"/>
          <w:szCs w:val="28"/>
        </w:rPr>
        <w:fldChar w:fldCharType="end"/>
      </w:r>
      <w:r>
        <w:rPr>
          <w:rFonts w:hint="eastAsia" w:ascii="仿宋" w:hAnsi="仿宋" w:eastAsia="仿宋" w:cs="Times New Roman"/>
          <w:color w:val="000000"/>
          <w:kern w:val="0"/>
          <w:sz w:val="28"/>
          <w:szCs w:val="28"/>
        </w:rPr>
        <w:t>公园及浴场服务收入</w:t>
      </w:r>
    </w:p>
    <w:p w14:paraId="1C331E7B">
      <w:pPr>
        <w:widowControl/>
        <w:spacing w:before="156" w:after="120"/>
        <w:ind w:right="84" w:firstLine="560"/>
        <w:rPr>
          <w:rFonts w:ascii="仿宋" w:hAnsi="仿宋" w:eastAsia="仿宋" w:cs="Times New Roman"/>
          <w:color w:val="000000"/>
          <w:kern w:val="0"/>
          <w:sz w:val="28"/>
          <w:szCs w:val="28"/>
        </w:rPr>
      </w:pPr>
      <w:r>
        <w:rPr>
          <w:rFonts w:hint="eastAsia" w:ascii="仿宋" w:hAnsi="仿宋" w:eastAsia="仿宋" w:cs="Times New Roman"/>
          <w:color w:val="000000"/>
          <w:kern w:val="0"/>
          <w:sz w:val="28"/>
          <w:szCs w:val="28"/>
        </w:rPr>
        <w:t>根据业主单位提供的信息及《海口江东新区总部集聚区基础设施建设项目可行性研究报告》，本项目景区日游人容量最小值为</w:t>
      </w:r>
      <w:r>
        <w:rPr>
          <w:rFonts w:ascii="仿宋" w:hAnsi="仿宋" w:eastAsia="仿宋" w:cs="Times New Roman"/>
          <w:color w:val="000000"/>
          <w:kern w:val="0"/>
          <w:sz w:val="28"/>
          <w:szCs w:val="28"/>
        </w:rPr>
        <w:t>4,173人次，项目单位参考同地区其他旅游区的市场收费水平预估的门票单价为457元/人，考虑到海南地区淡季情况及极端天气情况，基于谨慎性原则，收费情况暂按300元/人计算，全年天数按照300天计算，预计年收入为37,557万元。</w:t>
      </w:r>
    </w:p>
    <w:p w14:paraId="69BDD5E2">
      <w:pPr>
        <w:widowControl/>
        <w:spacing w:before="156"/>
        <w:ind w:firstLine="482"/>
        <w:jc w:val="center"/>
        <w:rPr>
          <w:rFonts w:ascii="仿宋" w:hAnsi="仿宋" w:eastAsia="仿宋"/>
          <w:b/>
          <w:color w:val="000000" w:themeColor="text1"/>
          <w:kern w:val="0"/>
          <w:szCs w:val="24"/>
          <w14:textFill>
            <w14:solidFill>
              <w14:schemeClr w14:val="tx1"/>
            </w14:solidFill>
          </w14:textFill>
        </w:rPr>
      </w:pPr>
      <w:r>
        <w:rPr>
          <w:rFonts w:hint="eastAsia" w:ascii="仿宋" w:hAnsi="仿宋" w:eastAsia="仿宋"/>
          <w:b/>
          <w:color w:val="000000" w:themeColor="text1"/>
          <w:kern w:val="0"/>
          <w:szCs w:val="24"/>
          <w14:textFill>
            <w14:solidFill>
              <w14:schemeClr w14:val="tx1"/>
            </w14:solidFill>
          </w14:textFill>
        </w:rPr>
        <w:t>表8同地区其他旅游区的市场收费水平</w:t>
      </w:r>
    </w:p>
    <w:tbl>
      <w:tblPr>
        <w:tblStyle w:val="21"/>
        <w:tblW w:w="9067" w:type="dxa"/>
        <w:jc w:val="center"/>
        <w:tblLayout w:type="fixed"/>
        <w:tblCellMar>
          <w:top w:w="0" w:type="dxa"/>
          <w:left w:w="108" w:type="dxa"/>
          <w:bottom w:w="0" w:type="dxa"/>
          <w:right w:w="108" w:type="dxa"/>
        </w:tblCellMar>
      </w:tblPr>
      <w:tblGrid>
        <w:gridCol w:w="3681"/>
        <w:gridCol w:w="1276"/>
        <w:gridCol w:w="1417"/>
        <w:gridCol w:w="1418"/>
        <w:gridCol w:w="1275"/>
      </w:tblGrid>
      <w:tr w14:paraId="6D1780BF">
        <w:tblPrEx>
          <w:tblCellMar>
            <w:top w:w="0" w:type="dxa"/>
            <w:left w:w="108" w:type="dxa"/>
            <w:bottom w:w="0" w:type="dxa"/>
            <w:right w:w="108" w:type="dxa"/>
          </w:tblCellMar>
        </w:tblPrEx>
        <w:trPr>
          <w:trHeight w:val="276" w:hRule="atLeast"/>
          <w:jc w:val="center"/>
        </w:trPr>
        <w:tc>
          <w:tcPr>
            <w:tcW w:w="3681"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B26C68F">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名称</w:t>
            </w:r>
          </w:p>
        </w:tc>
        <w:tc>
          <w:tcPr>
            <w:tcW w:w="4111" w:type="dxa"/>
            <w:gridSpan w:val="3"/>
            <w:tcBorders>
              <w:top w:val="single" w:color="auto" w:sz="4" w:space="0"/>
              <w:left w:val="nil"/>
              <w:bottom w:val="single" w:color="auto" w:sz="4" w:space="0"/>
              <w:right w:val="single" w:color="auto" w:sz="4" w:space="0"/>
            </w:tcBorders>
            <w:shd w:val="clear" w:color="auto" w:fill="auto"/>
            <w:noWrap/>
            <w:vAlign w:val="center"/>
          </w:tcPr>
          <w:p w14:paraId="699C0442">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项目</w:t>
            </w:r>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215C4D8B">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合计</w:t>
            </w:r>
          </w:p>
        </w:tc>
      </w:tr>
      <w:tr w14:paraId="7D212D7E">
        <w:tblPrEx>
          <w:tblCellMar>
            <w:top w:w="0" w:type="dxa"/>
            <w:left w:w="108" w:type="dxa"/>
            <w:bottom w:w="0" w:type="dxa"/>
            <w:right w:w="108" w:type="dxa"/>
          </w:tblCellMar>
        </w:tblPrEx>
        <w:trPr>
          <w:trHeight w:val="276" w:hRule="atLeast"/>
          <w:jc w:val="center"/>
        </w:trPr>
        <w:tc>
          <w:tcPr>
            <w:tcW w:w="368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9B30284">
            <w:pPr>
              <w:widowControl/>
              <w:spacing w:line="240" w:lineRule="auto"/>
              <w:ind w:firstLine="0" w:firstLineChars="0"/>
              <w:jc w:val="center"/>
              <w:rPr>
                <w:rFonts w:ascii="仿宋" w:hAnsi="仿宋" w:eastAsia="仿宋" w:cs="宋体"/>
                <w:b/>
                <w:bCs/>
                <w:kern w:val="0"/>
                <w:sz w:val="20"/>
                <w:szCs w:val="20"/>
              </w:rPr>
            </w:pPr>
          </w:p>
        </w:tc>
        <w:tc>
          <w:tcPr>
            <w:tcW w:w="1276" w:type="dxa"/>
            <w:tcBorders>
              <w:top w:val="nil"/>
              <w:left w:val="nil"/>
              <w:bottom w:val="single" w:color="auto" w:sz="4" w:space="0"/>
              <w:right w:val="single" w:color="auto" w:sz="4" w:space="0"/>
            </w:tcBorders>
            <w:shd w:val="clear" w:color="auto" w:fill="auto"/>
            <w:noWrap/>
            <w:vAlign w:val="center"/>
          </w:tcPr>
          <w:p w14:paraId="237467C8">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帆船</w:t>
            </w:r>
          </w:p>
          <w:p w14:paraId="43BE37BA">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（元</w:t>
            </w:r>
            <w:r>
              <w:rPr>
                <w:rFonts w:ascii="仿宋" w:hAnsi="仿宋" w:eastAsia="仿宋" w:cs="宋体"/>
                <w:b/>
                <w:bCs/>
                <w:kern w:val="0"/>
                <w:sz w:val="20"/>
                <w:szCs w:val="20"/>
              </w:rPr>
              <w:t>/</w:t>
            </w:r>
            <w:r>
              <w:rPr>
                <w:rFonts w:hint="eastAsia" w:ascii="仿宋" w:hAnsi="仿宋" w:eastAsia="仿宋" w:cs="宋体"/>
                <w:b/>
                <w:bCs/>
                <w:kern w:val="0"/>
                <w:sz w:val="20"/>
                <w:szCs w:val="20"/>
              </w:rPr>
              <w:t>人）</w:t>
            </w:r>
          </w:p>
        </w:tc>
        <w:tc>
          <w:tcPr>
            <w:tcW w:w="1417" w:type="dxa"/>
            <w:tcBorders>
              <w:top w:val="nil"/>
              <w:left w:val="nil"/>
              <w:bottom w:val="single" w:color="auto" w:sz="4" w:space="0"/>
              <w:right w:val="single" w:color="auto" w:sz="4" w:space="0"/>
            </w:tcBorders>
            <w:shd w:val="clear" w:color="auto" w:fill="auto"/>
            <w:noWrap/>
            <w:vAlign w:val="center"/>
          </w:tcPr>
          <w:p w14:paraId="736CACC4">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摩托艇</w:t>
            </w:r>
          </w:p>
          <w:p w14:paraId="2B2CBF02">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（元</w:t>
            </w:r>
            <w:r>
              <w:rPr>
                <w:rFonts w:ascii="仿宋" w:hAnsi="仿宋" w:eastAsia="仿宋" w:cs="宋体"/>
                <w:b/>
                <w:bCs/>
                <w:kern w:val="0"/>
                <w:sz w:val="20"/>
                <w:szCs w:val="20"/>
              </w:rPr>
              <w:t>/</w:t>
            </w:r>
            <w:r>
              <w:rPr>
                <w:rFonts w:hint="eastAsia" w:ascii="仿宋" w:hAnsi="仿宋" w:eastAsia="仿宋" w:cs="宋体"/>
                <w:b/>
                <w:bCs/>
                <w:kern w:val="0"/>
                <w:sz w:val="20"/>
                <w:szCs w:val="20"/>
              </w:rPr>
              <w:t>人）</w:t>
            </w:r>
          </w:p>
        </w:tc>
        <w:tc>
          <w:tcPr>
            <w:tcW w:w="1418" w:type="dxa"/>
            <w:tcBorders>
              <w:top w:val="nil"/>
              <w:left w:val="nil"/>
              <w:bottom w:val="single" w:color="auto" w:sz="4" w:space="0"/>
              <w:right w:val="single" w:color="auto" w:sz="4" w:space="0"/>
            </w:tcBorders>
            <w:shd w:val="clear" w:color="auto" w:fill="auto"/>
            <w:noWrap/>
            <w:vAlign w:val="center"/>
          </w:tcPr>
          <w:p w14:paraId="6EA88777">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海钓体验</w:t>
            </w:r>
          </w:p>
          <w:p w14:paraId="5261D4F8">
            <w:pPr>
              <w:widowControl/>
              <w:spacing w:line="240" w:lineRule="auto"/>
              <w:ind w:firstLine="0" w:firstLineChars="0"/>
              <w:jc w:val="center"/>
              <w:rPr>
                <w:rFonts w:ascii="仿宋" w:hAnsi="仿宋" w:eastAsia="仿宋" w:cs="宋体"/>
                <w:b/>
                <w:bCs/>
                <w:kern w:val="0"/>
                <w:sz w:val="20"/>
                <w:szCs w:val="20"/>
              </w:rPr>
            </w:pPr>
            <w:r>
              <w:rPr>
                <w:rFonts w:hint="eastAsia" w:ascii="仿宋" w:hAnsi="仿宋" w:eastAsia="仿宋" w:cs="宋体"/>
                <w:b/>
                <w:bCs/>
                <w:kern w:val="0"/>
                <w:sz w:val="20"/>
                <w:szCs w:val="20"/>
              </w:rPr>
              <w:t>（元</w:t>
            </w:r>
            <w:r>
              <w:rPr>
                <w:rFonts w:ascii="仿宋" w:hAnsi="仿宋" w:eastAsia="仿宋" w:cs="宋体"/>
                <w:b/>
                <w:bCs/>
                <w:kern w:val="0"/>
                <w:sz w:val="20"/>
                <w:szCs w:val="20"/>
              </w:rPr>
              <w:t>/</w:t>
            </w:r>
            <w:r>
              <w:rPr>
                <w:rFonts w:hint="eastAsia" w:ascii="仿宋" w:hAnsi="仿宋" w:eastAsia="仿宋" w:cs="宋体"/>
                <w:b/>
                <w:bCs/>
                <w:kern w:val="0"/>
                <w:sz w:val="20"/>
                <w:szCs w:val="20"/>
              </w:rPr>
              <w:t>人）</w:t>
            </w:r>
          </w:p>
        </w:tc>
        <w:tc>
          <w:tcPr>
            <w:tcW w:w="1275" w:type="dxa"/>
            <w:tcBorders>
              <w:top w:val="nil"/>
              <w:left w:val="nil"/>
              <w:bottom w:val="single" w:color="auto" w:sz="4" w:space="0"/>
              <w:right w:val="single" w:color="auto" w:sz="4" w:space="0"/>
            </w:tcBorders>
            <w:shd w:val="clear" w:color="auto" w:fill="auto"/>
            <w:noWrap/>
            <w:vAlign w:val="center"/>
          </w:tcPr>
          <w:p w14:paraId="0E3407F0">
            <w:pPr>
              <w:widowControl/>
              <w:spacing w:line="240" w:lineRule="auto"/>
              <w:ind w:firstLine="0" w:firstLineChars="0"/>
              <w:jc w:val="center"/>
              <w:rPr>
                <w:rFonts w:ascii="仿宋" w:hAnsi="仿宋" w:eastAsia="仿宋" w:cs="宋体"/>
                <w:b/>
                <w:bCs/>
                <w:kern w:val="0"/>
                <w:sz w:val="20"/>
                <w:szCs w:val="20"/>
              </w:rPr>
            </w:pPr>
          </w:p>
        </w:tc>
      </w:tr>
      <w:tr w14:paraId="5CCDCAC3">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7CDB3A86">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后海水运动乐园</w:t>
            </w:r>
          </w:p>
        </w:tc>
        <w:tc>
          <w:tcPr>
            <w:tcW w:w="1276" w:type="dxa"/>
            <w:tcBorders>
              <w:top w:val="nil"/>
              <w:left w:val="nil"/>
              <w:bottom w:val="single" w:color="auto" w:sz="4" w:space="0"/>
              <w:right w:val="single" w:color="auto" w:sz="4" w:space="0"/>
            </w:tcBorders>
            <w:shd w:val="clear" w:color="auto" w:fill="auto"/>
            <w:noWrap/>
            <w:vAlign w:val="center"/>
          </w:tcPr>
          <w:p w14:paraId="01611B59">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100</w:t>
            </w:r>
          </w:p>
        </w:tc>
        <w:tc>
          <w:tcPr>
            <w:tcW w:w="1417" w:type="dxa"/>
            <w:tcBorders>
              <w:top w:val="nil"/>
              <w:left w:val="nil"/>
              <w:bottom w:val="single" w:color="auto" w:sz="4" w:space="0"/>
              <w:right w:val="single" w:color="auto" w:sz="4" w:space="0"/>
            </w:tcBorders>
            <w:shd w:val="clear" w:color="auto" w:fill="auto"/>
            <w:noWrap/>
            <w:vAlign w:val="center"/>
          </w:tcPr>
          <w:p w14:paraId="0562D1C5">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180</w:t>
            </w:r>
          </w:p>
        </w:tc>
        <w:tc>
          <w:tcPr>
            <w:tcW w:w="1418" w:type="dxa"/>
            <w:tcBorders>
              <w:top w:val="nil"/>
              <w:left w:val="nil"/>
              <w:bottom w:val="single" w:color="auto" w:sz="4" w:space="0"/>
              <w:right w:val="single" w:color="auto" w:sz="4" w:space="0"/>
            </w:tcBorders>
            <w:shd w:val="clear" w:color="auto" w:fill="auto"/>
            <w:noWrap/>
            <w:vAlign w:val="center"/>
          </w:tcPr>
          <w:p w14:paraId="3B161B08">
            <w:pPr>
              <w:widowControl/>
              <w:spacing w:line="240" w:lineRule="auto"/>
              <w:ind w:firstLine="0" w:firstLineChars="0"/>
              <w:jc w:val="right"/>
              <w:rPr>
                <w:rFonts w:ascii="仿宋" w:hAnsi="仿宋" w:eastAsia="仿宋" w:cs="宋体"/>
                <w:kern w:val="0"/>
                <w:sz w:val="20"/>
                <w:szCs w:val="20"/>
              </w:rPr>
            </w:pPr>
          </w:p>
        </w:tc>
        <w:tc>
          <w:tcPr>
            <w:tcW w:w="1275" w:type="dxa"/>
            <w:tcBorders>
              <w:top w:val="nil"/>
              <w:left w:val="nil"/>
              <w:bottom w:val="single" w:color="auto" w:sz="4" w:space="0"/>
              <w:right w:val="single" w:color="auto" w:sz="4" w:space="0"/>
            </w:tcBorders>
            <w:shd w:val="clear" w:color="auto" w:fill="auto"/>
            <w:noWrap/>
            <w:vAlign w:val="center"/>
          </w:tcPr>
          <w:p w14:paraId="5A17C42D">
            <w:pPr>
              <w:widowControl/>
              <w:spacing w:line="240" w:lineRule="auto"/>
              <w:ind w:firstLine="0" w:firstLineChars="0"/>
              <w:jc w:val="right"/>
              <w:rPr>
                <w:rFonts w:ascii="仿宋" w:hAnsi="仿宋" w:eastAsia="仿宋" w:cs="宋体"/>
                <w:kern w:val="0"/>
                <w:sz w:val="20"/>
                <w:szCs w:val="20"/>
              </w:rPr>
            </w:pPr>
          </w:p>
        </w:tc>
      </w:tr>
      <w:tr w14:paraId="2438B600">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5DE88191">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海棠湾旅游区浮潜基地</w:t>
            </w:r>
          </w:p>
        </w:tc>
        <w:tc>
          <w:tcPr>
            <w:tcW w:w="1276" w:type="dxa"/>
            <w:tcBorders>
              <w:top w:val="nil"/>
              <w:left w:val="nil"/>
              <w:bottom w:val="single" w:color="auto" w:sz="4" w:space="0"/>
              <w:right w:val="single" w:color="auto" w:sz="4" w:space="0"/>
            </w:tcBorders>
            <w:shd w:val="clear" w:color="auto" w:fill="auto"/>
            <w:noWrap/>
            <w:vAlign w:val="center"/>
          </w:tcPr>
          <w:p w14:paraId="3BBF72A4">
            <w:pPr>
              <w:widowControl/>
              <w:spacing w:line="240" w:lineRule="auto"/>
              <w:ind w:firstLine="0" w:firstLineChars="0"/>
              <w:jc w:val="right"/>
              <w:rPr>
                <w:rFonts w:ascii="仿宋" w:hAnsi="仿宋" w:eastAsia="仿宋" w:cs="宋体"/>
                <w:kern w:val="0"/>
                <w:sz w:val="20"/>
                <w:szCs w:val="20"/>
              </w:rPr>
            </w:pPr>
          </w:p>
        </w:tc>
        <w:tc>
          <w:tcPr>
            <w:tcW w:w="1417" w:type="dxa"/>
            <w:tcBorders>
              <w:top w:val="nil"/>
              <w:left w:val="nil"/>
              <w:bottom w:val="single" w:color="auto" w:sz="4" w:space="0"/>
              <w:right w:val="single" w:color="auto" w:sz="4" w:space="0"/>
            </w:tcBorders>
            <w:shd w:val="clear" w:color="auto" w:fill="auto"/>
            <w:noWrap/>
            <w:vAlign w:val="center"/>
          </w:tcPr>
          <w:p w14:paraId="3A9DC4B0">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133</w:t>
            </w:r>
          </w:p>
        </w:tc>
        <w:tc>
          <w:tcPr>
            <w:tcW w:w="1418" w:type="dxa"/>
            <w:tcBorders>
              <w:top w:val="nil"/>
              <w:left w:val="nil"/>
              <w:bottom w:val="single" w:color="auto" w:sz="4" w:space="0"/>
              <w:right w:val="single" w:color="auto" w:sz="4" w:space="0"/>
            </w:tcBorders>
            <w:shd w:val="clear" w:color="auto" w:fill="auto"/>
            <w:noWrap/>
            <w:vAlign w:val="center"/>
          </w:tcPr>
          <w:p w14:paraId="518F55E0">
            <w:pPr>
              <w:widowControl/>
              <w:spacing w:line="240" w:lineRule="auto"/>
              <w:ind w:firstLine="0" w:firstLineChars="0"/>
              <w:jc w:val="right"/>
              <w:rPr>
                <w:rFonts w:ascii="仿宋" w:hAnsi="仿宋" w:eastAsia="仿宋" w:cs="宋体"/>
                <w:kern w:val="0"/>
                <w:sz w:val="20"/>
                <w:szCs w:val="20"/>
              </w:rPr>
            </w:pPr>
          </w:p>
        </w:tc>
        <w:tc>
          <w:tcPr>
            <w:tcW w:w="1275" w:type="dxa"/>
            <w:tcBorders>
              <w:top w:val="nil"/>
              <w:left w:val="nil"/>
              <w:bottom w:val="single" w:color="auto" w:sz="4" w:space="0"/>
              <w:right w:val="single" w:color="auto" w:sz="4" w:space="0"/>
            </w:tcBorders>
            <w:shd w:val="clear" w:color="auto" w:fill="auto"/>
            <w:noWrap/>
            <w:vAlign w:val="center"/>
          </w:tcPr>
          <w:p w14:paraId="02DE4639">
            <w:pPr>
              <w:widowControl/>
              <w:spacing w:line="240" w:lineRule="auto"/>
              <w:ind w:firstLine="0" w:firstLineChars="0"/>
              <w:jc w:val="right"/>
              <w:rPr>
                <w:rFonts w:ascii="仿宋" w:hAnsi="仿宋" w:eastAsia="仿宋" w:cs="宋体"/>
                <w:kern w:val="0"/>
                <w:sz w:val="20"/>
                <w:szCs w:val="20"/>
              </w:rPr>
            </w:pPr>
          </w:p>
        </w:tc>
      </w:tr>
      <w:tr w14:paraId="74BA7721">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2EAAE7CF">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三亚洲际游艇海钓俱乐部（海棠湾店）</w:t>
            </w:r>
          </w:p>
        </w:tc>
        <w:tc>
          <w:tcPr>
            <w:tcW w:w="1276" w:type="dxa"/>
            <w:tcBorders>
              <w:top w:val="nil"/>
              <w:left w:val="nil"/>
              <w:bottom w:val="single" w:color="auto" w:sz="4" w:space="0"/>
              <w:right w:val="single" w:color="auto" w:sz="4" w:space="0"/>
            </w:tcBorders>
            <w:shd w:val="clear" w:color="auto" w:fill="auto"/>
            <w:noWrap/>
            <w:vAlign w:val="center"/>
          </w:tcPr>
          <w:p w14:paraId="6D8BB774">
            <w:pPr>
              <w:widowControl/>
              <w:spacing w:line="240" w:lineRule="auto"/>
              <w:ind w:firstLine="0" w:firstLineChars="0"/>
              <w:jc w:val="right"/>
              <w:rPr>
                <w:rFonts w:ascii="仿宋" w:hAnsi="仿宋" w:eastAsia="仿宋" w:cs="宋体"/>
                <w:kern w:val="0"/>
                <w:sz w:val="20"/>
                <w:szCs w:val="20"/>
              </w:rPr>
            </w:pPr>
          </w:p>
        </w:tc>
        <w:tc>
          <w:tcPr>
            <w:tcW w:w="1417" w:type="dxa"/>
            <w:tcBorders>
              <w:top w:val="nil"/>
              <w:left w:val="nil"/>
              <w:bottom w:val="single" w:color="auto" w:sz="4" w:space="0"/>
              <w:right w:val="single" w:color="auto" w:sz="4" w:space="0"/>
            </w:tcBorders>
            <w:shd w:val="clear" w:color="auto" w:fill="auto"/>
            <w:noWrap/>
            <w:vAlign w:val="center"/>
          </w:tcPr>
          <w:p w14:paraId="2409D361">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82</w:t>
            </w:r>
          </w:p>
        </w:tc>
        <w:tc>
          <w:tcPr>
            <w:tcW w:w="1418" w:type="dxa"/>
            <w:tcBorders>
              <w:top w:val="nil"/>
              <w:left w:val="nil"/>
              <w:bottom w:val="single" w:color="auto" w:sz="4" w:space="0"/>
              <w:right w:val="single" w:color="auto" w:sz="4" w:space="0"/>
            </w:tcBorders>
            <w:shd w:val="clear" w:color="auto" w:fill="auto"/>
            <w:noWrap/>
            <w:vAlign w:val="center"/>
          </w:tcPr>
          <w:p w14:paraId="27FEFBF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253</w:t>
            </w:r>
          </w:p>
        </w:tc>
        <w:tc>
          <w:tcPr>
            <w:tcW w:w="1275" w:type="dxa"/>
            <w:tcBorders>
              <w:top w:val="nil"/>
              <w:left w:val="nil"/>
              <w:bottom w:val="single" w:color="auto" w:sz="4" w:space="0"/>
              <w:right w:val="single" w:color="auto" w:sz="4" w:space="0"/>
            </w:tcBorders>
            <w:shd w:val="clear" w:color="auto" w:fill="auto"/>
            <w:noWrap/>
            <w:vAlign w:val="center"/>
          </w:tcPr>
          <w:p w14:paraId="7C160B3F">
            <w:pPr>
              <w:widowControl/>
              <w:spacing w:line="240" w:lineRule="auto"/>
              <w:ind w:firstLine="0" w:firstLineChars="0"/>
              <w:jc w:val="right"/>
              <w:rPr>
                <w:rFonts w:ascii="仿宋" w:hAnsi="仿宋" w:eastAsia="仿宋" w:cs="宋体"/>
                <w:kern w:val="0"/>
                <w:sz w:val="20"/>
                <w:szCs w:val="20"/>
              </w:rPr>
            </w:pPr>
          </w:p>
        </w:tc>
      </w:tr>
      <w:tr w14:paraId="1DB3534A">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307927F2">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三亚酷奇游艇海钓俱乐部（亚龙湾店）</w:t>
            </w:r>
          </w:p>
        </w:tc>
        <w:tc>
          <w:tcPr>
            <w:tcW w:w="1276" w:type="dxa"/>
            <w:tcBorders>
              <w:top w:val="nil"/>
              <w:left w:val="nil"/>
              <w:bottom w:val="single" w:color="auto" w:sz="4" w:space="0"/>
              <w:right w:val="single" w:color="auto" w:sz="4" w:space="0"/>
            </w:tcBorders>
            <w:shd w:val="clear" w:color="auto" w:fill="auto"/>
            <w:noWrap/>
            <w:vAlign w:val="center"/>
          </w:tcPr>
          <w:p w14:paraId="32FE4B9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68</w:t>
            </w:r>
          </w:p>
        </w:tc>
        <w:tc>
          <w:tcPr>
            <w:tcW w:w="1417" w:type="dxa"/>
            <w:tcBorders>
              <w:top w:val="nil"/>
              <w:left w:val="nil"/>
              <w:bottom w:val="single" w:color="auto" w:sz="4" w:space="0"/>
              <w:right w:val="single" w:color="auto" w:sz="4" w:space="0"/>
            </w:tcBorders>
            <w:shd w:val="clear" w:color="auto" w:fill="auto"/>
            <w:noWrap/>
            <w:vAlign w:val="center"/>
          </w:tcPr>
          <w:p w14:paraId="60A720DE">
            <w:pPr>
              <w:widowControl/>
              <w:spacing w:line="240" w:lineRule="auto"/>
              <w:ind w:firstLine="0" w:firstLineChars="0"/>
              <w:jc w:val="right"/>
              <w:rPr>
                <w:rFonts w:ascii="仿宋" w:hAnsi="仿宋" w:eastAsia="仿宋" w:cs="宋体"/>
                <w:kern w:val="0"/>
                <w:sz w:val="20"/>
                <w:szCs w:val="20"/>
              </w:rPr>
            </w:pPr>
          </w:p>
        </w:tc>
        <w:tc>
          <w:tcPr>
            <w:tcW w:w="1418" w:type="dxa"/>
            <w:tcBorders>
              <w:top w:val="nil"/>
              <w:left w:val="nil"/>
              <w:bottom w:val="single" w:color="auto" w:sz="4" w:space="0"/>
              <w:right w:val="single" w:color="auto" w:sz="4" w:space="0"/>
            </w:tcBorders>
            <w:shd w:val="clear" w:color="auto" w:fill="auto"/>
            <w:noWrap/>
            <w:vAlign w:val="center"/>
          </w:tcPr>
          <w:p w14:paraId="06A4E14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188</w:t>
            </w:r>
          </w:p>
        </w:tc>
        <w:tc>
          <w:tcPr>
            <w:tcW w:w="1275" w:type="dxa"/>
            <w:tcBorders>
              <w:top w:val="nil"/>
              <w:left w:val="nil"/>
              <w:bottom w:val="single" w:color="auto" w:sz="4" w:space="0"/>
              <w:right w:val="single" w:color="auto" w:sz="4" w:space="0"/>
            </w:tcBorders>
            <w:shd w:val="clear" w:color="auto" w:fill="auto"/>
            <w:noWrap/>
            <w:vAlign w:val="center"/>
          </w:tcPr>
          <w:p w14:paraId="7E625712">
            <w:pPr>
              <w:widowControl/>
              <w:spacing w:line="240" w:lineRule="auto"/>
              <w:ind w:firstLine="0" w:firstLineChars="0"/>
              <w:jc w:val="right"/>
              <w:rPr>
                <w:rFonts w:ascii="仿宋" w:hAnsi="仿宋" w:eastAsia="仿宋" w:cs="宋体"/>
                <w:kern w:val="0"/>
                <w:sz w:val="20"/>
                <w:szCs w:val="20"/>
              </w:rPr>
            </w:pPr>
          </w:p>
        </w:tc>
      </w:tr>
      <w:tr w14:paraId="699BCE22">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038EFA34">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航海者游艇俱乐部（海棠湾旗舰店）</w:t>
            </w:r>
          </w:p>
        </w:tc>
        <w:tc>
          <w:tcPr>
            <w:tcW w:w="1276" w:type="dxa"/>
            <w:tcBorders>
              <w:top w:val="nil"/>
              <w:left w:val="nil"/>
              <w:bottom w:val="single" w:color="auto" w:sz="4" w:space="0"/>
              <w:right w:val="single" w:color="auto" w:sz="4" w:space="0"/>
            </w:tcBorders>
            <w:shd w:val="clear" w:color="auto" w:fill="auto"/>
            <w:noWrap/>
            <w:vAlign w:val="center"/>
          </w:tcPr>
          <w:p w14:paraId="1F2158D6">
            <w:pPr>
              <w:widowControl/>
              <w:spacing w:line="240" w:lineRule="auto"/>
              <w:ind w:firstLine="0" w:firstLineChars="0"/>
              <w:jc w:val="right"/>
              <w:rPr>
                <w:rFonts w:ascii="仿宋" w:hAnsi="仿宋" w:eastAsia="仿宋" w:cs="宋体"/>
                <w:kern w:val="0"/>
                <w:sz w:val="20"/>
                <w:szCs w:val="20"/>
              </w:rPr>
            </w:pPr>
          </w:p>
        </w:tc>
        <w:tc>
          <w:tcPr>
            <w:tcW w:w="1417" w:type="dxa"/>
            <w:tcBorders>
              <w:top w:val="nil"/>
              <w:left w:val="nil"/>
              <w:bottom w:val="single" w:color="auto" w:sz="4" w:space="0"/>
              <w:right w:val="single" w:color="auto" w:sz="4" w:space="0"/>
            </w:tcBorders>
            <w:shd w:val="clear" w:color="auto" w:fill="auto"/>
            <w:noWrap/>
            <w:vAlign w:val="center"/>
          </w:tcPr>
          <w:p w14:paraId="5D59C934">
            <w:pPr>
              <w:widowControl/>
              <w:spacing w:line="240" w:lineRule="auto"/>
              <w:ind w:firstLine="0" w:firstLineChars="0"/>
              <w:jc w:val="right"/>
              <w:rPr>
                <w:rFonts w:ascii="仿宋" w:hAnsi="仿宋" w:eastAsia="仿宋" w:cs="宋体"/>
                <w:kern w:val="0"/>
                <w:sz w:val="20"/>
                <w:szCs w:val="20"/>
              </w:rPr>
            </w:pPr>
          </w:p>
        </w:tc>
        <w:tc>
          <w:tcPr>
            <w:tcW w:w="1418" w:type="dxa"/>
            <w:tcBorders>
              <w:top w:val="nil"/>
              <w:left w:val="nil"/>
              <w:bottom w:val="single" w:color="auto" w:sz="4" w:space="0"/>
              <w:right w:val="single" w:color="auto" w:sz="4" w:space="0"/>
            </w:tcBorders>
            <w:shd w:val="clear" w:color="auto" w:fill="auto"/>
            <w:noWrap/>
            <w:vAlign w:val="center"/>
          </w:tcPr>
          <w:p w14:paraId="5888CA5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253</w:t>
            </w:r>
          </w:p>
        </w:tc>
        <w:tc>
          <w:tcPr>
            <w:tcW w:w="1275" w:type="dxa"/>
            <w:tcBorders>
              <w:top w:val="nil"/>
              <w:left w:val="nil"/>
              <w:bottom w:val="single" w:color="auto" w:sz="4" w:space="0"/>
              <w:right w:val="single" w:color="auto" w:sz="4" w:space="0"/>
            </w:tcBorders>
            <w:shd w:val="clear" w:color="auto" w:fill="auto"/>
            <w:noWrap/>
            <w:vAlign w:val="center"/>
          </w:tcPr>
          <w:p w14:paraId="12C6A45A">
            <w:pPr>
              <w:widowControl/>
              <w:spacing w:line="240" w:lineRule="auto"/>
              <w:ind w:firstLine="0" w:firstLineChars="0"/>
              <w:jc w:val="right"/>
              <w:rPr>
                <w:rFonts w:ascii="仿宋" w:hAnsi="仿宋" w:eastAsia="仿宋" w:cs="宋体"/>
                <w:kern w:val="0"/>
                <w:sz w:val="20"/>
                <w:szCs w:val="20"/>
              </w:rPr>
            </w:pPr>
          </w:p>
        </w:tc>
      </w:tr>
      <w:tr w14:paraId="7810C515">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193FEC75">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三亚国际游艇中心</w:t>
            </w:r>
          </w:p>
        </w:tc>
        <w:tc>
          <w:tcPr>
            <w:tcW w:w="1276" w:type="dxa"/>
            <w:tcBorders>
              <w:top w:val="nil"/>
              <w:left w:val="nil"/>
              <w:bottom w:val="single" w:color="auto" w:sz="4" w:space="0"/>
              <w:right w:val="single" w:color="auto" w:sz="4" w:space="0"/>
            </w:tcBorders>
            <w:shd w:val="clear" w:color="auto" w:fill="auto"/>
            <w:noWrap/>
            <w:vAlign w:val="center"/>
          </w:tcPr>
          <w:p w14:paraId="445F12E1">
            <w:pPr>
              <w:widowControl/>
              <w:spacing w:line="240" w:lineRule="auto"/>
              <w:ind w:firstLine="0" w:firstLineChars="0"/>
              <w:jc w:val="right"/>
              <w:rPr>
                <w:rFonts w:ascii="仿宋" w:hAnsi="仿宋" w:eastAsia="仿宋" w:cs="宋体"/>
                <w:kern w:val="0"/>
                <w:sz w:val="20"/>
                <w:szCs w:val="20"/>
              </w:rPr>
            </w:pPr>
          </w:p>
        </w:tc>
        <w:tc>
          <w:tcPr>
            <w:tcW w:w="1417" w:type="dxa"/>
            <w:tcBorders>
              <w:top w:val="nil"/>
              <w:left w:val="nil"/>
              <w:bottom w:val="single" w:color="auto" w:sz="4" w:space="0"/>
              <w:right w:val="single" w:color="auto" w:sz="4" w:space="0"/>
            </w:tcBorders>
            <w:shd w:val="clear" w:color="auto" w:fill="auto"/>
            <w:noWrap/>
            <w:vAlign w:val="center"/>
          </w:tcPr>
          <w:p w14:paraId="0E641B6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89</w:t>
            </w:r>
          </w:p>
        </w:tc>
        <w:tc>
          <w:tcPr>
            <w:tcW w:w="1418" w:type="dxa"/>
            <w:tcBorders>
              <w:top w:val="nil"/>
              <w:left w:val="nil"/>
              <w:bottom w:val="single" w:color="auto" w:sz="4" w:space="0"/>
              <w:right w:val="single" w:color="auto" w:sz="4" w:space="0"/>
            </w:tcBorders>
            <w:shd w:val="clear" w:color="auto" w:fill="auto"/>
            <w:noWrap/>
            <w:vAlign w:val="center"/>
          </w:tcPr>
          <w:p w14:paraId="317D0EB3">
            <w:pPr>
              <w:widowControl/>
              <w:spacing w:line="240" w:lineRule="auto"/>
              <w:ind w:firstLine="0" w:firstLineChars="0"/>
              <w:jc w:val="right"/>
              <w:rPr>
                <w:rFonts w:ascii="仿宋" w:hAnsi="仿宋" w:eastAsia="仿宋" w:cs="宋体"/>
                <w:kern w:val="0"/>
                <w:sz w:val="20"/>
                <w:szCs w:val="20"/>
              </w:rPr>
            </w:pPr>
          </w:p>
        </w:tc>
        <w:tc>
          <w:tcPr>
            <w:tcW w:w="1275" w:type="dxa"/>
            <w:tcBorders>
              <w:top w:val="nil"/>
              <w:left w:val="nil"/>
              <w:bottom w:val="single" w:color="auto" w:sz="4" w:space="0"/>
              <w:right w:val="single" w:color="auto" w:sz="4" w:space="0"/>
            </w:tcBorders>
            <w:shd w:val="clear" w:color="auto" w:fill="auto"/>
            <w:noWrap/>
            <w:vAlign w:val="center"/>
          </w:tcPr>
          <w:p w14:paraId="25A9A44C">
            <w:pPr>
              <w:widowControl/>
              <w:spacing w:line="240" w:lineRule="auto"/>
              <w:ind w:firstLine="0" w:firstLineChars="0"/>
              <w:jc w:val="right"/>
              <w:rPr>
                <w:rFonts w:ascii="仿宋" w:hAnsi="仿宋" w:eastAsia="仿宋" w:cs="宋体"/>
                <w:kern w:val="0"/>
                <w:sz w:val="20"/>
                <w:szCs w:val="20"/>
              </w:rPr>
            </w:pPr>
          </w:p>
        </w:tc>
      </w:tr>
      <w:tr w14:paraId="36A4EA5C">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3665AFCA">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嘻哈冲浪潜水俱乐部（后海店）</w:t>
            </w:r>
          </w:p>
        </w:tc>
        <w:tc>
          <w:tcPr>
            <w:tcW w:w="1276" w:type="dxa"/>
            <w:tcBorders>
              <w:top w:val="nil"/>
              <w:left w:val="nil"/>
              <w:bottom w:val="single" w:color="auto" w:sz="4" w:space="0"/>
              <w:right w:val="single" w:color="auto" w:sz="4" w:space="0"/>
            </w:tcBorders>
            <w:shd w:val="clear" w:color="auto" w:fill="auto"/>
            <w:noWrap/>
            <w:vAlign w:val="center"/>
          </w:tcPr>
          <w:p w14:paraId="7615A748">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99</w:t>
            </w:r>
          </w:p>
        </w:tc>
        <w:tc>
          <w:tcPr>
            <w:tcW w:w="1417" w:type="dxa"/>
            <w:tcBorders>
              <w:top w:val="nil"/>
              <w:left w:val="nil"/>
              <w:bottom w:val="single" w:color="auto" w:sz="4" w:space="0"/>
              <w:right w:val="single" w:color="auto" w:sz="4" w:space="0"/>
            </w:tcBorders>
            <w:shd w:val="clear" w:color="auto" w:fill="auto"/>
            <w:noWrap/>
            <w:vAlign w:val="center"/>
          </w:tcPr>
          <w:p w14:paraId="37BF5943">
            <w:pPr>
              <w:widowControl/>
              <w:spacing w:line="240" w:lineRule="auto"/>
              <w:ind w:firstLine="0" w:firstLineChars="0"/>
              <w:jc w:val="right"/>
              <w:rPr>
                <w:rFonts w:ascii="仿宋" w:hAnsi="仿宋" w:eastAsia="仿宋" w:cs="宋体"/>
                <w:kern w:val="0"/>
                <w:sz w:val="20"/>
                <w:szCs w:val="20"/>
              </w:rPr>
            </w:pPr>
          </w:p>
        </w:tc>
        <w:tc>
          <w:tcPr>
            <w:tcW w:w="1418" w:type="dxa"/>
            <w:tcBorders>
              <w:top w:val="nil"/>
              <w:left w:val="nil"/>
              <w:bottom w:val="single" w:color="auto" w:sz="4" w:space="0"/>
              <w:right w:val="single" w:color="auto" w:sz="4" w:space="0"/>
            </w:tcBorders>
            <w:shd w:val="clear" w:color="auto" w:fill="auto"/>
            <w:noWrap/>
            <w:vAlign w:val="center"/>
          </w:tcPr>
          <w:p w14:paraId="42D02C97">
            <w:pPr>
              <w:widowControl/>
              <w:spacing w:line="240" w:lineRule="auto"/>
              <w:ind w:firstLine="0" w:firstLineChars="0"/>
              <w:jc w:val="right"/>
              <w:rPr>
                <w:rFonts w:ascii="仿宋" w:hAnsi="仿宋" w:eastAsia="仿宋" w:cs="宋体"/>
                <w:kern w:val="0"/>
                <w:sz w:val="20"/>
                <w:szCs w:val="20"/>
              </w:rPr>
            </w:pPr>
          </w:p>
        </w:tc>
        <w:tc>
          <w:tcPr>
            <w:tcW w:w="1275" w:type="dxa"/>
            <w:tcBorders>
              <w:top w:val="nil"/>
              <w:left w:val="nil"/>
              <w:bottom w:val="single" w:color="auto" w:sz="4" w:space="0"/>
              <w:right w:val="single" w:color="auto" w:sz="4" w:space="0"/>
            </w:tcBorders>
            <w:shd w:val="clear" w:color="auto" w:fill="auto"/>
            <w:noWrap/>
            <w:vAlign w:val="center"/>
          </w:tcPr>
          <w:p w14:paraId="474B811C">
            <w:pPr>
              <w:widowControl/>
              <w:spacing w:line="240" w:lineRule="auto"/>
              <w:ind w:firstLine="0" w:firstLineChars="0"/>
              <w:jc w:val="right"/>
              <w:rPr>
                <w:rFonts w:ascii="仿宋" w:hAnsi="仿宋" w:eastAsia="仿宋" w:cs="宋体"/>
                <w:kern w:val="0"/>
                <w:sz w:val="20"/>
                <w:szCs w:val="20"/>
              </w:rPr>
            </w:pPr>
          </w:p>
        </w:tc>
      </w:tr>
      <w:tr w14:paraId="1C910C99">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6FBFA76E">
            <w:pPr>
              <w:widowControl/>
              <w:spacing w:line="240" w:lineRule="auto"/>
              <w:ind w:firstLine="0" w:firstLineChars="0"/>
              <w:rPr>
                <w:rFonts w:ascii="仿宋" w:hAnsi="仿宋" w:eastAsia="仿宋" w:cs="宋体"/>
                <w:kern w:val="0"/>
                <w:sz w:val="20"/>
                <w:szCs w:val="20"/>
              </w:rPr>
            </w:pPr>
            <w:r>
              <w:rPr>
                <w:rFonts w:hint="eastAsia" w:ascii="仿宋" w:hAnsi="仿宋" w:eastAsia="仿宋" w:cs="宋体"/>
                <w:kern w:val="0"/>
                <w:sz w:val="20"/>
                <w:szCs w:val="20"/>
              </w:rPr>
              <w:t>亚龙湾专业潜水中心</w:t>
            </w:r>
          </w:p>
        </w:tc>
        <w:tc>
          <w:tcPr>
            <w:tcW w:w="1276" w:type="dxa"/>
            <w:tcBorders>
              <w:top w:val="nil"/>
              <w:left w:val="nil"/>
              <w:bottom w:val="single" w:color="auto" w:sz="4" w:space="0"/>
              <w:right w:val="single" w:color="auto" w:sz="4" w:space="0"/>
            </w:tcBorders>
            <w:shd w:val="clear" w:color="auto" w:fill="auto"/>
            <w:noWrap/>
            <w:vAlign w:val="center"/>
          </w:tcPr>
          <w:p w14:paraId="2687294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138</w:t>
            </w:r>
          </w:p>
        </w:tc>
        <w:tc>
          <w:tcPr>
            <w:tcW w:w="1417" w:type="dxa"/>
            <w:tcBorders>
              <w:top w:val="nil"/>
              <w:left w:val="nil"/>
              <w:bottom w:val="single" w:color="auto" w:sz="4" w:space="0"/>
              <w:right w:val="single" w:color="auto" w:sz="4" w:space="0"/>
            </w:tcBorders>
            <w:shd w:val="clear" w:color="auto" w:fill="auto"/>
            <w:noWrap/>
            <w:vAlign w:val="center"/>
          </w:tcPr>
          <w:p w14:paraId="2A46C46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138</w:t>
            </w:r>
          </w:p>
        </w:tc>
        <w:tc>
          <w:tcPr>
            <w:tcW w:w="1418" w:type="dxa"/>
            <w:tcBorders>
              <w:top w:val="nil"/>
              <w:left w:val="nil"/>
              <w:bottom w:val="single" w:color="auto" w:sz="4" w:space="0"/>
              <w:right w:val="single" w:color="auto" w:sz="4" w:space="0"/>
            </w:tcBorders>
            <w:shd w:val="clear" w:color="auto" w:fill="auto"/>
            <w:noWrap/>
            <w:vAlign w:val="center"/>
          </w:tcPr>
          <w:p w14:paraId="77E8C3A8">
            <w:pPr>
              <w:widowControl/>
              <w:spacing w:line="240" w:lineRule="auto"/>
              <w:ind w:firstLine="0" w:firstLineChars="0"/>
              <w:jc w:val="right"/>
              <w:rPr>
                <w:rFonts w:ascii="仿宋" w:hAnsi="仿宋" w:eastAsia="仿宋" w:cs="宋体"/>
                <w:kern w:val="0"/>
                <w:sz w:val="20"/>
                <w:szCs w:val="20"/>
              </w:rPr>
            </w:pPr>
          </w:p>
        </w:tc>
        <w:tc>
          <w:tcPr>
            <w:tcW w:w="1275" w:type="dxa"/>
            <w:tcBorders>
              <w:top w:val="nil"/>
              <w:left w:val="nil"/>
              <w:bottom w:val="single" w:color="auto" w:sz="4" w:space="0"/>
              <w:right w:val="single" w:color="auto" w:sz="4" w:space="0"/>
            </w:tcBorders>
            <w:shd w:val="clear" w:color="auto" w:fill="auto"/>
            <w:noWrap/>
            <w:vAlign w:val="center"/>
          </w:tcPr>
          <w:p w14:paraId="37A6FEFD">
            <w:pPr>
              <w:widowControl/>
              <w:spacing w:line="240" w:lineRule="auto"/>
              <w:ind w:firstLine="0" w:firstLineChars="0"/>
              <w:jc w:val="right"/>
              <w:rPr>
                <w:rFonts w:ascii="仿宋" w:hAnsi="仿宋" w:eastAsia="仿宋" w:cs="宋体"/>
                <w:kern w:val="0"/>
                <w:sz w:val="20"/>
                <w:szCs w:val="20"/>
              </w:rPr>
            </w:pPr>
          </w:p>
        </w:tc>
      </w:tr>
      <w:tr w14:paraId="23BD81DE">
        <w:tblPrEx>
          <w:tblCellMar>
            <w:top w:w="0" w:type="dxa"/>
            <w:left w:w="108" w:type="dxa"/>
            <w:bottom w:w="0" w:type="dxa"/>
            <w:right w:w="108" w:type="dxa"/>
          </w:tblCellMar>
        </w:tblPrEx>
        <w:trPr>
          <w:trHeight w:val="276" w:hRule="atLeast"/>
          <w:jc w:val="center"/>
        </w:trPr>
        <w:tc>
          <w:tcPr>
            <w:tcW w:w="3681" w:type="dxa"/>
            <w:tcBorders>
              <w:top w:val="nil"/>
              <w:left w:val="single" w:color="auto" w:sz="4" w:space="0"/>
              <w:bottom w:val="single" w:color="auto" w:sz="4" w:space="0"/>
              <w:right w:val="single" w:color="auto" w:sz="4" w:space="0"/>
            </w:tcBorders>
            <w:shd w:val="clear" w:color="auto" w:fill="auto"/>
            <w:noWrap/>
            <w:vAlign w:val="center"/>
          </w:tcPr>
          <w:p w14:paraId="039D1783">
            <w:pPr>
              <w:widowControl/>
              <w:spacing w:line="240" w:lineRule="auto"/>
              <w:ind w:firstLine="0" w:firstLineChars="0"/>
              <w:rPr>
                <w:rFonts w:ascii="仿宋" w:hAnsi="仿宋" w:eastAsia="仿宋" w:cs="宋体"/>
                <w:b/>
                <w:bCs/>
                <w:kern w:val="0"/>
                <w:sz w:val="20"/>
                <w:szCs w:val="20"/>
              </w:rPr>
            </w:pPr>
            <w:r>
              <w:rPr>
                <w:rFonts w:hint="eastAsia" w:ascii="仿宋" w:hAnsi="仿宋" w:eastAsia="仿宋" w:cs="宋体"/>
                <w:b/>
                <w:bCs/>
                <w:kern w:val="0"/>
                <w:sz w:val="20"/>
                <w:szCs w:val="20"/>
              </w:rPr>
              <w:t>平均数</w:t>
            </w:r>
          </w:p>
        </w:tc>
        <w:tc>
          <w:tcPr>
            <w:tcW w:w="1276" w:type="dxa"/>
            <w:tcBorders>
              <w:top w:val="nil"/>
              <w:left w:val="nil"/>
              <w:bottom w:val="single" w:color="auto" w:sz="4" w:space="0"/>
              <w:right w:val="single" w:color="auto" w:sz="4" w:space="0"/>
            </w:tcBorders>
            <w:shd w:val="clear" w:color="auto" w:fill="auto"/>
            <w:noWrap/>
            <w:vAlign w:val="center"/>
          </w:tcPr>
          <w:p w14:paraId="3C9BAC7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101</w:t>
            </w:r>
          </w:p>
        </w:tc>
        <w:tc>
          <w:tcPr>
            <w:tcW w:w="1417" w:type="dxa"/>
            <w:tcBorders>
              <w:top w:val="nil"/>
              <w:left w:val="nil"/>
              <w:bottom w:val="single" w:color="auto" w:sz="4" w:space="0"/>
              <w:right w:val="single" w:color="auto" w:sz="4" w:space="0"/>
            </w:tcBorders>
            <w:shd w:val="clear" w:color="auto" w:fill="auto"/>
            <w:noWrap/>
            <w:vAlign w:val="center"/>
          </w:tcPr>
          <w:p w14:paraId="3B34540E">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124</w:t>
            </w:r>
          </w:p>
        </w:tc>
        <w:tc>
          <w:tcPr>
            <w:tcW w:w="1418" w:type="dxa"/>
            <w:tcBorders>
              <w:top w:val="nil"/>
              <w:left w:val="nil"/>
              <w:bottom w:val="single" w:color="auto" w:sz="4" w:space="0"/>
              <w:right w:val="single" w:color="auto" w:sz="4" w:space="0"/>
            </w:tcBorders>
            <w:shd w:val="clear" w:color="auto" w:fill="auto"/>
            <w:noWrap/>
            <w:vAlign w:val="center"/>
          </w:tcPr>
          <w:p w14:paraId="61897C7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231</w:t>
            </w:r>
          </w:p>
        </w:tc>
        <w:tc>
          <w:tcPr>
            <w:tcW w:w="1275" w:type="dxa"/>
            <w:tcBorders>
              <w:top w:val="nil"/>
              <w:left w:val="nil"/>
              <w:bottom w:val="single" w:color="auto" w:sz="4" w:space="0"/>
              <w:right w:val="single" w:color="auto" w:sz="4" w:space="0"/>
            </w:tcBorders>
            <w:shd w:val="clear" w:color="auto" w:fill="auto"/>
            <w:noWrap/>
            <w:vAlign w:val="center"/>
          </w:tcPr>
          <w:p w14:paraId="7278EA32">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457</w:t>
            </w:r>
          </w:p>
        </w:tc>
      </w:tr>
    </w:tbl>
    <w:p w14:paraId="14700E1D">
      <w:pPr>
        <w:widowControl/>
        <w:spacing w:before="156" w:after="120"/>
        <w:ind w:right="84" w:firstLine="454" w:firstLineChars="0"/>
        <w:rPr>
          <w:rFonts w:ascii="仿宋" w:hAnsi="仿宋" w:eastAsia="仿宋"/>
          <w:b/>
          <w:color w:val="000000"/>
          <w:kern w:val="0"/>
          <w:sz w:val="28"/>
          <w:szCs w:val="28"/>
        </w:rPr>
      </w:pPr>
    </w:p>
    <w:p w14:paraId="0C5BBA5C">
      <w:pPr>
        <w:widowControl/>
        <w:spacing w:before="156" w:after="120"/>
        <w:ind w:right="84" w:firstLine="454" w:firstLineChars="0"/>
        <w:rPr>
          <w:rFonts w:ascii="仿宋" w:hAnsi="仿宋" w:eastAsia="仿宋" w:cs="Times New Roman"/>
          <w:color w:val="000000"/>
          <w:kern w:val="0"/>
          <w:sz w:val="28"/>
          <w:szCs w:val="28"/>
        </w:rPr>
      </w:pPr>
      <w:r>
        <w:rPr>
          <w:rFonts w:hint="eastAsia" w:ascii="仿宋" w:hAnsi="仿宋" w:eastAsia="仿宋"/>
          <w:b/>
          <w:color w:val="000000"/>
          <w:kern w:val="0"/>
          <w:sz w:val="28"/>
          <w:szCs w:val="28"/>
        </w:rPr>
        <w:t>（</w:t>
      </w:r>
      <w:r>
        <w:rPr>
          <w:rFonts w:ascii="仿宋" w:hAnsi="仿宋" w:eastAsia="仿宋"/>
          <w:b/>
          <w:color w:val="000000"/>
          <w:kern w:val="0"/>
          <w:sz w:val="28"/>
          <w:szCs w:val="28"/>
        </w:rPr>
        <w:t>2</w:t>
      </w:r>
      <w:r>
        <w:rPr>
          <w:rFonts w:hint="eastAsia" w:ascii="仿宋" w:hAnsi="仿宋" w:eastAsia="仿宋"/>
          <w:b/>
          <w:color w:val="000000"/>
          <w:kern w:val="0"/>
          <w:sz w:val="28"/>
          <w:szCs w:val="28"/>
        </w:rPr>
        <w:t>）运营成本及税费</w:t>
      </w:r>
    </w:p>
    <w:p w14:paraId="175EB672">
      <w:pPr>
        <w:widowControl/>
        <w:spacing w:before="156"/>
        <w:ind w:firstLine="480" w:firstLineChars="0"/>
        <w:rPr>
          <w:rFonts w:ascii="仿宋" w:hAnsi="仿宋" w:eastAsia="仿宋"/>
          <w:color w:val="000000"/>
          <w:kern w:val="0"/>
          <w:sz w:val="28"/>
          <w:szCs w:val="28"/>
        </w:rPr>
      </w:pPr>
      <w:r>
        <w:rPr>
          <w:rFonts w:ascii="仿宋" w:hAnsi="仿宋" w:eastAsia="仿宋"/>
          <w:color w:val="000000"/>
          <w:kern w:val="0"/>
          <w:sz w:val="28"/>
          <w:szCs w:val="28"/>
        </w:rPr>
        <w:fldChar w:fldCharType="begin"/>
      </w:r>
      <w:r>
        <w:rPr>
          <w:rFonts w:ascii="仿宋" w:hAnsi="仿宋" w:eastAsia="仿宋"/>
          <w:color w:val="000000"/>
          <w:kern w:val="0"/>
          <w:sz w:val="28"/>
          <w:szCs w:val="28"/>
        </w:rPr>
        <w:instrText xml:space="preserve"> </w:instrText>
      </w:r>
      <w:r>
        <w:rPr>
          <w:rFonts w:hint="eastAsia" w:ascii="仿宋" w:hAnsi="仿宋" w:eastAsia="仿宋"/>
          <w:color w:val="000000"/>
          <w:kern w:val="0"/>
          <w:sz w:val="28"/>
          <w:szCs w:val="28"/>
        </w:rPr>
        <w:instrText xml:space="preserve">= 1 \* GB3</w:instrText>
      </w:r>
      <w:r>
        <w:rPr>
          <w:rFonts w:ascii="仿宋" w:hAnsi="仿宋" w:eastAsia="仿宋"/>
          <w:color w:val="000000"/>
          <w:kern w:val="0"/>
          <w:sz w:val="28"/>
          <w:szCs w:val="28"/>
        </w:rPr>
        <w:instrText xml:space="preserve"> </w:instrText>
      </w:r>
      <w:r>
        <w:rPr>
          <w:rFonts w:ascii="仿宋" w:hAnsi="仿宋" w:eastAsia="仿宋"/>
          <w:color w:val="000000"/>
          <w:kern w:val="0"/>
          <w:sz w:val="28"/>
          <w:szCs w:val="28"/>
        </w:rPr>
        <w:fldChar w:fldCharType="separate"/>
      </w:r>
      <w:r>
        <w:rPr>
          <w:rFonts w:hint="eastAsia" w:ascii="仿宋" w:hAnsi="仿宋" w:eastAsia="仿宋"/>
          <w:color w:val="000000"/>
          <w:kern w:val="0"/>
          <w:sz w:val="28"/>
          <w:szCs w:val="28"/>
        </w:rPr>
        <w:t>①</w:t>
      </w:r>
      <w:r>
        <w:rPr>
          <w:rFonts w:ascii="仿宋" w:hAnsi="仿宋" w:eastAsia="仿宋"/>
          <w:color w:val="000000"/>
          <w:kern w:val="0"/>
          <w:sz w:val="28"/>
          <w:szCs w:val="28"/>
        </w:rPr>
        <w:fldChar w:fldCharType="end"/>
      </w:r>
      <w:r>
        <w:rPr>
          <w:rFonts w:hint="eastAsia" w:ascii="仿宋" w:hAnsi="仿宋" w:eastAsia="仿宋"/>
          <w:color w:val="000000"/>
          <w:kern w:val="0"/>
          <w:sz w:val="28"/>
          <w:szCs w:val="28"/>
        </w:rPr>
        <w:t>运营成本</w:t>
      </w:r>
    </w:p>
    <w:p w14:paraId="3609109F">
      <w:pPr>
        <w:widowControl/>
        <w:spacing w:before="156"/>
        <w:ind w:firstLine="480" w:firstLineChars="0"/>
        <w:rPr>
          <w:rFonts w:ascii="仿宋" w:hAnsi="仿宋" w:eastAsia="仿宋"/>
          <w:color w:val="000000"/>
          <w:kern w:val="0"/>
          <w:sz w:val="28"/>
          <w:szCs w:val="28"/>
        </w:rPr>
      </w:pPr>
      <w:r>
        <w:rPr>
          <w:rFonts w:hint="eastAsia" w:ascii="仿宋" w:hAnsi="仿宋" w:eastAsia="仿宋"/>
          <w:color w:val="000000"/>
          <w:kern w:val="0"/>
          <w:sz w:val="28"/>
          <w:szCs w:val="28"/>
        </w:rPr>
        <w:t>从保守谨慎的角度出发，本项目运营成本按照运营收入的</w:t>
      </w:r>
      <w:r>
        <w:rPr>
          <w:rFonts w:ascii="仿宋" w:hAnsi="仿宋" w:eastAsia="仿宋"/>
          <w:color w:val="000000"/>
          <w:kern w:val="0"/>
          <w:sz w:val="28"/>
          <w:szCs w:val="28"/>
        </w:rPr>
        <w:t>50%计提。</w:t>
      </w:r>
    </w:p>
    <w:p w14:paraId="50DFC2AF">
      <w:pPr>
        <w:widowControl/>
        <w:spacing w:before="156"/>
        <w:ind w:firstLine="480" w:firstLineChars="0"/>
        <w:rPr>
          <w:rFonts w:ascii="仿宋" w:hAnsi="仿宋" w:eastAsia="仿宋"/>
          <w:color w:val="000000"/>
          <w:kern w:val="0"/>
          <w:sz w:val="28"/>
          <w:szCs w:val="28"/>
        </w:rPr>
      </w:pPr>
      <w:r>
        <w:rPr>
          <w:rFonts w:hint="eastAsia" w:ascii="仿宋" w:hAnsi="仿宋" w:eastAsia="仿宋"/>
          <w:color w:val="000000"/>
          <w:kern w:val="0"/>
          <w:sz w:val="28"/>
          <w:szCs w:val="28"/>
        </w:rPr>
        <w:t>债券存续期本项目成本情况详见表10</w:t>
      </w:r>
      <w:r>
        <w:rPr>
          <w:rFonts w:ascii="仿宋" w:hAnsi="仿宋" w:eastAsia="仿宋"/>
          <w:color w:val="000000"/>
          <w:kern w:val="0"/>
          <w:sz w:val="28"/>
          <w:szCs w:val="28"/>
        </w:rPr>
        <w:t>。</w:t>
      </w:r>
    </w:p>
    <w:p w14:paraId="49A202FC">
      <w:pPr>
        <w:widowControl/>
        <w:spacing w:before="156"/>
        <w:ind w:firstLine="480" w:firstLineChars="0"/>
        <w:rPr>
          <w:rFonts w:ascii="仿宋" w:hAnsi="仿宋" w:eastAsia="仿宋"/>
          <w:color w:val="000000"/>
          <w:kern w:val="0"/>
          <w:sz w:val="28"/>
          <w:szCs w:val="28"/>
        </w:rPr>
      </w:pPr>
      <w:r>
        <w:rPr>
          <w:rFonts w:ascii="仿宋" w:hAnsi="仿宋" w:eastAsia="仿宋"/>
          <w:color w:val="000000"/>
          <w:kern w:val="0"/>
          <w:sz w:val="28"/>
          <w:szCs w:val="28"/>
        </w:rPr>
        <w:fldChar w:fldCharType="begin"/>
      </w:r>
      <w:r>
        <w:rPr>
          <w:rFonts w:ascii="仿宋" w:hAnsi="仿宋" w:eastAsia="仿宋"/>
          <w:color w:val="000000"/>
          <w:kern w:val="0"/>
          <w:sz w:val="28"/>
          <w:szCs w:val="28"/>
        </w:rPr>
        <w:instrText xml:space="preserve"> </w:instrText>
      </w:r>
      <w:r>
        <w:rPr>
          <w:rFonts w:hint="eastAsia" w:ascii="仿宋" w:hAnsi="仿宋" w:eastAsia="仿宋"/>
          <w:color w:val="000000"/>
          <w:kern w:val="0"/>
          <w:sz w:val="28"/>
          <w:szCs w:val="28"/>
        </w:rPr>
        <w:instrText xml:space="preserve">= 2 \* GB3</w:instrText>
      </w:r>
      <w:r>
        <w:rPr>
          <w:rFonts w:ascii="仿宋" w:hAnsi="仿宋" w:eastAsia="仿宋"/>
          <w:color w:val="000000"/>
          <w:kern w:val="0"/>
          <w:sz w:val="28"/>
          <w:szCs w:val="28"/>
        </w:rPr>
        <w:instrText xml:space="preserve"> </w:instrText>
      </w:r>
      <w:r>
        <w:rPr>
          <w:rFonts w:ascii="仿宋" w:hAnsi="仿宋" w:eastAsia="仿宋"/>
          <w:color w:val="000000"/>
          <w:kern w:val="0"/>
          <w:sz w:val="28"/>
          <w:szCs w:val="28"/>
        </w:rPr>
        <w:fldChar w:fldCharType="separate"/>
      </w:r>
      <w:r>
        <w:rPr>
          <w:rFonts w:hint="eastAsia" w:ascii="仿宋" w:hAnsi="仿宋" w:eastAsia="仿宋"/>
          <w:color w:val="000000"/>
          <w:kern w:val="0"/>
          <w:sz w:val="28"/>
          <w:szCs w:val="28"/>
        </w:rPr>
        <w:t>②</w:t>
      </w:r>
      <w:r>
        <w:rPr>
          <w:rFonts w:ascii="仿宋" w:hAnsi="仿宋" w:eastAsia="仿宋"/>
          <w:color w:val="000000"/>
          <w:kern w:val="0"/>
          <w:sz w:val="28"/>
          <w:szCs w:val="28"/>
        </w:rPr>
        <w:fldChar w:fldCharType="end"/>
      </w:r>
      <w:r>
        <w:rPr>
          <w:rFonts w:hint="eastAsia" w:ascii="仿宋" w:hAnsi="仿宋" w:eastAsia="仿宋"/>
          <w:color w:val="000000"/>
          <w:kern w:val="0"/>
          <w:sz w:val="28"/>
          <w:szCs w:val="28"/>
        </w:rPr>
        <w:t>税费</w:t>
      </w:r>
    </w:p>
    <w:p w14:paraId="1E6B68FE">
      <w:pPr>
        <w:widowControl/>
        <w:spacing w:before="156"/>
        <w:ind w:firstLine="480" w:firstLineChars="0"/>
        <w:rPr>
          <w:rFonts w:ascii="仿宋" w:hAnsi="仿宋" w:eastAsia="仿宋"/>
          <w:color w:val="000000"/>
          <w:kern w:val="0"/>
          <w:sz w:val="28"/>
          <w:szCs w:val="28"/>
        </w:rPr>
      </w:pPr>
      <w:r>
        <w:rPr>
          <w:rFonts w:hint="eastAsia" w:ascii="仿宋" w:hAnsi="仿宋" w:eastAsia="仿宋"/>
          <w:color w:val="000000"/>
          <w:kern w:val="0"/>
          <w:sz w:val="28"/>
          <w:szCs w:val="28"/>
        </w:rPr>
        <w:t>按相关规定，充电桩收入、停车费收入和公园及浴场服务收入增值税税率分别按</w:t>
      </w:r>
      <w:r>
        <w:rPr>
          <w:rFonts w:ascii="仿宋" w:hAnsi="仿宋" w:eastAsia="仿宋"/>
          <w:color w:val="000000"/>
          <w:kern w:val="0"/>
          <w:sz w:val="28"/>
          <w:szCs w:val="28"/>
        </w:rPr>
        <w:t>13%、9%和6%计算。城市维护建设税、教育费附加、地方教育附加，分别按增值税额的7%、3%、2%计取。企业所得税税率为25%。</w:t>
      </w:r>
    </w:p>
    <w:p w14:paraId="2AE08949">
      <w:pPr>
        <w:widowControl/>
        <w:spacing w:before="156"/>
        <w:ind w:right="84" w:firstLine="480" w:firstLineChars="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综上，本项目预期收益情况详见下表9</w:t>
      </w:r>
      <w:r>
        <w:rPr>
          <w:rFonts w:ascii="仿宋" w:hAnsi="仿宋" w:eastAsia="仿宋"/>
          <w:color w:val="000000" w:themeColor="text1"/>
          <w:kern w:val="0"/>
          <w:sz w:val="28"/>
          <w:szCs w:val="28"/>
          <w14:textFill>
            <w14:solidFill>
              <w14:schemeClr w14:val="tx1"/>
            </w14:solidFill>
          </w14:textFill>
        </w:rPr>
        <w:t>-</w:t>
      </w:r>
      <w:r>
        <w:rPr>
          <w:rFonts w:hint="eastAsia" w:ascii="仿宋" w:hAnsi="仿宋" w:eastAsia="仿宋"/>
          <w:color w:val="000000" w:themeColor="text1"/>
          <w:kern w:val="0"/>
          <w:sz w:val="28"/>
          <w:szCs w:val="28"/>
          <w14:textFill>
            <w14:solidFill>
              <w14:schemeClr w14:val="tx1"/>
            </w14:solidFill>
          </w14:textFill>
        </w:rPr>
        <w:t>10</w:t>
      </w:r>
      <w:r>
        <w:rPr>
          <w:rFonts w:ascii="仿宋" w:hAnsi="仿宋" w:eastAsia="仿宋"/>
          <w:color w:val="000000" w:themeColor="text1"/>
          <w:kern w:val="0"/>
          <w:sz w:val="28"/>
          <w:szCs w:val="28"/>
          <w14:textFill>
            <w14:solidFill>
              <w14:schemeClr w14:val="tx1"/>
            </w14:solidFill>
          </w14:textFill>
        </w:rPr>
        <w:t>：</w:t>
      </w:r>
    </w:p>
    <w:p w14:paraId="02FF8792">
      <w:pPr>
        <w:widowControl/>
        <w:spacing w:before="156" w:after="120"/>
        <w:ind w:right="84" w:firstLine="567" w:firstLineChars="0"/>
        <w:jc w:val="center"/>
        <w:rPr>
          <w:rFonts w:ascii="仿宋" w:hAnsi="仿宋" w:eastAsia="仿宋" w:cs="Times New Roman"/>
          <w:b/>
          <w:kern w:val="0"/>
          <w:lang w:val="en-GB"/>
        </w:rPr>
      </w:pPr>
      <w:r>
        <w:rPr>
          <w:rFonts w:hint="eastAsia" w:ascii="仿宋" w:hAnsi="仿宋" w:eastAsia="仿宋" w:cs="Times New Roman"/>
          <w:b/>
          <w:kern w:val="0"/>
          <w:lang w:val="en-GB"/>
        </w:rPr>
        <w:t>表9海口江东新区总部集聚区基础设施建设项目收入预测表</w:t>
      </w:r>
    </w:p>
    <w:p w14:paraId="20009B8C">
      <w:pPr>
        <w:widowControl/>
        <w:spacing w:before="156" w:line="259" w:lineRule="auto"/>
        <w:ind w:right="84" w:rightChars="35" w:firstLine="0" w:firstLineChars="0"/>
        <w:jc w:val="right"/>
        <w:rPr>
          <w:rFonts w:ascii="仿宋" w:hAnsi="仿宋" w:eastAsia="仿宋" w:cs="Times New Roman"/>
          <w:kern w:val="0"/>
          <w:sz w:val="20"/>
          <w:szCs w:val="20"/>
        </w:rPr>
      </w:pPr>
      <w:r>
        <w:rPr>
          <w:rFonts w:hint="eastAsia" w:ascii="仿宋" w:hAnsi="仿宋" w:eastAsia="仿宋" w:cs="Times New Roman"/>
          <w:kern w:val="0"/>
          <w:sz w:val="20"/>
          <w:szCs w:val="20"/>
        </w:rPr>
        <w:t>单位：人民币万元</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1229"/>
        <w:gridCol w:w="1229"/>
        <w:gridCol w:w="1229"/>
        <w:gridCol w:w="1229"/>
        <w:gridCol w:w="1227"/>
      </w:tblGrid>
      <w:tr w14:paraId="755D1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96" w:type="pct"/>
            <w:shd w:val="clear" w:color="auto" w:fill="auto"/>
            <w:noWrap/>
            <w:vAlign w:val="center"/>
          </w:tcPr>
          <w:p w14:paraId="0DCE851F">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721" w:type="pct"/>
            <w:shd w:val="clear" w:color="auto" w:fill="auto"/>
            <w:noWrap/>
            <w:vAlign w:val="center"/>
          </w:tcPr>
          <w:p w14:paraId="46D59DC0">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2026年</w:t>
            </w:r>
          </w:p>
        </w:tc>
        <w:tc>
          <w:tcPr>
            <w:tcW w:w="721" w:type="pct"/>
            <w:shd w:val="clear" w:color="auto" w:fill="auto"/>
            <w:noWrap/>
            <w:vAlign w:val="center"/>
          </w:tcPr>
          <w:p w14:paraId="0C119E07">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2027年</w:t>
            </w:r>
          </w:p>
        </w:tc>
        <w:tc>
          <w:tcPr>
            <w:tcW w:w="721" w:type="pct"/>
            <w:shd w:val="clear" w:color="auto" w:fill="auto"/>
            <w:noWrap/>
            <w:vAlign w:val="center"/>
          </w:tcPr>
          <w:p w14:paraId="1AE82CC4">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2028年</w:t>
            </w:r>
          </w:p>
        </w:tc>
        <w:tc>
          <w:tcPr>
            <w:tcW w:w="721" w:type="pct"/>
            <w:shd w:val="clear" w:color="auto" w:fill="auto"/>
            <w:noWrap/>
            <w:vAlign w:val="center"/>
          </w:tcPr>
          <w:p w14:paraId="580A13D9">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2029年</w:t>
            </w:r>
          </w:p>
        </w:tc>
        <w:tc>
          <w:tcPr>
            <w:tcW w:w="720" w:type="pct"/>
            <w:shd w:val="clear" w:color="auto" w:fill="auto"/>
            <w:noWrap/>
            <w:vAlign w:val="center"/>
          </w:tcPr>
          <w:p w14:paraId="15A851F6">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2030年</w:t>
            </w:r>
          </w:p>
        </w:tc>
      </w:tr>
      <w:tr w14:paraId="66A3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1396" w:type="pct"/>
            <w:shd w:val="clear" w:color="auto" w:fill="auto"/>
            <w:noWrap/>
            <w:vAlign w:val="center"/>
          </w:tcPr>
          <w:p w14:paraId="0ED312FE">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充电桩收入</w:t>
            </w:r>
          </w:p>
        </w:tc>
        <w:tc>
          <w:tcPr>
            <w:tcW w:w="721" w:type="pct"/>
            <w:shd w:val="clear" w:color="auto" w:fill="auto"/>
            <w:noWrap/>
            <w:vAlign w:val="center"/>
          </w:tcPr>
          <w:p w14:paraId="528C594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721" w:type="pct"/>
            <w:shd w:val="clear" w:color="auto" w:fill="auto"/>
            <w:noWrap/>
            <w:vAlign w:val="center"/>
          </w:tcPr>
          <w:p w14:paraId="6D4A3C81">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721" w:type="pct"/>
            <w:shd w:val="clear" w:color="auto" w:fill="auto"/>
            <w:noWrap/>
            <w:vAlign w:val="center"/>
          </w:tcPr>
          <w:p w14:paraId="54000BC9">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721" w:type="pct"/>
            <w:shd w:val="clear" w:color="auto" w:fill="auto"/>
            <w:noWrap/>
            <w:vAlign w:val="center"/>
          </w:tcPr>
          <w:p w14:paraId="20D0FFA7">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720" w:type="pct"/>
            <w:shd w:val="clear" w:color="auto" w:fill="auto"/>
            <w:noWrap/>
            <w:vAlign w:val="center"/>
          </w:tcPr>
          <w:p w14:paraId="0CEC7726">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r>
      <w:tr w14:paraId="4E577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1396" w:type="pct"/>
            <w:shd w:val="clear" w:color="auto" w:fill="auto"/>
            <w:noWrap/>
            <w:vAlign w:val="center"/>
          </w:tcPr>
          <w:p w14:paraId="2D3A87FC">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停车费收入</w:t>
            </w:r>
          </w:p>
        </w:tc>
        <w:tc>
          <w:tcPr>
            <w:tcW w:w="721" w:type="pct"/>
            <w:shd w:val="clear" w:color="auto" w:fill="auto"/>
            <w:noWrap/>
            <w:vAlign w:val="center"/>
          </w:tcPr>
          <w:p w14:paraId="397FABAF">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721" w:type="pct"/>
            <w:shd w:val="clear" w:color="auto" w:fill="auto"/>
            <w:noWrap/>
            <w:vAlign w:val="center"/>
          </w:tcPr>
          <w:p w14:paraId="71EA29F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721" w:type="pct"/>
            <w:shd w:val="clear" w:color="auto" w:fill="auto"/>
            <w:noWrap/>
            <w:vAlign w:val="center"/>
          </w:tcPr>
          <w:p w14:paraId="3F580CCB">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721" w:type="pct"/>
            <w:shd w:val="clear" w:color="auto" w:fill="auto"/>
            <w:noWrap/>
            <w:vAlign w:val="center"/>
          </w:tcPr>
          <w:p w14:paraId="2FEFA688">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720" w:type="pct"/>
            <w:shd w:val="clear" w:color="auto" w:fill="auto"/>
            <w:noWrap/>
            <w:vAlign w:val="center"/>
          </w:tcPr>
          <w:p w14:paraId="17D480A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r>
      <w:tr w14:paraId="24AE0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396" w:type="pct"/>
            <w:shd w:val="clear" w:color="auto" w:fill="auto"/>
            <w:noWrap/>
            <w:vAlign w:val="center"/>
          </w:tcPr>
          <w:p w14:paraId="0C6740EA">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公园及浴场服务收入</w:t>
            </w:r>
          </w:p>
        </w:tc>
        <w:tc>
          <w:tcPr>
            <w:tcW w:w="721" w:type="pct"/>
            <w:shd w:val="clear" w:color="auto" w:fill="auto"/>
            <w:noWrap/>
            <w:vAlign w:val="center"/>
          </w:tcPr>
          <w:p w14:paraId="70321A8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721" w:type="pct"/>
            <w:shd w:val="clear" w:color="auto" w:fill="auto"/>
            <w:noWrap/>
            <w:vAlign w:val="center"/>
          </w:tcPr>
          <w:p w14:paraId="4D2FF4B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721" w:type="pct"/>
            <w:shd w:val="clear" w:color="auto" w:fill="auto"/>
            <w:noWrap/>
            <w:vAlign w:val="center"/>
          </w:tcPr>
          <w:p w14:paraId="43CB3A17">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721" w:type="pct"/>
            <w:shd w:val="clear" w:color="auto" w:fill="auto"/>
            <w:noWrap/>
            <w:vAlign w:val="center"/>
          </w:tcPr>
          <w:p w14:paraId="66804DA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720" w:type="pct"/>
            <w:shd w:val="clear" w:color="auto" w:fill="auto"/>
            <w:noWrap/>
            <w:vAlign w:val="center"/>
          </w:tcPr>
          <w:p w14:paraId="632F326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r>
      <w:tr w14:paraId="51A09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96" w:type="pct"/>
            <w:shd w:val="clear" w:color="auto" w:fill="auto"/>
            <w:noWrap/>
            <w:vAlign w:val="center"/>
          </w:tcPr>
          <w:p w14:paraId="429AE5C4">
            <w:pPr>
              <w:widowControl/>
              <w:spacing w:line="240" w:lineRule="auto"/>
              <w:ind w:firstLine="0" w:firstLineChars="0"/>
              <w:rPr>
                <w:rFonts w:ascii="仿宋" w:hAnsi="仿宋" w:eastAsia="仿宋" w:cs="宋体"/>
                <w:b/>
                <w:bCs/>
                <w:kern w:val="0"/>
                <w:sz w:val="20"/>
                <w:szCs w:val="20"/>
              </w:rPr>
            </w:pPr>
            <w:r>
              <w:rPr>
                <w:rFonts w:ascii="仿宋" w:hAnsi="仿宋" w:eastAsia="仿宋" w:cs="宋体"/>
                <w:b/>
                <w:bCs/>
                <w:kern w:val="0"/>
                <w:sz w:val="20"/>
                <w:szCs w:val="20"/>
              </w:rPr>
              <w:t>收入合计</w:t>
            </w:r>
          </w:p>
        </w:tc>
        <w:tc>
          <w:tcPr>
            <w:tcW w:w="721" w:type="pct"/>
            <w:shd w:val="clear" w:color="auto" w:fill="auto"/>
            <w:noWrap/>
            <w:vAlign w:val="center"/>
          </w:tcPr>
          <w:p w14:paraId="4B6D66F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721" w:type="pct"/>
            <w:shd w:val="clear" w:color="auto" w:fill="auto"/>
            <w:noWrap/>
            <w:vAlign w:val="center"/>
          </w:tcPr>
          <w:p w14:paraId="3F141EF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721" w:type="pct"/>
            <w:shd w:val="clear" w:color="auto" w:fill="auto"/>
            <w:noWrap/>
            <w:vAlign w:val="center"/>
          </w:tcPr>
          <w:p w14:paraId="01F4F8FF">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721" w:type="pct"/>
            <w:shd w:val="clear" w:color="auto" w:fill="auto"/>
            <w:noWrap/>
            <w:vAlign w:val="center"/>
          </w:tcPr>
          <w:p w14:paraId="2E010D8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720" w:type="pct"/>
            <w:shd w:val="clear" w:color="auto" w:fill="auto"/>
            <w:noWrap/>
            <w:vAlign w:val="center"/>
          </w:tcPr>
          <w:p w14:paraId="796FD08C">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r>
      <w:tr w14:paraId="2E2A5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96" w:type="pct"/>
            <w:shd w:val="clear" w:color="auto" w:fill="auto"/>
            <w:noWrap/>
            <w:vAlign w:val="center"/>
          </w:tcPr>
          <w:p w14:paraId="18820549">
            <w:pPr>
              <w:widowControl/>
              <w:spacing w:line="240" w:lineRule="auto"/>
              <w:ind w:firstLine="0" w:firstLineChars="0"/>
              <w:rPr>
                <w:rFonts w:ascii="仿宋" w:hAnsi="仿宋" w:eastAsia="仿宋" w:cs="宋体"/>
                <w:b/>
                <w:bCs/>
                <w:kern w:val="0"/>
                <w:sz w:val="20"/>
                <w:szCs w:val="20"/>
              </w:rPr>
            </w:pPr>
            <w:r>
              <w:rPr>
                <w:rFonts w:ascii="仿宋" w:hAnsi="仿宋" w:eastAsia="仿宋" w:cs="宋体"/>
                <w:b/>
                <w:bCs/>
                <w:kern w:val="0"/>
                <w:sz w:val="20"/>
                <w:szCs w:val="20"/>
              </w:rPr>
              <w:t>用于还本付息收入</w:t>
            </w:r>
          </w:p>
        </w:tc>
        <w:tc>
          <w:tcPr>
            <w:tcW w:w="721" w:type="pct"/>
            <w:shd w:val="clear" w:color="auto" w:fill="auto"/>
            <w:noWrap/>
            <w:vAlign w:val="center"/>
          </w:tcPr>
          <w:p w14:paraId="4F118FE5">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721" w:type="pct"/>
            <w:shd w:val="clear" w:color="auto" w:fill="auto"/>
            <w:noWrap/>
            <w:vAlign w:val="center"/>
          </w:tcPr>
          <w:p w14:paraId="6FCA1DE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721" w:type="pct"/>
            <w:shd w:val="clear" w:color="auto" w:fill="auto"/>
            <w:noWrap/>
            <w:vAlign w:val="center"/>
          </w:tcPr>
          <w:p w14:paraId="37E92AD6">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721" w:type="pct"/>
            <w:shd w:val="clear" w:color="auto" w:fill="auto"/>
            <w:noWrap/>
            <w:vAlign w:val="center"/>
          </w:tcPr>
          <w:p w14:paraId="071D356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720" w:type="pct"/>
            <w:shd w:val="clear" w:color="auto" w:fill="auto"/>
            <w:noWrap/>
            <w:vAlign w:val="center"/>
          </w:tcPr>
          <w:p w14:paraId="0695715B">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r>
    </w:tbl>
    <w:p w14:paraId="67A75D34">
      <w:pPr>
        <w:widowControl/>
        <w:spacing w:before="156" w:line="259" w:lineRule="auto"/>
        <w:ind w:right="-341" w:rightChars="-142" w:firstLine="0" w:firstLineChars="0"/>
        <w:jc w:val="right"/>
        <w:rPr>
          <w:rFonts w:ascii="仿宋" w:hAnsi="仿宋" w:eastAsia="仿宋" w:cs="Times New Roman"/>
          <w:kern w:val="0"/>
          <w:sz w:val="20"/>
          <w:szCs w:val="20"/>
        </w:rPr>
      </w:pP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0"/>
        <w:gridCol w:w="1041"/>
        <w:gridCol w:w="1042"/>
        <w:gridCol w:w="1042"/>
        <w:gridCol w:w="1042"/>
        <w:gridCol w:w="1042"/>
        <w:gridCol w:w="1243"/>
      </w:tblGrid>
      <w:tr w14:paraId="78631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15" w:type="pct"/>
            <w:shd w:val="clear" w:color="auto" w:fill="auto"/>
            <w:noWrap/>
            <w:vAlign w:val="center"/>
          </w:tcPr>
          <w:p w14:paraId="02FCA488">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611" w:type="pct"/>
            <w:shd w:val="clear" w:color="auto" w:fill="auto"/>
            <w:noWrap/>
            <w:vAlign w:val="center"/>
          </w:tcPr>
          <w:p w14:paraId="31409E78">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2031年</w:t>
            </w:r>
          </w:p>
        </w:tc>
        <w:tc>
          <w:tcPr>
            <w:tcW w:w="611" w:type="pct"/>
            <w:shd w:val="clear" w:color="auto" w:fill="auto"/>
            <w:noWrap/>
            <w:vAlign w:val="center"/>
          </w:tcPr>
          <w:p w14:paraId="170C29C1">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2032年</w:t>
            </w:r>
          </w:p>
        </w:tc>
        <w:tc>
          <w:tcPr>
            <w:tcW w:w="611" w:type="pct"/>
            <w:shd w:val="clear" w:color="auto" w:fill="auto"/>
            <w:noWrap/>
            <w:vAlign w:val="center"/>
          </w:tcPr>
          <w:p w14:paraId="48AA9885">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2033年</w:t>
            </w:r>
          </w:p>
        </w:tc>
        <w:tc>
          <w:tcPr>
            <w:tcW w:w="611" w:type="pct"/>
            <w:shd w:val="clear" w:color="auto" w:fill="auto"/>
            <w:noWrap/>
            <w:vAlign w:val="center"/>
          </w:tcPr>
          <w:p w14:paraId="53AA0420">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2034年</w:t>
            </w:r>
          </w:p>
        </w:tc>
        <w:tc>
          <w:tcPr>
            <w:tcW w:w="611" w:type="pct"/>
            <w:shd w:val="clear" w:color="auto" w:fill="auto"/>
            <w:noWrap/>
            <w:vAlign w:val="center"/>
          </w:tcPr>
          <w:p w14:paraId="3C6D2959">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2035年</w:t>
            </w:r>
          </w:p>
        </w:tc>
        <w:tc>
          <w:tcPr>
            <w:tcW w:w="729" w:type="pct"/>
            <w:shd w:val="clear" w:color="auto" w:fill="auto"/>
            <w:noWrap/>
            <w:vAlign w:val="center"/>
          </w:tcPr>
          <w:p w14:paraId="42D8207C">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合计</w:t>
            </w:r>
          </w:p>
        </w:tc>
      </w:tr>
      <w:tr w14:paraId="5ABF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1215" w:type="pct"/>
            <w:shd w:val="clear" w:color="auto" w:fill="auto"/>
            <w:noWrap/>
            <w:vAlign w:val="center"/>
          </w:tcPr>
          <w:p w14:paraId="0C7B1DEA">
            <w:pPr>
              <w:widowControl/>
              <w:spacing w:line="240" w:lineRule="auto"/>
              <w:ind w:firstLine="0" w:firstLineChars="0"/>
              <w:jc w:val="left"/>
              <w:rPr>
                <w:rFonts w:ascii="仿宋" w:hAnsi="仿宋" w:eastAsia="仿宋" w:cs="宋体"/>
                <w:kern w:val="0"/>
                <w:sz w:val="20"/>
                <w:szCs w:val="20"/>
              </w:rPr>
            </w:pPr>
            <w:r>
              <w:rPr>
                <w:rFonts w:ascii="仿宋" w:hAnsi="仿宋" w:eastAsia="仿宋" w:cs="宋体"/>
                <w:kern w:val="0"/>
                <w:sz w:val="20"/>
                <w:szCs w:val="20"/>
              </w:rPr>
              <w:t>充电桩收入</w:t>
            </w:r>
          </w:p>
        </w:tc>
        <w:tc>
          <w:tcPr>
            <w:tcW w:w="611" w:type="pct"/>
            <w:shd w:val="clear" w:color="auto" w:fill="auto"/>
            <w:noWrap/>
            <w:vAlign w:val="center"/>
          </w:tcPr>
          <w:p w14:paraId="6A37541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611" w:type="pct"/>
            <w:shd w:val="clear" w:color="auto" w:fill="auto"/>
            <w:noWrap/>
            <w:vAlign w:val="center"/>
          </w:tcPr>
          <w:p w14:paraId="67A15456">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611" w:type="pct"/>
            <w:shd w:val="clear" w:color="auto" w:fill="auto"/>
            <w:noWrap/>
            <w:vAlign w:val="center"/>
          </w:tcPr>
          <w:p w14:paraId="332D559D">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611" w:type="pct"/>
            <w:shd w:val="clear" w:color="auto" w:fill="auto"/>
            <w:noWrap/>
            <w:vAlign w:val="center"/>
          </w:tcPr>
          <w:p w14:paraId="6D3A30DD">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325</w:t>
            </w:r>
          </w:p>
        </w:tc>
        <w:tc>
          <w:tcPr>
            <w:tcW w:w="611" w:type="pct"/>
            <w:shd w:val="clear" w:color="auto" w:fill="auto"/>
            <w:noWrap/>
            <w:vAlign w:val="center"/>
          </w:tcPr>
          <w:p w14:paraId="6C717D67">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27</w:t>
            </w:r>
          </w:p>
        </w:tc>
        <w:tc>
          <w:tcPr>
            <w:tcW w:w="729" w:type="pct"/>
            <w:shd w:val="clear" w:color="auto" w:fill="auto"/>
            <w:noWrap/>
            <w:vAlign w:val="center"/>
          </w:tcPr>
          <w:p w14:paraId="58E4C0A4">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2,954</w:t>
            </w:r>
          </w:p>
        </w:tc>
      </w:tr>
      <w:tr w14:paraId="31931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1215" w:type="pct"/>
            <w:shd w:val="clear" w:color="auto" w:fill="auto"/>
            <w:noWrap/>
            <w:vAlign w:val="center"/>
          </w:tcPr>
          <w:p w14:paraId="770F8792">
            <w:pPr>
              <w:widowControl/>
              <w:spacing w:line="240" w:lineRule="auto"/>
              <w:ind w:firstLine="0" w:firstLineChars="0"/>
              <w:jc w:val="left"/>
              <w:rPr>
                <w:rFonts w:ascii="仿宋" w:hAnsi="仿宋" w:eastAsia="仿宋" w:cs="宋体"/>
                <w:kern w:val="0"/>
                <w:sz w:val="20"/>
                <w:szCs w:val="20"/>
              </w:rPr>
            </w:pPr>
            <w:r>
              <w:rPr>
                <w:rFonts w:ascii="仿宋" w:hAnsi="仿宋" w:eastAsia="仿宋" w:cs="宋体"/>
                <w:kern w:val="0"/>
                <w:sz w:val="20"/>
                <w:szCs w:val="20"/>
              </w:rPr>
              <w:t>停车费收入</w:t>
            </w:r>
          </w:p>
        </w:tc>
        <w:tc>
          <w:tcPr>
            <w:tcW w:w="611" w:type="pct"/>
            <w:shd w:val="clear" w:color="auto" w:fill="auto"/>
            <w:noWrap/>
            <w:vAlign w:val="center"/>
          </w:tcPr>
          <w:p w14:paraId="29D0D7B6">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611" w:type="pct"/>
            <w:shd w:val="clear" w:color="auto" w:fill="auto"/>
            <w:noWrap/>
            <w:vAlign w:val="center"/>
          </w:tcPr>
          <w:p w14:paraId="4BF03BB5">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611" w:type="pct"/>
            <w:shd w:val="clear" w:color="auto" w:fill="auto"/>
            <w:noWrap/>
            <w:vAlign w:val="center"/>
          </w:tcPr>
          <w:p w14:paraId="5A2F596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611" w:type="pct"/>
            <w:shd w:val="clear" w:color="auto" w:fill="auto"/>
            <w:noWrap/>
            <w:vAlign w:val="center"/>
          </w:tcPr>
          <w:p w14:paraId="6584DB24">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458</w:t>
            </w:r>
          </w:p>
        </w:tc>
        <w:tc>
          <w:tcPr>
            <w:tcW w:w="611" w:type="pct"/>
            <w:shd w:val="clear" w:color="auto" w:fill="auto"/>
            <w:noWrap/>
            <w:vAlign w:val="center"/>
          </w:tcPr>
          <w:p w14:paraId="34D7EC6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38</w:t>
            </w:r>
          </w:p>
        </w:tc>
        <w:tc>
          <w:tcPr>
            <w:tcW w:w="729" w:type="pct"/>
            <w:shd w:val="clear" w:color="auto" w:fill="auto"/>
            <w:noWrap/>
            <w:vAlign w:val="center"/>
          </w:tcPr>
          <w:p w14:paraId="5A956D6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4,164</w:t>
            </w:r>
          </w:p>
        </w:tc>
      </w:tr>
      <w:tr w14:paraId="0C2C7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1215" w:type="pct"/>
            <w:shd w:val="clear" w:color="auto" w:fill="auto"/>
            <w:noWrap/>
            <w:vAlign w:val="center"/>
          </w:tcPr>
          <w:p w14:paraId="72485BB7">
            <w:pPr>
              <w:widowControl/>
              <w:spacing w:line="240" w:lineRule="auto"/>
              <w:ind w:firstLine="0" w:firstLineChars="0"/>
              <w:jc w:val="left"/>
              <w:rPr>
                <w:rFonts w:ascii="仿宋" w:hAnsi="仿宋" w:eastAsia="仿宋" w:cs="宋体"/>
                <w:kern w:val="0"/>
                <w:sz w:val="20"/>
                <w:szCs w:val="20"/>
              </w:rPr>
            </w:pPr>
            <w:r>
              <w:rPr>
                <w:rFonts w:ascii="仿宋" w:hAnsi="仿宋" w:eastAsia="仿宋" w:cs="宋体"/>
                <w:kern w:val="0"/>
                <w:sz w:val="20"/>
                <w:szCs w:val="20"/>
              </w:rPr>
              <w:t>公园及浴场服务收入</w:t>
            </w:r>
          </w:p>
        </w:tc>
        <w:tc>
          <w:tcPr>
            <w:tcW w:w="611" w:type="pct"/>
            <w:shd w:val="clear" w:color="auto" w:fill="auto"/>
            <w:noWrap/>
            <w:vAlign w:val="center"/>
          </w:tcPr>
          <w:p w14:paraId="5CF35FBC">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611" w:type="pct"/>
            <w:shd w:val="clear" w:color="auto" w:fill="auto"/>
            <w:noWrap/>
            <w:vAlign w:val="center"/>
          </w:tcPr>
          <w:p w14:paraId="7FAC8AA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611" w:type="pct"/>
            <w:shd w:val="clear" w:color="auto" w:fill="auto"/>
            <w:noWrap/>
            <w:vAlign w:val="center"/>
          </w:tcPr>
          <w:p w14:paraId="194F52C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611" w:type="pct"/>
            <w:shd w:val="clear" w:color="auto" w:fill="auto"/>
            <w:noWrap/>
            <w:vAlign w:val="center"/>
          </w:tcPr>
          <w:p w14:paraId="13285652">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37,557</w:t>
            </w:r>
          </w:p>
        </w:tc>
        <w:tc>
          <w:tcPr>
            <w:tcW w:w="611" w:type="pct"/>
            <w:shd w:val="clear" w:color="auto" w:fill="auto"/>
            <w:noWrap/>
            <w:vAlign w:val="center"/>
          </w:tcPr>
          <w:p w14:paraId="0D844515">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3,130</w:t>
            </w:r>
          </w:p>
        </w:tc>
        <w:tc>
          <w:tcPr>
            <w:tcW w:w="729" w:type="pct"/>
            <w:shd w:val="clear" w:color="auto" w:fill="auto"/>
            <w:noWrap/>
            <w:vAlign w:val="center"/>
          </w:tcPr>
          <w:p w14:paraId="265B006F">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341,143</w:t>
            </w:r>
          </w:p>
        </w:tc>
      </w:tr>
      <w:tr w14:paraId="47C7B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15" w:type="pct"/>
            <w:shd w:val="clear" w:color="auto" w:fill="auto"/>
            <w:noWrap/>
            <w:vAlign w:val="center"/>
          </w:tcPr>
          <w:p w14:paraId="21288E7E">
            <w:pPr>
              <w:widowControl/>
              <w:spacing w:line="240" w:lineRule="auto"/>
              <w:ind w:firstLine="0" w:firstLineChars="0"/>
              <w:jc w:val="left"/>
              <w:rPr>
                <w:rFonts w:ascii="仿宋" w:hAnsi="仿宋" w:eastAsia="仿宋" w:cs="宋体"/>
                <w:b/>
                <w:bCs/>
                <w:kern w:val="0"/>
                <w:sz w:val="20"/>
                <w:szCs w:val="20"/>
              </w:rPr>
            </w:pPr>
            <w:r>
              <w:rPr>
                <w:rFonts w:ascii="仿宋" w:hAnsi="仿宋" w:eastAsia="仿宋" w:cs="宋体"/>
                <w:b/>
                <w:bCs/>
                <w:kern w:val="0"/>
                <w:sz w:val="20"/>
                <w:szCs w:val="20"/>
              </w:rPr>
              <w:t>收入合计</w:t>
            </w:r>
          </w:p>
        </w:tc>
        <w:tc>
          <w:tcPr>
            <w:tcW w:w="611" w:type="pct"/>
            <w:shd w:val="clear" w:color="auto" w:fill="auto"/>
            <w:noWrap/>
            <w:vAlign w:val="center"/>
          </w:tcPr>
          <w:p w14:paraId="2BEF428E">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611" w:type="pct"/>
            <w:shd w:val="clear" w:color="auto" w:fill="auto"/>
            <w:noWrap/>
            <w:vAlign w:val="center"/>
          </w:tcPr>
          <w:p w14:paraId="14D8FFB4">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611" w:type="pct"/>
            <w:shd w:val="clear" w:color="auto" w:fill="auto"/>
            <w:noWrap/>
            <w:vAlign w:val="center"/>
          </w:tcPr>
          <w:p w14:paraId="63D6661E">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611" w:type="pct"/>
            <w:shd w:val="clear" w:color="auto" w:fill="auto"/>
            <w:noWrap/>
            <w:vAlign w:val="center"/>
          </w:tcPr>
          <w:p w14:paraId="331882E9">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38,341</w:t>
            </w:r>
          </w:p>
        </w:tc>
        <w:tc>
          <w:tcPr>
            <w:tcW w:w="611" w:type="pct"/>
            <w:shd w:val="clear" w:color="auto" w:fill="auto"/>
            <w:noWrap/>
            <w:vAlign w:val="center"/>
          </w:tcPr>
          <w:p w14:paraId="4E6301B4">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3,195</w:t>
            </w:r>
          </w:p>
        </w:tc>
        <w:tc>
          <w:tcPr>
            <w:tcW w:w="729" w:type="pct"/>
            <w:shd w:val="clear" w:color="auto" w:fill="auto"/>
            <w:noWrap/>
            <w:vAlign w:val="center"/>
          </w:tcPr>
          <w:p w14:paraId="4745472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348,261</w:t>
            </w:r>
          </w:p>
        </w:tc>
      </w:tr>
      <w:tr w14:paraId="3C53B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215" w:type="pct"/>
            <w:shd w:val="clear" w:color="auto" w:fill="auto"/>
            <w:noWrap/>
            <w:vAlign w:val="center"/>
          </w:tcPr>
          <w:p w14:paraId="52F28CBD">
            <w:pPr>
              <w:widowControl/>
              <w:spacing w:line="240" w:lineRule="auto"/>
              <w:ind w:firstLine="0" w:firstLineChars="0"/>
              <w:rPr>
                <w:rFonts w:ascii="仿宋" w:hAnsi="仿宋" w:eastAsia="仿宋" w:cs="宋体"/>
                <w:b/>
                <w:bCs/>
                <w:kern w:val="0"/>
                <w:sz w:val="20"/>
                <w:szCs w:val="20"/>
              </w:rPr>
            </w:pPr>
            <w:r>
              <w:rPr>
                <w:rFonts w:ascii="仿宋" w:hAnsi="仿宋" w:eastAsia="仿宋" w:cs="宋体"/>
                <w:b/>
                <w:bCs/>
                <w:kern w:val="0"/>
                <w:sz w:val="20"/>
                <w:szCs w:val="20"/>
              </w:rPr>
              <w:t>用于还本付息收入</w:t>
            </w:r>
          </w:p>
        </w:tc>
        <w:tc>
          <w:tcPr>
            <w:tcW w:w="611" w:type="pct"/>
            <w:shd w:val="clear" w:color="auto" w:fill="auto"/>
            <w:noWrap/>
            <w:vAlign w:val="center"/>
          </w:tcPr>
          <w:p w14:paraId="3E0E22CD">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611" w:type="pct"/>
            <w:shd w:val="clear" w:color="auto" w:fill="auto"/>
            <w:noWrap/>
            <w:vAlign w:val="center"/>
          </w:tcPr>
          <w:p w14:paraId="3F59DAC7">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611" w:type="pct"/>
            <w:shd w:val="clear" w:color="auto" w:fill="auto"/>
            <w:noWrap/>
            <w:vAlign w:val="center"/>
          </w:tcPr>
          <w:p w14:paraId="752AE8FE">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611" w:type="pct"/>
            <w:shd w:val="clear" w:color="auto" w:fill="auto"/>
            <w:noWrap/>
            <w:vAlign w:val="center"/>
          </w:tcPr>
          <w:p w14:paraId="0A395D46">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5,751</w:t>
            </w:r>
          </w:p>
        </w:tc>
        <w:tc>
          <w:tcPr>
            <w:tcW w:w="611" w:type="pct"/>
            <w:shd w:val="clear" w:color="auto" w:fill="auto"/>
            <w:noWrap/>
            <w:vAlign w:val="center"/>
          </w:tcPr>
          <w:p w14:paraId="55BC09CA">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Times New Roman"/>
                <w:b/>
                <w:bCs/>
                <w:kern w:val="0"/>
                <w:sz w:val="20"/>
                <w:szCs w:val="20"/>
              </w:rPr>
              <w:t>479</w:t>
            </w:r>
          </w:p>
        </w:tc>
        <w:tc>
          <w:tcPr>
            <w:tcW w:w="729" w:type="pct"/>
            <w:shd w:val="clear" w:color="auto" w:fill="auto"/>
            <w:noWrap/>
            <w:vAlign w:val="center"/>
          </w:tcPr>
          <w:p w14:paraId="29D06F8A">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52,239</w:t>
            </w:r>
          </w:p>
        </w:tc>
      </w:tr>
    </w:tbl>
    <w:p w14:paraId="753418E1">
      <w:pPr>
        <w:widowControl/>
        <w:spacing w:before="156" w:after="120"/>
        <w:ind w:right="84" w:firstLine="567" w:firstLineChars="0"/>
        <w:jc w:val="center"/>
        <w:rPr>
          <w:rFonts w:ascii="仿宋" w:hAnsi="仿宋" w:eastAsia="仿宋" w:cs="Times New Roman"/>
          <w:b/>
          <w:kern w:val="0"/>
          <w:lang w:val="en-GB"/>
        </w:rPr>
        <w:sectPr>
          <w:pgSz w:w="11906" w:h="16838"/>
          <w:pgMar w:top="1440" w:right="1800" w:bottom="1440" w:left="1800" w:header="851" w:footer="992" w:gutter="0"/>
          <w:cols w:space="425" w:num="1"/>
          <w:docGrid w:type="lines" w:linePitch="312" w:charSpace="0"/>
        </w:sectPr>
      </w:pPr>
    </w:p>
    <w:p w14:paraId="6FAA8C5B">
      <w:pPr>
        <w:widowControl/>
        <w:spacing w:before="156" w:after="120"/>
        <w:ind w:right="84" w:firstLine="567" w:firstLineChars="0"/>
        <w:jc w:val="center"/>
        <w:rPr>
          <w:rFonts w:ascii="仿宋" w:hAnsi="仿宋" w:eastAsia="仿宋" w:cs="Times New Roman"/>
          <w:b/>
          <w:kern w:val="0"/>
          <w:lang w:val="en-GB"/>
        </w:rPr>
      </w:pPr>
      <w:r>
        <w:rPr>
          <w:rFonts w:hint="eastAsia" w:ascii="仿宋" w:hAnsi="仿宋" w:eastAsia="仿宋" w:cs="Times New Roman"/>
          <w:b/>
          <w:kern w:val="0"/>
          <w:lang w:val="en-GB"/>
        </w:rPr>
        <w:t>表10海口江东新区总部集聚区基础设施建设项目成本预测表</w:t>
      </w:r>
    </w:p>
    <w:p w14:paraId="7CD76BB4">
      <w:pPr>
        <w:widowControl/>
        <w:spacing w:before="156" w:line="259" w:lineRule="auto"/>
        <w:ind w:right="-58" w:rightChars="-24" w:firstLine="0" w:firstLineChars="0"/>
        <w:jc w:val="right"/>
        <w:rPr>
          <w:rFonts w:ascii="仿宋" w:hAnsi="仿宋" w:eastAsia="仿宋" w:cs="Times New Roman"/>
          <w:kern w:val="0"/>
          <w:sz w:val="20"/>
          <w:szCs w:val="20"/>
        </w:rPr>
      </w:pPr>
      <w:r>
        <w:rPr>
          <w:rFonts w:hint="eastAsia" w:ascii="仿宋" w:hAnsi="仿宋" w:eastAsia="仿宋" w:cs="Times New Roman"/>
          <w:kern w:val="0"/>
          <w:sz w:val="20"/>
          <w:szCs w:val="20"/>
        </w:rPr>
        <w:t>单位：人民币万元</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9"/>
        <w:gridCol w:w="1101"/>
        <w:gridCol w:w="1101"/>
        <w:gridCol w:w="1101"/>
        <w:gridCol w:w="1101"/>
        <w:gridCol w:w="1101"/>
        <w:gridCol w:w="1098"/>
      </w:tblGrid>
      <w:tr w14:paraId="3BD73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126" w:type="pct"/>
            <w:shd w:val="clear" w:color="auto" w:fill="auto"/>
            <w:noWrap/>
            <w:vAlign w:val="center"/>
          </w:tcPr>
          <w:p w14:paraId="4FB84DDF">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646" w:type="pct"/>
            <w:shd w:val="clear" w:color="auto" w:fill="auto"/>
            <w:noWrap/>
            <w:vAlign w:val="center"/>
          </w:tcPr>
          <w:p w14:paraId="6C904258">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2026年</w:t>
            </w:r>
          </w:p>
        </w:tc>
        <w:tc>
          <w:tcPr>
            <w:tcW w:w="646" w:type="pct"/>
            <w:shd w:val="clear" w:color="auto" w:fill="auto"/>
            <w:noWrap/>
            <w:vAlign w:val="center"/>
          </w:tcPr>
          <w:p w14:paraId="754E1E1B">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2027年</w:t>
            </w:r>
          </w:p>
        </w:tc>
        <w:tc>
          <w:tcPr>
            <w:tcW w:w="646" w:type="pct"/>
            <w:shd w:val="clear" w:color="auto" w:fill="auto"/>
            <w:noWrap/>
            <w:vAlign w:val="center"/>
          </w:tcPr>
          <w:p w14:paraId="50E5E0A0">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2028年</w:t>
            </w:r>
          </w:p>
        </w:tc>
        <w:tc>
          <w:tcPr>
            <w:tcW w:w="646" w:type="pct"/>
            <w:shd w:val="clear" w:color="auto" w:fill="auto"/>
            <w:noWrap/>
            <w:vAlign w:val="center"/>
          </w:tcPr>
          <w:p w14:paraId="1DE74CD8">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2029年</w:t>
            </w:r>
          </w:p>
        </w:tc>
        <w:tc>
          <w:tcPr>
            <w:tcW w:w="646" w:type="pct"/>
            <w:shd w:val="clear" w:color="auto" w:fill="auto"/>
            <w:noWrap/>
            <w:vAlign w:val="center"/>
          </w:tcPr>
          <w:p w14:paraId="4D7BB177">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2030年</w:t>
            </w:r>
          </w:p>
        </w:tc>
        <w:tc>
          <w:tcPr>
            <w:tcW w:w="646" w:type="pct"/>
            <w:shd w:val="clear" w:color="auto" w:fill="auto"/>
            <w:noWrap/>
            <w:vAlign w:val="center"/>
          </w:tcPr>
          <w:p w14:paraId="1D540883">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2031年</w:t>
            </w:r>
          </w:p>
        </w:tc>
      </w:tr>
      <w:tr w14:paraId="0297B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126" w:type="pct"/>
            <w:shd w:val="clear" w:color="auto" w:fill="auto"/>
            <w:noWrap/>
            <w:vAlign w:val="center"/>
          </w:tcPr>
          <w:p w14:paraId="4AF56ADB">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运营成本</w:t>
            </w:r>
          </w:p>
        </w:tc>
        <w:tc>
          <w:tcPr>
            <w:tcW w:w="646" w:type="pct"/>
            <w:shd w:val="clear" w:color="auto" w:fill="auto"/>
            <w:noWrap/>
            <w:vAlign w:val="center"/>
          </w:tcPr>
          <w:p w14:paraId="4411399C">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646" w:type="pct"/>
            <w:shd w:val="clear" w:color="auto" w:fill="auto"/>
            <w:noWrap/>
            <w:vAlign w:val="center"/>
          </w:tcPr>
          <w:p w14:paraId="63DBFEA5">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646" w:type="pct"/>
            <w:shd w:val="clear" w:color="auto" w:fill="auto"/>
            <w:noWrap/>
            <w:vAlign w:val="center"/>
          </w:tcPr>
          <w:p w14:paraId="09C4EC24">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646" w:type="pct"/>
            <w:shd w:val="clear" w:color="auto" w:fill="auto"/>
            <w:noWrap/>
            <w:vAlign w:val="center"/>
          </w:tcPr>
          <w:p w14:paraId="62A3DFA4">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646" w:type="pct"/>
            <w:shd w:val="clear" w:color="auto" w:fill="auto"/>
            <w:noWrap/>
            <w:vAlign w:val="center"/>
          </w:tcPr>
          <w:p w14:paraId="43C78A1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646" w:type="pct"/>
            <w:shd w:val="clear" w:color="auto" w:fill="auto"/>
            <w:noWrap/>
            <w:vAlign w:val="center"/>
          </w:tcPr>
          <w:p w14:paraId="590A7E2F">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r>
      <w:tr w14:paraId="6AA94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126" w:type="pct"/>
            <w:shd w:val="clear" w:color="auto" w:fill="auto"/>
            <w:noWrap/>
            <w:vAlign w:val="center"/>
          </w:tcPr>
          <w:p w14:paraId="10567B3E">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税费</w:t>
            </w:r>
          </w:p>
        </w:tc>
        <w:tc>
          <w:tcPr>
            <w:tcW w:w="646" w:type="pct"/>
            <w:shd w:val="clear" w:color="auto" w:fill="auto"/>
            <w:noWrap/>
            <w:vAlign w:val="center"/>
          </w:tcPr>
          <w:p w14:paraId="60C2B29F">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646" w:type="pct"/>
            <w:shd w:val="clear" w:color="auto" w:fill="auto"/>
            <w:noWrap/>
            <w:vAlign w:val="center"/>
          </w:tcPr>
          <w:p w14:paraId="284B57F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646" w:type="pct"/>
            <w:shd w:val="clear" w:color="auto" w:fill="auto"/>
            <w:noWrap/>
            <w:vAlign w:val="center"/>
          </w:tcPr>
          <w:p w14:paraId="6D7ADFF8">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646" w:type="pct"/>
            <w:shd w:val="clear" w:color="auto" w:fill="auto"/>
            <w:noWrap/>
            <w:vAlign w:val="center"/>
          </w:tcPr>
          <w:p w14:paraId="1DEF183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646" w:type="pct"/>
            <w:shd w:val="clear" w:color="auto" w:fill="auto"/>
            <w:noWrap/>
            <w:vAlign w:val="center"/>
          </w:tcPr>
          <w:p w14:paraId="7881D2C5">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646" w:type="pct"/>
            <w:shd w:val="clear" w:color="auto" w:fill="auto"/>
            <w:noWrap/>
            <w:vAlign w:val="center"/>
          </w:tcPr>
          <w:p w14:paraId="277FBE03">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r>
      <w:tr w14:paraId="7E2F7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126" w:type="pct"/>
            <w:shd w:val="clear" w:color="auto" w:fill="auto"/>
            <w:noWrap/>
            <w:vAlign w:val="center"/>
          </w:tcPr>
          <w:p w14:paraId="7B63D733">
            <w:pPr>
              <w:widowControl/>
              <w:spacing w:line="240" w:lineRule="auto"/>
              <w:ind w:firstLine="0" w:firstLineChars="0"/>
              <w:rPr>
                <w:rFonts w:ascii="仿宋" w:hAnsi="仿宋" w:eastAsia="仿宋" w:cs="宋体"/>
                <w:b/>
                <w:bCs/>
                <w:kern w:val="0"/>
                <w:sz w:val="20"/>
                <w:szCs w:val="20"/>
              </w:rPr>
            </w:pPr>
            <w:r>
              <w:rPr>
                <w:rFonts w:ascii="仿宋" w:hAnsi="仿宋" w:eastAsia="仿宋" w:cs="宋体"/>
                <w:b/>
                <w:bCs/>
                <w:kern w:val="0"/>
                <w:sz w:val="20"/>
                <w:szCs w:val="20"/>
              </w:rPr>
              <w:t>用于还本付息成本</w:t>
            </w:r>
          </w:p>
        </w:tc>
        <w:tc>
          <w:tcPr>
            <w:tcW w:w="646" w:type="pct"/>
            <w:shd w:val="clear" w:color="auto" w:fill="auto"/>
            <w:noWrap/>
            <w:vAlign w:val="center"/>
          </w:tcPr>
          <w:p w14:paraId="4043C62C">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646" w:type="pct"/>
            <w:shd w:val="clear" w:color="auto" w:fill="auto"/>
            <w:noWrap/>
            <w:vAlign w:val="center"/>
          </w:tcPr>
          <w:p w14:paraId="03166F90">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646" w:type="pct"/>
            <w:shd w:val="clear" w:color="auto" w:fill="auto"/>
            <w:noWrap/>
            <w:vAlign w:val="center"/>
          </w:tcPr>
          <w:p w14:paraId="0EC2982B">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646" w:type="pct"/>
            <w:shd w:val="clear" w:color="auto" w:fill="auto"/>
            <w:noWrap/>
            <w:vAlign w:val="center"/>
          </w:tcPr>
          <w:p w14:paraId="5A546D95">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646" w:type="pct"/>
            <w:shd w:val="clear" w:color="auto" w:fill="auto"/>
            <w:noWrap/>
            <w:vAlign w:val="center"/>
          </w:tcPr>
          <w:p w14:paraId="73FCD44D">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646" w:type="pct"/>
            <w:shd w:val="clear" w:color="auto" w:fill="auto"/>
            <w:noWrap/>
            <w:vAlign w:val="center"/>
          </w:tcPr>
          <w:p w14:paraId="456992BF">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r>
    </w:tbl>
    <w:p w14:paraId="498CC17F">
      <w:pPr>
        <w:widowControl/>
        <w:spacing w:before="156" w:line="259" w:lineRule="auto"/>
        <w:ind w:right="-58" w:rightChars="-24" w:firstLine="0" w:firstLineChars="0"/>
        <w:jc w:val="right"/>
        <w:rPr>
          <w:rFonts w:ascii="仿宋" w:hAnsi="仿宋" w:eastAsia="仿宋" w:cs="Times New Roman"/>
          <w:kern w:val="0"/>
          <w:sz w:val="20"/>
          <w:szCs w:val="20"/>
        </w:rPr>
      </w:pP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3"/>
        <w:gridCol w:w="1246"/>
        <w:gridCol w:w="1246"/>
        <w:gridCol w:w="1246"/>
        <w:gridCol w:w="1246"/>
        <w:gridCol w:w="1365"/>
      </w:tblGrid>
      <w:tr w14:paraId="6F0D9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275" w:type="pct"/>
            <w:shd w:val="clear" w:color="auto" w:fill="auto"/>
            <w:noWrap/>
            <w:vAlign w:val="center"/>
          </w:tcPr>
          <w:p w14:paraId="72ACAE4F">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731" w:type="pct"/>
            <w:shd w:val="clear" w:color="auto" w:fill="auto"/>
            <w:noWrap/>
            <w:vAlign w:val="center"/>
          </w:tcPr>
          <w:p w14:paraId="65A7F094">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2032年</w:t>
            </w:r>
          </w:p>
        </w:tc>
        <w:tc>
          <w:tcPr>
            <w:tcW w:w="731" w:type="pct"/>
            <w:shd w:val="clear" w:color="auto" w:fill="auto"/>
            <w:noWrap/>
            <w:vAlign w:val="center"/>
          </w:tcPr>
          <w:p w14:paraId="76C53C8C">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2033年</w:t>
            </w:r>
          </w:p>
        </w:tc>
        <w:tc>
          <w:tcPr>
            <w:tcW w:w="731" w:type="pct"/>
            <w:shd w:val="clear" w:color="auto" w:fill="auto"/>
            <w:noWrap/>
            <w:vAlign w:val="center"/>
          </w:tcPr>
          <w:p w14:paraId="07B0BE73">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2034年</w:t>
            </w:r>
          </w:p>
        </w:tc>
        <w:tc>
          <w:tcPr>
            <w:tcW w:w="731" w:type="pct"/>
            <w:shd w:val="clear" w:color="auto" w:fill="auto"/>
            <w:noWrap/>
            <w:vAlign w:val="center"/>
          </w:tcPr>
          <w:p w14:paraId="2286F15C">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2035年</w:t>
            </w:r>
          </w:p>
        </w:tc>
        <w:tc>
          <w:tcPr>
            <w:tcW w:w="801" w:type="pct"/>
            <w:shd w:val="clear" w:color="auto" w:fill="auto"/>
            <w:noWrap/>
            <w:vAlign w:val="center"/>
          </w:tcPr>
          <w:p w14:paraId="2DE61703">
            <w:pPr>
              <w:widowControl/>
              <w:spacing w:line="240" w:lineRule="auto"/>
              <w:ind w:firstLine="0" w:firstLineChars="0"/>
              <w:jc w:val="center"/>
              <w:rPr>
                <w:rFonts w:ascii="仿宋" w:hAnsi="仿宋" w:eastAsia="仿宋" w:cs="宋体"/>
                <w:b/>
                <w:bCs/>
                <w:kern w:val="0"/>
                <w:sz w:val="20"/>
                <w:szCs w:val="20"/>
              </w:rPr>
            </w:pPr>
            <w:r>
              <w:rPr>
                <w:rFonts w:ascii="仿宋" w:hAnsi="仿宋" w:eastAsia="仿宋" w:cs="宋体"/>
                <w:b/>
                <w:bCs/>
                <w:kern w:val="0"/>
                <w:sz w:val="20"/>
                <w:szCs w:val="20"/>
              </w:rPr>
              <w:t>合计</w:t>
            </w:r>
          </w:p>
        </w:tc>
      </w:tr>
      <w:tr w14:paraId="39B5C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275" w:type="pct"/>
            <w:shd w:val="clear" w:color="auto" w:fill="auto"/>
            <w:noWrap/>
            <w:vAlign w:val="center"/>
          </w:tcPr>
          <w:p w14:paraId="777D8353">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运营成本</w:t>
            </w:r>
          </w:p>
        </w:tc>
        <w:tc>
          <w:tcPr>
            <w:tcW w:w="731" w:type="pct"/>
            <w:shd w:val="clear" w:color="auto" w:fill="auto"/>
            <w:noWrap/>
            <w:vAlign w:val="center"/>
          </w:tcPr>
          <w:p w14:paraId="2523F094">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731" w:type="pct"/>
            <w:shd w:val="clear" w:color="auto" w:fill="auto"/>
            <w:noWrap/>
            <w:vAlign w:val="center"/>
          </w:tcPr>
          <w:p w14:paraId="6ED1271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731" w:type="pct"/>
            <w:shd w:val="clear" w:color="auto" w:fill="auto"/>
            <w:noWrap/>
            <w:vAlign w:val="center"/>
          </w:tcPr>
          <w:p w14:paraId="68D6A36E">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19,170</w:t>
            </w:r>
          </w:p>
        </w:tc>
        <w:tc>
          <w:tcPr>
            <w:tcW w:w="731" w:type="pct"/>
            <w:shd w:val="clear" w:color="auto" w:fill="auto"/>
            <w:noWrap/>
            <w:vAlign w:val="center"/>
          </w:tcPr>
          <w:p w14:paraId="0D48A4C8">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1,598</w:t>
            </w:r>
          </w:p>
        </w:tc>
        <w:tc>
          <w:tcPr>
            <w:tcW w:w="801" w:type="pct"/>
            <w:shd w:val="clear" w:color="auto" w:fill="auto"/>
            <w:noWrap/>
            <w:vAlign w:val="center"/>
          </w:tcPr>
          <w:p w14:paraId="36E63CC3">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174,131</w:t>
            </w:r>
          </w:p>
        </w:tc>
      </w:tr>
      <w:tr w14:paraId="5C73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275" w:type="pct"/>
            <w:shd w:val="clear" w:color="auto" w:fill="auto"/>
            <w:noWrap/>
            <w:vAlign w:val="center"/>
          </w:tcPr>
          <w:p w14:paraId="0EF3647E">
            <w:pPr>
              <w:widowControl/>
              <w:spacing w:line="240" w:lineRule="auto"/>
              <w:ind w:firstLine="0" w:firstLineChars="0"/>
              <w:rPr>
                <w:rFonts w:ascii="仿宋" w:hAnsi="仿宋" w:eastAsia="仿宋" w:cs="宋体"/>
                <w:kern w:val="0"/>
                <w:sz w:val="20"/>
                <w:szCs w:val="20"/>
              </w:rPr>
            </w:pPr>
            <w:r>
              <w:rPr>
                <w:rFonts w:ascii="仿宋" w:hAnsi="仿宋" w:eastAsia="仿宋" w:cs="宋体"/>
                <w:kern w:val="0"/>
                <w:sz w:val="20"/>
                <w:szCs w:val="20"/>
              </w:rPr>
              <w:t>税费</w:t>
            </w:r>
          </w:p>
        </w:tc>
        <w:tc>
          <w:tcPr>
            <w:tcW w:w="731" w:type="pct"/>
            <w:shd w:val="clear" w:color="auto" w:fill="auto"/>
            <w:noWrap/>
            <w:vAlign w:val="center"/>
          </w:tcPr>
          <w:p w14:paraId="2A62F324">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731" w:type="pct"/>
            <w:shd w:val="clear" w:color="auto" w:fill="auto"/>
            <w:noWrap/>
            <w:vAlign w:val="center"/>
          </w:tcPr>
          <w:p w14:paraId="31167CDA">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778</w:t>
            </w:r>
          </w:p>
        </w:tc>
        <w:tc>
          <w:tcPr>
            <w:tcW w:w="731" w:type="pct"/>
            <w:shd w:val="clear" w:color="auto" w:fill="auto"/>
            <w:noWrap/>
            <w:vAlign w:val="center"/>
          </w:tcPr>
          <w:p w14:paraId="46C089B1">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781</w:t>
            </w:r>
          </w:p>
        </w:tc>
        <w:tc>
          <w:tcPr>
            <w:tcW w:w="731" w:type="pct"/>
            <w:shd w:val="clear" w:color="auto" w:fill="auto"/>
            <w:noWrap/>
            <w:vAlign w:val="center"/>
          </w:tcPr>
          <w:p w14:paraId="636F249D">
            <w:pPr>
              <w:widowControl/>
              <w:spacing w:line="240" w:lineRule="auto"/>
              <w:ind w:firstLine="0" w:firstLineChars="0"/>
              <w:jc w:val="right"/>
              <w:rPr>
                <w:rFonts w:ascii="仿宋" w:hAnsi="仿宋" w:eastAsia="仿宋" w:cs="宋体"/>
                <w:kern w:val="0"/>
                <w:sz w:val="20"/>
                <w:szCs w:val="20"/>
              </w:rPr>
            </w:pPr>
            <w:r>
              <w:rPr>
                <w:rFonts w:ascii="仿宋" w:hAnsi="仿宋" w:eastAsia="仿宋" w:cs="宋体"/>
                <w:kern w:val="0"/>
                <w:sz w:val="20"/>
                <w:szCs w:val="20"/>
              </w:rPr>
              <w:t>66</w:t>
            </w:r>
          </w:p>
        </w:tc>
        <w:tc>
          <w:tcPr>
            <w:tcW w:w="801" w:type="pct"/>
            <w:shd w:val="clear" w:color="auto" w:fill="auto"/>
            <w:noWrap/>
            <w:vAlign w:val="center"/>
          </w:tcPr>
          <w:p w14:paraId="39DC88A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7,067</w:t>
            </w:r>
          </w:p>
        </w:tc>
      </w:tr>
      <w:tr w14:paraId="278CF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1275" w:type="pct"/>
            <w:shd w:val="clear" w:color="auto" w:fill="auto"/>
            <w:noWrap/>
            <w:vAlign w:val="center"/>
          </w:tcPr>
          <w:p w14:paraId="51F2E3E2">
            <w:pPr>
              <w:widowControl/>
              <w:spacing w:line="240" w:lineRule="auto"/>
              <w:ind w:firstLine="0" w:firstLineChars="0"/>
              <w:rPr>
                <w:rFonts w:ascii="仿宋" w:hAnsi="仿宋" w:eastAsia="仿宋" w:cs="宋体"/>
                <w:b/>
                <w:bCs/>
                <w:kern w:val="0"/>
                <w:sz w:val="20"/>
                <w:szCs w:val="20"/>
              </w:rPr>
            </w:pPr>
            <w:r>
              <w:rPr>
                <w:rFonts w:ascii="仿宋" w:hAnsi="仿宋" w:eastAsia="仿宋" w:cs="宋体"/>
                <w:b/>
                <w:bCs/>
                <w:kern w:val="0"/>
                <w:sz w:val="20"/>
                <w:szCs w:val="20"/>
              </w:rPr>
              <w:t>用于还本付息成本</w:t>
            </w:r>
          </w:p>
        </w:tc>
        <w:tc>
          <w:tcPr>
            <w:tcW w:w="731" w:type="pct"/>
            <w:shd w:val="clear" w:color="auto" w:fill="auto"/>
            <w:noWrap/>
            <w:vAlign w:val="center"/>
          </w:tcPr>
          <w:p w14:paraId="6E1D398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731" w:type="pct"/>
            <w:shd w:val="clear" w:color="auto" w:fill="auto"/>
            <w:noWrap/>
            <w:vAlign w:val="center"/>
          </w:tcPr>
          <w:p w14:paraId="7233F2FC">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3,653</w:t>
            </w:r>
          </w:p>
        </w:tc>
        <w:tc>
          <w:tcPr>
            <w:tcW w:w="731" w:type="pct"/>
            <w:shd w:val="clear" w:color="auto" w:fill="auto"/>
            <w:noWrap/>
            <w:vAlign w:val="center"/>
          </w:tcPr>
          <w:p w14:paraId="4DFDA7C1">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3,656</w:t>
            </w:r>
          </w:p>
        </w:tc>
        <w:tc>
          <w:tcPr>
            <w:tcW w:w="731" w:type="pct"/>
            <w:shd w:val="clear" w:color="auto" w:fill="auto"/>
            <w:noWrap/>
            <w:vAlign w:val="center"/>
          </w:tcPr>
          <w:p w14:paraId="17197AD8">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306</w:t>
            </w:r>
          </w:p>
        </w:tc>
        <w:tc>
          <w:tcPr>
            <w:tcW w:w="801" w:type="pct"/>
            <w:shd w:val="clear" w:color="auto" w:fill="auto"/>
            <w:noWrap/>
            <w:vAlign w:val="center"/>
          </w:tcPr>
          <w:p w14:paraId="478A813E">
            <w:pPr>
              <w:widowControl/>
              <w:spacing w:line="240" w:lineRule="auto"/>
              <w:ind w:firstLine="0" w:firstLineChars="0"/>
              <w:jc w:val="right"/>
              <w:rPr>
                <w:rFonts w:ascii="仿宋" w:hAnsi="仿宋" w:eastAsia="仿宋" w:cs="宋体"/>
                <w:b/>
                <w:bCs/>
                <w:kern w:val="0"/>
                <w:sz w:val="20"/>
                <w:szCs w:val="20"/>
              </w:rPr>
            </w:pPr>
            <w:r>
              <w:rPr>
                <w:rFonts w:ascii="仿宋" w:hAnsi="仿宋" w:eastAsia="仿宋" w:cs="宋体"/>
                <w:b/>
                <w:bCs/>
                <w:kern w:val="0"/>
                <w:sz w:val="20"/>
                <w:szCs w:val="20"/>
              </w:rPr>
              <w:t>33,187</w:t>
            </w:r>
          </w:p>
        </w:tc>
      </w:tr>
    </w:tbl>
    <w:p w14:paraId="5D132D20">
      <w:pPr>
        <w:widowControl/>
        <w:spacing w:before="156" w:line="259" w:lineRule="auto"/>
        <w:ind w:right="-58" w:rightChars="-24" w:firstLine="0" w:firstLineChars="0"/>
        <w:jc w:val="right"/>
        <w:rPr>
          <w:rFonts w:ascii="仿宋" w:hAnsi="仿宋" w:eastAsia="仿宋" w:cs="Times New Roman"/>
          <w:kern w:val="0"/>
          <w:sz w:val="20"/>
          <w:szCs w:val="20"/>
        </w:rPr>
      </w:pPr>
    </w:p>
    <w:p w14:paraId="00CA0F28">
      <w:pPr>
        <w:pStyle w:val="4"/>
        <w:spacing w:before="156"/>
        <w:ind w:left="0" w:firstLine="0" w:firstLineChars="0"/>
      </w:pPr>
      <w:bookmarkStart w:id="50" w:name="_Toc27289"/>
      <w:bookmarkStart w:id="51" w:name="_Toc183188350"/>
      <w:bookmarkStart w:id="52" w:name="_Toc200711877"/>
      <w:bookmarkStart w:id="53" w:name="_Hlk135753570"/>
      <w:bookmarkStart w:id="54" w:name="_Toc158117284"/>
      <w:bookmarkStart w:id="55" w:name="_Toc124153243"/>
      <w:bookmarkStart w:id="56" w:name="_Toc133524598"/>
      <w:r>
        <w:rPr>
          <w:rFonts w:hint="eastAsia"/>
        </w:rPr>
        <w:t>五、</w:t>
      </w:r>
      <w:bookmarkEnd w:id="50"/>
      <w:r>
        <w:rPr>
          <w:rFonts w:hint="eastAsia"/>
        </w:rPr>
        <w:t>主管部门责任</w:t>
      </w:r>
      <w:bookmarkEnd w:id="51"/>
      <w:bookmarkEnd w:id="52"/>
    </w:p>
    <w:p w14:paraId="62B4303F">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财政部门为海口市财政局，负责按照专项债务管理规定，审核确定专项债券项目融资平衡方案及相关管理办法，组织做好信息披露等工作，负责组织项目专项债券发行工作，负责组织项目对应专项债券还本付息等存续期管理，负责组织建立相应的资产登记和统计报告制度，会同主管部门、项目单位加强专项债券项目对应资产管理。</w:t>
      </w:r>
    </w:p>
    <w:p w14:paraId="35ABBC00">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主管部门为海口江东新区管理局，负责组织制定专项债券项目融资平衡方案，督促指导项目单位做好项目专项债券发行准备工作和信息披露有关工作；负责对项目建设、资金使用和还本付息进行监督，指导项目单位加快项目建设、规范专项债券资金使用，加快专项债券资金支出使用进度；合理评估发行项目专项债券对应项目风险并组织风险应对工作；负责编制项目专项债券还本付息年度预算，督促项目单位及时上缴项目收益用于还本付息，确保债券还本付息不出任何风险；负责及时组织项目单位将项目形成的资产进行资产登记管理。</w:t>
      </w:r>
    </w:p>
    <w:p w14:paraId="18582C8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单位为海口旅游文化投资发展集团有限公司，负责按照债券发行组织统一安排，研究制定专项债券项目融资平衡方案，及时提供项目专项债券发行和信息披露有关项目信息工作；负责项目建设、运营管理，规范专项债券资金使用，加快专项债券资金支出使用进度；负责分析预测发行项目专项债券对应项目风险并提出应对措施；负责落实债券还本付息资金来源，按时足额缴交项目对应的政府性基金预算收入和专项收入。负责按照专项债券项目穿透管理要求，及时、规范地将专项债券资金支出使用和专项收入收缴等信息录入；负责及时将项目形成的资产按照约定的产权归属进行资产登记管理。</w:t>
      </w:r>
      <w:bookmarkEnd w:id="53"/>
    </w:p>
    <w:bookmarkEnd w:id="54"/>
    <w:bookmarkEnd w:id="55"/>
    <w:bookmarkEnd w:id="56"/>
    <w:p w14:paraId="505EB3F9">
      <w:pPr>
        <w:pStyle w:val="4"/>
        <w:spacing w:before="156"/>
        <w:ind w:left="0"/>
      </w:pPr>
      <w:bookmarkStart w:id="57" w:name="_Toc183188351"/>
      <w:bookmarkStart w:id="58" w:name="_Toc200711878"/>
      <w:r>
        <w:rPr>
          <w:rFonts w:hint="eastAsia"/>
        </w:rPr>
        <w:t>六、事前绩效评估</w:t>
      </w:r>
      <w:bookmarkEnd w:id="57"/>
      <w:bookmarkEnd w:id="58"/>
    </w:p>
    <w:p w14:paraId="5C2B2D53">
      <w:pPr>
        <w:pStyle w:val="4"/>
        <w:spacing w:before="156"/>
        <w:ind w:left="0"/>
        <w:rPr>
          <w:lang w:val="en-GB"/>
        </w:rPr>
      </w:pPr>
      <w:bookmarkStart w:id="59" w:name="_Toc200711879"/>
      <w:bookmarkStart w:id="60" w:name="_Toc183188352"/>
      <w:bookmarkStart w:id="61" w:name="_Toc3207"/>
      <w:r>
        <w:rPr>
          <w:rFonts w:hint="eastAsia"/>
          <w:lang w:val="en-GB"/>
        </w:rPr>
        <w:t>（一）项目实施的必要性、公益性、收益性</w:t>
      </w:r>
      <w:bookmarkEnd w:id="59"/>
      <w:bookmarkEnd w:id="60"/>
      <w:bookmarkEnd w:id="61"/>
    </w:p>
    <w:p w14:paraId="7F76A922">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是海口市加强生态文明建设，创建国家生态文明示范市的需要，是提升海口城市生态安全与服务功能的需要，是增强海口城市竞争力，带动滨水沿岸经济发展的需要，是增进民生福祉的需要，是完善片区基础设施配套的客观需要，是改善区域生活环境，构建和谐社会的客观需要，是促进区域企业发展和提高居民就业水平的需要；本项目符合当地政府发展的政策导向，具有良好的政策环境，是十分必要和迫切的，理应得到当地政府及相关各方的重视和支持。此外，本项目可产生一定的运营收益，具有良好的收益性。</w:t>
      </w:r>
    </w:p>
    <w:p w14:paraId="06437158">
      <w:pPr>
        <w:pStyle w:val="4"/>
        <w:spacing w:before="156"/>
        <w:ind w:left="0"/>
        <w:rPr>
          <w:lang w:val="en-GB"/>
        </w:rPr>
      </w:pPr>
      <w:bookmarkStart w:id="62" w:name="_Toc22219"/>
      <w:bookmarkStart w:id="63" w:name="_Toc183188353"/>
      <w:bookmarkStart w:id="64" w:name="_Toc200711880"/>
      <w:r>
        <w:rPr>
          <w:rFonts w:hint="eastAsia"/>
          <w:lang w:val="en-GB"/>
        </w:rPr>
        <w:t>（二）项目建设投资合规性与项目成熟度</w:t>
      </w:r>
      <w:bookmarkEnd w:id="62"/>
      <w:bookmarkEnd w:id="63"/>
      <w:bookmarkEnd w:id="64"/>
    </w:p>
    <w:p w14:paraId="645FF756">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本项目投资建设符合国家有关法律、法规、政策文件及规范性文件的规定。项目已做好前期相关准备，完成项目相关的批复文件，取得必要论证，项目处于施工阶段，项目建设投资具备合规性并同时具备成熟度。</w:t>
      </w:r>
    </w:p>
    <w:p w14:paraId="50A08B30">
      <w:pPr>
        <w:pStyle w:val="4"/>
        <w:spacing w:before="156"/>
        <w:ind w:left="0"/>
        <w:rPr>
          <w:lang w:val="en-GB"/>
        </w:rPr>
      </w:pPr>
      <w:bookmarkStart w:id="65" w:name="_Toc183188354"/>
      <w:bookmarkStart w:id="66" w:name="_Toc200711881"/>
      <w:bookmarkStart w:id="67" w:name="_Toc10168"/>
      <w:r>
        <w:rPr>
          <w:rFonts w:hint="eastAsia"/>
          <w:lang w:val="en-GB"/>
        </w:rPr>
        <w:t>（三）项目资金来源和到位可行性</w:t>
      </w:r>
      <w:bookmarkEnd w:id="65"/>
      <w:bookmarkEnd w:id="66"/>
      <w:bookmarkEnd w:id="67"/>
    </w:p>
    <w:p w14:paraId="3A088E5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本项目建设资金来源于项目财政资金和通过发行专项债券筹集的资金，资金应能按时拨付到位。</w:t>
      </w:r>
    </w:p>
    <w:p w14:paraId="7548D07A">
      <w:pPr>
        <w:pStyle w:val="4"/>
        <w:spacing w:before="156"/>
        <w:ind w:left="0"/>
        <w:rPr>
          <w:lang w:val="en-GB"/>
        </w:rPr>
      </w:pPr>
      <w:bookmarkStart w:id="68" w:name="_Toc18227"/>
      <w:bookmarkStart w:id="69" w:name="_Toc183188355"/>
      <w:bookmarkStart w:id="70" w:name="_Toc200711882"/>
      <w:r>
        <w:rPr>
          <w:rFonts w:hint="eastAsia"/>
          <w:lang w:val="en-GB"/>
        </w:rPr>
        <w:t>（四）项目收入、成本、收益预测合理性</w:t>
      </w:r>
      <w:bookmarkEnd w:id="68"/>
      <w:bookmarkEnd w:id="69"/>
      <w:bookmarkEnd w:id="70"/>
    </w:p>
    <w:p w14:paraId="0572DFB8">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本项目专项债券以项目运营收入为还本付息基础。</w:t>
      </w:r>
      <w:r>
        <w:rPr>
          <w:rFonts w:ascii="仿宋" w:hAnsi="仿宋" w:eastAsia="仿宋"/>
          <w:color w:val="000000" w:themeColor="text1"/>
          <w:kern w:val="0"/>
          <w:sz w:val="28"/>
          <w:szCs w:val="28"/>
          <w14:textFill>
            <w14:solidFill>
              <w14:schemeClr w14:val="tx1"/>
            </w14:solidFill>
          </w14:textFill>
        </w:rPr>
        <w:t>根据项目收益与融资平衡分析结果显示，</w:t>
      </w:r>
      <w:r>
        <w:rPr>
          <w:rFonts w:hint="eastAsia" w:ascii="仿宋" w:hAnsi="仿宋" w:eastAsia="仿宋"/>
          <w:color w:val="000000" w:themeColor="text1"/>
          <w:kern w:val="0"/>
          <w:sz w:val="28"/>
          <w:szCs w:val="28"/>
          <w14:textFill>
            <w14:solidFill>
              <w14:schemeClr w14:val="tx1"/>
            </w14:solidFill>
          </w14:textFill>
        </w:rPr>
        <w:t>债券存续期间本项目累计可偿债收益为19,052万元，</w:t>
      </w:r>
      <w:r>
        <w:rPr>
          <w:rFonts w:ascii="仿宋" w:hAnsi="仿宋" w:eastAsia="仿宋"/>
          <w:color w:val="000000" w:themeColor="text1"/>
          <w:kern w:val="0"/>
          <w:sz w:val="28"/>
          <w:szCs w:val="28"/>
          <w14:textFill>
            <w14:solidFill>
              <w14:schemeClr w14:val="tx1"/>
            </w14:solidFill>
          </w14:textFill>
        </w:rPr>
        <w:t>还本付息资金充足，综合本息覆盖率可达到1.32，本息覆盖倍数可达到1.</w:t>
      </w:r>
      <w:r>
        <w:rPr>
          <w:rFonts w:hint="eastAsia" w:ascii="仿宋" w:hAnsi="仿宋" w:eastAsia="仿宋"/>
          <w:color w:val="000000" w:themeColor="text1"/>
          <w:kern w:val="0"/>
          <w:sz w:val="28"/>
          <w:szCs w:val="28"/>
          <w14:textFill>
            <w14:solidFill>
              <w14:schemeClr w14:val="tx1"/>
            </w14:solidFill>
          </w14:textFill>
        </w:rPr>
        <w:t>30</w:t>
      </w:r>
      <w:r>
        <w:rPr>
          <w:rFonts w:ascii="仿宋" w:hAnsi="仿宋" w:eastAsia="仿宋"/>
          <w:color w:val="000000" w:themeColor="text1"/>
          <w:kern w:val="0"/>
          <w:sz w:val="28"/>
          <w:szCs w:val="28"/>
          <w14:textFill>
            <w14:solidFill>
              <w14:schemeClr w14:val="tx1"/>
            </w14:solidFill>
          </w14:textFill>
        </w:rPr>
        <w:t>。</w:t>
      </w:r>
    </w:p>
    <w:p w14:paraId="22FD520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另外，在对净收益变动进行压力测试后，结果显示，本项目在净收益下降20%时，项目收益仍能覆盖债券的还本付息，项目具备一定的抗风险能力。项目收入、成本、收益预测具备合理性。</w:t>
      </w:r>
    </w:p>
    <w:p w14:paraId="6B401175">
      <w:pPr>
        <w:pStyle w:val="4"/>
        <w:spacing w:before="156"/>
        <w:ind w:left="0"/>
        <w:rPr>
          <w:lang w:val="en-GB"/>
        </w:rPr>
      </w:pPr>
      <w:bookmarkStart w:id="71" w:name="_Toc183188356"/>
      <w:bookmarkStart w:id="72" w:name="_Toc3497"/>
      <w:bookmarkStart w:id="73" w:name="_Toc200711883"/>
      <w:r>
        <w:rPr>
          <w:rFonts w:hint="eastAsia"/>
          <w:lang w:val="en-GB"/>
        </w:rPr>
        <w:t>（五）债券资金需求合理性</w:t>
      </w:r>
      <w:bookmarkEnd w:id="71"/>
      <w:bookmarkEnd w:id="72"/>
      <w:bookmarkEnd w:id="73"/>
    </w:p>
    <w:p w14:paraId="13EAA394">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结合建设资金需求及项目财政资金款项到账时间节点，为保障项目建设期间资金需求，项目通过发行专项债筹集资金。本项目已考虑运营收益、债券利率等因素变动对专项债券本息资金覆盖情况的影响。总体而言，本项目通过发行专项债可实现降低融资成本，是现阶段解决本项目融资资金问题的推荐方案，申请本次债券资金需求合理。</w:t>
      </w:r>
    </w:p>
    <w:p w14:paraId="2B9211CD">
      <w:pPr>
        <w:pStyle w:val="4"/>
        <w:spacing w:before="156"/>
        <w:ind w:left="0"/>
        <w:rPr>
          <w:lang w:val="en-GB"/>
        </w:rPr>
      </w:pPr>
      <w:bookmarkStart w:id="74" w:name="_Toc183188357"/>
      <w:bookmarkStart w:id="75" w:name="_Toc200711884"/>
      <w:bookmarkStart w:id="76" w:name="_Toc30851"/>
      <w:r>
        <w:rPr>
          <w:rFonts w:hint="eastAsia"/>
          <w:lang w:val="en-GB"/>
        </w:rPr>
        <w:t>（六）项目偿债计划可行性和偿债风险点</w:t>
      </w:r>
      <w:bookmarkEnd w:id="74"/>
      <w:bookmarkEnd w:id="75"/>
      <w:bookmarkEnd w:id="76"/>
    </w:p>
    <w:p w14:paraId="1DC19F52">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项目偿债计划为拟在还本付息年份内，安排项目运营收入作为债券偿债的主要来源。根据对专项债券还本付息现金流情况的分析，测算数据显示专项债的还本付息资金需求可以由项目收益满足，具备可行性。</w:t>
      </w:r>
    </w:p>
    <w:p w14:paraId="2809C8F5">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风险点：管理运营风险、交付工期延误、突发事件引发的经营风险等。</w:t>
      </w:r>
    </w:p>
    <w:p w14:paraId="1A6F3360">
      <w:pPr>
        <w:pStyle w:val="4"/>
        <w:spacing w:before="156"/>
        <w:ind w:left="0"/>
        <w:rPr>
          <w:lang w:val="en-GB"/>
        </w:rPr>
      </w:pPr>
      <w:bookmarkStart w:id="77" w:name="_Toc13937"/>
      <w:bookmarkStart w:id="78" w:name="_Toc200711885"/>
      <w:bookmarkStart w:id="79" w:name="_Toc183188358"/>
      <w:r>
        <w:rPr>
          <w:rFonts w:hint="eastAsia"/>
          <w:lang w:val="en-GB"/>
        </w:rPr>
        <w:t>（七）绩效目标合理性</w:t>
      </w:r>
      <w:bookmarkEnd w:id="77"/>
      <w:bookmarkEnd w:id="78"/>
      <w:bookmarkEnd w:id="79"/>
    </w:p>
    <w:p w14:paraId="3712B195">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评估根据财预〔2020〕10号文绩效指标框架，按照海南省事前绩效评估管理办法相关原则，并结合本项目特点，按照“注重规范、突出效果”的原则设计本项目个性评价指标，确保绩效目标可评、可量、可用于指导项目实施阶段绩效评价。</w:t>
      </w:r>
    </w:p>
    <w:p w14:paraId="6333747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本次事前绩效目标设与申报预算的资金量相匹配，绩效指标逐级细化、量化，指标值合理具有可考核性。</w:t>
      </w:r>
    </w:p>
    <w:p w14:paraId="48073904">
      <w:pPr>
        <w:pStyle w:val="4"/>
        <w:spacing w:before="156"/>
        <w:ind w:left="0"/>
        <w:rPr>
          <w:lang w:val="en-GB"/>
        </w:rPr>
      </w:pPr>
      <w:bookmarkStart w:id="80" w:name="_Toc183188359"/>
      <w:bookmarkStart w:id="81" w:name="_Toc5543"/>
      <w:bookmarkStart w:id="82" w:name="_Toc200711886"/>
      <w:r>
        <w:rPr>
          <w:rFonts w:hint="eastAsia"/>
          <w:lang w:val="en-GB"/>
        </w:rPr>
        <w:t>（八）其他需要纳入事前绩效评估的事项</w:t>
      </w:r>
      <w:bookmarkEnd w:id="80"/>
      <w:bookmarkEnd w:id="81"/>
      <w:bookmarkEnd w:id="82"/>
    </w:p>
    <w:p w14:paraId="5823351B">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暂无。</w:t>
      </w:r>
    </w:p>
    <w:p w14:paraId="59B920CD">
      <w:pPr>
        <w:pStyle w:val="4"/>
        <w:spacing w:before="156"/>
        <w:ind w:left="0"/>
        <w:rPr>
          <w:lang w:val="en-GB"/>
        </w:rPr>
      </w:pPr>
      <w:bookmarkStart w:id="83" w:name="_Toc183188360"/>
      <w:bookmarkStart w:id="84" w:name="_Toc200711887"/>
      <w:bookmarkStart w:id="85" w:name="_Toc12212"/>
      <w:r>
        <w:rPr>
          <w:rFonts w:hint="eastAsia"/>
          <w:lang w:val="en-GB"/>
        </w:rPr>
        <w:t>（九）整体结论</w:t>
      </w:r>
      <w:bookmarkEnd w:id="83"/>
      <w:bookmarkEnd w:id="84"/>
      <w:bookmarkEnd w:id="85"/>
    </w:p>
    <w:p w14:paraId="2E2C4A11">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综上，本项目经事前绩效评估，已具备申请专项债券资金支持的必要性和可行性。</w:t>
      </w:r>
    </w:p>
    <w:tbl>
      <w:tblPr>
        <w:tblStyle w:val="9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5"/>
        <w:gridCol w:w="1202"/>
        <w:gridCol w:w="3707"/>
        <w:gridCol w:w="531"/>
        <w:gridCol w:w="531"/>
        <w:gridCol w:w="426"/>
      </w:tblGrid>
      <w:tr w14:paraId="56AD7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6F92DC94">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项目名称</w:t>
            </w:r>
          </w:p>
        </w:tc>
        <w:tc>
          <w:tcPr>
            <w:tcW w:w="3709" w:type="pct"/>
            <w:gridSpan w:val="5"/>
            <w:vAlign w:val="center"/>
          </w:tcPr>
          <w:p w14:paraId="7025013D">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Times New Roman"/>
                <w:color w:val="000000"/>
                <w:sz w:val="21"/>
                <w:szCs w:val="21"/>
              </w:rPr>
              <w:t>海口江东新区总部集聚区基础设施建设项目</w:t>
            </w:r>
          </w:p>
        </w:tc>
      </w:tr>
      <w:tr w14:paraId="7D4E6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5868689E">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实施单位</w:t>
            </w:r>
          </w:p>
        </w:tc>
        <w:tc>
          <w:tcPr>
            <w:tcW w:w="3709" w:type="pct"/>
            <w:gridSpan w:val="5"/>
            <w:vAlign w:val="center"/>
          </w:tcPr>
          <w:p w14:paraId="3882644B">
            <w:pPr>
              <w:adjustRightInd w:val="0"/>
              <w:snapToGrid w:val="0"/>
              <w:spacing w:line="240" w:lineRule="auto"/>
              <w:ind w:firstLine="0" w:firstLineChars="0"/>
              <w:rPr>
                <w:rFonts w:ascii="仿宋" w:hAnsi="仿宋" w:eastAsia="仿宋" w:cs="Times New Roman"/>
                <w:color w:val="000000"/>
                <w:sz w:val="21"/>
                <w:szCs w:val="21"/>
                <w:highlight w:val="yellow"/>
              </w:rPr>
            </w:pPr>
            <w:r>
              <w:rPr>
                <w:rFonts w:hint="eastAsia" w:ascii="仿宋" w:hAnsi="仿宋" w:eastAsia="仿宋" w:cs="Times New Roman"/>
                <w:color w:val="000000"/>
                <w:sz w:val="21"/>
                <w:szCs w:val="21"/>
              </w:rPr>
              <w:t>海口旅游文化投资发展集团有限公司</w:t>
            </w:r>
          </w:p>
        </w:tc>
      </w:tr>
      <w:tr w14:paraId="080AF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4372080B">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论证要点</w:t>
            </w:r>
          </w:p>
        </w:tc>
        <w:tc>
          <w:tcPr>
            <w:tcW w:w="748" w:type="pct"/>
            <w:vAlign w:val="center"/>
          </w:tcPr>
          <w:p w14:paraId="08AB78EC">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指标</w:t>
            </w:r>
          </w:p>
        </w:tc>
        <w:tc>
          <w:tcPr>
            <w:tcW w:w="2217" w:type="pct"/>
            <w:vAlign w:val="center"/>
          </w:tcPr>
          <w:p w14:paraId="354AB0EE">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评估要点</w:t>
            </w:r>
          </w:p>
        </w:tc>
        <w:tc>
          <w:tcPr>
            <w:tcW w:w="497" w:type="pct"/>
            <w:gridSpan w:val="2"/>
            <w:vAlign w:val="center"/>
          </w:tcPr>
          <w:p w14:paraId="0D7260F9">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分值</w:t>
            </w:r>
          </w:p>
        </w:tc>
        <w:tc>
          <w:tcPr>
            <w:tcW w:w="246" w:type="pct"/>
            <w:vAlign w:val="center"/>
          </w:tcPr>
          <w:p w14:paraId="77FEE10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得分</w:t>
            </w:r>
          </w:p>
        </w:tc>
      </w:tr>
      <w:tr w14:paraId="69AE8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28D3D4DE">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项目实施的必要性、公益性、收益性</w:t>
            </w:r>
          </w:p>
        </w:tc>
        <w:tc>
          <w:tcPr>
            <w:tcW w:w="748" w:type="pct"/>
            <w:vMerge w:val="restart"/>
            <w:vAlign w:val="center"/>
          </w:tcPr>
          <w:p w14:paraId="619A0F3B">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必要性</w:t>
            </w:r>
          </w:p>
        </w:tc>
        <w:tc>
          <w:tcPr>
            <w:tcW w:w="2217" w:type="pct"/>
            <w:vAlign w:val="center"/>
          </w:tcPr>
          <w:p w14:paraId="6E472851">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是否与中央、省委省政府决策部署、部门职能和规划相关</w:t>
            </w:r>
          </w:p>
        </w:tc>
        <w:tc>
          <w:tcPr>
            <w:tcW w:w="248" w:type="pct"/>
            <w:vAlign w:val="center"/>
          </w:tcPr>
          <w:p w14:paraId="3AE29C1E">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c>
          <w:tcPr>
            <w:tcW w:w="248" w:type="pct"/>
            <w:vMerge w:val="restart"/>
            <w:vAlign w:val="center"/>
          </w:tcPr>
          <w:p w14:paraId="228C0BEF">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25</w:t>
            </w:r>
          </w:p>
        </w:tc>
        <w:tc>
          <w:tcPr>
            <w:tcW w:w="246" w:type="pct"/>
            <w:vAlign w:val="center"/>
          </w:tcPr>
          <w:p w14:paraId="71B28BEA">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r>
      <w:tr w14:paraId="503A1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7020ED4">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54FFDB4B">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768CA4E2">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需求是否迫切</w:t>
            </w:r>
          </w:p>
        </w:tc>
        <w:tc>
          <w:tcPr>
            <w:tcW w:w="248" w:type="pct"/>
            <w:vAlign w:val="center"/>
          </w:tcPr>
          <w:p w14:paraId="0C9E6DB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continue"/>
            <w:vAlign w:val="center"/>
          </w:tcPr>
          <w:p w14:paraId="34E4940C">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40106687">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r>
      <w:tr w14:paraId="6F320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0B25146">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33E4CCA9">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6B8C4E4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③</w:t>
            </w:r>
            <w:r>
              <w:rPr>
                <w:rFonts w:ascii="仿宋" w:hAnsi="仿宋" w:eastAsia="仿宋" w:cs="Times New Roman"/>
                <w:color w:val="000000"/>
                <w:sz w:val="21"/>
                <w:szCs w:val="21"/>
              </w:rPr>
              <w:t>是否有可替代性</w:t>
            </w:r>
          </w:p>
        </w:tc>
        <w:tc>
          <w:tcPr>
            <w:tcW w:w="248" w:type="pct"/>
            <w:vAlign w:val="center"/>
          </w:tcPr>
          <w:p w14:paraId="00A2EBCF">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continue"/>
            <w:vAlign w:val="center"/>
          </w:tcPr>
          <w:p w14:paraId="053D0FBD">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1291673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r>
      <w:tr w14:paraId="43351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E94B2A5">
            <w:pPr>
              <w:adjustRightInd w:val="0"/>
              <w:snapToGrid w:val="0"/>
              <w:spacing w:line="240" w:lineRule="auto"/>
              <w:ind w:firstLine="0" w:firstLineChars="0"/>
              <w:rPr>
                <w:rFonts w:ascii="仿宋" w:hAnsi="仿宋" w:eastAsia="仿宋" w:cs="Times New Roman"/>
                <w:color w:val="000000"/>
                <w:sz w:val="21"/>
                <w:szCs w:val="21"/>
              </w:rPr>
            </w:pPr>
          </w:p>
        </w:tc>
        <w:tc>
          <w:tcPr>
            <w:tcW w:w="748" w:type="pct"/>
            <w:vAlign w:val="center"/>
          </w:tcPr>
          <w:p w14:paraId="59965681">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公益性</w:t>
            </w:r>
          </w:p>
        </w:tc>
        <w:tc>
          <w:tcPr>
            <w:tcW w:w="2217" w:type="pct"/>
            <w:vAlign w:val="center"/>
          </w:tcPr>
          <w:p w14:paraId="778188B9">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是否属于公益性</w:t>
            </w:r>
          </w:p>
        </w:tc>
        <w:tc>
          <w:tcPr>
            <w:tcW w:w="248" w:type="pct"/>
            <w:vAlign w:val="center"/>
          </w:tcPr>
          <w:p w14:paraId="3F6716B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c>
          <w:tcPr>
            <w:tcW w:w="248" w:type="pct"/>
            <w:vMerge w:val="continue"/>
            <w:vAlign w:val="center"/>
          </w:tcPr>
          <w:p w14:paraId="70DE7D4F">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27A26F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r>
      <w:tr w14:paraId="46B5B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7C54665">
            <w:pPr>
              <w:adjustRightInd w:val="0"/>
              <w:snapToGrid w:val="0"/>
              <w:spacing w:line="240" w:lineRule="auto"/>
              <w:ind w:firstLine="0" w:firstLineChars="0"/>
              <w:rPr>
                <w:rFonts w:ascii="仿宋" w:hAnsi="仿宋" w:eastAsia="仿宋" w:cs="Times New Roman"/>
                <w:color w:val="000000"/>
                <w:sz w:val="21"/>
                <w:szCs w:val="21"/>
              </w:rPr>
            </w:pPr>
          </w:p>
        </w:tc>
        <w:tc>
          <w:tcPr>
            <w:tcW w:w="748" w:type="pct"/>
            <w:vAlign w:val="center"/>
          </w:tcPr>
          <w:p w14:paraId="162A7360">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收益性</w:t>
            </w:r>
          </w:p>
        </w:tc>
        <w:tc>
          <w:tcPr>
            <w:tcW w:w="2217" w:type="pct"/>
            <w:vAlign w:val="center"/>
          </w:tcPr>
          <w:p w14:paraId="7598E5D1">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是否有明显经济效益</w:t>
            </w:r>
          </w:p>
        </w:tc>
        <w:tc>
          <w:tcPr>
            <w:tcW w:w="248" w:type="pct"/>
            <w:vAlign w:val="center"/>
          </w:tcPr>
          <w:p w14:paraId="05B568C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c>
          <w:tcPr>
            <w:tcW w:w="248" w:type="pct"/>
            <w:vMerge w:val="continue"/>
            <w:vAlign w:val="center"/>
          </w:tcPr>
          <w:p w14:paraId="1B808843">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CF82525">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r>
      <w:tr w14:paraId="3606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440AD1F5">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项目建设投资合规性与项目成熟度</w:t>
            </w:r>
          </w:p>
        </w:tc>
        <w:tc>
          <w:tcPr>
            <w:tcW w:w="748" w:type="pct"/>
            <w:vMerge w:val="restart"/>
            <w:vAlign w:val="center"/>
          </w:tcPr>
          <w:p w14:paraId="6E256EDB">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投资合规性和可行性</w:t>
            </w:r>
          </w:p>
        </w:tc>
        <w:tc>
          <w:tcPr>
            <w:tcW w:w="2217" w:type="pct"/>
            <w:vAlign w:val="center"/>
          </w:tcPr>
          <w:p w14:paraId="2D1AB302">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资金来源渠道是否符合相关规定、资金筹措程序是否科学规范</w:t>
            </w:r>
          </w:p>
        </w:tc>
        <w:tc>
          <w:tcPr>
            <w:tcW w:w="248" w:type="pct"/>
            <w:vAlign w:val="center"/>
          </w:tcPr>
          <w:p w14:paraId="7452197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restart"/>
            <w:vAlign w:val="center"/>
          </w:tcPr>
          <w:p w14:paraId="0CA8880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12</w:t>
            </w:r>
          </w:p>
        </w:tc>
        <w:tc>
          <w:tcPr>
            <w:tcW w:w="246" w:type="pct"/>
            <w:vAlign w:val="center"/>
          </w:tcPr>
          <w:p w14:paraId="3876862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72F5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68C35F8">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6BFF35B8">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38BCD0C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事权、支出责任和财力是否匹配</w:t>
            </w:r>
          </w:p>
        </w:tc>
        <w:tc>
          <w:tcPr>
            <w:tcW w:w="248" w:type="pct"/>
            <w:vAlign w:val="center"/>
          </w:tcPr>
          <w:p w14:paraId="3EA127CC">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478092FA">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A9360CE">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21B6D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511A6B99">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restart"/>
            <w:vAlign w:val="center"/>
          </w:tcPr>
          <w:p w14:paraId="7D9EB999">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项目成熟度</w:t>
            </w:r>
          </w:p>
        </w:tc>
        <w:tc>
          <w:tcPr>
            <w:tcW w:w="2217" w:type="pct"/>
            <w:vAlign w:val="center"/>
          </w:tcPr>
          <w:p w14:paraId="4D432DCC">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是否能在债券资金使用年度形成实物工作量</w:t>
            </w:r>
          </w:p>
        </w:tc>
        <w:tc>
          <w:tcPr>
            <w:tcW w:w="248" w:type="pct"/>
            <w:vAlign w:val="center"/>
          </w:tcPr>
          <w:p w14:paraId="2540D7D5">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c>
          <w:tcPr>
            <w:tcW w:w="248" w:type="pct"/>
            <w:vMerge w:val="continue"/>
            <w:vAlign w:val="center"/>
          </w:tcPr>
          <w:p w14:paraId="43A4CF5C">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4B3D31E">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r>
      <w:tr w14:paraId="683C0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FA6DF11">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3FC89A65">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0DD7DB0D">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有关的基础设施条件是否能够有效保障</w:t>
            </w:r>
          </w:p>
        </w:tc>
        <w:tc>
          <w:tcPr>
            <w:tcW w:w="248" w:type="pct"/>
            <w:vAlign w:val="center"/>
          </w:tcPr>
          <w:p w14:paraId="2CFB4AB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3F6DB215">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6E55AF89">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3C1BE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6203B54F">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项目资金来源和到位可行性</w:t>
            </w:r>
          </w:p>
        </w:tc>
        <w:tc>
          <w:tcPr>
            <w:tcW w:w="748" w:type="pct"/>
            <w:vMerge w:val="restart"/>
            <w:vAlign w:val="center"/>
          </w:tcPr>
          <w:p w14:paraId="434F8B3D">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资金支持合理性</w:t>
            </w:r>
          </w:p>
        </w:tc>
        <w:tc>
          <w:tcPr>
            <w:tcW w:w="2217" w:type="pct"/>
            <w:vAlign w:val="center"/>
          </w:tcPr>
          <w:p w14:paraId="5D9D8072">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财政部门和其他部门是否有其他资金重复投入</w:t>
            </w:r>
          </w:p>
        </w:tc>
        <w:tc>
          <w:tcPr>
            <w:tcW w:w="248" w:type="pct"/>
            <w:vAlign w:val="center"/>
          </w:tcPr>
          <w:p w14:paraId="7E5574B8">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restart"/>
            <w:vAlign w:val="center"/>
          </w:tcPr>
          <w:p w14:paraId="2F6BB8D8">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10</w:t>
            </w:r>
          </w:p>
        </w:tc>
        <w:tc>
          <w:tcPr>
            <w:tcW w:w="246" w:type="pct"/>
            <w:vAlign w:val="center"/>
          </w:tcPr>
          <w:p w14:paraId="529F1600">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r>
      <w:tr w14:paraId="11E1E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169B1D98">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57CB148D">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24E0583D">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资金支持方式是否科学合理</w:t>
            </w:r>
          </w:p>
        </w:tc>
        <w:tc>
          <w:tcPr>
            <w:tcW w:w="248" w:type="pct"/>
            <w:vAlign w:val="center"/>
          </w:tcPr>
          <w:p w14:paraId="4DA5EF08">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71CFDBB2">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4E2C3B0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108FD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25DE762">
            <w:pPr>
              <w:adjustRightInd w:val="0"/>
              <w:snapToGrid w:val="0"/>
              <w:spacing w:line="240" w:lineRule="auto"/>
              <w:ind w:firstLine="0" w:firstLineChars="0"/>
              <w:rPr>
                <w:rFonts w:ascii="仿宋" w:hAnsi="仿宋" w:eastAsia="仿宋" w:cs="Times New Roman"/>
                <w:color w:val="000000"/>
                <w:sz w:val="21"/>
                <w:szCs w:val="21"/>
              </w:rPr>
            </w:pPr>
          </w:p>
        </w:tc>
        <w:tc>
          <w:tcPr>
            <w:tcW w:w="748" w:type="pct"/>
            <w:vAlign w:val="center"/>
          </w:tcPr>
          <w:p w14:paraId="078264B6">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筹资风险可控性</w:t>
            </w:r>
          </w:p>
        </w:tc>
        <w:tc>
          <w:tcPr>
            <w:tcW w:w="2217" w:type="pct"/>
            <w:vAlign w:val="center"/>
          </w:tcPr>
          <w:p w14:paraId="305E3FE2">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筹资风险是否可控，筹措资金能否及时到位</w:t>
            </w:r>
          </w:p>
        </w:tc>
        <w:tc>
          <w:tcPr>
            <w:tcW w:w="248" w:type="pct"/>
            <w:vAlign w:val="center"/>
          </w:tcPr>
          <w:p w14:paraId="2AC5898F">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c>
          <w:tcPr>
            <w:tcW w:w="248" w:type="pct"/>
            <w:vMerge w:val="continue"/>
            <w:vAlign w:val="center"/>
          </w:tcPr>
          <w:p w14:paraId="773AFF39">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D5E2A77">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r>
      <w:tr w14:paraId="0B027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79DE76B6">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项目收入、成本、收益预测合理性</w:t>
            </w:r>
          </w:p>
        </w:tc>
        <w:tc>
          <w:tcPr>
            <w:tcW w:w="748" w:type="pct"/>
            <w:vMerge w:val="restart"/>
            <w:vAlign w:val="center"/>
          </w:tcPr>
          <w:p w14:paraId="667D29B6">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收入实现可能性</w:t>
            </w:r>
          </w:p>
        </w:tc>
        <w:tc>
          <w:tcPr>
            <w:tcW w:w="2217" w:type="pct"/>
            <w:vAlign w:val="center"/>
          </w:tcPr>
          <w:p w14:paraId="6AB62639">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项目收益测算是否充分</w:t>
            </w:r>
          </w:p>
        </w:tc>
        <w:tc>
          <w:tcPr>
            <w:tcW w:w="248" w:type="pct"/>
            <w:vAlign w:val="center"/>
          </w:tcPr>
          <w:p w14:paraId="68E54341">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6</w:t>
            </w:r>
          </w:p>
        </w:tc>
        <w:tc>
          <w:tcPr>
            <w:tcW w:w="248" w:type="pct"/>
            <w:vMerge w:val="restart"/>
            <w:vAlign w:val="center"/>
          </w:tcPr>
          <w:p w14:paraId="3E51F9B1">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21</w:t>
            </w:r>
          </w:p>
        </w:tc>
        <w:tc>
          <w:tcPr>
            <w:tcW w:w="246" w:type="pct"/>
            <w:vAlign w:val="center"/>
          </w:tcPr>
          <w:p w14:paraId="69E4D669">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r>
      <w:tr w14:paraId="351B4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8648247">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42E6D8C0">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2D161A7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项目收益是否容易受到政策、市场环境等影响</w:t>
            </w:r>
          </w:p>
        </w:tc>
        <w:tc>
          <w:tcPr>
            <w:tcW w:w="248" w:type="pct"/>
            <w:vAlign w:val="center"/>
          </w:tcPr>
          <w:p w14:paraId="4401089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continue"/>
            <w:vAlign w:val="center"/>
          </w:tcPr>
          <w:p w14:paraId="76B44546">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7CD29140">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r>
      <w:tr w14:paraId="1AD72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2F85E0E">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restart"/>
            <w:vAlign w:val="center"/>
          </w:tcPr>
          <w:p w14:paraId="3D3D3F83">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成本控制措施有效性</w:t>
            </w:r>
          </w:p>
        </w:tc>
        <w:tc>
          <w:tcPr>
            <w:tcW w:w="2217" w:type="pct"/>
            <w:vAlign w:val="center"/>
          </w:tcPr>
          <w:p w14:paraId="71BA6B5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成本测算是否充分</w:t>
            </w:r>
          </w:p>
        </w:tc>
        <w:tc>
          <w:tcPr>
            <w:tcW w:w="248" w:type="pct"/>
            <w:vAlign w:val="center"/>
          </w:tcPr>
          <w:p w14:paraId="17B3DD6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continue"/>
            <w:vAlign w:val="center"/>
          </w:tcPr>
          <w:p w14:paraId="6A410C95">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5C8CA65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r>
      <w:tr w14:paraId="4796F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4C4FBD27">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2A186A4B">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05B29305">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成本控制措施是否科学有效</w:t>
            </w:r>
          </w:p>
        </w:tc>
        <w:tc>
          <w:tcPr>
            <w:tcW w:w="248" w:type="pct"/>
            <w:vAlign w:val="center"/>
          </w:tcPr>
          <w:p w14:paraId="2EBEDD2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Merge w:val="continue"/>
            <w:vAlign w:val="center"/>
          </w:tcPr>
          <w:p w14:paraId="6B367C00">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2440089C">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r>
      <w:tr w14:paraId="0856E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06BB8AD3">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债券资金需求合理性</w:t>
            </w:r>
          </w:p>
        </w:tc>
        <w:tc>
          <w:tcPr>
            <w:tcW w:w="748" w:type="pct"/>
            <w:vAlign w:val="center"/>
          </w:tcPr>
          <w:p w14:paraId="63C978C6">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合理性</w:t>
            </w:r>
          </w:p>
        </w:tc>
        <w:tc>
          <w:tcPr>
            <w:tcW w:w="2217" w:type="pct"/>
            <w:vAlign w:val="center"/>
          </w:tcPr>
          <w:p w14:paraId="432B1FA4">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投入产出比是否合理</w:t>
            </w:r>
          </w:p>
        </w:tc>
        <w:tc>
          <w:tcPr>
            <w:tcW w:w="248" w:type="pct"/>
            <w:vAlign w:val="center"/>
          </w:tcPr>
          <w:p w14:paraId="6869BD01">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8" w:type="pct"/>
            <w:vAlign w:val="center"/>
          </w:tcPr>
          <w:p w14:paraId="3B84B4D1">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c>
          <w:tcPr>
            <w:tcW w:w="246" w:type="pct"/>
            <w:vAlign w:val="center"/>
          </w:tcPr>
          <w:p w14:paraId="6D198D8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5</w:t>
            </w:r>
          </w:p>
        </w:tc>
      </w:tr>
      <w:tr w14:paraId="78ACA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0905B90C">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偿债计划可行性和风险点</w:t>
            </w:r>
          </w:p>
        </w:tc>
        <w:tc>
          <w:tcPr>
            <w:tcW w:w="748" w:type="pct"/>
            <w:vAlign w:val="center"/>
          </w:tcPr>
          <w:p w14:paraId="3B98C459">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计划内容明确性</w:t>
            </w:r>
          </w:p>
        </w:tc>
        <w:tc>
          <w:tcPr>
            <w:tcW w:w="2217" w:type="pct"/>
            <w:vAlign w:val="center"/>
          </w:tcPr>
          <w:p w14:paraId="6EB14CA4">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内容是否明确、具体</w:t>
            </w:r>
          </w:p>
        </w:tc>
        <w:tc>
          <w:tcPr>
            <w:tcW w:w="248" w:type="pct"/>
            <w:vAlign w:val="center"/>
          </w:tcPr>
          <w:p w14:paraId="22D62644">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restart"/>
            <w:vAlign w:val="center"/>
          </w:tcPr>
          <w:p w14:paraId="0C86CDC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12</w:t>
            </w:r>
          </w:p>
        </w:tc>
        <w:tc>
          <w:tcPr>
            <w:tcW w:w="246" w:type="pct"/>
            <w:vAlign w:val="center"/>
          </w:tcPr>
          <w:p w14:paraId="2A9030C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5A1E9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119FF11F">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restart"/>
            <w:vAlign w:val="center"/>
          </w:tcPr>
          <w:p w14:paraId="3FF1E00B">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偿债计划可行性</w:t>
            </w:r>
          </w:p>
        </w:tc>
        <w:tc>
          <w:tcPr>
            <w:tcW w:w="2217" w:type="pct"/>
            <w:vAlign w:val="center"/>
          </w:tcPr>
          <w:p w14:paraId="3D2CDF29">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偿债计划是否完整、可行</w:t>
            </w:r>
          </w:p>
        </w:tc>
        <w:tc>
          <w:tcPr>
            <w:tcW w:w="248" w:type="pct"/>
            <w:vAlign w:val="center"/>
          </w:tcPr>
          <w:p w14:paraId="7D7A079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4D8190E1">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7E9FF8F4">
            <w:pPr>
              <w:adjustRightInd w:val="0"/>
              <w:snapToGrid w:val="0"/>
              <w:spacing w:line="240" w:lineRule="auto"/>
              <w:ind w:firstLine="0" w:firstLineChars="0"/>
              <w:jc w:val="center"/>
              <w:rPr>
                <w:rFonts w:ascii="仿宋" w:hAnsi="仿宋" w:eastAsia="仿宋" w:cs="Times New Roman"/>
                <w:color w:val="000000"/>
                <w:sz w:val="21"/>
                <w:szCs w:val="21"/>
              </w:rPr>
            </w:pPr>
            <w:r>
              <w:rPr>
                <w:rFonts w:hint="eastAsia" w:ascii="仿宋" w:hAnsi="仿宋" w:eastAsia="仿宋" w:cs="Times New Roman"/>
                <w:color w:val="000000"/>
                <w:sz w:val="21"/>
                <w:szCs w:val="21"/>
              </w:rPr>
              <w:t>2</w:t>
            </w:r>
          </w:p>
        </w:tc>
      </w:tr>
      <w:tr w14:paraId="76C21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223FC1D">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198BC27F">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21B1537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偿债计划是否经过前期论证</w:t>
            </w:r>
          </w:p>
        </w:tc>
        <w:tc>
          <w:tcPr>
            <w:tcW w:w="248" w:type="pct"/>
            <w:vAlign w:val="center"/>
          </w:tcPr>
          <w:p w14:paraId="2ADAA63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21282EA1">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1D91A05F">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15A0C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0E7BE81E">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restart"/>
            <w:vAlign w:val="center"/>
          </w:tcPr>
          <w:p w14:paraId="4284920D">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过程控制有效性</w:t>
            </w:r>
          </w:p>
        </w:tc>
        <w:tc>
          <w:tcPr>
            <w:tcW w:w="2217" w:type="pct"/>
            <w:vAlign w:val="center"/>
          </w:tcPr>
          <w:p w14:paraId="72E3DDAD">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组织机构是否健全、职责分工是否明确</w:t>
            </w:r>
          </w:p>
        </w:tc>
        <w:tc>
          <w:tcPr>
            <w:tcW w:w="248" w:type="pct"/>
            <w:vAlign w:val="center"/>
          </w:tcPr>
          <w:p w14:paraId="2ABC37B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11B19FA1">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66458F8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7026F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52FA7CA2">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6E8C2259">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110EA5D3">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实施单位各项业务和财务管理制度是否健全</w:t>
            </w:r>
          </w:p>
        </w:tc>
        <w:tc>
          <w:tcPr>
            <w:tcW w:w="248" w:type="pct"/>
            <w:vAlign w:val="center"/>
          </w:tcPr>
          <w:p w14:paraId="79FC3BEF">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5C942713">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3AABE96E">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1149D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3257400">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6EDFE004">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1DA1E640">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③</w:t>
            </w:r>
            <w:r>
              <w:rPr>
                <w:rFonts w:ascii="仿宋" w:hAnsi="仿宋" w:eastAsia="仿宋" w:cs="Times New Roman"/>
                <w:color w:val="000000"/>
                <w:sz w:val="21"/>
                <w:szCs w:val="21"/>
              </w:rPr>
              <w:t>是否制定有效的过程控制措施</w:t>
            </w:r>
          </w:p>
        </w:tc>
        <w:tc>
          <w:tcPr>
            <w:tcW w:w="248" w:type="pct"/>
            <w:vAlign w:val="center"/>
          </w:tcPr>
          <w:p w14:paraId="670AF53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2A6D781A">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44A5375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4076D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5861C4C4">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绩效目标合理性</w:t>
            </w:r>
          </w:p>
        </w:tc>
        <w:tc>
          <w:tcPr>
            <w:tcW w:w="748" w:type="pct"/>
            <w:vMerge w:val="restart"/>
            <w:vAlign w:val="center"/>
          </w:tcPr>
          <w:p w14:paraId="39C681A6">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目标明确性</w:t>
            </w:r>
          </w:p>
        </w:tc>
        <w:tc>
          <w:tcPr>
            <w:tcW w:w="2217" w:type="pct"/>
            <w:vAlign w:val="center"/>
          </w:tcPr>
          <w:p w14:paraId="0F688D1B">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绩效目标设定是否明确</w:t>
            </w:r>
          </w:p>
        </w:tc>
        <w:tc>
          <w:tcPr>
            <w:tcW w:w="248" w:type="pct"/>
            <w:vAlign w:val="center"/>
          </w:tcPr>
          <w:p w14:paraId="38FA097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restart"/>
            <w:vAlign w:val="center"/>
          </w:tcPr>
          <w:p w14:paraId="6B491C9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15</w:t>
            </w:r>
          </w:p>
        </w:tc>
        <w:tc>
          <w:tcPr>
            <w:tcW w:w="246" w:type="pct"/>
            <w:vAlign w:val="center"/>
          </w:tcPr>
          <w:p w14:paraId="6EDA1C26">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3E522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AD3C89D">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19C3F9D1">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0E53850B">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与部门长期规划、年度工作目标是否一致</w:t>
            </w:r>
          </w:p>
        </w:tc>
        <w:tc>
          <w:tcPr>
            <w:tcW w:w="248" w:type="pct"/>
            <w:vAlign w:val="center"/>
          </w:tcPr>
          <w:p w14:paraId="3523C0BA">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37A56F38">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60A89467">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3B202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0430712">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5673423C">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1EC0EC03">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③</w:t>
            </w:r>
            <w:r>
              <w:rPr>
                <w:rFonts w:ascii="仿宋" w:hAnsi="仿宋" w:eastAsia="仿宋" w:cs="Times New Roman"/>
                <w:color w:val="000000"/>
                <w:sz w:val="21"/>
                <w:szCs w:val="21"/>
              </w:rPr>
              <w:t>是否与政策、项目内容高度相关</w:t>
            </w:r>
          </w:p>
        </w:tc>
        <w:tc>
          <w:tcPr>
            <w:tcW w:w="248" w:type="pct"/>
            <w:vAlign w:val="center"/>
          </w:tcPr>
          <w:p w14:paraId="6A2AFE5D">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0E6D165F">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09FFF329">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1D3E5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5C37BBF9">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restart"/>
            <w:vAlign w:val="center"/>
          </w:tcPr>
          <w:p w14:paraId="61332788">
            <w:pPr>
              <w:adjustRightInd w:val="0"/>
              <w:snapToGrid w:val="0"/>
              <w:spacing w:line="240" w:lineRule="auto"/>
              <w:ind w:firstLine="0" w:firstLineChars="0"/>
              <w:rPr>
                <w:rFonts w:ascii="仿宋" w:hAnsi="仿宋" w:eastAsia="仿宋" w:cs="Times New Roman"/>
                <w:color w:val="000000"/>
                <w:sz w:val="21"/>
                <w:szCs w:val="21"/>
              </w:rPr>
            </w:pPr>
            <w:r>
              <w:rPr>
                <w:rFonts w:ascii="仿宋" w:hAnsi="仿宋" w:eastAsia="仿宋" w:cs="Times New Roman"/>
                <w:color w:val="000000"/>
                <w:sz w:val="21"/>
                <w:szCs w:val="21"/>
              </w:rPr>
              <w:t>目标合理性</w:t>
            </w:r>
          </w:p>
        </w:tc>
        <w:tc>
          <w:tcPr>
            <w:tcW w:w="2217" w:type="pct"/>
            <w:vAlign w:val="center"/>
          </w:tcPr>
          <w:p w14:paraId="028071B7">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①</w:t>
            </w:r>
            <w:r>
              <w:rPr>
                <w:rFonts w:ascii="仿宋" w:hAnsi="仿宋" w:eastAsia="仿宋" w:cs="Times New Roman"/>
                <w:color w:val="000000"/>
                <w:sz w:val="21"/>
                <w:szCs w:val="21"/>
              </w:rPr>
              <w:t>是否与申报预算的资金量相匹配</w:t>
            </w:r>
          </w:p>
        </w:tc>
        <w:tc>
          <w:tcPr>
            <w:tcW w:w="248" w:type="pct"/>
            <w:vAlign w:val="center"/>
          </w:tcPr>
          <w:p w14:paraId="14971CC6">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c>
          <w:tcPr>
            <w:tcW w:w="248" w:type="pct"/>
            <w:vMerge w:val="continue"/>
            <w:vAlign w:val="center"/>
          </w:tcPr>
          <w:p w14:paraId="0437A09E">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651978DB">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3</w:t>
            </w:r>
          </w:p>
        </w:tc>
      </w:tr>
      <w:tr w14:paraId="4D7E9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AB1DA72">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14163A48">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33C6A12B">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②</w:t>
            </w:r>
            <w:r>
              <w:rPr>
                <w:rFonts w:ascii="仿宋" w:hAnsi="仿宋" w:eastAsia="仿宋" w:cs="Times New Roman"/>
                <w:color w:val="000000"/>
                <w:sz w:val="21"/>
                <w:szCs w:val="21"/>
              </w:rPr>
              <w:t>绩效指标是否细化、量化</w:t>
            </w:r>
          </w:p>
        </w:tc>
        <w:tc>
          <w:tcPr>
            <w:tcW w:w="248" w:type="pct"/>
            <w:vAlign w:val="center"/>
          </w:tcPr>
          <w:p w14:paraId="6621AD42">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c>
          <w:tcPr>
            <w:tcW w:w="248" w:type="pct"/>
            <w:vMerge w:val="continue"/>
            <w:vAlign w:val="center"/>
          </w:tcPr>
          <w:p w14:paraId="3500B77C">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778BE935">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4</w:t>
            </w:r>
          </w:p>
        </w:tc>
      </w:tr>
      <w:tr w14:paraId="171C1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0D3F0E2B">
            <w:pPr>
              <w:adjustRightInd w:val="0"/>
              <w:snapToGrid w:val="0"/>
              <w:spacing w:line="240" w:lineRule="auto"/>
              <w:ind w:firstLine="0" w:firstLineChars="0"/>
              <w:rPr>
                <w:rFonts w:ascii="仿宋" w:hAnsi="仿宋" w:eastAsia="仿宋" w:cs="Times New Roman"/>
                <w:color w:val="000000"/>
                <w:sz w:val="21"/>
                <w:szCs w:val="21"/>
              </w:rPr>
            </w:pPr>
          </w:p>
        </w:tc>
        <w:tc>
          <w:tcPr>
            <w:tcW w:w="748" w:type="pct"/>
            <w:vMerge w:val="continue"/>
            <w:vAlign w:val="center"/>
          </w:tcPr>
          <w:p w14:paraId="470F3314">
            <w:pPr>
              <w:adjustRightInd w:val="0"/>
              <w:snapToGrid w:val="0"/>
              <w:spacing w:line="240" w:lineRule="auto"/>
              <w:ind w:firstLine="0" w:firstLineChars="0"/>
              <w:rPr>
                <w:rFonts w:ascii="仿宋" w:hAnsi="仿宋" w:eastAsia="仿宋" w:cs="Times New Roman"/>
                <w:color w:val="000000"/>
                <w:sz w:val="21"/>
                <w:szCs w:val="21"/>
              </w:rPr>
            </w:pPr>
          </w:p>
        </w:tc>
        <w:tc>
          <w:tcPr>
            <w:tcW w:w="2217" w:type="pct"/>
            <w:vAlign w:val="center"/>
          </w:tcPr>
          <w:p w14:paraId="2D276D98">
            <w:pPr>
              <w:adjustRightInd w:val="0"/>
              <w:snapToGrid w:val="0"/>
              <w:spacing w:line="240" w:lineRule="auto"/>
              <w:ind w:firstLine="0" w:firstLineChars="0"/>
              <w:rPr>
                <w:rFonts w:ascii="仿宋" w:hAnsi="仿宋" w:eastAsia="仿宋" w:cs="Times New Roman"/>
                <w:color w:val="000000"/>
                <w:sz w:val="21"/>
                <w:szCs w:val="21"/>
              </w:rPr>
            </w:pPr>
            <w:r>
              <w:rPr>
                <w:rFonts w:hint="eastAsia" w:ascii="仿宋" w:hAnsi="仿宋" w:eastAsia="仿宋" w:cs="宋体"/>
                <w:color w:val="000000"/>
                <w:sz w:val="21"/>
                <w:szCs w:val="21"/>
              </w:rPr>
              <w:t>③</w:t>
            </w:r>
            <w:r>
              <w:rPr>
                <w:rFonts w:ascii="仿宋" w:hAnsi="仿宋" w:eastAsia="仿宋" w:cs="Times New Roman"/>
                <w:color w:val="000000"/>
                <w:sz w:val="21"/>
                <w:szCs w:val="21"/>
              </w:rPr>
              <w:t>指标值是否合理、可考核</w:t>
            </w:r>
          </w:p>
        </w:tc>
        <w:tc>
          <w:tcPr>
            <w:tcW w:w="248" w:type="pct"/>
            <w:vAlign w:val="center"/>
          </w:tcPr>
          <w:p w14:paraId="5CA4263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c>
          <w:tcPr>
            <w:tcW w:w="248" w:type="pct"/>
            <w:vMerge w:val="continue"/>
            <w:vAlign w:val="center"/>
          </w:tcPr>
          <w:p w14:paraId="205A6565">
            <w:pPr>
              <w:adjustRightInd w:val="0"/>
              <w:snapToGrid w:val="0"/>
              <w:spacing w:line="240" w:lineRule="auto"/>
              <w:ind w:firstLine="0" w:firstLineChars="0"/>
              <w:jc w:val="center"/>
              <w:rPr>
                <w:rFonts w:ascii="仿宋" w:hAnsi="仿宋" w:eastAsia="仿宋" w:cs="Times New Roman"/>
                <w:color w:val="000000"/>
                <w:sz w:val="21"/>
                <w:szCs w:val="21"/>
              </w:rPr>
            </w:pPr>
          </w:p>
        </w:tc>
        <w:tc>
          <w:tcPr>
            <w:tcW w:w="246" w:type="pct"/>
            <w:vAlign w:val="center"/>
          </w:tcPr>
          <w:p w14:paraId="46F098A0">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2</w:t>
            </w:r>
          </w:p>
        </w:tc>
      </w:tr>
      <w:tr w14:paraId="0A5D0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6" w:type="pct"/>
            <w:gridSpan w:val="3"/>
            <w:vAlign w:val="center"/>
          </w:tcPr>
          <w:p w14:paraId="2AA4CD29">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合计</w:t>
            </w:r>
          </w:p>
        </w:tc>
        <w:tc>
          <w:tcPr>
            <w:tcW w:w="248" w:type="pct"/>
            <w:vAlign w:val="center"/>
          </w:tcPr>
          <w:p w14:paraId="0F5F76B0">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100</w:t>
            </w:r>
          </w:p>
        </w:tc>
        <w:tc>
          <w:tcPr>
            <w:tcW w:w="248" w:type="pct"/>
            <w:vAlign w:val="center"/>
          </w:tcPr>
          <w:p w14:paraId="5C58FAC7">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100</w:t>
            </w:r>
          </w:p>
        </w:tc>
        <w:tc>
          <w:tcPr>
            <w:tcW w:w="246" w:type="pct"/>
            <w:vAlign w:val="center"/>
          </w:tcPr>
          <w:p w14:paraId="5C999103">
            <w:pPr>
              <w:adjustRightInd w:val="0"/>
              <w:snapToGrid w:val="0"/>
              <w:spacing w:line="240" w:lineRule="auto"/>
              <w:ind w:firstLine="0" w:firstLineChars="0"/>
              <w:jc w:val="center"/>
              <w:rPr>
                <w:rFonts w:ascii="仿宋" w:hAnsi="仿宋" w:eastAsia="仿宋" w:cs="Times New Roman"/>
                <w:color w:val="000000"/>
                <w:sz w:val="21"/>
                <w:szCs w:val="21"/>
              </w:rPr>
            </w:pPr>
            <w:r>
              <w:rPr>
                <w:rFonts w:ascii="仿宋" w:hAnsi="仿宋" w:eastAsia="仿宋" w:cs="Times New Roman"/>
                <w:color w:val="000000"/>
                <w:sz w:val="21"/>
                <w:szCs w:val="21"/>
              </w:rPr>
              <w:t>9</w:t>
            </w:r>
            <w:r>
              <w:rPr>
                <w:rFonts w:hint="eastAsia" w:ascii="仿宋" w:hAnsi="仿宋" w:eastAsia="仿宋" w:cs="Times New Roman"/>
                <w:color w:val="000000"/>
                <w:sz w:val="21"/>
                <w:szCs w:val="21"/>
              </w:rPr>
              <w:t>4</w:t>
            </w:r>
          </w:p>
        </w:tc>
      </w:tr>
      <w:tr w14:paraId="5CDC3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2F25EC05">
            <w:pPr>
              <w:adjustRightInd w:val="0"/>
              <w:snapToGrid w:val="0"/>
              <w:spacing w:line="240" w:lineRule="auto"/>
              <w:ind w:firstLine="0" w:firstLineChars="0"/>
              <w:jc w:val="center"/>
              <w:rPr>
                <w:rFonts w:ascii="仿宋" w:hAnsi="仿宋" w:eastAsia="仿宋" w:cs="Times New Roman"/>
                <w:b/>
                <w:color w:val="000000"/>
                <w:sz w:val="21"/>
                <w:szCs w:val="21"/>
              </w:rPr>
            </w:pPr>
            <w:r>
              <w:rPr>
                <w:rFonts w:ascii="仿宋" w:hAnsi="仿宋" w:eastAsia="仿宋" w:cs="Times New Roman"/>
                <w:b/>
                <w:color w:val="000000"/>
                <w:sz w:val="21"/>
                <w:szCs w:val="21"/>
              </w:rPr>
              <w:t>事前绩效评估结论：优</w:t>
            </w:r>
          </w:p>
        </w:tc>
      </w:tr>
    </w:tbl>
    <w:p w14:paraId="4A7DEFA4">
      <w:pPr>
        <w:widowControl/>
        <w:spacing w:before="156"/>
        <w:ind w:firstLine="560"/>
        <w:rPr>
          <w:rFonts w:ascii="仿宋" w:hAnsi="仿宋" w:eastAsia="仿宋"/>
          <w:color w:val="000000" w:themeColor="text1"/>
          <w:kern w:val="0"/>
          <w:sz w:val="28"/>
          <w:szCs w:val="28"/>
          <w14:textFill>
            <w14:solidFill>
              <w14:schemeClr w14:val="tx1"/>
            </w14:solidFill>
          </w14:textFill>
        </w:rPr>
      </w:pPr>
    </w:p>
    <w:bookmarkEnd w:id="0"/>
    <w:p w14:paraId="1DE55731">
      <w:pPr>
        <w:pStyle w:val="4"/>
        <w:spacing w:before="156"/>
        <w:ind w:left="0"/>
      </w:pPr>
      <w:bookmarkStart w:id="86" w:name="_Toc200711888"/>
      <w:bookmarkStart w:id="87" w:name="_Toc183188361"/>
      <w:r>
        <w:rPr>
          <w:rFonts w:hint="eastAsia"/>
        </w:rPr>
        <w:t>七、风险评估</w:t>
      </w:r>
      <w:bookmarkEnd w:id="86"/>
      <w:bookmarkEnd w:id="87"/>
    </w:p>
    <w:p w14:paraId="024EA29C">
      <w:pPr>
        <w:pStyle w:val="4"/>
        <w:spacing w:before="156"/>
        <w:ind w:left="0"/>
        <w:rPr>
          <w:lang w:val="en-GB"/>
        </w:rPr>
      </w:pPr>
      <w:bookmarkStart w:id="88" w:name="_Toc200711889"/>
      <w:bookmarkStart w:id="89" w:name="_Toc183188362"/>
      <w:r>
        <w:rPr>
          <w:rFonts w:hint="eastAsia"/>
          <w:lang w:val="en-GB"/>
        </w:rPr>
        <w:t>（一）影响项目施工进度或正常运营的风险及控制措施</w:t>
      </w:r>
      <w:bookmarkEnd w:id="88"/>
      <w:bookmarkEnd w:id="89"/>
    </w:p>
    <w:p w14:paraId="1DC0E9CE">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90" w:name="_Toc200711890"/>
      <w:bookmarkStart w:id="91" w:name="_Toc200657918"/>
      <w:r>
        <w:rPr>
          <w:rFonts w:hint="eastAsia" w:ascii="仿宋" w:hAnsi="仿宋" w:eastAsia="仿宋"/>
          <w:b/>
          <w:color w:val="000000" w:themeColor="text1"/>
          <w:kern w:val="0"/>
          <w:sz w:val="28"/>
          <w:szCs w:val="28"/>
          <w14:textFill>
            <w14:solidFill>
              <w14:schemeClr w14:val="tx1"/>
            </w14:solidFill>
          </w14:textFill>
        </w:rPr>
        <w:t>1．政策风险</w:t>
      </w:r>
      <w:bookmarkEnd w:id="90"/>
      <w:bookmarkEnd w:id="91"/>
    </w:p>
    <w:p w14:paraId="0CD640FC">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包括政治变动、国家法规、产业政策、货币政策、财政政策等国家政策的变化对承办单位投资的相关产业产生影响，可能导致所投资项目的市场变动，从而影响项目建设。本项目为公益性民生项目，面临的政策性风险较小。</w:t>
      </w:r>
    </w:p>
    <w:p w14:paraId="1287B00F">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92" w:name="_Toc200711891"/>
      <w:bookmarkStart w:id="93" w:name="_Toc200657919"/>
      <w:r>
        <w:rPr>
          <w:rFonts w:hint="eastAsia" w:ascii="仿宋" w:hAnsi="仿宋" w:eastAsia="仿宋"/>
          <w:b/>
          <w:color w:val="000000" w:themeColor="text1"/>
          <w:kern w:val="0"/>
          <w:sz w:val="28"/>
          <w:szCs w:val="28"/>
          <w14:textFill>
            <w14:solidFill>
              <w14:schemeClr w14:val="tx1"/>
            </w14:solidFill>
          </w14:textFill>
        </w:rPr>
        <w:t>2．项目实施与管理风险</w:t>
      </w:r>
      <w:bookmarkEnd w:id="92"/>
      <w:bookmarkEnd w:id="93"/>
    </w:p>
    <w:p w14:paraId="7A79DEE0">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项目建设期间严格执行文明施工标准，确保项目对民众生活的影响降至最低。</w:t>
      </w:r>
    </w:p>
    <w:p w14:paraId="306836C1">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94" w:name="_Toc200657920"/>
      <w:bookmarkStart w:id="95" w:name="_Toc200711892"/>
      <w:r>
        <w:rPr>
          <w:rFonts w:hint="eastAsia" w:ascii="仿宋" w:hAnsi="仿宋" w:eastAsia="仿宋"/>
          <w:b/>
          <w:color w:val="000000" w:themeColor="text1"/>
          <w:kern w:val="0"/>
          <w:sz w:val="28"/>
          <w:szCs w:val="28"/>
          <w14:textFill>
            <w14:solidFill>
              <w14:schemeClr w14:val="tx1"/>
            </w14:solidFill>
          </w14:textFill>
        </w:rPr>
        <w:t>3．财务风险</w:t>
      </w:r>
      <w:bookmarkEnd w:id="94"/>
      <w:bookmarkEnd w:id="95"/>
    </w:p>
    <w:p w14:paraId="29095BDD">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总投资规模较大，可能会形成由于资金落实不到位，使项目工期延长，无法按时完成项目建设的风险。项目资金来源拟通过财政拨款、申请发行债券解决，在债券资金的支撑下，项目的实施将会顺利进行，因此，项目面临的财务风险较小。</w:t>
      </w:r>
    </w:p>
    <w:p w14:paraId="6715E747">
      <w:pPr>
        <w:pStyle w:val="4"/>
        <w:spacing w:before="156"/>
        <w:ind w:left="0"/>
        <w:rPr>
          <w:lang w:val="en-GB"/>
        </w:rPr>
      </w:pPr>
      <w:bookmarkStart w:id="96" w:name="_Toc200711893"/>
      <w:bookmarkStart w:id="97" w:name="_Toc183188363"/>
      <w:r>
        <w:rPr>
          <w:rFonts w:hint="eastAsia"/>
          <w:lang w:val="en-GB"/>
        </w:rPr>
        <w:t>（二）影响项目收益的风险及控制措施</w:t>
      </w:r>
      <w:bookmarkEnd w:id="96"/>
      <w:bookmarkEnd w:id="97"/>
    </w:p>
    <w:p w14:paraId="4E567F4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本项目的主要风险是项目管理单位的组织管理水平、项目承建单位的施工技术及管理水平等。</w:t>
      </w:r>
    </w:p>
    <w:p w14:paraId="675CF977">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提前规划，注重项目可行性研究和科学管理；工程建设期间持续跟踪；招投标期间从项目本身建设难度出发选择有较高施工水平的施工队伍，以便项目顺利推进。针对环境因素的风险，提前预判可能发生的灾害，及时做好防范工作。</w:t>
      </w:r>
    </w:p>
    <w:p w14:paraId="74DB390C">
      <w:pPr>
        <w:pStyle w:val="4"/>
        <w:spacing w:before="156"/>
        <w:ind w:left="0"/>
        <w:rPr>
          <w:lang w:val="en-GB"/>
        </w:rPr>
      </w:pPr>
      <w:bookmarkStart w:id="98" w:name="_Toc183188364"/>
      <w:bookmarkStart w:id="99" w:name="_Toc200711894"/>
      <w:r>
        <w:rPr>
          <w:rFonts w:hint="eastAsia"/>
          <w:lang w:val="en-GB"/>
        </w:rPr>
        <w:t>（三）影响融资平衡结果的风险及控制措施</w:t>
      </w:r>
      <w:bookmarkEnd w:id="98"/>
      <w:bookmarkEnd w:id="99"/>
    </w:p>
    <w:p w14:paraId="19287401">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100" w:name="_Toc200711895"/>
      <w:bookmarkStart w:id="101" w:name="_Toc200657923"/>
      <w:r>
        <w:rPr>
          <w:rFonts w:hint="eastAsia" w:ascii="仿宋" w:hAnsi="仿宋" w:eastAsia="仿宋"/>
          <w:b/>
          <w:color w:val="000000" w:themeColor="text1"/>
          <w:kern w:val="0"/>
          <w:sz w:val="28"/>
          <w:szCs w:val="28"/>
          <w14:textFill>
            <w14:solidFill>
              <w14:schemeClr w14:val="tx1"/>
            </w14:solidFill>
          </w14:textFill>
        </w:rPr>
        <w:t>1．投资测算不准确风险</w:t>
      </w:r>
      <w:bookmarkEnd w:id="100"/>
      <w:bookmarkEnd w:id="101"/>
    </w:p>
    <w:p w14:paraId="3FF6FA8B">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影响本项目融资平衡最大的风险在于对未来经营预测、项目进度以及项目整体现金流测算等重要环节出现判断偏差。经营预测偏大或偏小直接导致投资总额设计偏大或偏小；对项目进度错判将导致融资节奏错乱，导致资金不能及时足额注入到项目或者大额资金不能充分运用的后果；整体现金流测算出现偏差将导致项目可行性分析不能及时纠偏，项目资金投入和现金流入不能平衡的结果。</w:t>
      </w:r>
    </w:p>
    <w:p w14:paraId="00F67879">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风险控制措施：债券内所含项目的可行性研究报告均聘请了国内知名研究院经过大量分析论证工作后得出，分析结果较为可靠。</w:t>
      </w:r>
    </w:p>
    <w:p w14:paraId="0A78627F">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此外，根据《财政部关于试点发展项目收益与融资自求平衡的地方政府专项债券品种的通知》（财预〔2017〕89号）规定，因项目取得的政府性基金或专项收入暂时难以实现，不能偿还到期债券本金时，可在专项债务限额内发行相关专项债券周转偿还，项目收入实现后予以归还。同时，为控制融资平衡风险，海口市政府有权视项目平衡情况动态调整项目资本金比例。</w:t>
      </w:r>
    </w:p>
    <w:p w14:paraId="47675FE1">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102" w:name="_Toc200657924"/>
      <w:bookmarkStart w:id="103" w:name="_Toc200711896"/>
      <w:r>
        <w:rPr>
          <w:rFonts w:hint="eastAsia" w:ascii="仿宋" w:hAnsi="仿宋" w:eastAsia="仿宋"/>
          <w:b/>
          <w:color w:val="000000" w:themeColor="text1"/>
          <w:kern w:val="0"/>
          <w:sz w:val="28"/>
          <w:szCs w:val="28"/>
          <w14:textFill>
            <w14:solidFill>
              <w14:schemeClr w14:val="tx1"/>
            </w14:solidFill>
          </w14:textFill>
        </w:rPr>
        <w:t>2．利率波动风险</w:t>
      </w:r>
      <w:bookmarkEnd w:id="102"/>
      <w:bookmarkEnd w:id="103"/>
    </w:p>
    <w:p w14:paraId="63D6137D">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在本期专项债券存续期内，国际、国内宏观经济环境的变化，国家经济政策变动等因素会引起债务资本市场利率的波动，市场利率波动将会对本项目的财务成本产生影响，进而影响项目投资收益的平衡。</w:t>
      </w:r>
    </w:p>
    <w:p w14:paraId="26B6955A">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控制项目融资平衡风险，可动态调整债券发行期限和还款方式及时间，做好期限配比、还款计划和准备，加快资金周转，适当增大流动比率，充分盘活资金，用资金使用效率收益对冲利率波动损失。</w:t>
      </w:r>
    </w:p>
    <w:p w14:paraId="458C6999">
      <w:pPr>
        <w:widowControl/>
        <w:spacing w:before="156"/>
        <w:ind w:firstLine="762" w:firstLineChars="271"/>
        <w:outlineLvl w:val="2"/>
        <w:rPr>
          <w:rFonts w:ascii="仿宋" w:hAnsi="仿宋" w:eastAsia="仿宋"/>
          <w:b/>
          <w:color w:val="000000" w:themeColor="text1"/>
          <w:kern w:val="0"/>
          <w:sz w:val="28"/>
          <w:szCs w:val="28"/>
          <w14:textFill>
            <w14:solidFill>
              <w14:schemeClr w14:val="tx1"/>
            </w14:solidFill>
          </w14:textFill>
        </w:rPr>
      </w:pPr>
      <w:bookmarkStart w:id="104" w:name="_Toc200711897"/>
      <w:bookmarkStart w:id="105" w:name="_Toc200657925"/>
      <w:r>
        <w:rPr>
          <w:rFonts w:hint="eastAsia" w:ascii="仿宋" w:hAnsi="仿宋" w:eastAsia="仿宋"/>
          <w:b/>
          <w:color w:val="000000" w:themeColor="text1"/>
          <w:kern w:val="0"/>
          <w:sz w:val="28"/>
          <w:szCs w:val="28"/>
          <w14:textFill>
            <w14:solidFill>
              <w14:schemeClr w14:val="tx1"/>
            </w14:solidFill>
          </w14:textFill>
        </w:rPr>
        <w:t>3．存续债券置换不畅风险</w:t>
      </w:r>
      <w:bookmarkEnd w:id="104"/>
      <w:bookmarkEnd w:id="105"/>
    </w:p>
    <w:p w14:paraId="36BBEC7F">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地方政府专项债务预算管理办法》（财预〔2016〕155号）第六条规定，专项债务本金通过对应的政府性基金收入、专项收入、发行专项债券等偿还。若本期专项债券到期时项目收入不足以偿还本期债券，发行人将发行新一期政府专项债券置换本期债券。因此存在由于新一期政府专项债券不能足额及时募集而造成本期政府专项债券不能按期足额兑付的风险。</w:t>
      </w:r>
    </w:p>
    <w:p w14:paraId="626C9CC6">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防止发生存续债券不能顺畅置换的风险，发行人将会同主承销商及承销团成员提前准备发行资料，选取合适发行时间窗口，根据市场行情科学定价，力争在存续债券兑付日之前及时足额地募集到还款资金。</w:t>
      </w:r>
    </w:p>
    <w:p w14:paraId="7BC7538F">
      <w:pPr>
        <w:pStyle w:val="4"/>
        <w:spacing w:before="156"/>
        <w:ind w:left="0"/>
      </w:pPr>
      <w:bookmarkStart w:id="106" w:name="_Toc200711898"/>
      <w:bookmarkStart w:id="107" w:name="_Toc183188365"/>
      <w:r>
        <w:rPr>
          <w:rFonts w:hint="eastAsia"/>
        </w:rPr>
        <w:t>八、偿债保障及投资者保护</w:t>
      </w:r>
      <w:bookmarkEnd w:id="106"/>
      <w:bookmarkEnd w:id="107"/>
    </w:p>
    <w:p w14:paraId="28DD89EA">
      <w:pPr>
        <w:pStyle w:val="4"/>
        <w:spacing w:before="156"/>
        <w:ind w:left="0"/>
        <w:rPr>
          <w:lang w:val="en-GB"/>
        </w:rPr>
      </w:pPr>
      <w:bookmarkStart w:id="108" w:name="_Toc183188366"/>
      <w:bookmarkStart w:id="109" w:name="_Toc200711899"/>
      <w:r>
        <w:rPr>
          <w:rFonts w:hint="eastAsia"/>
          <w:lang w:val="en-GB"/>
        </w:rPr>
        <w:t>（一）本期专项债券偿债保障措施</w:t>
      </w:r>
      <w:bookmarkEnd w:id="108"/>
      <w:bookmarkEnd w:id="109"/>
    </w:p>
    <w:p w14:paraId="56009E50">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1、根据《财政部关于印发&lt;地方政府专项债务预算管理办法&gt;的通知》（财预〔2016〕155号）规定，专项债务应当有偿还计划和稳定的偿还资金来源。专项债务本金通过对应的政府性基金收入、专项收入、发行专项债券等偿还。专项债务利息通过对应的政府性基金收入、专项收入偿还，不通过发行专项债券偿。专项债务收支按照对应的政府性基金收入、专项收入实现项目收支平衡。</w:t>
      </w:r>
    </w:p>
    <w:p w14:paraId="70C647C3">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2、根据《国务院办公厅关于印发地方政府性债务风险应急处置预案的通知》（国办函〔2016〕88号）规定，对地方政府债券，地方政府依法承担全部偿还责任。市县财政将根据《财政部关于印发&lt;地方政府专项债务预算管理办法&gt;的通知》（财预〔2016〕155号）规定,及时按照转贷协议约定向省级财政部门缴纳本级应当承担的还本付息资金，由省级财政部门按照合同约定及时偿还专项债券到期本息。如偿债出现困难，将通过调减投资计划、调整预算支出等措施进行偿债。未及时足额向省级财政部门缴纳专项债券还本付息资金的，省级财政部门可以采取适当方式扣回。</w:t>
      </w:r>
    </w:p>
    <w:p w14:paraId="01BC08D7">
      <w:pPr>
        <w:pStyle w:val="4"/>
        <w:spacing w:before="156"/>
        <w:ind w:left="0"/>
        <w:rPr>
          <w:lang w:val="en-GB"/>
        </w:rPr>
      </w:pPr>
      <w:bookmarkStart w:id="110" w:name="_Toc200711900"/>
      <w:bookmarkStart w:id="111" w:name="_Toc183188367"/>
      <w:r>
        <w:rPr>
          <w:rFonts w:hint="eastAsia"/>
          <w:lang w:val="en-GB"/>
        </w:rPr>
        <w:t>（二）本期专项债券的投资者保护措施</w:t>
      </w:r>
      <w:bookmarkEnd w:id="110"/>
      <w:bookmarkEnd w:id="111"/>
    </w:p>
    <w:p w14:paraId="25ABE378">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中华人民共和国预算法》(2018修正)、《国务院关于加强地方政府性债务管理的意见》（国发〔2014〕43号）和《国务院办公厅关于印发地方政府性债务风险应急处置预案的通知》（国办函〔2016〕88号），海南省政府先后制定了相关政策性文件，全面防控政府性债务风险并完善应急处置机制。</w:t>
      </w:r>
    </w:p>
    <w:p w14:paraId="4E423163">
      <w:pPr>
        <w:pStyle w:val="4"/>
        <w:spacing w:before="156"/>
        <w:ind w:left="0"/>
      </w:pPr>
      <w:bookmarkStart w:id="112" w:name="_Toc183188368"/>
      <w:bookmarkStart w:id="113" w:name="_Toc200711901"/>
      <w:r>
        <w:rPr>
          <w:rFonts w:hint="eastAsia"/>
        </w:rPr>
        <w:t>九、结论</w:t>
      </w:r>
      <w:bookmarkEnd w:id="112"/>
      <w:bookmarkEnd w:id="113"/>
    </w:p>
    <w:p w14:paraId="5C6D75AF">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基于财政部对地方政府发行专项债券的要求，本项目可以通过发行专项债券的方式进行融资以完成资金筹措，并以项目自身收益所对应的充足、稳定现金流作为还本付息的资金来源。</w:t>
      </w:r>
    </w:p>
    <w:p w14:paraId="6E48A8CB">
      <w:pPr>
        <w:widowControl/>
        <w:spacing w:before="156"/>
        <w:ind w:firstLine="56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综上所述，通过发行专项债券的方式，是解决海口江东新区总部聚集区基础设施建设项目资金来源的较好方式。</w:t>
      </w:r>
    </w:p>
    <w:p w14:paraId="4690C9A3">
      <w:pPr>
        <w:spacing w:before="156" w:after="120"/>
        <w:ind w:firstLine="560"/>
        <w:jc w:val="right"/>
        <w:rPr>
          <w:rFonts w:ascii="仿宋" w:hAnsi="仿宋" w:eastAsia="仿宋" w:cs="宋体"/>
          <w:color w:val="000000" w:themeColor="text1"/>
          <w:kern w:val="0"/>
          <w:sz w:val="28"/>
          <w:szCs w:val="28"/>
          <w14:textFill>
            <w14:solidFill>
              <w14:schemeClr w14:val="tx1"/>
            </w14:solidFill>
          </w14:textFill>
        </w:rPr>
      </w:pPr>
      <w:r>
        <w:rPr>
          <w:rFonts w:hint="eastAsia" w:ascii="仿宋" w:hAnsi="仿宋" w:eastAsia="仿宋" w:cs="宋体"/>
          <w:color w:val="000000" w:themeColor="text1"/>
          <w:kern w:val="0"/>
          <w:sz w:val="28"/>
          <w:szCs w:val="28"/>
          <w14:textFill>
            <w14:solidFill>
              <w14:schemeClr w14:val="tx1"/>
            </w14:solidFill>
          </w14:textFill>
        </w:rPr>
        <w:t>海口旅游文化投资发展集团有限公司</w:t>
      </w:r>
    </w:p>
    <w:p w14:paraId="3B945C8A">
      <w:pPr>
        <w:wordWrap w:val="0"/>
        <w:spacing w:before="156" w:after="120"/>
        <w:ind w:firstLine="560"/>
        <w:jc w:val="right"/>
        <w:rPr>
          <w:rFonts w:hint="default" w:ascii="仿宋" w:hAnsi="仿宋" w:eastAsia="仿宋" w:cs="宋体"/>
          <w:color w:val="000000" w:themeColor="text1"/>
          <w:sz w:val="28"/>
          <w:szCs w:val="28"/>
          <w:lang w:val="en-US" w:eastAsia="zh-CN"/>
          <w14:textFill>
            <w14:solidFill>
              <w14:schemeClr w14:val="tx1"/>
            </w14:solidFill>
          </w14:textFill>
        </w:rPr>
      </w:pPr>
      <w:r>
        <w:rPr>
          <w:rFonts w:ascii="仿宋" w:hAnsi="仿宋" w:eastAsia="仿宋" w:cs="宋体"/>
          <w:color w:val="000000" w:themeColor="text1"/>
          <w:kern w:val="0"/>
          <w:sz w:val="28"/>
          <w:szCs w:val="28"/>
          <w14:textFill>
            <w14:solidFill>
              <w14:schemeClr w14:val="tx1"/>
            </w14:solidFill>
          </w14:textFill>
        </w:rPr>
        <w:t>202</w:t>
      </w:r>
      <w:r>
        <w:rPr>
          <w:rFonts w:hint="eastAsia" w:ascii="仿宋" w:hAnsi="仿宋" w:eastAsia="仿宋" w:cs="宋体"/>
          <w:color w:val="000000" w:themeColor="text1"/>
          <w:kern w:val="0"/>
          <w:sz w:val="28"/>
          <w:szCs w:val="28"/>
          <w14:textFill>
            <w14:solidFill>
              <w14:schemeClr w14:val="tx1"/>
            </w14:solidFill>
          </w14:textFill>
        </w:rPr>
        <w:t>5</w:t>
      </w:r>
      <w:r>
        <w:rPr>
          <w:rFonts w:ascii="仿宋" w:hAnsi="仿宋" w:eastAsia="仿宋" w:cs="宋体"/>
          <w:color w:val="000000" w:themeColor="text1"/>
          <w:kern w:val="0"/>
          <w:sz w:val="28"/>
          <w:szCs w:val="28"/>
          <w14:textFill>
            <w14:solidFill>
              <w14:schemeClr w14:val="tx1"/>
            </w14:solidFill>
          </w14:textFill>
        </w:rPr>
        <w:t>年</w:t>
      </w:r>
      <w:r>
        <w:rPr>
          <w:rFonts w:hint="eastAsia" w:ascii="仿宋" w:hAnsi="仿宋" w:eastAsia="仿宋" w:cs="宋体"/>
          <w:color w:val="000000" w:themeColor="text1"/>
          <w:kern w:val="0"/>
          <w:sz w:val="28"/>
          <w:szCs w:val="28"/>
          <w14:textFill>
            <w14:solidFill>
              <w14:schemeClr w14:val="tx1"/>
            </w14:solidFill>
          </w14:textFill>
        </w:rPr>
        <w:t>6月</w:t>
      </w:r>
      <w:r>
        <w:rPr>
          <w:rFonts w:hint="eastAsia" w:ascii="仿宋" w:hAnsi="仿宋" w:eastAsia="仿宋" w:cs="宋体"/>
          <w:color w:val="000000" w:themeColor="text1"/>
          <w:kern w:val="0"/>
          <w:sz w:val="28"/>
          <w:szCs w:val="28"/>
          <w:lang w:val="en-US" w:eastAsia="zh-CN"/>
          <w14:textFill>
            <w14:solidFill>
              <w14:schemeClr w14:val="tx1"/>
            </w14:solidFill>
          </w14:textFill>
        </w:rPr>
        <w:t xml:space="preserve">20日        </w:t>
      </w:r>
      <w:bookmarkStart w:id="114" w:name="_GoBack"/>
      <w:bookmarkEnd w:id="114"/>
    </w:p>
    <w:p w14:paraId="5072F923">
      <w:pPr>
        <w:spacing w:before="156"/>
        <w:ind w:right="84" w:firstLine="480"/>
        <w:rPr>
          <w:rFonts w:ascii="仿宋" w:hAnsi="仿宋" w:eastAsia="仿宋"/>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EFF" w:usb1="C000785B" w:usb2="00000009" w:usb3="00000000" w:csb0="400001FF" w:csb1="FFFF0000"/>
  </w:font>
  <w:font w:name="Verdana">
    <w:panose1 w:val="020B0604030504040204"/>
    <w:charset w:val="00"/>
    <w:family w:val="swiss"/>
    <w:pitch w:val="default"/>
    <w:sig w:usb0="A00006FF" w:usb1="4000205B" w:usb2="00000010" w:usb3="00000000" w:csb0="2000019F" w:csb1="00000000"/>
  </w:font>
  <w:font w:name="华文细黑">
    <w:altName w:val="微软雅黑"/>
    <w:panose1 w:val="02010600040101010101"/>
    <w:charset w:val="86"/>
    <w:family w:val="auto"/>
    <w:pitch w:val="default"/>
    <w:sig w:usb0="00000000" w:usb1="00000000" w:usb2="00000010" w:usb3="00000000" w:csb0="0004009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836C64">
    <w:pPr>
      <w:pStyle w:val="13"/>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521E5">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30351">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B7A38">
    <w:pPr>
      <w:pStyle w:val="13"/>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333FC">
    <w:pPr>
      <w:pStyle w:val="13"/>
      <w:ind w:right="84" w:firstLine="360"/>
      <w:jc w:val="center"/>
    </w:pPr>
    <w:sdt>
      <w:sdtPr>
        <w:id w:val="-647819486"/>
      </w:sdtPr>
      <w:sdtEndPr>
        <w:rPr>
          <w:rFonts w:eastAsia="华文细黑"/>
          <w:sz w:val="20"/>
          <w:szCs w:val="20"/>
        </w:rPr>
      </w:sdtEndPr>
      <w:sdtContent>
        <w:r>
          <w:rPr>
            <w:rFonts w:eastAsia="华文细黑"/>
            <w:sz w:val="20"/>
            <w:szCs w:val="20"/>
          </w:rPr>
          <w:fldChar w:fldCharType="begin"/>
        </w:r>
        <w:r>
          <w:rPr>
            <w:rFonts w:eastAsia="华文细黑"/>
            <w:sz w:val="20"/>
            <w:szCs w:val="20"/>
          </w:rPr>
          <w:instrText xml:space="preserve"> PAGE   \* MERGEFORMAT </w:instrText>
        </w:r>
        <w:r>
          <w:rPr>
            <w:rFonts w:eastAsia="华文细黑"/>
            <w:sz w:val="20"/>
            <w:szCs w:val="20"/>
          </w:rPr>
          <w:fldChar w:fldCharType="separate"/>
        </w:r>
        <w:r>
          <w:rPr>
            <w:rFonts w:eastAsia="华文细黑"/>
            <w:sz w:val="20"/>
            <w:szCs w:val="20"/>
          </w:rPr>
          <w:t>2</w:t>
        </w:r>
        <w:r>
          <w:rPr>
            <w:rFonts w:eastAsia="华文细黑"/>
            <w:sz w:val="20"/>
            <w:szCs w:val="20"/>
          </w:rPr>
          <w:fldChar w:fldCharType="end"/>
        </w:r>
      </w:sdtContent>
    </w:sdt>
    <w: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6058891"/>
    </w:sdtPr>
    <w:sdtContent>
      <w:p w14:paraId="4D2C393D">
        <w:pPr>
          <w:pStyle w:val="13"/>
          <w:ind w:right="84" w:firstLine="360"/>
          <w:jc w:val="center"/>
        </w:pPr>
        <w:r>
          <w:fldChar w:fldCharType="begin"/>
        </w:r>
        <w:r>
          <w:instrText xml:space="preserve"> PAGE   \* MERGEFORMAT </w:instrText>
        </w:r>
        <w:r>
          <w:fldChar w:fldCharType="separate"/>
        </w:r>
        <w:r>
          <w:t>2</w:t>
        </w:r>
        <w:r>
          <w:fldChar w:fldCharType="end"/>
        </w:r>
      </w:p>
    </w:sdtContent>
  </w:sdt>
  <w:p w14:paraId="349CB147">
    <w:pPr>
      <w:pStyle w:val="13"/>
      <w:ind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234DF">
    <w:pPr>
      <w:pStyle w:val="14"/>
      <w:pBdr>
        <w:bottom w:val="none" w:color="auto" w:sz="0" w:space="0"/>
      </w:pBdr>
      <w:ind w:firstLine="0" w:firstLineChars="0"/>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1D7BE">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131F3">
    <w:pPr>
      <w:pStyle w:val="1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115C01"/>
    <w:multiLevelType w:val="multilevel"/>
    <w:tmpl w:val="50115C01"/>
    <w:lvl w:ilvl="0" w:tentative="0">
      <w:start w:val="1"/>
      <w:numFmt w:val="decimal"/>
      <w:pStyle w:val="5"/>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M0OWJkNDEwNWU2MWQ3ZGQ1Yzg0ODM3ZTVhZDJkNmUifQ=="/>
  </w:docVars>
  <w:rsids>
    <w:rsidRoot w:val="00F339BA"/>
    <w:rsid w:val="00010C32"/>
    <w:rsid w:val="00086B0A"/>
    <w:rsid w:val="000A2638"/>
    <w:rsid w:val="000C6EA6"/>
    <w:rsid w:val="000D4C80"/>
    <w:rsid w:val="000E145B"/>
    <w:rsid w:val="00106236"/>
    <w:rsid w:val="001361F2"/>
    <w:rsid w:val="001370D2"/>
    <w:rsid w:val="001844E0"/>
    <w:rsid w:val="001B3CF4"/>
    <w:rsid w:val="001C41C6"/>
    <w:rsid w:val="001D4F6B"/>
    <w:rsid w:val="001D6A92"/>
    <w:rsid w:val="001E3C53"/>
    <w:rsid w:val="002009DF"/>
    <w:rsid w:val="00202BBD"/>
    <w:rsid w:val="002450DC"/>
    <w:rsid w:val="002858C0"/>
    <w:rsid w:val="002C459B"/>
    <w:rsid w:val="002C49B5"/>
    <w:rsid w:val="002F17DF"/>
    <w:rsid w:val="00301AF2"/>
    <w:rsid w:val="00315E55"/>
    <w:rsid w:val="0032071A"/>
    <w:rsid w:val="00346034"/>
    <w:rsid w:val="003C624E"/>
    <w:rsid w:val="003F053E"/>
    <w:rsid w:val="004017F4"/>
    <w:rsid w:val="00461A6A"/>
    <w:rsid w:val="004835E7"/>
    <w:rsid w:val="004849CF"/>
    <w:rsid w:val="004878AA"/>
    <w:rsid w:val="004A3293"/>
    <w:rsid w:val="004A545B"/>
    <w:rsid w:val="004B398C"/>
    <w:rsid w:val="004B3D43"/>
    <w:rsid w:val="004D42F8"/>
    <w:rsid w:val="004D4521"/>
    <w:rsid w:val="00602D36"/>
    <w:rsid w:val="0062373A"/>
    <w:rsid w:val="00624603"/>
    <w:rsid w:val="00683D97"/>
    <w:rsid w:val="006C325F"/>
    <w:rsid w:val="006C3717"/>
    <w:rsid w:val="00706D8A"/>
    <w:rsid w:val="0072535E"/>
    <w:rsid w:val="007279A9"/>
    <w:rsid w:val="00736E0C"/>
    <w:rsid w:val="007D16D9"/>
    <w:rsid w:val="007F2DA5"/>
    <w:rsid w:val="0080571F"/>
    <w:rsid w:val="008426D1"/>
    <w:rsid w:val="00843B0D"/>
    <w:rsid w:val="00881000"/>
    <w:rsid w:val="00887C6D"/>
    <w:rsid w:val="008F69C5"/>
    <w:rsid w:val="00924B89"/>
    <w:rsid w:val="00944E8A"/>
    <w:rsid w:val="009B6243"/>
    <w:rsid w:val="009D5E16"/>
    <w:rsid w:val="009F6624"/>
    <w:rsid w:val="00A77E31"/>
    <w:rsid w:val="00B031EA"/>
    <w:rsid w:val="00B1763E"/>
    <w:rsid w:val="00B80F26"/>
    <w:rsid w:val="00BA3928"/>
    <w:rsid w:val="00BA7C51"/>
    <w:rsid w:val="00C2225F"/>
    <w:rsid w:val="00C87E18"/>
    <w:rsid w:val="00C91976"/>
    <w:rsid w:val="00CC189F"/>
    <w:rsid w:val="00CD59F8"/>
    <w:rsid w:val="00CF3A94"/>
    <w:rsid w:val="00D134BD"/>
    <w:rsid w:val="00D306AE"/>
    <w:rsid w:val="00D54F3D"/>
    <w:rsid w:val="00D55544"/>
    <w:rsid w:val="00D95067"/>
    <w:rsid w:val="00DE2EFD"/>
    <w:rsid w:val="00DE519F"/>
    <w:rsid w:val="00DE63B0"/>
    <w:rsid w:val="00DF7D0D"/>
    <w:rsid w:val="00E02A70"/>
    <w:rsid w:val="00E559D4"/>
    <w:rsid w:val="00E75D1A"/>
    <w:rsid w:val="00EC7903"/>
    <w:rsid w:val="00ED3C08"/>
    <w:rsid w:val="00EE08C6"/>
    <w:rsid w:val="00F339BA"/>
    <w:rsid w:val="00FE42CC"/>
    <w:rsid w:val="00FE60EF"/>
    <w:rsid w:val="00FE6D22"/>
    <w:rsid w:val="01B97F5E"/>
    <w:rsid w:val="025F0B06"/>
    <w:rsid w:val="08DB589B"/>
    <w:rsid w:val="0A1B17B6"/>
    <w:rsid w:val="10B955A2"/>
    <w:rsid w:val="14263231"/>
    <w:rsid w:val="1A093ED8"/>
    <w:rsid w:val="23D67B40"/>
    <w:rsid w:val="2B591CE7"/>
    <w:rsid w:val="2C9E20A7"/>
    <w:rsid w:val="2CC94C4A"/>
    <w:rsid w:val="2DED5AB0"/>
    <w:rsid w:val="32F02F31"/>
    <w:rsid w:val="3667175C"/>
    <w:rsid w:val="37B00EE0"/>
    <w:rsid w:val="3AD306C8"/>
    <w:rsid w:val="3BB33291"/>
    <w:rsid w:val="3C0D6E78"/>
    <w:rsid w:val="4C51283A"/>
    <w:rsid w:val="4F610EFF"/>
    <w:rsid w:val="54680721"/>
    <w:rsid w:val="5A893038"/>
    <w:rsid w:val="5C25339C"/>
    <w:rsid w:val="60430294"/>
    <w:rsid w:val="64AA0402"/>
    <w:rsid w:val="6C5D26DE"/>
    <w:rsid w:val="6C7A503E"/>
    <w:rsid w:val="6D3A173E"/>
    <w:rsid w:val="6DB91B96"/>
    <w:rsid w:val="6FC34F4E"/>
    <w:rsid w:val="722C6DDA"/>
    <w:rsid w:val="74786307"/>
    <w:rsid w:val="7AC57DCC"/>
    <w:rsid w:val="7BDA7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semiHidden="0"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0" w:semiHidden="0" w:name="footnote reference"/>
    <w:lsdException w:qFormat="1" w:uiPriority="0" w:semiHidden="0" w:name="annotation reference"/>
    <w:lsdException w:qFormat="1"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200" w:firstLineChars="200"/>
      <w:jc w:val="both"/>
    </w:pPr>
    <w:rPr>
      <w:rFonts w:eastAsia="宋体" w:asciiTheme="minorHAnsi" w:hAnsiTheme="minorHAnsi" w:cstheme="minorBidi"/>
      <w:kern w:val="2"/>
      <w:sz w:val="24"/>
      <w:szCs w:val="22"/>
      <w:lang w:val="en-US" w:eastAsia="zh-CN" w:bidi="ar-SA"/>
    </w:rPr>
  </w:style>
  <w:style w:type="paragraph" w:styleId="2">
    <w:name w:val="heading 1"/>
    <w:basedOn w:val="3"/>
    <w:next w:val="1"/>
    <w:link w:val="31"/>
    <w:autoRedefine/>
    <w:qFormat/>
    <w:uiPriority w:val="9"/>
    <w:pPr>
      <w:adjustRightInd w:val="0"/>
      <w:snapToGrid w:val="0"/>
      <w:ind w:firstLine="0" w:firstLineChars="0"/>
      <w:jc w:val="left"/>
      <w:outlineLvl w:val="0"/>
    </w:pPr>
    <w:rPr>
      <w:rFonts w:ascii="仿宋" w:hAnsi="仿宋" w:eastAsia="仿宋" w:cs="楷体"/>
      <w:color w:val="000000" w:themeColor="text1"/>
      <w:kern w:val="0"/>
      <w:sz w:val="28"/>
      <w:szCs w:val="28"/>
      <w:lang w:val="en-GB"/>
      <w14:textFill>
        <w14:solidFill>
          <w14:schemeClr w14:val="tx1"/>
        </w14:solidFill>
      </w14:textFill>
    </w:rPr>
  </w:style>
  <w:style w:type="paragraph" w:styleId="4">
    <w:name w:val="heading 2"/>
    <w:basedOn w:val="3"/>
    <w:next w:val="1"/>
    <w:link w:val="32"/>
    <w:autoRedefine/>
    <w:unhideWhenUsed/>
    <w:qFormat/>
    <w:uiPriority w:val="9"/>
    <w:pPr>
      <w:adjustRightInd w:val="0"/>
      <w:snapToGrid w:val="0"/>
      <w:spacing w:before="120"/>
      <w:ind w:left="720" w:firstLine="562"/>
      <w:outlineLvl w:val="1"/>
    </w:pPr>
    <w:rPr>
      <w:rFonts w:ascii="仿宋" w:hAnsi="仿宋" w:eastAsia="仿宋" w:cs="楷体"/>
      <w:b/>
      <w:bCs/>
      <w:color w:val="000000" w:themeColor="text1"/>
      <w:kern w:val="0"/>
      <w:sz w:val="28"/>
      <w:szCs w:val="28"/>
      <w14:textFill>
        <w14:solidFill>
          <w14:schemeClr w14:val="tx1"/>
        </w14:solidFill>
      </w14:textFill>
    </w:rPr>
  </w:style>
  <w:style w:type="paragraph" w:styleId="5">
    <w:name w:val="heading 3"/>
    <w:basedOn w:val="3"/>
    <w:next w:val="1"/>
    <w:link w:val="33"/>
    <w:autoRedefine/>
    <w:unhideWhenUsed/>
    <w:qFormat/>
    <w:uiPriority w:val="9"/>
    <w:pPr>
      <w:numPr>
        <w:ilvl w:val="0"/>
        <w:numId w:val="1"/>
      </w:numPr>
      <w:adjustRightInd w:val="0"/>
      <w:snapToGrid w:val="0"/>
      <w:ind w:firstLine="0" w:firstLineChars="0"/>
      <w:outlineLvl w:val="2"/>
    </w:pPr>
    <w:rPr>
      <w:rFonts w:ascii="Times New Roman" w:hAnsi="Times New Roman" w:cs="Times New Roman"/>
      <w:color w:val="000000" w:themeColor="text1"/>
      <w14:textFill>
        <w14:solidFill>
          <w14:schemeClr w14:val="tx1"/>
        </w14:solidFill>
      </w14:textFill>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3">
    <w:name w:val="List Paragraph"/>
    <w:basedOn w:val="1"/>
    <w:link w:val="59"/>
    <w:autoRedefine/>
    <w:qFormat/>
    <w:uiPriority w:val="34"/>
  </w:style>
  <w:style w:type="paragraph" w:styleId="6">
    <w:name w:val="Document Map"/>
    <w:basedOn w:val="1"/>
    <w:link w:val="37"/>
    <w:autoRedefine/>
    <w:semiHidden/>
    <w:unhideWhenUsed/>
    <w:qFormat/>
    <w:uiPriority w:val="99"/>
    <w:rPr>
      <w:rFonts w:ascii="宋体"/>
      <w:sz w:val="18"/>
      <w:szCs w:val="18"/>
    </w:rPr>
  </w:style>
  <w:style w:type="paragraph" w:styleId="7">
    <w:name w:val="annotation text"/>
    <w:basedOn w:val="1"/>
    <w:link w:val="38"/>
    <w:autoRedefine/>
    <w:unhideWhenUsed/>
    <w:qFormat/>
    <w:uiPriority w:val="0"/>
    <w:pPr>
      <w:ind w:firstLine="420"/>
      <w:jc w:val="left"/>
    </w:pPr>
  </w:style>
  <w:style w:type="paragraph" w:styleId="8">
    <w:name w:val="Body Text"/>
    <w:basedOn w:val="1"/>
    <w:link w:val="39"/>
    <w:autoRedefine/>
    <w:qFormat/>
    <w:uiPriority w:val="0"/>
    <w:rPr>
      <w:rFonts w:ascii="宋体" w:hAnsi="宋体" w:cs="宋体"/>
      <w:sz w:val="28"/>
      <w:szCs w:val="28"/>
    </w:rPr>
  </w:style>
  <w:style w:type="paragraph" w:styleId="9">
    <w:name w:val="toc 3"/>
    <w:basedOn w:val="1"/>
    <w:next w:val="1"/>
    <w:autoRedefine/>
    <w:unhideWhenUsed/>
    <w:qFormat/>
    <w:uiPriority w:val="39"/>
    <w:pPr>
      <w:ind w:left="400" w:leftChars="400" w:firstLine="0" w:firstLineChars="0"/>
    </w:pPr>
    <w:rPr>
      <w:rFonts w:ascii="Times New Roman" w:hAnsi="Times New Roman"/>
    </w:rPr>
  </w:style>
  <w:style w:type="paragraph" w:styleId="10">
    <w:name w:val="Date"/>
    <w:basedOn w:val="1"/>
    <w:next w:val="1"/>
    <w:link w:val="40"/>
    <w:autoRedefine/>
    <w:semiHidden/>
    <w:unhideWhenUsed/>
    <w:qFormat/>
    <w:uiPriority w:val="99"/>
    <w:pPr>
      <w:ind w:left="100" w:leftChars="2500"/>
    </w:pPr>
  </w:style>
  <w:style w:type="paragraph" w:styleId="11">
    <w:name w:val="endnote text"/>
    <w:basedOn w:val="1"/>
    <w:link w:val="41"/>
    <w:autoRedefine/>
    <w:semiHidden/>
    <w:unhideWhenUsed/>
    <w:qFormat/>
    <w:uiPriority w:val="99"/>
    <w:pPr>
      <w:widowControl/>
      <w:spacing w:line="240" w:lineRule="auto"/>
      <w:ind w:firstLine="0" w:firstLineChars="0"/>
      <w:jc w:val="left"/>
    </w:pPr>
    <w:rPr>
      <w:rFonts w:ascii="Times New Roman" w:hAnsi="Times New Roman" w:eastAsia="Times New Roman" w:cs="Times New Roman"/>
      <w:kern w:val="0"/>
      <w:szCs w:val="20"/>
    </w:rPr>
  </w:style>
  <w:style w:type="paragraph" w:styleId="12">
    <w:name w:val="Balloon Text"/>
    <w:basedOn w:val="1"/>
    <w:link w:val="42"/>
    <w:autoRedefine/>
    <w:semiHidden/>
    <w:unhideWhenUsed/>
    <w:qFormat/>
    <w:uiPriority w:val="99"/>
    <w:pPr>
      <w:spacing w:line="240" w:lineRule="auto"/>
    </w:pPr>
    <w:rPr>
      <w:sz w:val="18"/>
      <w:szCs w:val="18"/>
    </w:rPr>
  </w:style>
  <w:style w:type="paragraph" w:styleId="13">
    <w:name w:val="footer"/>
    <w:basedOn w:val="1"/>
    <w:link w:val="35"/>
    <w:autoRedefine/>
    <w:unhideWhenUsed/>
    <w:qFormat/>
    <w:uiPriority w:val="99"/>
    <w:pPr>
      <w:tabs>
        <w:tab w:val="center" w:pos="4153"/>
        <w:tab w:val="right" w:pos="8306"/>
      </w:tabs>
      <w:snapToGrid w:val="0"/>
      <w:jc w:val="left"/>
    </w:pPr>
    <w:rPr>
      <w:sz w:val="18"/>
      <w:szCs w:val="18"/>
    </w:rPr>
  </w:style>
  <w:style w:type="paragraph" w:styleId="14">
    <w:name w:val="header"/>
    <w:basedOn w:val="1"/>
    <w:link w:val="34"/>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autoRedefine/>
    <w:unhideWhenUsed/>
    <w:qFormat/>
    <w:uiPriority w:val="39"/>
    <w:pPr>
      <w:ind w:firstLine="0" w:firstLineChars="0"/>
    </w:pPr>
    <w:rPr>
      <w:rFonts w:ascii="Arial" w:hAnsi="Arial" w:eastAsia="黑体"/>
    </w:rPr>
  </w:style>
  <w:style w:type="paragraph" w:styleId="16">
    <w:name w:val="footnote text"/>
    <w:basedOn w:val="1"/>
    <w:link w:val="43"/>
    <w:autoRedefine/>
    <w:unhideWhenUsed/>
    <w:qFormat/>
    <w:uiPriority w:val="99"/>
    <w:pPr>
      <w:spacing w:line="240" w:lineRule="auto"/>
      <w:ind w:firstLine="0" w:firstLineChars="0"/>
    </w:pPr>
    <w:rPr>
      <w:rFonts w:eastAsiaTheme="minorEastAsia"/>
      <w:sz w:val="21"/>
      <w:szCs w:val="20"/>
    </w:rPr>
  </w:style>
  <w:style w:type="paragraph" w:styleId="17">
    <w:name w:val="toc 2"/>
    <w:basedOn w:val="1"/>
    <w:next w:val="1"/>
    <w:autoRedefine/>
    <w:unhideWhenUsed/>
    <w:qFormat/>
    <w:uiPriority w:val="39"/>
    <w:pPr>
      <w:tabs>
        <w:tab w:val="right" w:leader="dot" w:pos="8296"/>
      </w:tabs>
      <w:ind w:firstLine="0" w:firstLineChars="0"/>
    </w:pPr>
    <w:rPr>
      <w:rFonts w:ascii="Times New Roman" w:hAnsi="Times New Roman"/>
    </w:rPr>
  </w:style>
  <w:style w:type="paragraph" w:styleId="18">
    <w:name w:val="Normal (Web)"/>
    <w:basedOn w:val="1"/>
    <w:autoRedefine/>
    <w:unhideWhenUsed/>
    <w:qFormat/>
    <w:uiPriority w:val="99"/>
    <w:pPr>
      <w:spacing w:beforeAutospacing="1" w:afterAutospacing="1"/>
      <w:jc w:val="left"/>
    </w:pPr>
    <w:rPr>
      <w:rFonts w:cs="Times New Roman"/>
      <w:kern w:val="0"/>
    </w:rPr>
  </w:style>
  <w:style w:type="paragraph" w:styleId="19">
    <w:name w:val="Title"/>
    <w:basedOn w:val="1"/>
    <w:next w:val="1"/>
    <w:link w:val="36"/>
    <w:autoRedefine/>
    <w:qFormat/>
    <w:uiPriority w:val="10"/>
    <w:pPr>
      <w:adjustRightInd w:val="0"/>
      <w:snapToGrid w:val="0"/>
    </w:pPr>
    <w:rPr>
      <w:rFonts w:ascii="黑体" w:hAnsi="黑体" w:eastAsia="黑体"/>
      <w:sz w:val="44"/>
      <w:szCs w:val="44"/>
    </w:rPr>
  </w:style>
  <w:style w:type="paragraph" w:styleId="20">
    <w:name w:val="annotation subject"/>
    <w:basedOn w:val="7"/>
    <w:next w:val="7"/>
    <w:link w:val="44"/>
    <w:autoRedefine/>
    <w:semiHidden/>
    <w:unhideWhenUsed/>
    <w:qFormat/>
    <w:uiPriority w:val="99"/>
    <w:rPr>
      <w:b/>
      <w:bCs/>
    </w:rPr>
  </w:style>
  <w:style w:type="table" w:styleId="22">
    <w:name w:val="Table Grid"/>
    <w:basedOn w:val="21"/>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autoRedefine/>
    <w:qFormat/>
    <w:uiPriority w:val="22"/>
    <w:rPr>
      <w:rFonts w:ascii="Arial" w:hAnsi="Arial" w:eastAsia="黑体"/>
      <w:bCs/>
    </w:rPr>
  </w:style>
  <w:style w:type="character" w:styleId="25">
    <w:name w:val="endnote reference"/>
    <w:basedOn w:val="23"/>
    <w:autoRedefine/>
    <w:semiHidden/>
    <w:unhideWhenUsed/>
    <w:qFormat/>
    <w:uiPriority w:val="99"/>
    <w:rPr>
      <w:vertAlign w:val="superscript"/>
    </w:rPr>
  </w:style>
  <w:style w:type="character" w:styleId="26">
    <w:name w:val="FollowedHyperlink"/>
    <w:basedOn w:val="23"/>
    <w:autoRedefine/>
    <w:semiHidden/>
    <w:unhideWhenUsed/>
    <w:qFormat/>
    <w:uiPriority w:val="99"/>
    <w:rPr>
      <w:color w:val="954F72" w:themeColor="followedHyperlink"/>
      <w:u w:val="single"/>
      <w14:textFill>
        <w14:solidFill>
          <w14:schemeClr w14:val="folHlink"/>
        </w14:solidFill>
      </w14:textFill>
    </w:rPr>
  </w:style>
  <w:style w:type="character" w:styleId="27">
    <w:name w:val="line number"/>
    <w:basedOn w:val="23"/>
    <w:autoRedefine/>
    <w:semiHidden/>
    <w:unhideWhenUsed/>
    <w:qFormat/>
    <w:uiPriority w:val="99"/>
  </w:style>
  <w:style w:type="character" w:styleId="28">
    <w:name w:val="Hyperlink"/>
    <w:basedOn w:val="23"/>
    <w:autoRedefine/>
    <w:unhideWhenUsed/>
    <w:qFormat/>
    <w:uiPriority w:val="99"/>
    <w:rPr>
      <w:color w:val="0563C1" w:themeColor="hyperlink"/>
      <w:u w:val="single"/>
      <w14:textFill>
        <w14:solidFill>
          <w14:schemeClr w14:val="hlink"/>
        </w14:solidFill>
      </w14:textFill>
    </w:rPr>
  </w:style>
  <w:style w:type="character" w:styleId="29">
    <w:name w:val="annotation reference"/>
    <w:basedOn w:val="23"/>
    <w:autoRedefine/>
    <w:unhideWhenUsed/>
    <w:qFormat/>
    <w:uiPriority w:val="0"/>
    <w:rPr>
      <w:sz w:val="21"/>
      <w:szCs w:val="21"/>
    </w:rPr>
  </w:style>
  <w:style w:type="character" w:styleId="30">
    <w:name w:val="footnote reference"/>
    <w:basedOn w:val="23"/>
    <w:autoRedefine/>
    <w:unhideWhenUsed/>
    <w:qFormat/>
    <w:uiPriority w:val="0"/>
    <w:rPr>
      <w:vertAlign w:val="superscript"/>
    </w:rPr>
  </w:style>
  <w:style w:type="character" w:customStyle="1" w:styleId="31">
    <w:name w:val="标题 1 字符"/>
    <w:basedOn w:val="23"/>
    <w:link w:val="2"/>
    <w:autoRedefine/>
    <w:qFormat/>
    <w:uiPriority w:val="9"/>
    <w:rPr>
      <w:rFonts w:ascii="仿宋" w:hAnsi="仿宋" w:eastAsia="仿宋" w:cs="楷体"/>
      <w:color w:val="000000" w:themeColor="text1"/>
      <w:sz w:val="28"/>
      <w:szCs w:val="28"/>
      <w:lang w:val="en-GB"/>
      <w14:textFill>
        <w14:solidFill>
          <w14:schemeClr w14:val="tx1"/>
        </w14:solidFill>
      </w14:textFill>
    </w:rPr>
  </w:style>
  <w:style w:type="character" w:customStyle="1" w:styleId="32">
    <w:name w:val="标题 2 字符"/>
    <w:basedOn w:val="23"/>
    <w:link w:val="4"/>
    <w:autoRedefine/>
    <w:qFormat/>
    <w:uiPriority w:val="9"/>
    <w:rPr>
      <w:rFonts w:ascii="仿宋" w:hAnsi="仿宋" w:eastAsia="仿宋" w:cs="楷体"/>
      <w:b/>
      <w:bCs/>
      <w:color w:val="000000" w:themeColor="text1"/>
      <w:sz w:val="28"/>
      <w:szCs w:val="28"/>
      <w14:textFill>
        <w14:solidFill>
          <w14:schemeClr w14:val="tx1"/>
        </w14:solidFill>
      </w14:textFill>
    </w:rPr>
  </w:style>
  <w:style w:type="character" w:customStyle="1" w:styleId="33">
    <w:name w:val="标题 3 字符"/>
    <w:basedOn w:val="23"/>
    <w:link w:val="5"/>
    <w:autoRedefine/>
    <w:qFormat/>
    <w:uiPriority w:val="9"/>
    <w:rPr>
      <w:rFonts w:ascii="Times New Roman" w:hAnsi="Times New Roman" w:eastAsia="宋体" w:cs="Times New Roman"/>
      <w:color w:val="000000" w:themeColor="text1"/>
      <w:kern w:val="2"/>
      <w:sz w:val="24"/>
      <w:szCs w:val="22"/>
      <w14:textFill>
        <w14:solidFill>
          <w14:schemeClr w14:val="tx1"/>
        </w14:solidFill>
      </w14:textFill>
    </w:rPr>
  </w:style>
  <w:style w:type="character" w:customStyle="1" w:styleId="34">
    <w:name w:val="页眉 字符"/>
    <w:basedOn w:val="23"/>
    <w:link w:val="14"/>
    <w:autoRedefine/>
    <w:qFormat/>
    <w:uiPriority w:val="99"/>
    <w:rPr>
      <w:rFonts w:ascii="宋体" w:hAnsi="宋体" w:eastAsia="宋体"/>
      <w:sz w:val="18"/>
      <w:szCs w:val="18"/>
    </w:rPr>
  </w:style>
  <w:style w:type="character" w:customStyle="1" w:styleId="35">
    <w:name w:val="页脚 字符"/>
    <w:basedOn w:val="23"/>
    <w:link w:val="13"/>
    <w:autoRedefine/>
    <w:qFormat/>
    <w:uiPriority w:val="99"/>
    <w:rPr>
      <w:rFonts w:ascii="宋体" w:hAnsi="宋体" w:eastAsia="宋体"/>
      <w:sz w:val="18"/>
      <w:szCs w:val="18"/>
    </w:rPr>
  </w:style>
  <w:style w:type="character" w:customStyle="1" w:styleId="36">
    <w:name w:val="标题 字符"/>
    <w:basedOn w:val="23"/>
    <w:link w:val="19"/>
    <w:autoRedefine/>
    <w:qFormat/>
    <w:uiPriority w:val="10"/>
    <w:rPr>
      <w:rFonts w:ascii="黑体" w:hAnsi="黑体" w:eastAsia="黑体"/>
      <w:sz w:val="44"/>
      <w:szCs w:val="44"/>
    </w:rPr>
  </w:style>
  <w:style w:type="character" w:customStyle="1" w:styleId="37">
    <w:name w:val="文档结构图 字符"/>
    <w:basedOn w:val="23"/>
    <w:link w:val="6"/>
    <w:autoRedefine/>
    <w:semiHidden/>
    <w:qFormat/>
    <w:uiPriority w:val="99"/>
    <w:rPr>
      <w:rFonts w:ascii="宋体" w:eastAsia="宋体"/>
      <w:sz w:val="18"/>
      <w:szCs w:val="18"/>
      <w14:ligatures w14:val="none"/>
    </w:rPr>
  </w:style>
  <w:style w:type="character" w:customStyle="1" w:styleId="38">
    <w:name w:val="批注文字 字符"/>
    <w:basedOn w:val="23"/>
    <w:link w:val="7"/>
    <w:autoRedefine/>
    <w:qFormat/>
    <w:uiPriority w:val="0"/>
    <w:rPr>
      <w:rFonts w:eastAsia="宋体"/>
      <w:sz w:val="24"/>
      <w:szCs w:val="22"/>
      <w14:ligatures w14:val="none"/>
    </w:rPr>
  </w:style>
  <w:style w:type="character" w:customStyle="1" w:styleId="39">
    <w:name w:val="正文文本 字符"/>
    <w:basedOn w:val="23"/>
    <w:link w:val="8"/>
    <w:autoRedefine/>
    <w:qFormat/>
    <w:uiPriority w:val="0"/>
    <w:rPr>
      <w:rFonts w:ascii="宋体" w:hAnsi="宋体" w:eastAsia="宋体" w:cs="宋体"/>
      <w:sz w:val="28"/>
      <w:szCs w:val="28"/>
      <w14:ligatures w14:val="none"/>
    </w:rPr>
  </w:style>
  <w:style w:type="character" w:customStyle="1" w:styleId="40">
    <w:name w:val="日期 字符"/>
    <w:basedOn w:val="23"/>
    <w:link w:val="10"/>
    <w:autoRedefine/>
    <w:semiHidden/>
    <w:qFormat/>
    <w:uiPriority w:val="99"/>
    <w:rPr>
      <w:rFonts w:eastAsia="宋体"/>
      <w:sz w:val="24"/>
      <w:szCs w:val="22"/>
      <w14:ligatures w14:val="none"/>
    </w:rPr>
  </w:style>
  <w:style w:type="character" w:customStyle="1" w:styleId="41">
    <w:name w:val="尾注文本 字符"/>
    <w:basedOn w:val="23"/>
    <w:link w:val="11"/>
    <w:autoRedefine/>
    <w:semiHidden/>
    <w:qFormat/>
    <w:uiPriority w:val="99"/>
    <w:rPr>
      <w:rFonts w:ascii="Times New Roman" w:hAnsi="Times New Roman" w:eastAsia="Times New Roman" w:cs="Times New Roman"/>
      <w:kern w:val="0"/>
      <w:sz w:val="24"/>
      <w:szCs w:val="20"/>
      <w14:ligatures w14:val="none"/>
    </w:rPr>
  </w:style>
  <w:style w:type="character" w:customStyle="1" w:styleId="42">
    <w:name w:val="批注框文本 字符"/>
    <w:basedOn w:val="23"/>
    <w:link w:val="12"/>
    <w:autoRedefine/>
    <w:semiHidden/>
    <w:qFormat/>
    <w:uiPriority w:val="99"/>
    <w:rPr>
      <w:rFonts w:eastAsia="宋体"/>
      <w:sz w:val="18"/>
      <w:szCs w:val="18"/>
      <w14:ligatures w14:val="none"/>
    </w:rPr>
  </w:style>
  <w:style w:type="character" w:customStyle="1" w:styleId="43">
    <w:name w:val="脚注文本 字符"/>
    <w:basedOn w:val="23"/>
    <w:link w:val="16"/>
    <w:autoRedefine/>
    <w:qFormat/>
    <w:uiPriority w:val="99"/>
    <w:rPr>
      <w:szCs w:val="20"/>
      <w14:ligatures w14:val="none"/>
    </w:rPr>
  </w:style>
  <w:style w:type="character" w:customStyle="1" w:styleId="44">
    <w:name w:val="批注主题 字符"/>
    <w:basedOn w:val="38"/>
    <w:link w:val="20"/>
    <w:autoRedefine/>
    <w:semiHidden/>
    <w:qFormat/>
    <w:uiPriority w:val="99"/>
    <w:rPr>
      <w:rFonts w:eastAsia="宋体"/>
      <w:b/>
      <w:bCs/>
      <w:sz w:val="24"/>
      <w:szCs w:val="22"/>
      <w14:ligatures w14:val="none"/>
    </w:rPr>
  </w:style>
  <w:style w:type="paragraph" w:customStyle="1" w:styleId="45">
    <w:name w:val="TOC 标题1"/>
    <w:basedOn w:val="2"/>
    <w:next w:val="1"/>
    <w:autoRedefine/>
    <w:unhideWhenUsed/>
    <w:qFormat/>
    <w:uiPriority w:val="39"/>
    <w:pPr>
      <w:keepNext/>
      <w:keepLines/>
      <w:widowControl/>
      <w:adjustRightInd/>
      <w:snapToGrid/>
      <w:spacing w:before="156" w:line="276" w:lineRule="auto"/>
      <w:ind w:right="-485"/>
      <w:jc w:val="center"/>
      <w:outlineLvl w:val="9"/>
    </w:pPr>
    <w:rPr>
      <w:rFonts w:cstheme="minorBidi"/>
      <w:color w:val="auto"/>
      <w:kern w:val="2"/>
      <w:lang w:val="en-US"/>
    </w:rPr>
  </w:style>
  <w:style w:type="character" w:customStyle="1" w:styleId="46">
    <w:name w:val="fontstyle01"/>
    <w:basedOn w:val="23"/>
    <w:autoRedefine/>
    <w:qFormat/>
    <w:uiPriority w:val="0"/>
    <w:rPr>
      <w:rFonts w:hint="eastAsia" w:ascii="宋体" w:hAnsi="宋体" w:eastAsia="宋体"/>
      <w:color w:val="000000"/>
      <w:sz w:val="24"/>
      <w:szCs w:val="24"/>
    </w:rPr>
  </w:style>
  <w:style w:type="character" w:customStyle="1" w:styleId="47">
    <w:name w:val="font21"/>
    <w:basedOn w:val="23"/>
    <w:autoRedefine/>
    <w:qFormat/>
    <w:uiPriority w:val="0"/>
    <w:rPr>
      <w:rFonts w:hint="eastAsia" w:ascii="宋体" w:hAnsi="宋体" w:eastAsia="宋体" w:cs="宋体"/>
      <w:b/>
      <w:bCs/>
      <w:color w:val="000000"/>
      <w:sz w:val="21"/>
      <w:szCs w:val="21"/>
      <w:u w:val="none"/>
    </w:rPr>
  </w:style>
  <w:style w:type="character" w:customStyle="1" w:styleId="48">
    <w:name w:val="font41"/>
    <w:basedOn w:val="23"/>
    <w:autoRedefine/>
    <w:qFormat/>
    <w:uiPriority w:val="0"/>
    <w:rPr>
      <w:rFonts w:hint="default" w:ascii="Times New Roman" w:hAnsi="Times New Roman" w:cs="Times New Roman"/>
      <w:b/>
      <w:bCs/>
      <w:color w:val="000000"/>
      <w:sz w:val="21"/>
      <w:szCs w:val="21"/>
      <w:u w:val="none"/>
    </w:rPr>
  </w:style>
  <w:style w:type="character" w:customStyle="1" w:styleId="49">
    <w:name w:val="@他1"/>
    <w:basedOn w:val="23"/>
    <w:autoRedefine/>
    <w:unhideWhenUsed/>
    <w:qFormat/>
    <w:uiPriority w:val="99"/>
    <w:rPr>
      <w:color w:val="2B579A"/>
      <w:shd w:val="clear" w:color="auto" w:fill="E1DFDD"/>
    </w:rPr>
  </w:style>
  <w:style w:type="paragraph" w:customStyle="1" w:styleId="50">
    <w:name w:val="修订1"/>
    <w:autoRedefine/>
    <w:hidden/>
    <w:semiHidden/>
    <w:qFormat/>
    <w:uiPriority w:val="99"/>
    <w:rPr>
      <w:rFonts w:eastAsia="宋体" w:asciiTheme="minorHAnsi" w:hAnsiTheme="minorHAnsi" w:cstheme="minorBidi"/>
      <w:kern w:val="2"/>
      <w:sz w:val="24"/>
      <w:szCs w:val="22"/>
      <w:lang w:val="en-US" w:eastAsia="zh-CN" w:bidi="ar-SA"/>
    </w:rPr>
  </w:style>
  <w:style w:type="table" w:customStyle="1" w:styleId="51">
    <w:name w:val="网格型1"/>
    <w:basedOn w:val="21"/>
    <w:autoRedefine/>
    <w:qFormat/>
    <w:uiPriority w:val="39"/>
    <w:rPr>
      <w:rFonts w:ascii="Verdana" w:hAnsi="Verdana"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2">
    <w:name w:val="访问过的超链接1"/>
    <w:basedOn w:val="23"/>
    <w:autoRedefine/>
    <w:semiHidden/>
    <w:unhideWhenUsed/>
    <w:qFormat/>
    <w:uiPriority w:val="99"/>
    <w:rPr>
      <w:color w:val="954F72"/>
      <w:u w:val="single"/>
    </w:rPr>
  </w:style>
  <w:style w:type="character" w:customStyle="1" w:styleId="53">
    <w:name w:val="Body Text Char1"/>
    <w:basedOn w:val="23"/>
    <w:autoRedefine/>
    <w:semiHidden/>
    <w:qFormat/>
    <w:uiPriority w:val="99"/>
    <w:rPr>
      <w:sz w:val="20"/>
      <w:lang w:val="en-GB"/>
    </w:rPr>
  </w:style>
  <w:style w:type="paragraph" w:customStyle="1" w:styleId="54">
    <w:name w:val="Table Paragraph"/>
    <w:basedOn w:val="1"/>
    <w:autoRedefine/>
    <w:qFormat/>
    <w:uiPriority w:val="1"/>
    <w:pPr>
      <w:spacing w:line="240" w:lineRule="auto"/>
      <w:ind w:firstLine="0" w:firstLineChars="0"/>
      <w:jc w:val="left"/>
    </w:pPr>
    <w:rPr>
      <w:rFonts w:ascii="Verdana" w:hAnsi="Verdana" w:cs="Times New Roman"/>
      <w:kern w:val="0"/>
      <w:sz w:val="22"/>
      <w:szCs w:val="24"/>
      <w:lang w:eastAsia="en-US"/>
    </w:rPr>
  </w:style>
  <w:style w:type="paragraph" w:customStyle="1" w:styleId="55">
    <w:name w:val="Revision1"/>
    <w:autoRedefine/>
    <w:hidden/>
    <w:semiHidden/>
    <w:qFormat/>
    <w:uiPriority w:val="99"/>
    <w:rPr>
      <w:rFonts w:ascii="Verdana" w:hAnsi="Verdana" w:eastAsia="宋体" w:cs="Times New Roman"/>
      <w:szCs w:val="22"/>
      <w:lang w:val="en-GB" w:eastAsia="zh-CN" w:bidi="ar-SA"/>
    </w:rPr>
  </w:style>
  <w:style w:type="character" w:customStyle="1" w:styleId="56">
    <w:name w:val="font11"/>
    <w:autoRedefine/>
    <w:qFormat/>
    <w:uiPriority w:val="0"/>
    <w:rPr>
      <w:rFonts w:hint="eastAsia" w:ascii="宋体" w:hAnsi="宋体" w:eastAsia="宋体" w:cs="宋体"/>
      <w:color w:val="000000"/>
      <w:sz w:val="21"/>
      <w:szCs w:val="21"/>
      <w:u w:val="none"/>
    </w:rPr>
  </w:style>
  <w:style w:type="table" w:customStyle="1" w:styleId="57">
    <w:name w:val="Table Normal1"/>
    <w:autoRedefine/>
    <w:semiHidden/>
    <w:unhideWhenUsed/>
    <w:qFormat/>
    <w:uiPriority w:val="2"/>
    <w:pPr>
      <w:widowControl w:val="0"/>
    </w:pPr>
    <w:rPr>
      <w:rFonts w:ascii="Verdana" w:hAnsi="Verdana" w:eastAsia="宋体" w:cs="Times New Roman"/>
      <w:lang w:eastAsia="en-US"/>
    </w:rPr>
    <w:tblPr>
      <w:tblCellMar>
        <w:top w:w="0" w:type="dxa"/>
        <w:left w:w="0" w:type="dxa"/>
        <w:bottom w:w="0" w:type="dxa"/>
        <w:right w:w="0" w:type="dxa"/>
      </w:tblCellMar>
    </w:tblPr>
  </w:style>
  <w:style w:type="table" w:customStyle="1" w:styleId="58">
    <w:name w:val="Table Grid1"/>
    <w:basedOn w:val="21"/>
    <w:autoRedefine/>
    <w:qFormat/>
    <w:uiPriority w:val="39"/>
    <w:rPr>
      <w:rFonts w:ascii="Verdana" w:hAnsi="Verdana" w:eastAsia="宋体" w:cs="Times New Roman"/>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9">
    <w:name w:val="列表段落 字符"/>
    <w:link w:val="3"/>
    <w:autoRedefine/>
    <w:qFormat/>
    <w:uiPriority w:val="34"/>
  </w:style>
  <w:style w:type="paragraph" w:customStyle="1" w:styleId="60">
    <w:name w:val="无间隔1"/>
    <w:next w:val="61"/>
    <w:autoRedefine/>
    <w:qFormat/>
    <w:uiPriority w:val="1"/>
    <w:pPr>
      <w:ind w:left="870"/>
      <w:jc w:val="right"/>
    </w:pPr>
    <w:rPr>
      <w:rFonts w:ascii="华文细黑" w:hAnsi="华文细黑" w:eastAsia="华文细黑" w:cs="Times New Roman"/>
      <w:sz w:val="24"/>
      <w:szCs w:val="22"/>
      <w:lang w:val="en-US" w:eastAsia="zh-CN" w:bidi="ar-SA"/>
    </w:rPr>
  </w:style>
  <w:style w:type="paragraph" w:styleId="61">
    <w:name w:val="No Spacing"/>
    <w:autoRedefine/>
    <w:unhideWhenUsed/>
    <w:qFormat/>
    <w:uiPriority w:val="99"/>
    <w:pPr>
      <w:widowControl w:val="0"/>
      <w:ind w:firstLine="200" w:firstLineChars="200"/>
      <w:jc w:val="both"/>
    </w:pPr>
    <w:rPr>
      <w:rFonts w:eastAsia="宋体" w:asciiTheme="minorHAnsi" w:hAnsiTheme="minorHAnsi" w:cstheme="minorBidi"/>
      <w:kern w:val="2"/>
      <w:sz w:val="24"/>
      <w:szCs w:val="22"/>
      <w:lang w:val="en-US" w:eastAsia="zh-CN" w:bidi="ar-SA"/>
    </w:rPr>
  </w:style>
  <w:style w:type="paragraph" w:customStyle="1" w:styleId="62">
    <w:name w:val="修订2"/>
    <w:autoRedefine/>
    <w:hidden/>
    <w:semiHidden/>
    <w:qFormat/>
    <w:uiPriority w:val="99"/>
    <w:rPr>
      <w:rFonts w:ascii="Times New Roman" w:hAnsi="Times New Roman" w:eastAsia="Times New Roman" w:cs="Times New Roman"/>
      <w:sz w:val="24"/>
      <w:szCs w:val="24"/>
      <w:lang w:val="en-US" w:eastAsia="zh-CN" w:bidi="ar-SA"/>
    </w:rPr>
  </w:style>
  <w:style w:type="paragraph" w:customStyle="1" w:styleId="63">
    <w:name w:val="msonormal"/>
    <w:basedOn w:val="1"/>
    <w:autoRedefine/>
    <w:qFormat/>
    <w:uiPriority w:val="0"/>
    <w:pPr>
      <w:widowControl/>
      <w:spacing w:before="100" w:beforeAutospacing="1" w:after="100" w:afterAutospacing="1" w:line="240" w:lineRule="auto"/>
      <w:ind w:firstLine="0" w:firstLineChars="0"/>
      <w:jc w:val="left"/>
    </w:pPr>
    <w:rPr>
      <w:rFonts w:ascii="Times New Roman" w:hAnsi="Times New Roman" w:eastAsia="Times New Roman" w:cs="Times New Roman"/>
      <w:kern w:val="0"/>
      <w:szCs w:val="24"/>
    </w:rPr>
  </w:style>
  <w:style w:type="paragraph" w:customStyle="1" w:styleId="64">
    <w:name w:val="font5"/>
    <w:basedOn w:val="1"/>
    <w:autoRedefine/>
    <w:qFormat/>
    <w:uiPriority w:val="0"/>
    <w:pPr>
      <w:widowControl/>
      <w:spacing w:before="100" w:beforeAutospacing="1" w:after="100" w:afterAutospacing="1" w:line="240" w:lineRule="auto"/>
      <w:ind w:firstLine="0" w:firstLineChars="0"/>
      <w:jc w:val="left"/>
    </w:pPr>
    <w:rPr>
      <w:rFonts w:ascii="华文细黑" w:hAnsi="华文细黑" w:eastAsia="华文细黑" w:cs="Times New Roman"/>
      <w:b/>
      <w:bCs/>
      <w:color w:val="FFFFFF"/>
      <w:kern w:val="0"/>
      <w:sz w:val="20"/>
      <w:szCs w:val="20"/>
    </w:rPr>
  </w:style>
  <w:style w:type="paragraph" w:customStyle="1" w:styleId="65">
    <w:name w:val="xl65"/>
    <w:basedOn w:val="1"/>
    <w:autoRedefine/>
    <w:qFormat/>
    <w:uiPriority w:val="0"/>
    <w:pPr>
      <w:widowControl/>
      <w:pBdr>
        <w:top w:val="single" w:color="auto" w:sz="8" w:space="0"/>
        <w:left w:val="single" w:color="auto" w:sz="8" w:space="0"/>
        <w:bottom w:val="single" w:color="auto" w:sz="8" w:space="0"/>
        <w:right w:val="single" w:color="auto" w:sz="8" w:space="0"/>
      </w:pBdr>
      <w:shd w:val="clear" w:color="000000" w:fill="0070C0"/>
      <w:spacing w:before="100" w:beforeAutospacing="1" w:after="100" w:afterAutospacing="1" w:line="240" w:lineRule="auto"/>
      <w:ind w:firstLine="0" w:firstLineChars="0"/>
      <w:jc w:val="center"/>
      <w:textAlignment w:val="center"/>
    </w:pPr>
    <w:rPr>
      <w:rFonts w:ascii="Verdana" w:hAnsi="Verdana" w:eastAsia="Times New Roman" w:cs="Times New Roman"/>
      <w:kern w:val="0"/>
      <w:sz w:val="20"/>
      <w:szCs w:val="20"/>
    </w:rPr>
  </w:style>
  <w:style w:type="paragraph" w:customStyle="1" w:styleId="66">
    <w:name w:val="xl66"/>
    <w:basedOn w:val="1"/>
    <w:autoRedefine/>
    <w:qFormat/>
    <w:uiPriority w:val="0"/>
    <w:pPr>
      <w:widowControl/>
      <w:pBdr>
        <w:top w:val="single" w:color="auto" w:sz="8" w:space="0"/>
        <w:bottom w:val="single" w:color="auto" w:sz="8" w:space="0"/>
        <w:right w:val="single" w:color="auto" w:sz="8" w:space="0"/>
      </w:pBdr>
      <w:shd w:val="clear" w:color="000000" w:fill="0070C0"/>
      <w:spacing w:before="100" w:beforeAutospacing="1" w:after="100" w:afterAutospacing="1" w:line="240" w:lineRule="auto"/>
      <w:ind w:firstLine="0" w:firstLineChars="0"/>
      <w:jc w:val="center"/>
      <w:textAlignment w:val="center"/>
    </w:pPr>
    <w:rPr>
      <w:rFonts w:ascii="华文细黑" w:hAnsi="华文细黑" w:eastAsia="华文细黑" w:cs="Times New Roman"/>
      <w:b/>
      <w:bCs/>
      <w:color w:val="FFFFFF"/>
      <w:kern w:val="0"/>
      <w:sz w:val="20"/>
      <w:szCs w:val="20"/>
    </w:rPr>
  </w:style>
  <w:style w:type="paragraph" w:customStyle="1" w:styleId="67">
    <w:name w:val="xl67"/>
    <w:basedOn w:val="1"/>
    <w:autoRedefine/>
    <w:qFormat/>
    <w:uiPriority w:val="0"/>
    <w:pPr>
      <w:widowControl/>
      <w:pBdr>
        <w:top w:val="single" w:color="auto" w:sz="8" w:space="0"/>
        <w:bottom w:val="single" w:color="auto" w:sz="8" w:space="0"/>
        <w:right w:val="single" w:color="auto" w:sz="8" w:space="0"/>
      </w:pBdr>
      <w:shd w:val="clear" w:color="000000" w:fill="0070C0"/>
      <w:spacing w:before="100" w:beforeAutospacing="1" w:after="100" w:afterAutospacing="1" w:line="240" w:lineRule="auto"/>
      <w:ind w:firstLine="0" w:firstLineChars="0"/>
      <w:jc w:val="center"/>
      <w:textAlignment w:val="center"/>
    </w:pPr>
    <w:rPr>
      <w:rFonts w:ascii="Verdana" w:hAnsi="Verdana" w:eastAsia="Times New Roman" w:cs="Times New Roman"/>
      <w:b/>
      <w:bCs/>
      <w:color w:val="FFFFFF"/>
      <w:kern w:val="0"/>
      <w:sz w:val="20"/>
      <w:szCs w:val="20"/>
    </w:rPr>
  </w:style>
  <w:style w:type="paragraph" w:customStyle="1" w:styleId="68">
    <w:name w:val="xl68"/>
    <w:basedOn w:val="1"/>
    <w:autoRedefine/>
    <w:qFormat/>
    <w:uiPriority w:val="0"/>
    <w:pPr>
      <w:widowControl/>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Verdana" w:hAnsi="Verdana" w:eastAsia="Times New Roman" w:cs="Times New Roman"/>
      <w:b/>
      <w:bCs/>
      <w:color w:val="000000"/>
      <w:kern w:val="0"/>
      <w:sz w:val="20"/>
      <w:szCs w:val="20"/>
    </w:rPr>
  </w:style>
  <w:style w:type="paragraph" w:customStyle="1" w:styleId="69">
    <w:name w:val="xl69"/>
    <w:basedOn w:val="1"/>
    <w:autoRedefine/>
    <w:qFormat/>
    <w:uiPriority w:val="0"/>
    <w:pPr>
      <w:widowControl/>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Verdana" w:hAnsi="Verdana" w:eastAsia="Times New Roman" w:cs="Times New Roman"/>
      <w:color w:val="000000"/>
      <w:kern w:val="0"/>
      <w:sz w:val="20"/>
      <w:szCs w:val="20"/>
    </w:rPr>
  </w:style>
  <w:style w:type="paragraph" w:customStyle="1" w:styleId="70">
    <w:name w:val="xl70"/>
    <w:basedOn w:val="1"/>
    <w:autoRedefine/>
    <w:qFormat/>
    <w:uiPriority w:val="0"/>
    <w:pPr>
      <w:widowControl/>
      <w:pBdr>
        <w:top w:val="single" w:color="auto" w:sz="8" w:space="0"/>
        <w:left w:val="single" w:color="auto" w:sz="8" w:space="0"/>
        <w:bottom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71">
    <w:name w:val="xl71"/>
    <w:basedOn w:val="1"/>
    <w:autoRedefine/>
    <w:qFormat/>
    <w:uiPriority w:val="0"/>
    <w:pPr>
      <w:widowControl/>
      <w:pBdr>
        <w:top w:val="single" w:color="auto" w:sz="8" w:space="0"/>
        <w:bottom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72">
    <w:name w:val="xl72"/>
    <w:basedOn w:val="1"/>
    <w:autoRedefine/>
    <w:qFormat/>
    <w:uiPriority w:val="0"/>
    <w:pPr>
      <w:widowControl/>
      <w:pBdr>
        <w:top w:val="single" w:color="auto" w:sz="8" w:space="0"/>
        <w:bottom w:val="single" w:color="auto" w:sz="8" w:space="0"/>
        <w:right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73">
    <w:name w:val="xl7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Verdana" w:hAnsi="Verdana" w:eastAsia="Times New Roman" w:cs="Times New Roman"/>
      <w:kern w:val="0"/>
      <w:sz w:val="20"/>
      <w:szCs w:val="20"/>
    </w:rPr>
  </w:style>
  <w:style w:type="paragraph" w:customStyle="1" w:styleId="74">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Verdana" w:hAnsi="Verdana" w:eastAsia="Times New Roman" w:cs="Times New Roman"/>
      <w:b/>
      <w:bCs/>
      <w:kern w:val="0"/>
      <w:sz w:val="20"/>
      <w:szCs w:val="20"/>
    </w:rPr>
  </w:style>
  <w:style w:type="paragraph" w:customStyle="1" w:styleId="75">
    <w:name w:val="xl75"/>
    <w:basedOn w:val="1"/>
    <w:autoRedefine/>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Verdana" w:hAnsi="Verdana" w:eastAsia="Times New Roman" w:cs="Times New Roman"/>
      <w:color w:val="000000"/>
      <w:kern w:val="0"/>
      <w:sz w:val="20"/>
      <w:szCs w:val="20"/>
    </w:rPr>
  </w:style>
  <w:style w:type="paragraph" w:customStyle="1" w:styleId="76">
    <w:name w:val="xl76"/>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kern w:val="0"/>
      <w:sz w:val="20"/>
      <w:szCs w:val="20"/>
    </w:rPr>
  </w:style>
  <w:style w:type="paragraph" w:customStyle="1" w:styleId="77">
    <w:name w:val="xl77"/>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kern w:val="0"/>
      <w:sz w:val="20"/>
      <w:szCs w:val="20"/>
    </w:rPr>
  </w:style>
  <w:style w:type="paragraph" w:customStyle="1" w:styleId="78">
    <w:name w:val="xl78"/>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kern w:val="0"/>
      <w:sz w:val="20"/>
      <w:szCs w:val="20"/>
    </w:rPr>
  </w:style>
  <w:style w:type="paragraph" w:customStyle="1" w:styleId="79">
    <w:name w:val="xl79"/>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华文细黑" w:hAnsi="华文细黑" w:eastAsia="华文细黑" w:cs="Times New Roman"/>
      <w:b/>
      <w:bCs/>
      <w:kern w:val="0"/>
      <w:sz w:val="20"/>
      <w:szCs w:val="20"/>
    </w:rPr>
  </w:style>
  <w:style w:type="paragraph" w:customStyle="1" w:styleId="80">
    <w:name w:val="xl80"/>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b/>
      <w:bCs/>
      <w:kern w:val="0"/>
      <w:sz w:val="20"/>
      <w:szCs w:val="20"/>
    </w:rPr>
  </w:style>
  <w:style w:type="paragraph" w:customStyle="1" w:styleId="81">
    <w:name w:val="xl81"/>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b/>
      <w:bCs/>
      <w:kern w:val="0"/>
      <w:sz w:val="20"/>
      <w:szCs w:val="20"/>
    </w:rPr>
  </w:style>
  <w:style w:type="paragraph" w:customStyle="1" w:styleId="82">
    <w:name w:val="xl82"/>
    <w:basedOn w:val="1"/>
    <w:autoRedefine/>
    <w:qFormat/>
    <w:uiPriority w:val="0"/>
    <w:pPr>
      <w:widowControl/>
      <w:pBdr>
        <w:top w:val="single" w:color="auto" w:sz="8" w:space="0"/>
        <w:left w:val="single" w:color="auto" w:sz="8" w:space="0"/>
        <w:bottom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83">
    <w:name w:val="xl83"/>
    <w:basedOn w:val="1"/>
    <w:autoRedefine/>
    <w:qFormat/>
    <w:uiPriority w:val="0"/>
    <w:pPr>
      <w:widowControl/>
      <w:pBdr>
        <w:top w:val="single" w:color="auto" w:sz="8" w:space="0"/>
        <w:bottom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84">
    <w:name w:val="xl84"/>
    <w:basedOn w:val="1"/>
    <w:autoRedefine/>
    <w:qFormat/>
    <w:uiPriority w:val="0"/>
    <w:pPr>
      <w:widowControl/>
      <w:pBdr>
        <w:top w:val="single" w:color="auto" w:sz="8" w:space="0"/>
        <w:bottom w:val="single" w:color="auto" w:sz="8" w:space="0"/>
        <w:right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85">
    <w:name w:val="xl85"/>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宋体" w:hAnsi="宋体" w:cs="Times New Roman"/>
      <w:kern w:val="0"/>
      <w:sz w:val="20"/>
      <w:szCs w:val="20"/>
    </w:rPr>
  </w:style>
  <w:style w:type="paragraph" w:customStyle="1" w:styleId="86">
    <w:name w:val="xl86"/>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color w:val="000000"/>
      <w:kern w:val="0"/>
      <w:sz w:val="20"/>
      <w:szCs w:val="20"/>
    </w:rPr>
  </w:style>
  <w:style w:type="paragraph" w:customStyle="1" w:styleId="87">
    <w:name w:val="xl87"/>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color w:val="000000"/>
      <w:kern w:val="0"/>
      <w:sz w:val="20"/>
      <w:szCs w:val="20"/>
    </w:rPr>
  </w:style>
  <w:style w:type="paragraph" w:customStyle="1" w:styleId="88">
    <w:name w:val="xl88"/>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i/>
      <w:iCs/>
      <w:color w:val="5B9BD5"/>
      <w:kern w:val="0"/>
      <w:sz w:val="20"/>
      <w:szCs w:val="20"/>
    </w:rPr>
  </w:style>
  <w:style w:type="paragraph" w:customStyle="1" w:styleId="89">
    <w:name w:val="xl89"/>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b/>
      <w:bCs/>
      <w:color w:val="000000"/>
      <w:kern w:val="0"/>
      <w:sz w:val="20"/>
      <w:szCs w:val="20"/>
    </w:rPr>
  </w:style>
  <w:style w:type="paragraph" w:customStyle="1" w:styleId="90">
    <w:name w:val="xl90"/>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right"/>
      <w:textAlignment w:val="center"/>
    </w:pPr>
    <w:rPr>
      <w:rFonts w:ascii="Verdana" w:hAnsi="Verdana" w:eastAsia="Times New Roman" w:cs="Times New Roman"/>
      <w:b/>
      <w:bCs/>
      <w:color w:val="000000"/>
      <w:kern w:val="0"/>
      <w:sz w:val="20"/>
      <w:szCs w:val="20"/>
    </w:rPr>
  </w:style>
  <w:style w:type="paragraph" w:customStyle="1" w:styleId="91">
    <w:name w:val="xl91"/>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Verdana" w:hAnsi="Verdana" w:eastAsia="Times New Roman" w:cs="Times New Roman"/>
      <w:b/>
      <w:bCs/>
      <w:color w:val="000000"/>
      <w:kern w:val="0"/>
      <w:sz w:val="20"/>
      <w:szCs w:val="20"/>
    </w:rPr>
  </w:style>
  <w:style w:type="paragraph" w:customStyle="1" w:styleId="92">
    <w:name w:val="xl92"/>
    <w:basedOn w:val="1"/>
    <w:autoRedefine/>
    <w:qFormat/>
    <w:uiPriority w:val="0"/>
    <w:pPr>
      <w:widowControl/>
      <w:pBdr>
        <w:bottom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93">
    <w:name w:val="xl93"/>
    <w:basedOn w:val="1"/>
    <w:autoRedefine/>
    <w:qFormat/>
    <w:uiPriority w:val="0"/>
    <w:pPr>
      <w:widowControl/>
      <w:pBdr>
        <w:bottom w:val="single" w:color="auto" w:sz="8" w:space="0"/>
        <w:right w:val="single" w:color="auto" w:sz="8" w:space="0"/>
      </w:pBdr>
      <w:spacing w:before="100" w:beforeAutospacing="1" w:after="100" w:afterAutospacing="1" w:line="240" w:lineRule="auto"/>
      <w:ind w:firstLine="0" w:firstLineChars="0"/>
      <w:jc w:val="left"/>
      <w:textAlignment w:val="center"/>
    </w:pPr>
    <w:rPr>
      <w:rFonts w:ascii="华文细黑" w:hAnsi="华文细黑" w:eastAsia="华文细黑" w:cs="Times New Roman"/>
      <w:b/>
      <w:bCs/>
      <w:color w:val="000000"/>
      <w:kern w:val="0"/>
      <w:sz w:val="20"/>
      <w:szCs w:val="20"/>
    </w:rPr>
  </w:style>
  <w:style w:type="paragraph" w:customStyle="1" w:styleId="94">
    <w:name w:val="修订3"/>
    <w:autoRedefine/>
    <w:hidden/>
    <w:unhideWhenUsed/>
    <w:qFormat/>
    <w:uiPriority w:val="99"/>
    <w:rPr>
      <w:rFonts w:eastAsia="宋体" w:asciiTheme="minorHAnsi" w:hAnsiTheme="minorHAnsi" w:cstheme="minorBidi"/>
      <w:kern w:val="2"/>
      <w:sz w:val="24"/>
      <w:szCs w:val="22"/>
      <w:lang w:val="en-US" w:eastAsia="zh-CN" w:bidi="ar-SA"/>
    </w:rPr>
  </w:style>
  <w:style w:type="paragraph" w:customStyle="1" w:styleId="95">
    <w:name w:val="Revision"/>
    <w:hidden/>
    <w:unhideWhenUsed/>
    <w:uiPriority w:val="99"/>
    <w:rPr>
      <w:rFonts w:eastAsia="宋体" w:asciiTheme="minorHAnsi" w:hAnsiTheme="minorHAnsi" w:cstheme="minorBidi"/>
      <w:kern w:val="2"/>
      <w:sz w:val="24"/>
      <w:szCs w:val="22"/>
      <w:lang w:val="en-US" w:eastAsia="zh-CN" w:bidi="ar-SA"/>
    </w:rPr>
  </w:style>
  <w:style w:type="character" w:customStyle="1" w:styleId="96">
    <w:name w:val="normaltextrun"/>
    <w:basedOn w:val="23"/>
    <w:uiPriority w:val="0"/>
  </w:style>
  <w:style w:type="character" w:customStyle="1" w:styleId="97">
    <w:name w:val="eop"/>
    <w:basedOn w:val="23"/>
    <w:uiPriority w:val="0"/>
  </w:style>
  <w:style w:type="table" w:customStyle="1" w:styleId="98">
    <w:name w:val="网格型2"/>
    <w:basedOn w:val="21"/>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chart" Target="charts/chart1.xml"/><Relationship Id="rId14" Type="http://schemas.openxmlformats.org/officeDocument/2006/relationships/theme" Target="theme/theme1.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仿宋" panose="02010609060101010101" pitchFamily="3" charset="-122"/>
                <a:ea typeface="仿宋" panose="02010609060101010101" pitchFamily="3" charset="-122"/>
                <a:cs typeface="+mn-cs"/>
              </a:defRPr>
            </a:pPr>
            <a:r>
              <a:rPr lang="zh-CN" altLang="en-US" sz="1000">
                <a:latin typeface="仿宋" panose="02010609060101010101" pitchFamily="3" charset="-122"/>
                <a:ea typeface="仿宋" panose="02010609060101010101" pitchFamily="3" charset="-122"/>
              </a:rPr>
              <a:t>单位：人民币万元</a:t>
            </a:r>
            <a:endParaRPr lang="zh-CN" altLang="en-US" sz="1000">
              <a:latin typeface="仿宋" panose="02010609060101010101" pitchFamily="3" charset="-122"/>
              <a:ea typeface="仿宋" panose="02010609060101010101" pitchFamily="3" charset="-122"/>
            </a:endParaRPr>
          </a:p>
        </c:rich>
      </c:tx>
      <c:layout>
        <c:manualLayout>
          <c:xMode val="edge"/>
          <c:yMode val="edge"/>
          <c:x val="0.702777777777778"/>
          <c:y val="0.0231481481481481"/>
        </c:manualLayout>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仿宋" panose="02010609060101010101" pitchFamily="3" charset="-122"/>
                    <a:ea typeface="仿宋" panose="02010609060101010101" pitchFamily="3" charset="-122"/>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现金流模拟测算表!$H$2:$S$2</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现金流模拟测算表!$H$24:$S$24</c:f>
              <c:numCache>
                <c:formatCode>_ * #,##0_ ;_ * \-#,##0_ ;_ * "-"??_ ;_ @_ </c:formatCode>
                <c:ptCount val="12"/>
                <c:pt idx="0">
                  <c:v>0</c:v>
                </c:pt>
                <c:pt idx="1">
                  <c:v>0</c:v>
                </c:pt>
                <c:pt idx="2">
                  <c:v>1832.57635808162</c:v>
                </c:pt>
                <c:pt idx="3">
                  <c:v>3665.15220457032</c:v>
                </c:pt>
                <c:pt idx="4">
                  <c:v>5497.72805105902</c:v>
                </c:pt>
                <c:pt idx="5">
                  <c:v>7330.30389754771</c:v>
                </c:pt>
                <c:pt idx="6">
                  <c:v>9162.87974403641</c:v>
                </c:pt>
                <c:pt idx="7">
                  <c:v>10995.4555905251</c:v>
                </c:pt>
                <c:pt idx="8">
                  <c:v>12828.0314370138</c:v>
                </c:pt>
                <c:pt idx="9">
                  <c:v>14660.6072835025</c:v>
                </c:pt>
                <c:pt idx="10">
                  <c:v>6502.22062999121</c:v>
                </c:pt>
                <c:pt idx="11">
                  <c:v>4658.32278386526</c:v>
                </c:pt>
              </c:numCache>
            </c:numRef>
          </c:val>
        </c:ser>
        <c:dLbls>
          <c:showLegendKey val="0"/>
          <c:showVal val="1"/>
          <c:showCatName val="0"/>
          <c:showSerName val="0"/>
          <c:showPercent val="0"/>
          <c:showBubbleSize val="0"/>
        </c:dLbls>
        <c:gapWidth val="219"/>
        <c:overlap val="-27"/>
        <c:axId val="1015394248"/>
        <c:axId val="1015397528"/>
      </c:barChart>
      <c:catAx>
        <c:axId val="1015394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仿宋" panose="02010609060101010101" pitchFamily="3" charset="-122"/>
                <a:ea typeface="仿宋" panose="02010609060101010101" pitchFamily="3" charset="-122"/>
                <a:cs typeface="+mn-cs"/>
              </a:defRPr>
            </a:pPr>
          </a:p>
        </c:txPr>
        <c:crossAx val="1015397528"/>
        <c:crosses val="autoZero"/>
        <c:auto val="1"/>
        <c:lblAlgn val="ctr"/>
        <c:lblOffset val="100"/>
        <c:noMultiLvlLbl val="0"/>
      </c:catAx>
      <c:valAx>
        <c:axId val="101539752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仿宋" panose="02010609060101010101" pitchFamily="3" charset="-122"/>
                <a:ea typeface="仿宋" panose="02010609060101010101" pitchFamily="3" charset="-122"/>
                <a:cs typeface="+mn-cs"/>
              </a:defRPr>
            </a:pPr>
          </a:p>
        </c:txPr>
        <c:crossAx val="1015394248"/>
        <c:crosses val="autoZero"/>
        <c:crossBetween val="between"/>
      </c:valAx>
      <c:spPr>
        <a:noFill/>
        <a:ln>
          <a:noFill/>
        </a:ln>
        <a:effectLst/>
      </c:spPr>
    </c:plotArea>
    <c:plotVisOnly val="1"/>
    <c:dispBlanksAs val="gap"/>
    <c:showDLblsOverMax val="0"/>
    <c:extLst>
      <c:ext uri="{0b15fc19-7d7d-44ad-8c2d-2c3a37ce22c3}">
        <chartProps xmlns="https://web.wps.cn/et/2018/main" chartId="{d90ce962-e4bd-4b55-94d8-06e160d007e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BDD55B-1196-4B39-BC8F-C851B6EBE8E1}">
  <ds:schemaRefs/>
</ds:datastoreItem>
</file>

<file path=docProps/app.xml><?xml version="1.0" encoding="utf-8"?>
<Properties xmlns="http://schemas.openxmlformats.org/officeDocument/2006/extended-properties" xmlns:vt="http://schemas.openxmlformats.org/officeDocument/2006/docPropsVTypes">
  <Template>Normal.dotm</Template>
  <Pages>26</Pages>
  <Words>4196</Words>
  <Characters>4817</Characters>
  <Lines>123</Lines>
  <Paragraphs>34</Paragraphs>
  <TotalTime>62</TotalTime>
  <ScaleCrop>false</ScaleCrop>
  <LinksUpToDate>false</LinksUpToDate>
  <CharactersWithSpaces>4925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2025-06-13T04:22:00Z</dcterms:created>
  <dc:creator>思雨 江</dc:creator>
  <cp:lastModifiedBy>大曼</cp:lastModifiedBy>
  <dcterms:modified xsi:type="dcterms:W3CDTF">2025-06-23T00:55:32Z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C1A4371A8C1A46C5BE8B49F041C780EA_13</vt:lpwstr>
  </property>
  <property fmtid="{D5CDD505-2E9C-101B-9397-08002B2CF9AE}" pid="4" name="KSOTemplateDocerSaveRecord">
    <vt:lpwstr>eyJoZGlkIjoiODFiYWIyZDE2ZDc4ODk0ZjRlN2RkNTM3MTU0MTQzOTgiLCJ1c2VySWQiOiIzMTY2Nzk3MDcifQ==</vt:lpwstr>
  </property>
</Properties>
</file>