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cs="宋体" w:asciiTheme="minorEastAsia" w:hAnsiTheme="minorEastAsia" w:eastAsiaTheme="minorEastAsia"/>
          <w:b/>
          <w:sz w:val="44"/>
          <w:szCs w:val="44"/>
        </w:rPr>
      </w:pPr>
    </w:p>
    <w:p>
      <w:pPr>
        <w:spacing w:line="720" w:lineRule="auto"/>
        <w:jc w:val="both"/>
        <w:rPr>
          <w:rFonts w:hint="eastAsia" w:cs="宋体" w:asciiTheme="minorEastAsia" w:hAnsiTheme="minorEastAsia" w:eastAsiaTheme="minorEastAsia"/>
          <w:b/>
          <w:sz w:val="44"/>
          <w:szCs w:val="44"/>
        </w:rPr>
      </w:pPr>
    </w:p>
    <w:p>
      <w:pPr>
        <w:pStyle w:val="3"/>
        <w:spacing w:line="600" w:lineRule="auto"/>
        <w:ind w:firstLine="883"/>
        <w:jc w:val="center"/>
        <w:rPr>
          <w:rFonts w:hint="eastAsia" w:cs="宋体" w:asciiTheme="minorEastAsia" w:hAnsiTheme="minorEastAsia" w:eastAsiaTheme="minorEastAsia"/>
          <w:sz w:val="44"/>
          <w:szCs w:val="44"/>
        </w:rPr>
      </w:pPr>
      <w:r>
        <w:rPr>
          <w:rFonts w:hint="eastAsia" w:cs="宋体" w:asciiTheme="minorEastAsia" w:hAnsiTheme="minorEastAsia" w:eastAsiaTheme="minorEastAsia"/>
          <w:sz w:val="44"/>
          <w:szCs w:val="44"/>
        </w:rPr>
        <w:t>2024年海南省政府专项债券（一期）、2024年海南省政府专项债券（八期）、2024年海南省政府专项债券（十五期）债券资金调整收益与融资自求平衡方案</w:t>
      </w:r>
    </w:p>
    <w:p>
      <w:pPr>
        <w:jc w:val="center"/>
        <w:rPr>
          <w:rFonts w:hint="eastAsia" w:cs="宋体" w:asciiTheme="minorEastAsia" w:hAnsiTheme="minorEastAsia" w:eastAsiaTheme="minorEastAsia"/>
          <w:b/>
          <w:bCs/>
          <w:sz w:val="44"/>
          <w:szCs w:val="44"/>
        </w:rPr>
      </w:pPr>
      <w:r>
        <w:rPr>
          <w:rFonts w:hint="eastAsia" w:cs="宋体" w:asciiTheme="minorEastAsia" w:hAnsiTheme="minorEastAsia" w:eastAsiaTheme="minorEastAsia"/>
          <w:b/>
          <w:bCs/>
          <w:sz w:val="44"/>
          <w:szCs w:val="44"/>
        </w:rPr>
        <w:t>-海口江东新区联港新通道韧性基础设施项目</w:t>
      </w:r>
    </w:p>
    <w:p>
      <w:pPr>
        <w:jc w:val="center"/>
        <w:rPr>
          <w:rFonts w:hint="eastAsia" w:cs="宋体" w:asciiTheme="minorEastAsia" w:hAnsiTheme="minorEastAsia" w:eastAsiaTheme="minorEastAsia"/>
          <w:b/>
          <w:bCs/>
          <w:sz w:val="44"/>
          <w:szCs w:val="44"/>
        </w:rPr>
      </w:pPr>
    </w:p>
    <w:p>
      <w:pPr>
        <w:jc w:val="center"/>
        <w:rPr>
          <w:rFonts w:hint="eastAsia" w:cs="宋体" w:asciiTheme="minorEastAsia" w:hAnsiTheme="minorEastAsia" w:eastAsiaTheme="minorEastAsia"/>
          <w:b/>
          <w:bCs/>
          <w:sz w:val="44"/>
          <w:szCs w:val="44"/>
        </w:rPr>
      </w:pPr>
    </w:p>
    <w:p>
      <w:pPr>
        <w:jc w:val="center"/>
        <w:rPr>
          <w:rFonts w:hint="eastAsia" w:cs="宋体" w:asciiTheme="minorEastAsia" w:hAnsiTheme="minorEastAsia" w:eastAsiaTheme="minorEastAsia"/>
          <w:b/>
          <w:bCs/>
          <w:sz w:val="44"/>
          <w:szCs w:val="44"/>
        </w:rPr>
      </w:pPr>
    </w:p>
    <w:p>
      <w:pPr>
        <w:jc w:val="center"/>
        <w:rPr>
          <w:rFonts w:hint="eastAsia" w:cs="宋体" w:asciiTheme="minorEastAsia" w:hAnsiTheme="minorEastAsia" w:eastAsiaTheme="minorEastAsia"/>
          <w:b/>
          <w:bCs/>
          <w:sz w:val="44"/>
          <w:szCs w:val="44"/>
        </w:rPr>
      </w:pPr>
    </w:p>
    <w:p>
      <w:pPr>
        <w:jc w:val="center"/>
        <w:rPr>
          <w:rFonts w:hint="eastAsia" w:cs="宋体" w:asciiTheme="minorEastAsia" w:hAnsiTheme="minorEastAsia" w:eastAsiaTheme="minorEastAsia"/>
          <w:b w:val="0"/>
          <w:bCs w:val="0"/>
          <w:sz w:val="44"/>
          <w:szCs w:val="44"/>
          <w:lang w:val="en-US" w:eastAsia="zh-CN"/>
        </w:rPr>
      </w:pPr>
      <w:r>
        <w:rPr>
          <w:rFonts w:hint="eastAsia" w:cs="宋体" w:asciiTheme="minorEastAsia" w:hAnsiTheme="minorEastAsia" w:eastAsiaTheme="minorEastAsia"/>
          <w:b w:val="0"/>
          <w:bCs w:val="0"/>
          <w:sz w:val="44"/>
          <w:szCs w:val="44"/>
          <w:lang w:val="en-US" w:eastAsia="zh-CN"/>
        </w:rPr>
        <w:t>财政部门：海口市财政局</w:t>
      </w:r>
    </w:p>
    <w:p>
      <w:pPr>
        <w:jc w:val="center"/>
        <w:rPr>
          <w:rFonts w:hint="eastAsia" w:cs="宋体" w:asciiTheme="minorEastAsia" w:hAnsiTheme="minorEastAsia" w:eastAsiaTheme="minorEastAsia"/>
          <w:b w:val="0"/>
          <w:bCs w:val="0"/>
          <w:sz w:val="44"/>
          <w:szCs w:val="44"/>
          <w:lang w:val="en-US" w:eastAsia="zh-CN"/>
        </w:rPr>
      </w:pPr>
    </w:p>
    <w:p>
      <w:pPr>
        <w:jc w:val="center"/>
        <w:rPr>
          <w:rFonts w:hint="eastAsia" w:cs="宋体" w:asciiTheme="minorEastAsia" w:hAnsiTheme="minorEastAsia" w:eastAsiaTheme="minorEastAsia"/>
          <w:b w:val="0"/>
          <w:bCs w:val="0"/>
          <w:sz w:val="44"/>
          <w:szCs w:val="44"/>
          <w:lang w:val="en-US" w:eastAsia="zh-CN"/>
        </w:rPr>
      </w:pPr>
      <w:r>
        <w:rPr>
          <w:rFonts w:hint="eastAsia" w:cs="宋体" w:asciiTheme="minorEastAsia" w:hAnsiTheme="minorEastAsia" w:eastAsiaTheme="minorEastAsia"/>
          <w:b w:val="0"/>
          <w:bCs w:val="0"/>
          <w:sz w:val="44"/>
          <w:szCs w:val="44"/>
          <w:lang w:val="en-US" w:eastAsia="zh-CN"/>
        </w:rPr>
        <w:t>主管部门：海口江东新区管理局</w:t>
      </w:r>
    </w:p>
    <w:p>
      <w:pPr>
        <w:jc w:val="center"/>
        <w:rPr>
          <w:rFonts w:hint="eastAsia" w:cs="宋体" w:asciiTheme="minorEastAsia" w:hAnsiTheme="minorEastAsia" w:eastAsiaTheme="minorEastAsia"/>
          <w:b w:val="0"/>
          <w:bCs w:val="0"/>
          <w:sz w:val="44"/>
          <w:szCs w:val="44"/>
          <w:lang w:val="en-US" w:eastAsia="zh-CN"/>
        </w:rPr>
      </w:pPr>
    </w:p>
    <w:p>
      <w:pPr>
        <w:jc w:val="center"/>
        <w:rPr>
          <w:rFonts w:hint="eastAsia" w:cs="宋体" w:asciiTheme="minorEastAsia" w:hAnsiTheme="minorEastAsia" w:eastAsiaTheme="minorEastAsia"/>
          <w:b w:val="0"/>
          <w:bCs w:val="0"/>
          <w:sz w:val="44"/>
          <w:szCs w:val="44"/>
          <w:lang w:val="en-US" w:eastAsia="zh-CN"/>
        </w:rPr>
      </w:pPr>
      <w:r>
        <w:rPr>
          <w:rFonts w:hint="eastAsia" w:cs="宋体" w:asciiTheme="minorEastAsia" w:hAnsiTheme="minorEastAsia" w:eastAsiaTheme="minorEastAsia"/>
          <w:b w:val="0"/>
          <w:bCs w:val="0"/>
          <w:sz w:val="44"/>
          <w:szCs w:val="44"/>
          <w:lang w:val="en-US" w:eastAsia="zh-CN"/>
        </w:rPr>
        <w:t>项目单位：海口市路桥建设投资有限公司</w:t>
      </w:r>
    </w:p>
    <w:p>
      <w:pPr>
        <w:jc w:val="center"/>
        <w:rPr>
          <w:rFonts w:hint="eastAsia" w:cs="宋体" w:asciiTheme="minorEastAsia" w:hAnsiTheme="minorEastAsia" w:eastAsiaTheme="minorEastAsia"/>
          <w:b w:val="0"/>
          <w:bCs w:val="0"/>
          <w:sz w:val="44"/>
          <w:szCs w:val="44"/>
          <w:lang w:val="en-US" w:eastAsia="zh-CN"/>
        </w:rPr>
      </w:pPr>
    </w:p>
    <w:p>
      <w:pPr>
        <w:jc w:val="center"/>
        <w:rPr>
          <w:rFonts w:hint="default" w:cs="宋体" w:asciiTheme="minorEastAsia" w:hAnsiTheme="minorEastAsia" w:eastAsiaTheme="minorEastAsia"/>
          <w:b w:val="0"/>
          <w:bCs w:val="0"/>
          <w:sz w:val="44"/>
          <w:szCs w:val="44"/>
          <w:lang w:val="en-US" w:eastAsia="zh-CN"/>
        </w:rPr>
      </w:pPr>
      <w:r>
        <w:rPr>
          <w:rFonts w:hint="eastAsia" w:cs="宋体" w:asciiTheme="minorEastAsia" w:hAnsiTheme="minorEastAsia" w:eastAsiaTheme="minorEastAsia"/>
          <w:b w:val="0"/>
          <w:bCs w:val="0"/>
          <w:sz w:val="44"/>
          <w:szCs w:val="44"/>
          <w:lang w:val="en-US" w:eastAsia="zh-CN"/>
        </w:rPr>
        <w:t>2025年6月</w:t>
      </w:r>
    </w:p>
    <w:p>
      <w:pPr>
        <w:spacing w:line="600" w:lineRule="auto"/>
        <w:jc w:val="center"/>
        <w:rPr>
          <w:rFonts w:hint="eastAsia" w:cs="宋体" w:asciiTheme="minorEastAsia" w:hAnsiTheme="minorEastAsia" w:eastAsiaTheme="minorEastAsia"/>
          <w:b/>
          <w:sz w:val="24"/>
          <w:szCs w:val="24"/>
        </w:rPr>
      </w:pPr>
    </w:p>
    <w:p>
      <w:pPr>
        <w:pStyle w:val="29"/>
        <w:spacing w:line="360" w:lineRule="auto"/>
        <w:ind w:firstLine="482"/>
        <w:rPr>
          <w:rFonts w:hint="eastAsia" w:cs="宋体" w:asciiTheme="minorEastAsia" w:hAnsiTheme="minorEastAsia" w:eastAsiaTheme="minorEastAsia"/>
          <w:b/>
          <w:sz w:val="24"/>
          <w:szCs w:val="24"/>
        </w:rPr>
        <w:sectPr>
          <w:pgSz w:w="11906" w:h="16838"/>
          <w:pgMar w:top="1440" w:right="1800" w:bottom="1440" w:left="1800" w:header="851" w:footer="992" w:gutter="0"/>
          <w:pgNumType w:start="0"/>
          <w:cols w:space="425" w:num="1"/>
          <w:docGrid w:type="lines" w:linePitch="312" w:charSpace="0"/>
        </w:sectPr>
      </w:pPr>
    </w:p>
    <w:p>
      <w:pPr>
        <w:pStyle w:val="29"/>
        <w:spacing w:line="360" w:lineRule="auto"/>
        <w:ind w:firstLine="482"/>
        <w:outlineLvl w:val="0"/>
        <w:rPr>
          <w:rFonts w:hint="eastAsia" w:cs="宋体" w:asciiTheme="minorEastAsia" w:hAnsiTheme="minorEastAsia" w:eastAsiaTheme="minorEastAsia"/>
          <w:b/>
          <w:sz w:val="24"/>
          <w:szCs w:val="24"/>
        </w:rPr>
      </w:pPr>
      <w:bookmarkStart w:id="0" w:name="_Toc3441"/>
      <w:r>
        <w:rPr>
          <w:rFonts w:hint="eastAsia" w:cs="宋体" w:asciiTheme="minorEastAsia" w:hAnsiTheme="minorEastAsia" w:eastAsiaTheme="minorEastAsia"/>
          <w:b/>
          <w:sz w:val="24"/>
          <w:szCs w:val="24"/>
        </w:rPr>
        <w:t>一、债券调整情况</w:t>
      </w:r>
      <w:bookmarkEnd w:id="0"/>
    </w:p>
    <w:p>
      <w:pPr>
        <w:spacing w:before="120" w:after="120" w:line="360" w:lineRule="auto"/>
        <w:ind w:firstLine="480" w:firstLineChars="200"/>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pPr>
        <w:spacing w:before="120" w:after="120" w:line="360" w:lineRule="auto"/>
        <w:ind w:firstLine="480" w:firstLineChars="200"/>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2024年海南省政府专项债券（一期）中已发行“海口市滨江西污水处理厂工程”的1,147.00万元、2024年海南省政府专项债券（八期）中已发行“海甸岛片区清污分流及排水防涝工程（一期）”的991.743348万元、2024年海南省政府专项债券（八期）中已发行“海口市2023-2025年城市燃气管道老化更新改造项目”的987.087642万元、2024年海南省政府专项债券（十五期）中已发行“海口市第四人民医院二期医疗设备购置项目”的54.73万元，债券资金合计3,180.56099万元调剂于海口江东新区联港新通道韧性基础设施项目。</w:t>
      </w:r>
    </w:p>
    <w:p>
      <w:pPr>
        <w:spacing w:before="120" w:after="120" w:line="360" w:lineRule="auto"/>
        <w:ind w:firstLine="480" w:firstLineChars="200"/>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2024年2月，2024年海南省政府专项债券（一期）发行成功，其中海口市滨江西污水处理厂工程发行金额为37,300.00万元，发行利率为2.49%，发行期限为10年。</w:t>
      </w:r>
    </w:p>
    <w:p>
      <w:pPr>
        <w:spacing w:before="120" w:after="120" w:line="360" w:lineRule="auto"/>
        <w:ind w:firstLine="480" w:firstLineChars="200"/>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2024年5月，2024年海南省政府专项债券（八期）发行成功，其中海甸岛片区清污分流及排水防涝工程（一期）发行金额为2,000.00万元，发行利率2.41%，行期限为10年；海口市2023-2025年城市燃气管道老化更新改造项目发行金额为6,300.00万元，发行利率2.41%，行期限为10年。</w:t>
      </w:r>
    </w:p>
    <w:p>
      <w:pPr>
        <w:spacing w:before="120" w:after="120" w:line="360" w:lineRule="auto"/>
        <w:ind w:firstLine="480" w:firstLineChars="200"/>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2024年9月，2024年海南省政府专项债券（十五期）发行成功，其中海口市第四人民医院二期医疗设备购置项目发行金额为3,000.00万元，发行利率2.31%，行期限为20年。</w:t>
      </w:r>
    </w:p>
    <w:p>
      <w:pPr>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br w:type="page"/>
      </w:r>
    </w:p>
    <w:p>
      <w:pPr>
        <w:spacing w:before="120" w:after="120" w:line="360" w:lineRule="auto"/>
        <w:ind w:firstLine="480" w:firstLineChars="200"/>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color w:val="000000"/>
          <w:sz w:val="24"/>
          <w:szCs w:val="24"/>
        </w:rPr>
        <w:t>本期调整项目具体情况如下表：</w:t>
      </w:r>
    </w:p>
    <w:p>
      <w:pPr>
        <w:rPr>
          <w:rFonts w:hint="eastAsia" w:cs="宋体" w:asciiTheme="minorEastAsia" w:hAnsiTheme="minorEastAsia" w:eastAsiaTheme="minorEastAsia"/>
          <w:b/>
          <w:bCs/>
          <w:kern w:val="0"/>
          <w:sz w:val="24"/>
          <w:szCs w:val="24"/>
        </w:rPr>
      </w:pPr>
    </w:p>
    <w:p>
      <w:pPr>
        <w:widowControl/>
        <w:spacing w:line="360" w:lineRule="auto"/>
        <w:ind w:firstLine="482" w:firstLineChars="200"/>
        <w:jc w:val="center"/>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表1 资金调整项目情况汇总表</w:t>
      </w:r>
    </w:p>
    <w:p>
      <w:pPr>
        <w:widowControl/>
        <w:jc w:val="right"/>
        <w:rPr>
          <w:rFonts w:hint="eastAsia" w:cs="宋体" w:asciiTheme="minorEastAsia" w:hAnsiTheme="minorEastAsia" w:eastAsiaTheme="minorEastAsia"/>
          <w:sz w:val="24"/>
          <w:szCs w:val="24"/>
        </w:rPr>
      </w:pPr>
      <w:r>
        <w:rPr>
          <w:rFonts w:hint="eastAsia" w:cs="宋体" w:asciiTheme="minorEastAsia" w:hAnsiTheme="minorEastAsia" w:eastAsiaTheme="minorEastAsia"/>
          <w:color w:val="000000"/>
          <w:kern w:val="0"/>
          <w:sz w:val="18"/>
          <w:szCs w:val="18"/>
        </w:rPr>
        <w:t>单位：人民币万元</w:t>
      </w:r>
    </w:p>
    <w:tbl>
      <w:tblPr>
        <w:tblStyle w:val="19"/>
        <w:tblW w:w="65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62"/>
        <w:gridCol w:w="2043"/>
        <w:gridCol w:w="1091"/>
        <w:gridCol w:w="1091"/>
        <w:gridCol w:w="1230"/>
        <w:gridCol w:w="816"/>
        <w:gridCol w:w="1911"/>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Header/>
          <w:jc w:val="center"/>
        </w:trPr>
        <w:tc>
          <w:tcPr>
            <w:tcW w:w="624"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债券名称</w:t>
            </w:r>
          </w:p>
        </w:tc>
        <w:tc>
          <w:tcPr>
            <w:tcW w:w="936"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项目名称</w:t>
            </w:r>
          </w:p>
        </w:tc>
        <w:tc>
          <w:tcPr>
            <w:tcW w:w="500"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原安排金额</w:t>
            </w:r>
          </w:p>
        </w:tc>
        <w:tc>
          <w:tcPr>
            <w:tcW w:w="500"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调减金额</w:t>
            </w:r>
          </w:p>
        </w:tc>
        <w:tc>
          <w:tcPr>
            <w:tcW w:w="564"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债券期限</w:t>
            </w:r>
          </w:p>
        </w:tc>
        <w:tc>
          <w:tcPr>
            <w:tcW w:w="374"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发行利率</w:t>
            </w:r>
          </w:p>
        </w:tc>
        <w:tc>
          <w:tcPr>
            <w:tcW w:w="876"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项目名称</w:t>
            </w:r>
          </w:p>
        </w:tc>
        <w:tc>
          <w:tcPr>
            <w:tcW w:w="625" w:type="pct"/>
            <w:shd w:val="clear" w:color="000000" w:fill="D9D9D9"/>
            <w:vAlign w:val="center"/>
          </w:tcPr>
          <w:p>
            <w:pPr>
              <w:spacing w:line="480" w:lineRule="auto"/>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调增金额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2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2024年海南省政府专项债券（一期）</w:t>
            </w:r>
          </w:p>
        </w:tc>
        <w:tc>
          <w:tcPr>
            <w:tcW w:w="936"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海口市滨江西污水处理厂工程</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37,300.00</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1,147.00</w:t>
            </w:r>
          </w:p>
        </w:tc>
        <w:tc>
          <w:tcPr>
            <w:tcW w:w="56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10年</w:t>
            </w:r>
          </w:p>
        </w:tc>
        <w:tc>
          <w:tcPr>
            <w:tcW w:w="37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2.49%</w:t>
            </w:r>
          </w:p>
        </w:tc>
        <w:tc>
          <w:tcPr>
            <w:tcW w:w="876" w:type="pct"/>
            <w:vMerge w:val="restar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海口江东新区联港新通道韧性基础设施项目</w:t>
            </w:r>
          </w:p>
        </w:tc>
        <w:tc>
          <w:tcPr>
            <w:tcW w:w="625" w:type="pct"/>
            <w:vMerge w:val="restar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3,180.56099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2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2024年海南省政府专项债券（八期）</w:t>
            </w:r>
          </w:p>
        </w:tc>
        <w:tc>
          <w:tcPr>
            <w:tcW w:w="936"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海甸岛片区清污分流及排水防涝工程（一期）</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2,000.00</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991.743348</w:t>
            </w:r>
          </w:p>
        </w:tc>
        <w:tc>
          <w:tcPr>
            <w:tcW w:w="56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10年</w:t>
            </w:r>
          </w:p>
        </w:tc>
        <w:tc>
          <w:tcPr>
            <w:tcW w:w="37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2.41%</w:t>
            </w:r>
          </w:p>
        </w:tc>
        <w:tc>
          <w:tcPr>
            <w:tcW w:w="876" w:type="pct"/>
            <w:vMerge w:val="continue"/>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p>
        </w:tc>
        <w:tc>
          <w:tcPr>
            <w:tcW w:w="625" w:type="pct"/>
            <w:vMerge w:val="continue"/>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2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2024年海南省政府专项债券（八期）</w:t>
            </w:r>
          </w:p>
        </w:tc>
        <w:tc>
          <w:tcPr>
            <w:tcW w:w="936"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海口市2023-2025年城市燃气管道老化更新改造项目</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6,300.00</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987.087642</w:t>
            </w:r>
          </w:p>
        </w:tc>
        <w:tc>
          <w:tcPr>
            <w:tcW w:w="56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10年</w:t>
            </w:r>
          </w:p>
        </w:tc>
        <w:tc>
          <w:tcPr>
            <w:tcW w:w="37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2.41%</w:t>
            </w:r>
          </w:p>
        </w:tc>
        <w:tc>
          <w:tcPr>
            <w:tcW w:w="876" w:type="pct"/>
            <w:vMerge w:val="continue"/>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p>
        </w:tc>
        <w:tc>
          <w:tcPr>
            <w:tcW w:w="625" w:type="pct"/>
            <w:vMerge w:val="continue"/>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2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2024年海南省政府专项债券（十五期）</w:t>
            </w:r>
          </w:p>
        </w:tc>
        <w:tc>
          <w:tcPr>
            <w:tcW w:w="936"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海口市第四人民医院二期医疗设备购置项目</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3,000.00</w:t>
            </w:r>
          </w:p>
        </w:tc>
        <w:tc>
          <w:tcPr>
            <w:tcW w:w="500"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54.73</w:t>
            </w:r>
          </w:p>
        </w:tc>
        <w:tc>
          <w:tcPr>
            <w:tcW w:w="56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20年</w:t>
            </w:r>
          </w:p>
        </w:tc>
        <w:tc>
          <w:tcPr>
            <w:tcW w:w="374" w:type="pct"/>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2.31%</w:t>
            </w:r>
          </w:p>
        </w:tc>
        <w:tc>
          <w:tcPr>
            <w:tcW w:w="876" w:type="pct"/>
            <w:vMerge w:val="continue"/>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p>
        </w:tc>
        <w:tc>
          <w:tcPr>
            <w:tcW w:w="625" w:type="pct"/>
            <w:vMerge w:val="continue"/>
            <w:shd w:val="clear" w:color="auto" w:fill="auto"/>
            <w:noWrap/>
            <w:vAlign w:val="center"/>
          </w:tcPr>
          <w:p>
            <w:pPr>
              <w:spacing w:line="480" w:lineRule="auto"/>
              <w:jc w:val="center"/>
              <w:rPr>
                <w:rFonts w:hint="eastAsia" w:cs="宋体" w:asciiTheme="minorEastAsia" w:hAnsiTheme="minorEastAsia" w:eastAsiaTheme="minorEastAsia"/>
                <w:color w:val="000000"/>
                <w:szCs w:val="20"/>
              </w:rPr>
            </w:pPr>
          </w:p>
        </w:tc>
      </w:tr>
    </w:tbl>
    <w:p>
      <w:pPr>
        <w:rPr>
          <w:rFonts w:hint="eastAsia" w:cs="宋体" w:asciiTheme="minorEastAsia" w:hAnsiTheme="minorEastAsia" w:eastAsiaTheme="minorEastAsia"/>
          <w:b/>
          <w:sz w:val="24"/>
          <w:szCs w:val="24"/>
        </w:rPr>
      </w:pPr>
      <w:bookmarkStart w:id="1" w:name="_Toc29884"/>
      <w:r>
        <w:rPr>
          <w:rFonts w:hint="eastAsia" w:cs="宋体" w:asciiTheme="minorEastAsia" w:hAnsiTheme="minorEastAsia" w:eastAsiaTheme="minorEastAsia"/>
          <w:b/>
          <w:sz w:val="24"/>
          <w:szCs w:val="24"/>
        </w:rPr>
        <w:br w:type="page"/>
      </w:r>
    </w:p>
    <w:p>
      <w:pPr>
        <w:pStyle w:val="29"/>
        <w:spacing w:line="360" w:lineRule="auto"/>
        <w:ind w:firstLine="482"/>
        <w:outlineLvl w:val="0"/>
        <w:rPr>
          <w:rFonts w:hint="eastAsia" w:cs="宋体" w:asciiTheme="minorEastAsia" w:hAnsiTheme="minorEastAsia" w:eastAsiaTheme="minorEastAsia"/>
          <w:b/>
          <w:sz w:val="24"/>
          <w:szCs w:val="24"/>
        </w:rPr>
      </w:pPr>
      <w:r>
        <w:rPr>
          <w:rFonts w:hint="eastAsia" w:cs="宋体" w:asciiTheme="minorEastAsia" w:hAnsiTheme="minorEastAsia" w:eastAsiaTheme="minorEastAsia"/>
          <w:b/>
          <w:sz w:val="24"/>
          <w:szCs w:val="24"/>
        </w:rPr>
        <w:t>二、地区情况</w:t>
      </w:r>
      <w:bookmarkEnd w:id="1"/>
    </w:p>
    <w:p>
      <w:pPr>
        <w:widowControl/>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pPr>
        <w:pStyle w:val="29"/>
        <w:tabs>
          <w:tab w:val="left" w:pos="993"/>
          <w:tab w:val="left" w:pos="1276"/>
        </w:tabs>
        <w:spacing w:after="159" w:afterLines="50" w:line="360" w:lineRule="auto"/>
        <w:ind w:left="482" w:firstLine="0" w:firstLineChars="0"/>
        <w:jc w:val="center"/>
        <w:rPr>
          <w:rFonts w:hint="eastAsia" w:cs="宋体" w:asciiTheme="minorEastAsia" w:hAnsiTheme="minorEastAsia" w:eastAsiaTheme="minorEastAsia"/>
          <w:b/>
          <w:sz w:val="24"/>
          <w:szCs w:val="24"/>
        </w:rPr>
      </w:pPr>
      <w:r>
        <w:rPr>
          <w:rFonts w:hint="eastAsia" w:cs="宋体" w:asciiTheme="minorEastAsia" w:hAnsiTheme="minorEastAsia" w:eastAsiaTheme="minorEastAsia"/>
          <w:b/>
          <w:sz w:val="24"/>
          <w:szCs w:val="24"/>
        </w:rPr>
        <w:t>表2 2022—2024年海口市财政情况</w:t>
      </w:r>
    </w:p>
    <w:p>
      <w:pPr>
        <w:jc w:val="right"/>
        <w:rPr>
          <w:rFonts w:hint="eastAsia" w:cs="宋体" w:asciiTheme="minorEastAsia" w:hAnsiTheme="minorEastAsia" w:eastAsiaTheme="minorEastAsia"/>
          <w:sz w:val="20"/>
          <w:szCs w:val="20"/>
        </w:rPr>
      </w:pPr>
      <w:r>
        <w:rPr>
          <w:rFonts w:hint="eastAsia" w:cs="宋体" w:asciiTheme="minorEastAsia" w:hAnsiTheme="minorEastAsia" w:eastAsiaTheme="minorEastAsia"/>
          <w:color w:val="000000"/>
          <w:kern w:val="0"/>
          <w:sz w:val="20"/>
          <w:szCs w:val="20"/>
          <w:lang w:bidi="ar"/>
        </w:rPr>
        <w:t>单位：亿元</w:t>
      </w:r>
    </w:p>
    <w:tbl>
      <w:tblPr>
        <w:tblStyle w:val="19"/>
        <w:tblW w:w="8277" w:type="dxa"/>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3248"/>
        <w:gridCol w:w="1653"/>
        <w:gridCol w:w="1688"/>
        <w:gridCol w:w="1688"/>
      </w:tblGrid>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53" w:hRule="atLeast"/>
          <w:jc w:val="center"/>
        </w:trPr>
        <w:tc>
          <w:tcPr>
            <w:tcW w:w="324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cs="宋体" w:asciiTheme="minorEastAsia" w:hAnsiTheme="minorEastAsia" w:eastAsiaTheme="minorEastAsia"/>
                <w:b/>
                <w:bCs/>
                <w:color w:val="000000"/>
                <w:kern w:val="0"/>
                <w:sz w:val="18"/>
                <w:szCs w:val="18"/>
              </w:rPr>
            </w:pPr>
            <w:r>
              <w:rPr>
                <w:rFonts w:hint="eastAsia" w:cs="宋体" w:asciiTheme="minorEastAsia" w:hAnsiTheme="minorEastAsia" w:eastAsiaTheme="minorEastAsia"/>
                <w:b/>
                <w:bCs/>
                <w:color w:val="000000"/>
                <w:kern w:val="0"/>
                <w:sz w:val="18"/>
                <w:szCs w:val="18"/>
                <w:lang w:bidi="ar"/>
              </w:rPr>
              <w:t>项目</w:t>
            </w:r>
          </w:p>
        </w:tc>
        <w:tc>
          <w:tcPr>
            <w:tcW w:w="1653"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cs="宋体" w:asciiTheme="minorEastAsia" w:hAnsiTheme="minorEastAsia" w:eastAsiaTheme="minorEastAsia"/>
                <w:b/>
                <w:bCs/>
                <w:color w:val="000000"/>
                <w:kern w:val="0"/>
                <w:sz w:val="18"/>
                <w:szCs w:val="18"/>
                <w:lang w:bidi="ar"/>
              </w:rPr>
            </w:pPr>
            <w:r>
              <w:rPr>
                <w:rFonts w:hint="eastAsia" w:cs="宋体" w:asciiTheme="minorEastAsia" w:hAnsiTheme="minorEastAsia" w:eastAsiaTheme="minorEastAsia"/>
                <w:b/>
                <w:bCs/>
                <w:color w:val="000000"/>
                <w:kern w:val="0"/>
                <w:sz w:val="18"/>
                <w:szCs w:val="18"/>
                <w:lang w:bidi="ar"/>
              </w:rPr>
              <w:t>2022年</w:t>
            </w:r>
          </w:p>
        </w:tc>
        <w:tc>
          <w:tcPr>
            <w:tcW w:w="168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cs="宋体" w:asciiTheme="minorEastAsia" w:hAnsiTheme="minorEastAsia" w:eastAsiaTheme="minorEastAsia"/>
                <w:b/>
                <w:bCs/>
                <w:color w:val="000000"/>
                <w:kern w:val="0"/>
                <w:sz w:val="18"/>
                <w:szCs w:val="18"/>
                <w:lang w:bidi="ar"/>
              </w:rPr>
            </w:pPr>
            <w:r>
              <w:rPr>
                <w:rFonts w:hint="eastAsia" w:cs="宋体" w:asciiTheme="minorEastAsia" w:hAnsiTheme="minorEastAsia" w:eastAsiaTheme="minorEastAsia"/>
                <w:b/>
                <w:bCs/>
                <w:color w:val="000000"/>
                <w:kern w:val="0"/>
                <w:sz w:val="18"/>
                <w:szCs w:val="18"/>
                <w:lang w:bidi="ar"/>
              </w:rPr>
              <w:t>2023年</w:t>
            </w:r>
          </w:p>
        </w:tc>
        <w:tc>
          <w:tcPr>
            <w:tcW w:w="168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cs="宋体" w:asciiTheme="minorEastAsia" w:hAnsiTheme="minorEastAsia" w:eastAsiaTheme="minorEastAsia"/>
                <w:b/>
                <w:bCs/>
                <w:color w:val="000000"/>
                <w:kern w:val="0"/>
                <w:sz w:val="18"/>
                <w:szCs w:val="18"/>
                <w:lang w:bidi="ar"/>
              </w:rPr>
            </w:pPr>
            <w:r>
              <w:rPr>
                <w:rFonts w:hint="eastAsia" w:cs="宋体" w:asciiTheme="minorEastAsia" w:hAnsiTheme="minorEastAsia" w:eastAsiaTheme="minorEastAsia"/>
                <w:b/>
                <w:bCs/>
                <w:color w:val="000000"/>
                <w:kern w:val="0"/>
                <w:sz w:val="18"/>
                <w:szCs w:val="18"/>
                <w:lang w:bidi="ar"/>
              </w:rPr>
              <w:t>2024年</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07" w:hRule="atLeast"/>
          <w:jc w:val="center"/>
        </w:trPr>
        <w:tc>
          <w:tcPr>
            <w:tcW w:w="3248" w:type="dxa"/>
            <w:tcBorders>
              <w:top w:val="single" w:color="auto" w:sz="4" w:space="0"/>
            </w:tcBorders>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地区生产总值</w:t>
            </w:r>
          </w:p>
        </w:tc>
        <w:tc>
          <w:tcPr>
            <w:tcW w:w="1653" w:type="dxa"/>
            <w:tcBorders>
              <w:top w:val="single" w:color="auto" w:sz="4" w:space="0"/>
            </w:tcBorders>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2,134.80</w:t>
            </w:r>
          </w:p>
        </w:tc>
        <w:tc>
          <w:tcPr>
            <w:tcW w:w="1688" w:type="dxa"/>
            <w:tcBorders>
              <w:top w:val="single" w:color="auto" w:sz="4" w:space="0"/>
            </w:tcBorders>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2,358.44</w:t>
            </w:r>
          </w:p>
        </w:tc>
        <w:tc>
          <w:tcPr>
            <w:tcW w:w="1688" w:type="dxa"/>
            <w:tcBorders>
              <w:top w:val="single" w:color="auto" w:sz="4" w:space="0"/>
            </w:tcBorders>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2470.63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一般预算收入(一般公共预算收入)</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204.82</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266.87</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258.26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一般预算收入(一般公共预算总收入)</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518.12</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578.08</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597.76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政府性基金收入</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192.34</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140.39</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120.43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其中：国有土地出让收入</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176.60</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124.67</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108.59</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政府性基金支出</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310.21</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264.76</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294.07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其中：国有土地出让支出</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147.61</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109.46</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72.02</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地方债务限额</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752.70</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892.40</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1161.30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其中：一般债务限额</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219.77</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230.47</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235.24</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专项债务限额</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532.93</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661.93</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926.07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地方债务余额</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752.70</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889.45</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1141.70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其中：一般债务余额</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219.77</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228.11</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227.33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76" w:hRule="atLeast"/>
          <w:jc w:val="center"/>
        </w:trPr>
        <w:tc>
          <w:tcPr>
            <w:tcW w:w="3248" w:type="dxa"/>
            <w:vAlign w:val="center"/>
          </w:tcPr>
          <w:p>
            <w:pPr>
              <w:widowControl/>
              <w:jc w:val="left"/>
              <w:textAlignment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bidi="ar"/>
              </w:rPr>
              <w:t>专项债务余额</w:t>
            </w:r>
          </w:p>
        </w:tc>
        <w:tc>
          <w:tcPr>
            <w:tcW w:w="1653"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532.93</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661.34</w:t>
            </w:r>
          </w:p>
        </w:tc>
        <w:tc>
          <w:tcPr>
            <w:tcW w:w="1688" w:type="dxa"/>
            <w:vAlign w:val="center"/>
          </w:tcPr>
          <w:p>
            <w:pPr>
              <w:spacing w:line="360" w:lineRule="auto"/>
              <w:ind w:firstLine="360" w:firstLineChars="200"/>
              <w:jc w:val="center"/>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18"/>
                <w:szCs w:val="18"/>
              </w:rPr>
              <w:t>914.37</w:t>
            </w:r>
          </w:p>
        </w:tc>
      </w:tr>
    </w:tbl>
    <w:p>
      <w:pPr>
        <w:spacing w:line="360" w:lineRule="auto"/>
        <w:ind w:firstLine="480" w:firstLineChars="200"/>
        <w:rPr>
          <w:rFonts w:hint="eastAsia" w:cs="宋体" w:asciiTheme="minorEastAsia" w:hAnsiTheme="minorEastAsia" w:eastAsiaTheme="minorEastAsia"/>
          <w:b/>
          <w:sz w:val="24"/>
          <w:szCs w:val="24"/>
        </w:rPr>
      </w:pPr>
      <w:r>
        <w:rPr>
          <w:rFonts w:hint="eastAsia" w:cs="宋体" w:asciiTheme="minorEastAsia" w:hAnsiTheme="minorEastAsia" w:eastAsiaTheme="minorEastAsia"/>
          <w:color w:val="000000"/>
          <w:kern w:val="0"/>
          <w:sz w:val="24"/>
          <w:szCs w:val="24"/>
        </w:rPr>
        <w:t>注：以上数据来源于海口市财政局。</w:t>
      </w:r>
    </w:p>
    <w:p>
      <w:pPr>
        <w:pStyle w:val="29"/>
        <w:spacing w:line="360" w:lineRule="auto"/>
        <w:ind w:firstLine="482"/>
        <w:outlineLvl w:val="0"/>
        <w:rPr>
          <w:rFonts w:hint="eastAsia" w:cs="宋体" w:asciiTheme="minorEastAsia" w:hAnsiTheme="minorEastAsia" w:eastAsiaTheme="minorEastAsia"/>
          <w:b/>
          <w:sz w:val="24"/>
          <w:szCs w:val="24"/>
        </w:rPr>
      </w:pPr>
      <w:bookmarkStart w:id="2" w:name="_Toc3217"/>
      <w:r>
        <w:rPr>
          <w:rFonts w:hint="eastAsia" w:cs="宋体" w:asciiTheme="minorEastAsia" w:hAnsiTheme="minorEastAsia" w:eastAsiaTheme="minorEastAsia"/>
          <w:b/>
          <w:sz w:val="24"/>
          <w:szCs w:val="24"/>
        </w:rPr>
        <w:t>三、项目概述</w:t>
      </w:r>
      <w:bookmarkEnd w:id="2"/>
    </w:p>
    <w:p>
      <w:pPr>
        <w:pStyle w:val="29"/>
        <w:spacing w:line="360" w:lineRule="auto"/>
        <w:ind w:firstLine="482"/>
        <w:outlineLvl w:val="0"/>
        <w:rPr>
          <w:rFonts w:hint="eastAsia" w:cs="宋体" w:asciiTheme="minorEastAsia" w:hAnsiTheme="minorEastAsia" w:eastAsiaTheme="minorEastAsia"/>
          <w:b/>
          <w:sz w:val="24"/>
          <w:szCs w:val="24"/>
        </w:rPr>
      </w:pPr>
      <w:bookmarkStart w:id="3" w:name="_Toc31333"/>
      <w:r>
        <w:rPr>
          <w:rFonts w:hint="eastAsia" w:cs="宋体" w:asciiTheme="minorEastAsia" w:hAnsiTheme="minorEastAsia" w:eastAsiaTheme="minorEastAsia"/>
          <w:b/>
          <w:sz w:val="24"/>
          <w:szCs w:val="24"/>
        </w:rPr>
        <w:t>（一）项目基本情况</w:t>
      </w:r>
      <w:bookmarkEnd w:id="3"/>
    </w:p>
    <w:p>
      <w:pPr>
        <w:spacing w:before="120" w:after="120" w:line="360" w:lineRule="auto"/>
        <w:ind w:firstLine="480" w:firstLineChars="200"/>
        <w:rPr>
          <w:rFonts w:hint="eastAsia" w:cs="宋体" w:asciiTheme="minorEastAsia" w:hAnsiTheme="minorEastAsia" w:eastAsiaTheme="minorEastAsia"/>
          <w:sz w:val="24"/>
        </w:rPr>
      </w:pPr>
      <w:bookmarkStart w:id="4" w:name="_Toc30116"/>
      <w:r>
        <w:rPr>
          <w:rFonts w:hint="eastAsia" w:cs="宋体" w:asciiTheme="minorEastAsia" w:hAnsiTheme="minorEastAsia" w:eastAsiaTheme="minorEastAsia"/>
          <w:sz w:val="24"/>
        </w:rPr>
        <w:t>海口江东新区联港新通道韧性基础设施项目建设符合国家政策支持方向，并有利于海口市基础设施建设的发展，项目基本情况如下：</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项目名称：海口江东新区联港新通道韧性基础设施项目</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项目行业主管部门：海口江东新区管理局</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项目业主：海口市路桥建设投资有限公司</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项目建设期：2025年1月-2030年12月</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建设内容：本项目位于江东新区，起点为江东大道，终点至绕城高速段，全程17.90公里，共分四期建设。其中：一期为文明东隧道-椰海大道段、南渡江大道-进出厂路，长度8.2公里；二期为椰海大道-南渡江大道段，长度3.30公里；三期为进出厂路-绕城高速段，长度3.10公里；四期（远期）为江东大道-文明东隧道段，长度3.30公里。主要建设内容为水闸和排涝泵站、供水管、管廊、电力隧道等。拟建5处平急两用避难场所，总用地规模约4.8公顷；平急交通救援通道北起江东大道南至绕城高速，总长度17.9公里，红线宽度40米；沿滨江东路新建4处水闸，设置2处排涝泵站；沿滨江东路自高品质水厂进出场路向北至椰海大道敷设供水主干管，干管长度6.2公里；沿滨江东路建设管廊10.58公里、电力隧道2.14公里，11处停车场。</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总体施工进度：海口江东新区联港新通道韧性基础设施项目，目前完成北段K3+183-K4+380里程段1.2公里清表12385立方、排水工程土方外运5670.1立方，给水工程土方外运3160立方，垃圾外运约27102立方，完成给水管道安装297m、排水管道安装319m，完成换填320.16立方；南段完成700米清表；产值约559万，完成工程形象进度约0.66%。</w:t>
      </w:r>
    </w:p>
    <w:p>
      <w:pPr>
        <w:pStyle w:val="29"/>
        <w:spacing w:line="360" w:lineRule="auto"/>
        <w:ind w:firstLine="482"/>
        <w:outlineLvl w:val="0"/>
        <w:rPr>
          <w:rFonts w:hint="eastAsia" w:cs="宋体" w:asciiTheme="minorEastAsia" w:hAnsiTheme="minorEastAsia" w:eastAsiaTheme="minorEastAsia"/>
          <w:b/>
          <w:sz w:val="24"/>
          <w:szCs w:val="24"/>
        </w:rPr>
      </w:pPr>
      <w:r>
        <w:rPr>
          <w:rFonts w:hint="eastAsia" w:cs="宋体" w:asciiTheme="minorEastAsia" w:hAnsiTheme="minorEastAsia" w:eastAsiaTheme="minorEastAsia"/>
          <w:b/>
          <w:sz w:val="24"/>
          <w:szCs w:val="24"/>
        </w:rPr>
        <w:t>（二）项目相关批复</w:t>
      </w:r>
      <w:bookmarkEnd w:id="4"/>
    </w:p>
    <w:p>
      <w:pPr>
        <w:spacing w:before="120" w:after="120" w:line="360" w:lineRule="auto"/>
        <w:ind w:firstLine="480" w:firstLineChars="200"/>
        <w:rPr>
          <w:rFonts w:hint="eastAsia" w:cs="宋体" w:asciiTheme="minorEastAsia" w:hAnsiTheme="minorEastAsia" w:eastAsiaTheme="minorEastAsia"/>
          <w:sz w:val="24"/>
        </w:rPr>
      </w:pPr>
      <w:bookmarkStart w:id="5" w:name="_Toc18339"/>
      <w:r>
        <w:rPr>
          <w:rFonts w:hint="eastAsia" w:cs="宋体" w:asciiTheme="minorEastAsia" w:hAnsiTheme="minorEastAsia" w:eastAsiaTheme="minorEastAsia"/>
          <w:sz w:val="24"/>
        </w:rPr>
        <w:t>（1）2024年7月3日，取得《海口江东新区管理局关于同意海口江东新区联港新通道韧性基础设施项目可行性研究报告的复函》（海江东审〔2024〕55号），该函明确：“为提高滨江片区社会经济文化发展，打通滨江片区对外交通联系，提高重要道路交通生命线的安全、韧性和应急救援水平，为江东新区“八横八纵”规划“第一纵”,串联绕城高速与国际机场，主动对接“西部陆海新通道”洋浦港区，互联互通加强区域绿色融合发展，同意建设海口江东新区联港新通道韧性基础设施项目”。</w:t>
      </w:r>
    </w:p>
    <w:p>
      <w:pPr>
        <w:spacing w:before="120" w:after="120"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2024年9月30日，取得《海口江东新区管理局关于申请移交政府投资项目业主的复函》（海江东局函〔2024〕941号），该函明确：“同意将海口江东新区城市地下管网完善工程(一期)等26个项目业主由产投集团子公司恒慧基础公司调整为市建工集团下属子公司路桥公司”。</w:t>
      </w:r>
    </w:p>
    <w:p>
      <w:pPr>
        <w:spacing w:before="120" w:after="120"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2024年11月21日，取得《海口江东新区管理局关于同意海口江东新区联港新通道韧性基础设施项目(一期)初步设计及概算的函》（海江东审〔2024〕120号），该函明确：“原则同意海口江东新区联港新通道韧性基础设施项目(一期)初步设计方案，同意按此方案进行施工图设计；项目建设规模及内容。项目位于江东新区，起始点为文明东隧道一椰海大道段、南渡江大道-进出厂路，长度8.2公里，红线宽40米。新建滨江东路(含缆线型管廊、支线型管廊和电缆沟等)、白驹大道和椰海大道辅道，改建观江段横向衔接道路，新建停车场，新建景观三道，观江段滨江东路西侧边界至江堤土方回填等。建设内容主要包括道路工程、桥涵工程、交通工程、给水工程、排水工程、管廊工程、电气工程(含多杆合一)和绿化工程等；项目概算总投资为143756.63万元，其中工程费106545.15万元，工程建设其它费10658.47万元，征拆费19660.57万元(具体以辖区政府批复为准),预备费5860.18万元，建设单位管理费1032.26万元”。</w:t>
      </w:r>
    </w:p>
    <w:p>
      <w:pPr>
        <w:spacing w:before="120" w:after="120"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（4）2024年11月19日，取得《建设用地规划许可证》，发证机关为海口江东新区管理局，证号为地字第4601002024YG 0068478号，用地单位为海口市路桥建设投资有限公司，项目名称为海口江东新区联港新通道韧性基础设施项目，用地位置为海口市江东新区，土地用途为城镇村道路用地：0.70，公园绿地：0.30，建设规模为项目全长8.2公里，宽40米。建设内容包括道路工程排水工程、绿化工程、交通工程、照明工程等。</w:t>
      </w:r>
    </w:p>
    <w:p>
      <w:pPr>
        <w:spacing w:before="120" w:after="120"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5）2024年11月21日，取得《建设工程规划许可证》，发证机关为海口江东新区管理局，证号为建字第JD465102202410042号，建设单位为海口市路桥建设投资有限公司，项目名称为海口江东新区联港新通道韧性基础设施项目(一期)，建设位置为海口市江东新区，建设规模为长8.5公里，红线宽40米。建设内容包括道路工程、交通工程、照明工程、绿化工程等。</w:t>
      </w:r>
    </w:p>
    <w:p>
      <w:pPr>
        <w:spacing w:before="120" w:after="120"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6）2025年1月17日，取得《建筑工程施工许可证》，发证机关为海口江东新区管理局，证号为465102202501170102，建设单位为海口市路桥建设投资有限公司，工程名称为海口江东新区联港新通道韧性基础设施项目(一期)，建设地址为海口江东新区，建设地址为海口江东新区。</w:t>
      </w:r>
    </w:p>
    <w:p>
      <w:pPr>
        <w:pStyle w:val="29"/>
        <w:spacing w:line="360" w:lineRule="auto"/>
        <w:ind w:firstLine="482"/>
        <w:outlineLvl w:val="0"/>
        <w:rPr>
          <w:rFonts w:hint="eastAsia" w:cs="宋体" w:asciiTheme="minorEastAsia" w:hAnsiTheme="minorEastAsia" w:eastAsiaTheme="minorEastAsia"/>
          <w:b/>
          <w:sz w:val="24"/>
          <w:szCs w:val="24"/>
        </w:rPr>
      </w:pPr>
      <w:r>
        <w:rPr>
          <w:rFonts w:hint="eastAsia" w:cs="宋体" w:asciiTheme="minorEastAsia" w:hAnsiTheme="minorEastAsia" w:eastAsiaTheme="minorEastAsia"/>
          <w:b/>
          <w:sz w:val="24"/>
          <w:szCs w:val="24"/>
        </w:rPr>
        <w:t>（三）事前绩效评估</w:t>
      </w:r>
      <w:bookmarkEnd w:id="5"/>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1.项目的必要性与收益性</w:t>
      </w:r>
    </w:p>
    <w:p>
      <w:pPr>
        <w:adjustRightInd w:val="0"/>
        <w:snapToGrid w:val="0"/>
        <w:spacing w:line="360" w:lineRule="auto"/>
        <w:ind w:firstLine="482" w:firstLineChars="200"/>
        <w:rPr>
          <w:rFonts w:hint="eastAsia"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rPr>
        <w:t>（1）必要性</w:t>
      </w:r>
    </w:p>
    <w:p>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6" w:name="bookmark26"/>
      <w:bookmarkEnd w:id="6"/>
      <w:bookmarkStart w:id="7" w:name="bookmark24"/>
      <w:bookmarkEnd w:id="7"/>
      <w:bookmarkStart w:id="8" w:name="bookmark23"/>
      <w:bookmarkEnd w:id="8"/>
      <w:bookmarkStart w:id="9" w:name="bookmark25"/>
      <w:bookmarkEnd w:id="9"/>
      <w:r>
        <w:rPr>
          <w:rFonts w:hint="eastAsia" w:cs="宋体" w:asciiTheme="minorEastAsia" w:hAnsiTheme="minorEastAsia" w:eastAsiaTheme="minor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本项目建设有利于保障海口市江东新区的顺利建设，进而以点带面地带动整个区域的经济和旅游发展，有利于进一步推动海南国际旅游岛的建设进程。</w:t>
      </w:r>
    </w:p>
    <w:p>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pPr>
        <w:adjustRightInd w:val="0"/>
        <w:snapToGrid w:val="0"/>
        <w:spacing w:line="360" w:lineRule="auto"/>
        <w:ind w:firstLine="482" w:firstLineChars="200"/>
        <w:rPr>
          <w:rFonts w:hint="eastAsia" w:cs="宋体" w:asciiTheme="minorEastAsia" w:hAnsiTheme="minorEastAsia" w:eastAsiaTheme="minorEastAsia"/>
          <w:kern w:val="0"/>
          <w:sz w:val="24"/>
        </w:rPr>
      </w:pPr>
      <w:r>
        <w:rPr>
          <w:rFonts w:hint="eastAsia" w:cs="宋体" w:asciiTheme="minorEastAsia" w:hAnsiTheme="minorEastAsia" w:eastAsiaTheme="minorEastAsia"/>
          <w:b/>
          <w:bCs/>
          <w:sz w:val="24"/>
          <w:szCs w:val="24"/>
        </w:rPr>
        <w:t>（2）收益性：</w:t>
      </w:r>
      <w:r>
        <w:rPr>
          <w:rFonts w:hint="eastAsia" w:cs="宋体" w:asciiTheme="minorEastAsia" w:hAnsiTheme="minorEastAsia" w:eastAsiaTheme="minorEastAsia"/>
          <w:sz w:val="24"/>
          <w:szCs w:val="24"/>
        </w:rPr>
        <w:t>项目收入来源于</w:t>
      </w:r>
      <w:r>
        <w:rPr>
          <w:rFonts w:hint="eastAsia" w:cs="宋体" w:asciiTheme="minorEastAsia" w:hAnsiTheme="minorEastAsia" w:eastAsiaTheme="minorEastAsia"/>
          <w:color w:val="000000"/>
          <w:kern w:val="0"/>
          <w:sz w:val="24"/>
          <w:szCs w:val="24"/>
        </w:rPr>
        <w:t>土地出让收入、新能源汽车充电服务费收入</w:t>
      </w:r>
      <w:r>
        <w:rPr>
          <w:rFonts w:hint="eastAsia" w:cs="宋体" w:asciiTheme="minorEastAsia" w:hAnsiTheme="minorEastAsia" w:eastAsiaTheme="minorEastAsia"/>
          <w:kern w:val="0"/>
          <w:sz w:val="24"/>
        </w:rPr>
        <w:t>等。</w:t>
      </w:r>
    </w:p>
    <w:p>
      <w:pPr>
        <w:adjustRightInd w:val="0"/>
        <w:snapToGrid w:val="0"/>
        <w:spacing w:line="360" w:lineRule="auto"/>
        <w:ind w:firstLine="482" w:firstLineChars="200"/>
        <w:rPr>
          <w:rFonts w:hint="eastAsia" w:cs="宋体" w:asciiTheme="minorEastAsia" w:hAnsiTheme="minorEastAsia" w:eastAsiaTheme="minorEastAsia"/>
          <w:kern w:val="0"/>
          <w:sz w:val="24"/>
        </w:rPr>
      </w:pPr>
      <w:r>
        <w:rPr>
          <w:rFonts w:hint="eastAsia" w:cs="宋体" w:asciiTheme="minorEastAsia" w:hAnsiTheme="minorEastAsia" w:eastAsiaTheme="minorEastAsia"/>
          <w:b/>
          <w:bCs/>
          <w:kern w:val="0"/>
          <w:sz w:val="24"/>
        </w:rPr>
        <w:t>（3）公益性：</w:t>
      </w:r>
      <w:r>
        <w:rPr>
          <w:rFonts w:hint="eastAsia" w:cs="宋体" w:asciiTheme="minorEastAsia" w:hAnsiTheme="minorEastAsia" w:eastAsiaTheme="minor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2.项目建设投资合规性与项目成熟度</w:t>
      </w:r>
    </w:p>
    <w:p>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本项目的建设投资符合国家、海南省有关法律法规、政策文件及规范性文件要求。</w:t>
      </w:r>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3.项目资金来源和到位可行性</w:t>
      </w:r>
    </w:p>
    <w:p>
      <w:pPr>
        <w:adjustRightInd w:val="0"/>
        <w:snapToGrid w:val="0"/>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各项目主要通过发行地方政府专项债券融资以及财政资金投入，若条件允许，在满足合法合规、资金平衡要求的前提下，也可考虑发行债券方式筹集。</w:t>
      </w:r>
    </w:p>
    <w:p>
      <w:pPr>
        <w:adjustRightInd w:val="0"/>
        <w:snapToGrid w:val="0"/>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总体来看，综合海口市财政状况，财政资金到位可行性较高，专项债券部分以最终实际发行计划为准。</w:t>
      </w:r>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4.项目收入、成本、收益预测的合理性</w:t>
      </w:r>
    </w:p>
    <w:p>
      <w:pPr>
        <w:adjustRightInd w:val="0"/>
        <w:snapToGrid w:val="0"/>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本项目收入来源为</w:t>
      </w:r>
      <w:r>
        <w:rPr>
          <w:rFonts w:hint="eastAsia" w:cs="宋体" w:asciiTheme="minorEastAsia" w:hAnsiTheme="minorEastAsia" w:eastAsiaTheme="minorEastAsia"/>
          <w:color w:val="000000"/>
          <w:kern w:val="0"/>
          <w:sz w:val="24"/>
          <w:szCs w:val="24"/>
        </w:rPr>
        <w:t>土地出让收入、新能源汽车充电服务费收入</w:t>
      </w:r>
      <w:r>
        <w:rPr>
          <w:rFonts w:hint="eastAsia" w:cs="宋体" w:asciiTheme="minorEastAsia" w:hAnsiTheme="minorEastAsia" w:eastAsiaTheme="minorEastAsia"/>
          <w:kern w:val="0"/>
          <w:sz w:val="24"/>
        </w:rPr>
        <w:t>等</w:t>
      </w:r>
      <w:r>
        <w:rPr>
          <w:rFonts w:hint="eastAsia" w:cs="宋体" w:asciiTheme="minorEastAsia" w:hAnsiTheme="minorEastAsia" w:eastAsiaTheme="minorEastAsia"/>
          <w:kern w:val="0"/>
          <w:sz w:val="24"/>
          <w:szCs w:val="24"/>
        </w:rPr>
        <w:t>。债券存续期内，本项目本息覆盖倍数可达1.20以上。综上，在满足假设条件的前提下，能够满足资金筹措充足性的要求。项目收入、成本、收益情况均根据充分依据测算得出，较为合理。</w:t>
      </w:r>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5.债券资金需求的合理性</w:t>
      </w:r>
    </w:p>
    <w:p>
      <w:pPr>
        <w:adjustRightInd w:val="0"/>
        <w:snapToGrid w:val="0"/>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pPr>
        <w:adjustRightInd w:val="0"/>
        <w:snapToGrid w:val="0"/>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本项目通过发行专项债券募集资金可以降低融资成本，是现阶段解决项目建设资金问题的较优方案。</w:t>
      </w:r>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6.项目偿债计划可行性和偿债风险点</w:t>
      </w:r>
    </w:p>
    <w:p>
      <w:pPr>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通过本项目融资平衡测算，一方面通过发行专项债券筹集资金能满足项目建设资金需求；另一方面项目收益也能保障债券还本付息，总体实现项目收益和融资的自求平衡。</w:t>
      </w:r>
    </w:p>
    <w:p>
      <w:pPr>
        <w:adjustRightInd w:val="0"/>
        <w:snapToGrid w:val="0"/>
        <w:spacing w:line="360" w:lineRule="auto"/>
        <w:ind w:firstLine="482" w:firstLineChars="200"/>
        <w:outlineLvl w:val="2"/>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7.绩效目标合理性</w:t>
      </w:r>
    </w:p>
    <w:p>
      <w:pPr>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pPr>
        <w:adjustRightInd w:val="0"/>
        <w:snapToGrid w:val="0"/>
        <w:spacing w:line="360" w:lineRule="auto"/>
        <w:ind w:firstLine="480"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sz w:val="24"/>
          <w:szCs w:val="24"/>
        </w:rPr>
        <w:t>综上，本项目经事前绩效评估，已具备申请专项债券资金支持的必要性和可行性。</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bookmarkStart w:id="10" w:name="_Toc4256"/>
    </w:p>
    <w:p>
      <w:pPr>
        <w:pStyle w:val="29"/>
        <w:spacing w:line="360" w:lineRule="auto"/>
        <w:ind w:firstLine="482"/>
        <w:outlineLvl w:val="0"/>
        <w:rPr>
          <w:rFonts w:hint="eastAsia" w:cs="宋体" w:asciiTheme="minorEastAsia" w:hAnsiTheme="minorEastAsia" w:eastAsiaTheme="minorEastAsia"/>
          <w:b/>
          <w:sz w:val="24"/>
          <w:szCs w:val="24"/>
        </w:rPr>
      </w:pPr>
      <w:r>
        <w:rPr>
          <w:rFonts w:hint="eastAsia" w:cs="宋体" w:asciiTheme="minorEastAsia" w:hAnsiTheme="minorEastAsia" w:eastAsiaTheme="minorEastAsia"/>
          <w:b/>
          <w:sz w:val="24"/>
          <w:szCs w:val="24"/>
        </w:rPr>
        <w:t>四、项目平衡实施方案</w:t>
      </w:r>
      <w:bookmarkEnd w:id="10"/>
    </w:p>
    <w:p>
      <w:pPr>
        <w:widowControl/>
        <w:spacing w:before="120" w:after="120" w:line="360" w:lineRule="auto"/>
        <w:outlineLvl w:val="1"/>
        <w:rPr>
          <w:rFonts w:hint="eastAsia" w:cs="宋体" w:asciiTheme="minorEastAsia" w:hAnsiTheme="minorEastAsia" w:eastAsiaTheme="minorEastAsia"/>
          <w:b/>
          <w:color w:val="000000"/>
          <w:kern w:val="0"/>
          <w:sz w:val="24"/>
          <w:szCs w:val="24"/>
        </w:rPr>
      </w:pPr>
      <w:bookmarkStart w:id="11" w:name="_Toc114818421"/>
      <w:bookmarkStart w:id="12" w:name="_Toc114818531"/>
      <w:bookmarkStart w:id="13" w:name="_Toc200555434"/>
      <w:bookmarkStart w:id="14" w:name="_Toc6700"/>
      <w:r>
        <w:rPr>
          <w:rFonts w:hint="eastAsia" w:cs="宋体" w:asciiTheme="minorEastAsia" w:hAnsiTheme="minorEastAsia" w:eastAsiaTheme="minorEastAsia"/>
          <w:b/>
          <w:color w:val="000000"/>
          <w:kern w:val="0"/>
          <w:sz w:val="24"/>
          <w:szCs w:val="24"/>
        </w:rPr>
        <w:t>（一）资金充足性</w:t>
      </w:r>
      <w:bookmarkEnd w:id="11"/>
      <w:bookmarkEnd w:id="12"/>
      <w:bookmarkEnd w:id="13"/>
    </w:p>
    <w:p>
      <w:pPr>
        <w:widowControl/>
        <w:spacing w:before="120" w:after="120" w:line="360" w:lineRule="auto"/>
        <w:ind w:firstLine="482" w:firstLineChars="200"/>
        <w:outlineLvl w:val="2"/>
        <w:rPr>
          <w:rFonts w:hint="eastAsia" w:cs="宋体" w:asciiTheme="minorEastAsia" w:hAnsiTheme="minorEastAsia" w:eastAsiaTheme="minorEastAsia"/>
          <w:b/>
          <w:bCs/>
          <w:color w:val="000000"/>
          <w:kern w:val="0"/>
          <w:sz w:val="24"/>
          <w:szCs w:val="24"/>
        </w:rPr>
      </w:pPr>
      <w:bookmarkStart w:id="15" w:name="_Toc114818532"/>
      <w:bookmarkStart w:id="16" w:name="_Toc114818422"/>
      <w:bookmarkStart w:id="17" w:name="_Toc200555435"/>
      <w:r>
        <w:rPr>
          <w:rFonts w:hint="eastAsia" w:cs="宋体" w:asciiTheme="minorEastAsia" w:hAnsiTheme="minorEastAsia" w:eastAsiaTheme="minorEastAsia"/>
          <w:b/>
          <w:bCs/>
          <w:color w:val="000000"/>
          <w:kern w:val="0"/>
          <w:sz w:val="24"/>
          <w:szCs w:val="24"/>
        </w:rPr>
        <w:t>1.投资估算</w:t>
      </w:r>
      <w:bookmarkEnd w:id="15"/>
      <w:bookmarkEnd w:id="16"/>
      <w:bookmarkEnd w:id="17"/>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bookmarkStart w:id="18" w:name="_Hlk114818237"/>
      <w:r>
        <w:rPr>
          <w:rFonts w:hint="eastAsia" w:cs="宋体" w:asciiTheme="minorEastAsia" w:hAnsiTheme="minorEastAsia" w:eastAsiaTheme="minorEastAsia"/>
          <w:color w:val="000000"/>
          <w:kern w:val="0"/>
          <w:sz w:val="24"/>
          <w:szCs w:val="24"/>
        </w:rPr>
        <w:t>海口江东新区联港新通道韧性基础设施项目总投资为458,610.66万元。</w:t>
      </w:r>
      <w:bookmarkEnd w:id="18"/>
      <w:r>
        <w:rPr>
          <w:rFonts w:hint="eastAsia" w:cs="宋体" w:asciiTheme="minorEastAsia" w:hAnsiTheme="minorEastAsia" w:eastAsiaTheme="minorEastAsia"/>
          <w:color w:val="000000"/>
          <w:kern w:val="0"/>
          <w:sz w:val="24"/>
          <w:szCs w:val="24"/>
        </w:rPr>
        <w:t>详见表3。</w:t>
      </w:r>
    </w:p>
    <w:p>
      <w:pPr>
        <w:widowControl/>
        <w:ind w:firstLine="482" w:firstLineChars="200"/>
        <w:jc w:val="center"/>
        <w:rPr>
          <w:rFonts w:hint="eastAsia" w:cs="宋体" w:asciiTheme="minorEastAsia" w:hAnsiTheme="minorEastAsia" w:eastAsiaTheme="minorEastAsia"/>
          <w:b/>
          <w:kern w:val="0"/>
          <w:sz w:val="24"/>
          <w:szCs w:val="24"/>
          <w:lang w:val="en-GB"/>
        </w:rPr>
      </w:pPr>
      <w:r>
        <w:rPr>
          <w:rFonts w:hint="eastAsia" w:cs="宋体" w:asciiTheme="minorEastAsia" w:hAnsiTheme="minorEastAsia" w:eastAsiaTheme="minorEastAsia"/>
          <w:b/>
          <w:kern w:val="0"/>
          <w:sz w:val="24"/>
          <w:szCs w:val="24"/>
          <w:lang w:val="en-GB"/>
        </w:rPr>
        <w:t>表3 海口江东新区联港新通道韧性基础设施项目总投资估算表</w:t>
      </w:r>
    </w:p>
    <w:p>
      <w:pPr>
        <w:widowControl/>
        <w:ind w:firstLine="360" w:firstLineChars="200"/>
        <w:jc w:val="right"/>
        <w:rPr>
          <w:rFonts w:hint="eastAsia"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单位：人民币万元</w:t>
      </w:r>
    </w:p>
    <w:tbl>
      <w:tblPr>
        <w:tblStyle w:val="19"/>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28" w:type="dxa"/>
        </w:tblCellMar>
      </w:tblPr>
      <w:tblGrid>
        <w:gridCol w:w="449"/>
        <w:gridCol w:w="1142"/>
        <w:gridCol w:w="941"/>
        <w:gridCol w:w="1041"/>
        <w:gridCol w:w="1041"/>
        <w:gridCol w:w="941"/>
        <w:gridCol w:w="942"/>
        <w:gridCol w:w="942"/>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276" w:hRule="atLeast"/>
          <w:tblHeader/>
          <w:jc w:val="center"/>
        </w:trPr>
        <w:tc>
          <w:tcPr>
            <w:tcW w:w="325"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序号</w:t>
            </w:r>
          </w:p>
        </w:tc>
        <w:tc>
          <w:tcPr>
            <w:tcW w:w="733"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项目名称</w:t>
            </w:r>
          </w:p>
        </w:tc>
        <w:tc>
          <w:tcPr>
            <w:tcW w:w="532"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rPr>
              <w:t>2025</w:t>
            </w:r>
          </w:p>
        </w:tc>
        <w:tc>
          <w:tcPr>
            <w:tcW w:w="589"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rPr>
              <w:t>2026</w:t>
            </w:r>
          </w:p>
        </w:tc>
        <w:tc>
          <w:tcPr>
            <w:tcW w:w="589"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rPr>
              <w:t>2027</w:t>
            </w:r>
          </w:p>
        </w:tc>
        <w:tc>
          <w:tcPr>
            <w:tcW w:w="553"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rPr>
              <w:t>2028</w:t>
            </w:r>
          </w:p>
        </w:tc>
        <w:tc>
          <w:tcPr>
            <w:tcW w:w="553"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rPr>
              <w:t>2029</w:t>
            </w:r>
          </w:p>
        </w:tc>
        <w:tc>
          <w:tcPr>
            <w:tcW w:w="535"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rPr>
              <w:t>2030</w:t>
            </w:r>
          </w:p>
        </w:tc>
        <w:tc>
          <w:tcPr>
            <w:tcW w:w="589"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276" w:hRule="atLeast"/>
          <w:jc w:val="center"/>
        </w:trPr>
        <w:tc>
          <w:tcPr>
            <w:tcW w:w="325" w:type="pct"/>
            <w:shd w:val="clear" w:color="000000" w:fill="FFFFFF"/>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1.1</w:t>
            </w:r>
          </w:p>
        </w:tc>
        <w:tc>
          <w:tcPr>
            <w:tcW w:w="733"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eastAsia="zh-TW"/>
              </w:rPr>
              <w:t>建设投资</w:t>
            </w:r>
          </w:p>
        </w:tc>
        <w:tc>
          <w:tcPr>
            <w:tcW w:w="532"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22,909.22</w:t>
            </w:r>
          </w:p>
        </w:tc>
        <w:tc>
          <w:tcPr>
            <w:tcW w:w="589"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114,546.09</w:t>
            </w:r>
          </w:p>
        </w:tc>
        <w:tc>
          <w:tcPr>
            <w:tcW w:w="589"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114,546.09</w:t>
            </w:r>
          </w:p>
        </w:tc>
        <w:tc>
          <w:tcPr>
            <w:tcW w:w="553"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91,636.87</w:t>
            </w:r>
          </w:p>
        </w:tc>
        <w:tc>
          <w:tcPr>
            <w:tcW w:w="553"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color w:val="000000"/>
                <w:kern w:val="0"/>
                <w:sz w:val="20"/>
                <w:szCs w:val="20"/>
                <w:lang w:val="en-GB"/>
              </w:rPr>
              <w:t>68,727.65</w:t>
            </w:r>
          </w:p>
        </w:tc>
        <w:tc>
          <w:tcPr>
            <w:tcW w:w="535" w:type="pct"/>
            <w:shd w:val="clear" w:color="000000" w:fill="FFFFFF"/>
            <w:vAlign w:val="center"/>
          </w:tcPr>
          <w:p>
            <w:pPr>
              <w:widowControl/>
              <w:jc w:val="right"/>
              <w:rPr>
                <w:rFonts w:hint="eastAsia" w:cs="宋体" w:asciiTheme="minorEastAsia" w:hAnsiTheme="minorEastAsia" w:eastAsiaTheme="minorEastAsia"/>
                <w:b/>
                <w:bCs/>
                <w:kern w:val="0"/>
                <w:sz w:val="20"/>
                <w:szCs w:val="20"/>
                <w:lang w:val="en-GB"/>
              </w:rPr>
            </w:pPr>
            <w:r>
              <w:rPr>
                <w:rFonts w:hint="eastAsia" w:cs="宋体" w:asciiTheme="minorEastAsia" w:hAnsiTheme="minorEastAsia" w:eastAsiaTheme="minorEastAsia"/>
                <w:color w:val="000000"/>
                <w:kern w:val="0"/>
                <w:sz w:val="20"/>
                <w:szCs w:val="20"/>
                <w:lang w:val="en-GB"/>
              </w:rPr>
              <w:t>45,818.44</w:t>
            </w:r>
          </w:p>
        </w:tc>
        <w:tc>
          <w:tcPr>
            <w:tcW w:w="589"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458,184.36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276" w:hRule="atLeast"/>
          <w:jc w:val="center"/>
        </w:trPr>
        <w:tc>
          <w:tcPr>
            <w:tcW w:w="325" w:type="pct"/>
            <w:shd w:val="clear" w:color="000000" w:fill="FFFFFF"/>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1.2</w:t>
            </w:r>
          </w:p>
        </w:tc>
        <w:tc>
          <w:tcPr>
            <w:tcW w:w="733"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eastAsia="zh-TW"/>
              </w:rPr>
              <w:t>建设期利息</w:t>
            </w:r>
          </w:p>
        </w:tc>
        <w:tc>
          <w:tcPr>
            <w:tcW w:w="532"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38.75</w:t>
            </w:r>
          </w:p>
        </w:tc>
        <w:tc>
          <w:tcPr>
            <w:tcW w:w="589"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77.51</w:t>
            </w:r>
          </w:p>
        </w:tc>
        <w:tc>
          <w:tcPr>
            <w:tcW w:w="589"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77.51</w:t>
            </w:r>
          </w:p>
        </w:tc>
        <w:tc>
          <w:tcPr>
            <w:tcW w:w="553"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77.51</w:t>
            </w:r>
          </w:p>
        </w:tc>
        <w:tc>
          <w:tcPr>
            <w:tcW w:w="553"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color w:val="000000"/>
                <w:kern w:val="0"/>
                <w:sz w:val="20"/>
                <w:szCs w:val="20"/>
                <w:lang w:val="en-GB"/>
              </w:rPr>
              <w:t>77.51</w:t>
            </w:r>
          </w:p>
        </w:tc>
        <w:tc>
          <w:tcPr>
            <w:tcW w:w="535" w:type="pct"/>
            <w:shd w:val="clear" w:color="000000" w:fill="FFFFFF"/>
            <w:vAlign w:val="center"/>
          </w:tcPr>
          <w:p>
            <w:pPr>
              <w:widowControl/>
              <w:jc w:val="right"/>
              <w:rPr>
                <w:rFonts w:hint="eastAsia" w:cs="宋体" w:asciiTheme="minorEastAsia" w:hAnsiTheme="minorEastAsia" w:eastAsiaTheme="minorEastAsia"/>
                <w:b/>
                <w:bCs/>
                <w:kern w:val="0"/>
                <w:sz w:val="20"/>
                <w:szCs w:val="20"/>
                <w:lang w:val="en-GB"/>
              </w:rPr>
            </w:pPr>
            <w:r>
              <w:rPr>
                <w:rFonts w:hint="eastAsia" w:cs="宋体" w:asciiTheme="minorEastAsia" w:hAnsiTheme="minorEastAsia" w:eastAsiaTheme="minorEastAsia"/>
                <w:color w:val="000000"/>
                <w:kern w:val="0"/>
                <w:sz w:val="20"/>
                <w:szCs w:val="20"/>
                <w:lang w:val="en-GB"/>
              </w:rPr>
              <w:t>77.51</w:t>
            </w:r>
          </w:p>
        </w:tc>
        <w:tc>
          <w:tcPr>
            <w:tcW w:w="589"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426.30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276" w:hRule="atLeast"/>
          <w:jc w:val="center"/>
        </w:trPr>
        <w:tc>
          <w:tcPr>
            <w:tcW w:w="325" w:type="pct"/>
            <w:shd w:val="clear" w:color="000000" w:fill="FFFFFF"/>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1.3</w:t>
            </w:r>
          </w:p>
        </w:tc>
        <w:tc>
          <w:tcPr>
            <w:tcW w:w="733" w:type="pct"/>
            <w:shd w:val="clear" w:color="000000" w:fill="FFFFFF"/>
            <w:vAlign w:val="center"/>
          </w:tcPr>
          <w:p>
            <w:pPr>
              <w:widowControl/>
              <w:jc w:val="lef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合计</w:t>
            </w:r>
          </w:p>
        </w:tc>
        <w:tc>
          <w:tcPr>
            <w:tcW w:w="532"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22,947.97</w:t>
            </w:r>
          </w:p>
        </w:tc>
        <w:tc>
          <w:tcPr>
            <w:tcW w:w="589"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114,623.60</w:t>
            </w:r>
          </w:p>
        </w:tc>
        <w:tc>
          <w:tcPr>
            <w:tcW w:w="589"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114,623.60</w:t>
            </w:r>
          </w:p>
        </w:tc>
        <w:tc>
          <w:tcPr>
            <w:tcW w:w="553"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91,714.38</w:t>
            </w:r>
          </w:p>
        </w:tc>
        <w:tc>
          <w:tcPr>
            <w:tcW w:w="553"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68,805.16</w:t>
            </w:r>
          </w:p>
        </w:tc>
        <w:tc>
          <w:tcPr>
            <w:tcW w:w="535" w:type="pct"/>
            <w:shd w:val="clear" w:color="000000" w:fill="FFFFFF"/>
            <w:vAlign w:val="center"/>
          </w:tcPr>
          <w:p>
            <w:pPr>
              <w:widowControl/>
              <w:jc w:val="right"/>
              <w:rPr>
                <w:rFonts w:hint="eastAsia" w:cs="宋体" w:asciiTheme="minorEastAsia" w:hAnsiTheme="minorEastAsia" w:eastAsiaTheme="minorEastAsia"/>
                <w:b/>
                <w:bCs/>
                <w:kern w:val="0"/>
                <w:sz w:val="20"/>
                <w:szCs w:val="20"/>
                <w:lang w:val="en-GB"/>
              </w:rPr>
            </w:pPr>
            <w:r>
              <w:rPr>
                <w:rFonts w:hint="eastAsia" w:cs="宋体" w:asciiTheme="minorEastAsia" w:hAnsiTheme="minorEastAsia" w:eastAsiaTheme="minorEastAsia"/>
                <w:b/>
                <w:bCs/>
                <w:color w:val="000000"/>
                <w:kern w:val="0"/>
                <w:sz w:val="20"/>
                <w:szCs w:val="20"/>
                <w:lang w:val="en-GB"/>
              </w:rPr>
              <w:t>45,895.95</w:t>
            </w:r>
          </w:p>
        </w:tc>
        <w:tc>
          <w:tcPr>
            <w:tcW w:w="589"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458,610.66</w:t>
            </w:r>
          </w:p>
        </w:tc>
      </w:tr>
    </w:tbl>
    <w:p>
      <w:pPr>
        <w:widowControl/>
        <w:spacing w:before="120" w:after="120" w:line="360" w:lineRule="auto"/>
        <w:ind w:firstLine="482" w:firstLineChars="200"/>
        <w:outlineLvl w:val="2"/>
        <w:rPr>
          <w:rFonts w:hint="eastAsia" w:cs="宋体" w:asciiTheme="minorEastAsia" w:hAnsiTheme="minorEastAsia" w:eastAsiaTheme="minorEastAsia"/>
          <w:b/>
          <w:bCs/>
          <w:color w:val="000000"/>
          <w:kern w:val="0"/>
          <w:sz w:val="24"/>
          <w:szCs w:val="24"/>
        </w:rPr>
      </w:pPr>
      <w:bookmarkStart w:id="19" w:name="_Toc114818423"/>
      <w:bookmarkStart w:id="20" w:name="_Toc114818533"/>
      <w:bookmarkStart w:id="21" w:name="_Toc200555436"/>
      <w:r>
        <w:rPr>
          <w:rFonts w:hint="eastAsia" w:cs="宋体" w:asciiTheme="minorEastAsia" w:hAnsiTheme="minorEastAsia" w:eastAsiaTheme="minorEastAsia"/>
          <w:b/>
          <w:bCs/>
          <w:color w:val="000000"/>
          <w:kern w:val="0"/>
          <w:sz w:val="24"/>
          <w:szCs w:val="24"/>
        </w:rPr>
        <w:t>2.资金筹措</w:t>
      </w:r>
      <w:bookmarkEnd w:id="19"/>
      <w:bookmarkEnd w:id="20"/>
      <w:bookmarkEnd w:id="21"/>
    </w:p>
    <w:p>
      <w:pPr>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本项目累计资金筹措总额458,610.66万元，其中，自筹资金455,430.10万元，本期计划调增专项债券3,180.56万元。本项目的自筹资金，由财政资金统筹安排。</w:t>
      </w:r>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项目建设期各年度投资计划及资金筹措方案详见表4。</w:t>
      </w:r>
    </w:p>
    <w:p>
      <w:pPr>
        <w:widowControl/>
        <w:ind w:firstLine="482" w:firstLineChars="200"/>
        <w:jc w:val="center"/>
        <w:rPr>
          <w:rFonts w:hint="eastAsia" w:cs="宋体" w:asciiTheme="minorEastAsia" w:hAnsiTheme="minorEastAsia" w:eastAsiaTheme="minorEastAsia"/>
          <w:b/>
          <w:kern w:val="0"/>
          <w:sz w:val="24"/>
          <w:szCs w:val="24"/>
          <w:lang w:val="en-GB"/>
        </w:rPr>
      </w:pPr>
      <w:r>
        <w:rPr>
          <w:rFonts w:hint="eastAsia" w:cs="宋体" w:asciiTheme="minorEastAsia" w:hAnsiTheme="minorEastAsia" w:eastAsiaTheme="minorEastAsia"/>
          <w:b/>
          <w:kern w:val="0"/>
          <w:sz w:val="24"/>
          <w:szCs w:val="24"/>
          <w:lang w:val="en-GB"/>
        </w:rPr>
        <w:t>表4 海口江东新区联港新通道韧性基础设施项目投资计划及资金筹措表</w:t>
      </w:r>
    </w:p>
    <w:p>
      <w:pPr>
        <w:widowControl/>
        <w:ind w:firstLine="360" w:firstLineChars="200"/>
        <w:jc w:val="right"/>
        <w:rPr>
          <w:rFonts w:hint="eastAsia"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单位：人民币万元</w:t>
      </w:r>
    </w:p>
    <w:tbl>
      <w:tblPr>
        <w:tblStyle w:val="19"/>
        <w:tblW w:w="52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69"/>
        <w:gridCol w:w="1284"/>
        <w:gridCol w:w="964"/>
        <w:gridCol w:w="1064"/>
        <w:gridCol w:w="1064"/>
        <w:gridCol w:w="964"/>
        <w:gridCol w:w="964"/>
        <w:gridCol w:w="964"/>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08"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序号</w:t>
            </w:r>
          </w:p>
        </w:tc>
        <w:tc>
          <w:tcPr>
            <w:tcW w:w="771"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项目名称</w:t>
            </w:r>
          </w:p>
        </w:tc>
        <w:tc>
          <w:tcPr>
            <w:tcW w:w="530" w:type="pct"/>
            <w:shd w:val="clear" w:color="auto" w:fill="D8D8D8"/>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2025</w:t>
            </w:r>
          </w:p>
        </w:tc>
        <w:tc>
          <w:tcPr>
            <w:tcW w:w="585" w:type="pct"/>
            <w:shd w:val="clear" w:color="auto" w:fill="D8D8D8"/>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2026</w:t>
            </w:r>
          </w:p>
        </w:tc>
        <w:tc>
          <w:tcPr>
            <w:tcW w:w="585" w:type="pct"/>
            <w:shd w:val="clear" w:color="auto" w:fill="D8D8D8"/>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2027</w:t>
            </w:r>
          </w:p>
        </w:tc>
        <w:tc>
          <w:tcPr>
            <w:tcW w:w="553" w:type="pct"/>
            <w:shd w:val="clear" w:color="auto" w:fill="D8D8D8"/>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2028</w:t>
            </w:r>
          </w:p>
        </w:tc>
        <w:tc>
          <w:tcPr>
            <w:tcW w:w="553" w:type="pct"/>
            <w:shd w:val="clear" w:color="auto" w:fill="D8D8D8"/>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2029</w:t>
            </w:r>
          </w:p>
        </w:tc>
        <w:tc>
          <w:tcPr>
            <w:tcW w:w="530" w:type="pct"/>
            <w:shd w:val="clear" w:color="auto" w:fill="D8D8D8"/>
          </w:tcPr>
          <w:p>
            <w:pPr>
              <w:widowControl/>
              <w:jc w:val="center"/>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b/>
                <w:color w:val="000000"/>
                <w:kern w:val="0"/>
                <w:sz w:val="20"/>
                <w:szCs w:val="20"/>
                <w:lang w:val="en-GB" w:eastAsia="zh-TW"/>
              </w:rPr>
              <w:t>2030</w:t>
            </w:r>
          </w:p>
        </w:tc>
        <w:tc>
          <w:tcPr>
            <w:tcW w:w="585" w:type="pct"/>
            <w:shd w:val="clear" w:color="auto" w:fill="D8D8D8"/>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8" w:type="pct"/>
            <w:shd w:val="clear" w:color="000000" w:fill="FFFFFF"/>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eastAsia="zh-TW"/>
              </w:rPr>
              <w:t>1</w:t>
            </w:r>
          </w:p>
        </w:tc>
        <w:tc>
          <w:tcPr>
            <w:tcW w:w="771"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eastAsia="zh-TW"/>
              </w:rPr>
              <w:t>自筹资金</w:t>
            </w:r>
          </w:p>
        </w:tc>
        <w:tc>
          <w:tcPr>
            <w:tcW w:w="530" w:type="pct"/>
            <w:shd w:val="clear" w:color="000000" w:fill="FFFFFF"/>
            <w:vAlign w:val="center"/>
          </w:tcPr>
          <w:p>
            <w:pPr>
              <w:widowControl/>
              <w:jc w:val="right"/>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kern w:val="0"/>
                <w:sz w:val="20"/>
                <w:lang w:val="en-GB"/>
              </w:rPr>
              <w:t>19,767.41</w:t>
            </w:r>
          </w:p>
        </w:tc>
        <w:tc>
          <w:tcPr>
            <w:tcW w:w="585" w:type="pct"/>
            <w:shd w:val="clear" w:color="000000" w:fill="FFFFFF"/>
            <w:vAlign w:val="center"/>
          </w:tcPr>
          <w:p>
            <w:pPr>
              <w:widowControl/>
              <w:jc w:val="right"/>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kern w:val="0"/>
                <w:sz w:val="20"/>
                <w:lang w:val="en-GB"/>
              </w:rPr>
              <w:t>114,623.60</w:t>
            </w:r>
          </w:p>
        </w:tc>
        <w:tc>
          <w:tcPr>
            <w:tcW w:w="585" w:type="pct"/>
            <w:shd w:val="clear" w:color="000000" w:fill="FFFFFF"/>
            <w:vAlign w:val="center"/>
          </w:tcPr>
          <w:p>
            <w:pPr>
              <w:widowControl/>
              <w:jc w:val="right"/>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kern w:val="0"/>
                <w:sz w:val="20"/>
                <w:lang w:val="en-GB"/>
              </w:rPr>
              <w:t>114,623.60</w:t>
            </w:r>
          </w:p>
        </w:tc>
        <w:tc>
          <w:tcPr>
            <w:tcW w:w="553" w:type="pct"/>
            <w:shd w:val="clear" w:color="000000" w:fill="FFFFFF"/>
            <w:vAlign w:val="center"/>
          </w:tcPr>
          <w:p>
            <w:pPr>
              <w:widowControl/>
              <w:jc w:val="right"/>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kern w:val="0"/>
                <w:sz w:val="20"/>
                <w:lang w:val="en-GB"/>
              </w:rPr>
              <w:t>91,714.38</w:t>
            </w:r>
          </w:p>
        </w:tc>
        <w:tc>
          <w:tcPr>
            <w:tcW w:w="553" w:type="pct"/>
            <w:shd w:val="clear" w:color="000000" w:fill="FFFFFF"/>
            <w:vAlign w:val="center"/>
          </w:tcPr>
          <w:p>
            <w:pPr>
              <w:widowControl/>
              <w:jc w:val="right"/>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kern w:val="0"/>
                <w:sz w:val="20"/>
                <w:lang w:val="en-GB"/>
              </w:rPr>
              <w:t>68,805.16</w:t>
            </w:r>
          </w:p>
        </w:tc>
        <w:tc>
          <w:tcPr>
            <w:tcW w:w="530" w:type="pct"/>
            <w:shd w:val="clear" w:color="000000" w:fill="FFFFFF"/>
            <w:vAlign w:val="center"/>
          </w:tcPr>
          <w:p>
            <w:pPr>
              <w:widowControl/>
              <w:jc w:val="right"/>
              <w:rPr>
                <w:rFonts w:hint="eastAsia" w:cs="宋体" w:asciiTheme="minorEastAsia" w:hAnsiTheme="minorEastAsia" w:eastAsiaTheme="minorEastAsia"/>
                <w:b/>
                <w:color w:val="000000"/>
                <w:kern w:val="0"/>
                <w:sz w:val="20"/>
                <w:szCs w:val="20"/>
                <w:lang w:val="en-GB" w:eastAsia="zh-TW"/>
              </w:rPr>
            </w:pPr>
            <w:r>
              <w:rPr>
                <w:rFonts w:hint="eastAsia" w:cs="宋体" w:asciiTheme="minorEastAsia" w:hAnsiTheme="minorEastAsia" w:eastAsiaTheme="minorEastAsia"/>
                <w:kern w:val="0"/>
                <w:sz w:val="20"/>
                <w:lang w:val="en-GB"/>
              </w:rPr>
              <w:t>45,895.95</w:t>
            </w:r>
          </w:p>
        </w:tc>
        <w:tc>
          <w:tcPr>
            <w:tcW w:w="585"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455,430.10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8" w:type="pct"/>
            <w:shd w:val="clear" w:color="000000" w:fill="FFFFFF"/>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eastAsia="zh-TW"/>
              </w:rPr>
              <w:t>2</w:t>
            </w:r>
          </w:p>
        </w:tc>
        <w:tc>
          <w:tcPr>
            <w:tcW w:w="771"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eastAsia="zh-TW"/>
              </w:rPr>
              <w:t>本期债券发行</w:t>
            </w:r>
          </w:p>
        </w:tc>
        <w:tc>
          <w:tcPr>
            <w:tcW w:w="530"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kern w:val="0"/>
                <w:sz w:val="20"/>
                <w:lang w:val="en-GB"/>
              </w:rPr>
              <w:t>3,180.56</w:t>
            </w:r>
          </w:p>
        </w:tc>
        <w:tc>
          <w:tcPr>
            <w:tcW w:w="585" w:type="pct"/>
            <w:shd w:val="clear" w:color="000000" w:fill="FFFFFF"/>
            <w:vAlign w:val="center"/>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w:t>
            </w:r>
          </w:p>
        </w:tc>
        <w:tc>
          <w:tcPr>
            <w:tcW w:w="585" w:type="pct"/>
            <w:shd w:val="clear" w:color="000000" w:fill="FFFFFF"/>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w:t>
            </w:r>
          </w:p>
        </w:tc>
        <w:tc>
          <w:tcPr>
            <w:tcW w:w="553" w:type="pct"/>
            <w:shd w:val="clear" w:color="000000" w:fill="FFFFFF"/>
          </w:tcPr>
          <w:p>
            <w:pPr>
              <w:widowControl/>
              <w:jc w:val="righ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w:t>
            </w:r>
          </w:p>
        </w:tc>
        <w:tc>
          <w:tcPr>
            <w:tcW w:w="553" w:type="pct"/>
            <w:shd w:val="clear" w:color="000000" w:fill="FFFFFF"/>
          </w:tcPr>
          <w:p>
            <w:pPr>
              <w:widowControl/>
              <w:jc w:val="right"/>
              <w:rPr>
                <w:rFonts w:hint="eastAsia" w:cs="宋体" w:asciiTheme="minorEastAsia" w:hAnsiTheme="minorEastAsia" w:eastAsiaTheme="minorEastAsia"/>
                <w:b/>
                <w:bCs/>
                <w:color w:val="000000"/>
                <w:kern w:val="0"/>
                <w:sz w:val="20"/>
                <w:szCs w:val="21"/>
                <w:lang w:val="en-GB"/>
              </w:rPr>
            </w:pPr>
            <w:r>
              <w:rPr>
                <w:rFonts w:hint="eastAsia" w:cs="宋体" w:asciiTheme="minorEastAsia" w:hAnsiTheme="minorEastAsia" w:eastAsiaTheme="minorEastAsia"/>
                <w:color w:val="000000"/>
                <w:kern w:val="0"/>
                <w:sz w:val="20"/>
                <w:szCs w:val="20"/>
                <w:lang w:val="en-GB"/>
              </w:rPr>
              <w:t>-</w:t>
            </w:r>
          </w:p>
        </w:tc>
        <w:tc>
          <w:tcPr>
            <w:tcW w:w="530" w:type="pct"/>
            <w:shd w:val="clear" w:color="000000" w:fill="FFFFFF"/>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color w:val="000000"/>
                <w:kern w:val="0"/>
                <w:sz w:val="20"/>
                <w:szCs w:val="20"/>
                <w:lang w:val="en-GB"/>
              </w:rPr>
              <w:t>-</w:t>
            </w:r>
          </w:p>
        </w:tc>
        <w:tc>
          <w:tcPr>
            <w:tcW w:w="585"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3,180.56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8" w:type="pct"/>
            <w:shd w:val="clear" w:color="000000" w:fill="FFFFFF"/>
            <w:vAlign w:val="center"/>
          </w:tcPr>
          <w:p>
            <w:pPr>
              <w:widowControl/>
              <w:jc w:val="center"/>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3</w:t>
            </w:r>
          </w:p>
        </w:tc>
        <w:tc>
          <w:tcPr>
            <w:tcW w:w="771" w:type="pct"/>
            <w:shd w:val="clear" w:color="000000" w:fill="FFFFFF"/>
            <w:vAlign w:val="center"/>
          </w:tcPr>
          <w:p>
            <w:pPr>
              <w:widowControl/>
              <w:jc w:val="left"/>
              <w:rPr>
                <w:rFonts w:hint="eastAsia" w:cs="宋体" w:asciiTheme="minorEastAsia" w:hAnsiTheme="minorEastAsia" w:eastAsiaTheme="minorEastAsia"/>
                <w:b/>
                <w:color w:val="000000"/>
                <w:kern w:val="0"/>
                <w:sz w:val="20"/>
                <w:szCs w:val="20"/>
                <w:lang w:val="en-GB"/>
              </w:rPr>
            </w:pPr>
            <w:r>
              <w:rPr>
                <w:rFonts w:hint="eastAsia" w:cs="宋体" w:asciiTheme="minorEastAsia" w:hAnsiTheme="minorEastAsia" w:eastAsiaTheme="minorEastAsia"/>
                <w:b/>
                <w:color w:val="000000"/>
                <w:kern w:val="0"/>
                <w:sz w:val="20"/>
                <w:szCs w:val="20"/>
                <w:lang w:val="en-GB" w:eastAsia="zh-TW"/>
              </w:rPr>
              <w:t>合计</w:t>
            </w:r>
          </w:p>
        </w:tc>
        <w:tc>
          <w:tcPr>
            <w:tcW w:w="530"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22,947.97</w:t>
            </w:r>
          </w:p>
        </w:tc>
        <w:tc>
          <w:tcPr>
            <w:tcW w:w="585"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114,623.60</w:t>
            </w:r>
          </w:p>
        </w:tc>
        <w:tc>
          <w:tcPr>
            <w:tcW w:w="585"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114,623.60</w:t>
            </w:r>
          </w:p>
        </w:tc>
        <w:tc>
          <w:tcPr>
            <w:tcW w:w="553"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91,714.38</w:t>
            </w:r>
          </w:p>
        </w:tc>
        <w:tc>
          <w:tcPr>
            <w:tcW w:w="553"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1"/>
                <w:lang w:val="en-GB"/>
              </w:rPr>
            </w:pPr>
            <w:r>
              <w:rPr>
                <w:rFonts w:hint="eastAsia" w:cs="宋体" w:asciiTheme="minorEastAsia" w:hAnsiTheme="minorEastAsia" w:eastAsiaTheme="minorEastAsia"/>
                <w:b/>
                <w:bCs/>
                <w:kern w:val="0"/>
                <w:sz w:val="20"/>
                <w:lang w:val="en-GB"/>
              </w:rPr>
              <w:t>68,805.16</w:t>
            </w:r>
          </w:p>
        </w:tc>
        <w:tc>
          <w:tcPr>
            <w:tcW w:w="530"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b/>
                <w:bCs/>
                <w:kern w:val="0"/>
                <w:sz w:val="20"/>
                <w:lang w:val="en-GB"/>
              </w:rPr>
              <w:t>45,895.95</w:t>
            </w:r>
          </w:p>
        </w:tc>
        <w:tc>
          <w:tcPr>
            <w:tcW w:w="585" w:type="pct"/>
            <w:shd w:val="clear" w:color="000000" w:fill="FFFFFF"/>
            <w:vAlign w:val="center"/>
          </w:tcPr>
          <w:p>
            <w:pPr>
              <w:widowControl/>
              <w:jc w:val="right"/>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kern w:val="0"/>
                <w:sz w:val="20"/>
                <w:lang w:val="en-GB"/>
              </w:rPr>
              <w:t>458,610.66</w:t>
            </w:r>
          </w:p>
        </w:tc>
      </w:tr>
    </w:tbl>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基于以上投资计划、资金筹措安排，我们未发现本项目建设期内所需建设资金存在缺口的情况。</w:t>
      </w:r>
    </w:p>
    <w:p>
      <w:pPr>
        <w:widowControl/>
        <w:spacing w:before="120" w:after="120" w:line="360" w:lineRule="auto"/>
        <w:ind w:firstLine="482" w:firstLineChars="200"/>
        <w:outlineLvl w:val="2"/>
        <w:rPr>
          <w:rFonts w:hint="eastAsia" w:cs="宋体" w:asciiTheme="minorEastAsia" w:hAnsiTheme="minorEastAsia" w:eastAsiaTheme="minorEastAsia"/>
          <w:b/>
          <w:bCs/>
          <w:color w:val="000000"/>
          <w:kern w:val="0"/>
          <w:sz w:val="24"/>
          <w:szCs w:val="24"/>
        </w:rPr>
      </w:pPr>
      <w:bookmarkStart w:id="22" w:name="_Toc114818534"/>
      <w:bookmarkStart w:id="23" w:name="_Toc200555437"/>
      <w:bookmarkStart w:id="24" w:name="_Toc114818424"/>
      <w:r>
        <w:rPr>
          <w:rFonts w:hint="eastAsia" w:cs="宋体" w:asciiTheme="minorEastAsia" w:hAnsiTheme="minorEastAsia" w:eastAsiaTheme="minorEastAsia"/>
          <w:b/>
          <w:bCs/>
          <w:color w:val="000000"/>
          <w:kern w:val="0"/>
          <w:sz w:val="24"/>
          <w:szCs w:val="24"/>
        </w:rPr>
        <w:t>3.资金覆盖情况</w:t>
      </w:r>
      <w:bookmarkEnd w:id="22"/>
      <w:bookmarkEnd w:id="23"/>
      <w:bookmarkEnd w:id="24"/>
    </w:p>
    <w:p>
      <w:pPr>
        <w:widowControl/>
        <w:spacing w:line="360" w:lineRule="auto"/>
        <w:ind w:firstLine="480" w:firstLineChars="200"/>
        <w:jc w:val="left"/>
        <w:rPr>
          <w:rFonts w:hint="eastAsia" w:cs="宋体" w:asciiTheme="minorEastAsia" w:hAnsiTheme="minorEastAsia" w:eastAsiaTheme="minorEastAsia"/>
          <w:kern w:val="0"/>
          <w:sz w:val="24"/>
          <w:szCs w:val="24"/>
          <w:lang w:val="en-GB"/>
        </w:rPr>
      </w:pPr>
      <w:r>
        <w:rPr>
          <w:rFonts w:hint="eastAsia" w:cs="宋体" w:asciiTheme="minorEastAsia" w:hAnsiTheme="minorEastAsia" w:eastAsiaTheme="minorEastAsia"/>
          <w:kern w:val="0"/>
          <w:sz w:val="24"/>
          <w:szCs w:val="24"/>
          <w:lang w:val="en-GB"/>
        </w:rPr>
        <w:t>本期计划调增专项债券3,180.56万元。本息覆盖倍数可达到1.34，根据项目收益与融资平衡分析结果显示，本债券存续期内还本付息资金充足。</w:t>
      </w:r>
    </w:p>
    <w:p>
      <w:pPr>
        <w:widowControl/>
        <w:spacing w:line="360" w:lineRule="auto"/>
        <w:ind w:firstLine="480" w:firstLineChars="200"/>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详见下表5、表6：</w:t>
      </w:r>
    </w:p>
    <w:p>
      <w:pPr>
        <w:widowControl/>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br w:type="page"/>
      </w:r>
    </w:p>
    <w:p>
      <w:pPr>
        <w:widowControl/>
        <w:ind w:firstLine="482" w:firstLineChars="200"/>
        <w:jc w:val="center"/>
        <w:rPr>
          <w:rFonts w:hint="eastAsia" w:cs="宋体" w:asciiTheme="minorEastAsia" w:hAnsiTheme="minorEastAsia" w:eastAsiaTheme="minorEastAsia"/>
          <w:b/>
          <w:kern w:val="0"/>
          <w:sz w:val="24"/>
          <w:szCs w:val="24"/>
          <w:lang w:val="en-GB"/>
        </w:rPr>
      </w:pPr>
      <w:r>
        <w:rPr>
          <w:rFonts w:hint="eastAsia" w:cs="宋体" w:asciiTheme="minorEastAsia" w:hAnsiTheme="minorEastAsia" w:eastAsiaTheme="minorEastAsia"/>
          <w:b/>
          <w:kern w:val="0"/>
          <w:sz w:val="24"/>
          <w:szCs w:val="24"/>
          <w:lang w:val="en-GB"/>
        </w:rPr>
        <w:t>表5 海口江东新区联港新通道韧性基础设施项目本息覆盖倍数表</w:t>
      </w:r>
    </w:p>
    <w:p>
      <w:pPr>
        <w:widowControl/>
        <w:ind w:right="-907" w:rightChars="-432" w:firstLine="360" w:firstLineChars="200"/>
        <w:jc w:val="right"/>
        <w:rPr>
          <w:rFonts w:hint="eastAsia"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单位：人民币万元</w:t>
      </w:r>
    </w:p>
    <w:tbl>
      <w:tblPr>
        <w:tblStyle w:val="19"/>
        <w:tblW w:w="62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13"/>
        <w:gridCol w:w="1136"/>
        <w:gridCol w:w="1077"/>
        <w:gridCol w:w="1209"/>
        <w:gridCol w:w="1209"/>
        <w:gridCol w:w="1207"/>
        <w:gridCol w:w="1207"/>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blHeader/>
          <w:jc w:val="center"/>
        </w:trPr>
        <w:tc>
          <w:tcPr>
            <w:tcW w:w="1058"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项目</w:t>
            </w:r>
          </w:p>
        </w:tc>
        <w:tc>
          <w:tcPr>
            <w:tcW w:w="543"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调整后项目总投资</w:t>
            </w:r>
          </w:p>
        </w:tc>
        <w:tc>
          <w:tcPr>
            <w:tcW w:w="515"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用于资金平衡的项目收益</w:t>
            </w:r>
          </w:p>
        </w:tc>
        <w:tc>
          <w:tcPr>
            <w:tcW w:w="578"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期末项目累计现金结存额</w:t>
            </w:r>
          </w:p>
        </w:tc>
        <w:tc>
          <w:tcPr>
            <w:tcW w:w="578"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本期调增额度</w:t>
            </w:r>
          </w:p>
        </w:tc>
        <w:tc>
          <w:tcPr>
            <w:tcW w:w="577"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债券本息合计</w:t>
            </w:r>
          </w:p>
        </w:tc>
        <w:tc>
          <w:tcPr>
            <w:tcW w:w="577"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本息覆盖率</w:t>
            </w:r>
            <w:r>
              <w:rPr>
                <w:rFonts w:cs="Arial Unicode MS" w:asciiTheme="minorEastAsia" w:hAnsiTheme="minorEastAsia" w:eastAsiaTheme="minorEastAsia"/>
                <w:b/>
                <w:color w:val="000000"/>
                <w:szCs w:val="20"/>
                <w:vertAlign w:val="superscript"/>
              </w:rPr>
              <w:footnoteReference w:id="0"/>
            </w:r>
          </w:p>
        </w:tc>
        <w:tc>
          <w:tcPr>
            <w:tcW w:w="574" w:type="pct"/>
            <w:shd w:val="clear" w:color="auto" w:fill="D8D8D8" w:themeFill="background1" w:themeFillShade="D9"/>
            <w:noWrap/>
            <w:vAlign w:val="center"/>
          </w:tcPr>
          <w:p>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本息覆盖倍数</w:t>
            </w:r>
            <w:r>
              <w:rPr>
                <w:rFonts w:cs="Arial Unicode MS" w:asciiTheme="minorEastAsia" w:hAnsiTheme="minorEastAsia" w:eastAsiaTheme="minorEastAsia"/>
                <w:b/>
                <w:color w:val="000000"/>
                <w:szCs w:val="20"/>
                <w:vertAlign w:val="superscript"/>
              </w:rPr>
              <w:footnote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1058" w:type="pct"/>
            <w:shd w:val="clear" w:color="auto" w:fill="auto"/>
            <w:noWrap/>
            <w:vAlign w:val="center"/>
          </w:tcPr>
          <w:p>
            <w:pPr>
              <w:rPr>
                <w:rFonts w:hint="eastAsia" w:cs="Arial Unicode MS" w:asciiTheme="minorEastAsia" w:hAnsiTheme="minorEastAsia" w:eastAsiaTheme="minorEastAsia"/>
                <w:color w:val="000000"/>
                <w:szCs w:val="20"/>
              </w:rPr>
            </w:pPr>
            <w:r>
              <w:rPr>
                <w:rFonts w:hint="eastAsia" w:cs="Arial Unicode MS" w:asciiTheme="minorEastAsia" w:hAnsiTheme="minorEastAsia" w:eastAsiaTheme="minorEastAsia"/>
                <w:color w:val="000000"/>
                <w:szCs w:val="20"/>
              </w:rPr>
              <w:t>海口江东新区联港新通道韧性基础设施项目</w:t>
            </w:r>
          </w:p>
        </w:tc>
        <w:tc>
          <w:tcPr>
            <w:tcW w:w="543" w:type="pct"/>
            <w:shd w:val="clear" w:color="auto" w:fill="auto"/>
            <w:noWrap/>
            <w:vAlign w:val="center"/>
          </w:tcPr>
          <w:p>
            <w:pPr>
              <w:jc w:val="right"/>
              <w:rPr>
                <w:rFonts w:hint="eastAsia" w:asciiTheme="minorEastAsia" w:hAnsiTheme="minorEastAsia" w:eastAsiaTheme="minorEastAsia"/>
              </w:rPr>
            </w:pPr>
            <w:r>
              <w:rPr>
                <w:rFonts w:asciiTheme="minorEastAsia" w:hAnsiTheme="minorEastAsia" w:eastAsiaTheme="minorEastAsia"/>
              </w:rPr>
              <w:t>458,610.66</w:t>
            </w:r>
          </w:p>
        </w:tc>
        <w:tc>
          <w:tcPr>
            <w:tcW w:w="515" w:type="pct"/>
            <w:shd w:val="clear" w:color="auto" w:fill="auto"/>
            <w:noWrap/>
            <w:vAlign w:val="center"/>
          </w:tcPr>
          <w:p>
            <w:pPr>
              <w:jc w:val="right"/>
              <w:rPr>
                <w:rFonts w:hint="eastAsia" w:asciiTheme="minorEastAsia" w:hAnsiTheme="minorEastAsia" w:eastAsiaTheme="minorEastAsia"/>
              </w:rPr>
            </w:pPr>
            <w:r>
              <w:rPr>
                <w:rFonts w:hint="eastAsia" w:asciiTheme="minorEastAsia" w:hAnsiTheme="minorEastAsia" w:eastAsiaTheme="minorEastAsia"/>
              </w:rPr>
              <w:t>5,207.30</w:t>
            </w:r>
          </w:p>
        </w:tc>
        <w:tc>
          <w:tcPr>
            <w:tcW w:w="578" w:type="pct"/>
            <w:shd w:val="clear" w:color="auto" w:fill="auto"/>
            <w:noWrap/>
            <w:vAlign w:val="center"/>
          </w:tcPr>
          <w:p>
            <w:pPr>
              <w:jc w:val="right"/>
              <w:rPr>
                <w:rFonts w:hint="eastAsia" w:asciiTheme="minorEastAsia" w:hAnsiTheme="minorEastAsia" w:eastAsiaTheme="minorEastAsia"/>
              </w:rPr>
            </w:pPr>
            <w:r>
              <w:rPr>
                <w:rFonts w:hint="eastAsia" w:asciiTheme="minorEastAsia" w:hAnsiTheme="minorEastAsia" w:eastAsiaTheme="minorEastAsia"/>
              </w:rPr>
              <w:t>1,742.23</w:t>
            </w:r>
          </w:p>
        </w:tc>
        <w:tc>
          <w:tcPr>
            <w:tcW w:w="578" w:type="pct"/>
            <w:shd w:val="clear" w:color="auto" w:fill="auto"/>
            <w:noWrap/>
            <w:vAlign w:val="center"/>
          </w:tcPr>
          <w:p>
            <w:pPr>
              <w:jc w:val="right"/>
              <w:rPr>
                <w:rFonts w:hint="eastAsia" w:asciiTheme="minorEastAsia" w:hAnsiTheme="minorEastAsia" w:eastAsiaTheme="minorEastAsia"/>
              </w:rPr>
            </w:pPr>
            <w:r>
              <w:rPr>
                <w:rFonts w:hint="eastAsia" w:asciiTheme="minorEastAsia" w:hAnsiTheme="minorEastAsia" w:eastAsiaTheme="minorEastAsia"/>
              </w:rPr>
              <w:t>3,180.56</w:t>
            </w:r>
          </w:p>
        </w:tc>
        <w:tc>
          <w:tcPr>
            <w:tcW w:w="577" w:type="pct"/>
            <w:shd w:val="clear" w:color="auto" w:fill="auto"/>
            <w:noWrap/>
            <w:vAlign w:val="center"/>
          </w:tcPr>
          <w:p>
            <w:pPr>
              <w:jc w:val="right"/>
              <w:rPr>
                <w:rFonts w:hint="eastAsia" w:asciiTheme="minorEastAsia" w:hAnsiTheme="minorEastAsia" w:eastAsiaTheme="minorEastAsia"/>
              </w:rPr>
            </w:pPr>
            <w:r>
              <w:rPr>
                <w:rFonts w:hint="eastAsia" w:asciiTheme="minorEastAsia" w:hAnsiTheme="minorEastAsia" w:eastAsiaTheme="minorEastAsia"/>
              </w:rPr>
              <w:t>3,891.37</w:t>
            </w:r>
          </w:p>
        </w:tc>
        <w:tc>
          <w:tcPr>
            <w:tcW w:w="577" w:type="pct"/>
            <w:shd w:val="clear" w:color="auto" w:fill="auto"/>
            <w:noWrap/>
            <w:vAlign w:val="center"/>
          </w:tcPr>
          <w:p>
            <w:pPr>
              <w:jc w:val="right"/>
              <w:rPr>
                <w:rFonts w:hint="eastAsia" w:asciiTheme="minorEastAsia" w:hAnsiTheme="minorEastAsia" w:eastAsiaTheme="minorEastAsia"/>
              </w:rPr>
            </w:pPr>
            <w:r>
              <w:rPr>
                <w:rFonts w:hint="eastAsia" w:asciiTheme="minorEastAsia" w:hAnsiTheme="minorEastAsia" w:eastAsiaTheme="minorEastAsia"/>
              </w:rPr>
              <w:t>1.45</w:t>
            </w:r>
          </w:p>
        </w:tc>
        <w:tc>
          <w:tcPr>
            <w:tcW w:w="574" w:type="pct"/>
            <w:shd w:val="clear" w:color="auto" w:fill="auto"/>
            <w:noWrap/>
            <w:vAlign w:val="center"/>
          </w:tcPr>
          <w:p>
            <w:pPr>
              <w:jc w:val="right"/>
              <w:rPr>
                <w:rFonts w:hint="eastAsia" w:asciiTheme="minorEastAsia" w:hAnsiTheme="minorEastAsia" w:eastAsiaTheme="minorEastAsia"/>
              </w:rPr>
            </w:pPr>
            <w:r>
              <w:rPr>
                <w:rFonts w:hint="eastAsia" w:asciiTheme="minorEastAsia" w:hAnsiTheme="minorEastAsia" w:eastAsiaTheme="minorEastAsia"/>
              </w:rPr>
              <w:t>1.34</w:t>
            </w:r>
          </w:p>
        </w:tc>
      </w:tr>
    </w:tbl>
    <w:p>
      <w:pPr>
        <w:widowControl/>
        <w:ind w:firstLine="482" w:firstLineChars="200"/>
        <w:jc w:val="center"/>
        <w:rPr>
          <w:rFonts w:hint="eastAsia" w:cs="宋体" w:asciiTheme="minorEastAsia" w:hAnsiTheme="minorEastAsia" w:eastAsiaTheme="minorEastAsia"/>
          <w:b/>
          <w:kern w:val="0"/>
          <w:sz w:val="24"/>
          <w:szCs w:val="24"/>
          <w:lang w:val="en-GB"/>
        </w:rPr>
      </w:pPr>
    </w:p>
    <w:p>
      <w:pPr>
        <w:widowControl/>
        <w:ind w:firstLine="482" w:firstLineChars="200"/>
        <w:jc w:val="center"/>
        <w:rPr>
          <w:rFonts w:hint="eastAsia" w:cs="宋体" w:asciiTheme="minorEastAsia" w:hAnsiTheme="minorEastAsia" w:eastAsiaTheme="minorEastAsia"/>
          <w:b/>
          <w:kern w:val="0"/>
          <w:sz w:val="24"/>
          <w:szCs w:val="24"/>
          <w:lang w:val="en-GB"/>
        </w:rPr>
      </w:pPr>
    </w:p>
    <w:p>
      <w:pPr>
        <w:widowControl/>
        <w:ind w:firstLine="482" w:firstLineChars="200"/>
        <w:jc w:val="center"/>
        <w:rPr>
          <w:rFonts w:hint="eastAsia" w:cs="宋体" w:asciiTheme="minorEastAsia" w:hAnsiTheme="minorEastAsia" w:eastAsiaTheme="minorEastAsia"/>
          <w:b/>
          <w:kern w:val="0"/>
          <w:sz w:val="24"/>
          <w:szCs w:val="24"/>
          <w:lang w:val="en-GB"/>
        </w:rPr>
      </w:pPr>
      <w:r>
        <w:rPr>
          <w:rFonts w:hint="eastAsia" w:cs="宋体" w:asciiTheme="minorEastAsia" w:hAnsiTheme="minorEastAsia" w:eastAsiaTheme="minorEastAsia"/>
          <w:b/>
          <w:kern w:val="0"/>
          <w:sz w:val="24"/>
          <w:szCs w:val="24"/>
          <w:lang w:val="en-GB"/>
        </w:rPr>
        <w:t>表6 海口江东新区联港新通道韧性基础设施项目现金流模拟测算表</w:t>
      </w:r>
    </w:p>
    <w:p>
      <w:pPr>
        <w:widowControl/>
        <w:ind w:right="-57" w:rightChars="-27" w:firstLine="360" w:firstLineChars="200"/>
        <w:jc w:val="right"/>
        <w:rPr>
          <w:rFonts w:hint="eastAsia"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89"/>
        <w:gridCol w:w="1009"/>
        <w:gridCol w:w="1115"/>
        <w:gridCol w:w="1115"/>
        <w:gridCol w:w="1009"/>
        <w:gridCol w:w="1009"/>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38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583"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2025</w:t>
            </w:r>
          </w:p>
        </w:tc>
        <w:tc>
          <w:tcPr>
            <w:tcW w:w="644"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2026</w:t>
            </w:r>
          </w:p>
        </w:tc>
        <w:tc>
          <w:tcPr>
            <w:tcW w:w="644"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2027</w:t>
            </w:r>
          </w:p>
        </w:tc>
        <w:tc>
          <w:tcPr>
            <w:tcW w:w="583"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2028</w:t>
            </w:r>
          </w:p>
        </w:tc>
        <w:tc>
          <w:tcPr>
            <w:tcW w:w="583"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2029</w:t>
            </w:r>
          </w:p>
        </w:tc>
        <w:tc>
          <w:tcPr>
            <w:tcW w:w="582"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583"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4"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4"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583"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583"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582"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19,767.41</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114,623.60</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114,623.60</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91,714.38</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68,805.16</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45,895.95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3,180.56</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22,947.97</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114,623.60</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114,623.60</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91,714.38</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68,805.16</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45,895.95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22,909.22</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114,546.09</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114,546.09</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91,636.87</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68,727.65</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45,818.44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38.75</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22,947.97</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114,623.60</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114,623.60</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91,714.38</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68,805.16</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45,895.95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8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64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5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c>
          <w:tcPr>
            <w:tcW w:w="582"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r>
    </w:tbl>
    <w:p>
      <w:pPr>
        <w:widowControl/>
        <w:ind w:firstLine="360" w:firstLineChars="200"/>
        <w:jc w:val="right"/>
        <w:rPr>
          <w:rFonts w:hint="eastAsia" w:cs="宋体" w:asciiTheme="minorEastAsia" w:hAnsiTheme="minorEastAsia" w:eastAsiaTheme="minorEastAsia"/>
          <w:kern w:val="0"/>
          <w:sz w:val="18"/>
          <w:szCs w:val="18"/>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15"/>
        <w:gridCol w:w="1085"/>
        <w:gridCol w:w="1078"/>
        <w:gridCol w:w="1071"/>
        <w:gridCol w:w="1070"/>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65"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649"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2031</w:t>
            </w:r>
          </w:p>
        </w:tc>
        <w:tc>
          <w:tcPr>
            <w:tcW w:w="645"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2032</w:t>
            </w:r>
          </w:p>
        </w:tc>
        <w:tc>
          <w:tcPr>
            <w:tcW w:w="641"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2033</w:t>
            </w:r>
          </w:p>
        </w:tc>
        <w:tc>
          <w:tcPr>
            <w:tcW w:w="640"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2034</w:t>
            </w:r>
          </w:p>
        </w:tc>
        <w:tc>
          <w:tcPr>
            <w:tcW w:w="860"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649"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1,552.09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1,090.09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1,090.09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1,090.09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1,552.09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1,090.09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1,090.09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1,090.09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388.14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272.64</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272.64</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272.64</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77.51</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3,165.21</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465.65</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350.15</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350.15</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3,437.85</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1,086.44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739.94</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739.94</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-2,347.76</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1,086.44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1,826.38</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2,566.32</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218.56</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376.40</w:t>
            </w:r>
          </w:p>
        </w:tc>
      </w:tr>
    </w:tbl>
    <w:p>
      <w:pPr>
        <w:widowControl/>
        <w:ind w:firstLine="360" w:firstLineChars="200"/>
        <w:jc w:val="right"/>
        <w:rPr>
          <w:rFonts w:hint="eastAsia" w:cs="宋体" w:asciiTheme="minorEastAsia" w:hAnsiTheme="minorEastAsia" w:eastAsiaTheme="minorEastAsia"/>
          <w:kern w:val="0"/>
          <w:sz w:val="18"/>
          <w:szCs w:val="18"/>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15"/>
        <w:gridCol w:w="1085"/>
        <w:gridCol w:w="1078"/>
        <w:gridCol w:w="1071"/>
        <w:gridCol w:w="1070"/>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65"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649"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asciiTheme="minorEastAsia" w:hAnsiTheme="minorEastAsia" w:eastAsiaTheme="minorEastAsia"/>
                <w:b/>
                <w:bCs/>
              </w:rPr>
              <w:t>2036</w:t>
            </w:r>
          </w:p>
        </w:tc>
        <w:tc>
          <w:tcPr>
            <w:tcW w:w="645"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asciiTheme="minorEastAsia" w:hAnsiTheme="minorEastAsia" w:eastAsiaTheme="minorEastAsia"/>
                <w:b/>
                <w:bCs/>
              </w:rPr>
              <w:t>2037</w:t>
            </w:r>
          </w:p>
        </w:tc>
        <w:tc>
          <w:tcPr>
            <w:tcW w:w="641"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asciiTheme="minorEastAsia" w:hAnsiTheme="minorEastAsia" w:eastAsiaTheme="minorEastAsia"/>
                <w:b/>
                <w:bCs/>
              </w:rPr>
              <w:t>2038</w:t>
            </w:r>
          </w:p>
        </w:tc>
        <w:tc>
          <w:tcPr>
            <w:tcW w:w="640"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asciiTheme="minorEastAsia" w:hAnsiTheme="minorEastAsia" w:eastAsiaTheme="minorEastAsia"/>
                <w:b/>
                <w:bCs/>
              </w:rPr>
              <w:t>2039</w:t>
            </w:r>
          </w:p>
        </w:tc>
        <w:tc>
          <w:tcPr>
            <w:tcW w:w="860"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asciiTheme="minorEastAsia" w:hAnsiTheme="minorEastAsia" w:eastAsiaTheme="minorEastAsia"/>
                <w:b/>
                <w:bCs/>
              </w:rPr>
              <w:t>2040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649"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534.24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692.08</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849.92</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1,007.76</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1,165.60</w:t>
            </w:r>
          </w:p>
        </w:tc>
      </w:tr>
    </w:tbl>
    <w:p>
      <w:pPr>
        <w:widowControl/>
        <w:ind w:firstLine="360" w:firstLineChars="200"/>
        <w:jc w:val="right"/>
        <w:rPr>
          <w:rFonts w:hint="eastAsia" w:cs="宋体" w:asciiTheme="minorEastAsia" w:hAnsiTheme="minorEastAsia" w:eastAsiaTheme="minorEastAsia"/>
          <w:kern w:val="0"/>
          <w:sz w:val="18"/>
          <w:szCs w:val="18"/>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15"/>
        <w:gridCol w:w="1085"/>
        <w:gridCol w:w="1078"/>
        <w:gridCol w:w="1071"/>
        <w:gridCol w:w="1070"/>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65"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649"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asciiTheme="minorEastAsia" w:hAnsiTheme="minorEastAsia" w:eastAsiaTheme="minorEastAsia"/>
                <w:b/>
                <w:bCs/>
              </w:rPr>
              <w:t>2041</w:t>
            </w:r>
          </w:p>
        </w:tc>
        <w:tc>
          <w:tcPr>
            <w:tcW w:w="645"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asciiTheme="minorEastAsia" w:hAnsiTheme="minorEastAsia" w:eastAsiaTheme="minorEastAsia"/>
                <w:b/>
                <w:bCs/>
              </w:rPr>
              <w:t>2042</w:t>
            </w:r>
          </w:p>
        </w:tc>
        <w:tc>
          <w:tcPr>
            <w:tcW w:w="641"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asciiTheme="minorEastAsia" w:hAnsiTheme="minorEastAsia" w:eastAsiaTheme="minorEastAsia"/>
                <w:b/>
                <w:bCs/>
              </w:rPr>
              <w:t>2043</w:t>
            </w:r>
          </w:p>
        </w:tc>
        <w:tc>
          <w:tcPr>
            <w:tcW w:w="640"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asciiTheme="minorEastAsia" w:hAnsiTheme="minorEastAsia" w:eastAsiaTheme="minorEastAsia"/>
                <w:b/>
                <w:bCs/>
              </w:rPr>
              <w:t>2044</w:t>
            </w:r>
          </w:p>
        </w:tc>
        <w:tc>
          <w:tcPr>
            <w:tcW w:w="860"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cs="宋体" w:asciiTheme="minorEastAsia" w:hAnsiTheme="minorEastAsia" w:eastAsiaTheme="minorEastAsia"/>
                <w:b/>
                <w:bCs/>
                <w:color w:val="000000"/>
                <w:szCs w:val="20"/>
              </w:rPr>
            </w:pPr>
            <w:r>
              <w:rPr>
                <w:rFonts w:hint="eastAsia" w:asciiTheme="minorEastAsia" w:hAnsiTheme="minorEastAsia" w:eastAsiaTheme="minorEastAsia"/>
                <w:b/>
                <w:bCs/>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tcPr>
          <w:p>
            <w:pPr>
              <w:jc w:val="right"/>
              <w:rPr>
                <w:rFonts w:hint="eastAsia" w:cs="宋体" w:asciiTheme="minorEastAsia" w:hAnsiTheme="minorEastAsia" w:eastAsiaTheme="minorEastAsia"/>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455,430.10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3,180.56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212.29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6,945.26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212.29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465,555.92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458,184.36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53.19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1,737.96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1.26</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55.99</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3,891.37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rPr>
              <w:t>-</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54.45</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109.18</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ind w:left="720" w:hanging="720"/>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463,813.69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157.84</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103.11</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65"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64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1,323.44</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1,481.28</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1,639.12</w:t>
            </w:r>
          </w:p>
        </w:tc>
        <w:tc>
          <w:tcPr>
            <w:tcW w:w="64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1,742.23</w:t>
            </w:r>
          </w:p>
        </w:tc>
        <w:tc>
          <w:tcPr>
            <w:tcW w:w="86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eastAsiaTheme="minorEastAsia"/>
                <w:b/>
                <w:bCs/>
                <w:color w:val="000000"/>
                <w:szCs w:val="20"/>
              </w:rPr>
            </w:pPr>
            <w:r>
              <w:rPr>
                <w:rFonts w:cs="宋体" w:asciiTheme="minorEastAsia" w:hAnsiTheme="minorEastAsia" w:eastAsiaTheme="minorEastAsia"/>
                <w:b/>
                <w:bCs/>
                <w:color w:val="000000"/>
                <w:szCs w:val="20"/>
              </w:rPr>
              <w:t>-</w:t>
            </w:r>
          </w:p>
        </w:tc>
      </w:tr>
    </w:tbl>
    <w:p>
      <w:pPr>
        <w:widowControl/>
        <w:spacing w:before="120" w:after="120" w:line="360" w:lineRule="auto"/>
        <w:ind w:firstLine="482" w:firstLineChars="200"/>
        <w:outlineLvl w:val="2"/>
        <w:rPr>
          <w:rFonts w:hint="eastAsia" w:cs="宋体" w:asciiTheme="minorEastAsia" w:hAnsiTheme="minorEastAsia" w:eastAsiaTheme="minorEastAsia"/>
          <w:b/>
          <w:bCs/>
          <w:color w:val="000000"/>
          <w:kern w:val="0"/>
          <w:sz w:val="24"/>
          <w:szCs w:val="24"/>
        </w:rPr>
      </w:pPr>
      <w:bookmarkStart w:id="25" w:name="_Toc200555438"/>
      <w:bookmarkStart w:id="26" w:name="_Toc114818535"/>
      <w:bookmarkStart w:id="27" w:name="_Toc114818425"/>
      <w:r>
        <w:rPr>
          <w:rFonts w:hint="eastAsia" w:cs="宋体" w:asciiTheme="minorEastAsia" w:hAnsiTheme="minorEastAsia" w:eastAsiaTheme="minorEastAsia"/>
          <w:b/>
          <w:bCs/>
          <w:color w:val="000000"/>
          <w:kern w:val="0"/>
          <w:sz w:val="24"/>
          <w:szCs w:val="24"/>
        </w:rPr>
        <w:t>4.债券发行和还本付息</w:t>
      </w:r>
      <w:bookmarkEnd w:id="25"/>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本次债券利息每半年支付一次，最后一期利息随本金一起支付。自发行之日起存续期还本付息情况详见表7。</w:t>
      </w:r>
    </w:p>
    <w:p>
      <w:pPr>
        <w:widowControl/>
        <w:ind w:firstLine="482" w:firstLineChars="200"/>
        <w:jc w:val="center"/>
        <w:rPr>
          <w:rFonts w:hint="eastAsia" w:cs="宋体" w:asciiTheme="minorEastAsia" w:hAnsiTheme="minorEastAsia" w:eastAsiaTheme="minorEastAsia"/>
          <w:b/>
          <w:kern w:val="0"/>
          <w:sz w:val="24"/>
          <w:szCs w:val="24"/>
          <w:lang w:val="en-GB"/>
        </w:rPr>
      </w:pPr>
      <w:r>
        <w:rPr>
          <w:rFonts w:hint="eastAsia" w:cs="宋体" w:asciiTheme="minorEastAsia" w:hAnsiTheme="minorEastAsia" w:eastAsiaTheme="minorEastAsia"/>
          <w:b/>
          <w:kern w:val="0"/>
          <w:sz w:val="24"/>
          <w:szCs w:val="24"/>
          <w:lang w:val="en-GB"/>
        </w:rPr>
        <w:t>表7 海口江东新区联港新通道韧性基础设施项目还本付息表</w:t>
      </w:r>
    </w:p>
    <w:p>
      <w:pPr>
        <w:widowControl/>
        <w:ind w:firstLine="360" w:firstLineChars="200"/>
        <w:jc w:val="right"/>
        <w:rPr>
          <w:rFonts w:hint="eastAsia"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单位：人民帀万元</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8"/>
        <w:gridCol w:w="1092"/>
        <w:gridCol w:w="1090"/>
        <w:gridCol w:w="1090"/>
        <w:gridCol w:w="1090"/>
        <w:gridCol w:w="1084"/>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9"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年度</w:t>
            </w:r>
          </w:p>
        </w:tc>
        <w:tc>
          <w:tcPr>
            <w:tcW w:w="654"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2025</w:t>
            </w:r>
          </w:p>
        </w:tc>
        <w:tc>
          <w:tcPr>
            <w:tcW w:w="653"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2026</w:t>
            </w:r>
          </w:p>
        </w:tc>
        <w:tc>
          <w:tcPr>
            <w:tcW w:w="653"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2027</w:t>
            </w:r>
          </w:p>
        </w:tc>
        <w:tc>
          <w:tcPr>
            <w:tcW w:w="653"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2028</w:t>
            </w:r>
          </w:p>
        </w:tc>
        <w:tc>
          <w:tcPr>
            <w:tcW w:w="649"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2029</w:t>
            </w:r>
          </w:p>
        </w:tc>
        <w:tc>
          <w:tcPr>
            <w:tcW w:w="649"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期初专项债券余额</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本期专项债券调增</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利息支出</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38.75</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本期还款</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38.75</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其中：还本</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付息</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38.75</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期末专项债券余额</w:t>
            </w:r>
          </w:p>
        </w:tc>
        <w:tc>
          <w:tcPr>
            <w:tcW w:w="654"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53"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649"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r>
    </w:tbl>
    <w:p>
      <w:pPr>
        <w:widowControl/>
        <w:ind w:firstLine="400" w:firstLineChars="200"/>
        <w:jc w:val="right"/>
        <w:rPr>
          <w:rFonts w:hint="eastAsia" w:cs="宋体" w:asciiTheme="minorEastAsia" w:hAnsiTheme="minorEastAsia" w:eastAsiaTheme="minorEastAsia"/>
          <w:kern w:val="0"/>
          <w:sz w:val="20"/>
          <w:szCs w:val="20"/>
          <w:lang w:val="en-GB" w:eastAsia="zh-TW"/>
        </w:rPr>
      </w:pP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160"/>
        <w:gridCol w:w="1259"/>
        <w:gridCol w:w="1259"/>
        <w:gridCol w:w="1259"/>
        <w:gridCol w:w="1259"/>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284"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年度</w:t>
            </w:r>
          </w:p>
        </w:tc>
        <w:tc>
          <w:tcPr>
            <w:tcW w:w="748"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2031</w:t>
            </w:r>
          </w:p>
        </w:tc>
        <w:tc>
          <w:tcPr>
            <w:tcW w:w="748"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2032</w:t>
            </w:r>
          </w:p>
        </w:tc>
        <w:tc>
          <w:tcPr>
            <w:tcW w:w="748"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2033</w:t>
            </w:r>
          </w:p>
        </w:tc>
        <w:tc>
          <w:tcPr>
            <w:tcW w:w="748"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2034</w:t>
            </w:r>
          </w:p>
        </w:tc>
        <w:tc>
          <w:tcPr>
            <w:tcW w:w="724" w:type="pct"/>
            <w:shd w:val="clear" w:color="auto" w:fill="D8D8D8"/>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期初专项债券余额</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24" w:type="pct"/>
            <w:shd w:val="clear" w:color="000000" w:fill="FFFFFF"/>
            <w:vAlign w:val="center"/>
          </w:tcPr>
          <w:p>
            <w:pPr>
              <w:widowControl/>
              <w:jc w:val="right"/>
              <w:rPr>
                <w:rFonts w:hint="eastAsia" w:cs="宋体" w:asciiTheme="minorEastAsia" w:hAnsiTheme="minorEastAsia" w:eastAsiaTheme="minorEastAsia"/>
                <w:kern w:val="0"/>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本期专项债券调增</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24"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b/>
                <w:bCs/>
                <w:kern w:val="0"/>
                <w:sz w:val="20"/>
                <w:lang w:val="en-GB"/>
              </w:rPr>
              <w:t>3,180.56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利息支出</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39.38</w:t>
            </w:r>
          </w:p>
        </w:tc>
        <w:tc>
          <w:tcPr>
            <w:tcW w:w="724"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b/>
                <w:bCs/>
                <w:kern w:val="0"/>
                <w:sz w:val="20"/>
                <w:lang w:val="en-GB"/>
              </w:rPr>
              <w:t>698.21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本期还款</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3,219.94</w:t>
            </w:r>
          </w:p>
        </w:tc>
        <w:tc>
          <w:tcPr>
            <w:tcW w:w="724"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b/>
                <w:bCs/>
                <w:kern w:val="0"/>
                <w:sz w:val="20"/>
                <w:lang w:val="en-GB"/>
              </w:rPr>
              <w:t>3,878.77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其中：还本</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24"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b/>
                <w:bCs/>
                <w:kern w:val="0"/>
                <w:sz w:val="20"/>
                <w:lang w:val="en-GB"/>
              </w:rPr>
              <w:t>3,180.56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付息</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77.51</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39.38</w:t>
            </w:r>
          </w:p>
        </w:tc>
        <w:tc>
          <w:tcPr>
            <w:tcW w:w="724"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r>
              <w:rPr>
                <w:rFonts w:hint="eastAsia" w:cs="宋体" w:asciiTheme="minorEastAsia" w:hAnsiTheme="minorEastAsia" w:eastAsiaTheme="minorEastAsia"/>
                <w:b/>
                <w:bCs/>
                <w:kern w:val="0"/>
                <w:sz w:val="20"/>
                <w:lang w:val="en-GB"/>
              </w:rPr>
              <w:t>698.21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284" w:type="pct"/>
            <w:shd w:val="clear" w:color="000000" w:fill="FFFFFF"/>
            <w:vAlign w:val="center"/>
          </w:tcPr>
          <w:p>
            <w:pPr>
              <w:widowControl/>
              <w:jc w:val="left"/>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期末专项债券余额</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3,180.56</w:t>
            </w:r>
          </w:p>
        </w:tc>
        <w:tc>
          <w:tcPr>
            <w:tcW w:w="748" w:type="pct"/>
            <w:shd w:val="clear" w:color="000000" w:fill="FFFFFF"/>
            <w:vAlign w:val="center"/>
          </w:tcPr>
          <w:p>
            <w:pPr>
              <w:widowControl/>
              <w:jc w:val="right"/>
              <w:rPr>
                <w:rFonts w:hint="eastAsia" w:cs="宋体" w:asciiTheme="minorEastAsia" w:hAnsiTheme="minorEastAsia" w:eastAsiaTheme="minorEastAsia"/>
                <w:kern w:val="0"/>
                <w:sz w:val="20"/>
                <w:lang w:val="en-GB"/>
              </w:rPr>
            </w:pPr>
            <w:r>
              <w:rPr>
                <w:rFonts w:hint="eastAsia" w:cs="宋体" w:asciiTheme="minorEastAsia" w:hAnsiTheme="minorEastAsia" w:eastAsiaTheme="minorEastAsia"/>
                <w:kern w:val="0"/>
                <w:sz w:val="20"/>
                <w:lang w:val="en-GB"/>
              </w:rPr>
              <w:t>-</w:t>
            </w:r>
          </w:p>
        </w:tc>
        <w:tc>
          <w:tcPr>
            <w:tcW w:w="724" w:type="pct"/>
            <w:shd w:val="clear" w:color="000000" w:fill="FFFFFF"/>
            <w:vAlign w:val="center"/>
          </w:tcPr>
          <w:p>
            <w:pPr>
              <w:widowControl/>
              <w:jc w:val="right"/>
              <w:rPr>
                <w:rFonts w:hint="eastAsia" w:cs="宋体" w:asciiTheme="minorEastAsia" w:hAnsiTheme="minorEastAsia" w:eastAsiaTheme="minorEastAsia"/>
                <w:b/>
                <w:bCs/>
                <w:kern w:val="0"/>
                <w:sz w:val="20"/>
                <w:lang w:val="en-GB"/>
              </w:rPr>
            </w:pPr>
          </w:p>
        </w:tc>
      </w:tr>
    </w:tbl>
    <w:p>
      <w:pPr>
        <w:widowControl/>
        <w:spacing w:before="120" w:after="120" w:line="360" w:lineRule="auto"/>
        <w:outlineLvl w:val="1"/>
        <w:rPr>
          <w:rFonts w:hint="eastAsia" w:cs="宋体" w:asciiTheme="minorEastAsia" w:hAnsiTheme="minorEastAsia" w:eastAsiaTheme="minorEastAsia"/>
          <w:b/>
          <w:color w:val="000000"/>
          <w:kern w:val="0"/>
          <w:sz w:val="24"/>
          <w:szCs w:val="24"/>
        </w:rPr>
      </w:pPr>
      <w:bookmarkStart w:id="28" w:name="_Toc200555439"/>
      <w:r>
        <w:rPr>
          <w:rFonts w:hint="eastAsia" w:cs="宋体" w:asciiTheme="minorEastAsia" w:hAnsiTheme="minorEastAsia" w:eastAsiaTheme="minorEastAsia"/>
          <w:b/>
          <w:color w:val="000000"/>
          <w:kern w:val="0"/>
          <w:sz w:val="24"/>
          <w:szCs w:val="24"/>
        </w:rPr>
        <w:t>（二）项目收益情况</w:t>
      </w:r>
      <w:bookmarkEnd w:id="28"/>
    </w:p>
    <w:p>
      <w:pPr>
        <w:widowControl/>
        <w:spacing w:before="120" w:after="120" w:line="360" w:lineRule="auto"/>
        <w:ind w:firstLine="482" w:firstLineChars="200"/>
        <w:outlineLvl w:val="2"/>
        <w:rPr>
          <w:rFonts w:hint="eastAsia" w:cs="宋体" w:asciiTheme="minorEastAsia" w:hAnsiTheme="minorEastAsia" w:eastAsiaTheme="minorEastAsia"/>
          <w:b/>
          <w:bCs/>
          <w:color w:val="000000"/>
          <w:kern w:val="0"/>
          <w:sz w:val="24"/>
          <w:szCs w:val="24"/>
        </w:rPr>
      </w:pPr>
      <w:bookmarkStart w:id="29" w:name="_Toc200555440"/>
      <w:r>
        <w:rPr>
          <w:rFonts w:hint="eastAsia" w:cs="宋体" w:asciiTheme="minorEastAsia" w:hAnsiTheme="minorEastAsia" w:eastAsiaTheme="minorEastAsia"/>
          <w:b/>
          <w:bCs/>
          <w:color w:val="000000"/>
          <w:kern w:val="0"/>
          <w:sz w:val="24"/>
          <w:szCs w:val="24"/>
        </w:rPr>
        <w:t>1.项目收入</w:t>
      </w:r>
      <w:bookmarkEnd w:id="29"/>
    </w:p>
    <w:p>
      <w:pPr>
        <w:widowControl/>
        <w:adjustRightInd w:val="0"/>
        <w:spacing w:before="120" w:after="120"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（1）土地出让收入预测</w:t>
      </w:r>
    </w:p>
    <w:p>
      <w:pPr>
        <w:widowControl/>
        <w:adjustRightInd w:val="0"/>
        <w:spacing w:before="120" w:after="120"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根据《2024年海南省政府专项债券（一期）、2024年海南省政府专项债券（八期）、2024年海南省政府专项债券（十五期）、2025年海南省政府专项债券（一期）、2025年海南省政府专项债券（三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pPr>
        <w:widowControl/>
        <w:spacing w:before="159" w:beforeLines="50" w:after="159" w:afterLines="50"/>
        <w:jc w:val="center"/>
        <w:rPr>
          <w:rFonts w:hint="eastAsia" w:cs="宋体" w:asciiTheme="minorEastAsia" w:hAnsiTheme="minorEastAsia" w:eastAsiaTheme="minorEastAsia"/>
          <w:b/>
          <w:color w:val="000000"/>
          <w:kern w:val="0"/>
          <w:sz w:val="24"/>
          <w:szCs w:val="24"/>
        </w:rPr>
      </w:pPr>
      <w:r>
        <w:rPr>
          <w:rFonts w:hint="eastAsia" w:cs="宋体" w:asciiTheme="minorEastAsia" w:hAnsiTheme="minorEastAsia" w:eastAsiaTheme="minorEastAsia"/>
          <w:b/>
          <w:color w:val="000000"/>
          <w:kern w:val="0"/>
          <w:sz w:val="24"/>
          <w:szCs w:val="24"/>
        </w:rPr>
        <w:t>表8 土地出让情况表</w:t>
      </w:r>
    </w:p>
    <w:tbl>
      <w:tblPr>
        <w:tblStyle w:val="19"/>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72"/>
        <w:gridCol w:w="1781"/>
        <w:gridCol w:w="822"/>
        <w:gridCol w:w="1172"/>
        <w:gridCol w:w="81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2872" w:type="dxa"/>
            <w:vMerge w:val="restart"/>
            <w:tcBorders>
              <w:top w:val="single" w:color="auto" w:sz="4" w:space="0"/>
              <w:left w:val="single" w:color="auto" w:sz="4" w:space="0"/>
              <w:bottom w:val="single" w:color="auto" w:sz="4" w:space="0"/>
              <w:right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项目名称</w:t>
            </w:r>
          </w:p>
        </w:tc>
        <w:tc>
          <w:tcPr>
            <w:tcW w:w="1781" w:type="dxa"/>
            <w:vMerge w:val="restart"/>
            <w:tcBorders>
              <w:top w:val="single" w:color="auto" w:sz="4" w:space="0"/>
              <w:left w:val="single" w:color="auto" w:sz="4" w:space="0"/>
              <w:bottom w:val="single" w:color="auto" w:sz="4" w:space="0"/>
              <w:right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地块编号</w:t>
            </w:r>
          </w:p>
        </w:tc>
        <w:tc>
          <w:tcPr>
            <w:tcW w:w="822" w:type="dxa"/>
            <w:tcBorders>
              <w:top w:val="single" w:color="auto" w:sz="4" w:space="0"/>
              <w:left w:val="single" w:color="auto" w:sz="4" w:space="0"/>
              <w:bottom w:val="single" w:color="auto" w:sz="4" w:space="0"/>
              <w:right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面积</w:t>
            </w:r>
          </w:p>
        </w:tc>
        <w:tc>
          <w:tcPr>
            <w:tcW w:w="1172" w:type="dxa"/>
            <w:tcBorders>
              <w:top w:val="single" w:color="auto" w:sz="4" w:space="0"/>
              <w:left w:val="single" w:color="auto" w:sz="4" w:space="0"/>
              <w:bottom w:val="single" w:color="auto" w:sz="4" w:space="0"/>
              <w:right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预估地价</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土地性质</w:t>
            </w:r>
          </w:p>
        </w:tc>
        <w:tc>
          <w:tcPr>
            <w:tcW w:w="1080" w:type="dxa"/>
            <w:vMerge w:val="restart"/>
            <w:tcBorders>
              <w:top w:val="single" w:color="auto" w:sz="4" w:space="0"/>
              <w:left w:val="single" w:color="auto" w:sz="4" w:space="0"/>
              <w:bottom w:val="single" w:color="auto" w:sz="4" w:space="0"/>
              <w:right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预计出让年限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2872" w:type="dxa"/>
            <w:vMerge w:val="continue"/>
            <w:tcBorders>
              <w:top w:val="single" w:color="auto" w:sz="4" w:space="0"/>
            </w:tcBorders>
            <w:vAlign w:val="center"/>
          </w:tcPr>
          <w:p>
            <w:pPr>
              <w:widowControl/>
              <w:jc w:val="left"/>
              <w:rPr>
                <w:rFonts w:hint="eastAsia" w:cs="宋体" w:asciiTheme="minorEastAsia" w:hAnsiTheme="minorEastAsia" w:eastAsiaTheme="minorEastAsia"/>
                <w:b/>
                <w:bCs/>
                <w:color w:val="000000"/>
                <w:kern w:val="0"/>
                <w:sz w:val="20"/>
                <w:szCs w:val="20"/>
                <w:lang w:val="en-GB"/>
              </w:rPr>
            </w:pPr>
          </w:p>
        </w:tc>
        <w:tc>
          <w:tcPr>
            <w:tcW w:w="1781" w:type="dxa"/>
            <w:vMerge w:val="continue"/>
            <w:tcBorders>
              <w:top w:val="single" w:color="auto" w:sz="4" w:space="0"/>
            </w:tcBorders>
            <w:vAlign w:val="center"/>
          </w:tcPr>
          <w:p>
            <w:pPr>
              <w:widowControl/>
              <w:jc w:val="left"/>
              <w:rPr>
                <w:rFonts w:hint="eastAsia" w:cs="宋体" w:asciiTheme="minorEastAsia" w:hAnsiTheme="minorEastAsia" w:eastAsiaTheme="minorEastAsia"/>
                <w:b/>
                <w:bCs/>
                <w:color w:val="000000"/>
                <w:kern w:val="0"/>
                <w:sz w:val="20"/>
                <w:szCs w:val="20"/>
                <w:lang w:val="en-GB"/>
              </w:rPr>
            </w:pPr>
          </w:p>
        </w:tc>
        <w:tc>
          <w:tcPr>
            <w:tcW w:w="822" w:type="dxa"/>
            <w:tcBorders>
              <w:top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（亩）</w:t>
            </w:r>
          </w:p>
        </w:tc>
        <w:tc>
          <w:tcPr>
            <w:tcW w:w="1172" w:type="dxa"/>
            <w:tcBorders>
              <w:top w:val="single" w:color="auto" w:sz="4" w:space="0"/>
            </w:tcBorders>
            <w:shd w:val="clear" w:color="000000" w:fill="D0CECE"/>
            <w:vAlign w:val="center"/>
          </w:tcPr>
          <w:p>
            <w:pPr>
              <w:widowControl/>
              <w:jc w:val="center"/>
              <w:rPr>
                <w:rFonts w:hint="eastAsia" w:cs="宋体" w:asciiTheme="minorEastAsia" w:hAnsiTheme="minorEastAsia" w:eastAsiaTheme="minorEastAsia"/>
                <w:b/>
                <w:bCs/>
                <w:color w:val="000000"/>
                <w:kern w:val="0"/>
                <w:sz w:val="20"/>
                <w:szCs w:val="20"/>
                <w:lang w:val="en-GB"/>
              </w:rPr>
            </w:pPr>
            <w:r>
              <w:rPr>
                <w:rFonts w:hint="eastAsia" w:cs="宋体" w:asciiTheme="minorEastAsia" w:hAnsiTheme="minorEastAsia" w:eastAsiaTheme="minorEastAsia"/>
                <w:b/>
                <w:bCs/>
                <w:color w:val="000000"/>
                <w:kern w:val="0"/>
                <w:sz w:val="20"/>
                <w:szCs w:val="20"/>
                <w:lang w:val="en-GB"/>
              </w:rPr>
              <w:t>（万元/亩）</w:t>
            </w:r>
          </w:p>
        </w:tc>
        <w:tc>
          <w:tcPr>
            <w:tcW w:w="0" w:type="auto"/>
            <w:vMerge w:val="continue"/>
            <w:tcBorders>
              <w:top w:val="single" w:color="auto" w:sz="4" w:space="0"/>
            </w:tcBorders>
            <w:vAlign w:val="center"/>
          </w:tcPr>
          <w:p>
            <w:pPr>
              <w:widowControl/>
              <w:jc w:val="left"/>
              <w:rPr>
                <w:rFonts w:hint="eastAsia" w:cs="宋体" w:asciiTheme="minorEastAsia" w:hAnsiTheme="minorEastAsia" w:eastAsiaTheme="minorEastAsia"/>
                <w:b/>
                <w:bCs/>
                <w:color w:val="000000"/>
                <w:kern w:val="0"/>
                <w:sz w:val="20"/>
                <w:szCs w:val="20"/>
                <w:lang w:val="en-GB"/>
              </w:rPr>
            </w:pPr>
          </w:p>
        </w:tc>
        <w:tc>
          <w:tcPr>
            <w:tcW w:w="1080" w:type="dxa"/>
            <w:vMerge w:val="continue"/>
            <w:tcBorders>
              <w:top w:val="single" w:color="auto" w:sz="4" w:space="0"/>
            </w:tcBorders>
            <w:vAlign w:val="center"/>
          </w:tcPr>
          <w:p>
            <w:pPr>
              <w:widowControl/>
              <w:jc w:val="left"/>
              <w:rPr>
                <w:rFonts w:hint="eastAsia" w:cs="宋体" w:asciiTheme="minorEastAsia" w:hAnsiTheme="minorEastAsia" w:eastAsiaTheme="minorEastAsia"/>
                <w:b/>
                <w:bCs/>
                <w:color w:val="000000"/>
                <w:kern w:val="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72" w:type="dxa"/>
            <w:vMerge w:val="restart"/>
            <w:shd w:val="clear" w:color="auto" w:fill="auto"/>
            <w:noWrap/>
            <w:vAlign w:val="center"/>
          </w:tcPr>
          <w:p>
            <w:pPr>
              <w:widowControl/>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kern w:val="0"/>
                <w:sz w:val="20"/>
                <w:szCs w:val="20"/>
                <w:lang w:val="en-GB"/>
              </w:rPr>
              <w:t>海口江东新区联港新通道韧性基础设施项目</w:t>
            </w:r>
          </w:p>
        </w:tc>
        <w:tc>
          <w:tcPr>
            <w:tcW w:w="1781"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JDZH-02-A09-1-02</w:t>
            </w:r>
          </w:p>
        </w:tc>
        <w:tc>
          <w:tcPr>
            <w:tcW w:w="822"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1.53</w:t>
            </w:r>
          </w:p>
        </w:tc>
        <w:tc>
          <w:tcPr>
            <w:tcW w:w="1172"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1,500.00</w:t>
            </w:r>
          </w:p>
        </w:tc>
        <w:tc>
          <w:tcPr>
            <w:tcW w:w="0" w:type="auto"/>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二类居住</w:t>
            </w:r>
          </w:p>
        </w:tc>
        <w:tc>
          <w:tcPr>
            <w:tcW w:w="1080"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2031-2044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72" w:type="dxa"/>
            <w:vMerge w:val="continue"/>
            <w:shd w:val="clear" w:color="auto" w:fill="auto"/>
            <w:noWrap/>
            <w:vAlign w:val="center"/>
          </w:tcPr>
          <w:p>
            <w:pPr>
              <w:widowControl/>
              <w:jc w:val="left"/>
              <w:rPr>
                <w:rFonts w:hint="eastAsia" w:cs="宋体" w:asciiTheme="minorEastAsia" w:hAnsiTheme="minorEastAsia" w:eastAsiaTheme="minorEastAsia"/>
                <w:kern w:val="0"/>
                <w:sz w:val="20"/>
                <w:szCs w:val="20"/>
                <w:lang w:val="en-GB"/>
              </w:rPr>
            </w:pPr>
          </w:p>
        </w:tc>
        <w:tc>
          <w:tcPr>
            <w:tcW w:w="1781"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JDZH-06-G05-03</w:t>
            </w:r>
          </w:p>
        </w:tc>
        <w:tc>
          <w:tcPr>
            <w:tcW w:w="822"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1.55</w:t>
            </w:r>
          </w:p>
        </w:tc>
        <w:tc>
          <w:tcPr>
            <w:tcW w:w="1172"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1,500.00</w:t>
            </w:r>
          </w:p>
        </w:tc>
        <w:tc>
          <w:tcPr>
            <w:tcW w:w="0" w:type="auto"/>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二类居住</w:t>
            </w:r>
          </w:p>
        </w:tc>
        <w:tc>
          <w:tcPr>
            <w:tcW w:w="1080" w:type="dxa"/>
            <w:shd w:val="clear" w:color="auto" w:fill="auto"/>
            <w:noWrap/>
            <w:vAlign w:val="center"/>
          </w:tcPr>
          <w:p>
            <w:pPr>
              <w:widowControl/>
              <w:jc w:val="center"/>
              <w:rPr>
                <w:rFonts w:hint="eastAsia" w:cs="宋体" w:asciiTheme="minorEastAsia" w:hAnsiTheme="minorEastAsia" w:eastAsiaTheme="minorEastAsia"/>
                <w:color w:val="000000"/>
                <w:kern w:val="0"/>
                <w:sz w:val="20"/>
                <w:szCs w:val="20"/>
                <w:lang w:val="en-GB"/>
              </w:rPr>
            </w:pPr>
            <w:r>
              <w:rPr>
                <w:rFonts w:hint="eastAsia" w:cs="宋体" w:asciiTheme="minorEastAsia" w:hAnsiTheme="minorEastAsia" w:eastAsiaTheme="minorEastAsia"/>
                <w:color w:val="000000"/>
                <w:kern w:val="0"/>
                <w:sz w:val="20"/>
                <w:szCs w:val="20"/>
                <w:lang w:val="en-GB"/>
              </w:rPr>
              <w:t>2031-2044</w:t>
            </w:r>
          </w:p>
        </w:tc>
      </w:tr>
    </w:tbl>
    <w:p>
      <w:pPr>
        <w:widowControl/>
        <w:adjustRightInd w:val="0"/>
        <w:spacing w:before="120" w:after="120"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（2）新能源汽车充电服务费收入预测</w:t>
      </w:r>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根据《海口江东新区联港新通道韧性基础设施项目</w:t>
      </w:r>
      <w:r>
        <w:rPr>
          <w:rFonts w:hint="eastAsia" w:asciiTheme="minorEastAsia" w:hAnsiTheme="minorEastAsia" w:eastAsiaTheme="minorEastAsia"/>
          <w:color w:val="000000"/>
          <w:sz w:val="24"/>
          <w:szCs w:val="24"/>
        </w:rPr>
        <w:t>可行性研究报告</w:t>
      </w:r>
      <w:r>
        <w:rPr>
          <w:rFonts w:hint="eastAsia" w:cs="宋体" w:asciiTheme="minorEastAsia" w:hAnsiTheme="minorEastAsia" w:eastAsiaTheme="minorEastAsia"/>
          <w:color w:val="000000"/>
          <w:kern w:val="0"/>
          <w:sz w:val="24"/>
          <w:szCs w:val="24"/>
          <w:lang w:val="en-GB"/>
        </w:rPr>
        <w:t>》表，本项目拟建设充电桩135个，其中：7KW充电桩126个，60KW充电桩9个。根据海口市发展和改革委员会印发的《关于电动汽车充换电服务费收费标准的通知》要求“海口电动汽车（不区分车型）充电服务费上限标准为0.65元/千瓦时（不包含电费）”，同时结合周边同区域、同水平、新能源汽车充电服务费收费暂按0.5元/kw.h计算，预计日充电时间为8小时，一年按365天计算。基于谨慎性原则，运营期使用率暂按80%考虑。</w:t>
      </w:r>
    </w:p>
    <w:p>
      <w:pPr>
        <w:widowControl/>
        <w:spacing w:before="120" w:after="120" w:line="360" w:lineRule="auto"/>
        <w:ind w:firstLine="482" w:firstLineChars="200"/>
        <w:outlineLvl w:val="2"/>
        <w:rPr>
          <w:rFonts w:hint="eastAsia" w:cs="宋体" w:asciiTheme="minorEastAsia" w:hAnsiTheme="minorEastAsia" w:eastAsiaTheme="minorEastAsia"/>
          <w:b/>
          <w:bCs/>
          <w:color w:val="000000"/>
          <w:kern w:val="0"/>
          <w:sz w:val="24"/>
          <w:szCs w:val="24"/>
        </w:rPr>
      </w:pPr>
      <w:bookmarkStart w:id="30" w:name="_Toc200555441"/>
      <w:r>
        <w:rPr>
          <w:rFonts w:hint="eastAsia" w:cs="宋体" w:asciiTheme="minorEastAsia" w:hAnsiTheme="minorEastAsia" w:eastAsiaTheme="minorEastAsia"/>
          <w:b/>
          <w:bCs/>
          <w:color w:val="000000"/>
          <w:kern w:val="0"/>
          <w:sz w:val="24"/>
          <w:szCs w:val="24"/>
        </w:rPr>
        <w:t>2.项目成本</w:t>
      </w:r>
      <w:bookmarkEnd w:id="30"/>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（1）土地出让成本</w:t>
      </w:r>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25%计提。按照预估的土地出让单价、出让计划及成本费用在项目存续期间有稳定的政府性基金收入及专项收入，可稳定覆盖债券存续期间各年利息及到期偿还本金的支出需求。</w:t>
      </w:r>
    </w:p>
    <w:p>
      <w:pPr>
        <w:widowControl/>
        <w:spacing w:line="360" w:lineRule="auto"/>
        <w:ind w:firstLine="480" w:firstLineChars="200"/>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（2）运营成本</w:t>
      </w:r>
    </w:p>
    <w:p>
      <w:pPr>
        <w:widowControl/>
        <w:spacing w:line="360" w:lineRule="auto"/>
        <w:ind w:firstLine="480" w:firstLineChars="200"/>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参考同类项目运营管理经验，运营成本一般按照项目运营收入的一定比例预估。参考同类项目运营成本占比数据，本项目运营成本暂按新能源汽车充电服务费收入的20%测算。</w:t>
      </w:r>
    </w:p>
    <w:p>
      <w:pPr>
        <w:widowControl/>
        <w:spacing w:line="360" w:lineRule="auto"/>
        <w:ind w:firstLine="480" w:firstLineChars="200"/>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（3）相关税费</w:t>
      </w:r>
    </w:p>
    <w:p>
      <w:pPr>
        <w:widowControl/>
        <w:spacing w:line="360" w:lineRule="auto"/>
        <w:ind w:firstLine="480" w:firstLineChars="200"/>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A．增值税：根据《中华人民共和国增值税法》，新能源汽车充电服务费增值税税率为6%。</w:t>
      </w:r>
    </w:p>
    <w:p>
      <w:pPr>
        <w:widowControl/>
        <w:spacing w:line="360" w:lineRule="auto"/>
        <w:ind w:firstLine="480" w:firstLineChars="200"/>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pPr>
        <w:widowControl/>
        <w:spacing w:line="360" w:lineRule="auto"/>
        <w:ind w:firstLine="480" w:firstLineChars="200"/>
        <w:jc w:val="left"/>
        <w:rPr>
          <w:rFonts w:hint="eastAsia" w:cs="宋体" w:asciiTheme="minorEastAsia" w:hAnsiTheme="minorEastAsia" w:eastAsiaTheme="minorEastAsia"/>
          <w:color w:val="000000"/>
          <w:kern w:val="0"/>
          <w:sz w:val="24"/>
          <w:szCs w:val="24"/>
          <w:lang w:val="en-GB"/>
        </w:rPr>
      </w:pPr>
      <w:r>
        <w:rPr>
          <w:rFonts w:hint="eastAsia" w:cs="宋体" w:asciiTheme="minorEastAsia" w:hAnsiTheme="minorEastAsia" w:eastAsiaTheme="minorEastAsia"/>
          <w:color w:val="000000"/>
          <w:kern w:val="0"/>
          <w:sz w:val="24"/>
          <w:szCs w:val="24"/>
          <w:lang w:val="en-GB"/>
        </w:rPr>
        <w:t>C．企业所得税：根据《海南自由贸易港建设总体方案》，对注册在海南自贸港并实质性运营的企业（负面清单行业除外），减按15%征收企业所得税。</w:t>
      </w:r>
    </w:p>
    <w:p>
      <w:pPr>
        <w:widowControl/>
        <w:spacing w:line="360" w:lineRule="auto"/>
        <w:ind w:firstLine="482" w:firstLineChars="200"/>
        <w:jc w:val="center"/>
        <w:rPr>
          <w:rFonts w:hint="eastAsia" w:cs="宋体" w:asciiTheme="minorEastAsia" w:hAnsiTheme="minorEastAsia" w:eastAsiaTheme="minorEastAsia"/>
          <w:b/>
          <w:kern w:val="0"/>
          <w:sz w:val="24"/>
          <w:szCs w:val="24"/>
          <w:lang w:val="en-GB"/>
        </w:rPr>
      </w:pPr>
      <w:r>
        <w:rPr>
          <w:rFonts w:hint="eastAsia" w:cs="宋体" w:asciiTheme="minorEastAsia" w:hAnsiTheme="minorEastAsia" w:eastAsiaTheme="minorEastAsia"/>
          <w:b/>
          <w:kern w:val="0"/>
          <w:sz w:val="24"/>
          <w:szCs w:val="24"/>
          <w:lang w:val="en-GB"/>
        </w:rPr>
        <w:t>表9 海口江东新区联港新通道韧性基础设施项目收入成本预测表</w:t>
      </w:r>
    </w:p>
    <w:p>
      <w:pPr>
        <w:widowControl/>
        <w:ind w:right="84" w:rightChars="40" w:firstLine="400" w:firstLineChars="200"/>
        <w:jc w:val="right"/>
        <w:rPr>
          <w:rFonts w:hint="eastAsia" w:cs="宋体" w:asciiTheme="minorEastAsia" w:hAnsiTheme="minorEastAsia" w:eastAsiaTheme="minorEastAsia"/>
          <w:kern w:val="0"/>
          <w:sz w:val="24"/>
          <w:szCs w:val="24"/>
          <w:lang w:val="en-GB" w:eastAsia="zh-TW"/>
        </w:rPr>
      </w:pPr>
      <w:r>
        <w:rPr>
          <w:rFonts w:hint="eastAsia" w:cs="宋体" w:asciiTheme="minorEastAsia" w:hAnsiTheme="minorEastAsia" w:eastAsiaTheme="minorEastAsia"/>
          <w:kern w:val="0"/>
          <w:sz w:val="20"/>
          <w:szCs w:val="20"/>
          <w:lang w:val="en-GB"/>
        </w:rPr>
        <w:t>单位：人民币万元</w:t>
      </w:r>
    </w:p>
    <w:tbl>
      <w:tblPr>
        <w:tblStyle w:val="19"/>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833"/>
        <w:gridCol w:w="1131"/>
        <w:gridCol w:w="1071"/>
        <w:gridCol w:w="1071"/>
        <w:gridCol w:w="1071"/>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691" w:type="pct"/>
            <w:shd w:val="clear" w:color="auto" w:fill="D8D8D8" w:themeFill="background1" w:themeFillShade="D9"/>
            <w:vAlign w:val="center"/>
          </w:tcPr>
          <w:p>
            <w:pPr>
              <w:jc w:val="center"/>
              <w:rPr>
                <w:rFonts w:hint="eastAsia" w:cs="等线 Light" w:asciiTheme="minorEastAsia" w:hAnsiTheme="minorEastAsia" w:eastAsiaTheme="minorEastAsia"/>
                <w:b/>
                <w:color w:val="000000"/>
                <w:szCs w:val="20"/>
              </w:rPr>
            </w:pPr>
            <w:r>
              <w:rPr>
                <w:rFonts w:hint="eastAsia" w:cs="等线 Light" w:asciiTheme="minorEastAsia" w:hAnsiTheme="minorEastAsia" w:eastAsiaTheme="minorEastAsia"/>
                <w:b/>
                <w:color w:val="000000"/>
                <w:szCs w:val="20"/>
                <w:lang w:eastAsia="zh-TW"/>
              </w:rPr>
              <w:t>运营期</w:t>
            </w:r>
          </w:p>
        </w:tc>
        <w:tc>
          <w:tcPr>
            <w:tcW w:w="675"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hint="eastAsia" w:cs="Cambria Math" w:asciiTheme="minorEastAsia" w:hAnsiTheme="minorEastAsia" w:eastAsiaTheme="minorEastAsia"/>
                <w:b/>
                <w:color w:val="000000"/>
                <w:szCs w:val="20"/>
                <w:lang w:eastAsia="zh-TW"/>
              </w:rPr>
              <w:t>20</w:t>
            </w:r>
            <w:r>
              <w:rPr>
                <w:rFonts w:cs="Cambria Math" w:asciiTheme="minorEastAsia" w:hAnsiTheme="minorEastAsia" w:eastAsiaTheme="minorEastAsia"/>
                <w:b/>
                <w:color w:val="000000"/>
                <w:szCs w:val="20"/>
                <w:lang w:eastAsia="zh-TW"/>
              </w:rPr>
              <w:t>31</w:t>
            </w:r>
          </w:p>
        </w:tc>
        <w:tc>
          <w:tcPr>
            <w:tcW w:w="639"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rPr>
            </w:pPr>
            <w:r>
              <w:rPr>
                <w:rFonts w:hint="eastAsia" w:cs="Cambria Math" w:asciiTheme="minorEastAsia" w:hAnsiTheme="minorEastAsia" w:eastAsiaTheme="minorEastAsia"/>
                <w:b/>
                <w:color w:val="000000"/>
                <w:szCs w:val="20"/>
                <w:lang w:eastAsia="zh-TW"/>
              </w:rPr>
              <w:t>20</w:t>
            </w:r>
            <w:r>
              <w:rPr>
                <w:rFonts w:cs="Cambria Math" w:asciiTheme="minorEastAsia" w:hAnsiTheme="minorEastAsia" w:eastAsiaTheme="minorEastAsia"/>
                <w:b/>
                <w:color w:val="000000"/>
                <w:szCs w:val="20"/>
                <w:lang w:eastAsia="zh-TW"/>
              </w:rPr>
              <w:t>32</w:t>
            </w:r>
          </w:p>
        </w:tc>
        <w:tc>
          <w:tcPr>
            <w:tcW w:w="639"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rPr>
            </w:pPr>
            <w:r>
              <w:rPr>
                <w:rFonts w:hint="eastAsia" w:cs="Cambria Math" w:asciiTheme="minorEastAsia" w:hAnsiTheme="minorEastAsia" w:eastAsiaTheme="minorEastAsia"/>
                <w:b/>
                <w:color w:val="000000"/>
                <w:szCs w:val="20"/>
                <w:lang w:eastAsia="zh-TW"/>
              </w:rPr>
              <w:t>20</w:t>
            </w:r>
            <w:r>
              <w:rPr>
                <w:rFonts w:cs="Cambria Math" w:asciiTheme="minorEastAsia" w:hAnsiTheme="minorEastAsia" w:eastAsiaTheme="minorEastAsia"/>
                <w:b/>
                <w:color w:val="000000"/>
                <w:szCs w:val="20"/>
                <w:lang w:eastAsia="zh-TW"/>
              </w:rPr>
              <w:t>33</w:t>
            </w:r>
          </w:p>
        </w:tc>
        <w:tc>
          <w:tcPr>
            <w:tcW w:w="639"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hint="eastAsia" w:cs="等线 Light" w:asciiTheme="minorEastAsia" w:hAnsiTheme="minorEastAsia" w:eastAsiaTheme="minorEastAsia"/>
                <w:b/>
                <w:szCs w:val="20"/>
              </w:rPr>
              <w:t>20</w:t>
            </w:r>
            <w:r>
              <w:rPr>
                <w:rFonts w:cs="等线 Light" w:asciiTheme="minorEastAsia" w:hAnsiTheme="minorEastAsia" w:eastAsiaTheme="minorEastAsia"/>
                <w:b/>
                <w:szCs w:val="20"/>
              </w:rPr>
              <w:t>34</w:t>
            </w:r>
          </w:p>
        </w:tc>
        <w:tc>
          <w:tcPr>
            <w:tcW w:w="717"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hint="eastAsia" w:cs="等线 Light" w:asciiTheme="minorEastAsia" w:hAnsiTheme="minorEastAsia" w:eastAsiaTheme="minorEastAsia"/>
                <w:b/>
                <w:szCs w:val="20"/>
              </w:rPr>
              <w:t>2035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lang w:eastAsia="zh-TW"/>
              </w:rPr>
            </w:pPr>
            <w:r>
              <w:rPr>
                <w:rFonts w:hint="eastAsia" w:asciiTheme="minorEastAsia" w:hAnsiTheme="minorEastAsia" w:eastAsiaTheme="minorEastAsia"/>
              </w:rPr>
              <w:t>土地出让收入</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1,453.50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969.00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969.00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969.00</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48.45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lang w:eastAsia="zh-TW"/>
              </w:rPr>
            </w:pPr>
            <w:r>
              <w:rPr>
                <w:rFonts w:hint="eastAsia" w:asciiTheme="minorEastAsia" w:hAnsiTheme="minorEastAsia" w:eastAsiaTheme="minorEastAsia"/>
              </w:rPr>
              <w:t>新能源汽车充电服务费收入</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b/>
                <w:bCs/>
                <w:color w:val="000000"/>
                <w:szCs w:val="20"/>
                <w:lang w:eastAsia="zh-TW"/>
              </w:rPr>
            </w:pPr>
            <w:r>
              <w:rPr>
                <w:rFonts w:hint="eastAsia" w:asciiTheme="minorEastAsia" w:hAnsiTheme="minorEastAsia" w:eastAsiaTheme="minorEastAsia"/>
                <w:b/>
                <w:bCs/>
              </w:rPr>
              <w:t>收入合计</w:t>
            </w:r>
          </w:p>
        </w:tc>
        <w:tc>
          <w:tcPr>
            <w:tcW w:w="675"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1,619.59</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1,135.09</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1,135.09</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1,135.09</w:t>
            </w:r>
          </w:p>
        </w:tc>
        <w:tc>
          <w:tcPr>
            <w:tcW w:w="717"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214.54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rPr>
            </w:pPr>
            <w:r>
              <w:rPr>
                <w:rFonts w:hint="eastAsia" w:asciiTheme="minorEastAsia" w:hAnsiTheme="minorEastAsia" w:eastAsiaTheme="minorEastAsia"/>
              </w:rPr>
              <w:t>土地出让成本</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363.38</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242.25</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242.25</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242.25</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b/>
                <w:color w:val="000000"/>
                <w:szCs w:val="20"/>
              </w:rPr>
            </w:pPr>
            <w:r>
              <w:rPr>
                <w:rFonts w:hint="eastAsia" w:asciiTheme="minorEastAsia" w:hAnsiTheme="minorEastAsia" w:eastAsiaTheme="minorEastAsia"/>
              </w:rPr>
              <w:t>运营成本</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rPr>
            </w:pPr>
            <w:r>
              <w:rPr>
                <w:rFonts w:hint="eastAsia" w:asciiTheme="minorEastAsia" w:hAnsiTheme="minorEastAsia" w:eastAsiaTheme="minorEastAsia"/>
              </w:rPr>
              <w:t>相关税费</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b/>
                <w:bCs/>
                <w:color w:val="000000"/>
                <w:szCs w:val="20"/>
              </w:rPr>
            </w:pPr>
            <w:r>
              <w:rPr>
                <w:rFonts w:hint="eastAsia" w:asciiTheme="minorEastAsia" w:hAnsiTheme="minorEastAsia" w:eastAsiaTheme="minorEastAsia"/>
                <w:b/>
                <w:bCs/>
              </w:rPr>
              <w:t>成本合计</w:t>
            </w:r>
          </w:p>
        </w:tc>
        <w:tc>
          <w:tcPr>
            <w:tcW w:w="675"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415.90</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294.77</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294.77</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294.77</w:t>
            </w:r>
          </w:p>
        </w:tc>
        <w:tc>
          <w:tcPr>
            <w:tcW w:w="717"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64.63</w:t>
            </w:r>
          </w:p>
        </w:tc>
      </w:tr>
    </w:tbl>
    <w:p>
      <w:pPr>
        <w:widowControl/>
        <w:ind w:firstLine="360" w:firstLineChars="200"/>
        <w:jc w:val="right"/>
        <w:rPr>
          <w:rFonts w:hint="eastAsia" w:cs="宋体" w:asciiTheme="minorEastAsia" w:hAnsiTheme="minorEastAsia" w:eastAsiaTheme="minorEastAsia"/>
          <w:kern w:val="0"/>
          <w:sz w:val="18"/>
          <w:szCs w:val="18"/>
          <w:lang w:val="en-GB"/>
        </w:rPr>
      </w:pPr>
    </w:p>
    <w:tbl>
      <w:tblPr>
        <w:tblStyle w:val="19"/>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833"/>
        <w:gridCol w:w="1131"/>
        <w:gridCol w:w="1071"/>
        <w:gridCol w:w="1071"/>
        <w:gridCol w:w="1071"/>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691" w:type="pct"/>
            <w:shd w:val="clear" w:color="auto" w:fill="D8D8D8" w:themeFill="background1" w:themeFillShade="D9"/>
            <w:vAlign w:val="center"/>
          </w:tcPr>
          <w:p>
            <w:pPr>
              <w:jc w:val="center"/>
              <w:rPr>
                <w:rFonts w:hint="eastAsia" w:cs="等线 Light" w:asciiTheme="minorEastAsia" w:hAnsiTheme="minorEastAsia" w:eastAsiaTheme="minorEastAsia"/>
                <w:b/>
                <w:color w:val="000000"/>
                <w:szCs w:val="20"/>
              </w:rPr>
            </w:pPr>
            <w:r>
              <w:rPr>
                <w:rFonts w:hint="eastAsia" w:cs="等线 Light" w:asciiTheme="minorEastAsia" w:hAnsiTheme="minorEastAsia" w:eastAsiaTheme="minorEastAsia"/>
                <w:b/>
                <w:color w:val="000000"/>
                <w:szCs w:val="20"/>
                <w:lang w:eastAsia="zh-TW"/>
              </w:rPr>
              <w:t>运营期</w:t>
            </w:r>
          </w:p>
        </w:tc>
        <w:tc>
          <w:tcPr>
            <w:tcW w:w="675"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asciiTheme="minorEastAsia" w:hAnsiTheme="minorEastAsia" w:eastAsiaTheme="minorEastAsia"/>
                <w:b/>
              </w:rPr>
              <w:t>2036</w:t>
            </w:r>
          </w:p>
        </w:tc>
        <w:tc>
          <w:tcPr>
            <w:tcW w:w="639"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rPr>
            </w:pPr>
            <w:r>
              <w:rPr>
                <w:rFonts w:asciiTheme="minorEastAsia" w:hAnsiTheme="minorEastAsia" w:eastAsiaTheme="minorEastAsia"/>
                <w:b/>
              </w:rPr>
              <w:t>2037</w:t>
            </w:r>
          </w:p>
        </w:tc>
        <w:tc>
          <w:tcPr>
            <w:tcW w:w="639"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rPr>
            </w:pPr>
            <w:r>
              <w:rPr>
                <w:rFonts w:asciiTheme="minorEastAsia" w:hAnsiTheme="minorEastAsia" w:eastAsiaTheme="minorEastAsia"/>
                <w:b/>
              </w:rPr>
              <w:t>2038</w:t>
            </w:r>
          </w:p>
        </w:tc>
        <w:tc>
          <w:tcPr>
            <w:tcW w:w="639"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asciiTheme="minorEastAsia" w:hAnsiTheme="minorEastAsia" w:eastAsiaTheme="minorEastAsia"/>
                <w:b/>
              </w:rPr>
              <w:t>2039</w:t>
            </w:r>
          </w:p>
        </w:tc>
        <w:tc>
          <w:tcPr>
            <w:tcW w:w="717"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asciiTheme="minorEastAsia" w:hAnsiTheme="minorEastAsia" w:eastAsiaTheme="minorEastAsia"/>
                <w:b/>
              </w:rPr>
              <w:t>2040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lang w:eastAsia="zh-TW"/>
              </w:rPr>
            </w:pPr>
            <w:r>
              <w:rPr>
                <w:rFonts w:hint="eastAsia" w:asciiTheme="minorEastAsia" w:hAnsiTheme="minorEastAsia" w:eastAsiaTheme="minorEastAsia"/>
              </w:rPr>
              <w:t>土地出让收入</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48.45</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48.45</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48.45</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48.45</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48.45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lang w:eastAsia="zh-TW"/>
              </w:rPr>
            </w:pPr>
            <w:r>
              <w:rPr>
                <w:rFonts w:hint="eastAsia" w:asciiTheme="minorEastAsia" w:hAnsiTheme="minorEastAsia" w:eastAsiaTheme="minorEastAsia"/>
              </w:rPr>
              <w:t>新能源汽车充电服务费收入</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166.09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b/>
                <w:bCs/>
                <w:color w:val="000000"/>
                <w:szCs w:val="20"/>
                <w:lang w:eastAsia="zh-TW"/>
              </w:rPr>
            </w:pPr>
            <w:r>
              <w:rPr>
                <w:rFonts w:hint="eastAsia" w:asciiTheme="minorEastAsia" w:hAnsiTheme="minorEastAsia" w:eastAsiaTheme="minorEastAsia"/>
                <w:b/>
                <w:bCs/>
              </w:rPr>
              <w:t>收入合计</w:t>
            </w:r>
          </w:p>
        </w:tc>
        <w:tc>
          <w:tcPr>
            <w:tcW w:w="675"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214.54</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214.54</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214.54</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214.54</w:t>
            </w:r>
          </w:p>
        </w:tc>
        <w:tc>
          <w:tcPr>
            <w:tcW w:w="717"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214.54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rPr>
            </w:pPr>
            <w:r>
              <w:rPr>
                <w:rFonts w:hint="eastAsia" w:asciiTheme="minorEastAsia" w:hAnsiTheme="minorEastAsia" w:eastAsiaTheme="minorEastAsia"/>
              </w:rPr>
              <w:t>土地出让成本</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12.11</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12.11</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12.11</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12.11</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b/>
                <w:color w:val="000000"/>
                <w:szCs w:val="20"/>
              </w:rPr>
            </w:pPr>
            <w:r>
              <w:rPr>
                <w:rFonts w:hint="eastAsia" w:asciiTheme="minorEastAsia" w:hAnsiTheme="minorEastAsia" w:eastAsiaTheme="minorEastAsia"/>
              </w:rPr>
              <w:t>运营成本</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33.22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color w:val="000000"/>
                <w:szCs w:val="20"/>
              </w:rPr>
            </w:pPr>
            <w:r>
              <w:rPr>
                <w:rFonts w:hint="eastAsia" w:asciiTheme="minorEastAsia" w:hAnsiTheme="minorEastAsia" w:eastAsiaTheme="minorEastAsia"/>
              </w:rPr>
              <w:t>相关税费</w:t>
            </w:r>
          </w:p>
        </w:tc>
        <w:tc>
          <w:tcPr>
            <w:tcW w:w="675"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639"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c>
          <w:tcPr>
            <w:tcW w:w="717" w:type="pct"/>
            <w:shd w:val="clear" w:color="000000" w:fill="FFFFFF"/>
            <w:vAlign w:val="center"/>
          </w:tcPr>
          <w:p>
            <w:pPr>
              <w:jc w:val="right"/>
              <w:rPr>
                <w:rFonts w:hint="eastAsia" w:asciiTheme="minorEastAsia" w:hAnsiTheme="minorEastAsia" w:eastAsiaTheme="minorEastAsia"/>
              </w:rPr>
            </w:pPr>
            <w:r>
              <w:rPr>
                <w:rFonts w:asciiTheme="minorEastAsia" w:hAnsiTheme="minorEastAsia" w:eastAsiaTheme="minorEastAsia"/>
              </w:rPr>
              <w:t>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91" w:type="pct"/>
            <w:shd w:val="clear" w:color="000000" w:fill="FFFFFF"/>
            <w:vAlign w:val="center"/>
          </w:tcPr>
          <w:p>
            <w:pPr>
              <w:rPr>
                <w:rFonts w:hint="eastAsia" w:cs="等线 Light" w:asciiTheme="minorEastAsia" w:hAnsiTheme="minorEastAsia" w:eastAsiaTheme="minorEastAsia"/>
                <w:b/>
                <w:bCs/>
                <w:color w:val="000000"/>
                <w:szCs w:val="20"/>
              </w:rPr>
            </w:pPr>
            <w:r>
              <w:rPr>
                <w:rFonts w:hint="eastAsia" w:asciiTheme="minorEastAsia" w:hAnsiTheme="minorEastAsia" w:eastAsiaTheme="minorEastAsia"/>
                <w:b/>
                <w:bCs/>
              </w:rPr>
              <w:t>成本合计</w:t>
            </w:r>
          </w:p>
        </w:tc>
        <w:tc>
          <w:tcPr>
            <w:tcW w:w="675"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64.63</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64.63</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64.63</w:t>
            </w:r>
          </w:p>
        </w:tc>
        <w:tc>
          <w:tcPr>
            <w:tcW w:w="639"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64.63</w:t>
            </w:r>
          </w:p>
        </w:tc>
        <w:tc>
          <w:tcPr>
            <w:tcW w:w="717" w:type="pct"/>
            <w:shd w:val="clear" w:color="000000" w:fill="FFFFFF"/>
            <w:vAlign w:val="center"/>
          </w:tcPr>
          <w:p>
            <w:pPr>
              <w:jc w:val="right"/>
              <w:rPr>
                <w:rFonts w:hint="eastAsia" w:asciiTheme="minorEastAsia" w:hAnsiTheme="minorEastAsia" w:eastAsiaTheme="minorEastAsia"/>
                <w:b/>
                <w:bCs/>
              </w:rPr>
            </w:pPr>
            <w:r>
              <w:rPr>
                <w:rFonts w:asciiTheme="minorEastAsia" w:hAnsiTheme="minorEastAsia" w:eastAsiaTheme="minorEastAsia"/>
                <w:b/>
                <w:bCs/>
              </w:rPr>
              <w:t>64.63</w:t>
            </w:r>
          </w:p>
        </w:tc>
      </w:tr>
    </w:tbl>
    <w:p>
      <w:pPr>
        <w:widowControl/>
        <w:ind w:firstLine="360" w:firstLineChars="200"/>
        <w:jc w:val="right"/>
        <w:rPr>
          <w:rFonts w:hint="eastAsia" w:cs="宋体" w:asciiTheme="minorEastAsia" w:hAnsiTheme="minorEastAsia" w:eastAsiaTheme="minorEastAsia"/>
          <w:kern w:val="0"/>
          <w:sz w:val="18"/>
          <w:szCs w:val="18"/>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70"/>
        <w:gridCol w:w="862"/>
        <w:gridCol w:w="862"/>
        <w:gridCol w:w="862"/>
        <w:gridCol w:w="863"/>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2256" w:type="pct"/>
            <w:shd w:val="clear" w:color="auto" w:fill="D8D8D8" w:themeFill="background1" w:themeFillShade="D9"/>
            <w:vAlign w:val="center"/>
          </w:tcPr>
          <w:p>
            <w:pPr>
              <w:jc w:val="center"/>
              <w:rPr>
                <w:rFonts w:hint="eastAsia" w:cs="等线 Light" w:asciiTheme="minorEastAsia" w:hAnsiTheme="minorEastAsia" w:eastAsiaTheme="minorEastAsia"/>
                <w:b/>
                <w:color w:val="000000"/>
                <w:szCs w:val="20"/>
              </w:rPr>
            </w:pPr>
            <w:r>
              <w:rPr>
                <w:rFonts w:hint="eastAsia" w:cs="等线 Light" w:asciiTheme="minorEastAsia" w:hAnsiTheme="minorEastAsia" w:eastAsiaTheme="minorEastAsia"/>
                <w:b/>
                <w:color w:val="000000"/>
                <w:szCs w:val="20"/>
                <w:lang w:eastAsia="zh-TW"/>
              </w:rPr>
              <w:t>运营期</w:t>
            </w:r>
          </w:p>
        </w:tc>
        <w:tc>
          <w:tcPr>
            <w:tcW w:w="516"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hint="eastAsia" w:asciiTheme="minorEastAsia" w:hAnsiTheme="minorEastAsia" w:eastAsiaTheme="minorEastAsia"/>
                <w:b/>
              </w:rPr>
              <w:t>2041</w:t>
            </w:r>
          </w:p>
        </w:tc>
        <w:tc>
          <w:tcPr>
            <w:tcW w:w="516"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rPr>
            </w:pPr>
            <w:r>
              <w:rPr>
                <w:rFonts w:hint="eastAsia" w:asciiTheme="minorEastAsia" w:hAnsiTheme="minorEastAsia" w:eastAsiaTheme="minorEastAsia"/>
                <w:b/>
              </w:rPr>
              <w:t>2042</w:t>
            </w:r>
          </w:p>
        </w:tc>
        <w:tc>
          <w:tcPr>
            <w:tcW w:w="516"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rPr>
            </w:pPr>
            <w:r>
              <w:rPr>
                <w:rFonts w:hint="eastAsia" w:asciiTheme="minorEastAsia" w:hAnsiTheme="minorEastAsia" w:eastAsiaTheme="minorEastAsia"/>
                <w:b/>
              </w:rPr>
              <w:t>2043</w:t>
            </w:r>
          </w:p>
        </w:tc>
        <w:tc>
          <w:tcPr>
            <w:tcW w:w="516"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hint="eastAsia" w:asciiTheme="minorEastAsia" w:hAnsiTheme="minorEastAsia" w:eastAsiaTheme="minorEastAsia"/>
                <w:b/>
              </w:rPr>
              <w:t>2044</w:t>
            </w:r>
          </w:p>
        </w:tc>
        <w:tc>
          <w:tcPr>
            <w:tcW w:w="680" w:type="pct"/>
            <w:shd w:val="clear" w:color="auto" w:fill="D8D8D8" w:themeFill="background1" w:themeFillShade="D9"/>
            <w:vAlign w:val="center"/>
          </w:tcPr>
          <w:p>
            <w:pPr>
              <w:jc w:val="center"/>
              <w:rPr>
                <w:rFonts w:hint="eastAsia" w:cs="Cambria Math" w:asciiTheme="minorEastAsia" w:hAnsiTheme="minorEastAsia" w:eastAsiaTheme="minorEastAsia"/>
                <w:b/>
                <w:color w:val="000000"/>
                <w:szCs w:val="20"/>
                <w:lang w:eastAsia="zh-TW"/>
              </w:rPr>
            </w:pPr>
            <w:r>
              <w:rPr>
                <w:rFonts w:hint="eastAsia" w:asciiTheme="minorEastAsia" w:hAnsiTheme="minorEastAsia" w:eastAsiaTheme="minorEastAsia"/>
                <w:b/>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color w:val="000000"/>
                <w:szCs w:val="20"/>
                <w:lang w:eastAsia="zh-TW"/>
              </w:rPr>
            </w:pPr>
            <w:r>
              <w:rPr>
                <w:rFonts w:hint="eastAsia" w:asciiTheme="minorEastAsia" w:hAnsiTheme="minorEastAsia" w:eastAsiaTheme="minorEastAsia"/>
              </w:rPr>
              <w:t>土地出让收入</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48.45</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48.45</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48.45</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48.45</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4,845.00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color w:val="000000"/>
                <w:szCs w:val="20"/>
                <w:lang w:eastAsia="zh-TW"/>
              </w:rPr>
            </w:pPr>
            <w:r>
              <w:rPr>
                <w:rFonts w:hint="eastAsia" w:asciiTheme="minorEastAsia" w:hAnsiTheme="minorEastAsia" w:eastAsiaTheme="minorEastAsia"/>
              </w:rPr>
              <w:t>新能源汽车充电服务费收入</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166.09</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166.09</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166.09</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166.09</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2,325.26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b/>
                <w:bCs/>
                <w:color w:val="000000"/>
                <w:szCs w:val="20"/>
                <w:lang w:eastAsia="zh-TW"/>
              </w:rPr>
            </w:pPr>
            <w:r>
              <w:rPr>
                <w:rFonts w:hint="eastAsia" w:asciiTheme="minorEastAsia" w:hAnsiTheme="minorEastAsia" w:eastAsiaTheme="minorEastAsia"/>
                <w:b/>
                <w:bCs/>
              </w:rPr>
              <w:t>收入合计</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214.54</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214.54</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214.54</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214.54</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7,170.26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color w:val="000000"/>
                <w:szCs w:val="20"/>
              </w:rPr>
            </w:pPr>
            <w:r>
              <w:rPr>
                <w:rFonts w:hint="eastAsia" w:asciiTheme="minorEastAsia" w:hAnsiTheme="minorEastAsia" w:eastAsiaTheme="minorEastAsia"/>
              </w:rPr>
              <w:t>土地出让成本</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12.11</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12.11</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12.11</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12.11</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1,211.23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b/>
                <w:color w:val="000000"/>
                <w:szCs w:val="20"/>
              </w:rPr>
            </w:pPr>
            <w:r>
              <w:rPr>
                <w:rFonts w:hint="eastAsia" w:asciiTheme="minorEastAsia" w:hAnsiTheme="minorEastAsia" w:eastAsiaTheme="minorEastAsia"/>
              </w:rPr>
              <w:t>运营成本</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33.22</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33.22</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33.22</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33.22</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465.08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color w:val="000000"/>
                <w:szCs w:val="20"/>
              </w:rPr>
            </w:pPr>
            <w:r>
              <w:rPr>
                <w:rFonts w:hint="eastAsia" w:asciiTheme="minorEastAsia" w:hAnsiTheme="minorEastAsia" w:eastAsiaTheme="minorEastAsia"/>
              </w:rPr>
              <w:t>相关税费</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19.30</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19.30</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19.30</w:t>
            </w:r>
          </w:p>
        </w:tc>
        <w:tc>
          <w:tcPr>
            <w:tcW w:w="516" w:type="pct"/>
            <w:shd w:val="clear" w:color="000000" w:fill="FFFFFF"/>
            <w:vAlign w:val="center"/>
          </w:tcPr>
          <w:p>
            <w:pPr>
              <w:jc w:val="right"/>
              <w:rPr>
                <w:rFonts w:hint="eastAsia" w:asciiTheme="minorEastAsia" w:hAnsiTheme="minorEastAsia" w:eastAsiaTheme="minorEastAsia"/>
              </w:rPr>
            </w:pPr>
            <w:r>
              <w:rPr>
                <w:rFonts w:hint="eastAsia" w:asciiTheme="minorEastAsia" w:hAnsiTheme="minorEastAsia" w:eastAsiaTheme="minorEastAsia"/>
              </w:rPr>
              <w:t>19.30</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270.20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256" w:type="pct"/>
            <w:shd w:val="clear" w:color="000000" w:fill="FFFFFF"/>
            <w:vAlign w:val="center"/>
          </w:tcPr>
          <w:p>
            <w:pPr>
              <w:rPr>
                <w:rFonts w:hint="eastAsia" w:cs="等线 Light" w:asciiTheme="minorEastAsia" w:hAnsiTheme="minorEastAsia" w:eastAsiaTheme="minorEastAsia"/>
                <w:b/>
                <w:bCs/>
                <w:color w:val="000000"/>
                <w:szCs w:val="20"/>
              </w:rPr>
            </w:pPr>
            <w:r>
              <w:rPr>
                <w:rFonts w:hint="eastAsia" w:asciiTheme="minorEastAsia" w:hAnsiTheme="minorEastAsia" w:eastAsiaTheme="minorEastAsia"/>
                <w:b/>
                <w:bCs/>
              </w:rPr>
              <w:t>成本合计</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64.63</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64.63</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64.63</w:t>
            </w:r>
          </w:p>
        </w:tc>
        <w:tc>
          <w:tcPr>
            <w:tcW w:w="516"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64.63</w:t>
            </w:r>
          </w:p>
        </w:tc>
        <w:tc>
          <w:tcPr>
            <w:tcW w:w="680" w:type="pct"/>
            <w:shd w:val="clear" w:color="000000" w:fill="FFFFFF"/>
            <w:vAlign w:val="center"/>
          </w:tcPr>
          <w:p>
            <w:pPr>
              <w:jc w:val="right"/>
              <w:rPr>
                <w:rFonts w:hint="eastAsia" w:asciiTheme="minorEastAsia" w:hAnsiTheme="minorEastAsia" w:eastAsiaTheme="minorEastAsia"/>
                <w:b/>
                <w:bCs/>
              </w:rPr>
            </w:pPr>
            <w:r>
              <w:rPr>
                <w:rFonts w:hint="eastAsia" w:asciiTheme="minorEastAsia" w:hAnsiTheme="minorEastAsia" w:eastAsiaTheme="minorEastAsia"/>
                <w:b/>
                <w:bCs/>
              </w:rPr>
              <w:t>1,946.51</w:t>
            </w:r>
          </w:p>
        </w:tc>
      </w:tr>
    </w:tbl>
    <w:p>
      <w:pPr>
        <w:widowControl/>
        <w:ind w:firstLine="360" w:firstLineChars="200"/>
        <w:jc w:val="right"/>
        <w:rPr>
          <w:rFonts w:hint="eastAsia" w:cs="宋体" w:asciiTheme="minorEastAsia" w:hAnsiTheme="minorEastAsia" w:eastAsiaTheme="minorEastAsia"/>
          <w:kern w:val="0"/>
          <w:sz w:val="18"/>
          <w:szCs w:val="18"/>
          <w:lang w:val="en-GB"/>
        </w:rPr>
      </w:pPr>
    </w:p>
    <w:p>
      <w:pPr>
        <w:widowControl/>
        <w:ind w:firstLine="360" w:firstLineChars="200"/>
        <w:jc w:val="right"/>
        <w:rPr>
          <w:rFonts w:hint="eastAsia" w:cs="宋体" w:asciiTheme="minorEastAsia" w:hAnsiTheme="minorEastAsia" w:eastAsiaTheme="minorEastAsia"/>
          <w:kern w:val="0"/>
          <w:sz w:val="18"/>
          <w:szCs w:val="18"/>
          <w:lang w:val="en-GB"/>
        </w:rPr>
      </w:pPr>
    </w:p>
    <w:p>
      <w:pPr>
        <w:widowControl/>
        <w:spacing w:before="120" w:after="120" w:line="360" w:lineRule="auto"/>
        <w:outlineLvl w:val="1"/>
        <w:rPr>
          <w:rFonts w:hint="eastAsia" w:cs="宋体" w:asciiTheme="minorEastAsia" w:hAnsiTheme="minorEastAsia" w:eastAsiaTheme="minorEastAsia"/>
          <w:b/>
          <w:color w:val="000000"/>
          <w:kern w:val="0"/>
          <w:sz w:val="24"/>
          <w:szCs w:val="24"/>
        </w:rPr>
      </w:pPr>
      <w:bookmarkStart w:id="31" w:name="_Toc200555442"/>
      <w:r>
        <w:rPr>
          <w:rFonts w:hint="eastAsia" w:cs="宋体" w:asciiTheme="minorEastAsia" w:hAnsiTheme="minorEastAsia" w:eastAsiaTheme="minorEastAsia"/>
          <w:b/>
          <w:color w:val="000000"/>
          <w:kern w:val="0"/>
          <w:sz w:val="24"/>
          <w:szCs w:val="24"/>
        </w:rPr>
        <w:t>（三）小结</w:t>
      </w:r>
      <w:bookmarkEnd w:id="26"/>
      <w:bookmarkEnd w:id="27"/>
      <w:bookmarkEnd w:id="31"/>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综上，在本期政府专项债券存续期内，我们未发现本项目资金出现不能满足还本付息要求的情况。</w:t>
      </w:r>
    </w:p>
    <w:p>
      <w:pPr>
        <w:widowControl/>
        <w:spacing w:before="120" w:after="120" w:line="360" w:lineRule="auto"/>
        <w:outlineLvl w:val="1"/>
        <w:rPr>
          <w:rFonts w:hint="eastAsia" w:cs="宋体" w:asciiTheme="minorEastAsia" w:hAnsiTheme="minorEastAsia" w:eastAsiaTheme="minorEastAsia"/>
          <w:b/>
          <w:color w:val="000000"/>
          <w:kern w:val="0"/>
          <w:sz w:val="24"/>
          <w:szCs w:val="24"/>
        </w:rPr>
      </w:pPr>
      <w:bookmarkStart w:id="32" w:name="_Toc114818536"/>
      <w:bookmarkStart w:id="33" w:name="_Toc114818426"/>
      <w:bookmarkStart w:id="34" w:name="_Toc200555443"/>
      <w:r>
        <w:rPr>
          <w:rFonts w:hint="eastAsia" w:cs="宋体" w:asciiTheme="minorEastAsia" w:hAnsiTheme="minorEastAsia" w:eastAsiaTheme="minorEastAsia"/>
          <w:b/>
          <w:color w:val="000000"/>
          <w:kern w:val="0"/>
          <w:sz w:val="24"/>
          <w:szCs w:val="24"/>
        </w:rPr>
        <w:t>（四）资金稳定性</w:t>
      </w:r>
      <w:bookmarkEnd w:id="32"/>
      <w:bookmarkEnd w:id="33"/>
      <w:bookmarkEnd w:id="34"/>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海口江东新区联港新通道韧性基础设施项目还本付息以土地出让收入、新能源汽车充电服务费收入为基础。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p>
    <w:p>
      <w:pPr>
        <w:widowControl/>
        <w:jc w:val="center"/>
        <w:rPr>
          <w:rFonts w:hint="eastAsia" w:cs="宋体" w:asciiTheme="minorEastAsia" w:hAnsiTheme="minorEastAsia" w:eastAsiaTheme="minorEastAsia"/>
          <w:b/>
          <w:kern w:val="0"/>
          <w:sz w:val="24"/>
          <w:szCs w:val="24"/>
          <w:lang w:val="en-GB"/>
        </w:rPr>
      </w:pPr>
      <w:r>
        <w:rPr>
          <w:rFonts w:asciiTheme="minorEastAsia" w:hAnsiTheme="minorEastAsia" w:eastAsiaTheme="minorEastAsia"/>
          <w:b/>
          <w:sz w:val="24"/>
          <w:szCs w:val="24"/>
        </w:rPr>
        <w:drawing>
          <wp:inline distT="0" distB="0" distL="0" distR="0">
            <wp:extent cx="4640580" cy="2770505"/>
            <wp:effectExtent l="0" t="0" r="7620" b="10795"/>
            <wp:docPr id="1843695782" name="图表 184369578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jc w:val="center"/>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b/>
          <w:kern w:val="0"/>
          <w:sz w:val="24"/>
          <w:szCs w:val="24"/>
          <w:lang w:val="en-GB"/>
        </w:rPr>
        <w:t>图1 债券存续期海口江东新区联港新通道韧性基础设施项目资金留存情况</w:t>
      </w:r>
    </w:p>
    <w:p>
      <w:pPr>
        <w:widowControl/>
        <w:spacing w:before="120" w:after="120" w:line="360" w:lineRule="auto"/>
        <w:ind w:firstLine="482" w:firstLineChars="200"/>
        <w:rPr>
          <w:rFonts w:hint="eastAsia" w:cs="宋体" w:asciiTheme="minorEastAsia" w:hAnsiTheme="minorEastAsia" w:eastAsiaTheme="minorEastAsia"/>
          <w:b/>
          <w:bCs/>
          <w:sz w:val="24"/>
          <w:szCs w:val="24"/>
        </w:rPr>
      </w:pPr>
    </w:p>
    <w:p>
      <w:pPr>
        <w:spacing w:line="360" w:lineRule="auto"/>
        <w:ind w:firstLine="482" w:firstLineChars="200"/>
        <w:outlineLvl w:val="0"/>
        <w:rPr>
          <w:rFonts w:hint="eastAsia"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rPr>
        <w:t>五、压力测试情况</w:t>
      </w:r>
    </w:p>
    <w:p>
      <w:pPr>
        <w:widowControl/>
        <w:spacing w:before="120" w:after="120" w:line="360" w:lineRule="auto"/>
        <w:ind w:firstLine="480" w:firstLineChars="200"/>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根据本项目收益与融资自求平衡的压力测试结果，当项目收益影响债券还本付息的因素在±15%范围内变动的情况下，专项债券本息资金覆盖率仍然大于1，还本付息资金具有一定的风险抵抗能力。具体情况详见表10：</w:t>
      </w:r>
    </w:p>
    <w:p>
      <w:pPr>
        <w:widowControl/>
        <w:spacing w:before="120" w:after="120" w:line="360" w:lineRule="auto"/>
        <w:ind w:firstLine="454"/>
        <w:jc w:val="center"/>
        <w:rPr>
          <w:rFonts w:hint="eastAsia" w:cs="宋体" w:asciiTheme="minorEastAsia" w:hAnsiTheme="minorEastAsia" w:eastAsiaTheme="minorEastAsia"/>
          <w:b/>
          <w:color w:val="000000"/>
          <w:kern w:val="0"/>
          <w:sz w:val="24"/>
          <w:szCs w:val="24"/>
        </w:rPr>
      </w:pPr>
      <w:r>
        <w:rPr>
          <w:rFonts w:hint="eastAsia" w:cs="宋体" w:asciiTheme="minorEastAsia" w:hAnsiTheme="minorEastAsia" w:eastAsiaTheme="minorEastAsia"/>
          <w:b/>
          <w:color w:val="000000"/>
          <w:kern w:val="0"/>
          <w:sz w:val="24"/>
          <w:szCs w:val="24"/>
        </w:rPr>
        <w:t>表10 海口江东新区联港新通道韧性基础设施项目压力测试表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0"/>
        <w:gridCol w:w="869"/>
        <w:gridCol w:w="869"/>
        <w:gridCol w:w="732"/>
        <w:gridCol w:w="732"/>
        <w:gridCol w:w="732"/>
        <w:gridCol w:w="741"/>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820"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hint="eastAsia" w:cs="仿宋" w:asciiTheme="minorEastAsia" w:hAnsiTheme="minorEastAsia" w:eastAsiaTheme="minorEastAsia"/>
                <w:b/>
                <w:color w:val="000000" w:themeColor="text1"/>
                <w:sz w:val="22"/>
                <w:szCs w:val="18"/>
                <w14:textFill>
                  <w14:solidFill>
                    <w14:schemeClr w14:val="tx1"/>
                  </w14:solidFill>
                </w14:textFill>
              </w:rPr>
              <w:t>资金覆盖率</w:t>
            </w:r>
            <w:r>
              <w:rPr>
                <w:rFonts w:cs="仿宋" w:asciiTheme="minorEastAsia" w:hAnsiTheme="minorEastAsia" w:eastAsiaTheme="minorEastAsia"/>
                <w:b/>
                <w:color w:val="000000" w:themeColor="text1"/>
                <w:sz w:val="22"/>
                <w:szCs w:val="18"/>
                <w14:textFill>
                  <w14:solidFill>
                    <w14:schemeClr w14:val="tx1"/>
                  </w14:solidFill>
                </w14:textFill>
              </w:rPr>
              <w:t>-</w:t>
            </w:r>
            <w:r>
              <w:rPr>
                <w:rFonts w:hint="eastAsia" w:cs="仿宋" w:asciiTheme="minorEastAsia" w:hAnsiTheme="minorEastAsia" w:eastAsiaTheme="minorEastAsia"/>
                <w:b/>
                <w:color w:val="000000" w:themeColor="text1"/>
                <w:sz w:val="22"/>
                <w:szCs w:val="18"/>
                <w14:textFill>
                  <w14:solidFill>
                    <w14:schemeClr w14:val="tx1"/>
                  </w14:solidFill>
                </w14:textFill>
              </w:rPr>
              <w:t>压力测试</w:t>
            </w:r>
          </w:p>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hint="eastAsia" w:cs="仿宋" w:asciiTheme="minorEastAsia" w:hAnsiTheme="minorEastAsia" w:eastAsiaTheme="minorEastAsia"/>
                <w:b/>
                <w:color w:val="000000" w:themeColor="text1"/>
                <w:sz w:val="22"/>
                <w:szCs w:val="18"/>
                <w14:textFill>
                  <w14:solidFill>
                    <w14:schemeClr w14:val="tx1"/>
                  </w14:solidFill>
                </w14:textFill>
              </w:rPr>
              <w:t>（单因素敏感性分析）</w:t>
            </w:r>
          </w:p>
        </w:tc>
        <w:tc>
          <w:tcPr>
            <w:tcW w:w="510"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-15%</w:t>
            </w:r>
          </w:p>
        </w:tc>
        <w:tc>
          <w:tcPr>
            <w:tcW w:w="510"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-10%</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-5%</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0%</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5%</w:t>
            </w:r>
          </w:p>
        </w:tc>
        <w:tc>
          <w:tcPr>
            <w:tcW w:w="435"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10%</w:t>
            </w:r>
          </w:p>
        </w:tc>
        <w:tc>
          <w:tcPr>
            <w:tcW w:w="435" w:type="pct"/>
            <w:shd w:val="clear" w:color="auto" w:fill="D8D8D8" w:themeFill="background1" w:themeFillShade="D9"/>
            <w:noWrap/>
            <w:vAlign w:val="center"/>
          </w:tcPr>
          <w:p>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Theme="minorEastAsia" w:hAnsiTheme="minorEastAsia" w:eastAsiaTheme="minorEastAsia"/>
                <w:color w:val="000000"/>
                <w:szCs w:val="20"/>
              </w:rPr>
            </w:pPr>
            <w:r>
              <w:rPr>
                <w:rFonts w:hint="eastAsia" w:asciiTheme="minorEastAsia" w:hAnsiTheme="minorEastAsia" w:eastAsiaTheme="minorEastAsia"/>
                <w:b/>
                <w:bCs/>
                <w:color w:val="000000"/>
                <w:szCs w:val="20"/>
              </w:rPr>
              <w:t>收益变动情况敏感性分析</w:t>
            </w:r>
          </w:p>
        </w:tc>
        <w:tc>
          <w:tcPr>
            <w:tcW w:w="510" w:type="pct"/>
            <w:shd w:val="clear" w:color="auto" w:fill="auto"/>
            <w:noWrap/>
            <w:vAlign w:val="center"/>
          </w:tcPr>
          <w:p>
            <w:pPr>
              <w:jc w:val="right"/>
              <w:rPr>
                <w:rFonts w:hint="eastAsia" w:cs="Arial" w:asciiTheme="minorEastAsia" w:hAnsiTheme="minorEastAsia" w:eastAsiaTheme="minorEastAsia"/>
                <w:color w:val="000000"/>
                <w:szCs w:val="20"/>
              </w:rPr>
            </w:pPr>
          </w:p>
        </w:tc>
        <w:tc>
          <w:tcPr>
            <w:tcW w:w="510" w:type="pct"/>
            <w:shd w:val="clear" w:color="auto" w:fill="auto"/>
            <w:noWrap/>
            <w:vAlign w:val="center"/>
          </w:tcPr>
          <w:p>
            <w:pPr>
              <w:jc w:val="right"/>
              <w:rPr>
                <w:rFonts w:hint="eastAsia" w:cs="Arial" w:asciiTheme="minorEastAsia" w:hAnsiTheme="minorEastAsia" w:eastAsiaTheme="minorEastAsia"/>
                <w:color w:val="000000"/>
                <w:szCs w:val="20"/>
              </w:rPr>
            </w:pPr>
          </w:p>
        </w:tc>
        <w:tc>
          <w:tcPr>
            <w:tcW w:w="430" w:type="pct"/>
            <w:shd w:val="clear" w:color="auto" w:fill="auto"/>
            <w:noWrap/>
            <w:vAlign w:val="center"/>
          </w:tcPr>
          <w:p>
            <w:pPr>
              <w:jc w:val="right"/>
              <w:rPr>
                <w:rFonts w:hint="eastAsia" w:cs="Arial" w:asciiTheme="minorEastAsia" w:hAnsiTheme="minorEastAsia" w:eastAsiaTheme="minorEastAsia"/>
                <w:color w:val="000000"/>
                <w:szCs w:val="20"/>
              </w:rPr>
            </w:pPr>
          </w:p>
        </w:tc>
        <w:tc>
          <w:tcPr>
            <w:tcW w:w="430" w:type="pct"/>
            <w:shd w:val="clear" w:color="auto" w:fill="auto"/>
            <w:noWrap/>
            <w:vAlign w:val="center"/>
          </w:tcPr>
          <w:p>
            <w:pPr>
              <w:jc w:val="right"/>
              <w:rPr>
                <w:rFonts w:hint="eastAsia" w:cs="Arial" w:asciiTheme="minorEastAsia" w:hAnsiTheme="minorEastAsia" w:eastAsiaTheme="minorEastAsia"/>
                <w:color w:val="000000"/>
                <w:szCs w:val="20"/>
              </w:rPr>
            </w:pPr>
          </w:p>
        </w:tc>
        <w:tc>
          <w:tcPr>
            <w:tcW w:w="430" w:type="pct"/>
            <w:shd w:val="clear" w:color="auto" w:fill="auto"/>
            <w:noWrap/>
            <w:vAlign w:val="center"/>
          </w:tcPr>
          <w:p>
            <w:pPr>
              <w:jc w:val="right"/>
              <w:rPr>
                <w:rFonts w:hint="eastAsia" w:cs="Arial" w:asciiTheme="minorEastAsia" w:hAnsiTheme="minorEastAsia" w:eastAsiaTheme="minorEastAsia"/>
                <w:color w:val="000000"/>
                <w:szCs w:val="20"/>
              </w:rPr>
            </w:pPr>
          </w:p>
        </w:tc>
        <w:tc>
          <w:tcPr>
            <w:tcW w:w="435" w:type="pct"/>
            <w:shd w:val="clear" w:color="auto" w:fill="auto"/>
            <w:noWrap/>
            <w:vAlign w:val="center"/>
          </w:tcPr>
          <w:p>
            <w:pPr>
              <w:jc w:val="right"/>
              <w:rPr>
                <w:rFonts w:hint="eastAsia" w:cs="Arial" w:asciiTheme="minorEastAsia" w:hAnsiTheme="minorEastAsia" w:eastAsiaTheme="minorEastAsia"/>
                <w:color w:val="000000"/>
                <w:szCs w:val="20"/>
              </w:rPr>
            </w:pPr>
          </w:p>
        </w:tc>
        <w:tc>
          <w:tcPr>
            <w:tcW w:w="435" w:type="pct"/>
            <w:shd w:val="clear" w:color="auto" w:fill="auto"/>
            <w:noWrap/>
            <w:vAlign w:val="center"/>
          </w:tcPr>
          <w:p>
            <w:pPr>
              <w:jc w:val="right"/>
              <w:rPr>
                <w:rFonts w:hint="eastAsia" w:cs="Arial" w:asciiTheme="minorEastAsia" w:hAnsiTheme="minorEastAsia" w:eastAsiaTheme="minorEastAsia"/>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债券本息覆盖率</w:t>
            </w:r>
            <w:r>
              <w:rPr>
                <w:rFonts w:cs="微软雅黑" w:asciiTheme="minorEastAsia" w:hAnsiTheme="minorEastAsia" w:eastAsiaTheme="minorEastAsia"/>
                <w:sz w:val="18"/>
                <w:szCs w:val="18"/>
                <w:vertAlign w:val="superscript"/>
              </w:rPr>
              <w:footnoteReference w:id="2"/>
            </w:r>
          </w:p>
        </w:tc>
        <w:tc>
          <w:tcPr>
            <w:tcW w:w="51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1.25</w:t>
            </w:r>
          </w:p>
        </w:tc>
        <w:tc>
          <w:tcPr>
            <w:tcW w:w="51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1.31</w:t>
            </w:r>
          </w:p>
        </w:tc>
        <w:tc>
          <w:tcPr>
            <w:tcW w:w="43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1.38</w:t>
            </w:r>
          </w:p>
        </w:tc>
        <w:tc>
          <w:tcPr>
            <w:tcW w:w="43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1.45</w:t>
            </w:r>
          </w:p>
        </w:tc>
        <w:tc>
          <w:tcPr>
            <w:tcW w:w="43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1.51</w:t>
            </w:r>
          </w:p>
        </w:tc>
        <w:tc>
          <w:tcPr>
            <w:tcW w:w="435"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1.58</w:t>
            </w:r>
          </w:p>
        </w:tc>
        <w:tc>
          <w:tcPr>
            <w:tcW w:w="435"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Theme="minorEastAsia" w:hAnsiTheme="minorEastAsia" w:eastAsiaTheme="minorEastAsia"/>
                <w:color w:val="000000"/>
                <w:szCs w:val="20"/>
              </w:rPr>
            </w:pPr>
            <w:r>
              <w:rPr>
                <w:rFonts w:asciiTheme="minorEastAsia" w:hAnsiTheme="minorEastAsia" w:eastAsiaTheme="minorEastAsia"/>
                <w:color w:val="000000"/>
                <w:szCs w:val="20"/>
              </w:rPr>
              <w:t>债券</w:t>
            </w:r>
            <w:r>
              <w:rPr>
                <w:rFonts w:hint="eastAsia" w:asciiTheme="minorEastAsia" w:hAnsiTheme="minorEastAsia" w:eastAsiaTheme="minorEastAsia"/>
                <w:color w:val="000000"/>
                <w:szCs w:val="20"/>
              </w:rPr>
              <w:t>本息覆盖倍数</w:t>
            </w:r>
            <w:r>
              <w:rPr>
                <w:rFonts w:cs="微软雅黑" w:asciiTheme="minorEastAsia" w:hAnsiTheme="minorEastAsia" w:eastAsiaTheme="minorEastAsia"/>
                <w:sz w:val="18"/>
                <w:szCs w:val="18"/>
                <w:vertAlign w:val="superscript"/>
              </w:rPr>
              <w:footnoteReference w:id="3"/>
            </w:r>
          </w:p>
        </w:tc>
        <w:tc>
          <w:tcPr>
            <w:tcW w:w="51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1.14</w:t>
            </w:r>
          </w:p>
        </w:tc>
        <w:tc>
          <w:tcPr>
            <w:tcW w:w="51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1.20</w:t>
            </w:r>
          </w:p>
        </w:tc>
        <w:tc>
          <w:tcPr>
            <w:tcW w:w="43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1.27</w:t>
            </w:r>
          </w:p>
        </w:tc>
        <w:tc>
          <w:tcPr>
            <w:tcW w:w="43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1.34</w:t>
            </w:r>
          </w:p>
        </w:tc>
        <w:tc>
          <w:tcPr>
            <w:tcW w:w="430"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1.41</w:t>
            </w:r>
          </w:p>
        </w:tc>
        <w:tc>
          <w:tcPr>
            <w:tcW w:w="435"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1.47</w:t>
            </w:r>
          </w:p>
        </w:tc>
        <w:tc>
          <w:tcPr>
            <w:tcW w:w="435" w:type="pct"/>
            <w:shd w:val="clear" w:color="auto" w:fill="auto"/>
            <w:noWrap/>
            <w:vAlign w:val="center"/>
          </w:tcPr>
          <w:p>
            <w:pPr>
              <w:jc w:val="right"/>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1.54</w:t>
            </w:r>
          </w:p>
        </w:tc>
      </w:tr>
    </w:tbl>
    <w:p>
      <w:pPr>
        <w:widowControl/>
        <w:spacing w:before="120" w:after="120" w:line="360" w:lineRule="auto"/>
        <w:ind w:firstLine="480" w:firstLineChars="200"/>
        <w:rPr>
          <w:rFonts w:hint="eastAsia" w:cs="宋体" w:asciiTheme="minorEastAsia" w:hAnsiTheme="minorEastAsia" w:eastAsiaTheme="minorEastAsia"/>
          <w:b/>
          <w:bCs/>
          <w:sz w:val="24"/>
          <w:szCs w:val="24"/>
        </w:rPr>
      </w:pPr>
      <w:r>
        <w:rPr>
          <w:rFonts w:hint="eastAsia" w:cs="宋体" w:asciiTheme="minorEastAsia" w:hAnsiTheme="minorEastAsia" w:eastAsiaTheme="minorEastAsia"/>
          <w:color w:val="000000"/>
          <w:kern w:val="0"/>
          <w:sz w:val="24"/>
          <w:szCs w:val="24"/>
        </w:rPr>
        <w:t>总体而言，本项目预计土地出让收入、新能源汽车充电服务费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bookmarkEnd w:id="14"/>
    <w:p>
      <w:pPr>
        <w:spacing w:line="360" w:lineRule="auto"/>
        <w:ind w:firstLine="482" w:firstLineChars="200"/>
        <w:outlineLvl w:val="0"/>
        <w:rPr>
          <w:rFonts w:hint="eastAsia" w:cs="宋体" w:asciiTheme="minorEastAsia" w:hAnsiTheme="minorEastAsia" w:eastAsiaTheme="minorEastAsia"/>
          <w:b/>
          <w:bCs/>
          <w:sz w:val="24"/>
          <w:szCs w:val="24"/>
        </w:rPr>
      </w:pPr>
      <w:bookmarkStart w:id="35" w:name="_Toc11183"/>
      <w:r>
        <w:rPr>
          <w:rFonts w:hint="eastAsia" w:cs="宋体" w:asciiTheme="minorEastAsia" w:hAnsiTheme="minorEastAsia" w:eastAsiaTheme="minorEastAsia"/>
          <w:b/>
          <w:bCs/>
          <w:sz w:val="24"/>
          <w:szCs w:val="24"/>
        </w:rPr>
        <w:t>六、潜在风险评估</w:t>
      </w:r>
      <w:bookmarkEnd w:id="35"/>
    </w:p>
    <w:p>
      <w:pPr>
        <w:spacing w:line="360" w:lineRule="auto"/>
        <w:ind w:firstLine="482" w:firstLineChars="200"/>
        <w:outlineLvl w:val="0"/>
        <w:rPr>
          <w:rFonts w:hint="eastAsia" w:cs="宋体" w:asciiTheme="minorEastAsia" w:hAnsiTheme="minorEastAsia" w:eastAsiaTheme="minorEastAsia"/>
          <w:b/>
          <w:bCs/>
          <w:sz w:val="24"/>
          <w:szCs w:val="24"/>
        </w:rPr>
      </w:pPr>
      <w:bookmarkStart w:id="36" w:name="_Toc498551274"/>
      <w:bookmarkStart w:id="37" w:name="_Toc6564"/>
      <w:bookmarkStart w:id="38" w:name="_Toc16405"/>
      <w:bookmarkStart w:id="39" w:name="_Toc20908"/>
      <w:bookmarkStart w:id="40" w:name="_Toc498385095"/>
      <w:bookmarkStart w:id="41" w:name="_Toc498385763"/>
      <w:r>
        <w:rPr>
          <w:rFonts w:hint="eastAsia" w:cs="宋体" w:asciiTheme="minorEastAsia" w:hAnsiTheme="minorEastAsia" w:eastAsiaTheme="minorEastAsia"/>
          <w:b/>
          <w:bCs/>
          <w:sz w:val="24"/>
          <w:szCs w:val="24"/>
        </w:rPr>
        <w:t>（一）影响项目施工进度或正常运营的风险及控制措施</w:t>
      </w:r>
      <w:bookmarkEnd w:id="36"/>
      <w:bookmarkEnd w:id="37"/>
      <w:bookmarkEnd w:id="38"/>
      <w:bookmarkEnd w:id="39"/>
      <w:bookmarkEnd w:id="40"/>
      <w:bookmarkEnd w:id="41"/>
    </w:p>
    <w:p>
      <w:pPr>
        <w:spacing w:line="360" w:lineRule="auto"/>
        <w:ind w:firstLine="480" w:firstLineChars="200"/>
        <w:outlineLvl w:val="2"/>
        <w:rPr>
          <w:rFonts w:hint="eastAsia" w:cs="宋体" w:asciiTheme="minorEastAsia" w:hAnsiTheme="minorEastAsia" w:eastAsiaTheme="minorEastAsia"/>
          <w:sz w:val="24"/>
          <w:szCs w:val="24"/>
        </w:rPr>
      </w:pPr>
      <w:bookmarkStart w:id="42" w:name="_Toc498385764"/>
      <w:bookmarkStart w:id="43" w:name="_Toc498385096"/>
      <w:bookmarkStart w:id="44" w:name="_Toc498551275"/>
      <w:bookmarkStart w:id="45" w:name="_Toc23168"/>
      <w:r>
        <w:rPr>
          <w:rFonts w:hint="eastAsia" w:cs="宋体" w:asciiTheme="minorEastAsia" w:hAnsiTheme="minorEastAsia" w:eastAsiaTheme="minorEastAsia"/>
          <w:sz w:val="24"/>
          <w:szCs w:val="24"/>
        </w:rPr>
        <w:t>1</w:t>
      </w:r>
      <w:bookmarkEnd w:id="42"/>
      <w:bookmarkEnd w:id="43"/>
      <w:bookmarkEnd w:id="44"/>
      <w:r>
        <w:rPr>
          <w:rFonts w:hint="eastAsia" w:cs="宋体" w:asciiTheme="minorEastAsia" w:hAnsiTheme="minorEastAsia" w:eastAsiaTheme="minorEastAsia"/>
          <w:sz w:val="24"/>
          <w:szCs w:val="24"/>
        </w:rPr>
        <w:t>、政策风险</w:t>
      </w:r>
      <w:bookmarkEnd w:id="45"/>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pPr>
        <w:spacing w:line="360" w:lineRule="auto"/>
        <w:ind w:firstLine="480" w:firstLineChars="200"/>
        <w:outlineLvl w:val="2"/>
        <w:rPr>
          <w:rFonts w:hint="eastAsia" w:cs="宋体" w:asciiTheme="minorEastAsia" w:hAnsiTheme="minorEastAsia" w:eastAsiaTheme="minorEastAsia"/>
          <w:sz w:val="24"/>
          <w:szCs w:val="24"/>
        </w:rPr>
      </w:pPr>
      <w:bookmarkStart w:id="46" w:name="_Toc498551276"/>
      <w:bookmarkStart w:id="47" w:name="_Toc498385765"/>
      <w:bookmarkStart w:id="48" w:name="_Toc498385097"/>
      <w:bookmarkStart w:id="49" w:name="_Toc26505"/>
      <w:r>
        <w:rPr>
          <w:rFonts w:hint="eastAsia" w:cs="宋体" w:asciiTheme="minorEastAsia" w:hAnsiTheme="minorEastAsia" w:eastAsiaTheme="minorEastAsia"/>
          <w:sz w:val="24"/>
          <w:szCs w:val="24"/>
        </w:rPr>
        <w:t>2</w:t>
      </w:r>
      <w:bookmarkEnd w:id="46"/>
      <w:bookmarkEnd w:id="47"/>
      <w:bookmarkEnd w:id="48"/>
      <w:r>
        <w:rPr>
          <w:rFonts w:hint="eastAsia" w:cs="宋体" w:asciiTheme="minorEastAsia" w:hAnsiTheme="minorEastAsia" w:eastAsiaTheme="minorEastAsia"/>
          <w:sz w:val="24"/>
          <w:szCs w:val="24"/>
        </w:rPr>
        <w:t>、项目实施与管理风险</w:t>
      </w:r>
      <w:bookmarkEnd w:id="49"/>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项目建设期间严格执行文明施工标准，确保项目对民众生活的影响降至最低。</w:t>
      </w:r>
    </w:p>
    <w:p>
      <w:pPr>
        <w:spacing w:line="360" w:lineRule="auto"/>
        <w:ind w:firstLine="480" w:firstLineChars="200"/>
        <w:outlineLvl w:val="2"/>
        <w:rPr>
          <w:rFonts w:hint="eastAsia" w:cs="宋体" w:asciiTheme="minorEastAsia" w:hAnsiTheme="minorEastAsia" w:eastAsiaTheme="minorEastAsia"/>
          <w:sz w:val="24"/>
          <w:szCs w:val="24"/>
        </w:rPr>
      </w:pPr>
      <w:bookmarkStart w:id="50" w:name="_Toc22995"/>
      <w:r>
        <w:rPr>
          <w:rFonts w:hint="eastAsia" w:cs="宋体" w:asciiTheme="minorEastAsia" w:hAnsiTheme="minorEastAsia" w:eastAsiaTheme="minorEastAsia"/>
          <w:sz w:val="24"/>
          <w:szCs w:val="24"/>
        </w:rPr>
        <w:t>3、财务风险</w:t>
      </w:r>
      <w:bookmarkEnd w:id="50"/>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pPr>
        <w:spacing w:line="360" w:lineRule="auto"/>
        <w:ind w:firstLine="480" w:firstLineChars="200"/>
        <w:outlineLvl w:val="2"/>
        <w:rPr>
          <w:rFonts w:hint="eastAsia" w:cs="宋体" w:asciiTheme="minorEastAsia" w:hAnsiTheme="minorEastAsia" w:eastAsiaTheme="minorEastAsia"/>
          <w:sz w:val="24"/>
          <w:szCs w:val="24"/>
        </w:rPr>
      </w:pPr>
      <w:bookmarkStart w:id="51" w:name="_Toc18164"/>
      <w:r>
        <w:rPr>
          <w:rFonts w:hint="eastAsia" w:cs="宋体" w:asciiTheme="minorEastAsia" w:hAnsiTheme="minorEastAsia" w:eastAsiaTheme="minorEastAsia"/>
          <w:sz w:val="24"/>
          <w:szCs w:val="24"/>
        </w:rPr>
        <w:t>4.社会风险</w:t>
      </w:r>
      <w:bookmarkEnd w:id="51"/>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pPr>
        <w:spacing w:line="360" w:lineRule="auto"/>
        <w:ind w:firstLine="482" w:firstLineChars="200"/>
        <w:outlineLvl w:val="0"/>
        <w:rPr>
          <w:rFonts w:hint="eastAsia" w:cs="宋体" w:asciiTheme="minorEastAsia" w:hAnsiTheme="minorEastAsia" w:eastAsiaTheme="minorEastAsia"/>
          <w:b/>
          <w:bCs/>
          <w:sz w:val="24"/>
          <w:szCs w:val="24"/>
        </w:rPr>
      </w:pPr>
      <w:bookmarkStart w:id="52" w:name="_Toc17161"/>
      <w:bookmarkStart w:id="53" w:name="_Toc498385098"/>
      <w:bookmarkStart w:id="54" w:name="_Toc498551277"/>
      <w:bookmarkStart w:id="55" w:name="_Toc498385766"/>
      <w:bookmarkStart w:id="56" w:name="_Toc4601"/>
      <w:bookmarkStart w:id="57" w:name="_Toc8575"/>
      <w:r>
        <w:rPr>
          <w:rFonts w:hint="eastAsia" w:cs="宋体" w:asciiTheme="minorEastAsia" w:hAnsiTheme="minorEastAsia" w:eastAsiaTheme="minorEastAsia"/>
          <w:b/>
          <w:bCs/>
          <w:sz w:val="24"/>
          <w:szCs w:val="24"/>
        </w:rPr>
        <w:t>（二）影响项目收益的风险及控制措施</w:t>
      </w:r>
      <w:bookmarkEnd w:id="52"/>
      <w:bookmarkEnd w:id="53"/>
      <w:bookmarkEnd w:id="54"/>
      <w:bookmarkEnd w:id="55"/>
      <w:bookmarkEnd w:id="56"/>
      <w:bookmarkEnd w:id="57"/>
    </w:p>
    <w:p>
      <w:pPr>
        <w:spacing w:line="360" w:lineRule="auto"/>
        <w:ind w:firstLine="480" w:firstLineChars="200"/>
        <w:rPr>
          <w:rFonts w:hint="eastAsia" w:cs="宋体" w:asciiTheme="minorEastAsia" w:hAnsiTheme="minorEastAsia" w:eastAsiaTheme="minorEastAsia"/>
          <w:sz w:val="24"/>
          <w:szCs w:val="24"/>
        </w:rPr>
      </w:pPr>
      <w:bookmarkStart w:id="58" w:name="_Toc498551279"/>
      <w:bookmarkStart w:id="59" w:name="_Toc498385099"/>
      <w:bookmarkStart w:id="60" w:name="_Toc498385767"/>
      <w:r>
        <w:rPr>
          <w:rFonts w:hint="eastAsia" w:cs="宋体" w:asciiTheme="minorEastAsia" w:hAnsiTheme="minorEastAsia" w:eastAsiaTheme="minorEastAsia"/>
          <w:sz w:val="24"/>
          <w:szCs w:val="24"/>
        </w:rPr>
        <w:t>工程可行性研究报告中的总投资额与实际造价成本可能会发生偏差，影响资金项目资金投入和发债计划安排。</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风险控制措施：按照市政府主管部门的批复结果及时调整项目资金投入计划，保障项目顺利实施。</w:t>
      </w:r>
    </w:p>
    <w:bookmarkEnd w:id="58"/>
    <w:bookmarkEnd w:id="59"/>
    <w:bookmarkEnd w:id="60"/>
    <w:p>
      <w:pPr>
        <w:spacing w:line="360" w:lineRule="auto"/>
        <w:ind w:firstLine="482" w:firstLineChars="200"/>
        <w:outlineLvl w:val="0"/>
        <w:rPr>
          <w:rFonts w:hint="eastAsia" w:cs="宋体" w:asciiTheme="minorEastAsia" w:hAnsiTheme="minorEastAsia" w:eastAsiaTheme="minorEastAsia"/>
          <w:b/>
          <w:bCs/>
          <w:sz w:val="24"/>
          <w:szCs w:val="24"/>
        </w:rPr>
      </w:pPr>
      <w:bookmarkStart w:id="61" w:name="_Toc7640"/>
      <w:bookmarkStart w:id="62" w:name="_Toc30358"/>
      <w:bookmarkStart w:id="63" w:name="_Toc498385773"/>
      <w:bookmarkStart w:id="64" w:name="_Toc498385105"/>
      <w:bookmarkStart w:id="65" w:name="_Toc10542"/>
      <w:bookmarkStart w:id="66" w:name="_Toc498551286"/>
      <w:r>
        <w:rPr>
          <w:rFonts w:hint="eastAsia" w:cs="宋体" w:asciiTheme="minorEastAsia" w:hAnsiTheme="minorEastAsia" w:eastAsiaTheme="minorEastAsia"/>
          <w:b/>
          <w:bCs/>
          <w:sz w:val="24"/>
          <w:szCs w:val="24"/>
        </w:rPr>
        <w:t>（三）影响融资平衡结果的风险及控制措施</w:t>
      </w:r>
      <w:bookmarkEnd w:id="61"/>
      <w:bookmarkEnd w:id="62"/>
      <w:bookmarkEnd w:id="63"/>
      <w:bookmarkEnd w:id="64"/>
      <w:bookmarkEnd w:id="65"/>
      <w:bookmarkEnd w:id="66"/>
    </w:p>
    <w:p>
      <w:pPr>
        <w:spacing w:line="360" w:lineRule="auto"/>
        <w:ind w:firstLine="480" w:firstLineChars="200"/>
        <w:outlineLvl w:val="2"/>
        <w:rPr>
          <w:rFonts w:hint="eastAsia" w:cs="宋体" w:asciiTheme="minorEastAsia" w:hAnsiTheme="minorEastAsia" w:eastAsiaTheme="minorEastAsia"/>
          <w:sz w:val="24"/>
          <w:szCs w:val="24"/>
        </w:rPr>
      </w:pPr>
      <w:bookmarkStart w:id="67" w:name="_Toc498385774"/>
      <w:bookmarkStart w:id="68" w:name="_Toc498385106"/>
      <w:bookmarkStart w:id="69" w:name="_Toc7555"/>
      <w:bookmarkStart w:id="70" w:name="_Toc498551287"/>
      <w:r>
        <w:rPr>
          <w:rFonts w:hint="eastAsia" w:cs="宋体" w:asciiTheme="minorEastAsia" w:hAnsiTheme="minorEastAsia" w:eastAsiaTheme="minorEastAsia"/>
          <w:sz w:val="24"/>
          <w:szCs w:val="24"/>
        </w:rPr>
        <w:t>1、投资测算不准确风险</w:t>
      </w:r>
      <w:bookmarkEnd w:id="67"/>
      <w:bookmarkEnd w:id="68"/>
      <w:bookmarkEnd w:id="69"/>
      <w:bookmarkEnd w:id="70"/>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风险控制措施：债券内所含项目的可行性研究报告均聘请了国内知名研究院经过大量分析论证工作后得出，分析结果较为可靠。</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pPr>
        <w:spacing w:line="360" w:lineRule="auto"/>
        <w:ind w:firstLine="480" w:firstLineChars="200"/>
        <w:outlineLvl w:val="2"/>
        <w:rPr>
          <w:rFonts w:hint="eastAsia" w:cs="宋体" w:asciiTheme="minorEastAsia" w:hAnsiTheme="minorEastAsia" w:eastAsiaTheme="minorEastAsia"/>
          <w:sz w:val="24"/>
          <w:szCs w:val="24"/>
        </w:rPr>
      </w:pPr>
      <w:bookmarkStart w:id="71" w:name="_Toc3687"/>
      <w:r>
        <w:rPr>
          <w:rFonts w:hint="eastAsia" w:cs="宋体" w:asciiTheme="minorEastAsia" w:hAnsiTheme="minorEastAsia" w:eastAsiaTheme="minorEastAsia"/>
          <w:sz w:val="24"/>
          <w:szCs w:val="24"/>
        </w:rPr>
        <w:t>2、利率波动风险</w:t>
      </w:r>
      <w:bookmarkEnd w:id="71"/>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spacing w:line="360" w:lineRule="auto"/>
        <w:ind w:firstLine="480" w:firstLineChars="200"/>
        <w:outlineLvl w:val="2"/>
        <w:rPr>
          <w:rFonts w:hint="eastAsia" w:cs="宋体" w:asciiTheme="minorEastAsia" w:hAnsiTheme="minorEastAsia" w:eastAsiaTheme="minorEastAsia"/>
          <w:sz w:val="24"/>
          <w:szCs w:val="24"/>
        </w:rPr>
      </w:pPr>
      <w:bookmarkStart w:id="72" w:name="_Toc25085"/>
      <w:bookmarkStart w:id="73" w:name="_Toc498551289"/>
      <w:r>
        <w:rPr>
          <w:rFonts w:hint="eastAsia" w:cs="宋体" w:asciiTheme="minorEastAsia" w:hAnsiTheme="minorEastAsia" w:eastAsiaTheme="minorEastAsia"/>
          <w:sz w:val="24"/>
          <w:szCs w:val="24"/>
        </w:rPr>
        <w:t>3、存续债券置换不畅风险</w:t>
      </w:r>
      <w:bookmarkEnd w:id="72"/>
      <w:bookmarkEnd w:id="73"/>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根据《地方政府专项债务预算管理办法》（财预〔2016〕155号）第六条规定，专项债务本金通过对应的政府性基金收入、专项收入、发行专项债券等偿还。</w:t>
      </w:r>
      <w:bookmarkStart w:id="102" w:name="_GoBack"/>
      <w:bookmarkEnd w:id="102"/>
      <w:r>
        <w:rPr>
          <w:rFonts w:hint="eastAsia" w:cs="宋体" w:asciiTheme="minorEastAsia" w:hAnsiTheme="minorEastAsia" w:eastAsiaTheme="minorEastAsia"/>
          <w:sz w:val="24"/>
          <w:szCs w:val="24"/>
        </w:rPr>
        <w:t>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pPr>
        <w:spacing w:before="159" w:beforeLines="50" w:line="360" w:lineRule="auto"/>
        <w:ind w:firstLine="482" w:firstLineChars="200"/>
        <w:outlineLvl w:val="0"/>
        <w:rPr>
          <w:rFonts w:hint="eastAsia" w:cs="宋体" w:asciiTheme="minorEastAsia" w:hAnsiTheme="minorEastAsia" w:eastAsiaTheme="minorEastAsia"/>
          <w:b/>
          <w:sz w:val="24"/>
          <w:szCs w:val="24"/>
        </w:rPr>
      </w:pPr>
      <w:bookmarkStart w:id="74" w:name="_Toc9496"/>
      <w:bookmarkStart w:id="75" w:name="_Toc6349"/>
      <w:bookmarkStart w:id="76" w:name="_Toc14093"/>
      <w:bookmarkStart w:id="77" w:name="_Toc22531"/>
      <w:bookmarkStart w:id="78" w:name="_Toc23636"/>
      <w:bookmarkStart w:id="79" w:name="_Toc9133"/>
      <w:bookmarkStart w:id="80" w:name="_Toc5009"/>
      <w:bookmarkStart w:id="81" w:name="_Toc4735"/>
      <w:bookmarkStart w:id="82" w:name="_Toc8534"/>
      <w:bookmarkStart w:id="83" w:name="_Toc13008"/>
      <w:bookmarkStart w:id="84" w:name="_Toc32395"/>
      <w:bookmarkStart w:id="85" w:name="_Toc3051"/>
      <w:bookmarkStart w:id="86" w:name="_Toc1725"/>
      <w:bookmarkStart w:id="87" w:name="_Toc4935"/>
      <w:bookmarkStart w:id="88" w:name="_Toc10210"/>
      <w:bookmarkStart w:id="89" w:name="_Toc1287"/>
      <w:bookmarkStart w:id="90" w:name="_Toc5637"/>
      <w:bookmarkStart w:id="91" w:name="_Toc15942"/>
      <w:bookmarkStart w:id="92" w:name="_Toc17939"/>
      <w:bookmarkStart w:id="93" w:name="_Toc24781"/>
      <w:bookmarkStart w:id="94" w:name="_Toc20734"/>
      <w:bookmarkStart w:id="95" w:name="_Toc16334"/>
      <w:bookmarkStart w:id="96" w:name="_Toc2036"/>
      <w:bookmarkStart w:id="97" w:name="_Toc5677"/>
      <w:bookmarkStart w:id="98" w:name="_Toc23808"/>
      <w:bookmarkStart w:id="99" w:name="_Toc32327"/>
      <w:bookmarkStart w:id="100" w:name="_Toc24199"/>
      <w:bookmarkStart w:id="101" w:name="_Toc11499"/>
      <w:r>
        <w:rPr>
          <w:rFonts w:hint="eastAsia" w:cs="宋体" w:asciiTheme="minorEastAsia" w:hAnsiTheme="minorEastAsia" w:eastAsiaTheme="minorEastAsia"/>
          <w:b/>
          <w:sz w:val="24"/>
          <w:szCs w:val="24"/>
        </w:rPr>
        <w:t>七、还款保障措施</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pPr>
        <w:spacing w:line="360" w:lineRule="auto"/>
        <w:ind w:firstLine="480" w:firstLineChars="200"/>
        <w:rPr>
          <w:rFonts w:hint="eastAsia" w:cs="宋体" w:asciiTheme="minorEastAsia" w:hAnsiTheme="minorEastAsia" w:eastAsiaTheme="minorEastAsia"/>
          <w:sz w:val="24"/>
          <w:szCs w:val="24"/>
        </w:rPr>
      </w:pPr>
    </w:p>
    <w:p>
      <w:pPr>
        <w:spacing w:line="360" w:lineRule="auto"/>
        <w:ind w:firstLine="480" w:firstLineChars="200"/>
        <w:rPr>
          <w:rFonts w:hint="eastAsia" w:cs="宋体" w:asciiTheme="minorEastAsia" w:hAnsiTheme="minorEastAsia" w:eastAsiaTheme="minorEastAsia"/>
          <w:sz w:val="24"/>
          <w:szCs w:val="24"/>
        </w:rPr>
      </w:pPr>
    </w:p>
    <w:p>
      <w:pPr>
        <w:spacing w:line="360" w:lineRule="auto"/>
        <w:ind w:firstLine="480" w:firstLineChars="200"/>
        <w:jc w:val="righ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海口市路桥建设投资有限公司</w:t>
      </w:r>
    </w:p>
    <w:p>
      <w:pPr>
        <w:spacing w:line="360" w:lineRule="auto"/>
        <w:ind w:firstLine="480" w:firstLineChars="200"/>
        <w:jc w:val="right"/>
        <w:rPr>
          <w:rFonts w:hint="eastAsia" w:cs="宋体" w:asciiTheme="minorEastAsia" w:hAnsiTheme="minorEastAsia" w:eastAsiaTheme="minorEastAsia"/>
          <w:color w:val="000000"/>
          <w:kern w:val="0"/>
          <w:sz w:val="24"/>
          <w:szCs w:val="24"/>
        </w:rPr>
      </w:pPr>
      <w:r>
        <w:rPr>
          <w:rFonts w:hint="eastAsia" w:cs="宋体" w:asciiTheme="minorEastAsia" w:hAnsiTheme="minorEastAsia" w:eastAsiaTheme="minorEastAsia"/>
          <w:sz w:val="24"/>
          <w:szCs w:val="24"/>
        </w:rPr>
        <w:t>2025年6月</w:t>
      </w:r>
    </w:p>
    <w:sectPr>
      <w:headerReference r:id="rId4" w:type="default"/>
      <w:footerReference r:id="rId5" w:type="default"/>
      <w:pgSz w:w="11906" w:h="16838"/>
      <w:pgMar w:top="1440" w:right="1803" w:bottom="1440" w:left="180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LF_Kai">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238946"/>
    </w:sdtPr>
    <w:sdtContent>
      <w:p>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pStyle w:val="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3"/>
        <w:rPr>
          <w:rFonts w:hint="eastAsia" w:ascii="宋体" w:hAnsi="宋体" w:eastAsia="宋体"/>
        </w:rPr>
      </w:pPr>
      <w:r>
        <w:rPr>
          <w:rStyle w:val="23"/>
          <w:rFonts w:ascii="宋体" w:hAnsi="宋体" w:eastAsia="宋体"/>
        </w:rPr>
        <w:footnoteRef/>
      </w:r>
      <w:r>
        <w:rPr>
          <w:rFonts w:ascii="宋体" w:hAnsi="宋体" w:eastAsia="宋体"/>
        </w:rPr>
        <w:t xml:space="preserve"> </w:t>
      </w:r>
      <w:r>
        <w:rPr>
          <w:rFonts w:hint="eastAsia" w:ascii="宋体" w:hAnsi="宋体" w:eastAsia="宋体"/>
        </w:rPr>
        <w:t>本息覆盖率</w:t>
      </w:r>
      <w:r>
        <w:rPr>
          <w:rFonts w:ascii="宋体" w:hAnsi="宋体" w:eastAsia="宋体"/>
        </w:rPr>
        <w:t>=（期末项目累计现金结存额/债券本息）+1</w:t>
      </w:r>
      <w:r>
        <w:rPr>
          <w:rFonts w:hint="eastAsia" w:ascii="宋体" w:hAnsi="宋体" w:eastAsia="宋体"/>
        </w:rPr>
        <w:t>，下同。</w:t>
      </w:r>
    </w:p>
  </w:footnote>
  <w:footnote w:id="1">
    <w:p>
      <w:pPr>
        <w:pStyle w:val="13"/>
        <w:rPr>
          <w:rFonts w:hint="eastAsia" w:ascii="等线 Light" w:hAnsi="等线 Light" w:eastAsia="等线 Light"/>
        </w:rPr>
      </w:pPr>
      <w:r>
        <w:rPr>
          <w:rStyle w:val="23"/>
          <w:rFonts w:ascii="宋体" w:hAnsi="宋体" w:eastAsia="宋体"/>
        </w:rPr>
        <w:footnoteRef/>
      </w:r>
      <w:r>
        <w:rPr>
          <w:rFonts w:ascii="宋体" w:hAnsi="宋体" w:eastAsia="宋体"/>
        </w:rPr>
        <w:t xml:space="preserve"> </w:t>
      </w:r>
      <w:r>
        <w:rPr>
          <w:rFonts w:hint="eastAsia" w:ascii="宋体" w:hAnsi="宋体" w:eastAsia="宋体"/>
        </w:rPr>
        <w:t>本息覆盖倍数</w:t>
      </w:r>
      <w:r>
        <w:rPr>
          <w:rFonts w:ascii="宋体" w:hAnsi="宋体" w:eastAsia="宋体"/>
        </w:rPr>
        <w:t>=</w:t>
      </w:r>
      <w:r>
        <w:rPr>
          <w:rFonts w:hint="eastAsia" w:ascii="宋体" w:hAnsi="宋体" w:eastAsia="宋体"/>
        </w:rPr>
        <w:t>用于资金平衡的项目收益</w:t>
      </w:r>
      <w:r>
        <w:rPr>
          <w:rFonts w:ascii="宋体" w:hAnsi="宋体" w:eastAsia="宋体"/>
        </w:rPr>
        <w:t>/债券本息，下同</w:t>
      </w:r>
      <w:r>
        <w:rPr>
          <w:rFonts w:hint="eastAsia" w:ascii="宋体" w:hAnsi="宋体" w:eastAsia="宋体"/>
        </w:rPr>
        <w:t>。</w:t>
      </w:r>
    </w:p>
  </w:footnote>
  <w:footnote w:id="2">
    <w:p>
      <w:pPr>
        <w:pStyle w:val="44"/>
        <w:jc w:val="both"/>
        <w:rPr>
          <w:rFonts w:hint="eastAsia" w:ascii="等线" w:hAnsi="等线" w:eastAsia="等线" w:cs="微软雅黑"/>
          <w:color w:val="000000"/>
          <w:sz w:val="16"/>
          <w:szCs w:val="18"/>
          <w:lang w:val="en-US"/>
        </w:rPr>
      </w:pPr>
      <w:r>
        <w:rPr>
          <w:rStyle w:val="23"/>
          <w:rFonts w:ascii="等线" w:hAnsi="等线" w:eastAsia="等线"/>
          <w:sz w:val="16"/>
        </w:rPr>
        <w:footnoteRef/>
      </w:r>
      <w:r>
        <w:rPr>
          <w:rFonts w:hint="eastAsia" w:ascii="等线" w:hAnsi="等线" w:eastAsia="等线" w:cs="微软雅黑"/>
          <w:color w:val="000000"/>
          <w:sz w:val="16"/>
          <w:szCs w:val="18"/>
          <w:lang w:val="en-US"/>
        </w:rPr>
        <w:t>债券本息覆盖率</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期末项目累计现金结存额</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债券本息</w:t>
      </w:r>
      <w:r>
        <w:rPr>
          <w:rFonts w:ascii="等线" w:hAnsi="等线" w:eastAsia="等线" w:cs="微软雅黑"/>
          <w:color w:val="000000"/>
          <w:sz w:val="16"/>
          <w:szCs w:val="18"/>
          <w:lang w:val="en-US"/>
        </w:rPr>
        <w:t>+1</w:t>
      </w:r>
      <w:r>
        <w:rPr>
          <w:rFonts w:hint="eastAsia" w:ascii="等线" w:hAnsi="等线" w:eastAsia="等线" w:cs="微软雅黑"/>
          <w:color w:val="000000"/>
          <w:sz w:val="16"/>
          <w:szCs w:val="18"/>
          <w:lang w:val="en-US"/>
        </w:rPr>
        <w:t>。</w:t>
      </w:r>
    </w:p>
  </w:footnote>
  <w:footnote w:id="3">
    <w:p>
      <w:pPr>
        <w:pStyle w:val="44"/>
        <w:jc w:val="both"/>
        <w:rPr>
          <w:rFonts w:eastAsia="华文细黑" w:cs="微软雅黑"/>
          <w:color w:val="000000"/>
          <w:sz w:val="16"/>
          <w:szCs w:val="18"/>
          <w:lang w:val="en-US"/>
        </w:rPr>
      </w:pPr>
      <w:r>
        <w:rPr>
          <w:rStyle w:val="23"/>
          <w:rFonts w:ascii="等线" w:hAnsi="等线" w:eastAsia="等线"/>
          <w:sz w:val="16"/>
        </w:rPr>
        <w:footnoteRef/>
      </w:r>
      <w:r>
        <w:rPr>
          <w:rFonts w:hint="eastAsia" w:ascii="等线" w:hAnsi="等线" w:eastAsia="等线" w:cs="微软雅黑"/>
          <w:color w:val="000000"/>
          <w:sz w:val="16"/>
          <w:szCs w:val="18"/>
          <w:lang w:val="en-US"/>
        </w:rPr>
        <w:t>债券本息覆盖倍数</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（运营收入-运营成本-税费）/债券本息。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9"/>
  <w:noPunctuationKerning w:val="1"/>
  <w:characterSpacingControl w:val="compressPunctuation"/>
  <w:footnotePr>
    <w:footnote w:id="8"/>
    <w:footnote w:id="9"/>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QyZjk5ZDEyOGUxZmY0ODk1YjYxYjNlN2Q2MzEifQ=="/>
  </w:docVars>
  <w:rsids>
    <w:rsidRoot w:val="00B271AC"/>
    <w:rsid w:val="000007E4"/>
    <w:rsid w:val="000015A0"/>
    <w:rsid w:val="00002D01"/>
    <w:rsid w:val="00004E30"/>
    <w:rsid w:val="0001472F"/>
    <w:rsid w:val="000178C8"/>
    <w:rsid w:val="000218B0"/>
    <w:rsid w:val="000231C5"/>
    <w:rsid w:val="00037152"/>
    <w:rsid w:val="00040E2E"/>
    <w:rsid w:val="00041492"/>
    <w:rsid w:val="00045482"/>
    <w:rsid w:val="0004663A"/>
    <w:rsid w:val="00046784"/>
    <w:rsid w:val="00046C6C"/>
    <w:rsid w:val="00046E57"/>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E3814"/>
    <w:rsid w:val="000F0FBF"/>
    <w:rsid w:val="000F1A73"/>
    <w:rsid w:val="000F76FD"/>
    <w:rsid w:val="00100A4A"/>
    <w:rsid w:val="00103026"/>
    <w:rsid w:val="00104E92"/>
    <w:rsid w:val="00107E7D"/>
    <w:rsid w:val="00110490"/>
    <w:rsid w:val="00114413"/>
    <w:rsid w:val="0011671E"/>
    <w:rsid w:val="00124FA3"/>
    <w:rsid w:val="001267AA"/>
    <w:rsid w:val="00130CE0"/>
    <w:rsid w:val="001312C0"/>
    <w:rsid w:val="0013649A"/>
    <w:rsid w:val="001375C0"/>
    <w:rsid w:val="001402B8"/>
    <w:rsid w:val="00141A89"/>
    <w:rsid w:val="001420D3"/>
    <w:rsid w:val="00144B23"/>
    <w:rsid w:val="0015056D"/>
    <w:rsid w:val="001521DB"/>
    <w:rsid w:val="00153AB8"/>
    <w:rsid w:val="00162879"/>
    <w:rsid w:val="001749C6"/>
    <w:rsid w:val="00177535"/>
    <w:rsid w:val="001814E4"/>
    <w:rsid w:val="0018403A"/>
    <w:rsid w:val="00187349"/>
    <w:rsid w:val="00191B0F"/>
    <w:rsid w:val="001922F6"/>
    <w:rsid w:val="001A21B6"/>
    <w:rsid w:val="001B2140"/>
    <w:rsid w:val="001B5627"/>
    <w:rsid w:val="001C1869"/>
    <w:rsid w:val="001C4326"/>
    <w:rsid w:val="001C7287"/>
    <w:rsid w:val="001D5718"/>
    <w:rsid w:val="001E0296"/>
    <w:rsid w:val="001E4180"/>
    <w:rsid w:val="001E4AB3"/>
    <w:rsid w:val="001E4C7D"/>
    <w:rsid w:val="001E5A74"/>
    <w:rsid w:val="001E5F76"/>
    <w:rsid w:val="001F2A32"/>
    <w:rsid w:val="001F3BBC"/>
    <w:rsid w:val="001F47C7"/>
    <w:rsid w:val="002044BA"/>
    <w:rsid w:val="00205E7F"/>
    <w:rsid w:val="00207730"/>
    <w:rsid w:val="0021057C"/>
    <w:rsid w:val="0021138B"/>
    <w:rsid w:val="00211F30"/>
    <w:rsid w:val="0021539B"/>
    <w:rsid w:val="0021648C"/>
    <w:rsid w:val="002206AE"/>
    <w:rsid w:val="0022728A"/>
    <w:rsid w:val="00237397"/>
    <w:rsid w:val="00237772"/>
    <w:rsid w:val="00240A63"/>
    <w:rsid w:val="00247A1D"/>
    <w:rsid w:val="002627AF"/>
    <w:rsid w:val="002652A4"/>
    <w:rsid w:val="00270D54"/>
    <w:rsid w:val="00275D06"/>
    <w:rsid w:val="00277DFA"/>
    <w:rsid w:val="00281A0E"/>
    <w:rsid w:val="00286583"/>
    <w:rsid w:val="00296B05"/>
    <w:rsid w:val="00297F4E"/>
    <w:rsid w:val="002A29E5"/>
    <w:rsid w:val="002A3CDD"/>
    <w:rsid w:val="002B1601"/>
    <w:rsid w:val="002B4D39"/>
    <w:rsid w:val="002B6A49"/>
    <w:rsid w:val="002B7714"/>
    <w:rsid w:val="002B7CCA"/>
    <w:rsid w:val="002C38F7"/>
    <w:rsid w:val="002C5979"/>
    <w:rsid w:val="002D31F2"/>
    <w:rsid w:val="002D412D"/>
    <w:rsid w:val="002D6D0B"/>
    <w:rsid w:val="002D7B61"/>
    <w:rsid w:val="002E18B6"/>
    <w:rsid w:val="002E7373"/>
    <w:rsid w:val="002F0157"/>
    <w:rsid w:val="002F1DC0"/>
    <w:rsid w:val="00300571"/>
    <w:rsid w:val="00300C60"/>
    <w:rsid w:val="00300FA4"/>
    <w:rsid w:val="00303D53"/>
    <w:rsid w:val="00314883"/>
    <w:rsid w:val="00314A4E"/>
    <w:rsid w:val="0033130B"/>
    <w:rsid w:val="003318D7"/>
    <w:rsid w:val="003364A7"/>
    <w:rsid w:val="00336D70"/>
    <w:rsid w:val="0034540E"/>
    <w:rsid w:val="00350977"/>
    <w:rsid w:val="00351519"/>
    <w:rsid w:val="003516FE"/>
    <w:rsid w:val="00352ED7"/>
    <w:rsid w:val="003532B9"/>
    <w:rsid w:val="00361B96"/>
    <w:rsid w:val="00364A2A"/>
    <w:rsid w:val="00364E0D"/>
    <w:rsid w:val="00365B0B"/>
    <w:rsid w:val="003702A7"/>
    <w:rsid w:val="003723CB"/>
    <w:rsid w:val="00373B85"/>
    <w:rsid w:val="00373BBF"/>
    <w:rsid w:val="00374B55"/>
    <w:rsid w:val="003813C1"/>
    <w:rsid w:val="0038764A"/>
    <w:rsid w:val="003910CA"/>
    <w:rsid w:val="003921CE"/>
    <w:rsid w:val="0039680C"/>
    <w:rsid w:val="00397048"/>
    <w:rsid w:val="003A1B56"/>
    <w:rsid w:val="003A4B33"/>
    <w:rsid w:val="003A5AF8"/>
    <w:rsid w:val="003B00B8"/>
    <w:rsid w:val="003B1257"/>
    <w:rsid w:val="003B1ADE"/>
    <w:rsid w:val="003C1708"/>
    <w:rsid w:val="003C3A95"/>
    <w:rsid w:val="003C70A8"/>
    <w:rsid w:val="003C7D5D"/>
    <w:rsid w:val="003D0BE6"/>
    <w:rsid w:val="003E2680"/>
    <w:rsid w:val="003E36FC"/>
    <w:rsid w:val="003E682C"/>
    <w:rsid w:val="00400EC9"/>
    <w:rsid w:val="00401CB2"/>
    <w:rsid w:val="0040537D"/>
    <w:rsid w:val="00406495"/>
    <w:rsid w:val="00410201"/>
    <w:rsid w:val="00412744"/>
    <w:rsid w:val="004132B2"/>
    <w:rsid w:val="00413724"/>
    <w:rsid w:val="004178E8"/>
    <w:rsid w:val="00421CB9"/>
    <w:rsid w:val="00422A22"/>
    <w:rsid w:val="0042642C"/>
    <w:rsid w:val="0044064F"/>
    <w:rsid w:val="00440791"/>
    <w:rsid w:val="00440A9C"/>
    <w:rsid w:val="00447095"/>
    <w:rsid w:val="004552B2"/>
    <w:rsid w:val="00455C6B"/>
    <w:rsid w:val="00462D3D"/>
    <w:rsid w:val="00462F50"/>
    <w:rsid w:val="0047195D"/>
    <w:rsid w:val="0047477F"/>
    <w:rsid w:val="00475A41"/>
    <w:rsid w:val="004914BB"/>
    <w:rsid w:val="00494E1B"/>
    <w:rsid w:val="004A3305"/>
    <w:rsid w:val="004A7362"/>
    <w:rsid w:val="004B022D"/>
    <w:rsid w:val="004B0E7E"/>
    <w:rsid w:val="004C008F"/>
    <w:rsid w:val="004C3C82"/>
    <w:rsid w:val="004C6587"/>
    <w:rsid w:val="004D71E1"/>
    <w:rsid w:val="004E194B"/>
    <w:rsid w:val="004E1B93"/>
    <w:rsid w:val="004F4E8F"/>
    <w:rsid w:val="004F7346"/>
    <w:rsid w:val="00500418"/>
    <w:rsid w:val="00504286"/>
    <w:rsid w:val="00504EE7"/>
    <w:rsid w:val="00505357"/>
    <w:rsid w:val="00505DA4"/>
    <w:rsid w:val="00505DB3"/>
    <w:rsid w:val="00510276"/>
    <w:rsid w:val="00515111"/>
    <w:rsid w:val="00515B4E"/>
    <w:rsid w:val="00517A1B"/>
    <w:rsid w:val="00522EF4"/>
    <w:rsid w:val="00527F34"/>
    <w:rsid w:val="0053329A"/>
    <w:rsid w:val="00536A6A"/>
    <w:rsid w:val="00542D61"/>
    <w:rsid w:val="00542E04"/>
    <w:rsid w:val="00545B57"/>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E713B"/>
    <w:rsid w:val="005F0EA3"/>
    <w:rsid w:val="00600697"/>
    <w:rsid w:val="006101C0"/>
    <w:rsid w:val="00610A56"/>
    <w:rsid w:val="00610CD8"/>
    <w:rsid w:val="0061649E"/>
    <w:rsid w:val="006210A8"/>
    <w:rsid w:val="0062259B"/>
    <w:rsid w:val="00624C5F"/>
    <w:rsid w:val="00625AD8"/>
    <w:rsid w:val="00625E4B"/>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3C1E"/>
    <w:rsid w:val="0067621C"/>
    <w:rsid w:val="00684F79"/>
    <w:rsid w:val="00690E14"/>
    <w:rsid w:val="00691003"/>
    <w:rsid w:val="00693644"/>
    <w:rsid w:val="0069439F"/>
    <w:rsid w:val="006B162C"/>
    <w:rsid w:val="006B50DF"/>
    <w:rsid w:val="006B612F"/>
    <w:rsid w:val="006C1DA2"/>
    <w:rsid w:val="006C4809"/>
    <w:rsid w:val="006C53F5"/>
    <w:rsid w:val="006C753A"/>
    <w:rsid w:val="006D4716"/>
    <w:rsid w:val="006D79AA"/>
    <w:rsid w:val="006E53FE"/>
    <w:rsid w:val="006E6F5B"/>
    <w:rsid w:val="006E72DA"/>
    <w:rsid w:val="006F24DA"/>
    <w:rsid w:val="006F465F"/>
    <w:rsid w:val="006F6BB0"/>
    <w:rsid w:val="00704B52"/>
    <w:rsid w:val="00706119"/>
    <w:rsid w:val="00715096"/>
    <w:rsid w:val="00715A29"/>
    <w:rsid w:val="00716753"/>
    <w:rsid w:val="00723C9D"/>
    <w:rsid w:val="0072506C"/>
    <w:rsid w:val="00725FF9"/>
    <w:rsid w:val="0073210A"/>
    <w:rsid w:val="00736E52"/>
    <w:rsid w:val="00743A16"/>
    <w:rsid w:val="00751462"/>
    <w:rsid w:val="00751FA3"/>
    <w:rsid w:val="007540EA"/>
    <w:rsid w:val="00757D4B"/>
    <w:rsid w:val="00760548"/>
    <w:rsid w:val="007613CD"/>
    <w:rsid w:val="00763F07"/>
    <w:rsid w:val="00767299"/>
    <w:rsid w:val="00767484"/>
    <w:rsid w:val="00775EAB"/>
    <w:rsid w:val="00776D0E"/>
    <w:rsid w:val="00782037"/>
    <w:rsid w:val="00784292"/>
    <w:rsid w:val="00791469"/>
    <w:rsid w:val="007930BE"/>
    <w:rsid w:val="0079353D"/>
    <w:rsid w:val="00796119"/>
    <w:rsid w:val="0079670C"/>
    <w:rsid w:val="007A30EB"/>
    <w:rsid w:val="007A6802"/>
    <w:rsid w:val="007A6B9A"/>
    <w:rsid w:val="007A6BC0"/>
    <w:rsid w:val="007B0928"/>
    <w:rsid w:val="007B15F9"/>
    <w:rsid w:val="007B2D91"/>
    <w:rsid w:val="007B69B8"/>
    <w:rsid w:val="007C2C68"/>
    <w:rsid w:val="007C336B"/>
    <w:rsid w:val="007C33FB"/>
    <w:rsid w:val="007C453F"/>
    <w:rsid w:val="007C4870"/>
    <w:rsid w:val="007C7F6C"/>
    <w:rsid w:val="007E025E"/>
    <w:rsid w:val="007E1788"/>
    <w:rsid w:val="007E2441"/>
    <w:rsid w:val="007E31FA"/>
    <w:rsid w:val="007E76E8"/>
    <w:rsid w:val="007F1160"/>
    <w:rsid w:val="00801034"/>
    <w:rsid w:val="00811655"/>
    <w:rsid w:val="00813732"/>
    <w:rsid w:val="00813DFB"/>
    <w:rsid w:val="00823C9F"/>
    <w:rsid w:val="00823D77"/>
    <w:rsid w:val="00824B2B"/>
    <w:rsid w:val="008261EA"/>
    <w:rsid w:val="0083498B"/>
    <w:rsid w:val="00835AB2"/>
    <w:rsid w:val="0083703A"/>
    <w:rsid w:val="00840DC0"/>
    <w:rsid w:val="00845CAD"/>
    <w:rsid w:val="00856623"/>
    <w:rsid w:val="00856FB3"/>
    <w:rsid w:val="00857A57"/>
    <w:rsid w:val="00857C28"/>
    <w:rsid w:val="008608DB"/>
    <w:rsid w:val="008621D4"/>
    <w:rsid w:val="00864A6E"/>
    <w:rsid w:val="00872D96"/>
    <w:rsid w:val="0087674B"/>
    <w:rsid w:val="0087704F"/>
    <w:rsid w:val="00877DC8"/>
    <w:rsid w:val="00881E00"/>
    <w:rsid w:val="0088756E"/>
    <w:rsid w:val="00890F91"/>
    <w:rsid w:val="00893616"/>
    <w:rsid w:val="00895705"/>
    <w:rsid w:val="008A29B3"/>
    <w:rsid w:val="008A3CE4"/>
    <w:rsid w:val="008A5F60"/>
    <w:rsid w:val="008B687B"/>
    <w:rsid w:val="008B70C0"/>
    <w:rsid w:val="008B7486"/>
    <w:rsid w:val="008C0270"/>
    <w:rsid w:val="008C71F6"/>
    <w:rsid w:val="008D2853"/>
    <w:rsid w:val="008D3D8E"/>
    <w:rsid w:val="008D4307"/>
    <w:rsid w:val="008D5144"/>
    <w:rsid w:val="008E0156"/>
    <w:rsid w:val="008E2BD4"/>
    <w:rsid w:val="008F08EF"/>
    <w:rsid w:val="008F11EF"/>
    <w:rsid w:val="008F672F"/>
    <w:rsid w:val="00900CC6"/>
    <w:rsid w:val="0090231E"/>
    <w:rsid w:val="00902D88"/>
    <w:rsid w:val="009128AE"/>
    <w:rsid w:val="00916B0C"/>
    <w:rsid w:val="0092037A"/>
    <w:rsid w:val="00924683"/>
    <w:rsid w:val="0093061B"/>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B1DF9"/>
    <w:rsid w:val="009C0C56"/>
    <w:rsid w:val="009D22CF"/>
    <w:rsid w:val="009D2F99"/>
    <w:rsid w:val="009D4E0F"/>
    <w:rsid w:val="009D6AE8"/>
    <w:rsid w:val="009D6E3F"/>
    <w:rsid w:val="009D7BBB"/>
    <w:rsid w:val="009E1186"/>
    <w:rsid w:val="009E44E3"/>
    <w:rsid w:val="009F08EA"/>
    <w:rsid w:val="009F5E6D"/>
    <w:rsid w:val="00A005BA"/>
    <w:rsid w:val="00A024C7"/>
    <w:rsid w:val="00A053BF"/>
    <w:rsid w:val="00A065F7"/>
    <w:rsid w:val="00A06B5A"/>
    <w:rsid w:val="00A245D2"/>
    <w:rsid w:val="00A31D86"/>
    <w:rsid w:val="00A34183"/>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0488"/>
    <w:rsid w:val="00AC0A16"/>
    <w:rsid w:val="00AC2F9D"/>
    <w:rsid w:val="00AC688A"/>
    <w:rsid w:val="00AC68ED"/>
    <w:rsid w:val="00AD3AC9"/>
    <w:rsid w:val="00AE1CFF"/>
    <w:rsid w:val="00AF3DB0"/>
    <w:rsid w:val="00AF41EB"/>
    <w:rsid w:val="00AF43DD"/>
    <w:rsid w:val="00B01202"/>
    <w:rsid w:val="00B01640"/>
    <w:rsid w:val="00B01C99"/>
    <w:rsid w:val="00B03C45"/>
    <w:rsid w:val="00B04BE7"/>
    <w:rsid w:val="00B114D3"/>
    <w:rsid w:val="00B146B0"/>
    <w:rsid w:val="00B150B7"/>
    <w:rsid w:val="00B204B7"/>
    <w:rsid w:val="00B24884"/>
    <w:rsid w:val="00B24BAC"/>
    <w:rsid w:val="00B2628D"/>
    <w:rsid w:val="00B26FA7"/>
    <w:rsid w:val="00B271AC"/>
    <w:rsid w:val="00B3277E"/>
    <w:rsid w:val="00B3695B"/>
    <w:rsid w:val="00B44A19"/>
    <w:rsid w:val="00B458AE"/>
    <w:rsid w:val="00B520B4"/>
    <w:rsid w:val="00B55B34"/>
    <w:rsid w:val="00B60DC6"/>
    <w:rsid w:val="00B6299C"/>
    <w:rsid w:val="00B63E63"/>
    <w:rsid w:val="00B6683B"/>
    <w:rsid w:val="00B81B19"/>
    <w:rsid w:val="00B81C11"/>
    <w:rsid w:val="00B81DA2"/>
    <w:rsid w:val="00B852C2"/>
    <w:rsid w:val="00B85E32"/>
    <w:rsid w:val="00B87D8A"/>
    <w:rsid w:val="00B929B9"/>
    <w:rsid w:val="00BA3A26"/>
    <w:rsid w:val="00BA6EBD"/>
    <w:rsid w:val="00BB1041"/>
    <w:rsid w:val="00BB5606"/>
    <w:rsid w:val="00BB5B76"/>
    <w:rsid w:val="00BC1819"/>
    <w:rsid w:val="00BC1A9A"/>
    <w:rsid w:val="00BC506C"/>
    <w:rsid w:val="00BD16CA"/>
    <w:rsid w:val="00BD1F51"/>
    <w:rsid w:val="00BD52D1"/>
    <w:rsid w:val="00BD7F4C"/>
    <w:rsid w:val="00BE1A5E"/>
    <w:rsid w:val="00BF00FF"/>
    <w:rsid w:val="00BF30DC"/>
    <w:rsid w:val="00BF4017"/>
    <w:rsid w:val="00BF63BD"/>
    <w:rsid w:val="00C00DC0"/>
    <w:rsid w:val="00C0392B"/>
    <w:rsid w:val="00C04E73"/>
    <w:rsid w:val="00C05AF0"/>
    <w:rsid w:val="00C05F9D"/>
    <w:rsid w:val="00C0726C"/>
    <w:rsid w:val="00C21848"/>
    <w:rsid w:val="00C2428B"/>
    <w:rsid w:val="00C2519E"/>
    <w:rsid w:val="00C323C5"/>
    <w:rsid w:val="00C332A7"/>
    <w:rsid w:val="00C34036"/>
    <w:rsid w:val="00C34850"/>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A79B1"/>
    <w:rsid w:val="00CC0F68"/>
    <w:rsid w:val="00CC71B9"/>
    <w:rsid w:val="00CD0BF7"/>
    <w:rsid w:val="00CD344A"/>
    <w:rsid w:val="00CE424B"/>
    <w:rsid w:val="00CE4B6D"/>
    <w:rsid w:val="00CE56B1"/>
    <w:rsid w:val="00CF10A7"/>
    <w:rsid w:val="00D0344C"/>
    <w:rsid w:val="00D0669B"/>
    <w:rsid w:val="00D06A29"/>
    <w:rsid w:val="00D11E0E"/>
    <w:rsid w:val="00D20B4D"/>
    <w:rsid w:val="00D22C93"/>
    <w:rsid w:val="00D25045"/>
    <w:rsid w:val="00D31FA9"/>
    <w:rsid w:val="00D33EFE"/>
    <w:rsid w:val="00D34117"/>
    <w:rsid w:val="00D369F9"/>
    <w:rsid w:val="00D414C1"/>
    <w:rsid w:val="00D42F8A"/>
    <w:rsid w:val="00D459A4"/>
    <w:rsid w:val="00D476D4"/>
    <w:rsid w:val="00D5030A"/>
    <w:rsid w:val="00D52884"/>
    <w:rsid w:val="00D52AF2"/>
    <w:rsid w:val="00D56B82"/>
    <w:rsid w:val="00D70F41"/>
    <w:rsid w:val="00D91749"/>
    <w:rsid w:val="00D95DB8"/>
    <w:rsid w:val="00D9762A"/>
    <w:rsid w:val="00DA3431"/>
    <w:rsid w:val="00DA39E8"/>
    <w:rsid w:val="00DA6AB1"/>
    <w:rsid w:val="00DA6CCE"/>
    <w:rsid w:val="00DB496C"/>
    <w:rsid w:val="00DB5ADD"/>
    <w:rsid w:val="00DC176D"/>
    <w:rsid w:val="00DC52E1"/>
    <w:rsid w:val="00DC5C9F"/>
    <w:rsid w:val="00DC671E"/>
    <w:rsid w:val="00DD2D88"/>
    <w:rsid w:val="00DD2DD6"/>
    <w:rsid w:val="00DD46B5"/>
    <w:rsid w:val="00DD4D14"/>
    <w:rsid w:val="00DD67B0"/>
    <w:rsid w:val="00DD6EBF"/>
    <w:rsid w:val="00DE3458"/>
    <w:rsid w:val="00DF1B1F"/>
    <w:rsid w:val="00DF1F42"/>
    <w:rsid w:val="00DF552F"/>
    <w:rsid w:val="00E01BCA"/>
    <w:rsid w:val="00E072AF"/>
    <w:rsid w:val="00E1064E"/>
    <w:rsid w:val="00E15EBB"/>
    <w:rsid w:val="00E27898"/>
    <w:rsid w:val="00E333F4"/>
    <w:rsid w:val="00E33A8E"/>
    <w:rsid w:val="00E34408"/>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84FFF"/>
    <w:rsid w:val="00E9455C"/>
    <w:rsid w:val="00EA2674"/>
    <w:rsid w:val="00EA4852"/>
    <w:rsid w:val="00EB218D"/>
    <w:rsid w:val="00EB2E85"/>
    <w:rsid w:val="00EB46E3"/>
    <w:rsid w:val="00EC2BE1"/>
    <w:rsid w:val="00EC7BA1"/>
    <w:rsid w:val="00ED03B8"/>
    <w:rsid w:val="00ED2683"/>
    <w:rsid w:val="00ED27B0"/>
    <w:rsid w:val="00ED6D8E"/>
    <w:rsid w:val="00ED7231"/>
    <w:rsid w:val="00ED73D5"/>
    <w:rsid w:val="00ED7650"/>
    <w:rsid w:val="00EE219E"/>
    <w:rsid w:val="00EF22F9"/>
    <w:rsid w:val="00EF4199"/>
    <w:rsid w:val="00EF4A85"/>
    <w:rsid w:val="00EF7DB9"/>
    <w:rsid w:val="00F019EC"/>
    <w:rsid w:val="00F01A56"/>
    <w:rsid w:val="00F14A60"/>
    <w:rsid w:val="00F14FB6"/>
    <w:rsid w:val="00F15F75"/>
    <w:rsid w:val="00F163C8"/>
    <w:rsid w:val="00F16A1B"/>
    <w:rsid w:val="00F17B0E"/>
    <w:rsid w:val="00F2126E"/>
    <w:rsid w:val="00F21F7A"/>
    <w:rsid w:val="00F2383F"/>
    <w:rsid w:val="00F26E44"/>
    <w:rsid w:val="00F27E9E"/>
    <w:rsid w:val="00F32E04"/>
    <w:rsid w:val="00F33F84"/>
    <w:rsid w:val="00F351F9"/>
    <w:rsid w:val="00F37681"/>
    <w:rsid w:val="00F376F7"/>
    <w:rsid w:val="00F41039"/>
    <w:rsid w:val="00F411FB"/>
    <w:rsid w:val="00F41DC8"/>
    <w:rsid w:val="00F41FA9"/>
    <w:rsid w:val="00F431BE"/>
    <w:rsid w:val="00F43B4D"/>
    <w:rsid w:val="00F46DBA"/>
    <w:rsid w:val="00F509F4"/>
    <w:rsid w:val="00F56396"/>
    <w:rsid w:val="00F629FD"/>
    <w:rsid w:val="00F71940"/>
    <w:rsid w:val="00F759B1"/>
    <w:rsid w:val="00F778AC"/>
    <w:rsid w:val="00F80A69"/>
    <w:rsid w:val="00F81D38"/>
    <w:rsid w:val="00F82C02"/>
    <w:rsid w:val="00F87081"/>
    <w:rsid w:val="00F91A1E"/>
    <w:rsid w:val="00F94193"/>
    <w:rsid w:val="00F945ED"/>
    <w:rsid w:val="00FA0AE8"/>
    <w:rsid w:val="00FA1FF2"/>
    <w:rsid w:val="00FA5E06"/>
    <w:rsid w:val="00FA5E40"/>
    <w:rsid w:val="00FB561F"/>
    <w:rsid w:val="00FC2690"/>
    <w:rsid w:val="00FC57E2"/>
    <w:rsid w:val="00FC5C22"/>
    <w:rsid w:val="00FC65BD"/>
    <w:rsid w:val="00FD1A9E"/>
    <w:rsid w:val="00FD270D"/>
    <w:rsid w:val="00FD3471"/>
    <w:rsid w:val="00FD7124"/>
    <w:rsid w:val="00FE05B2"/>
    <w:rsid w:val="00FE2D32"/>
    <w:rsid w:val="00FE3574"/>
    <w:rsid w:val="00FE614E"/>
    <w:rsid w:val="00FE6424"/>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F20BAA"/>
    <w:rsid w:val="20A774A8"/>
    <w:rsid w:val="21E4166A"/>
    <w:rsid w:val="22D8647E"/>
    <w:rsid w:val="232224CD"/>
    <w:rsid w:val="249F6523"/>
    <w:rsid w:val="26452677"/>
    <w:rsid w:val="29A01B46"/>
    <w:rsid w:val="2C464749"/>
    <w:rsid w:val="2D0F1E53"/>
    <w:rsid w:val="2E127B70"/>
    <w:rsid w:val="2ED326F7"/>
    <w:rsid w:val="2F4C4997"/>
    <w:rsid w:val="2FB2417E"/>
    <w:rsid w:val="30AC686B"/>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BF679C3"/>
    <w:rsid w:val="5C390BF5"/>
    <w:rsid w:val="5CCE357C"/>
    <w:rsid w:val="5DC82230"/>
    <w:rsid w:val="5F907DB5"/>
    <w:rsid w:val="5FF7115F"/>
    <w:rsid w:val="604B0929"/>
    <w:rsid w:val="62E31E6F"/>
    <w:rsid w:val="63342979"/>
    <w:rsid w:val="64C5741F"/>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E01D3"/>
    <w:rsid w:val="745F1A7B"/>
    <w:rsid w:val="74CF60EB"/>
    <w:rsid w:val="753D136B"/>
    <w:rsid w:val="756338A7"/>
    <w:rsid w:val="78396CD3"/>
    <w:rsid w:val="798B2638"/>
    <w:rsid w:val="79F71A7C"/>
    <w:rsid w:val="7AF64006"/>
    <w:rsid w:val="7AFDAB09"/>
    <w:rsid w:val="7D9D7924"/>
    <w:rsid w:val="7DDECC4F"/>
    <w:rsid w:val="7F5B3843"/>
    <w:rsid w:val="B97FB961"/>
    <w:rsid w:val="DE6D2DE6"/>
    <w:rsid w:val="DFEA32A3"/>
    <w:rsid w:val="F6BED998"/>
    <w:rsid w:val="FB561B91"/>
    <w:rsid w:val="FEDD063A"/>
    <w:rsid w:val="FFF9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link w:val="24"/>
    <w:semiHidden/>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qFormat/>
    <w:uiPriority w:val="0"/>
    <w:pPr>
      <w:ind w:left="105" w:hanging="105"/>
    </w:pPr>
    <w:rPr>
      <w:sz w:val="32"/>
      <w:szCs w:val="32"/>
    </w:rPr>
  </w:style>
  <w:style w:type="paragraph" w:styleId="9">
    <w:name w:val="Balloon Text"/>
    <w:basedOn w:val="1"/>
    <w:link w:val="25"/>
    <w:unhideWhenUsed/>
    <w:qFormat/>
    <w:uiPriority w:val="99"/>
    <w:rPr>
      <w:sz w:val="18"/>
      <w:szCs w:val="18"/>
    </w:rPr>
  </w:style>
  <w:style w:type="paragraph" w:styleId="10">
    <w:name w:val="footer"/>
    <w:basedOn w:val="1"/>
    <w:next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footnote text"/>
    <w:basedOn w:val="1"/>
    <w:link w:val="46"/>
    <w:semiHidden/>
    <w:unhideWhenUsed/>
    <w:qFormat/>
    <w:uiPriority w:val="99"/>
    <w:rPr>
      <w:szCs w:val="20"/>
    </w:rPr>
  </w:style>
  <w:style w:type="paragraph" w:styleId="14">
    <w:name w:val="Body Text Indent 3"/>
    <w:basedOn w:val="1"/>
    <w:link w:val="32"/>
    <w:qFormat/>
    <w:uiPriority w:val="0"/>
    <w:pPr>
      <w:spacing w:after="120"/>
      <w:ind w:left="420" w:leftChars="200"/>
    </w:pPr>
    <w:rPr>
      <w:rFonts w:ascii="Times New Roman" w:hAnsi="Times New Roman" w:eastAsia="宋体"/>
      <w:sz w:val="16"/>
      <w:szCs w:val="20"/>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6"/>
    <w:next w:val="6"/>
    <w:link w:val="28"/>
    <w:semiHidden/>
    <w:unhideWhenUsed/>
    <w:qFormat/>
    <w:uiPriority w:val="0"/>
    <w:rPr>
      <w:b/>
      <w:bCs/>
    </w:rPr>
  </w:style>
  <w:style w:type="paragraph" w:styleId="17">
    <w:name w:val="Body Text First Indent"/>
    <w:basedOn w:val="7"/>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8">
    <w:name w:val="Body Text First Indent 2"/>
    <w:basedOn w:val="8"/>
    <w:next w:val="17"/>
    <w:unhideWhenUsed/>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semiHidden/>
    <w:unhideWhenUsed/>
    <w:qFormat/>
    <w:uiPriority w:val="0"/>
    <w:rPr>
      <w:sz w:val="21"/>
      <w:szCs w:val="21"/>
    </w:rPr>
  </w:style>
  <w:style w:type="character" w:styleId="23">
    <w:name w:val="footnote reference"/>
    <w:basedOn w:val="21"/>
    <w:unhideWhenUsed/>
    <w:qFormat/>
    <w:uiPriority w:val="99"/>
    <w:rPr>
      <w:vertAlign w:val="superscript"/>
    </w:rPr>
  </w:style>
  <w:style w:type="character" w:customStyle="1" w:styleId="24">
    <w:name w:val="批注文字 字符"/>
    <w:link w:val="6"/>
    <w:semiHidden/>
    <w:qFormat/>
    <w:uiPriority w:val="0"/>
    <w:rPr>
      <w:rFonts w:ascii="等线" w:hAnsi="等线"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qFormat/>
    <w:uiPriority w:val="99"/>
    <w:rPr>
      <w:sz w:val="18"/>
      <w:szCs w:val="18"/>
    </w:rPr>
  </w:style>
  <w:style w:type="character" w:customStyle="1" w:styleId="28">
    <w:name w:val="批注主题 字符"/>
    <w:link w:val="16"/>
    <w:semiHidden/>
    <w:qFormat/>
    <w:uiPriority w:val="0"/>
    <w:rPr>
      <w:rFonts w:ascii="等线" w:hAnsi="等线" w:eastAsia="等线"/>
      <w:b/>
      <w:bCs/>
      <w:kern w:val="2"/>
      <w:sz w:val="21"/>
      <w:szCs w:val="22"/>
    </w:rPr>
  </w:style>
  <w:style w:type="paragraph" w:customStyle="1" w:styleId="29">
    <w:name w:val="列出段落1"/>
    <w:basedOn w:val="1"/>
    <w:qFormat/>
    <w:uiPriority w:val="34"/>
    <w:pPr>
      <w:ind w:firstLine="420" w:firstLineChars="200"/>
    </w:pPr>
  </w:style>
  <w:style w:type="paragraph" w:customStyle="1" w:styleId="30">
    <w:name w:val="Char Char Char Char Char Char Char"/>
    <w:basedOn w:val="1"/>
    <w:qFormat/>
    <w:uiPriority w:val="0"/>
    <w:pPr>
      <w:spacing w:line="480" w:lineRule="auto"/>
    </w:pPr>
    <w:rPr>
      <w:rFonts w:ascii="Times New Roman" w:hAnsi="Times New Roman" w:eastAsia="宋体"/>
      <w:szCs w:val="21"/>
    </w:rPr>
  </w:style>
  <w:style w:type="paragraph" w:styleId="31">
    <w:name w:val="List Paragraph"/>
    <w:basedOn w:val="1"/>
    <w:unhideWhenUsed/>
    <w:qFormat/>
    <w:uiPriority w:val="99"/>
    <w:pPr>
      <w:ind w:firstLine="420" w:firstLineChars="200"/>
    </w:pPr>
  </w:style>
  <w:style w:type="character" w:customStyle="1" w:styleId="32">
    <w:name w:val="正文文本缩进 3 字符"/>
    <w:basedOn w:val="21"/>
    <w:link w:val="14"/>
    <w:qFormat/>
    <w:uiPriority w:val="0"/>
    <w:rPr>
      <w:kern w:val="2"/>
      <w:sz w:val="16"/>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6">
    <w:name w:val="样式 行距: 固定值 20 磅"/>
    <w:qFormat/>
    <w:uiPriority w:val="0"/>
    <w:pPr>
      <w:ind w:firstLine="480"/>
    </w:pPr>
    <w:rPr>
      <w:rFonts w:ascii="Times New Roman" w:hAnsi="Times New Roman" w:eastAsia="Times New Roman" w:cs="宋体"/>
      <w:sz w:val="24"/>
      <w:szCs w:val="24"/>
      <w:lang w:val="en-US" w:eastAsia="zh-CN" w:bidi="ar-SA"/>
    </w:rPr>
  </w:style>
  <w:style w:type="character" w:customStyle="1" w:styleId="37">
    <w:name w:val="font91"/>
    <w:basedOn w:val="21"/>
    <w:qFormat/>
    <w:uiPriority w:val="0"/>
    <w:rPr>
      <w:rFonts w:hint="eastAsia" w:ascii="宋体" w:hAnsi="宋体" w:eastAsia="宋体" w:cs="宋体"/>
      <w:b/>
      <w:bCs/>
      <w:color w:val="000000"/>
      <w:sz w:val="21"/>
      <w:szCs w:val="21"/>
      <w:u w:val="none"/>
    </w:rPr>
  </w:style>
  <w:style w:type="character" w:customStyle="1" w:styleId="38">
    <w:name w:val="font41"/>
    <w:basedOn w:val="21"/>
    <w:qFormat/>
    <w:uiPriority w:val="0"/>
    <w:rPr>
      <w:rFonts w:hint="eastAsia" w:ascii="宋体" w:hAnsi="宋体" w:eastAsia="宋体" w:cs="宋体"/>
      <w:color w:val="000000"/>
      <w:sz w:val="16"/>
      <w:szCs w:val="16"/>
      <w:u w:val="none"/>
    </w:rPr>
  </w:style>
  <w:style w:type="character" w:customStyle="1" w:styleId="39">
    <w:name w:val="font61"/>
    <w:basedOn w:val="21"/>
    <w:qFormat/>
    <w:uiPriority w:val="0"/>
    <w:rPr>
      <w:rFonts w:hint="default" w:ascii="Times New Roman" w:hAnsi="Times New Roman" w:cs="Times New Roman"/>
      <w:color w:val="000000"/>
      <w:sz w:val="21"/>
      <w:szCs w:val="21"/>
      <w:u w:val="none"/>
    </w:rPr>
  </w:style>
  <w:style w:type="character" w:customStyle="1" w:styleId="40">
    <w:name w:val="font71"/>
    <w:basedOn w:val="21"/>
    <w:qFormat/>
    <w:uiPriority w:val="0"/>
    <w:rPr>
      <w:rFonts w:ascii="仿宋" w:hAnsi="仿宋" w:eastAsia="仿宋" w:cs="仿宋"/>
      <w:color w:val="000000"/>
      <w:sz w:val="21"/>
      <w:szCs w:val="21"/>
      <w:u w:val="none"/>
    </w:rPr>
  </w:style>
  <w:style w:type="character" w:customStyle="1" w:styleId="41">
    <w:name w:val="font81"/>
    <w:basedOn w:val="21"/>
    <w:qFormat/>
    <w:uiPriority w:val="0"/>
    <w:rPr>
      <w:rFonts w:hint="eastAsia" w:ascii="仿宋" w:hAnsi="仿宋" w:eastAsia="仿宋" w:cs="仿宋"/>
      <w:color w:val="000000"/>
      <w:sz w:val="12"/>
      <w:szCs w:val="12"/>
      <w:u w:val="none"/>
    </w:rPr>
  </w:style>
  <w:style w:type="character" w:customStyle="1" w:styleId="42">
    <w:name w:val="font101"/>
    <w:basedOn w:val="21"/>
    <w:qFormat/>
    <w:uiPriority w:val="0"/>
    <w:rPr>
      <w:rFonts w:hint="eastAsia" w:ascii="仿宋" w:hAnsi="仿宋" w:eastAsia="仿宋" w:cs="仿宋"/>
      <w:color w:val="000000"/>
      <w:sz w:val="16"/>
      <w:szCs w:val="16"/>
      <w:u w:val="none"/>
    </w:rPr>
  </w:style>
  <w:style w:type="paragraph" w:customStyle="1" w:styleId="43">
    <w:name w:val="zxh正文"/>
    <w:basedOn w:val="1"/>
    <w:qFormat/>
    <w:uiPriority w:val="0"/>
    <w:pPr>
      <w:ind w:firstLine="480" w:firstLineChars="200"/>
    </w:pPr>
    <w:rPr>
      <w:rFonts w:ascii="Times New Roman" w:hAnsi="Times New Roman"/>
      <w:kern w:val="0"/>
    </w:rPr>
  </w:style>
  <w:style w:type="paragraph" w:customStyle="1" w:styleId="44">
    <w:name w:val="脚注文本1"/>
    <w:basedOn w:val="1"/>
    <w:next w:val="13"/>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1"/>
    <w:link w:val="44"/>
    <w:qFormat/>
    <w:uiPriority w:val="99"/>
    <w:rPr>
      <w:rFonts w:asciiTheme="minorHAnsi" w:hAnsiTheme="minorHAnsi" w:eastAsiaTheme="minorEastAsia" w:cstheme="minorBidi"/>
      <w:sz w:val="22"/>
      <w:szCs w:val="22"/>
      <w:lang w:val="en-GB"/>
    </w:rPr>
  </w:style>
  <w:style w:type="character" w:customStyle="1" w:styleId="46">
    <w:name w:val="脚注文本 字符1"/>
    <w:basedOn w:val="21"/>
    <w:link w:val="13"/>
    <w:semiHidden/>
    <w:qFormat/>
    <w:uiPriority w:val="99"/>
    <w:rPr>
      <w:rFonts w:ascii="等线" w:hAnsi="等线" w:eastAsia="等线"/>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900000" spcFirstLastPara="1" vertOverflow="ellipsis" vert="horz" wrap="square" lIns="38100" tIns="19050" rIns="38100" bIns="19050" anchor="ctr" anchorCtr="1">
                <a:spAutoFit/>
              </a:bodyPr>
              <a:lstStyle/>
              <a:p>
                <a:pPr>
                  <a:defRPr lang="zh-CN" sz="7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Sheet1!$A$2:$A$21</c:f>
              <c:numCache>
                <c:formatCode>General</c:formatCode>
                <c:ptCount val="20"/>
                <c:pt idx="0">
                  <c:v>2025</c:v>
                </c:pt>
                <c:pt idx="1">
                  <c:v>2026</c:v>
                </c:pt>
                <c:pt idx="2">
                  <c:v>2027</c:v>
                </c:pt>
                <c:pt idx="3">
                  <c:v>2028</c:v>
                </c:pt>
                <c:pt idx="4">
                  <c:v>2029</c:v>
                </c:pt>
                <c:pt idx="5">
                  <c:v>2030</c:v>
                </c:pt>
                <c:pt idx="6">
                  <c:v>2031</c:v>
                </c:pt>
                <c:pt idx="7">
                  <c:v>2032</c:v>
                </c:pt>
                <c:pt idx="8">
                  <c:v>2033</c:v>
                </c:pt>
                <c:pt idx="9">
                  <c:v>2034</c:v>
                </c:pt>
                <c:pt idx="10">
                  <c:v>2035</c:v>
                </c:pt>
                <c:pt idx="11">
                  <c:v>2036</c:v>
                </c:pt>
                <c:pt idx="12">
                  <c:v>2037</c:v>
                </c:pt>
                <c:pt idx="13">
                  <c:v>2038</c:v>
                </c:pt>
                <c:pt idx="14">
                  <c:v>2039</c:v>
                </c:pt>
                <c:pt idx="15">
                  <c:v>2040</c:v>
                </c:pt>
                <c:pt idx="16">
                  <c:v>2041</c:v>
                </c:pt>
                <c:pt idx="17">
                  <c:v>2042</c:v>
                </c:pt>
                <c:pt idx="18">
                  <c:v>2043</c:v>
                </c:pt>
                <c:pt idx="19">
                  <c:v>2044</c:v>
                </c:pt>
              </c:numCache>
            </c:numRef>
          </c:cat>
          <c:val>
            <c:numRef>
              <c:f>Sheet1!$B$2:$B$21</c:f>
              <c:numCache>
                <c:formatCode>_(* #,##0.00_);_(* \(#,##0.00\);_(* "-"??_);_(@_)</c:formatCode>
                <c:ptCount val="20"/>
                <c:pt idx="0">
                  <c:v>0</c:v>
                </c:pt>
                <c:pt idx="1">
                  <c:v>0</c:v>
                </c:pt>
                <c:pt idx="2">
                  <c:v>0</c:v>
                </c:pt>
                <c:pt idx="3">
                  <c:v>0</c:v>
                </c:pt>
                <c:pt idx="4">
                  <c:v>0</c:v>
                </c:pt>
                <c:pt idx="5">
                  <c:v>0</c:v>
                </c:pt>
                <c:pt idx="6">
                  <c:v>1086.44</c:v>
                </c:pt>
                <c:pt idx="7">
                  <c:v>1826.38</c:v>
                </c:pt>
                <c:pt idx="8">
                  <c:v>2566.32</c:v>
                </c:pt>
                <c:pt idx="9">
                  <c:v>218.55901</c:v>
                </c:pt>
                <c:pt idx="10">
                  <c:v>376.39901</c:v>
                </c:pt>
                <c:pt idx="11">
                  <c:v>534.23901</c:v>
                </c:pt>
                <c:pt idx="12">
                  <c:v>692.07901</c:v>
                </c:pt>
                <c:pt idx="13">
                  <c:v>849.919010000001</c:v>
                </c:pt>
                <c:pt idx="14">
                  <c:v>1007.75901</c:v>
                </c:pt>
                <c:pt idx="15">
                  <c:v>1165.59901</c:v>
                </c:pt>
                <c:pt idx="16">
                  <c:v>1323.43901</c:v>
                </c:pt>
                <c:pt idx="17">
                  <c:v>1481.27901</c:v>
                </c:pt>
                <c:pt idx="18">
                  <c:v>1639.11901</c:v>
                </c:pt>
                <c:pt idx="19">
                  <c:v>1742.22901</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2097</Words>
  <Characters>11956</Characters>
  <Lines>99</Lines>
  <Paragraphs>28</Paragraphs>
  <TotalTime>39</TotalTime>
  <ScaleCrop>false</ScaleCrop>
  <LinksUpToDate>false</LinksUpToDate>
  <CharactersWithSpaces>14025</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2019-07-27T14:03:00Z</dcterms:created>
  <dc:creator>xtzj</dc:creator>
  <cp:lastModifiedBy>王芳</cp:lastModifiedBy>
  <dcterms:modified xsi:type="dcterms:W3CDTF">2025-06-23T11:09:16Z</dcterms:modified>
  <dc:title>2019年儋州市兰洋特色小镇项目专项债券（二期)</dc:title>
  <cp:revision>377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