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eastAsia="宋体" w:cs="宋体"/>
          <w:b/>
          <w:sz w:val="44"/>
          <w:szCs w:val="44"/>
        </w:rPr>
      </w:pPr>
    </w:p>
    <w:p>
      <w:pPr>
        <w:spacing w:line="720" w:lineRule="auto"/>
        <w:jc w:val="both"/>
        <w:rPr>
          <w:rFonts w:hint="eastAsia" w:ascii="宋体" w:hAnsi="宋体" w:eastAsia="宋体" w:cs="宋体"/>
          <w:b/>
          <w:sz w:val="44"/>
          <w:szCs w:val="44"/>
        </w:rPr>
      </w:pPr>
    </w:p>
    <w:p>
      <w:pPr>
        <w:pStyle w:val="3"/>
        <w:spacing w:line="600" w:lineRule="auto"/>
        <w:ind w:firstLine="883"/>
        <w:jc w:val="center"/>
        <w:rPr>
          <w:rFonts w:hint="eastAsia" w:ascii="宋体" w:hAnsi="宋体" w:eastAsia="宋体" w:cs="宋体"/>
          <w:sz w:val="44"/>
          <w:szCs w:val="44"/>
        </w:rPr>
      </w:pPr>
      <w:r>
        <w:rPr>
          <w:rFonts w:hint="eastAsia" w:ascii="宋体" w:hAnsi="宋体" w:eastAsia="宋体" w:cs="宋体"/>
          <w:sz w:val="44"/>
          <w:szCs w:val="44"/>
        </w:rPr>
        <w:t>2025年海南省政府专项债券（一期）债券资金调整收益与融资自求平衡方案-兰香园安置社区配套路网项目</w:t>
      </w:r>
    </w:p>
    <w:p>
      <w:pPr>
        <w:rPr>
          <w:rFonts w:hint="eastAsia" w:ascii="宋体" w:hAnsi="宋体" w:eastAsia="宋体" w:cs="宋体"/>
          <w:sz w:val="44"/>
          <w:szCs w:val="44"/>
        </w:rPr>
      </w:pPr>
    </w:p>
    <w:p>
      <w:pPr>
        <w:rPr>
          <w:rFonts w:hint="eastAsia" w:ascii="宋体" w:hAnsi="宋体" w:eastAsia="宋体" w:cs="宋体"/>
          <w:sz w:val="44"/>
          <w:szCs w:val="44"/>
        </w:rPr>
      </w:pPr>
    </w:p>
    <w:p>
      <w:pPr>
        <w:rPr>
          <w:rFonts w:hint="eastAsia" w:ascii="宋体" w:hAnsi="宋体" w:eastAsia="宋体" w:cs="宋体"/>
          <w:sz w:val="44"/>
          <w:szCs w:val="44"/>
        </w:rPr>
      </w:pPr>
    </w:p>
    <w:p>
      <w:pPr>
        <w:rPr>
          <w:rFonts w:hint="eastAsia" w:ascii="宋体" w:hAnsi="宋体" w:eastAsia="宋体" w:cs="宋体"/>
          <w:sz w:val="44"/>
          <w:szCs w:val="44"/>
        </w:rPr>
      </w:pPr>
    </w:p>
    <w:p>
      <w:pPr>
        <w:rPr>
          <w:rFonts w:hint="eastAsia" w:ascii="宋体" w:hAnsi="宋体" w:eastAsia="宋体" w:cs="宋体"/>
          <w:sz w:val="44"/>
          <w:szCs w:val="44"/>
        </w:rPr>
      </w:pPr>
    </w:p>
    <w:p>
      <w:pPr>
        <w:ind w:firstLine="1200" w:firstLineChars="400"/>
        <w:jc w:val="both"/>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财政部门：海口市财政局</w:t>
      </w:r>
    </w:p>
    <w:p>
      <w:pPr>
        <w:jc w:val="center"/>
        <w:rPr>
          <w:rFonts w:hint="eastAsia" w:ascii="宋体" w:hAnsi="宋体" w:eastAsia="宋体" w:cs="宋体"/>
          <w:sz w:val="30"/>
          <w:szCs w:val="30"/>
          <w:lang w:val="en-US" w:eastAsia="zh-CN"/>
        </w:rPr>
      </w:pPr>
    </w:p>
    <w:p>
      <w:pPr>
        <w:ind w:firstLine="1200" w:firstLineChars="400"/>
        <w:jc w:val="both"/>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主管部门：海口江东新区管理局</w:t>
      </w:r>
    </w:p>
    <w:p>
      <w:pPr>
        <w:jc w:val="center"/>
        <w:rPr>
          <w:rFonts w:hint="eastAsia" w:ascii="宋体" w:hAnsi="宋体" w:eastAsia="宋体" w:cs="宋体"/>
          <w:sz w:val="30"/>
          <w:szCs w:val="30"/>
          <w:lang w:val="en-US" w:eastAsia="zh-CN"/>
        </w:rPr>
      </w:pPr>
    </w:p>
    <w:p>
      <w:pPr>
        <w:ind w:firstLine="1200" w:firstLineChars="400"/>
        <w:jc w:val="both"/>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业主单位：海口市路桥建设投资有限公司</w:t>
      </w:r>
    </w:p>
    <w:p>
      <w:pPr>
        <w:ind w:firstLine="1200" w:firstLineChars="400"/>
        <w:jc w:val="both"/>
        <w:rPr>
          <w:rFonts w:hint="eastAsia" w:ascii="宋体" w:hAnsi="宋体" w:eastAsia="宋体" w:cs="宋体"/>
          <w:sz w:val="30"/>
          <w:szCs w:val="30"/>
          <w:lang w:val="en-US" w:eastAsia="zh-CN"/>
        </w:rPr>
      </w:pPr>
    </w:p>
    <w:p>
      <w:pPr>
        <w:ind w:firstLine="1200" w:firstLineChars="400"/>
        <w:jc w:val="both"/>
        <w:rPr>
          <w:rFonts w:hint="eastAsia" w:ascii="宋体" w:hAnsi="宋体" w:eastAsia="宋体" w:cs="宋体"/>
          <w:sz w:val="30"/>
          <w:szCs w:val="30"/>
          <w:lang w:val="en-US" w:eastAsia="zh-CN"/>
        </w:rPr>
      </w:pPr>
    </w:p>
    <w:p>
      <w:pPr>
        <w:ind w:firstLine="1200" w:firstLineChars="400"/>
        <w:jc w:val="center"/>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t>2025年6月</w:t>
      </w:r>
    </w:p>
    <w:p>
      <w:pPr>
        <w:rPr>
          <w:rFonts w:hint="eastAsia" w:ascii="宋体" w:hAnsi="宋体" w:eastAsia="宋体" w:cs="宋体"/>
          <w:sz w:val="44"/>
          <w:szCs w:val="44"/>
        </w:rPr>
      </w:pPr>
    </w:p>
    <w:p>
      <w:pPr>
        <w:spacing w:line="600" w:lineRule="auto"/>
        <w:jc w:val="center"/>
        <w:rPr>
          <w:rFonts w:hint="eastAsia" w:ascii="宋体" w:hAnsi="宋体" w:eastAsia="宋体" w:cs="宋体"/>
          <w:b/>
          <w:sz w:val="24"/>
          <w:szCs w:val="24"/>
        </w:rPr>
      </w:pPr>
    </w:p>
    <w:p>
      <w:pPr>
        <w:pStyle w:val="29"/>
        <w:spacing w:line="360" w:lineRule="auto"/>
        <w:ind w:firstLine="482"/>
        <w:rPr>
          <w:rFonts w:hint="eastAsia" w:ascii="宋体" w:hAnsi="宋体" w:eastAsia="宋体" w:cs="宋体"/>
          <w:b/>
          <w:sz w:val="24"/>
          <w:szCs w:val="24"/>
        </w:rPr>
        <w:sectPr>
          <w:pgSz w:w="11906" w:h="16838"/>
          <w:pgMar w:top="1440" w:right="1800" w:bottom="1440" w:left="1800" w:header="851" w:footer="992" w:gutter="0"/>
          <w:pgNumType w:start="0"/>
          <w:cols w:space="425" w:num="1"/>
          <w:docGrid w:type="lines" w:linePitch="312" w:charSpace="0"/>
        </w:sectPr>
      </w:pPr>
    </w:p>
    <w:sdt>
      <w:sdtPr>
        <w:rPr>
          <w:rFonts w:hint="eastAsia" w:ascii="宋体" w:hAnsi="宋体" w:eastAsia="宋体" w:cs="宋体"/>
          <w:sz w:val="24"/>
          <w:szCs w:val="24"/>
        </w:rPr>
        <w:id w:val="147482000"/>
        <w15:color w:val="DBDBDB"/>
        <w:docPartObj>
          <w:docPartGallery w:val="Table of Contents"/>
          <w:docPartUnique/>
        </w:docPartObj>
      </w:sdtPr>
      <w:sdtEndPr>
        <w:rPr>
          <w:rFonts w:hint="eastAsia" w:ascii="宋体" w:hAnsi="宋体" w:eastAsia="宋体" w:cs="宋体"/>
          <w:sz w:val="24"/>
          <w:szCs w:val="24"/>
        </w:rPr>
      </w:sdtEndPr>
      <w:sdtContent>
        <w:p>
          <w:pPr>
            <w:spacing w:line="480" w:lineRule="auto"/>
            <w:jc w:val="center"/>
            <w:rPr>
              <w:rFonts w:hint="eastAsia" w:ascii="宋体" w:hAnsi="宋体" w:eastAsia="宋体" w:cs="宋体"/>
              <w:sz w:val="24"/>
              <w:szCs w:val="24"/>
            </w:rPr>
          </w:pPr>
        </w:p>
        <w:p>
          <w:pPr>
            <w:spacing w:line="480" w:lineRule="auto"/>
            <w:rPr>
              <w:rFonts w:hint="eastAsia" w:ascii="宋体" w:hAnsi="宋体" w:eastAsia="宋体" w:cs="宋体"/>
              <w:sz w:val="24"/>
              <w:szCs w:val="24"/>
            </w:rPr>
          </w:pPr>
        </w:p>
      </w:sdtContent>
    </w:sdt>
    <w:p>
      <w:pPr>
        <w:spacing w:line="480" w:lineRule="auto"/>
        <w:rPr>
          <w:rFonts w:hint="eastAsia" w:ascii="宋体" w:hAnsi="宋体" w:eastAsia="宋体" w:cs="宋体"/>
          <w:sz w:val="24"/>
          <w:szCs w:val="24"/>
        </w:rPr>
      </w:pPr>
    </w:p>
    <w:p>
      <w:pPr>
        <w:pStyle w:val="29"/>
        <w:spacing w:line="360" w:lineRule="auto"/>
        <w:ind w:firstLine="482"/>
        <w:outlineLvl w:val="0"/>
        <w:rPr>
          <w:rFonts w:hint="eastAsia" w:ascii="宋体" w:hAnsi="宋体" w:eastAsia="宋体" w:cs="宋体"/>
          <w:b/>
          <w:sz w:val="24"/>
          <w:szCs w:val="24"/>
        </w:rPr>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pPr>
    </w:p>
    <w:p>
      <w:pPr>
        <w:pStyle w:val="29"/>
        <w:spacing w:line="360" w:lineRule="auto"/>
        <w:ind w:firstLine="482"/>
        <w:outlineLvl w:val="0"/>
        <w:rPr>
          <w:rFonts w:hint="eastAsia" w:ascii="宋体" w:hAnsi="宋体" w:eastAsia="宋体" w:cs="宋体"/>
          <w:b/>
          <w:sz w:val="24"/>
          <w:szCs w:val="24"/>
        </w:rPr>
      </w:pPr>
      <w:bookmarkStart w:id="0" w:name="_Toc3441"/>
      <w:bookmarkStart w:id="103" w:name="_GoBack"/>
      <w:bookmarkEnd w:id="103"/>
      <w:r>
        <w:rPr>
          <w:rFonts w:hint="eastAsia" w:ascii="宋体" w:hAnsi="宋体" w:eastAsia="宋体" w:cs="宋体"/>
          <w:b/>
          <w:sz w:val="24"/>
          <w:szCs w:val="24"/>
        </w:rPr>
        <w:t>一、债券调整情况</w:t>
      </w:r>
      <w:bookmarkEnd w:id="0"/>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2025年海南省政府专项债券（一期）中已发行“江东新区车联网先导项目（省博物馆至江东新区展示中心段）”的债券资金合计800.00万元调剂于兰香园安置社区配套路网项目。</w:t>
      </w:r>
    </w:p>
    <w:p>
      <w:pPr>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2025年2月，2025年海南省政府专项债券（一期）发行成功，其中江东新区车联网先导项目（省博物馆至江东新区展示中心段）发行金额为1,900.00万元，发行利率为1.76%，发行期限为10年</w:t>
      </w:r>
      <w:r>
        <w:rPr>
          <w:rFonts w:hint="eastAsia" w:ascii="宋体" w:hAnsi="宋体" w:eastAsia="宋体" w:cs="宋体"/>
          <w:color w:val="000000"/>
          <w:sz w:val="24"/>
          <w:szCs w:val="24"/>
        </w:rPr>
        <w:t>。</w:t>
      </w:r>
    </w:p>
    <w:p>
      <w:pPr>
        <w:spacing w:before="120" w:after="120" w:line="360" w:lineRule="auto"/>
        <w:ind w:firstLine="480" w:firstLineChars="200"/>
        <w:rPr>
          <w:rFonts w:hint="eastAsia" w:ascii="宋体" w:hAnsi="宋体" w:eastAsia="宋体" w:cs="宋体"/>
          <w:b/>
          <w:bCs/>
          <w:kern w:val="0"/>
          <w:sz w:val="24"/>
          <w:szCs w:val="24"/>
        </w:rPr>
      </w:pPr>
      <w:r>
        <w:rPr>
          <w:rFonts w:hint="eastAsia" w:ascii="宋体" w:hAnsi="宋体" w:eastAsia="宋体" w:cs="宋体"/>
          <w:color w:val="000000"/>
          <w:sz w:val="24"/>
          <w:szCs w:val="24"/>
        </w:rPr>
        <w:t>本期调整项目具体情况如下表：</w:t>
      </w:r>
    </w:p>
    <w:p>
      <w:pPr>
        <w:widowControl/>
        <w:spacing w:line="360" w:lineRule="auto"/>
        <w:ind w:firstLine="482" w:firstLineChars="20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表1 资金调整项目情况汇总表</w:t>
      </w:r>
    </w:p>
    <w:p>
      <w:pPr>
        <w:widowControl/>
        <w:jc w:val="right"/>
        <w:rPr>
          <w:rFonts w:hint="eastAsia" w:ascii="宋体" w:hAnsi="宋体" w:eastAsia="宋体" w:cs="宋体"/>
          <w:sz w:val="24"/>
          <w:szCs w:val="24"/>
        </w:rPr>
      </w:pPr>
      <w:r>
        <w:rPr>
          <w:rFonts w:hint="eastAsia" w:ascii="宋体" w:hAnsi="宋体" w:eastAsia="宋体" w:cs="宋体"/>
          <w:color w:val="000000"/>
          <w:kern w:val="0"/>
          <w:sz w:val="18"/>
          <w:szCs w:val="18"/>
        </w:rPr>
        <w:t>单位：人民币万元</w:t>
      </w:r>
    </w:p>
    <w:tbl>
      <w:tblPr>
        <w:tblStyle w:val="19"/>
        <w:tblW w:w="6563" w:type="pct"/>
        <w:jc w:val="center"/>
        <w:tblLayout w:type="fixed"/>
        <w:tblCellMar>
          <w:top w:w="0" w:type="dxa"/>
          <w:left w:w="0" w:type="dxa"/>
          <w:bottom w:w="0" w:type="dxa"/>
          <w:right w:w="0" w:type="dxa"/>
        </w:tblCellMar>
      </w:tblPr>
      <w:tblGrid>
        <w:gridCol w:w="1362"/>
        <w:gridCol w:w="2042"/>
        <w:gridCol w:w="1091"/>
        <w:gridCol w:w="1091"/>
        <w:gridCol w:w="1231"/>
        <w:gridCol w:w="816"/>
        <w:gridCol w:w="1911"/>
        <w:gridCol w:w="1363"/>
      </w:tblGrid>
      <w:tr>
        <w:tblPrEx>
          <w:tblCellMar>
            <w:top w:w="0" w:type="dxa"/>
            <w:left w:w="0" w:type="dxa"/>
            <w:bottom w:w="0" w:type="dxa"/>
            <w:right w:w="0" w:type="dxa"/>
          </w:tblCellMar>
        </w:tblPrEx>
        <w:trPr>
          <w:trHeight w:val="20" w:hRule="atLeast"/>
          <w:tblHeader/>
          <w:jc w:val="center"/>
        </w:trPr>
        <w:tc>
          <w:tcPr>
            <w:tcW w:w="624" w:type="pct"/>
            <w:tcBorders>
              <w:top w:val="single" w:color="auto" w:sz="4" w:space="0"/>
              <w:left w:val="single" w:color="auto" w:sz="4" w:space="0"/>
              <w:bottom w:val="single" w:color="auto" w:sz="4" w:space="0"/>
              <w:right w:val="single" w:color="auto" w:sz="4" w:space="0"/>
            </w:tcBorders>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债券名称</w:t>
            </w:r>
          </w:p>
        </w:tc>
        <w:tc>
          <w:tcPr>
            <w:tcW w:w="936" w:type="pct"/>
            <w:tcBorders>
              <w:top w:val="single" w:color="auto" w:sz="4" w:space="0"/>
              <w:left w:val="nil"/>
              <w:bottom w:val="single" w:color="auto" w:sz="4" w:space="0"/>
              <w:right w:val="single" w:color="auto" w:sz="4" w:space="0"/>
            </w:tcBorders>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项目名称</w:t>
            </w:r>
          </w:p>
        </w:tc>
        <w:tc>
          <w:tcPr>
            <w:tcW w:w="500" w:type="pct"/>
            <w:tcBorders>
              <w:top w:val="single" w:color="auto" w:sz="4" w:space="0"/>
              <w:left w:val="nil"/>
              <w:bottom w:val="single" w:color="auto" w:sz="4" w:space="0"/>
              <w:right w:val="single" w:color="auto" w:sz="4" w:space="0"/>
            </w:tcBorders>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原安排金额</w:t>
            </w:r>
          </w:p>
        </w:tc>
        <w:tc>
          <w:tcPr>
            <w:tcW w:w="500" w:type="pct"/>
            <w:tcBorders>
              <w:top w:val="single" w:color="auto" w:sz="4" w:space="0"/>
              <w:left w:val="nil"/>
              <w:bottom w:val="single" w:color="auto" w:sz="4" w:space="0"/>
              <w:right w:val="single" w:color="auto" w:sz="4" w:space="0"/>
            </w:tcBorders>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调减金额</w:t>
            </w:r>
          </w:p>
        </w:tc>
        <w:tc>
          <w:tcPr>
            <w:tcW w:w="564" w:type="pct"/>
            <w:tcBorders>
              <w:top w:val="single" w:color="auto" w:sz="4" w:space="0"/>
              <w:left w:val="nil"/>
              <w:bottom w:val="single" w:color="auto" w:sz="4" w:space="0"/>
              <w:right w:val="single" w:color="auto" w:sz="4" w:space="0"/>
            </w:tcBorders>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债券期限</w:t>
            </w:r>
          </w:p>
        </w:tc>
        <w:tc>
          <w:tcPr>
            <w:tcW w:w="374" w:type="pct"/>
            <w:tcBorders>
              <w:top w:val="single" w:color="auto" w:sz="4" w:space="0"/>
              <w:left w:val="nil"/>
              <w:bottom w:val="single" w:color="auto" w:sz="4" w:space="0"/>
              <w:right w:val="single" w:color="auto" w:sz="4" w:space="0"/>
            </w:tcBorders>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发行利率</w:t>
            </w:r>
          </w:p>
        </w:tc>
        <w:tc>
          <w:tcPr>
            <w:tcW w:w="876" w:type="pct"/>
            <w:tcBorders>
              <w:top w:val="single" w:color="auto" w:sz="4" w:space="0"/>
              <w:left w:val="nil"/>
              <w:bottom w:val="single" w:color="auto" w:sz="4" w:space="0"/>
              <w:right w:val="single" w:color="auto" w:sz="4" w:space="0"/>
            </w:tcBorders>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项目名称</w:t>
            </w:r>
          </w:p>
        </w:tc>
        <w:tc>
          <w:tcPr>
            <w:tcW w:w="625" w:type="pct"/>
            <w:tcBorders>
              <w:top w:val="single" w:color="auto" w:sz="4" w:space="0"/>
              <w:left w:val="nil"/>
              <w:bottom w:val="single" w:color="auto" w:sz="4" w:space="0"/>
              <w:right w:val="single" w:color="auto" w:sz="4" w:space="0"/>
            </w:tcBorders>
            <w:shd w:val="clear" w:color="000000" w:fill="D9D9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调增金额</w:t>
            </w:r>
          </w:p>
        </w:tc>
      </w:tr>
      <w:tr>
        <w:tblPrEx>
          <w:tblCellMar>
            <w:top w:w="0" w:type="dxa"/>
            <w:left w:w="0" w:type="dxa"/>
            <w:bottom w:w="0" w:type="dxa"/>
            <w:right w:w="0" w:type="dxa"/>
          </w:tblCellMar>
        </w:tblPrEx>
        <w:trPr>
          <w:trHeight w:val="20" w:hRule="atLeast"/>
          <w:jc w:val="center"/>
        </w:trPr>
        <w:tc>
          <w:tcPr>
            <w:tcW w:w="624" w:type="pct"/>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2025年海南省政府专项债券（一期）</w:t>
            </w:r>
          </w:p>
        </w:tc>
        <w:tc>
          <w:tcPr>
            <w:tcW w:w="936"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江东新区车联网先导项目（省博物馆至江东新区展示中心段）</w:t>
            </w:r>
          </w:p>
        </w:tc>
        <w:tc>
          <w:tcPr>
            <w:tcW w:w="500"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1,900.00</w:t>
            </w:r>
          </w:p>
        </w:tc>
        <w:tc>
          <w:tcPr>
            <w:tcW w:w="500"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800.00</w:t>
            </w:r>
          </w:p>
        </w:tc>
        <w:tc>
          <w:tcPr>
            <w:tcW w:w="564"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10年</w:t>
            </w:r>
          </w:p>
        </w:tc>
        <w:tc>
          <w:tcPr>
            <w:tcW w:w="374"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1.76%</w:t>
            </w:r>
          </w:p>
        </w:tc>
        <w:tc>
          <w:tcPr>
            <w:tcW w:w="876"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兰香园安置社区配套路网项目</w:t>
            </w:r>
          </w:p>
        </w:tc>
        <w:tc>
          <w:tcPr>
            <w:tcW w:w="625"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color w:val="000000"/>
                <w:szCs w:val="20"/>
              </w:rPr>
            </w:pPr>
            <w:r>
              <w:rPr>
                <w:rFonts w:hint="eastAsia" w:ascii="宋体" w:hAnsi="宋体" w:eastAsia="宋体" w:cs="宋体"/>
                <w:color w:val="000000"/>
                <w:szCs w:val="20"/>
              </w:rPr>
              <w:t>800.00</w:t>
            </w:r>
          </w:p>
        </w:tc>
      </w:tr>
    </w:tbl>
    <w:p>
      <w:pPr>
        <w:widowControl/>
        <w:spacing w:line="360" w:lineRule="auto"/>
        <w:ind w:firstLine="482" w:firstLineChars="200"/>
        <w:jc w:val="center"/>
        <w:rPr>
          <w:rFonts w:hint="eastAsia" w:ascii="宋体" w:hAnsi="宋体" w:eastAsia="宋体" w:cs="宋体"/>
          <w:b/>
          <w:bCs/>
          <w:kern w:val="0"/>
          <w:sz w:val="24"/>
          <w:szCs w:val="24"/>
        </w:rPr>
      </w:pPr>
    </w:p>
    <w:p>
      <w:pPr>
        <w:widowControl/>
        <w:spacing w:line="360" w:lineRule="auto"/>
        <w:ind w:firstLine="482" w:firstLineChars="200"/>
        <w:jc w:val="center"/>
        <w:rPr>
          <w:rFonts w:hint="eastAsia" w:ascii="宋体" w:hAnsi="宋体" w:eastAsia="宋体" w:cs="宋体"/>
          <w:b/>
          <w:bCs/>
          <w:kern w:val="0"/>
          <w:sz w:val="24"/>
          <w:szCs w:val="24"/>
        </w:rPr>
        <w:sectPr>
          <w:footerReference r:id="rId6" w:type="default"/>
          <w:pgSz w:w="11906" w:h="16838"/>
          <w:pgMar w:top="1276" w:right="1803" w:bottom="1276" w:left="1803" w:header="709" w:footer="850" w:gutter="0"/>
          <w:pgNumType w:start="1"/>
          <w:cols w:space="0" w:num="1"/>
          <w:docGrid w:linePitch="319" w:charSpace="0"/>
        </w:sectPr>
      </w:pPr>
    </w:p>
    <w:p>
      <w:pPr>
        <w:pStyle w:val="29"/>
        <w:spacing w:line="360" w:lineRule="auto"/>
        <w:ind w:firstLine="482"/>
        <w:outlineLvl w:val="0"/>
        <w:rPr>
          <w:rFonts w:hint="eastAsia" w:ascii="宋体" w:hAnsi="宋体" w:eastAsia="宋体" w:cs="宋体"/>
          <w:b/>
          <w:sz w:val="24"/>
          <w:szCs w:val="24"/>
        </w:rPr>
      </w:pPr>
      <w:bookmarkStart w:id="1" w:name="_Toc29884"/>
      <w:r>
        <w:rPr>
          <w:rFonts w:hint="eastAsia" w:ascii="宋体" w:hAnsi="宋体" w:eastAsia="宋体" w:cs="宋体"/>
          <w:b/>
          <w:sz w:val="24"/>
          <w:szCs w:val="24"/>
        </w:rPr>
        <w:t>二、地区情况</w:t>
      </w:r>
      <w:bookmarkEnd w:id="1"/>
    </w:p>
    <w:p>
      <w:pPr>
        <w:widowControl/>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pPr>
        <w:pStyle w:val="29"/>
        <w:tabs>
          <w:tab w:val="left" w:pos="993"/>
          <w:tab w:val="left" w:pos="1276"/>
        </w:tabs>
        <w:spacing w:after="159" w:afterLines="50" w:line="360" w:lineRule="auto"/>
        <w:ind w:left="482" w:firstLine="0" w:firstLineChars="0"/>
        <w:jc w:val="center"/>
        <w:rPr>
          <w:rFonts w:hint="eastAsia" w:ascii="宋体" w:hAnsi="宋体" w:eastAsia="宋体" w:cs="宋体"/>
          <w:b/>
          <w:sz w:val="24"/>
          <w:szCs w:val="24"/>
        </w:rPr>
      </w:pPr>
      <w:r>
        <w:rPr>
          <w:rFonts w:hint="eastAsia" w:ascii="宋体" w:hAnsi="宋体" w:eastAsia="宋体" w:cs="宋体"/>
          <w:b/>
          <w:sz w:val="24"/>
          <w:szCs w:val="24"/>
        </w:rPr>
        <w:t>表2 2022—2024年海口市财政情况</w:t>
      </w:r>
    </w:p>
    <w:p>
      <w:pPr>
        <w:jc w:val="right"/>
        <w:rPr>
          <w:rFonts w:hint="eastAsia" w:ascii="宋体" w:hAnsi="宋体" w:eastAsia="宋体" w:cs="宋体"/>
          <w:sz w:val="20"/>
          <w:szCs w:val="20"/>
        </w:rPr>
      </w:pPr>
      <w:r>
        <w:rPr>
          <w:rFonts w:hint="eastAsia" w:ascii="宋体" w:hAnsi="宋体" w:eastAsia="宋体" w:cs="宋体"/>
          <w:color w:val="000000"/>
          <w:kern w:val="0"/>
          <w:sz w:val="20"/>
          <w:szCs w:val="20"/>
          <w:lang w:bidi="ar"/>
        </w:rPr>
        <w:t>单位：亿元</w:t>
      </w:r>
    </w:p>
    <w:tbl>
      <w:tblPr>
        <w:tblStyle w:val="19"/>
        <w:tblW w:w="8277" w:type="dxa"/>
        <w:jc w:val="center"/>
        <w:tblBorders>
          <w:top w:val="single" w:color="auto" w:sz="12" w:space="0"/>
          <w:left w:val="none" w:color="auto" w:sz="0" w:space="0"/>
          <w:bottom w:val="single" w:color="auto" w:sz="12"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3248"/>
        <w:gridCol w:w="1653"/>
        <w:gridCol w:w="1688"/>
        <w:gridCol w:w="1688"/>
      </w:tblGrid>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53" w:hRule="atLeast"/>
          <w:jc w:val="center"/>
        </w:trPr>
        <w:tc>
          <w:tcPr>
            <w:tcW w:w="324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lang w:bidi="ar"/>
              </w:rPr>
              <w:t>项目</w:t>
            </w:r>
          </w:p>
        </w:tc>
        <w:tc>
          <w:tcPr>
            <w:tcW w:w="1653"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2022年</w:t>
            </w:r>
          </w:p>
        </w:tc>
        <w:tc>
          <w:tcPr>
            <w:tcW w:w="168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2023年</w:t>
            </w:r>
          </w:p>
        </w:tc>
        <w:tc>
          <w:tcPr>
            <w:tcW w:w="1688" w:type="dxa"/>
            <w:tcBorders>
              <w:top w:val="single" w:color="auto" w:sz="12" w:space="0"/>
              <w:bottom w:val="single" w:color="auto" w:sz="4" w:space="0"/>
            </w:tcBorders>
            <w:shd w:val="clear" w:color="auto" w:fill="D7D7D7" w:themeFill="background1" w:themeFillShade="D8"/>
            <w:vAlign w:val="center"/>
          </w:tcPr>
          <w:p>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2024年</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07" w:hRule="atLeast"/>
          <w:jc w:val="center"/>
        </w:trPr>
        <w:tc>
          <w:tcPr>
            <w:tcW w:w="3248" w:type="dxa"/>
            <w:tcBorders>
              <w:top w:val="single" w:color="auto" w:sz="4" w:space="0"/>
            </w:tcBorders>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地区生产总值</w:t>
            </w:r>
          </w:p>
        </w:tc>
        <w:tc>
          <w:tcPr>
            <w:tcW w:w="1653" w:type="dxa"/>
            <w:tcBorders>
              <w:top w:val="single" w:color="auto" w:sz="4" w:space="0"/>
            </w:tcBorders>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2,134.80</w:t>
            </w:r>
          </w:p>
        </w:tc>
        <w:tc>
          <w:tcPr>
            <w:tcW w:w="1688" w:type="dxa"/>
            <w:tcBorders>
              <w:top w:val="single" w:color="auto" w:sz="4" w:space="0"/>
            </w:tcBorders>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2,358.44</w:t>
            </w:r>
          </w:p>
        </w:tc>
        <w:tc>
          <w:tcPr>
            <w:tcW w:w="1688" w:type="dxa"/>
            <w:tcBorders>
              <w:top w:val="single" w:color="auto" w:sz="4" w:space="0"/>
            </w:tcBorders>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2470.63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一般预算收入(一般公共预算收入)</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204.82</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266.87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258.26</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一般预算收入(一般公共预算总收入)</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518.12</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578.08</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597.76</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政府性基金收入</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192.34</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140.39</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120.43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其中：国有土地出让收入</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176.60</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124.67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108.59</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政府性基金支出</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310.21</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264.76</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294.07</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其中：国有土地出让支出</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147.61</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109.46</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72.02</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地方债务限额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892.40</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1161.30</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其中：一般债务限额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230.47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235.24</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专项债务限额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661.93</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926.07</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地方债务余额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889.45</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1141.70</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其中：一般债务余额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228.11</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227.33</w:t>
            </w:r>
          </w:p>
        </w:tc>
      </w:tr>
      <w:tr>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76" w:hRule="atLeast"/>
          <w:jc w:val="center"/>
        </w:trPr>
        <w:tc>
          <w:tcPr>
            <w:tcW w:w="3248" w:type="dxa"/>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专项债务余额</w:t>
            </w:r>
          </w:p>
        </w:tc>
        <w:tc>
          <w:tcPr>
            <w:tcW w:w="1653"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661.34</w:t>
            </w:r>
          </w:p>
        </w:tc>
        <w:tc>
          <w:tcPr>
            <w:tcW w:w="1688" w:type="dxa"/>
            <w:vAlign w:val="center"/>
          </w:tcPr>
          <w:p>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914.37</w:t>
            </w:r>
          </w:p>
        </w:tc>
      </w:tr>
    </w:tbl>
    <w:p>
      <w:pPr>
        <w:spacing w:line="360" w:lineRule="auto"/>
        <w:ind w:firstLine="480" w:firstLineChars="200"/>
        <w:rPr>
          <w:rFonts w:hint="eastAsia" w:ascii="宋体" w:hAnsi="宋体" w:eastAsia="宋体" w:cs="宋体"/>
          <w:b/>
          <w:sz w:val="24"/>
          <w:szCs w:val="24"/>
        </w:rPr>
      </w:pPr>
      <w:r>
        <w:rPr>
          <w:rFonts w:hint="eastAsia" w:ascii="宋体" w:hAnsi="宋体" w:eastAsia="宋体" w:cs="宋体"/>
          <w:color w:val="000000"/>
          <w:kern w:val="0"/>
          <w:sz w:val="24"/>
          <w:szCs w:val="24"/>
        </w:rPr>
        <w:t>注：以上数据来源于海口市财政局。</w:t>
      </w:r>
    </w:p>
    <w:p>
      <w:pPr>
        <w:pStyle w:val="29"/>
        <w:spacing w:line="360" w:lineRule="auto"/>
        <w:ind w:firstLine="482"/>
        <w:rPr>
          <w:rFonts w:hint="eastAsia" w:ascii="宋体" w:hAnsi="宋体" w:eastAsia="宋体" w:cs="宋体"/>
          <w:b/>
          <w:sz w:val="24"/>
          <w:szCs w:val="24"/>
        </w:rPr>
      </w:pPr>
    </w:p>
    <w:p>
      <w:pPr>
        <w:pStyle w:val="29"/>
        <w:spacing w:line="360" w:lineRule="auto"/>
        <w:ind w:firstLine="482"/>
        <w:rPr>
          <w:rFonts w:hint="eastAsia" w:ascii="宋体" w:hAnsi="宋体" w:eastAsia="宋体" w:cs="宋体"/>
          <w:b/>
          <w:sz w:val="24"/>
          <w:szCs w:val="24"/>
        </w:rPr>
      </w:pPr>
    </w:p>
    <w:p>
      <w:pPr>
        <w:pStyle w:val="29"/>
        <w:spacing w:line="360" w:lineRule="auto"/>
        <w:ind w:firstLine="482"/>
        <w:rPr>
          <w:rFonts w:hint="eastAsia" w:ascii="宋体" w:hAnsi="宋体" w:eastAsia="宋体" w:cs="宋体"/>
          <w:b/>
          <w:sz w:val="24"/>
          <w:szCs w:val="24"/>
        </w:rPr>
      </w:pPr>
    </w:p>
    <w:p>
      <w:pPr>
        <w:pStyle w:val="29"/>
        <w:spacing w:line="360" w:lineRule="auto"/>
        <w:ind w:firstLine="482"/>
        <w:rPr>
          <w:rFonts w:hint="eastAsia" w:ascii="宋体" w:hAnsi="宋体" w:eastAsia="宋体" w:cs="宋体"/>
          <w:b/>
          <w:sz w:val="24"/>
          <w:szCs w:val="24"/>
        </w:rPr>
      </w:pPr>
    </w:p>
    <w:p>
      <w:pPr>
        <w:pStyle w:val="29"/>
        <w:spacing w:line="360" w:lineRule="auto"/>
        <w:ind w:firstLine="482"/>
        <w:outlineLvl w:val="0"/>
        <w:rPr>
          <w:rFonts w:hint="eastAsia" w:ascii="宋体" w:hAnsi="宋体" w:eastAsia="宋体" w:cs="宋体"/>
          <w:b/>
          <w:sz w:val="24"/>
          <w:szCs w:val="24"/>
        </w:rPr>
      </w:pPr>
      <w:bookmarkStart w:id="2" w:name="_Toc3217"/>
      <w:r>
        <w:rPr>
          <w:rFonts w:hint="eastAsia" w:ascii="宋体" w:hAnsi="宋体" w:eastAsia="宋体" w:cs="宋体"/>
          <w:b/>
          <w:sz w:val="24"/>
          <w:szCs w:val="24"/>
        </w:rPr>
        <w:t>三、项目概述</w:t>
      </w:r>
      <w:bookmarkEnd w:id="2"/>
    </w:p>
    <w:p>
      <w:pPr>
        <w:pStyle w:val="29"/>
        <w:spacing w:line="360" w:lineRule="auto"/>
        <w:ind w:firstLine="482"/>
        <w:outlineLvl w:val="0"/>
        <w:rPr>
          <w:rFonts w:hint="eastAsia" w:ascii="宋体" w:hAnsi="宋体" w:eastAsia="宋体" w:cs="宋体"/>
          <w:b/>
          <w:sz w:val="24"/>
          <w:szCs w:val="24"/>
        </w:rPr>
      </w:pPr>
      <w:bookmarkStart w:id="3" w:name="_Toc31333"/>
      <w:r>
        <w:rPr>
          <w:rFonts w:hint="eastAsia" w:ascii="宋体" w:hAnsi="宋体" w:eastAsia="宋体" w:cs="宋体"/>
          <w:b/>
          <w:sz w:val="24"/>
          <w:szCs w:val="24"/>
        </w:rPr>
        <w:t>（一）项目基本情况</w:t>
      </w:r>
      <w:bookmarkEnd w:id="3"/>
    </w:p>
    <w:p>
      <w:pPr>
        <w:spacing w:before="120" w:after="120" w:line="360" w:lineRule="auto"/>
        <w:ind w:firstLine="480" w:firstLineChars="200"/>
        <w:rPr>
          <w:rFonts w:hint="eastAsia" w:ascii="宋体" w:hAnsi="宋体" w:eastAsia="宋体" w:cs="宋体"/>
          <w:sz w:val="24"/>
        </w:rPr>
      </w:pPr>
      <w:bookmarkStart w:id="4" w:name="_Toc30116"/>
      <w:r>
        <w:rPr>
          <w:rFonts w:hint="eastAsia" w:ascii="宋体" w:hAnsi="宋体" w:eastAsia="宋体" w:cs="宋体"/>
          <w:sz w:val="24"/>
        </w:rPr>
        <w:t>兰香园安置社区配套路网项目的建设符合国家政策支持方向，并有利于海口市基础设施建设的发展，项目基本情况如下：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项目名称：兰香园安置社区配套路网项目</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项目行业主管部门：海口江东新区管理局</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项目业主：海口市路桥建设投资有限公司</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项目建设期：2021年12月-2025年12月</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内容：项目位于海南省海口市江东新区，包含桥苑路、仙月路、金岳路、秀苑北路、南岳西路5条道路，全长约3.859km，道路红线宽度12～25m，道路等级为城市次干路、支路，次干路设计速度30km/h，支路设计速度20km/h。工程建设内容包含道路工程、桥涵工程、交通工程、给排水工程、综合管廊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项目总体施工进度：兰香园安置社区配套路网项目总体形象进度完成约30%。</w:t>
      </w:r>
    </w:p>
    <w:p>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（二）项目相关批复</w:t>
      </w:r>
      <w:bookmarkEnd w:id="4"/>
    </w:p>
    <w:p>
      <w:pPr>
        <w:spacing w:before="120" w:after="120" w:line="360" w:lineRule="auto"/>
        <w:ind w:firstLine="480" w:firstLineChars="200"/>
        <w:rPr>
          <w:rFonts w:hint="eastAsia" w:ascii="宋体" w:hAnsi="宋体" w:eastAsia="宋体" w:cs="宋体"/>
          <w:sz w:val="24"/>
        </w:rPr>
      </w:pPr>
      <w:bookmarkStart w:id="5" w:name="_Toc29477"/>
      <w:bookmarkStart w:id="6" w:name="_Toc18339"/>
      <w:r>
        <w:rPr>
          <w:rFonts w:hint="eastAsia" w:ascii="宋体" w:hAnsi="宋体" w:eastAsia="宋体" w:cs="宋体"/>
          <w:sz w:val="24"/>
        </w:rPr>
        <w:t>（1）2021年3月26日，取得《海口江东新区管理局关于同意兰香园安置社区配套路网项目可行性研究报告的批复》（海江东局函〔2021〕743号），该批复明确：“为改善区域生活环境、完善海口市城市基础设施建设，同意建设兰香园安置社区配套路网项目”。</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2）2021年4月27日，取得《建设用地规划许可证》，发证机关为海口江东新区管理局，证号为地字第JD46010020210022号，用地单位为海口江东新区基础建设有限公司，项目名称为兰香园安置社区配套路网项目，用地位置为海口市江东新区，用地面积为9.52607公顷，土地用途为城市道路用地。</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3）2021年10月15日，取得《海口江东新区管理局关于同意兰香园安置社区配套路网项目初步设计及概算的复函》（海江东局函〔2021〕2052号），该函明确“原则同意兰香园安置社区配套路网项目初步设计方案，同意按此方案进行施工图设计。”并明确了项目建设规模及内容，批复项目概算总投资为27820.66万元，其中工程费19903.84万元，工程建设其它费用6453.48万元（含征地拆迁费3703.33万元，该项费用以市政府批复为准），建设单位管理费314.89万元，预备费1148.44万元。</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4）2021年10月15日，取得《建设工程规划许可证》，发证机关为海口江东新区管理局，证号为建字第465102202110104号，建设单位为海口江东新区基础建设有限公司，项目名称兰香园安置社区配套路网项目，建设位置为海口市江东新区，同时明确了建设规模。</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5）2022年6月20日，取得《海口江东新区管理局关于重新审批兰香园安置社区配套路网项目初步设计及概算的复函》（海江东审〔2022〕130号），该函重新明确了项目建设内容，重新调整了批复项目概算总投资为40591.51万元，其中工程费19903.84万元，工程建设其它费用19224.33万元（含征地拆迁费16474.18万元，该项费用以市政府批复为准，资金用途以财政局意见为准），建设单位管理费314.89万元，预备费1148.44万元。该函同时废止原海江东局函〔2021〕2052号。</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6）2022年8月4日，取得《海口江东新区管理局关于重新审批兰香园安置社区配套路网项目初步设计及概算的复函》（海江东审〔2022〕178号），该函重新明确了项目建设内容，重新批复项目概算总投资为33725.21万元，其中工程费19903.84万元，工程建设其它费用12410.80万元（含征地拆迁费9660.65万元，该项费用以市政府批复为准，资金用途以财政局意见为准），建设单位管理费277.87万元，预备费1132.70万元。该函同时废止原海江东局函〔2022〕130号文。</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6）2023年3月24日，取得《建筑工程施工许可证》，发证机关为海口江东新区管理局，证号为465102202303240102，建设单位为海口江东新区基础建设有限公司，工程名称为兰香园安置社区配套路网项目，建设地址为海口江东新区海文南路西侧。</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7）2023年9月11日，取得《海口江东新区管理局关于将兰香园安置社区配套路网项目征拆费用纳入概算总投资的复函》（海江东局函〔2023〕1467号），该函原则同意将兰香园安置社区配套路网项目征拆费用7279.91万元纳入项目概算总投资。调整后项目概算总投资为41005.12万元，其中工程费用19903.84万元，工程建设其他费用19690.71万元（其中土地房屋征收补偿费16940.56万元，该费用以市政府批复为准，资金使用以市财政局意见为准），预备费1132.7万元，建设单位管理费277.87万元。</w:t>
      </w:r>
    </w:p>
    <w:bookmarkEnd w:id="5"/>
    <w:p>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（三）事前绩效评估</w:t>
      </w:r>
      <w:bookmarkEnd w:id="6"/>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1.项目的必要性与收益性</w:t>
      </w:r>
    </w:p>
    <w:p>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（1）必要性</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7" w:name="bookmark25"/>
      <w:bookmarkEnd w:id="7"/>
      <w:bookmarkStart w:id="8" w:name="bookmark23"/>
      <w:bookmarkEnd w:id="8"/>
      <w:bookmarkStart w:id="9" w:name="bookmark24"/>
      <w:bookmarkEnd w:id="9"/>
      <w:bookmarkStart w:id="10" w:name="bookmark26"/>
      <w:bookmarkEnd w:id="10"/>
      <w:r>
        <w:rPr>
          <w:rFonts w:hint="eastAsia" w:ascii="宋体" w:hAnsi="宋体" w:eastAsia="宋体" w:cs="宋体"/>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本项目建设有利于保障海口市江东新区的顺利建设，进而以点带面地带动整个区域的经济和旅游发展，有利于进一步推动海南国际旅游岛的建设进程。</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pPr>
        <w:adjustRightInd w:val="0"/>
        <w:snapToGrid w:val="0"/>
        <w:spacing w:line="360" w:lineRule="auto"/>
        <w:ind w:firstLine="482" w:firstLineChars="200"/>
        <w:rPr>
          <w:rFonts w:hint="eastAsia" w:ascii="宋体" w:hAnsi="宋体" w:eastAsia="宋体" w:cs="宋体"/>
          <w:kern w:val="0"/>
          <w:sz w:val="24"/>
        </w:rPr>
      </w:pPr>
      <w:r>
        <w:rPr>
          <w:rFonts w:hint="eastAsia" w:ascii="宋体" w:hAnsi="宋体" w:eastAsia="宋体" w:cs="宋体"/>
          <w:b/>
          <w:bCs/>
          <w:sz w:val="24"/>
          <w:szCs w:val="24"/>
        </w:rPr>
        <w:t>（2）收益性：</w:t>
      </w:r>
      <w:r>
        <w:rPr>
          <w:rFonts w:hint="eastAsia" w:ascii="宋体" w:hAnsi="宋体" w:eastAsia="宋体" w:cs="宋体"/>
          <w:sz w:val="24"/>
          <w:szCs w:val="24"/>
        </w:rPr>
        <w:t>项目收入来源于</w:t>
      </w:r>
      <w:r>
        <w:rPr>
          <w:rFonts w:hint="eastAsia" w:ascii="宋体" w:hAnsi="宋体" w:eastAsia="宋体" w:cs="宋体"/>
          <w:color w:val="000000"/>
          <w:kern w:val="0"/>
          <w:sz w:val="24"/>
          <w:szCs w:val="24"/>
        </w:rPr>
        <w:t>土地出让收入、广告牌出租收入</w:t>
      </w:r>
      <w:r>
        <w:rPr>
          <w:rFonts w:hint="eastAsia" w:ascii="宋体" w:hAnsi="宋体" w:eastAsia="宋体" w:cs="宋体"/>
          <w:kern w:val="0"/>
          <w:sz w:val="24"/>
        </w:rPr>
        <w:t>等。</w:t>
      </w:r>
    </w:p>
    <w:p>
      <w:pPr>
        <w:adjustRightInd w:val="0"/>
        <w:snapToGrid w:val="0"/>
        <w:spacing w:line="360" w:lineRule="auto"/>
        <w:ind w:firstLine="482" w:firstLineChars="200"/>
        <w:rPr>
          <w:rFonts w:hint="eastAsia" w:ascii="宋体" w:hAnsi="宋体" w:eastAsia="宋体" w:cs="宋体"/>
          <w:kern w:val="0"/>
          <w:sz w:val="24"/>
        </w:rPr>
      </w:pPr>
      <w:r>
        <w:rPr>
          <w:rFonts w:hint="eastAsia" w:ascii="宋体" w:hAnsi="宋体" w:eastAsia="宋体" w:cs="宋体"/>
          <w:b/>
          <w:bCs/>
          <w:kern w:val="0"/>
          <w:sz w:val="24"/>
        </w:rPr>
        <w:t>（3）公益性：</w:t>
      </w:r>
      <w:r>
        <w:rPr>
          <w:rFonts w:hint="eastAsia" w:ascii="宋体" w:hAnsi="宋体" w:eastAsia="宋体" w:cs="宋体"/>
          <w:kern w:val="0"/>
          <w:sz w:val="24"/>
        </w:rPr>
        <w:t>本项目的建设可以提高广大人民群众的生活水平、优化生活环境，提高海口市经济水平的发展，加快海口市的建设，是提升海口市构建和谐社会的重要内容，是一项为民、惠民、利民的工程。</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2.项目建设投资合规性与项目成熟度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本项目的建设投资符合国家、海南省有关法律法规、政策文件及规范性文件要求。</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3.项目资金来源和到位可行性</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各项目主要通过发行地方政府专项债券融资以及财政资金投入，若条件允许，在满足合法合规、资金平衡要求的前提下，也可考虑发行债券方式筹集。</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总体来看，综合海口市财政状况，财政资金到位可行性较高，专项债券部分以最终实际发行计划为准。</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4.项目收入、成本、收益预测的合理性</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本项目收入来源为</w:t>
      </w:r>
      <w:r>
        <w:rPr>
          <w:rFonts w:hint="eastAsia" w:ascii="宋体" w:hAnsi="宋体" w:eastAsia="宋体" w:cs="宋体"/>
          <w:color w:val="000000"/>
          <w:kern w:val="0"/>
          <w:sz w:val="24"/>
          <w:szCs w:val="24"/>
        </w:rPr>
        <w:t>土地出让收入、广告牌出租收入</w:t>
      </w:r>
      <w:r>
        <w:rPr>
          <w:rFonts w:hint="eastAsia" w:ascii="宋体" w:hAnsi="宋体" w:eastAsia="宋体" w:cs="宋体"/>
          <w:kern w:val="0"/>
          <w:sz w:val="24"/>
          <w:szCs w:val="24"/>
        </w:rPr>
        <w:t>。债券存续期内，本项目本息覆盖倍数可达1.20以上。综上，在满足假设条件的前提下，能够满足资金筹措充足性的要求。项目收入、成本、收益情况均根据充分依据测算得出，较为合理。</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5.债券资金需求的合理性</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本项目通过发行专项债券募集资金可以降低融资成本，是现阶段解决项目建设资金问题的较优方案。</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6.项目偿债计划可行性和偿债风险点</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通过本项目融资平衡测算，一方面通过发行专项债券筹集资金能满足项目建设资金需求；另一方面项目收益也能保障债券还本付息，总体实现项目收益和融资的自求平衡。</w:t>
      </w:r>
    </w:p>
    <w:p>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7.绩效目标合理性</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综上，本项目经事前绩效评估，已具备申请专项债券资金支持的必要性和可行性。</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bookmarkStart w:id="11" w:name="_Toc4256"/>
    </w:p>
    <w:p>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四、项目平衡实施方案</w:t>
      </w:r>
      <w:bookmarkEnd w:id="11"/>
    </w:p>
    <w:p>
      <w:pPr>
        <w:widowControl/>
        <w:spacing w:before="120" w:after="120" w:line="360" w:lineRule="auto"/>
        <w:outlineLvl w:val="1"/>
        <w:rPr>
          <w:rFonts w:hint="eastAsia" w:ascii="宋体" w:hAnsi="宋体" w:eastAsia="宋体" w:cs="宋体"/>
          <w:b/>
          <w:color w:val="000000"/>
          <w:kern w:val="0"/>
          <w:sz w:val="24"/>
          <w:szCs w:val="24"/>
        </w:rPr>
      </w:pPr>
      <w:bookmarkStart w:id="12" w:name="_Toc200555434"/>
      <w:bookmarkStart w:id="13" w:name="_Toc114818421"/>
      <w:bookmarkStart w:id="14" w:name="_Toc114818531"/>
      <w:bookmarkStart w:id="15" w:name="_Toc6700"/>
      <w:r>
        <w:rPr>
          <w:rFonts w:hint="eastAsia" w:ascii="宋体" w:hAnsi="宋体" w:eastAsia="宋体" w:cs="宋体"/>
          <w:b/>
          <w:color w:val="000000"/>
          <w:kern w:val="0"/>
          <w:sz w:val="24"/>
          <w:szCs w:val="24"/>
        </w:rPr>
        <w:t>（一）资金充足性</w:t>
      </w:r>
      <w:bookmarkEnd w:id="12"/>
      <w:bookmarkEnd w:id="13"/>
      <w:bookmarkEnd w:id="14"/>
    </w:p>
    <w:p>
      <w:pPr>
        <w:widowControl/>
        <w:spacing w:before="120" w:after="120" w:line="360" w:lineRule="auto"/>
        <w:ind w:firstLine="482" w:firstLineChars="200"/>
        <w:outlineLvl w:val="2"/>
        <w:rPr>
          <w:rFonts w:hint="eastAsia" w:ascii="宋体" w:hAnsi="宋体" w:eastAsia="宋体" w:cs="宋体"/>
          <w:b/>
          <w:bCs/>
          <w:color w:val="000000"/>
          <w:kern w:val="0"/>
          <w:sz w:val="24"/>
          <w:szCs w:val="24"/>
        </w:rPr>
      </w:pPr>
      <w:bookmarkStart w:id="16" w:name="_Toc200555435"/>
      <w:bookmarkStart w:id="17" w:name="_Toc114818422"/>
      <w:bookmarkStart w:id="18" w:name="_Toc114818532"/>
      <w:r>
        <w:rPr>
          <w:rFonts w:hint="eastAsia" w:ascii="宋体" w:hAnsi="宋体" w:eastAsia="宋体" w:cs="宋体"/>
          <w:b/>
          <w:bCs/>
          <w:color w:val="000000"/>
          <w:kern w:val="0"/>
          <w:sz w:val="24"/>
          <w:szCs w:val="24"/>
        </w:rPr>
        <w:t>1.投资估算</w:t>
      </w:r>
      <w:bookmarkEnd w:id="16"/>
      <w:bookmarkEnd w:id="17"/>
      <w:bookmarkEnd w:id="18"/>
    </w:p>
    <w:p>
      <w:pPr>
        <w:widowControl/>
        <w:spacing w:before="120" w:after="120" w:line="360" w:lineRule="auto"/>
        <w:ind w:firstLine="480" w:firstLineChars="200"/>
        <w:rPr>
          <w:rFonts w:hint="eastAsia" w:ascii="宋体" w:hAnsi="宋体" w:eastAsia="宋体" w:cs="宋体"/>
          <w:color w:val="000000"/>
          <w:kern w:val="0"/>
          <w:sz w:val="24"/>
          <w:szCs w:val="24"/>
        </w:rPr>
      </w:pPr>
      <w:bookmarkStart w:id="19" w:name="_Hlk114818237"/>
      <w:r>
        <w:rPr>
          <w:rFonts w:hint="eastAsia" w:ascii="宋体" w:hAnsi="宋体" w:eastAsia="宋体" w:cs="宋体"/>
          <w:color w:val="000000"/>
          <w:kern w:val="0"/>
          <w:sz w:val="24"/>
          <w:szCs w:val="24"/>
        </w:rPr>
        <w:t>兰香园安置社区配套路网项目总投资为41,012.16万元。</w:t>
      </w:r>
      <w:bookmarkEnd w:id="19"/>
      <w:r>
        <w:rPr>
          <w:rFonts w:hint="eastAsia" w:ascii="宋体" w:hAnsi="宋体" w:eastAsia="宋体" w:cs="宋体"/>
          <w:color w:val="000000"/>
          <w:kern w:val="0"/>
          <w:sz w:val="24"/>
          <w:szCs w:val="24"/>
        </w:rPr>
        <w:t>详见表3。</w:t>
      </w:r>
    </w:p>
    <w:p>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表3 兰香园安置社区配套路网项目总投资估算表</w:t>
      </w:r>
    </w:p>
    <w:p>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06"/>
        <w:gridCol w:w="1168"/>
        <w:gridCol w:w="1067"/>
        <w:gridCol w:w="1067"/>
        <w:gridCol w:w="1067"/>
        <w:gridCol w:w="106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03"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序号</w:t>
            </w:r>
          </w:p>
        </w:tc>
        <w:tc>
          <w:tcPr>
            <w:tcW w:w="699"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项目名称</w:t>
            </w:r>
          </w:p>
        </w:tc>
        <w:tc>
          <w:tcPr>
            <w:tcW w:w="638"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2021</w:t>
            </w:r>
          </w:p>
        </w:tc>
        <w:tc>
          <w:tcPr>
            <w:tcW w:w="638"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2022</w:t>
            </w:r>
          </w:p>
        </w:tc>
        <w:tc>
          <w:tcPr>
            <w:tcW w:w="638"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2023</w:t>
            </w:r>
          </w:p>
        </w:tc>
        <w:tc>
          <w:tcPr>
            <w:tcW w:w="638"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2024</w:t>
            </w:r>
          </w:p>
        </w:tc>
        <w:tc>
          <w:tcPr>
            <w:tcW w:w="722"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2025</w:t>
            </w:r>
          </w:p>
        </w:tc>
        <w:tc>
          <w:tcPr>
            <w:tcW w:w="722" w:type="pct"/>
            <w:shd w:val="clear" w:color="auto" w:fill="D8D8D8"/>
            <w:vAlign w:val="center"/>
          </w:tcPr>
          <w:p>
            <w:pPr>
              <w:widowControl/>
              <w:jc w:val="center"/>
              <w:rPr>
                <w:rFonts w:hint="eastAsia" w:ascii="宋体" w:hAnsi="宋体" w:eastAsia="宋体" w:cs="宋体"/>
                <w:b/>
                <w:color w:val="000000"/>
                <w:kern w:val="0"/>
                <w:sz w:val="20"/>
                <w:szCs w:val="20"/>
                <w:lang w:val="en-GB" w:eastAsia="zh-TW"/>
              </w:rPr>
            </w:pPr>
            <w:r>
              <w:rPr>
                <w:rFonts w:hint="eastAsia" w:ascii="宋体" w:hAnsi="宋体" w:eastAsia="宋体" w:cs="宋体"/>
                <w:b/>
                <w:color w:val="000000"/>
                <w:kern w:val="0"/>
                <w:sz w:val="20"/>
                <w:szCs w:val="20"/>
                <w:lang w:val="en-GB" w:eastAsia="zh-TW"/>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03" w:type="pct"/>
            <w:shd w:val="clear" w:color="000000" w:fill="FFFFFF"/>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1.1</w:t>
            </w:r>
          </w:p>
        </w:tc>
        <w:tc>
          <w:tcPr>
            <w:tcW w:w="69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建设投资</w:t>
            </w:r>
          </w:p>
        </w:tc>
        <w:tc>
          <w:tcPr>
            <w:tcW w:w="638"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5,100.00</w:t>
            </w:r>
          </w:p>
        </w:tc>
        <w:tc>
          <w:tcPr>
            <w:tcW w:w="638"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2,700.00</w:t>
            </w:r>
          </w:p>
        </w:tc>
        <w:tc>
          <w:tcPr>
            <w:tcW w:w="638"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3,400.00</w:t>
            </w:r>
          </w:p>
        </w:tc>
        <w:tc>
          <w:tcPr>
            <w:tcW w:w="638"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7,400.00</w:t>
            </w:r>
          </w:p>
        </w:tc>
        <w:tc>
          <w:tcPr>
            <w:tcW w:w="722"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22,405.12</w:t>
            </w:r>
          </w:p>
        </w:tc>
        <w:tc>
          <w:tcPr>
            <w:tcW w:w="722"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41,005.12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03" w:type="pct"/>
            <w:shd w:val="clear" w:color="000000" w:fill="FFFFFF"/>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1.2</w:t>
            </w:r>
          </w:p>
        </w:tc>
        <w:tc>
          <w:tcPr>
            <w:tcW w:w="69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建设期利息</w:t>
            </w:r>
          </w:p>
        </w:tc>
        <w:tc>
          <w:tcPr>
            <w:tcW w:w="638"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38"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38"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38"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22"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7.04</w:t>
            </w:r>
          </w:p>
        </w:tc>
        <w:tc>
          <w:tcPr>
            <w:tcW w:w="722"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03" w:type="pct"/>
            <w:shd w:val="clear" w:color="000000" w:fill="FFFFFF"/>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1.3</w:t>
            </w:r>
          </w:p>
        </w:tc>
        <w:tc>
          <w:tcPr>
            <w:tcW w:w="699" w:type="pct"/>
            <w:shd w:val="clear" w:color="000000" w:fill="FFFFFF"/>
            <w:vAlign w:val="center"/>
          </w:tcPr>
          <w:p>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合计</w:t>
            </w:r>
          </w:p>
        </w:tc>
        <w:tc>
          <w:tcPr>
            <w:tcW w:w="638"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5,100.00</w:t>
            </w:r>
          </w:p>
        </w:tc>
        <w:tc>
          <w:tcPr>
            <w:tcW w:w="638"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2,700.00</w:t>
            </w:r>
          </w:p>
        </w:tc>
        <w:tc>
          <w:tcPr>
            <w:tcW w:w="638"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3,400.00</w:t>
            </w:r>
          </w:p>
        </w:tc>
        <w:tc>
          <w:tcPr>
            <w:tcW w:w="638"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7,400.00</w:t>
            </w:r>
          </w:p>
        </w:tc>
        <w:tc>
          <w:tcPr>
            <w:tcW w:w="722"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22,412.16</w:t>
            </w:r>
          </w:p>
        </w:tc>
        <w:tc>
          <w:tcPr>
            <w:tcW w:w="722"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41,012.16</w:t>
            </w:r>
          </w:p>
        </w:tc>
      </w:tr>
    </w:tbl>
    <w:p>
      <w:pPr>
        <w:widowControl/>
        <w:ind w:firstLine="360" w:firstLineChars="200"/>
        <w:jc w:val="right"/>
        <w:rPr>
          <w:rFonts w:hint="eastAsia" w:ascii="宋体" w:hAnsi="宋体" w:eastAsia="宋体" w:cs="宋体"/>
          <w:kern w:val="0"/>
          <w:sz w:val="18"/>
          <w:szCs w:val="18"/>
          <w:lang w:val="en-GB" w:eastAsia="zh-TW"/>
        </w:rPr>
      </w:pPr>
    </w:p>
    <w:p>
      <w:pPr>
        <w:widowControl/>
        <w:spacing w:before="120" w:after="120" w:line="360" w:lineRule="auto"/>
        <w:ind w:firstLine="482" w:firstLineChars="200"/>
        <w:outlineLvl w:val="2"/>
        <w:rPr>
          <w:rFonts w:hint="eastAsia" w:ascii="宋体" w:hAnsi="宋体" w:eastAsia="宋体" w:cs="宋体"/>
          <w:b/>
          <w:bCs/>
          <w:color w:val="000000"/>
          <w:kern w:val="0"/>
          <w:sz w:val="24"/>
          <w:szCs w:val="24"/>
        </w:rPr>
      </w:pPr>
      <w:bookmarkStart w:id="20" w:name="_Toc114818533"/>
      <w:bookmarkStart w:id="21" w:name="_Toc114818423"/>
      <w:bookmarkStart w:id="22" w:name="_Toc200555436"/>
      <w:r>
        <w:rPr>
          <w:rFonts w:hint="eastAsia" w:ascii="宋体" w:hAnsi="宋体" w:eastAsia="宋体" w:cs="宋体"/>
          <w:b/>
          <w:bCs/>
          <w:color w:val="000000"/>
          <w:kern w:val="0"/>
          <w:sz w:val="24"/>
          <w:szCs w:val="24"/>
        </w:rPr>
        <w:t>2.资金筹措</w:t>
      </w:r>
      <w:bookmarkEnd w:id="20"/>
      <w:bookmarkEnd w:id="21"/>
      <w:bookmarkEnd w:id="22"/>
    </w:p>
    <w:p>
      <w:pPr>
        <w:widowControl/>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本项目累计资金筹措总额41,012.16万元，其中，自筹资金40,212.16万元，本期计划调增专项债券800.00万元。本项目的自筹资金，由财政资金统筹安排。</w:t>
      </w:r>
    </w:p>
    <w:p>
      <w:pPr>
        <w:widowControl/>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项目建设期各年度投资计划及资金筹措方案详见表4。</w:t>
      </w:r>
    </w:p>
    <w:p>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表4  兰香园安置社区配套路网项目投资计划及资金筹措表</w:t>
      </w:r>
    </w:p>
    <w:p>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47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2"/>
        <w:gridCol w:w="1378"/>
        <w:gridCol w:w="933"/>
        <w:gridCol w:w="992"/>
        <w:gridCol w:w="992"/>
        <w:gridCol w:w="995"/>
        <w:gridCol w:w="1057"/>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55"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序号</w:t>
            </w:r>
          </w:p>
        </w:tc>
        <w:tc>
          <w:tcPr>
            <w:tcW w:w="871"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项目名称</w:t>
            </w:r>
          </w:p>
        </w:tc>
        <w:tc>
          <w:tcPr>
            <w:tcW w:w="590" w:type="pct"/>
            <w:shd w:val="clear" w:color="auto" w:fill="D8D8D8"/>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2021</w:t>
            </w:r>
          </w:p>
        </w:tc>
        <w:tc>
          <w:tcPr>
            <w:tcW w:w="627" w:type="pct"/>
            <w:shd w:val="clear" w:color="auto" w:fill="D8D8D8"/>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2022</w:t>
            </w:r>
          </w:p>
        </w:tc>
        <w:tc>
          <w:tcPr>
            <w:tcW w:w="627"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2023</w:t>
            </w:r>
          </w:p>
        </w:tc>
        <w:tc>
          <w:tcPr>
            <w:tcW w:w="629"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2024</w:t>
            </w:r>
          </w:p>
        </w:tc>
        <w:tc>
          <w:tcPr>
            <w:tcW w:w="668" w:type="pct"/>
            <w:shd w:val="clear" w:color="auto" w:fill="D8D8D8"/>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2025</w:t>
            </w:r>
          </w:p>
        </w:tc>
        <w:tc>
          <w:tcPr>
            <w:tcW w:w="633" w:type="pct"/>
            <w:shd w:val="clear" w:color="auto" w:fill="D8D8D8"/>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55" w:type="pct"/>
            <w:shd w:val="clear" w:color="000000" w:fill="FFFFFF"/>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1</w:t>
            </w:r>
          </w:p>
        </w:tc>
        <w:tc>
          <w:tcPr>
            <w:tcW w:w="87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自筹资金</w:t>
            </w:r>
          </w:p>
        </w:tc>
        <w:tc>
          <w:tcPr>
            <w:tcW w:w="590"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5,100.00</w:t>
            </w:r>
          </w:p>
        </w:tc>
        <w:tc>
          <w:tcPr>
            <w:tcW w:w="627"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2,700.00</w:t>
            </w:r>
          </w:p>
        </w:tc>
        <w:tc>
          <w:tcPr>
            <w:tcW w:w="627"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3,400.00</w:t>
            </w:r>
          </w:p>
        </w:tc>
        <w:tc>
          <w:tcPr>
            <w:tcW w:w="62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7,400.00</w:t>
            </w:r>
          </w:p>
        </w:tc>
        <w:tc>
          <w:tcPr>
            <w:tcW w:w="668" w:type="pct"/>
            <w:shd w:val="clear" w:color="000000" w:fill="FFFFFF"/>
            <w:vAlign w:val="center"/>
          </w:tcPr>
          <w:p>
            <w:pPr>
              <w:widowControl/>
              <w:jc w:val="right"/>
              <w:rPr>
                <w:rFonts w:hint="eastAsia" w:ascii="宋体" w:hAnsi="宋体" w:eastAsia="宋体" w:cs="宋体"/>
                <w:b/>
                <w:bCs/>
                <w:color w:val="000000"/>
                <w:kern w:val="0"/>
                <w:sz w:val="20"/>
                <w:szCs w:val="21"/>
                <w:lang w:val="en-GB"/>
              </w:rPr>
            </w:pPr>
            <w:r>
              <w:rPr>
                <w:rFonts w:hint="eastAsia" w:ascii="宋体" w:hAnsi="宋体" w:eastAsia="宋体" w:cs="宋体"/>
                <w:kern w:val="0"/>
                <w:sz w:val="20"/>
                <w:lang w:val="en-GB"/>
              </w:rPr>
              <w:t>21,612.16</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40,212.16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55" w:type="pct"/>
            <w:shd w:val="clear" w:color="000000" w:fill="FFFFFF"/>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2</w:t>
            </w:r>
          </w:p>
        </w:tc>
        <w:tc>
          <w:tcPr>
            <w:tcW w:w="87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本期债券发行</w:t>
            </w:r>
          </w:p>
        </w:tc>
        <w:tc>
          <w:tcPr>
            <w:tcW w:w="590"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27" w:type="pct"/>
            <w:shd w:val="clear" w:color="000000" w:fill="FFFFFF"/>
            <w:vAlign w:val="center"/>
          </w:tcPr>
          <w:p>
            <w:pPr>
              <w:widowControl/>
              <w:jc w:val="right"/>
              <w:rPr>
                <w:rFonts w:hint="eastAsia" w:ascii="宋体" w:hAnsi="宋体" w:eastAsia="宋体" w:cs="宋体"/>
                <w:color w:val="000000"/>
                <w:kern w:val="0"/>
                <w:sz w:val="20"/>
                <w:szCs w:val="20"/>
                <w:lang w:val="en-GB"/>
              </w:rPr>
            </w:pPr>
          </w:p>
        </w:tc>
        <w:tc>
          <w:tcPr>
            <w:tcW w:w="627" w:type="pct"/>
            <w:shd w:val="clear" w:color="000000" w:fill="FFFFFF"/>
            <w:vAlign w:val="center"/>
          </w:tcPr>
          <w:p>
            <w:pPr>
              <w:widowControl/>
              <w:jc w:val="right"/>
              <w:rPr>
                <w:rFonts w:hint="eastAsia" w:ascii="宋体" w:hAnsi="宋体" w:eastAsia="宋体" w:cs="宋体"/>
                <w:color w:val="000000"/>
                <w:kern w:val="0"/>
                <w:sz w:val="20"/>
                <w:szCs w:val="20"/>
                <w:lang w:val="en-GB"/>
              </w:rPr>
            </w:pPr>
          </w:p>
        </w:tc>
        <w:tc>
          <w:tcPr>
            <w:tcW w:w="62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68" w:type="pct"/>
            <w:shd w:val="clear" w:color="000000" w:fill="FFFFFF"/>
            <w:vAlign w:val="center"/>
          </w:tcPr>
          <w:p>
            <w:pPr>
              <w:widowControl/>
              <w:jc w:val="right"/>
              <w:rPr>
                <w:rFonts w:hint="eastAsia" w:ascii="宋体" w:hAnsi="宋体" w:eastAsia="宋体" w:cs="宋体"/>
                <w:b/>
                <w:bCs/>
                <w:color w:val="000000"/>
                <w:kern w:val="0"/>
                <w:sz w:val="20"/>
                <w:szCs w:val="21"/>
                <w:lang w:val="en-GB"/>
              </w:rPr>
            </w:pPr>
            <w:r>
              <w:rPr>
                <w:rFonts w:hint="eastAsia" w:ascii="宋体" w:hAnsi="宋体" w:eastAsia="宋体" w:cs="宋体"/>
                <w:kern w:val="0"/>
                <w:sz w:val="20"/>
                <w:lang w:val="en-GB"/>
              </w:rPr>
              <w:t>800.00</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55" w:type="pct"/>
            <w:shd w:val="clear" w:color="000000" w:fill="FFFFFF"/>
            <w:vAlign w:val="center"/>
          </w:tcPr>
          <w:p>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3</w:t>
            </w:r>
          </w:p>
        </w:tc>
        <w:tc>
          <w:tcPr>
            <w:tcW w:w="871" w:type="pct"/>
            <w:shd w:val="clear" w:color="000000" w:fill="FFFFFF"/>
            <w:vAlign w:val="center"/>
          </w:tcPr>
          <w:p>
            <w:pPr>
              <w:widowControl/>
              <w:jc w:val="left"/>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合计</w:t>
            </w:r>
          </w:p>
        </w:tc>
        <w:tc>
          <w:tcPr>
            <w:tcW w:w="590"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5,100.00</w:t>
            </w:r>
          </w:p>
        </w:tc>
        <w:tc>
          <w:tcPr>
            <w:tcW w:w="627"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2,700.00</w:t>
            </w:r>
          </w:p>
        </w:tc>
        <w:tc>
          <w:tcPr>
            <w:tcW w:w="627"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3,400.00</w:t>
            </w:r>
          </w:p>
        </w:tc>
        <w:tc>
          <w:tcPr>
            <w:tcW w:w="629"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7,400.00</w:t>
            </w:r>
          </w:p>
        </w:tc>
        <w:tc>
          <w:tcPr>
            <w:tcW w:w="668" w:type="pct"/>
            <w:shd w:val="clear" w:color="000000" w:fill="FFFFFF"/>
            <w:vAlign w:val="center"/>
          </w:tcPr>
          <w:p>
            <w:pPr>
              <w:widowControl/>
              <w:jc w:val="right"/>
              <w:rPr>
                <w:rFonts w:hint="eastAsia" w:ascii="宋体" w:hAnsi="宋体" w:eastAsia="宋体" w:cs="宋体"/>
                <w:b/>
                <w:bCs/>
                <w:color w:val="000000"/>
                <w:kern w:val="0"/>
                <w:sz w:val="20"/>
                <w:szCs w:val="21"/>
                <w:lang w:val="en-GB"/>
              </w:rPr>
            </w:pPr>
            <w:r>
              <w:rPr>
                <w:rFonts w:hint="eastAsia" w:ascii="宋体" w:hAnsi="宋体" w:eastAsia="宋体" w:cs="宋体"/>
                <w:b/>
                <w:bCs/>
                <w:kern w:val="0"/>
                <w:sz w:val="20"/>
                <w:lang w:val="en-GB"/>
              </w:rPr>
              <w:t>22,412.16</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41,012.16</w:t>
            </w:r>
          </w:p>
        </w:tc>
      </w:tr>
    </w:tbl>
    <w:p>
      <w:pPr>
        <w:widowControl/>
        <w:ind w:firstLine="360" w:firstLineChars="200"/>
        <w:jc w:val="right"/>
        <w:rPr>
          <w:rFonts w:hint="eastAsia" w:ascii="宋体" w:hAnsi="宋体" w:eastAsia="宋体" w:cs="宋体"/>
          <w:kern w:val="0"/>
          <w:sz w:val="18"/>
          <w:szCs w:val="18"/>
          <w:lang w:val="en-GB"/>
        </w:rPr>
      </w:pPr>
    </w:p>
    <w:p>
      <w:pPr>
        <w:widowControl/>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基于以上投资计划、资金筹措安排，我们未发现本项目建设期内所需建设资金存在缺口的情况。</w:t>
      </w:r>
    </w:p>
    <w:p>
      <w:pPr>
        <w:widowControl/>
        <w:spacing w:before="120" w:after="120" w:line="360" w:lineRule="auto"/>
        <w:ind w:firstLine="482" w:firstLineChars="200"/>
        <w:outlineLvl w:val="2"/>
        <w:rPr>
          <w:rFonts w:hint="eastAsia" w:ascii="宋体" w:hAnsi="宋体" w:eastAsia="宋体" w:cs="宋体"/>
          <w:b/>
          <w:bCs/>
          <w:color w:val="000000"/>
          <w:kern w:val="0"/>
          <w:sz w:val="24"/>
          <w:szCs w:val="24"/>
        </w:rPr>
      </w:pPr>
      <w:bookmarkStart w:id="23" w:name="_Toc200555437"/>
      <w:bookmarkStart w:id="24" w:name="_Toc114818424"/>
      <w:bookmarkStart w:id="25" w:name="_Toc114818534"/>
      <w:r>
        <w:rPr>
          <w:rFonts w:hint="eastAsia" w:ascii="宋体" w:hAnsi="宋体" w:eastAsia="宋体" w:cs="宋体"/>
          <w:b/>
          <w:bCs/>
          <w:color w:val="000000"/>
          <w:kern w:val="0"/>
          <w:sz w:val="24"/>
          <w:szCs w:val="24"/>
        </w:rPr>
        <w:t>3.资金覆盖情况</w:t>
      </w:r>
      <w:bookmarkEnd w:id="23"/>
      <w:bookmarkEnd w:id="24"/>
      <w:bookmarkEnd w:id="25"/>
    </w:p>
    <w:p>
      <w:pPr>
        <w:widowControl/>
        <w:spacing w:line="360" w:lineRule="auto"/>
        <w:ind w:firstLine="480" w:firstLineChars="200"/>
        <w:jc w:val="left"/>
        <w:rPr>
          <w:rFonts w:hint="eastAsia" w:ascii="宋体" w:hAnsi="宋体" w:eastAsia="宋体" w:cs="宋体"/>
          <w:kern w:val="0"/>
          <w:sz w:val="24"/>
          <w:szCs w:val="24"/>
          <w:lang w:val="en-GB"/>
        </w:rPr>
      </w:pPr>
      <w:r>
        <w:rPr>
          <w:rFonts w:hint="eastAsia" w:ascii="宋体" w:hAnsi="宋体" w:eastAsia="宋体" w:cs="宋体"/>
          <w:kern w:val="0"/>
          <w:sz w:val="24"/>
          <w:szCs w:val="24"/>
          <w:lang w:val="en-GB"/>
        </w:rPr>
        <w:t>（3）兰香园安置社区配套路网项目</w:t>
      </w:r>
    </w:p>
    <w:p>
      <w:pPr>
        <w:widowControl/>
        <w:spacing w:line="360" w:lineRule="auto"/>
        <w:ind w:firstLine="480" w:firstLineChars="200"/>
        <w:jc w:val="left"/>
        <w:rPr>
          <w:rFonts w:hint="eastAsia" w:ascii="宋体" w:hAnsi="宋体" w:eastAsia="宋体" w:cs="宋体"/>
          <w:kern w:val="0"/>
          <w:sz w:val="24"/>
          <w:szCs w:val="24"/>
          <w:lang w:val="en-GB"/>
        </w:rPr>
      </w:pPr>
      <w:r>
        <w:rPr>
          <w:rFonts w:hint="eastAsia" w:ascii="宋体" w:hAnsi="宋体" w:eastAsia="宋体" w:cs="宋体"/>
          <w:kern w:val="0"/>
          <w:sz w:val="24"/>
          <w:szCs w:val="24"/>
          <w:lang w:val="en-GB"/>
        </w:rPr>
        <w:t>本期计划调增专项债券800.00万元。本息覆盖倍数可达到1.34，根据项目收益与融资平衡分析结果显示，本债券存续期内还本付息资金充足。</w:t>
      </w:r>
    </w:p>
    <w:p>
      <w:pPr>
        <w:widowControl/>
        <w:spacing w:line="360" w:lineRule="auto"/>
        <w:ind w:firstLine="480" w:firstLineChars="200"/>
        <w:jc w:val="left"/>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详见下表5、表6：</w:t>
      </w:r>
    </w:p>
    <w:p>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表5 兰香园安置社区配套路网项目本息覆盖倍数表</w:t>
      </w:r>
    </w:p>
    <w:p>
      <w:pPr>
        <w:widowControl/>
        <w:ind w:right="-907" w:rightChars="-432" w:firstLine="360" w:firstLineChars="200"/>
        <w:jc w:val="right"/>
        <w:rPr>
          <w:rFonts w:hint="eastAsia" w:ascii="宋体" w:hAnsi="宋体" w:eastAsia="宋体" w:cs="宋体"/>
          <w:b/>
          <w:kern w:val="0"/>
          <w:sz w:val="24"/>
          <w:szCs w:val="24"/>
          <w:lang w:val="en-GB"/>
        </w:rPr>
      </w:pPr>
      <w:r>
        <w:rPr>
          <w:rFonts w:hint="eastAsia" w:ascii="宋体" w:hAnsi="宋体" w:eastAsia="宋体" w:cs="宋体"/>
          <w:kern w:val="0"/>
          <w:sz w:val="18"/>
          <w:szCs w:val="18"/>
          <w:lang w:val="en-GB"/>
        </w:rPr>
        <w:t>单位：人民币万元</w:t>
      </w:r>
    </w:p>
    <w:tbl>
      <w:tblPr>
        <w:tblStyle w:val="19"/>
        <w:tblW w:w="6293" w:type="pct"/>
        <w:jc w:val="center"/>
        <w:tblLayout w:type="fixed"/>
        <w:tblCellMar>
          <w:top w:w="0" w:type="dxa"/>
          <w:left w:w="57" w:type="dxa"/>
          <w:bottom w:w="0" w:type="dxa"/>
          <w:right w:w="57" w:type="dxa"/>
        </w:tblCellMar>
      </w:tblPr>
      <w:tblGrid>
        <w:gridCol w:w="2034"/>
        <w:gridCol w:w="1224"/>
        <w:gridCol w:w="1224"/>
        <w:gridCol w:w="1224"/>
        <w:gridCol w:w="1224"/>
        <w:gridCol w:w="1222"/>
        <w:gridCol w:w="1222"/>
        <w:gridCol w:w="1216"/>
      </w:tblGrid>
      <w:tr>
        <w:tblPrEx>
          <w:tblCellMar>
            <w:top w:w="0" w:type="dxa"/>
            <w:left w:w="57" w:type="dxa"/>
            <w:bottom w:w="0" w:type="dxa"/>
            <w:right w:w="57" w:type="dxa"/>
          </w:tblCellMar>
        </w:tblPrEx>
        <w:trPr>
          <w:trHeight w:val="276" w:hRule="atLeast"/>
          <w:tblHeader/>
          <w:jc w:val="center"/>
        </w:trPr>
        <w:tc>
          <w:tcPr>
            <w:tcW w:w="960" w:type="pct"/>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项目</w:t>
            </w:r>
          </w:p>
        </w:tc>
        <w:tc>
          <w:tcPr>
            <w:tcW w:w="578"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本期调增额度</w:t>
            </w:r>
          </w:p>
        </w:tc>
        <w:tc>
          <w:tcPr>
            <w:tcW w:w="577"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债券本息合计</w:t>
            </w:r>
          </w:p>
        </w:tc>
        <w:tc>
          <w:tcPr>
            <w:tcW w:w="577"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本息覆盖率</w:t>
            </w:r>
            <w:r>
              <w:rPr>
                <w:rFonts w:ascii="宋体" w:hAnsi="宋体" w:eastAsia="宋体" w:cs="Arial Unicode MS"/>
                <w:b/>
                <w:color w:val="000000"/>
                <w:szCs w:val="20"/>
                <w:vertAlign w:val="superscript"/>
              </w:rPr>
              <w:footnoteReference w:id="0"/>
            </w:r>
          </w:p>
        </w:tc>
        <w:tc>
          <w:tcPr>
            <w:tcW w:w="574" w:type="pct"/>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jc w:val="center"/>
              <w:rPr>
                <w:rFonts w:hint="eastAsia" w:ascii="宋体" w:hAnsi="宋体" w:eastAsia="宋体" w:cs="Arial Unicode MS"/>
                <w:b/>
                <w:color w:val="000000"/>
                <w:szCs w:val="20"/>
              </w:rPr>
            </w:pPr>
            <w:r>
              <w:rPr>
                <w:rFonts w:hint="eastAsia" w:ascii="宋体" w:hAnsi="宋体" w:eastAsia="宋体" w:cs="Arial Unicode MS"/>
                <w:b/>
                <w:color w:val="000000"/>
                <w:szCs w:val="20"/>
              </w:rPr>
              <w:t>本息覆盖倍数</w:t>
            </w:r>
            <w:r>
              <w:rPr>
                <w:rFonts w:ascii="宋体" w:hAnsi="宋体" w:eastAsia="宋体" w:cs="Arial Unicode MS"/>
                <w:b/>
                <w:color w:val="000000"/>
                <w:szCs w:val="20"/>
                <w:vertAlign w:val="superscript"/>
              </w:rPr>
              <w:footnoteReference w:id="1"/>
            </w:r>
          </w:p>
        </w:tc>
      </w:tr>
      <w:tr>
        <w:tblPrEx>
          <w:tblCellMar>
            <w:top w:w="0" w:type="dxa"/>
            <w:left w:w="57" w:type="dxa"/>
            <w:bottom w:w="0" w:type="dxa"/>
            <w:right w:w="57" w:type="dxa"/>
          </w:tblCellMar>
        </w:tblPrEx>
        <w:trPr>
          <w:trHeight w:val="276" w:hRule="atLeast"/>
          <w:jc w:val="center"/>
        </w:trPr>
        <w:tc>
          <w:tcPr>
            <w:tcW w:w="960" w:type="pct"/>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Arial Unicode MS"/>
                <w:color w:val="000000"/>
                <w:szCs w:val="20"/>
              </w:rPr>
            </w:pPr>
            <w:r>
              <w:rPr>
                <w:rFonts w:hint="eastAsia" w:ascii="宋体" w:hAnsi="宋体" w:eastAsia="宋体" w:cs="Arial Unicode MS"/>
                <w:color w:val="000000"/>
                <w:szCs w:val="20"/>
              </w:rPr>
              <w:t>兰香园安置社区配套路网项目</w:t>
            </w:r>
          </w:p>
        </w:tc>
        <w:tc>
          <w:tcPr>
            <w:tcW w:w="578"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Arial Unicode MS"/>
                <w:color w:val="000000"/>
                <w:szCs w:val="20"/>
              </w:rPr>
            </w:pPr>
            <w:r>
              <w:rPr>
                <w:rFonts w:hint="eastAsia" w:ascii="宋体" w:hAnsi="宋体" w:eastAsia="宋体"/>
                <w:color w:val="000000"/>
                <w:szCs w:val="20"/>
              </w:rPr>
              <w:t>41,012.16</w:t>
            </w:r>
          </w:p>
        </w:tc>
        <w:tc>
          <w:tcPr>
            <w:tcW w:w="578"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Arial Unicode MS"/>
                <w:color w:val="000000"/>
                <w:szCs w:val="20"/>
              </w:rPr>
            </w:pPr>
            <w:r>
              <w:rPr>
                <w:rFonts w:hint="eastAsia" w:ascii="宋体" w:hAnsi="宋体" w:eastAsia="宋体"/>
                <w:color w:val="000000"/>
                <w:szCs w:val="20"/>
              </w:rPr>
              <w:t>1,263.27</w:t>
            </w:r>
          </w:p>
        </w:tc>
        <w:tc>
          <w:tcPr>
            <w:tcW w:w="578"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Arial Unicode MS"/>
                <w:color w:val="000000"/>
                <w:szCs w:val="20"/>
              </w:rPr>
            </w:pPr>
            <w:r>
              <w:rPr>
                <w:rFonts w:hint="eastAsia" w:ascii="宋体" w:hAnsi="宋体" w:eastAsia="宋体"/>
                <w:color w:val="000000"/>
                <w:szCs w:val="20"/>
              </w:rPr>
              <w:t>329.51</w:t>
            </w:r>
          </w:p>
        </w:tc>
        <w:tc>
          <w:tcPr>
            <w:tcW w:w="578"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Arial Unicode MS"/>
                <w:color w:val="000000"/>
                <w:szCs w:val="20"/>
              </w:rPr>
            </w:pPr>
            <w:r>
              <w:rPr>
                <w:rFonts w:hint="eastAsia" w:ascii="宋体" w:hAnsi="宋体" w:eastAsia="宋体"/>
                <w:color w:val="000000"/>
                <w:szCs w:val="20"/>
              </w:rPr>
              <w:t>800.00</w:t>
            </w:r>
          </w:p>
        </w:tc>
        <w:tc>
          <w:tcPr>
            <w:tcW w:w="577"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Arial Unicode MS"/>
                <w:color w:val="000000"/>
                <w:szCs w:val="20"/>
              </w:rPr>
            </w:pPr>
            <w:r>
              <w:rPr>
                <w:rFonts w:hint="eastAsia" w:ascii="宋体" w:hAnsi="宋体" w:eastAsia="宋体"/>
                <w:color w:val="000000"/>
                <w:szCs w:val="20"/>
              </w:rPr>
              <w:t>940.80</w:t>
            </w:r>
          </w:p>
        </w:tc>
        <w:tc>
          <w:tcPr>
            <w:tcW w:w="577"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Arial Unicode MS"/>
                <w:color w:val="000000"/>
                <w:szCs w:val="20"/>
              </w:rPr>
            </w:pPr>
            <w:r>
              <w:rPr>
                <w:rFonts w:hint="eastAsia" w:ascii="宋体" w:hAnsi="宋体" w:eastAsia="宋体"/>
                <w:color w:val="000000"/>
                <w:szCs w:val="20"/>
              </w:rPr>
              <w:t>1.35</w:t>
            </w:r>
          </w:p>
        </w:tc>
        <w:tc>
          <w:tcPr>
            <w:tcW w:w="574" w:type="pct"/>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Arial Unicode MS"/>
                <w:color w:val="000000"/>
                <w:szCs w:val="20"/>
              </w:rPr>
            </w:pPr>
            <w:r>
              <w:rPr>
                <w:rFonts w:hint="eastAsia" w:ascii="宋体" w:hAnsi="宋体" w:eastAsia="宋体"/>
                <w:color w:val="000000"/>
                <w:szCs w:val="20"/>
              </w:rPr>
              <w:t>1.34</w:t>
            </w:r>
          </w:p>
        </w:tc>
      </w:tr>
    </w:tbl>
    <w:p>
      <w:pPr>
        <w:widowControl/>
        <w:ind w:firstLine="482" w:firstLineChars="200"/>
        <w:jc w:val="center"/>
        <w:rPr>
          <w:rFonts w:hint="eastAsia" w:ascii="宋体" w:hAnsi="宋体" w:eastAsia="宋体" w:cs="宋体"/>
          <w:b/>
          <w:kern w:val="0"/>
          <w:sz w:val="24"/>
          <w:szCs w:val="24"/>
          <w:lang w:val="en-GB"/>
        </w:rPr>
      </w:pPr>
    </w:p>
    <w:p>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表6 兰香园安置社区配套路网项目现金流模拟测算表</w:t>
      </w:r>
    </w:p>
    <w:p>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w:t>
            </w:r>
            <w:r>
              <w:rPr>
                <w:rFonts w:ascii="宋体" w:hAnsi="宋体" w:eastAsia="宋体" w:cs="宋体"/>
                <w:b/>
                <w:bCs/>
                <w:color w:val="00000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w:t>
            </w:r>
            <w:r>
              <w:rPr>
                <w:rFonts w:ascii="宋体" w:hAnsi="宋体" w:eastAsia="宋体" w:cs="宋体"/>
                <w:b/>
                <w:bCs/>
                <w:color w:val="00000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5,100.00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2,700.00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3,400.00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7,400.00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21,612.16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5,100.00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2,700.00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3,400.00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7,400.00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22,412.16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5,100.00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2,700.00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3,400.00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7,400.00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22,405.12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5,100.00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2,700.00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3,400.00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7,400.00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22,412.16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r>
    </w:tbl>
    <w:p>
      <w:pPr>
        <w:widowControl/>
        <w:ind w:firstLine="482" w:firstLineChars="200"/>
        <w:jc w:val="center"/>
        <w:rPr>
          <w:rFonts w:hint="eastAsia" w:ascii="宋体" w:hAnsi="宋体" w:eastAsia="宋体" w:cs="宋体"/>
          <w:b/>
          <w:kern w:val="0"/>
          <w:sz w:val="24"/>
          <w:szCs w:val="24"/>
          <w:lang w:val="en-GB"/>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297.75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155.25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155.25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155.25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155.25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297.75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155.25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155.25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155.25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155.25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75.24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39.61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39.61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39.61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39.61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14.08</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14.08</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14.08</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14.08</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14.08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color w:val="000000"/>
                <w:szCs w:val="20"/>
              </w:rPr>
            </w:pPr>
            <w:r>
              <w:rPr>
                <w:rFonts w:hint="eastAsia" w:asciiTheme="minorEastAsia" w:hAnsiTheme="minorEastAsia"/>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89.32</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53.69</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53.69</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53.69</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53.69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208.43</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101.56</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101.56</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101.56</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101.56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208.43</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309.99</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411.55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513.11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cs="宋体" w:asciiTheme="minorEastAsia" w:hAnsiTheme="minorEastAsia"/>
                <w:b/>
                <w:bCs/>
                <w:color w:val="000000"/>
                <w:szCs w:val="20"/>
              </w:rPr>
            </w:pPr>
            <w:r>
              <w:rPr>
                <w:rFonts w:hint="eastAsia" w:asciiTheme="minorEastAsia" w:hAnsiTheme="minorEastAsia"/>
                <w:b/>
                <w:bCs/>
                <w:color w:val="000000"/>
                <w:szCs w:val="20"/>
              </w:rPr>
              <w:t>614.67</w:t>
            </w:r>
          </w:p>
        </w:tc>
      </w:tr>
    </w:tbl>
    <w:p>
      <w:pPr>
        <w:widowControl/>
        <w:ind w:firstLine="482" w:firstLineChars="200"/>
        <w:jc w:val="center"/>
        <w:rPr>
          <w:rFonts w:ascii="宋体" w:hAnsi="宋体" w:eastAsia="宋体" w:cs="宋体"/>
          <w:b/>
          <w:kern w:val="0"/>
          <w:sz w:val="24"/>
          <w:szCs w:val="24"/>
          <w:lang w:val="en-GB"/>
        </w:rPr>
      </w:pPr>
    </w:p>
    <w:tbl>
      <w:tblPr>
        <w:tblStyle w:val="19"/>
        <w:tblW w:w="50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2"/>
        <w:gridCol w:w="970"/>
        <w:gridCol w:w="968"/>
        <w:gridCol w:w="968"/>
        <w:gridCol w:w="970"/>
        <w:gridCol w:w="1055"/>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47"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年度</w:t>
            </w:r>
          </w:p>
        </w:tc>
        <w:tc>
          <w:tcPr>
            <w:tcW w:w="57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2031</w:t>
            </w:r>
          </w:p>
        </w:tc>
        <w:tc>
          <w:tcPr>
            <w:tcW w:w="57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2032</w:t>
            </w:r>
          </w:p>
        </w:tc>
        <w:tc>
          <w:tcPr>
            <w:tcW w:w="57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2033</w:t>
            </w:r>
          </w:p>
        </w:tc>
        <w:tc>
          <w:tcPr>
            <w:tcW w:w="579"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2034</w:t>
            </w:r>
          </w:p>
        </w:tc>
        <w:tc>
          <w:tcPr>
            <w:tcW w:w="630"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2035</w:t>
            </w:r>
          </w:p>
        </w:tc>
        <w:tc>
          <w:tcPr>
            <w:tcW w:w="60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hint="eastAsia" w:ascii="宋体" w:hAnsi="宋体" w:eastAsia="宋体" w:cs="宋体"/>
                <w:b/>
                <w:bCs/>
                <w:color w:val="000000"/>
                <w:szCs w:val="20"/>
              </w:rPr>
            </w:pPr>
            <w:r>
              <w:rPr>
                <w:rFonts w:hint="eastAsia" w:ascii="宋体" w:hAnsi="宋体" w:eastAsia="宋体" w:cs="宋体"/>
                <w:b/>
                <w:bCs/>
                <w:color w:val="000000"/>
                <w:szCs w:val="2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现金流入</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自筹资金流入</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color w:val="000000"/>
                <w:szCs w:val="20"/>
              </w:rPr>
              <w:t>-</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40,212.16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本期债券资金流入</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color w:val="000000"/>
                <w:szCs w:val="20"/>
              </w:rPr>
              <w:t>-</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运营期现金流入</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155.25</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155.25</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155.25</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color w:val="000000"/>
                <w:szCs w:val="20"/>
              </w:rPr>
              <w:t>155.25</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155.25</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1,695.00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现金流入总额</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155.25</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155.25</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155.25</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b/>
                <w:bCs/>
                <w:color w:val="000000"/>
                <w:szCs w:val="20"/>
              </w:rPr>
              <w:t>155.25</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155.25</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42,707.16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现金流出</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建设期资金流出</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color w:val="000000"/>
                <w:szCs w:val="20"/>
              </w:rPr>
              <w:t>-</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41,005.12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运营期现金流出</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39.61</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39.61</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39.61</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color w:val="000000"/>
                <w:szCs w:val="20"/>
              </w:rPr>
              <w:t>39.61</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39.61</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431.73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债券还本付息</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14.08</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14.08</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14.08</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color w:val="000000"/>
                <w:szCs w:val="20"/>
              </w:rPr>
              <w:t>14.08</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807.04</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940.80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color w:val="000000"/>
                <w:szCs w:val="20"/>
              </w:rPr>
            </w:pPr>
            <w:r>
              <w:rPr>
                <w:rFonts w:hint="eastAsia" w:ascii="宋体" w:hAnsi="宋体" w:eastAsia="宋体" w:cs="宋体"/>
                <w:color w:val="000000"/>
                <w:szCs w:val="20"/>
              </w:rPr>
              <w:t>债券发行费用</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Cs w:val="20"/>
              </w:rPr>
            </w:pPr>
            <w:r>
              <w:rPr>
                <w:rFonts w:hint="eastAsia" w:ascii="宋体" w:hAnsi="宋体" w:eastAsia="宋体"/>
                <w:color w:val="00000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color w:val="000000"/>
                <w:szCs w:val="20"/>
              </w:rPr>
              <w:t>-</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现金流出总额</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53.69</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53.69</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53.69</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b/>
                <w:bCs/>
                <w:color w:val="000000"/>
                <w:szCs w:val="20"/>
              </w:rPr>
              <w:t>53.69</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846.65</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42,377.65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现金净流量</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当年项目现金净流入</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101.56</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101.56</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101.56</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b/>
                <w:bCs/>
                <w:color w:val="000000"/>
                <w:szCs w:val="20"/>
              </w:rPr>
              <w:t>101.56</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-691.40</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bCs/>
                <w:color w:val="000000"/>
                <w:szCs w:val="20"/>
              </w:rPr>
            </w:pPr>
            <w:r>
              <w:rPr>
                <w:rFonts w:hint="eastAsia" w:ascii="宋体" w:hAnsi="宋体" w:eastAsia="宋体" w:cs="宋体"/>
                <w:b/>
                <w:bCs/>
                <w:color w:val="000000"/>
                <w:szCs w:val="20"/>
              </w:rPr>
              <w:t>期末项目累计现金结存额</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716.23</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817.79</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919.35</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Arial"/>
                <w:b/>
                <w:bCs/>
                <w:color w:val="000000"/>
                <w:szCs w:val="20"/>
              </w:rPr>
            </w:pPr>
            <w:r>
              <w:rPr>
                <w:rFonts w:hint="eastAsia" w:ascii="宋体" w:hAnsi="宋体" w:eastAsia="宋体"/>
                <w:b/>
                <w:bCs/>
                <w:color w:val="000000"/>
                <w:szCs w:val="20"/>
              </w:rPr>
              <w:t>1,020.91</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329.51</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b/>
                <w:bCs/>
                <w:color w:val="000000"/>
                <w:szCs w:val="20"/>
              </w:rPr>
            </w:pPr>
            <w:r>
              <w:rPr>
                <w:rFonts w:hint="eastAsia" w:ascii="宋体" w:hAnsi="宋体" w:eastAsia="宋体"/>
                <w:b/>
                <w:bCs/>
                <w:color w:val="000000"/>
                <w:szCs w:val="20"/>
              </w:rPr>
              <w:t>-</w:t>
            </w:r>
          </w:p>
        </w:tc>
      </w:tr>
    </w:tbl>
    <w:p>
      <w:pPr>
        <w:widowControl/>
        <w:jc w:val="left"/>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br w:type="page"/>
      </w:r>
    </w:p>
    <w:p>
      <w:pPr>
        <w:widowControl/>
        <w:ind w:firstLine="360" w:firstLineChars="200"/>
        <w:jc w:val="right"/>
        <w:rPr>
          <w:rFonts w:hint="eastAsia" w:ascii="宋体" w:hAnsi="宋体" w:eastAsia="宋体" w:cs="宋体"/>
          <w:kern w:val="0"/>
          <w:sz w:val="18"/>
          <w:szCs w:val="18"/>
          <w:lang w:val="en-GB"/>
        </w:rPr>
      </w:pPr>
    </w:p>
    <w:p>
      <w:pPr>
        <w:widowControl/>
        <w:spacing w:before="120" w:after="120" w:line="360" w:lineRule="auto"/>
        <w:ind w:firstLine="482" w:firstLineChars="200"/>
        <w:outlineLvl w:val="2"/>
        <w:rPr>
          <w:rFonts w:hint="eastAsia" w:ascii="宋体" w:hAnsi="宋体" w:eastAsia="宋体" w:cs="宋体"/>
          <w:b/>
          <w:bCs/>
          <w:color w:val="000000"/>
          <w:kern w:val="0"/>
          <w:sz w:val="24"/>
          <w:szCs w:val="24"/>
        </w:rPr>
      </w:pPr>
      <w:bookmarkStart w:id="26" w:name="_Toc200555438"/>
      <w:bookmarkStart w:id="27" w:name="_Toc114818535"/>
      <w:bookmarkStart w:id="28" w:name="_Toc114818425"/>
      <w:r>
        <w:rPr>
          <w:rFonts w:hint="eastAsia" w:ascii="宋体" w:hAnsi="宋体" w:eastAsia="宋体" w:cs="宋体"/>
          <w:b/>
          <w:bCs/>
          <w:color w:val="000000"/>
          <w:kern w:val="0"/>
          <w:sz w:val="24"/>
          <w:szCs w:val="24"/>
        </w:rPr>
        <w:t>4.债券发行和还本付息</w:t>
      </w:r>
      <w:bookmarkEnd w:id="26"/>
    </w:p>
    <w:p>
      <w:pPr>
        <w:widowControl/>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本次债券利息每半年支付一次，最后一期利息随本金一起支付。自发行之日起存续期还本付息情况详见表7。</w:t>
      </w:r>
    </w:p>
    <w:p>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表7 兰香园安置社区配套路网项目还本付息表</w:t>
      </w:r>
    </w:p>
    <w:p>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8"/>
        <w:gridCol w:w="1092"/>
        <w:gridCol w:w="1090"/>
        <w:gridCol w:w="1090"/>
        <w:gridCol w:w="1090"/>
        <w:gridCol w:w="1084"/>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9"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54"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2025</w:t>
            </w:r>
          </w:p>
        </w:tc>
        <w:tc>
          <w:tcPr>
            <w:tcW w:w="653"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2026</w:t>
            </w:r>
          </w:p>
        </w:tc>
        <w:tc>
          <w:tcPr>
            <w:tcW w:w="653"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2027</w:t>
            </w:r>
          </w:p>
        </w:tc>
        <w:tc>
          <w:tcPr>
            <w:tcW w:w="653"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2028</w:t>
            </w:r>
          </w:p>
        </w:tc>
        <w:tc>
          <w:tcPr>
            <w:tcW w:w="649"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2029</w:t>
            </w:r>
          </w:p>
        </w:tc>
        <w:tc>
          <w:tcPr>
            <w:tcW w:w="649"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期初专项债券余额</w:t>
            </w:r>
          </w:p>
        </w:tc>
        <w:tc>
          <w:tcPr>
            <w:tcW w:w="654"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本期专项债券调增</w:t>
            </w:r>
          </w:p>
        </w:tc>
        <w:tc>
          <w:tcPr>
            <w:tcW w:w="654"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利息支出</w:t>
            </w:r>
          </w:p>
        </w:tc>
        <w:tc>
          <w:tcPr>
            <w:tcW w:w="654"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7.04</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本期还款</w:t>
            </w:r>
          </w:p>
        </w:tc>
        <w:tc>
          <w:tcPr>
            <w:tcW w:w="654"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7.04</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其中：还本</w:t>
            </w:r>
          </w:p>
        </w:tc>
        <w:tc>
          <w:tcPr>
            <w:tcW w:w="654"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付息</w:t>
            </w:r>
          </w:p>
        </w:tc>
        <w:tc>
          <w:tcPr>
            <w:tcW w:w="654"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7.04</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9"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期末专项债券余额</w:t>
            </w:r>
          </w:p>
        </w:tc>
        <w:tc>
          <w:tcPr>
            <w:tcW w:w="654"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49"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r>
    </w:tbl>
    <w:p>
      <w:pPr>
        <w:widowControl/>
        <w:ind w:firstLine="400" w:firstLineChars="200"/>
        <w:jc w:val="right"/>
        <w:rPr>
          <w:rFonts w:hint="eastAsia" w:ascii="宋体" w:hAnsi="宋体" w:eastAsia="宋体" w:cs="宋体"/>
          <w:kern w:val="0"/>
          <w:sz w:val="20"/>
          <w:szCs w:val="20"/>
          <w:lang w:val="en-GB" w:eastAsia="zh-TW"/>
        </w:rPr>
      </w:pPr>
    </w:p>
    <w:tbl>
      <w:tblPr>
        <w:tblStyle w:val="19"/>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53"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2031</w:t>
            </w:r>
          </w:p>
        </w:tc>
        <w:tc>
          <w:tcPr>
            <w:tcW w:w="653"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2032</w:t>
            </w:r>
          </w:p>
        </w:tc>
        <w:tc>
          <w:tcPr>
            <w:tcW w:w="653"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2033</w:t>
            </w:r>
          </w:p>
        </w:tc>
        <w:tc>
          <w:tcPr>
            <w:tcW w:w="653"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2034</w:t>
            </w:r>
          </w:p>
        </w:tc>
        <w:tc>
          <w:tcPr>
            <w:tcW w:w="633" w:type="pct"/>
            <w:shd w:val="clear" w:color="auto" w:fill="D8D8D8"/>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2035</w:t>
            </w:r>
          </w:p>
        </w:tc>
        <w:tc>
          <w:tcPr>
            <w:tcW w:w="633" w:type="pct"/>
            <w:shd w:val="clear" w:color="auto" w:fill="D8D8D8"/>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期初专项债券余额</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800.00</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本期专项债券调增</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利息支出</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7.04</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140.80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本期还款</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807.04</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940.80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其中：还本</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800.00</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付息</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14.08</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7.04</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140.80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期末专项债券余额</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53" w:type="pct"/>
            <w:shd w:val="clear" w:color="000000" w:fill="FFFFFF"/>
            <w:vAlign w:val="center"/>
          </w:tcPr>
          <w:p>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800.00</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633" w:type="pct"/>
            <w:shd w:val="clear" w:color="000000" w:fill="FFFFFF"/>
            <w:vAlign w:val="center"/>
          </w:tcPr>
          <w:p>
            <w:pPr>
              <w:widowControl/>
              <w:jc w:val="right"/>
              <w:rPr>
                <w:rFonts w:hint="eastAsia" w:ascii="宋体" w:hAnsi="宋体" w:eastAsia="宋体" w:cs="宋体"/>
                <w:b/>
                <w:bCs/>
                <w:color w:val="000000"/>
                <w:kern w:val="0"/>
                <w:sz w:val="20"/>
                <w:szCs w:val="20"/>
                <w:lang w:val="en-GB"/>
              </w:rPr>
            </w:pPr>
          </w:p>
        </w:tc>
      </w:tr>
    </w:tbl>
    <w:p>
      <w:pPr>
        <w:widowControl/>
        <w:ind w:firstLine="360" w:firstLineChars="200"/>
        <w:jc w:val="right"/>
        <w:rPr>
          <w:rFonts w:hint="eastAsia" w:ascii="宋体" w:hAnsi="宋体" w:eastAsia="宋体" w:cs="宋体"/>
          <w:kern w:val="0"/>
          <w:sz w:val="18"/>
          <w:szCs w:val="18"/>
          <w:lang w:val="en-GB" w:eastAsia="zh-TW"/>
        </w:rPr>
      </w:pPr>
    </w:p>
    <w:p>
      <w:pPr>
        <w:widowControl/>
        <w:ind w:firstLine="360" w:firstLineChars="200"/>
        <w:jc w:val="right"/>
        <w:rPr>
          <w:rFonts w:hint="eastAsia" w:ascii="宋体" w:hAnsi="宋体" w:eastAsia="宋体" w:cs="宋体"/>
          <w:kern w:val="0"/>
          <w:sz w:val="18"/>
          <w:szCs w:val="18"/>
          <w:lang w:val="en-GB" w:eastAsia="zh-TW"/>
        </w:rPr>
      </w:pPr>
    </w:p>
    <w:p>
      <w:pPr>
        <w:widowControl/>
        <w:spacing w:before="120" w:after="120" w:line="360" w:lineRule="auto"/>
        <w:outlineLvl w:val="1"/>
        <w:rPr>
          <w:rFonts w:hint="eastAsia" w:ascii="宋体" w:hAnsi="宋体" w:eastAsia="宋体" w:cs="宋体"/>
          <w:b/>
          <w:color w:val="000000"/>
          <w:kern w:val="0"/>
          <w:sz w:val="24"/>
          <w:szCs w:val="24"/>
        </w:rPr>
      </w:pPr>
      <w:bookmarkStart w:id="29" w:name="_Toc200555439"/>
      <w:r>
        <w:rPr>
          <w:rFonts w:hint="eastAsia" w:ascii="宋体" w:hAnsi="宋体" w:eastAsia="宋体" w:cs="宋体"/>
          <w:b/>
          <w:color w:val="000000"/>
          <w:kern w:val="0"/>
          <w:sz w:val="24"/>
          <w:szCs w:val="24"/>
        </w:rPr>
        <w:t>（二）项目收益情况</w:t>
      </w:r>
      <w:bookmarkEnd w:id="29"/>
    </w:p>
    <w:p>
      <w:pPr>
        <w:widowControl/>
        <w:spacing w:before="120" w:after="120" w:line="360" w:lineRule="auto"/>
        <w:ind w:firstLine="482" w:firstLineChars="200"/>
        <w:outlineLvl w:val="2"/>
        <w:rPr>
          <w:rFonts w:hint="eastAsia" w:ascii="宋体" w:hAnsi="宋体" w:eastAsia="宋体" w:cs="宋体"/>
          <w:b/>
          <w:bCs/>
          <w:color w:val="000000"/>
          <w:kern w:val="0"/>
          <w:sz w:val="24"/>
          <w:szCs w:val="24"/>
        </w:rPr>
      </w:pPr>
      <w:bookmarkStart w:id="30" w:name="_Toc200555440"/>
      <w:r>
        <w:rPr>
          <w:rFonts w:hint="eastAsia" w:ascii="宋体" w:hAnsi="宋体" w:eastAsia="宋体" w:cs="宋体"/>
          <w:b/>
          <w:bCs/>
          <w:color w:val="000000"/>
          <w:kern w:val="0"/>
          <w:sz w:val="24"/>
          <w:szCs w:val="24"/>
        </w:rPr>
        <w:t>1.项目收入</w:t>
      </w:r>
      <w:bookmarkEnd w:id="30"/>
    </w:p>
    <w:p>
      <w:pPr>
        <w:widowControl/>
        <w:adjustRightInd w:val="0"/>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（1）土地出让收入预测</w:t>
      </w:r>
    </w:p>
    <w:p>
      <w:pPr>
        <w:widowControl/>
        <w:adjustRightInd w:val="0"/>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根据《2024年海南省政府专项债券（一期）、2024年海南省政府专项债券（八期）、2024年海南省政府专项债券（十五期）、2025年海南省政府专项债券（一期）、2025年海南省政府专项债券（三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pPr>
        <w:widowControl/>
        <w:spacing w:before="159" w:beforeLines="50" w:after="159" w:afterLines="5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表8 土地出让情况表</w:t>
      </w:r>
    </w:p>
    <w:tbl>
      <w:tblPr>
        <w:tblStyle w:val="19"/>
        <w:tblW w:w="55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168"/>
        <w:gridCol w:w="1858"/>
        <w:gridCol w:w="1150"/>
        <w:gridCol w:w="1426"/>
        <w:gridCol w:w="1202"/>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tblHeader/>
          <w:jc w:val="center"/>
        </w:trPr>
        <w:tc>
          <w:tcPr>
            <w:tcW w:w="1162" w:type="pct"/>
            <w:vMerge w:val="restart"/>
            <w:shd w:val="clear" w:color="000000" w:fill="D0CECE"/>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项目名称</w:t>
            </w:r>
          </w:p>
        </w:tc>
        <w:tc>
          <w:tcPr>
            <w:tcW w:w="996" w:type="pct"/>
            <w:vMerge w:val="restart"/>
            <w:shd w:val="clear" w:color="000000" w:fill="D0CECE"/>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地块编号</w:t>
            </w:r>
          </w:p>
        </w:tc>
        <w:tc>
          <w:tcPr>
            <w:tcW w:w="616" w:type="pct"/>
            <w:shd w:val="clear" w:color="000000" w:fill="D0CECE"/>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面积</w:t>
            </w:r>
          </w:p>
        </w:tc>
        <w:tc>
          <w:tcPr>
            <w:tcW w:w="764" w:type="pct"/>
            <w:shd w:val="clear" w:color="000000" w:fill="D0CECE"/>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预估地价</w:t>
            </w:r>
          </w:p>
        </w:tc>
        <w:tc>
          <w:tcPr>
            <w:tcW w:w="644" w:type="pct"/>
            <w:vMerge w:val="restart"/>
            <w:shd w:val="clear" w:color="000000" w:fill="D0CECE"/>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土地性质</w:t>
            </w:r>
          </w:p>
        </w:tc>
        <w:tc>
          <w:tcPr>
            <w:tcW w:w="818" w:type="pct"/>
            <w:vMerge w:val="restart"/>
            <w:shd w:val="clear" w:color="000000" w:fill="D0CECE"/>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预计出让年限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tblHeader/>
          <w:jc w:val="center"/>
        </w:trPr>
        <w:tc>
          <w:tcPr>
            <w:tcW w:w="1162" w:type="pct"/>
            <w:vMerge w:val="continue"/>
            <w:vAlign w:val="center"/>
          </w:tcPr>
          <w:p>
            <w:pPr>
              <w:widowControl/>
              <w:jc w:val="left"/>
              <w:rPr>
                <w:rFonts w:hint="eastAsia" w:ascii="宋体" w:hAnsi="宋体" w:eastAsia="宋体" w:cs="宋体"/>
                <w:b/>
                <w:bCs/>
                <w:color w:val="000000"/>
                <w:kern w:val="0"/>
                <w:sz w:val="20"/>
                <w:szCs w:val="20"/>
                <w:lang w:val="en-GB"/>
              </w:rPr>
            </w:pPr>
          </w:p>
        </w:tc>
        <w:tc>
          <w:tcPr>
            <w:tcW w:w="996" w:type="pct"/>
            <w:vMerge w:val="continue"/>
            <w:vAlign w:val="center"/>
          </w:tcPr>
          <w:p>
            <w:pPr>
              <w:widowControl/>
              <w:jc w:val="left"/>
              <w:rPr>
                <w:rFonts w:hint="eastAsia" w:ascii="宋体" w:hAnsi="宋体" w:eastAsia="宋体" w:cs="宋体"/>
                <w:b/>
                <w:bCs/>
                <w:color w:val="000000"/>
                <w:kern w:val="0"/>
                <w:sz w:val="20"/>
                <w:szCs w:val="20"/>
                <w:lang w:val="en-GB"/>
              </w:rPr>
            </w:pPr>
          </w:p>
        </w:tc>
        <w:tc>
          <w:tcPr>
            <w:tcW w:w="616" w:type="pct"/>
            <w:shd w:val="clear" w:color="000000" w:fill="D0CECE"/>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（亩）</w:t>
            </w:r>
          </w:p>
        </w:tc>
        <w:tc>
          <w:tcPr>
            <w:tcW w:w="764" w:type="pct"/>
            <w:shd w:val="clear" w:color="000000" w:fill="D0CECE"/>
            <w:vAlign w:val="center"/>
          </w:tcPr>
          <w:p>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（万元/亩）</w:t>
            </w:r>
          </w:p>
        </w:tc>
        <w:tc>
          <w:tcPr>
            <w:tcW w:w="644" w:type="pct"/>
            <w:vMerge w:val="continue"/>
            <w:vAlign w:val="center"/>
          </w:tcPr>
          <w:p>
            <w:pPr>
              <w:widowControl/>
              <w:jc w:val="left"/>
              <w:rPr>
                <w:rFonts w:hint="eastAsia" w:ascii="宋体" w:hAnsi="宋体" w:eastAsia="宋体" w:cs="宋体"/>
                <w:b/>
                <w:bCs/>
                <w:color w:val="000000"/>
                <w:kern w:val="0"/>
                <w:sz w:val="20"/>
                <w:szCs w:val="20"/>
                <w:lang w:val="en-GB"/>
              </w:rPr>
            </w:pPr>
          </w:p>
        </w:tc>
        <w:tc>
          <w:tcPr>
            <w:tcW w:w="818" w:type="pct"/>
            <w:vMerge w:val="continue"/>
            <w:vAlign w:val="center"/>
          </w:tcPr>
          <w:p>
            <w:pPr>
              <w:widowControl/>
              <w:jc w:val="left"/>
              <w:rPr>
                <w:rFonts w:hint="eastAsia" w:ascii="宋体" w:hAnsi="宋体" w:eastAsia="宋体" w:cs="宋体"/>
                <w:b/>
                <w:bCs/>
                <w:color w:val="000000"/>
                <w:kern w:val="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jc w:val="center"/>
        </w:trPr>
        <w:tc>
          <w:tcPr>
            <w:tcW w:w="1162" w:type="pct"/>
            <w:vMerge w:val="restart"/>
            <w:shd w:val="clear" w:color="auto" w:fill="auto"/>
            <w:noWrap/>
            <w:vAlign w:val="center"/>
          </w:tcPr>
          <w:p>
            <w:pPr>
              <w:widowControl/>
              <w:jc w:val="left"/>
              <w:rPr>
                <w:rFonts w:hint="eastAsia" w:ascii="宋体" w:hAnsi="宋体" w:eastAsia="宋体" w:cs="宋体"/>
                <w:color w:val="000000"/>
                <w:kern w:val="0"/>
                <w:sz w:val="20"/>
                <w:szCs w:val="20"/>
                <w:lang w:val="en-GB"/>
              </w:rPr>
            </w:pPr>
            <w:r>
              <w:rPr>
                <w:rFonts w:hint="eastAsia" w:ascii="宋体" w:hAnsi="宋体" w:eastAsia="宋体" w:cs="宋体"/>
                <w:kern w:val="0"/>
                <w:sz w:val="20"/>
                <w:szCs w:val="20"/>
                <w:lang w:val="en-GB"/>
              </w:rPr>
              <w:t>兰香园安置社区配套路网项目</w:t>
            </w:r>
          </w:p>
        </w:tc>
        <w:tc>
          <w:tcPr>
            <w:tcW w:w="996"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JDZH-02-A09-1-07</w:t>
            </w:r>
          </w:p>
        </w:tc>
        <w:tc>
          <w:tcPr>
            <w:tcW w:w="616"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0.85</w:t>
            </w:r>
          </w:p>
        </w:tc>
        <w:tc>
          <w:tcPr>
            <w:tcW w:w="764"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1,500.00</w:t>
            </w:r>
          </w:p>
        </w:tc>
        <w:tc>
          <w:tcPr>
            <w:tcW w:w="644"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二类居住</w:t>
            </w:r>
          </w:p>
        </w:tc>
        <w:tc>
          <w:tcPr>
            <w:tcW w:w="818"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2026-2035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 w:hRule="atLeast"/>
          <w:jc w:val="center"/>
        </w:trPr>
        <w:tc>
          <w:tcPr>
            <w:tcW w:w="1162" w:type="pct"/>
            <w:vMerge w:val="continue"/>
            <w:shd w:val="clear" w:color="auto" w:fill="auto"/>
            <w:noWrap/>
            <w:vAlign w:val="center"/>
          </w:tcPr>
          <w:p>
            <w:pPr>
              <w:widowControl/>
              <w:jc w:val="left"/>
              <w:rPr>
                <w:rFonts w:hint="eastAsia" w:ascii="宋体" w:hAnsi="宋体" w:eastAsia="宋体" w:cs="宋体"/>
                <w:kern w:val="0"/>
                <w:sz w:val="20"/>
                <w:szCs w:val="20"/>
                <w:lang w:val="en-GB"/>
              </w:rPr>
            </w:pPr>
          </w:p>
        </w:tc>
        <w:tc>
          <w:tcPr>
            <w:tcW w:w="996"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JDZH-06-G08-05</w:t>
            </w:r>
          </w:p>
        </w:tc>
        <w:tc>
          <w:tcPr>
            <w:tcW w:w="616"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0.10</w:t>
            </w:r>
          </w:p>
        </w:tc>
        <w:tc>
          <w:tcPr>
            <w:tcW w:w="764"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1,500.00</w:t>
            </w:r>
          </w:p>
        </w:tc>
        <w:tc>
          <w:tcPr>
            <w:tcW w:w="644"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二类居住</w:t>
            </w:r>
          </w:p>
        </w:tc>
        <w:tc>
          <w:tcPr>
            <w:tcW w:w="818" w:type="pct"/>
            <w:shd w:val="clear" w:color="auto" w:fill="auto"/>
            <w:noWrap/>
            <w:vAlign w:val="center"/>
          </w:tcPr>
          <w:p>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2026-2035</w:t>
            </w:r>
          </w:p>
        </w:tc>
      </w:tr>
    </w:tbl>
    <w:p>
      <w:pPr>
        <w:widowControl/>
        <w:adjustRightInd w:val="0"/>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（2）广告牌出租收入预测</w:t>
      </w:r>
    </w:p>
    <w:p>
      <w:pPr>
        <w:widowControl/>
        <w:adjustRightInd w:val="0"/>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本项目预留5个广告牌，结合周边同区域、同水平、同档位的广告出租单价暂按5,000.00元/个/月计算，基于谨慎性原则，运营期出租率暂按90%考虑。</w:t>
      </w:r>
    </w:p>
    <w:p>
      <w:pPr>
        <w:widowControl/>
        <w:spacing w:before="120" w:after="120" w:line="360" w:lineRule="auto"/>
        <w:ind w:firstLine="482" w:firstLineChars="200"/>
        <w:outlineLvl w:val="2"/>
        <w:rPr>
          <w:rFonts w:hint="eastAsia" w:ascii="宋体" w:hAnsi="宋体" w:eastAsia="宋体" w:cs="宋体"/>
          <w:b/>
          <w:bCs/>
          <w:color w:val="000000"/>
          <w:kern w:val="0"/>
          <w:sz w:val="24"/>
          <w:szCs w:val="24"/>
        </w:rPr>
      </w:pPr>
      <w:bookmarkStart w:id="31" w:name="_Toc200555441"/>
      <w:r>
        <w:rPr>
          <w:rFonts w:hint="eastAsia" w:ascii="宋体" w:hAnsi="宋体" w:eastAsia="宋体" w:cs="宋体"/>
          <w:b/>
          <w:bCs/>
          <w:color w:val="000000"/>
          <w:kern w:val="0"/>
          <w:sz w:val="24"/>
          <w:szCs w:val="24"/>
        </w:rPr>
        <w:t>2.项目成本</w:t>
      </w:r>
      <w:bookmarkEnd w:id="31"/>
    </w:p>
    <w:p>
      <w:pPr>
        <w:widowControl/>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（1）土地出让成本</w:t>
      </w:r>
    </w:p>
    <w:p>
      <w:pPr>
        <w:widowControl/>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25%计提。按照预估的土地出让单价、出让计划及成本费用在项目存续期间有稳定的政府性基金收入及专项收入，可稳定覆盖债券存续期间各年利息及到期偿还本金的支出需求。</w:t>
      </w:r>
    </w:p>
    <w:p>
      <w:pPr>
        <w:widowControl/>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（2）运营成本</w:t>
      </w:r>
    </w:p>
    <w:p>
      <w:pPr>
        <w:widowControl/>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参考同类项目运营管理经验，运营成本一般按照项目运营收入的一定比例预估。参考同类项目运营成本占比数据，本项目运营成本暂按广告牌出租收入的20%测算。</w:t>
      </w:r>
    </w:p>
    <w:p>
      <w:pPr>
        <w:widowControl/>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（3）相关税费</w:t>
      </w:r>
    </w:p>
    <w:p>
      <w:pPr>
        <w:widowControl/>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A．增值税：根据《中华人民共和国增值税法》，广告牌出租收入增值税税率为9%。</w:t>
      </w:r>
    </w:p>
    <w:p>
      <w:pPr>
        <w:widowControl/>
        <w:spacing w:before="120" w:after="120" w:line="360" w:lineRule="auto"/>
        <w:ind w:firstLine="480" w:firstLineChars="200"/>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pPr>
        <w:widowControl/>
        <w:spacing w:before="120" w:after="120" w:line="360" w:lineRule="auto"/>
        <w:ind w:firstLine="480" w:firstLineChars="200"/>
        <w:rPr>
          <w:rFonts w:hint="eastAsia" w:ascii="宋体" w:hAnsi="宋体" w:eastAsia="宋体" w:cs="宋体"/>
          <w:b/>
          <w:kern w:val="0"/>
          <w:sz w:val="24"/>
          <w:szCs w:val="24"/>
          <w:lang w:val="en-GB"/>
        </w:rPr>
      </w:pPr>
      <w:r>
        <w:rPr>
          <w:rFonts w:hint="eastAsia" w:ascii="宋体" w:hAnsi="宋体" w:eastAsia="宋体" w:cs="宋体"/>
          <w:color w:val="000000"/>
          <w:kern w:val="0"/>
          <w:sz w:val="24"/>
          <w:szCs w:val="24"/>
          <w:lang w:val="en-GB"/>
        </w:rPr>
        <w:t>C．企业所得税：根据《海南自由贸易港建设总体方案》，对注册在海南自贸港并实质性运营的企业（负面清单行业除外），减按15%征收企业所得税。</w:t>
      </w:r>
    </w:p>
    <w:p>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表9 兰香园安置社区配套路网项目收入成本预测表</w:t>
      </w:r>
    </w:p>
    <w:p>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57"/>
        <w:gridCol w:w="951"/>
        <w:gridCol w:w="951"/>
        <w:gridCol w:w="951"/>
        <w:gridCol w:w="951"/>
        <w:gridCol w:w="951"/>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1590" w:type="pct"/>
            <w:shd w:val="clear" w:color="auto" w:fill="D8D8D8" w:themeFill="background1" w:themeFillShade="D9"/>
            <w:vAlign w:val="center"/>
          </w:tcPr>
          <w:p>
            <w:pPr>
              <w:jc w:val="center"/>
              <w:rPr>
                <w:rFonts w:hint="eastAsia" w:ascii="宋体" w:hAnsi="宋体" w:eastAsia="宋体" w:cs="等线 Light"/>
                <w:b/>
                <w:color w:val="000000"/>
                <w:szCs w:val="20"/>
              </w:rPr>
            </w:pPr>
            <w:r>
              <w:rPr>
                <w:rFonts w:hint="eastAsia" w:ascii="宋体" w:hAnsi="宋体" w:eastAsia="宋体" w:cs="等线 Light"/>
                <w:b/>
                <w:color w:val="000000"/>
                <w:szCs w:val="20"/>
                <w:lang w:eastAsia="zh-TW"/>
              </w:rPr>
              <w:t>运营期</w:t>
            </w:r>
          </w:p>
        </w:tc>
        <w:tc>
          <w:tcPr>
            <w:tcW w:w="569" w:type="pct"/>
            <w:shd w:val="clear" w:color="auto" w:fill="D8D8D8" w:themeFill="background1" w:themeFillShade="D9"/>
          </w:tcPr>
          <w:p>
            <w:pPr>
              <w:jc w:val="center"/>
              <w:rPr>
                <w:rFonts w:hint="eastAsia" w:ascii="宋体" w:hAnsi="宋体" w:eastAsia="宋体" w:cs="等线 Light"/>
                <w:b/>
                <w:szCs w:val="20"/>
              </w:rPr>
            </w:pPr>
            <w:r>
              <w:rPr>
                <w:rFonts w:hint="eastAsia" w:ascii="宋体" w:hAnsi="宋体" w:eastAsia="宋体" w:cs="等线 Light"/>
                <w:b/>
                <w:szCs w:val="20"/>
              </w:rPr>
              <w:t>2026</w:t>
            </w:r>
          </w:p>
        </w:tc>
        <w:tc>
          <w:tcPr>
            <w:tcW w:w="569" w:type="pct"/>
            <w:shd w:val="clear" w:color="auto" w:fill="D8D8D8" w:themeFill="background1" w:themeFillShade="D9"/>
            <w:vAlign w:val="center"/>
          </w:tcPr>
          <w:p>
            <w:pPr>
              <w:jc w:val="center"/>
              <w:rPr>
                <w:rFonts w:hint="eastAsia" w:ascii="宋体" w:hAnsi="宋体" w:eastAsia="宋体" w:cs="Cambria Math"/>
                <w:b/>
                <w:color w:val="000000"/>
                <w:szCs w:val="20"/>
                <w:lang w:eastAsia="zh-TW"/>
              </w:rPr>
            </w:pPr>
            <w:r>
              <w:rPr>
                <w:rFonts w:hint="eastAsia" w:ascii="宋体" w:hAnsi="宋体" w:eastAsia="宋体" w:cs="等线 Light"/>
                <w:b/>
                <w:szCs w:val="20"/>
              </w:rPr>
              <w:t>2027</w:t>
            </w:r>
          </w:p>
        </w:tc>
        <w:tc>
          <w:tcPr>
            <w:tcW w:w="569" w:type="pct"/>
            <w:shd w:val="clear" w:color="auto" w:fill="D8D8D8" w:themeFill="background1" w:themeFillShade="D9"/>
            <w:vAlign w:val="center"/>
          </w:tcPr>
          <w:p>
            <w:pPr>
              <w:jc w:val="center"/>
              <w:rPr>
                <w:rFonts w:hint="eastAsia" w:ascii="宋体" w:hAnsi="宋体" w:eastAsia="宋体" w:cs="Cambria Math"/>
                <w:b/>
                <w:color w:val="000000"/>
                <w:szCs w:val="20"/>
                <w:lang w:eastAsia="zh-TW"/>
              </w:rPr>
            </w:pPr>
            <w:r>
              <w:rPr>
                <w:rFonts w:hint="eastAsia" w:ascii="宋体" w:hAnsi="宋体" w:eastAsia="宋体" w:cs="等线 Light"/>
                <w:b/>
                <w:szCs w:val="20"/>
              </w:rPr>
              <w:t>2028</w:t>
            </w:r>
          </w:p>
        </w:tc>
        <w:tc>
          <w:tcPr>
            <w:tcW w:w="569" w:type="pct"/>
            <w:shd w:val="clear" w:color="auto" w:fill="D8D8D8" w:themeFill="background1" w:themeFillShade="D9"/>
            <w:vAlign w:val="center"/>
          </w:tcPr>
          <w:p>
            <w:pPr>
              <w:jc w:val="center"/>
              <w:rPr>
                <w:rFonts w:hint="eastAsia" w:ascii="宋体" w:hAnsi="宋体" w:eastAsia="宋体" w:cs="Cambria Math"/>
                <w:b/>
                <w:color w:val="000000"/>
                <w:szCs w:val="20"/>
                <w:lang w:eastAsia="zh-TW"/>
              </w:rPr>
            </w:pPr>
            <w:r>
              <w:rPr>
                <w:rFonts w:hint="eastAsia" w:ascii="宋体" w:hAnsi="宋体" w:eastAsia="宋体" w:cs="等线 Light"/>
                <w:b/>
                <w:szCs w:val="20"/>
              </w:rPr>
              <w:t>2</w:t>
            </w:r>
            <w:r>
              <w:rPr>
                <w:rFonts w:ascii="宋体" w:hAnsi="宋体" w:eastAsia="宋体" w:cs="等线 Light"/>
                <w:b/>
                <w:szCs w:val="20"/>
              </w:rPr>
              <w:t>029</w:t>
            </w:r>
          </w:p>
        </w:tc>
        <w:tc>
          <w:tcPr>
            <w:tcW w:w="569" w:type="pct"/>
            <w:shd w:val="clear" w:color="auto" w:fill="D8D8D8" w:themeFill="background1" w:themeFillShade="D9"/>
          </w:tcPr>
          <w:p>
            <w:pPr>
              <w:jc w:val="center"/>
              <w:rPr>
                <w:rFonts w:hint="eastAsia" w:ascii="宋体" w:hAnsi="宋体" w:eastAsia="宋体" w:cs="等线 Light"/>
                <w:b/>
                <w:szCs w:val="20"/>
              </w:rPr>
            </w:pPr>
            <w:r>
              <w:rPr>
                <w:rFonts w:hint="eastAsia" w:ascii="宋体" w:hAnsi="宋体" w:eastAsia="宋体" w:cs="等线 Light"/>
                <w:b/>
                <w:szCs w:val="20"/>
              </w:rPr>
              <w:t>2</w:t>
            </w:r>
            <w:r>
              <w:rPr>
                <w:rFonts w:ascii="宋体" w:hAnsi="宋体" w:eastAsia="宋体" w:cs="等线 Light"/>
                <w:b/>
                <w:szCs w:val="20"/>
              </w:rPr>
              <w:t>030</w:t>
            </w:r>
          </w:p>
        </w:tc>
        <w:tc>
          <w:tcPr>
            <w:tcW w:w="565" w:type="pct"/>
            <w:shd w:val="clear" w:color="auto" w:fill="D8D8D8" w:themeFill="background1" w:themeFillShade="D9"/>
            <w:vAlign w:val="center"/>
          </w:tcPr>
          <w:p>
            <w:pPr>
              <w:jc w:val="center"/>
              <w:rPr>
                <w:rFonts w:hint="eastAsia" w:ascii="宋体" w:hAnsi="宋体" w:eastAsia="宋体" w:cs="等线 Light"/>
                <w:b/>
                <w:szCs w:val="20"/>
              </w:rPr>
            </w:pPr>
            <w:r>
              <w:rPr>
                <w:rFonts w:hint="eastAsia" w:ascii="宋体" w:hAnsi="宋体" w:eastAsia="宋体" w:cs="Cambria Math"/>
                <w:b/>
                <w:color w:val="000000"/>
                <w:szCs w:val="20"/>
                <w:lang w:eastAsia="zh-TW"/>
              </w:rPr>
              <w:t>20</w:t>
            </w:r>
            <w:r>
              <w:rPr>
                <w:rFonts w:ascii="宋体" w:hAnsi="宋体" w:eastAsia="宋体" w:cs="Cambria Math"/>
                <w:b/>
                <w:color w:val="000000"/>
                <w:szCs w:val="20"/>
                <w:lang w:eastAsia="zh-TW"/>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90" w:type="pct"/>
            <w:shd w:val="clear" w:color="000000" w:fill="FFFFFF"/>
          </w:tcPr>
          <w:p>
            <w:pPr>
              <w:rPr>
                <w:rFonts w:hint="eastAsia" w:ascii="宋体" w:hAnsi="宋体" w:eastAsia="宋体" w:cs="等线 Light"/>
                <w:color w:val="000000"/>
                <w:szCs w:val="20"/>
              </w:rPr>
            </w:pPr>
            <w:r>
              <w:rPr>
                <w:rFonts w:hint="eastAsia" w:ascii="宋体" w:hAnsi="宋体" w:eastAsia="宋体"/>
              </w:rPr>
              <w:t>土地出让收入</w:t>
            </w:r>
          </w:p>
        </w:tc>
        <w:tc>
          <w:tcPr>
            <w:tcW w:w="569"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270.75</w:t>
            </w:r>
          </w:p>
        </w:tc>
        <w:tc>
          <w:tcPr>
            <w:tcW w:w="569"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128.25</w:t>
            </w:r>
          </w:p>
        </w:tc>
        <w:tc>
          <w:tcPr>
            <w:tcW w:w="569"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128.25</w:t>
            </w:r>
          </w:p>
        </w:tc>
        <w:tc>
          <w:tcPr>
            <w:tcW w:w="569"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128.25</w:t>
            </w:r>
          </w:p>
        </w:tc>
        <w:tc>
          <w:tcPr>
            <w:tcW w:w="569" w:type="pct"/>
            <w:shd w:val="clear" w:color="000000" w:fill="FFFFFF"/>
            <w:vAlign w:val="center"/>
          </w:tcPr>
          <w:p>
            <w:pPr>
              <w:jc w:val="right"/>
              <w:rPr>
                <w:rFonts w:hint="eastAsia" w:ascii="宋体" w:hAnsi="宋体" w:eastAsia="宋体"/>
                <w:b/>
                <w:bCs/>
                <w:szCs w:val="20"/>
              </w:rPr>
            </w:pPr>
            <w:r>
              <w:rPr>
                <w:rFonts w:hint="eastAsia" w:ascii="宋体" w:hAnsi="宋体" w:eastAsia="宋体"/>
                <w:color w:val="000000"/>
                <w:szCs w:val="20"/>
              </w:rPr>
              <w:t>128.25</w:t>
            </w:r>
          </w:p>
        </w:tc>
        <w:tc>
          <w:tcPr>
            <w:tcW w:w="565" w:type="pct"/>
            <w:shd w:val="clear" w:color="000000"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128.25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90" w:type="pct"/>
            <w:shd w:val="clear" w:color="000000" w:fill="FFFFFF"/>
          </w:tcPr>
          <w:p>
            <w:pPr>
              <w:rPr>
                <w:rFonts w:hint="eastAsia" w:ascii="宋体" w:hAnsi="宋体" w:eastAsia="宋体" w:cs="等线 Light"/>
                <w:b/>
                <w:color w:val="000000"/>
                <w:szCs w:val="20"/>
                <w:lang w:eastAsia="zh-TW"/>
              </w:rPr>
            </w:pPr>
            <w:r>
              <w:rPr>
                <w:rFonts w:hint="eastAsia" w:ascii="宋体" w:hAnsi="宋体" w:eastAsia="宋体"/>
              </w:rPr>
              <w:t>广告牌出租收入</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565"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90" w:type="pct"/>
            <w:shd w:val="clear" w:color="000000" w:fill="FFFFFF"/>
          </w:tcPr>
          <w:p>
            <w:pPr>
              <w:rPr>
                <w:rFonts w:hint="eastAsia" w:ascii="宋体" w:hAnsi="宋体" w:eastAsia="宋体" w:cs="等线 Light"/>
                <w:b/>
                <w:bCs/>
                <w:color w:val="000000"/>
                <w:szCs w:val="20"/>
                <w:lang w:eastAsia="zh-TW"/>
              </w:rPr>
            </w:pPr>
            <w:r>
              <w:rPr>
                <w:rFonts w:hint="eastAsia" w:ascii="宋体" w:hAnsi="宋体" w:eastAsia="宋体"/>
                <w:b/>
                <w:bCs/>
              </w:rPr>
              <w:t>收入合计</w:t>
            </w:r>
          </w:p>
        </w:tc>
        <w:tc>
          <w:tcPr>
            <w:tcW w:w="569"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297.75</w:t>
            </w:r>
          </w:p>
        </w:tc>
        <w:tc>
          <w:tcPr>
            <w:tcW w:w="569"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c>
          <w:tcPr>
            <w:tcW w:w="569"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c>
          <w:tcPr>
            <w:tcW w:w="569"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c>
          <w:tcPr>
            <w:tcW w:w="569"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c>
          <w:tcPr>
            <w:tcW w:w="565"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90" w:type="pct"/>
            <w:shd w:val="clear" w:color="000000" w:fill="FFFFFF"/>
          </w:tcPr>
          <w:p>
            <w:pPr>
              <w:rPr>
                <w:rFonts w:hint="eastAsia" w:ascii="宋体" w:hAnsi="宋体" w:eastAsia="宋体" w:cs="等线 Light"/>
                <w:b/>
                <w:color w:val="000000"/>
                <w:szCs w:val="20"/>
                <w:lang w:eastAsia="zh-TW"/>
              </w:rPr>
            </w:pPr>
            <w:r>
              <w:rPr>
                <w:rFonts w:hint="eastAsia" w:ascii="宋体" w:hAnsi="宋体" w:eastAsia="宋体"/>
              </w:rPr>
              <w:t>土地出让成本</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67.69</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c>
          <w:tcPr>
            <w:tcW w:w="569"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c>
          <w:tcPr>
            <w:tcW w:w="565"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90" w:type="pct"/>
            <w:shd w:val="clear" w:color="000000" w:fill="FFFFFF"/>
          </w:tcPr>
          <w:p>
            <w:pPr>
              <w:rPr>
                <w:rFonts w:hint="eastAsia" w:ascii="宋体" w:hAnsi="宋体" w:eastAsia="宋体" w:cs="等线 Light"/>
                <w:b/>
                <w:color w:val="000000"/>
                <w:szCs w:val="20"/>
              </w:rPr>
            </w:pPr>
            <w:r>
              <w:rPr>
                <w:rFonts w:hint="eastAsia" w:ascii="宋体" w:hAnsi="宋体" w:eastAsia="宋体"/>
              </w:rPr>
              <w:t>运营成本</w:t>
            </w:r>
          </w:p>
        </w:tc>
        <w:tc>
          <w:tcPr>
            <w:tcW w:w="569" w:type="pct"/>
            <w:shd w:val="clear" w:color="000000" w:fill="FFFFFF"/>
            <w:vAlign w:val="center"/>
          </w:tcPr>
          <w:p>
            <w:pPr>
              <w:jc w:val="right"/>
              <w:rPr>
                <w:rFonts w:hint="eastAsia" w:ascii="宋体" w:hAnsi="宋体" w:eastAsia="宋体"/>
                <w:b/>
                <w:szCs w:val="20"/>
              </w:rPr>
            </w:pPr>
            <w:r>
              <w:rPr>
                <w:rFonts w:hint="eastAsia" w:ascii="宋体" w:hAnsi="宋体" w:eastAsia="宋体"/>
                <w:color w:val="000000"/>
                <w:szCs w:val="20"/>
              </w:rPr>
              <w:t>5.40</w:t>
            </w:r>
          </w:p>
        </w:tc>
        <w:tc>
          <w:tcPr>
            <w:tcW w:w="569" w:type="pct"/>
            <w:shd w:val="clear" w:color="000000" w:fill="FFFFFF"/>
            <w:vAlign w:val="center"/>
          </w:tcPr>
          <w:p>
            <w:pPr>
              <w:jc w:val="right"/>
              <w:rPr>
                <w:rFonts w:hint="eastAsia" w:ascii="宋体" w:hAnsi="宋体" w:eastAsia="宋体"/>
                <w:b/>
                <w:szCs w:val="20"/>
              </w:rPr>
            </w:pPr>
            <w:r>
              <w:rPr>
                <w:rFonts w:hint="eastAsia" w:ascii="宋体" w:hAnsi="宋体" w:eastAsia="宋体"/>
                <w:color w:val="000000"/>
                <w:szCs w:val="20"/>
              </w:rPr>
              <w:t>5.40</w:t>
            </w:r>
          </w:p>
        </w:tc>
        <w:tc>
          <w:tcPr>
            <w:tcW w:w="569" w:type="pct"/>
            <w:shd w:val="clear" w:color="000000" w:fill="FFFFFF"/>
            <w:vAlign w:val="center"/>
          </w:tcPr>
          <w:p>
            <w:pPr>
              <w:jc w:val="right"/>
              <w:rPr>
                <w:rFonts w:hint="eastAsia" w:ascii="宋体" w:hAnsi="宋体" w:eastAsia="宋体"/>
                <w:b/>
                <w:szCs w:val="20"/>
              </w:rPr>
            </w:pPr>
            <w:r>
              <w:rPr>
                <w:rFonts w:hint="eastAsia" w:ascii="宋体" w:hAnsi="宋体" w:eastAsia="宋体"/>
                <w:color w:val="000000"/>
                <w:szCs w:val="20"/>
              </w:rPr>
              <w:t>5.40</w:t>
            </w:r>
          </w:p>
        </w:tc>
        <w:tc>
          <w:tcPr>
            <w:tcW w:w="569" w:type="pct"/>
            <w:shd w:val="clear" w:color="000000" w:fill="FFFFFF"/>
            <w:vAlign w:val="center"/>
          </w:tcPr>
          <w:p>
            <w:pPr>
              <w:jc w:val="right"/>
              <w:rPr>
                <w:rFonts w:hint="eastAsia" w:ascii="宋体" w:hAnsi="宋体" w:eastAsia="宋体"/>
                <w:b/>
                <w:szCs w:val="20"/>
              </w:rPr>
            </w:pPr>
            <w:r>
              <w:rPr>
                <w:rFonts w:hint="eastAsia" w:ascii="宋体" w:hAnsi="宋体" w:eastAsia="宋体"/>
                <w:color w:val="000000"/>
                <w:szCs w:val="20"/>
              </w:rPr>
              <w:t>5.40</w:t>
            </w:r>
          </w:p>
        </w:tc>
        <w:tc>
          <w:tcPr>
            <w:tcW w:w="569" w:type="pct"/>
            <w:shd w:val="clear" w:color="000000" w:fill="FFFFFF"/>
            <w:vAlign w:val="center"/>
          </w:tcPr>
          <w:p>
            <w:pPr>
              <w:jc w:val="right"/>
              <w:rPr>
                <w:rFonts w:hint="eastAsia" w:ascii="宋体" w:hAnsi="宋体" w:eastAsia="宋体"/>
                <w:b/>
                <w:szCs w:val="20"/>
              </w:rPr>
            </w:pPr>
            <w:r>
              <w:rPr>
                <w:rFonts w:hint="eastAsia" w:ascii="宋体" w:hAnsi="宋体" w:eastAsia="宋体"/>
                <w:color w:val="000000"/>
                <w:szCs w:val="20"/>
              </w:rPr>
              <w:t>5.40</w:t>
            </w:r>
          </w:p>
        </w:tc>
        <w:tc>
          <w:tcPr>
            <w:tcW w:w="565" w:type="pct"/>
            <w:shd w:val="clear" w:color="000000" w:fill="FFFFFF"/>
            <w:vAlign w:val="center"/>
          </w:tcPr>
          <w:p>
            <w:pPr>
              <w:jc w:val="right"/>
              <w:rPr>
                <w:rFonts w:hint="eastAsia" w:ascii="宋体" w:hAnsi="宋体" w:eastAsia="宋体"/>
                <w:b/>
                <w:color w:val="000000"/>
                <w:szCs w:val="20"/>
              </w:rPr>
            </w:pPr>
            <w:r>
              <w:rPr>
                <w:rFonts w:hint="eastAsia" w:ascii="宋体" w:hAnsi="宋体" w:eastAsia="宋体"/>
                <w:color w:val="000000"/>
                <w:szCs w:val="20"/>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90" w:type="pct"/>
            <w:shd w:val="clear" w:color="000000" w:fill="FFFFFF"/>
          </w:tcPr>
          <w:p>
            <w:pPr>
              <w:rPr>
                <w:rFonts w:hint="eastAsia" w:ascii="宋体" w:hAnsi="宋体" w:eastAsia="宋体" w:cs="等线 Light"/>
                <w:color w:val="000000"/>
                <w:szCs w:val="20"/>
              </w:rPr>
            </w:pPr>
            <w:r>
              <w:rPr>
                <w:rFonts w:hint="eastAsia" w:ascii="宋体" w:hAnsi="宋体" w:eastAsia="宋体"/>
              </w:rPr>
              <w:t>相关税费</w:t>
            </w:r>
          </w:p>
        </w:tc>
        <w:tc>
          <w:tcPr>
            <w:tcW w:w="569"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2.15</w:t>
            </w:r>
          </w:p>
        </w:tc>
        <w:tc>
          <w:tcPr>
            <w:tcW w:w="569"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2.15</w:t>
            </w:r>
          </w:p>
        </w:tc>
        <w:tc>
          <w:tcPr>
            <w:tcW w:w="569"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2.15</w:t>
            </w:r>
          </w:p>
        </w:tc>
        <w:tc>
          <w:tcPr>
            <w:tcW w:w="569"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2.15</w:t>
            </w:r>
          </w:p>
        </w:tc>
        <w:tc>
          <w:tcPr>
            <w:tcW w:w="569" w:type="pct"/>
            <w:shd w:val="clear" w:color="000000" w:fill="FFFFFF"/>
            <w:vAlign w:val="center"/>
          </w:tcPr>
          <w:p>
            <w:pPr>
              <w:jc w:val="right"/>
              <w:rPr>
                <w:rFonts w:hint="eastAsia" w:ascii="宋体" w:hAnsi="宋体" w:eastAsia="宋体"/>
                <w:b/>
                <w:bCs/>
                <w:szCs w:val="20"/>
              </w:rPr>
            </w:pPr>
            <w:r>
              <w:rPr>
                <w:rFonts w:hint="eastAsia" w:ascii="宋体" w:hAnsi="宋体" w:eastAsia="宋体"/>
                <w:color w:val="000000"/>
                <w:szCs w:val="20"/>
              </w:rPr>
              <w:t>2.15</w:t>
            </w:r>
          </w:p>
        </w:tc>
        <w:tc>
          <w:tcPr>
            <w:tcW w:w="565" w:type="pct"/>
            <w:shd w:val="clear" w:color="000000" w:fill="FFFFFF"/>
            <w:vAlign w:val="center"/>
          </w:tcPr>
          <w:p>
            <w:pPr>
              <w:jc w:val="right"/>
              <w:rPr>
                <w:rFonts w:hint="eastAsia" w:ascii="宋体" w:hAnsi="宋体" w:eastAsia="宋体"/>
                <w:color w:val="000000"/>
                <w:szCs w:val="20"/>
              </w:rPr>
            </w:pPr>
            <w:r>
              <w:rPr>
                <w:rFonts w:hint="eastAsia" w:ascii="宋体" w:hAnsi="宋体" w:eastAsia="宋体"/>
                <w:color w:val="000000"/>
                <w:szCs w:val="20"/>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90" w:type="pct"/>
            <w:shd w:val="clear" w:color="000000" w:fill="FFFFFF"/>
          </w:tcPr>
          <w:p>
            <w:pPr>
              <w:rPr>
                <w:rFonts w:hint="eastAsia" w:ascii="宋体" w:hAnsi="宋体" w:eastAsia="宋体" w:cs="等线 Light"/>
                <w:b/>
                <w:bCs/>
                <w:color w:val="000000"/>
                <w:szCs w:val="20"/>
              </w:rPr>
            </w:pPr>
            <w:r>
              <w:rPr>
                <w:rFonts w:hint="eastAsia" w:ascii="宋体" w:hAnsi="宋体" w:eastAsia="宋体"/>
                <w:b/>
                <w:bCs/>
              </w:rPr>
              <w:t>成本合计</w:t>
            </w:r>
          </w:p>
        </w:tc>
        <w:tc>
          <w:tcPr>
            <w:tcW w:w="569"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75.24</w:t>
            </w:r>
          </w:p>
        </w:tc>
        <w:tc>
          <w:tcPr>
            <w:tcW w:w="569"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39.61</w:t>
            </w:r>
          </w:p>
        </w:tc>
        <w:tc>
          <w:tcPr>
            <w:tcW w:w="569"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39.61</w:t>
            </w:r>
          </w:p>
        </w:tc>
        <w:tc>
          <w:tcPr>
            <w:tcW w:w="569"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39.61</w:t>
            </w:r>
          </w:p>
        </w:tc>
        <w:tc>
          <w:tcPr>
            <w:tcW w:w="569"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39.61</w:t>
            </w:r>
          </w:p>
        </w:tc>
        <w:tc>
          <w:tcPr>
            <w:tcW w:w="565" w:type="pct"/>
            <w:shd w:val="clear" w:color="000000"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39.61</w:t>
            </w:r>
          </w:p>
        </w:tc>
      </w:tr>
    </w:tbl>
    <w:p>
      <w:pPr>
        <w:widowControl/>
        <w:ind w:firstLine="360" w:firstLineChars="200"/>
        <w:jc w:val="right"/>
        <w:rPr>
          <w:rFonts w:ascii="宋体" w:hAnsi="宋体" w:eastAsia="宋体" w:cs="宋体"/>
          <w:kern w:val="0"/>
          <w:sz w:val="18"/>
          <w:szCs w:val="18"/>
          <w:lang w:val="en-GB"/>
        </w:rPr>
      </w:pPr>
    </w:p>
    <w:tbl>
      <w:tblPr>
        <w:tblStyle w:val="19"/>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883"/>
        <w:gridCol w:w="1093"/>
        <w:gridCol w:w="1093"/>
        <w:gridCol w:w="1093"/>
        <w:gridCol w:w="1231"/>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tblHeader/>
          <w:jc w:val="center"/>
        </w:trPr>
        <w:tc>
          <w:tcPr>
            <w:tcW w:w="1672" w:type="pct"/>
            <w:shd w:val="clear" w:color="auto" w:fill="D8D8D8" w:themeFill="background1" w:themeFillShade="D9"/>
            <w:vAlign w:val="center"/>
          </w:tcPr>
          <w:p>
            <w:pPr>
              <w:jc w:val="center"/>
              <w:rPr>
                <w:rFonts w:hint="eastAsia" w:ascii="宋体" w:hAnsi="宋体" w:eastAsia="宋体" w:cs="等线 Light"/>
                <w:b/>
                <w:color w:val="000000"/>
                <w:szCs w:val="20"/>
              </w:rPr>
            </w:pPr>
            <w:r>
              <w:rPr>
                <w:rFonts w:hint="eastAsia" w:ascii="宋体" w:hAnsi="宋体" w:eastAsia="宋体" w:cs="等线 Light"/>
                <w:b/>
                <w:color w:val="000000"/>
                <w:szCs w:val="20"/>
                <w:lang w:eastAsia="zh-TW"/>
              </w:rPr>
              <w:t>运营期</w:t>
            </w:r>
          </w:p>
        </w:tc>
        <w:tc>
          <w:tcPr>
            <w:tcW w:w="634" w:type="pct"/>
            <w:shd w:val="clear" w:color="auto" w:fill="D8D8D8" w:themeFill="background1" w:themeFillShade="D9"/>
            <w:vAlign w:val="center"/>
          </w:tcPr>
          <w:p>
            <w:pPr>
              <w:jc w:val="center"/>
              <w:rPr>
                <w:rFonts w:hint="eastAsia" w:ascii="宋体" w:hAnsi="宋体" w:eastAsia="宋体" w:cs="Cambria Math"/>
                <w:b/>
                <w:color w:val="000000"/>
                <w:szCs w:val="20"/>
              </w:rPr>
            </w:pPr>
            <w:r>
              <w:rPr>
                <w:rFonts w:hint="eastAsia" w:ascii="宋体" w:hAnsi="宋体" w:eastAsia="宋体" w:cs="Cambria Math"/>
                <w:b/>
                <w:color w:val="000000"/>
                <w:szCs w:val="20"/>
                <w:lang w:eastAsia="zh-TW"/>
              </w:rPr>
              <w:t>20</w:t>
            </w:r>
            <w:r>
              <w:rPr>
                <w:rFonts w:ascii="宋体" w:hAnsi="宋体" w:eastAsia="宋体" w:cs="Cambria Math"/>
                <w:b/>
                <w:color w:val="000000"/>
                <w:szCs w:val="20"/>
                <w:lang w:eastAsia="zh-TW"/>
              </w:rPr>
              <w:t>32</w:t>
            </w:r>
          </w:p>
        </w:tc>
        <w:tc>
          <w:tcPr>
            <w:tcW w:w="634" w:type="pct"/>
            <w:shd w:val="clear" w:color="auto" w:fill="D8D8D8" w:themeFill="background1" w:themeFillShade="D9"/>
            <w:vAlign w:val="center"/>
          </w:tcPr>
          <w:p>
            <w:pPr>
              <w:jc w:val="center"/>
              <w:rPr>
                <w:rFonts w:hint="eastAsia" w:ascii="宋体" w:hAnsi="宋体" w:eastAsia="宋体" w:cs="Cambria Math"/>
                <w:b/>
                <w:color w:val="000000"/>
                <w:szCs w:val="20"/>
              </w:rPr>
            </w:pPr>
            <w:r>
              <w:rPr>
                <w:rFonts w:hint="eastAsia" w:ascii="宋体" w:hAnsi="宋体" w:eastAsia="宋体" w:cs="Cambria Math"/>
                <w:b/>
                <w:color w:val="000000"/>
                <w:szCs w:val="20"/>
                <w:lang w:eastAsia="zh-TW"/>
              </w:rPr>
              <w:t>20</w:t>
            </w:r>
            <w:r>
              <w:rPr>
                <w:rFonts w:ascii="宋体" w:hAnsi="宋体" w:eastAsia="宋体" w:cs="Cambria Math"/>
                <w:b/>
                <w:color w:val="000000"/>
                <w:szCs w:val="20"/>
                <w:lang w:eastAsia="zh-TW"/>
              </w:rPr>
              <w:t>33</w:t>
            </w:r>
          </w:p>
        </w:tc>
        <w:tc>
          <w:tcPr>
            <w:tcW w:w="634" w:type="pct"/>
            <w:shd w:val="clear" w:color="auto" w:fill="D8D8D8" w:themeFill="background1" w:themeFillShade="D9"/>
            <w:vAlign w:val="center"/>
          </w:tcPr>
          <w:p>
            <w:pPr>
              <w:jc w:val="center"/>
              <w:rPr>
                <w:rFonts w:hint="eastAsia" w:ascii="宋体" w:hAnsi="宋体" w:eastAsia="宋体" w:cs="Cambria Math"/>
                <w:b/>
                <w:color w:val="000000"/>
                <w:szCs w:val="20"/>
                <w:lang w:eastAsia="zh-TW"/>
              </w:rPr>
            </w:pPr>
            <w:r>
              <w:rPr>
                <w:rFonts w:hint="eastAsia" w:ascii="宋体" w:hAnsi="宋体" w:eastAsia="宋体" w:cs="等线 Light"/>
                <w:b/>
                <w:szCs w:val="20"/>
              </w:rPr>
              <w:t>20</w:t>
            </w:r>
            <w:r>
              <w:rPr>
                <w:rFonts w:ascii="宋体" w:hAnsi="宋体" w:eastAsia="宋体" w:cs="等线 Light"/>
                <w:b/>
                <w:szCs w:val="20"/>
              </w:rPr>
              <w:t>34</w:t>
            </w:r>
          </w:p>
        </w:tc>
        <w:tc>
          <w:tcPr>
            <w:tcW w:w="714" w:type="pct"/>
            <w:shd w:val="clear" w:color="auto" w:fill="D8D8D8" w:themeFill="background1" w:themeFillShade="D9"/>
          </w:tcPr>
          <w:p>
            <w:pPr>
              <w:jc w:val="center"/>
              <w:rPr>
                <w:rFonts w:hint="eastAsia" w:ascii="宋体" w:hAnsi="宋体" w:eastAsia="宋体" w:cs="等线 Light"/>
                <w:b/>
                <w:szCs w:val="20"/>
              </w:rPr>
            </w:pPr>
            <w:r>
              <w:rPr>
                <w:rFonts w:hint="eastAsia" w:ascii="宋体" w:hAnsi="宋体" w:eastAsia="宋体" w:cs="等线 Light"/>
                <w:b/>
                <w:szCs w:val="20"/>
              </w:rPr>
              <w:t>2035</w:t>
            </w:r>
          </w:p>
        </w:tc>
        <w:tc>
          <w:tcPr>
            <w:tcW w:w="712" w:type="pct"/>
            <w:shd w:val="clear" w:color="auto" w:fill="D8D8D8" w:themeFill="background1" w:themeFillShade="D9"/>
            <w:vAlign w:val="center"/>
          </w:tcPr>
          <w:p>
            <w:pPr>
              <w:jc w:val="center"/>
              <w:rPr>
                <w:rFonts w:hint="eastAsia" w:ascii="宋体" w:hAnsi="宋体" w:eastAsia="宋体" w:cs="Cambria Math"/>
                <w:b/>
                <w:color w:val="000000"/>
                <w:szCs w:val="20"/>
                <w:lang w:eastAsia="zh-TW"/>
              </w:rPr>
            </w:pPr>
            <w:r>
              <w:rPr>
                <w:rFonts w:hint="eastAsia" w:ascii="宋体" w:hAnsi="宋体" w:eastAsia="宋体" w:cs="等线 Light"/>
                <w:b/>
                <w:szCs w:val="2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tcPr>
          <w:p>
            <w:pPr>
              <w:rPr>
                <w:rFonts w:hint="eastAsia" w:ascii="宋体" w:hAnsi="宋体" w:eastAsia="宋体" w:cs="等线 Light"/>
                <w:color w:val="000000"/>
                <w:szCs w:val="20"/>
              </w:rPr>
            </w:pPr>
            <w:r>
              <w:rPr>
                <w:rFonts w:hint="eastAsia" w:ascii="宋体" w:hAnsi="宋体" w:eastAsia="宋体"/>
              </w:rPr>
              <w:t>土地出让收入</w:t>
            </w:r>
          </w:p>
        </w:tc>
        <w:tc>
          <w:tcPr>
            <w:tcW w:w="634" w:type="pct"/>
            <w:shd w:val="clear" w:color="000000" w:fill="FFFFFF"/>
            <w:vAlign w:val="center"/>
          </w:tcPr>
          <w:p>
            <w:pPr>
              <w:jc w:val="right"/>
              <w:rPr>
                <w:rFonts w:hint="eastAsia" w:ascii="宋体" w:hAnsi="宋体" w:eastAsia="宋体" w:cs="等线 Light"/>
                <w:szCs w:val="20"/>
              </w:rPr>
            </w:pPr>
            <w:r>
              <w:rPr>
                <w:rFonts w:hint="eastAsia" w:ascii="宋体" w:hAnsi="宋体" w:eastAsia="宋体"/>
                <w:color w:val="000000"/>
                <w:szCs w:val="20"/>
              </w:rPr>
              <w:t>128.25</w:t>
            </w:r>
          </w:p>
        </w:tc>
        <w:tc>
          <w:tcPr>
            <w:tcW w:w="634" w:type="pct"/>
            <w:shd w:val="clear" w:color="000000" w:fill="FFFFFF"/>
            <w:vAlign w:val="center"/>
          </w:tcPr>
          <w:p>
            <w:pPr>
              <w:jc w:val="right"/>
              <w:rPr>
                <w:rFonts w:hint="eastAsia" w:ascii="宋体" w:hAnsi="宋体" w:eastAsia="宋体" w:cs="等线 Light"/>
                <w:szCs w:val="20"/>
              </w:rPr>
            </w:pPr>
            <w:r>
              <w:rPr>
                <w:rFonts w:hint="eastAsia" w:ascii="宋体" w:hAnsi="宋体" w:eastAsia="宋体"/>
                <w:color w:val="000000"/>
                <w:szCs w:val="20"/>
              </w:rPr>
              <w:t>128.25</w:t>
            </w:r>
          </w:p>
        </w:tc>
        <w:tc>
          <w:tcPr>
            <w:tcW w:w="634"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128.25</w:t>
            </w:r>
          </w:p>
        </w:tc>
        <w:tc>
          <w:tcPr>
            <w:tcW w:w="714" w:type="pct"/>
            <w:shd w:val="clear" w:color="000000"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128.25</w:t>
            </w:r>
          </w:p>
        </w:tc>
        <w:tc>
          <w:tcPr>
            <w:tcW w:w="712"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1,425.00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tcPr>
          <w:p>
            <w:pPr>
              <w:rPr>
                <w:rFonts w:hint="eastAsia" w:ascii="宋体" w:hAnsi="宋体" w:eastAsia="宋体" w:cs="等线 Light"/>
                <w:b/>
                <w:color w:val="000000"/>
                <w:szCs w:val="20"/>
                <w:lang w:eastAsia="zh-TW"/>
              </w:rPr>
            </w:pPr>
            <w:r>
              <w:rPr>
                <w:rFonts w:hint="eastAsia" w:ascii="宋体" w:hAnsi="宋体" w:eastAsia="宋体"/>
              </w:rPr>
              <w:t>广告牌出租收入</w:t>
            </w:r>
          </w:p>
        </w:tc>
        <w:tc>
          <w:tcPr>
            <w:tcW w:w="634"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634"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634"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714"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27.00</w:t>
            </w:r>
          </w:p>
        </w:tc>
        <w:tc>
          <w:tcPr>
            <w:tcW w:w="712"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270.00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tcPr>
          <w:p>
            <w:pPr>
              <w:rPr>
                <w:rFonts w:hint="eastAsia" w:ascii="宋体" w:hAnsi="宋体" w:eastAsia="宋体" w:cs="等线 Light"/>
                <w:b/>
                <w:bCs/>
                <w:color w:val="000000"/>
                <w:szCs w:val="20"/>
                <w:lang w:eastAsia="zh-TW"/>
              </w:rPr>
            </w:pPr>
            <w:r>
              <w:rPr>
                <w:rFonts w:hint="eastAsia" w:ascii="宋体" w:hAnsi="宋体" w:eastAsia="宋体"/>
                <w:b/>
                <w:bCs/>
              </w:rPr>
              <w:t>收入合计</w:t>
            </w:r>
          </w:p>
        </w:tc>
        <w:tc>
          <w:tcPr>
            <w:tcW w:w="634"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c>
          <w:tcPr>
            <w:tcW w:w="634"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c>
          <w:tcPr>
            <w:tcW w:w="634"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c>
          <w:tcPr>
            <w:tcW w:w="714"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155.25</w:t>
            </w:r>
          </w:p>
        </w:tc>
        <w:tc>
          <w:tcPr>
            <w:tcW w:w="712"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1,695.00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tcPr>
          <w:p>
            <w:pPr>
              <w:rPr>
                <w:rFonts w:hint="eastAsia" w:ascii="宋体" w:hAnsi="宋体" w:eastAsia="宋体" w:cs="等线 Light"/>
                <w:b/>
                <w:color w:val="000000"/>
                <w:szCs w:val="20"/>
                <w:lang w:eastAsia="zh-TW"/>
              </w:rPr>
            </w:pPr>
            <w:r>
              <w:rPr>
                <w:rFonts w:hint="eastAsia" w:ascii="宋体" w:hAnsi="宋体" w:eastAsia="宋体"/>
              </w:rPr>
              <w:t>土地出让成本</w:t>
            </w:r>
          </w:p>
        </w:tc>
        <w:tc>
          <w:tcPr>
            <w:tcW w:w="634"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c>
          <w:tcPr>
            <w:tcW w:w="634"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c>
          <w:tcPr>
            <w:tcW w:w="634"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c>
          <w:tcPr>
            <w:tcW w:w="714" w:type="pct"/>
            <w:shd w:val="clear" w:color="000000" w:fill="FFFFFF"/>
            <w:vAlign w:val="center"/>
          </w:tcPr>
          <w:p>
            <w:pPr>
              <w:jc w:val="right"/>
              <w:rPr>
                <w:rFonts w:hint="eastAsia" w:ascii="宋体" w:hAnsi="宋体" w:eastAsia="宋体"/>
                <w:b/>
              </w:rPr>
            </w:pPr>
            <w:r>
              <w:rPr>
                <w:rFonts w:hint="eastAsia" w:ascii="宋体" w:hAnsi="宋体" w:eastAsia="宋体"/>
                <w:color w:val="000000"/>
                <w:szCs w:val="20"/>
              </w:rPr>
              <w:t>32.06</w:t>
            </w:r>
          </w:p>
        </w:tc>
        <w:tc>
          <w:tcPr>
            <w:tcW w:w="712" w:type="pct"/>
            <w:shd w:val="clear" w:color="000000" w:fill="FFFFFF"/>
            <w:vAlign w:val="center"/>
          </w:tcPr>
          <w:p>
            <w:pPr>
              <w:jc w:val="right"/>
              <w:rPr>
                <w:rFonts w:hint="eastAsia" w:ascii="宋体" w:hAnsi="宋体" w:eastAsia="宋体"/>
                <w:b/>
                <w:bCs/>
              </w:rPr>
            </w:pPr>
            <w:r>
              <w:rPr>
                <w:rFonts w:hint="eastAsia" w:ascii="宋体" w:hAnsi="宋体" w:eastAsia="宋体"/>
                <w:b/>
                <w:bCs/>
                <w:color w:val="000000"/>
                <w:szCs w:val="20"/>
              </w:rPr>
              <w:t>356.23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tcPr>
          <w:p>
            <w:pPr>
              <w:rPr>
                <w:rFonts w:hint="eastAsia" w:ascii="宋体" w:hAnsi="宋体" w:eastAsia="宋体" w:cs="等线 Light"/>
                <w:b/>
                <w:color w:val="000000"/>
                <w:szCs w:val="20"/>
              </w:rPr>
            </w:pPr>
            <w:r>
              <w:rPr>
                <w:rFonts w:hint="eastAsia" w:ascii="宋体" w:hAnsi="宋体" w:eastAsia="宋体"/>
              </w:rPr>
              <w:t>运营成本</w:t>
            </w:r>
          </w:p>
        </w:tc>
        <w:tc>
          <w:tcPr>
            <w:tcW w:w="634" w:type="pct"/>
            <w:shd w:val="clear" w:color="000000" w:fill="FFFFFF"/>
            <w:vAlign w:val="center"/>
          </w:tcPr>
          <w:p>
            <w:pPr>
              <w:jc w:val="right"/>
              <w:rPr>
                <w:rFonts w:hint="eastAsia" w:ascii="宋体" w:hAnsi="宋体" w:eastAsia="宋体" w:cs="等线 Light"/>
                <w:b/>
                <w:szCs w:val="20"/>
              </w:rPr>
            </w:pPr>
            <w:r>
              <w:rPr>
                <w:rFonts w:hint="eastAsia" w:ascii="宋体" w:hAnsi="宋体" w:eastAsia="宋体"/>
                <w:color w:val="000000"/>
                <w:szCs w:val="20"/>
              </w:rPr>
              <w:t>5.40</w:t>
            </w:r>
          </w:p>
        </w:tc>
        <w:tc>
          <w:tcPr>
            <w:tcW w:w="634" w:type="pct"/>
            <w:shd w:val="clear" w:color="000000" w:fill="FFFFFF"/>
            <w:vAlign w:val="center"/>
          </w:tcPr>
          <w:p>
            <w:pPr>
              <w:jc w:val="right"/>
              <w:rPr>
                <w:rFonts w:hint="eastAsia" w:ascii="宋体" w:hAnsi="宋体" w:eastAsia="宋体" w:cs="等线 Light"/>
                <w:b/>
                <w:szCs w:val="20"/>
              </w:rPr>
            </w:pPr>
            <w:r>
              <w:rPr>
                <w:rFonts w:hint="eastAsia" w:ascii="宋体" w:hAnsi="宋体" w:eastAsia="宋体"/>
                <w:color w:val="000000"/>
                <w:szCs w:val="20"/>
              </w:rPr>
              <w:t>5.40</w:t>
            </w:r>
          </w:p>
        </w:tc>
        <w:tc>
          <w:tcPr>
            <w:tcW w:w="634" w:type="pct"/>
            <w:shd w:val="clear" w:color="000000" w:fill="FFFFFF"/>
            <w:vAlign w:val="center"/>
          </w:tcPr>
          <w:p>
            <w:pPr>
              <w:jc w:val="right"/>
              <w:rPr>
                <w:rFonts w:hint="eastAsia" w:ascii="宋体" w:hAnsi="宋体" w:eastAsia="宋体"/>
                <w:b/>
                <w:szCs w:val="20"/>
              </w:rPr>
            </w:pPr>
            <w:r>
              <w:rPr>
                <w:rFonts w:hint="eastAsia" w:ascii="宋体" w:hAnsi="宋体" w:eastAsia="宋体"/>
                <w:color w:val="000000"/>
                <w:szCs w:val="20"/>
              </w:rPr>
              <w:t>5.40</w:t>
            </w:r>
          </w:p>
        </w:tc>
        <w:tc>
          <w:tcPr>
            <w:tcW w:w="714" w:type="pct"/>
            <w:shd w:val="clear" w:color="000000" w:fill="FFFFFF"/>
            <w:vAlign w:val="center"/>
          </w:tcPr>
          <w:p>
            <w:pPr>
              <w:jc w:val="right"/>
              <w:rPr>
                <w:rFonts w:hint="eastAsia" w:ascii="宋体" w:hAnsi="宋体" w:eastAsia="宋体"/>
                <w:b/>
                <w:color w:val="000000"/>
                <w:szCs w:val="20"/>
              </w:rPr>
            </w:pPr>
            <w:r>
              <w:rPr>
                <w:rFonts w:hint="eastAsia" w:ascii="宋体" w:hAnsi="宋体" w:eastAsia="宋体"/>
                <w:color w:val="000000"/>
                <w:szCs w:val="20"/>
              </w:rPr>
              <w:t>5.40</w:t>
            </w:r>
          </w:p>
        </w:tc>
        <w:tc>
          <w:tcPr>
            <w:tcW w:w="712"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tcPr>
          <w:p>
            <w:pPr>
              <w:rPr>
                <w:rFonts w:hint="eastAsia" w:ascii="宋体" w:hAnsi="宋体" w:eastAsia="宋体" w:cs="等线 Light"/>
                <w:color w:val="000000"/>
                <w:szCs w:val="20"/>
              </w:rPr>
            </w:pPr>
            <w:r>
              <w:rPr>
                <w:rFonts w:hint="eastAsia" w:ascii="宋体" w:hAnsi="宋体" w:eastAsia="宋体"/>
              </w:rPr>
              <w:t>相关税费</w:t>
            </w:r>
          </w:p>
        </w:tc>
        <w:tc>
          <w:tcPr>
            <w:tcW w:w="634" w:type="pct"/>
            <w:shd w:val="clear" w:color="000000" w:fill="FFFFFF"/>
            <w:vAlign w:val="center"/>
          </w:tcPr>
          <w:p>
            <w:pPr>
              <w:jc w:val="right"/>
              <w:rPr>
                <w:rFonts w:hint="eastAsia" w:ascii="宋体" w:hAnsi="宋体" w:eastAsia="宋体" w:cs="等线 Light"/>
                <w:szCs w:val="20"/>
              </w:rPr>
            </w:pPr>
            <w:r>
              <w:rPr>
                <w:rFonts w:hint="eastAsia" w:ascii="宋体" w:hAnsi="宋体" w:eastAsia="宋体"/>
                <w:color w:val="000000"/>
                <w:szCs w:val="20"/>
              </w:rPr>
              <w:t>2.15</w:t>
            </w:r>
          </w:p>
        </w:tc>
        <w:tc>
          <w:tcPr>
            <w:tcW w:w="634" w:type="pct"/>
            <w:shd w:val="clear" w:color="000000" w:fill="FFFFFF"/>
            <w:vAlign w:val="center"/>
          </w:tcPr>
          <w:p>
            <w:pPr>
              <w:jc w:val="right"/>
              <w:rPr>
                <w:rFonts w:hint="eastAsia" w:ascii="宋体" w:hAnsi="宋体" w:eastAsia="宋体" w:cs="等线 Light"/>
                <w:szCs w:val="20"/>
              </w:rPr>
            </w:pPr>
            <w:r>
              <w:rPr>
                <w:rFonts w:hint="eastAsia" w:ascii="宋体" w:hAnsi="宋体" w:eastAsia="宋体"/>
                <w:color w:val="000000"/>
                <w:szCs w:val="20"/>
              </w:rPr>
              <w:t>2.15</w:t>
            </w:r>
          </w:p>
        </w:tc>
        <w:tc>
          <w:tcPr>
            <w:tcW w:w="634" w:type="pct"/>
            <w:shd w:val="clear" w:color="000000" w:fill="FFFFFF"/>
            <w:vAlign w:val="center"/>
          </w:tcPr>
          <w:p>
            <w:pPr>
              <w:jc w:val="right"/>
              <w:rPr>
                <w:rFonts w:hint="eastAsia" w:ascii="宋体" w:hAnsi="宋体" w:eastAsia="宋体"/>
                <w:szCs w:val="20"/>
              </w:rPr>
            </w:pPr>
            <w:r>
              <w:rPr>
                <w:rFonts w:hint="eastAsia" w:ascii="宋体" w:hAnsi="宋体" w:eastAsia="宋体"/>
                <w:color w:val="000000"/>
                <w:szCs w:val="20"/>
              </w:rPr>
              <w:t>2.15</w:t>
            </w:r>
          </w:p>
        </w:tc>
        <w:tc>
          <w:tcPr>
            <w:tcW w:w="714" w:type="pct"/>
            <w:shd w:val="clear" w:color="000000" w:fill="FFFFFF"/>
            <w:vAlign w:val="center"/>
          </w:tcPr>
          <w:p>
            <w:pPr>
              <w:jc w:val="right"/>
              <w:rPr>
                <w:rFonts w:hint="eastAsia" w:ascii="宋体" w:hAnsi="宋体" w:eastAsia="宋体"/>
                <w:b/>
                <w:bCs/>
                <w:color w:val="000000"/>
                <w:szCs w:val="20"/>
              </w:rPr>
            </w:pPr>
            <w:r>
              <w:rPr>
                <w:rFonts w:hint="eastAsia" w:ascii="宋体" w:hAnsi="宋体" w:eastAsia="宋体"/>
                <w:color w:val="000000"/>
                <w:szCs w:val="20"/>
              </w:rPr>
              <w:t>2.15</w:t>
            </w:r>
          </w:p>
        </w:tc>
        <w:tc>
          <w:tcPr>
            <w:tcW w:w="712"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tcPr>
          <w:p>
            <w:pPr>
              <w:rPr>
                <w:rFonts w:hint="eastAsia" w:ascii="宋体" w:hAnsi="宋体" w:eastAsia="宋体" w:cs="等线 Light"/>
                <w:b/>
                <w:bCs/>
                <w:color w:val="000000"/>
                <w:szCs w:val="20"/>
              </w:rPr>
            </w:pPr>
            <w:r>
              <w:rPr>
                <w:rFonts w:hint="eastAsia" w:ascii="宋体" w:hAnsi="宋体" w:eastAsia="宋体"/>
                <w:b/>
                <w:bCs/>
              </w:rPr>
              <w:t>成本合计</w:t>
            </w:r>
          </w:p>
        </w:tc>
        <w:tc>
          <w:tcPr>
            <w:tcW w:w="634" w:type="pct"/>
            <w:shd w:val="clear" w:color="000000" w:fill="FFFFFF"/>
            <w:vAlign w:val="center"/>
          </w:tcPr>
          <w:p>
            <w:pPr>
              <w:jc w:val="right"/>
              <w:rPr>
                <w:rFonts w:hint="eastAsia" w:ascii="宋体" w:hAnsi="宋体" w:eastAsia="宋体" w:cs="等线 Light"/>
                <w:b/>
                <w:bCs/>
                <w:szCs w:val="20"/>
              </w:rPr>
            </w:pPr>
            <w:r>
              <w:rPr>
                <w:rFonts w:hint="eastAsia" w:ascii="宋体" w:hAnsi="宋体" w:eastAsia="宋体"/>
                <w:b/>
                <w:bCs/>
                <w:color w:val="000000"/>
                <w:szCs w:val="20"/>
              </w:rPr>
              <w:t>39.61</w:t>
            </w:r>
          </w:p>
        </w:tc>
        <w:tc>
          <w:tcPr>
            <w:tcW w:w="634" w:type="pct"/>
            <w:shd w:val="clear" w:color="000000" w:fill="FFFFFF"/>
            <w:vAlign w:val="center"/>
          </w:tcPr>
          <w:p>
            <w:pPr>
              <w:jc w:val="right"/>
              <w:rPr>
                <w:rFonts w:hint="eastAsia" w:ascii="宋体" w:hAnsi="宋体" w:eastAsia="宋体" w:cs="等线 Light"/>
                <w:b/>
                <w:bCs/>
                <w:szCs w:val="20"/>
              </w:rPr>
            </w:pPr>
            <w:r>
              <w:rPr>
                <w:rFonts w:hint="eastAsia" w:ascii="宋体" w:hAnsi="宋体" w:eastAsia="宋体"/>
                <w:b/>
                <w:bCs/>
                <w:color w:val="000000"/>
                <w:szCs w:val="20"/>
              </w:rPr>
              <w:t>39.61</w:t>
            </w:r>
          </w:p>
        </w:tc>
        <w:tc>
          <w:tcPr>
            <w:tcW w:w="634"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39.61</w:t>
            </w:r>
          </w:p>
        </w:tc>
        <w:tc>
          <w:tcPr>
            <w:tcW w:w="714" w:type="pct"/>
            <w:shd w:val="clear" w:color="000000" w:fill="FFFFFF"/>
            <w:vAlign w:val="center"/>
          </w:tcPr>
          <w:p>
            <w:pPr>
              <w:jc w:val="right"/>
              <w:rPr>
                <w:rFonts w:hint="eastAsia" w:ascii="宋体" w:hAnsi="宋体" w:eastAsia="宋体"/>
                <w:b/>
                <w:bCs/>
                <w:color w:val="000000"/>
                <w:szCs w:val="20"/>
              </w:rPr>
            </w:pPr>
            <w:r>
              <w:rPr>
                <w:rFonts w:hint="eastAsia" w:ascii="宋体" w:hAnsi="宋体" w:eastAsia="宋体"/>
                <w:b/>
                <w:bCs/>
                <w:color w:val="000000"/>
                <w:szCs w:val="20"/>
              </w:rPr>
              <w:t>39.61</w:t>
            </w:r>
          </w:p>
        </w:tc>
        <w:tc>
          <w:tcPr>
            <w:tcW w:w="712" w:type="pct"/>
            <w:shd w:val="clear" w:color="000000" w:fill="FFFFFF"/>
            <w:vAlign w:val="center"/>
          </w:tcPr>
          <w:p>
            <w:pPr>
              <w:jc w:val="right"/>
              <w:rPr>
                <w:rFonts w:hint="eastAsia" w:ascii="宋体" w:hAnsi="宋体" w:eastAsia="宋体"/>
                <w:b/>
                <w:bCs/>
                <w:szCs w:val="20"/>
              </w:rPr>
            </w:pPr>
            <w:r>
              <w:rPr>
                <w:rFonts w:hint="eastAsia" w:ascii="宋体" w:hAnsi="宋体" w:eastAsia="宋体"/>
                <w:b/>
                <w:bCs/>
                <w:color w:val="000000"/>
                <w:szCs w:val="20"/>
              </w:rPr>
              <w:t>431.73</w:t>
            </w:r>
          </w:p>
        </w:tc>
      </w:tr>
    </w:tbl>
    <w:p>
      <w:pPr>
        <w:widowControl/>
        <w:ind w:firstLine="360" w:firstLineChars="200"/>
        <w:jc w:val="right"/>
        <w:rPr>
          <w:rFonts w:hint="eastAsia" w:ascii="宋体" w:hAnsi="宋体" w:eastAsia="宋体" w:cs="宋体"/>
          <w:kern w:val="0"/>
          <w:sz w:val="18"/>
          <w:szCs w:val="18"/>
          <w:lang w:val="en-GB"/>
        </w:rPr>
      </w:pPr>
    </w:p>
    <w:p>
      <w:pPr>
        <w:widowControl/>
        <w:spacing w:before="120" w:after="120" w:line="360" w:lineRule="auto"/>
        <w:outlineLvl w:val="1"/>
        <w:rPr>
          <w:rFonts w:hint="eastAsia" w:ascii="宋体" w:hAnsi="宋体" w:eastAsia="宋体" w:cs="宋体"/>
          <w:b/>
          <w:color w:val="000000"/>
          <w:kern w:val="0"/>
          <w:sz w:val="24"/>
          <w:szCs w:val="24"/>
        </w:rPr>
      </w:pPr>
      <w:bookmarkStart w:id="32" w:name="_Toc200555442"/>
      <w:r>
        <w:rPr>
          <w:rFonts w:hint="eastAsia" w:ascii="宋体" w:hAnsi="宋体" w:eastAsia="宋体" w:cs="宋体"/>
          <w:b/>
          <w:color w:val="000000"/>
          <w:kern w:val="0"/>
          <w:sz w:val="24"/>
          <w:szCs w:val="24"/>
        </w:rPr>
        <w:t>（三）小结</w:t>
      </w:r>
      <w:bookmarkEnd w:id="27"/>
      <w:bookmarkEnd w:id="28"/>
      <w:bookmarkEnd w:id="32"/>
    </w:p>
    <w:p>
      <w:pPr>
        <w:widowControl/>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综上，在本期政府专项债券存续期内，我们未发现本项目资金出现不能满足还本付息要求的情况。</w:t>
      </w:r>
    </w:p>
    <w:p>
      <w:pPr>
        <w:widowControl/>
        <w:spacing w:before="120" w:after="120" w:line="360" w:lineRule="auto"/>
        <w:outlineLvl w:val="1"/>
        <w:rPr>
          <w:rFonts w:hint="eastAsia" w:ascii="宋体" w:hAnsi="宋体" w:eastAsia="宋体" w:cs="宋体"/>
          <w:b/>
          <w:color w:val="000000"/>
          <w:kern w:val="0"/>
          <w:sz w:val="24"/>
          <w:szCs w:val="24"/>
        </w:rPr>
      </w:pPr>
      <w:bookmarkStart w:id="33" w:name="_Toc114818426"/>
      <w:bookmarkStart w:id="34" w:name="_Toc114818536"/>
      <w:bookmarkStart w:id="35" w:name="_Toc200555443"/>
      <w:r>
        <w:rPr>
          <w:rFonts w:hint="eastAsia" w:ascii="宋体" w:hAnsi="宋体" w:eastAsia="宋体" w:cs="宋体"/>
          <w:b/>
          <w:color w:val="000000"/>
          <w:kern w:val="0"/>
          <w:sz w:val="24"/>
          <w:szCs w:val="24"/>
        </w:rPr>
        <w:t>（四）资金稳定性</w:t>
      </w:r>
      <w:bookmarkEnd w:id="33"/>
      <w:bookmarkEnd w:id="34"/>
      <w:bookmarkEnd w:id="35"/>
    </w:p>
    <w:p>
      <w:pPr>
        <w:widowControl/>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兰香园安置社区配套路网项目还本付息以土地出让收入、广告牌出租收入为基础。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p>
    <w:p>
      <w:pPr>
        <w:widowControl/>
        <w:jc w:val="center"/>
        <w:rPr>
          <w:rFonts w:hint="eastAsia" w:ascii="宋体" w:hAnsi="宋体" w:eastAsia="宋体" w:cs="宋体"/>
          <w:kern w:val="0"/>
          <w:sz w:val="18"/>
          <w:szCs w:val="18"/>
          <w:lang w:val="en-GB"/>
        </w:rPr>
      </w:pPr>
      <w:r>
        <w:rPr>
          <w:rFonts w:ascii="宋体" w:hAnsi="宋体" w:eastAsia="宋体"/>
          <w:b/>
          <w:sz w:val="24"/>
          <w:szCs w:val="24"/>
        </w:rPr>
        <w:drawing>
          <wp:inline distT="0" distB="0" distL="0" distR="0">
            <wp:extent cx="4640580" cy="2507615"/>
            <wp:effectExtent l="0" t="0" r="7620" b="6985"/>
            <wp:docPr id="1431629599" name="图表 143162959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图1 债券存续期兰香园安置社区配套路网项目资金留存情况</w:t>
      </w:r>
    </w:p>
    <w:p>
      <w:pPr>
        <w:spacing w:line="360" w:lineRule="auto"/>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五、压力测试情况</w:t>
      </w:r>
    </w:p>
    <w:bookmarkEnd w:id="15"/>
    <w:p>
      <w:pPr>
        <w:widowControl/>
        <w:spacing w:before="120" w:after="120" w:line="360" w:lineRule="auto"/>
        <w:ind w:firstLine="480" w:firstLineChars="200"/>
        <w:rPr>
          <w:rFonts w:hint="eastAsia" w:ascii="宋体" w:hAnsi="宋体" w:eastAsia="宋体" w:cs="宋体"/>
          <w:color w:val="000000"/>
          <w:kern w:val="0"/>
          <w:sz w:val="24"/>
          <w:szCs w:val="24"/>
        </w:rPr>
      </w:pPr>
      <w:bookmarkStart w:id="36" w:name="_Toc11183"/>
      <w:r>
        <w:rPr>
          <w:rFonts w:hint="eastAsia" w:ascii="宋体" w:hAnsi="宋体" w:eastAsia="宋体" w:cs="宋体"/>
          <w:color w:val="000000"/>
          <w:kern w:val="0"/>
          <w:sz w:val="24"/>
          <w:szCs w:val="24"/>
        </w:rPr>
        <w:t>根据本项目收益与融资自求平衡的压力测试结果，当项目收益影响债券还本付息的因素在±15%范围内变动的情况下，专项债券本息资金覆盖率仍然大于1，还本付息资金具有一定的风险抵抗能力。具体情况详见表10：</w:t>
      </w:r>
    </w:p>
    <w:p>
      <w:pPr>
        <w:widowControl/>
        <w:spacing w:before="120" w:after="120" w:line="360" w:lineRule="auto"/>
        <w:ind w:firstLine="454"/>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表10 兰香园安置社区配套路网项目压力测试表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0"/>
        <w:gridCol w:w="869"/>
        <w:gridCol w:w="869"/>
        <w:gridCol w:w="732"/>
        <w:gridCol w:w="732"/>
        <w:gridCol w:w="732"/>
        <w:gridCol w:w="741"/>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82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hint="eastAsia" w:ascii="宋体" w:hAnsi="宋体" w:eastAsia="宋体" w:cs="仿宋"/>
                <w:b/>
                <w:color w:val="000000" w:themeColor="text1"/>
                <w:sz w:val="22"/>
                <w:szCs w:val="18"/>
                <w14:textFill>
                  <w14:solidFill>
                    <w14:schemeClr w14:val="tx1"/>
                  </w14:solidFill>
                </w14:textFill>
              </w:rPr>
              <w:t>资金覆盖率</w:t>
            </w:r>
            <w:r>
              <w:rPr>
                <w:rFonts w:ascii="宋体" w:hAnsi="宋体" w:eastAsia="宋体" w:cs="仿宋"/>
                <w:b/>
                <w:color w:val="000000" w:themeColor="text1"/>
                <w:sz w:val="22"/>
                <w:szCs w:val="18"/>
                <w14:textFill>
                  <w14:solidFill>
                    <w14:schemeClr w14:val="tx1"/>
                  </w14:solidFill>
                </w14:textFill>
              </w:rPr>
              <w:t>-</w:t>
            </w:r>
            <w:r>
              <w:rPr>
                <w:rFonts w:hint="eastAsia" w:ascii="宋体" w:hAnsi="宋体" w:eastAsia="宋体" w:cs="仿宋"/>
                <w:b/>
                <w:color w:val="000000" w:themeColor="text1"/>
                <w:sz w:val="22"/>
                <w:szCs w:val="18"/>
                <w14:textFill>
                  <w14:solidFill>
                    <w14:schemeClr w14:val="tx1"/>
                  </w14:solidFill>
                </w14:textFill>
              </w:rPr>
              <w:t>压力测试</w:t>
            </w:r>
          </w:p>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hint="eastAsia" w:ascii="宋体" w:hAnsi="宋体" w:eastAsia="宋体" w:cs="仿宋"/>
                <w:b/>
                <w:color w:val="000000" w:themeColor="text1"/>
                <w:sz w:val="22"/>
                <w:szCs w:val="18"/>
                <w14:textFill>
                  <w14:solidFill>
                    <w14:schemeClr w14:val="tx1"/>
                  </w14:solidFill>
                </w14:textFill>
              </w:rPr>
              <w:t>（单因素敏感性分析）</w:t>
            </w:r>
          </w:p>
        </w:tc>
        <w:tc>
          <w:tcPr>
            <w:tcW w:w="51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-15%</w:t>
            </w:r>
          </w:p>
        </w:tc>
        <w:tc>
          <w:tcPr>
            <w:tcW w:w="51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-10%</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-5%</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0%</w:t>
            </w:r>
          </w:p>
        </w:tc>
        <w:tc>
          <w:tcPr>
            <w:tcW w:w="430"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5%</w:t>
            </w:r>
          </w:p>
        </w:tc>
        <w:tc>
          <w:tcPr>
            <w:tcW w:w="435"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10%</w:t>
            </w:r>
          </w:p>
        </w:tc>
        <w:tc>
          <w:tcPr>
            <w:tcW w:w="435" w:type="pct"/>
            <w:shd w:val="clear" w:color="auto" w:fill="D8D8D8" w:themeFill="background1" w:themeFillShade="D9"/>
            <w:noWrap/>
            <w:vAlign w:val="center"/>
          </w:tcPr>
          <w:p>
            <w:pPr>
              <w:autoSpaceDE w:val="0"/>
              <w:autoSpaceDN w:val="0"/>
              <w:spacing w:after="120"/>
              <w:contextualSpacing/>
              <w:jc w:val="center"/>
              <w:rPr>
                <w:rFonts w:hint="eastAsia" w:ascii="宋体" w:hAnsi="宋体" w:eastAsia="宋体" w:cs="仿宋"/>
                <w:b/>
                <w:color w:val="000000" w:themeColor="text1"/>
                <w:sz w:val="22"/>
                <w:szCs w:val="18"/>
                <w14:textFill>
                  <w14:solidFill>
                    <w14:schemeClr w14:val="tx1"/>
                  </w14:solidFill>
                </w14:textFill>
              </w:rPr>
            </w:pPr>
            <w:r>
              <w:rPr>
                <w:rFonts w:ascii="宋体" w:hAnsi="宋体" w:eastAsia="宋体" w:cs="仿宋"/>
                <w:b/>
                <w:color w:val="000000" w:themeColor="text1"/>
                <w:sz w:val="22"/>
                <w:szCs w:val="18"/>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pPr>
              <w:spacing w:line="256" w:lineRule="auto"/>
              <w:rPr>
                <w:rFonts w:hint="eastAsia" w:ascii="宋体" w:hAnsi="宋体" w:eastAsia="宋体"/>
                <w:color w:val="000000"/>
                <w:szCs w:val="20"/>
              </w:rPr>
            </w:pPr>
            <w:r>
              <w:rPr>
                <w:rFonts w:hint="eastAsia" w:ascii="宋体" w:hAnsi="宋体" w:eastAsia="宋体"/>
                <w:b/>
                <w:bCs/>
                <w:color w:val="000000"/>
                <w:szCs w:val="20"/>
              </w:rPr>
              <w:t>收益变动情况敏感性分析</w:t>
            </w:r>
          </w:p>
        </w:tc>
        <w:tc>
          <w:tcPr>
            <w:tcW w:w="510" w:type="pct"/>
            <w:shd w:val="clear" w:color="auto" w:fill="auto"/>
            <w:noWrap/>
            <w:vAlign w:val="center"/>
          </w:tcPr>
          <w:p>
            <w:pPr>
              <w:jc w:val="right"/>
              <w:rPr>
                <w:rFonts w:hint="eastAsia" w:ascii="宋体" w:hAnsi="宋体" w:eastAsia="宋体" w:cs="Arial"/>
                <w:color w:val="000000"/>
                <w:szCs w:val="20"/>
              </w:rPr>
            </w:pPr>
          </w:p>
        </w:tc>
        <w:tc>
          <w:tcPr>
            <w:tcW w:w="510" w:type="pct"/>
            <w:shd w:val="clear" w:color="auto" w:fill="auto"/>
            <w:noWrap/>
            <w:vAlign w:val="center"/>
          </w:tcPr>
          <w:p>
            <w:pPr>
              <w:jc w:val="right"/>
              <w:rPr>
                <w:rFonts w:hint="eastAsia" w:ascii="宋体" w:hAnsi="宋体" w:eastAsia="宋体" w:cs="Arial"/>
                <w:color w:val="000000"/>
                <w:szCs w:val="20"/>
              </w:rPr>
            </w:pPr>
          </w:p>
        </w:tc>
        <w:tc>
          <w:tcPr>
            <w:tcW w:w="430" w:type="pct"/>
            <w:shd w:val="clear" w:color="auto" w:fill="auto"/>
            <w:noWrap/>
            <w:vAlign w:val="center"/>
          </w:tcPr>
          <w:p>
            <w:pPr>
              <w:jc w:val="right"/>
              <w:rPr>
                <w:rFonts w:hint="eastAsia" w:ascii="宋体" w:hAnsi="宋体" w:eastAsia="宋体" w:cs="Arial"/>
                <w:color w:val="000000"/>
                <w:szCs w:val="20"/>
              </w:rPr>
            </w:pPr>
          </w:p>
        </w:tc>
        <w:tc>
          <w:tcPr>
            <w:tcW w:w="430" w:type="pct"/>
            <w:shd w:val="clear" w:color="auto" w:fill="auto"/>
            <w:noWrap/>
            <w:vAlign w:val="center"/>
          </w:tcPr>
          <w:p>
            <w:pPr>
              <w:jc w:val="right"/>
              <w:rPr>
                <w:rFonts w:hint="eastAsia" w:ascii="宋体" w:hAnsi="宋体" w:eastAsia="宋体" w:cs="Arial"/>
                <w:color w:val="000000"/>
                <w:szCs w:val="20"/>
              </w:rPr>
            </w:pPr>
          </w:p>
        </w:tc>
        <w:tc>
          <w:tcPr>
            <w:tcW w:w="430" w:type="pct"/>
            <w:shd w:val="clear" w:color="auto" w:fill="auto"/>
            <w:noWrap/>
            <w:vAlign w:val="center"/>
          </w:tcPr>
          <w:p>
            <w:pPr>
              <w:jc w:val="right"/>
              <w:rPr>
                <w:rFonts w:hint="eastAsia" w:ascii="宋体" w:hAnsi="宋体" w:eastAsia="宋体" w:cs="Arial"/>
                <w:color w:val="000000"/>
                <w:szCs w:val="20"/>
              </w:rPr>
            </w:pPr>
          </w:p>
        </w:tc>
        <w:tc>
          <w:tcPr>
            <w:tcW w:w="435" w:type="pct"/>
            <w:shd w:val="clear" w:color="auto" w:fill="auto"/>
            <w:noWrap/>
            <w:vAlign w:val="center"/>
          </w:tcPr>
          <w:p>
            <w:pPr>
              <w:jc w:val="right"/>
              <w:rPr>
                <w:rFonts w:hint="eastAsia" w:ascii="宋体" w:hAnsi="宋体" w:eastAsia="宋体" w:cs="Arial"/>
                <w:color w:val="000000"/>
                <w:szCs w:val="20"/>
              </w:rPr>
            </w:pPr>
          </w:p>
        </w:tc>
        <w:tc>
          <w:tcPr>
            <w:tcW w:w="435" w:type="pct"/>
            <w:shd w:val="clear" w:color="auto" w:fill="auto"/>
            <w:noWrap/>
            <w:vAlign w:val="center"/>
          </w:tcPr>
          <w:p>
            <w:pPr>
              <w:jc w:val="right"/>
              <w:rPr>
                <w:rFonts w:hint="eastAsia" w:ascii="宋体" w:hAnsi="宋体" w:eastAsia="宋体" w:cs="Arial"/>
                <w:color w:val="00000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pPr>
              <w:spacing w:line="256" w:lineRule="auto"/>
              <w:rPr>
                <w:rFonts w:hint="eastAsia" w:ascii="宋体" w:hAnsi="宋体" w:eastAsia="宋体"/>
                <w:color w:val="000000"/>
                <w:szCs w:val="20"/>
              </w:rPr>
            </w:pPr>
            <w:r>
              <w:rPr>
                <w:rFonts w:hint="eastAsia" w:ascii="宋体" w:hAnsi="宋体" w:eastAsia="宋体"/>
                <w:color w:val="000000"/>
                <w:szCs w:val="20"/>
              </w:rPr>
              <w:t>债券本息覆盖率</w:t>
            </w:r>
            <w:r>
              <w:rPr>
                <w:rFonts w:ascii="宋体" w:hAnsi="宋体" w:eastAsia="宋体" w:cs="微软雅黑"/>
                <w:sz w:val="18"/>
                <w:szCs w:val="18"/>
                <w:vertAlign w:val="superscript"/>
              </w:rPr>
              <w:footnoteReference w:id="2"/>
            </w:r>
          </w:p>
        </w:tc>
        <w:tc>
          <w:tcPr>
            <w:tcW w:w="51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1.15</w:t>
            </w:r>
          </w:p>
        </w:tc>
        <w:tc>
          <w:tcPr>
            <w:tcW w:w="51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1.22</w:t>
            </w:r>
          </w:p>
        </w:tc>
        <w:tc>
          <w:tcPr>
            <w:tcW w:w="43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1.28</w:t>
            </w:r>
          </w:p>
        </w:tc>
        <w:tc>
          <w:tcPr>
            <w:tcW w:w="43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1.35</w:t>
            </w:r>
          </w:p>
        </w:tc>
        <w:tc>
          <w:tcPr>
            <w:tcW w:w="43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1.42</w:t>
            </w:r>
          </w:p>
        </w:tc>
        <w:tc>
          <w:tcPr>
            <w:tcW w:w="435"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1.48</w:t>
            </w:r>
          </w:p>
        </w:tc>
        <w:tc>
          <w:tcPr>
            <w:tcW w:w="435"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pPr>
              <w:spacing w:line="256" w:lineRule="auto"/>
              <w:rPr>
                <w:rFonts w:hint="eastAsia" w:ascii="宋体" w:hAnsi="宋体" w:eastAsia="宋体"/>
                <w:color w:val="000000"/>
                <w:szCs w:val="20"/>
              </w:rPr>
            </w:pPr>
            <w:r>
              <w:rPr>
                <w:rFonts w:ascii="宋体" w:hAnsi="宋体" w:eastAsia="宋体"/>
                <w:color w:val="000000"/>
                <w:szCs w:val="20"/>
              </w:rPr>
              <w:t>债券</w:t>
            </w:r>
            <w:r>
              <w:rPr>
                <w:rFonts w:hint="eastAsia" w:ascii="宋体" w:hAnsi="宋体" w:eastAsia="宋体"/>
                <w:color w:val="000000"/>
                <w:szCs w:val="20"/>
              </w:rPr>
              <w:t>本息覆盖倍数</w:t>
            </w:r>
            <w:r>
              <w:rPr>
                <w:rFonts w:ascii="宋体" w:hAnsi="宋体" w:eastAsia="宋体" w:cs="微软雅黑"/>
                <w:sz w:val="18"/>
                <w:szCs w:val="18"/>
                <w:vertAlign w:val="superscript"/>
              </w:rPr>
              <w:footnoteReference w:id="3"/>
            </w:r>
          </w:p>
        </w:tc>
        <w:tc>
          <w:tcPr>
            <w:tcW w:w="51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1.14</w:t>
            </w:r>
          </w:p>
        </w:tc>
        <w:tc>
          <w:tcPr>
            <w:tcW w:w="51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1.21</w:t>
            </w:r>
          </w:p>
        </w:tc>
        <w:tc>
          <w:tcPr>
            <w:tcW w:w="43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1.28</w:t>
            </w:r>
          </w:p>
        </w:tc>
        <w:tc>
          <w:tcPr>
            <w:tcW w:w="43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1.34</w:t>
            </w:r>
          </w:p>
        </w:tc>
        <w:tc>
          <w:tcPr>
            <w:tcW w:w="430"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1.41</w:t>
            </w:r>
          </w:p>
        </w:tc>
        <w:tc>
          <w:tcPr>
            <w:tcW w:w="435"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1.48</w:t>
            </w:r>
          </w:p>
        </w:tc>
        <w:tc>
          <w:tcPr>
            <w:tcW w:w="435" w:type="pct"/>
            <w:shd w:val="clear" w:color="auto" w:fill="auto"/>
            <w:noWrap/>
            <w:vAlign w:val="center"/>
          </w:tcPr>
          <w:p>
            <w:pPr>
              <w:jc w:val="center"/>
              <w:rPr>
                <w:rFonts w:hint="eastAsia" w:ascii="宋体" w:hAnsi="宋体" w:eastAsia="宋体" w:cs="Arial"/>
                <w:color w:val="000000"/>
                <w:szCs w:val="20"/>
              </w:rPr>
            </w:pPr>
            <w:r>
              <w:rPr>
                <w:rFonts w:hint="eastAsia" w:ascii="宋体" w:hAnsi="宋体" w:eastAsia="宋体"/>
                <w:color w:val="000000"/>
                <w:szCs w:val="20"/>
              </w:rPr>
              <w:t>1.54</w:t>
            </w:r>
          </w:p>
        </w:tc>
      </w:tr>
    </w:tbl>
    <w:p>
      <w:pPr>
        <w:widowControl/>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体而言，本项目预计土地出让收入、广告牌出租收入对其拟使用的募集资金保障程度较高。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pPr>
        <w:spacing w:line="360" w:lineRule="auto"/>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六、潜在风险评估</w:t>
      </w:r>
      <w:bookmarkEnd w:id="36"/>
    </w:p>
    <w:p>
      <w:pPr>
        <w:spacing w:line="360" w:lineRule="auto"/>
        <w:ind w:firstLine="482" w:firstLineChars="200"/>
        <w:outlineLvl w:val="0"/>
        <w:rPr>
          <w:rFonts w:hint="eastAsia" w:ascii="宋体" w:hAnsi="宋体" w:eastAsia="宋体" w:cs="宋体"/>
          <w:b/>
          <w:bCs/>
          <w:sz w:val="24"/>
          <w:szCs w:val="24"/>
        </w:rPr>
      </w:pPr>
      <w:bookmarkStart w:id="37" w:name="_Toc498551274"/>
      <w:bookmarkStart w:id="38" w:name="_Toc16405"/>
      <w:bookmarkStart w:id="39" w:name="_Toc6564"/>
      <w:bookmarkStart w:id="40" w:name="_Toc20908"/>
      <w:bookmarkStart w:id="41" w:name="_Toc498385095"/>
      <w:bookmarkStart w:id="42" w:name="_Toc498385763"/>
      <w:r>
        <w:rPr>
          <w:rFonts w:hint="eastAsia" w:ascii="宋体" w:hAnsi="宋体" w:eastAsia="宋体" w:cs="宋体"/>
          <w:b/>
          <w:bCs/>
          <w:sz w:val="24"/>
          <w:szCs w:val="24"/>
        </w:rPr>
        <w:t>（一）影响项目施工进度或正常运营的风险及控制措施</w:t>
      </w:r>
      <w:bookmarkEnd w:id="37"/>
      <w:bookmarkEnd w:id="38"/>
      <w:bookmarkEnd w:id="39"/>
      <w:bookmarkEnd w:id="40"/>
      <w:bookmarkEnd w:id="41"/>
      <w:bookmarkEnd w:id="42"/>
    </w:p>
    <w:p>
      <w:pPr>
        <w:spacing w:line="360" w:lineRule="auto"/>
        <w:ind w:firstLine="480" w:firstLineChars="200"/>
        <w:outlineLvl w:val="2"/>
        <w:rPr>
          <w:rFonts w:hint="eastAsia" w:ascii="宋体" w:hAnsi="宋体" w:eastAsia="宋体" w:cs="宋体"/>
          <w:sz w:val="24"/>
          <w:szCs w:val="24"/>
        </w:rPr>
      </w:pPr>
      <w:bookmarkStart w:id="43" w:name="_Toc498385764"/>
      <w:bookmarkStart w:id="44" w:name="_Toc498385096"/>
      <w:bookmarkStart w:id="45" w:name="_Toc498551275"/>
      <w:bookmarkStart w:id="46" w:name="_Toc23168"/>
      <w:r>
        <w:rPr>
          <w:rFonts w:hint="eastAsia" w:ascii="宋体" w:hAnsi="宋体" w:eastAsia="宋体" w:cs="宋体"/>
          <w:sz w:val="24"/>
          <w:szCs w:val="24"/>
        </w:rPr>
        <w:t>1</w:t>
      </w:r>
      <w:bookmarkEnd w:id="43"/>
      <w:bookmarkEnd w:id="44"/>
      <w:bookmarkEnd w:id="45"/>
      <w:r>
        <w:rPr>
          <w:rFonts w:hint="eastAsia" w:ascii="宋体" w:hAnsi="宋体" w:eastAsia="宋体" w:cs="宋体"/>
          <w:sz w:val="24"/>
          <w:szCs w:val="24"/>
        </w:rPr>
        <w:t>、政策风险</w:t>
      </w:r>
      <w:bookmarkEnd w:id="46"/>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pPr>
        <w:spacing w:line="360" w:lineRule="auto"/>
        <w:ind w:firstLine="480" w:firstLineChars="200"/>
        <w:outlineLvl w:val="2"/>
        <w:rPr>
          <w:rFonts w:hint="eastAsia" w:ascii="宋体" w:hAnsi="宋体" w:eastAsia="宋体" w:cs="宋体"/>
          <w:sz w:val="24"/>
          <w:szCs w:val="24"/>
        </w:rPr>
      </w:pPr>
      <w:bookmarkStart w:id="47" w:name="_Toc498385097"/>
      <w:bookmarkStart w:id="48" w:name="_Toc498551276"/>
      <w:bookmarkStart w:id="49" w:name="_Toc498385765"/>
      <w:bookmarkStart w:id="50" w:name="_Toc26505"/>
      <w:r>
        <w:rPr>
          <w:rFonts w:hint="eastAsia" w:ascii="宋体" w:hAnsi="宋体" w:eastAsia="宋体" w:cs="宋体"/>
          <w:sz w:val="24"/>
          <w:szCs w:val="24"/>
        </w:rPr>
        <w:t>2</w:t>
      </w:r>
      <w:bookmarkEnd w:id="47"/>
      <w:bookmarkEnd w:id="48"/>
      <w:bookmarkEnd w:id="49"/>
      <w:r>
        <w:rPr>
          <w:rFonts w:hint="eastAsia" w:ascii="宋体" w:hAnsi="宋体" w:eastAsia="宋体" w:cs="宋体"/>
          <w:sz w:val="24"/>
          <w:szCs w:val="24"/>
        </w:rPr>
        <w:t>、项目实施与管理风险</w:t>
      </w:r>
      <w:bookmarkEnd w:id="50"/>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项目建设期间严格执行文明施工标准，确保项目对民众生活的影响降至最低。</w:t>
      </w:r>
    </w:p>
    <w:p>
      <w:pPr>
        <w:spacing w:line="360" w:lineRule="auto"/>
        <w:ind w:firstLine="480" w:firstLineChars="200"/>
        <w:outlineLvl w:val="2"/>
        <w:rPr>
          <w:rFonts w:hint="eastAsia" w:ascii="宋体" w:hAnsi="宋体" w:eastAsia="宋体" w:cs="宋体"/>
          <w:sz w:val="24"/>
          <w:szCs w:val="24"/>
        </w:rPr>
      </w:pPr>
      <w:bookmarkStart w:id="51" w:name="_Toc22995"/>
      <w:r>
        <w:rPr>
          <w:rFonts w:hint="eastAsia" w:ascii="宋体" w:hAnsi="宋体" w:eastAsia="宋体" w:cs="宋体"/>
          <w:sz w:val="24"/>
          <w:szCs w:val="24"/>
        </w:rPr>
        <w:t>3、财务风险</w:t>
      </w:r>
      <w:bookmarkEnd w:id="51"/>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pPr>
        <w:spacing w:line="360" w:lineRule="auto"/>
        <w:ind w:firstLine="480" w:firstLineChars="200"/>
        <w:outlineLvl w:val="2"/>
        <w:rPr>
          <w:rFonts w:hint="eastAsia" w:ascii="宋体" w:hAnsi="宋体" w:eastAsia="宋体" w:cs="宋体"/>
          <w:sz w:val="24"/>
          <w:szCs w:val="24"/>
        </w:rPr>
      </w:pPr>
      <w:bookmarkStart w:id="52" w:name="_Toc18164"/>
      <w:r>
        <w:rPr>
          <w:rFonts w:hint="eastAsia" w:ascii="宋体" w:hAnsi="宋体" w:eastAsia="宋体" w:cs="宋体"/>
          <w:sz w:val="24"/>
          <w:szCs w:val="24"/>
        </w:rPr>
        <w:t>4.社会风险</w:t>
      </w:r>
      <w:bookmarkEnd w:id="52"/>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pPr>
        <w:spacing w:line="360" w:lineRule="auto"/>
        <w:ind w:firstLine="482" w:firstLineChars="200"/>
        <w:outlineLvl w:val="0"/>
        <w:rPr>
          <w:rFonts w:hint="eastAsia" w:ascii="宋体" w:hAnsi="宋体" w:eastAsia="宋体" w:cs="宋体"/>
          <w:b/>
          <w:bCs/>
          <w:sz w:val="24"/>
          <w:szCs w:val="24"/>
        </w:rPr>
      </w:pPr>
      <w:bookmarkStart w:id="53" w:name="_Toc498551277"/>
      <w:bookmarkStart w:id="54" w:name="_Toc4601"/>
      <w:bookmarkStart w:id="55" w:name="_Toc8575"/>
      <w:bookmarkStart w:id="56" w:name="_Toc17161"/>
      <w:bookmarkStart w:id="57" w:name="_Toc498385098"/>
      <w:bookmarkStart w:id="58" w:name="_Toc498385766"/>
      <w:r>
        <w:rPr>
          <w:rFonts w:hint="eastAsia" w:ascii="宋体" w:hAnsi="宋体" w:eastAsia="宋体" w:cs="宋体"/>
          <w:b/>
          <w:bCs/>
          <w:sz w:val="24"/>
          <w:szCs w:val="24"/>
        </w:rPr>
        <w:t>（二）影响项目收益的风险及控制措施</w:t>
      </w:r>
      <w:bookmarkEnd w:id="53"/>
      <w:bookmarkEnd w:id="54"/>
      <w:bookmarkEnd w:id="55"/>
      <w:bookmarkEnd w:id="56"/>
      <w:bookmarkEnd w:id="57"/>
      <w:bookmarkEnd w:id="58"/>
    </w:p>
    <w:p>
      <w:pPr>
        <w:spacing w:line="360" w:lineRule="auto"/>
        <w:ind w:firstLine="480" w:firstLineChars="200"/>
        <w:rPr>
          <w:rFonts w:hint="eastAsia" w:ascii="宋体" w:hAnsi="宋体" w:eastAsia="宋体" w:cs="宋体"/>
          <w:sz w:val="24"/>
          <w:szCs w:val="24"/>
        </w:rPr>
      </w:pPr>
      <w:bookmarkStart w:id="59" w:name="_Toc498385099"/>
      <w:bookmarkStart w:id="60" w:name="_Toc498551279"/>
      <w:bookmarkStart w:id="61" w:name="_Toc498385767"/>
      <w:r>
        <w:rPr>
          <w:rFonts w:hint="eastAsia" w:ascii="宋体" w:hAnsi="宋体" w:eastAsia="宋体" w:cs="宋体"/>
          <w:sz w:val="24"/>
          <w:szCs w:val="24"/>
        </w:rPr>
        <w:t>工程可行性研究报告中的总投资额与实际造价成本可能会发生偏差，影响资金项目资金投入和发债计划安排。</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风险控制措施：按照市政府主管部门的批复结果及时调整项目资金投入计划，保障项目顺利实施。</w:t>
      </w:r>
    </w:p>
    <w:bookmarkEnd w:id="59"/>
    <w:bookmarkEnd w:id="60"/>
    <w:bookmarkEnd w:id="61"/>
    <w:p>
      <w:pPr>
        <w:spacing w:line="360" w:lineRule="auto"/>
        <w:ind w:firstLine="482" w:firstLineChars="200"/>
        <w:outlineLvl w:val="0"/>
        <w:rPr>
          <w:rFonts w:hint="eastAsia" w:ascii="宋体" w:hAnsi="宋体" w:eastAsia="宋体" w:cs="宋体"/>
          <w:b/>
          <w:bCs/>
          <w:sz w:val="24"/>
          <w:szCs w:val="24"/>
        </w:rPr>
      </w:pPr>
      <w:bookmarkStart w:id="62" w:name="_Toc7640"/>
      <w:bookmarkStart w:id="63" w:name="_Toc30358"/>
      <w:bookmarkStart w:id="64" w:name="_Toc498385773"/>
      <w:bookmarkStart w:id="65" w:name="_Toc10542"/>
      <w:bookmarkStart w:id="66" w:name="_Toc498551286"/>
      <w:bookmarkStart w:id="67" w:name="_Toc498385105"/>
      <w:r>
        <w:rPr>
          <w:rFonts w:hint="eastAsia" w:ascii="宋体" w:hAnsi="宋体" w:eastAsia="宋体" w:cs="宋体"/>
          <w:b/>
          <w:bCs/>
          <w:sz w:val="24"/>
          <w:szCs w:val="24"/>
        </w:rPr>
        <w:t>（三）影响融资平衡结果的风险及控制措施</w:t>
      </w:r>
      <w:bookmarkEnd w:id="62"/>
      <w:bookmarkEnd w:id="63"/>
      <w:bookmarkEnd w:id="64"/>
      <w:bookmarkEnd w:id="65"/>
      <w:bookmarkEnd w:id="66"/>
      <w:bookmarkEnd w:id="67"/>
    </w:p>
    <w:p>
      <w:pPr>
        <w:spacing w:line="360" w:lineRule="auto"/>
        <w:ind w:firstLine="480" w:firstLineChars="200"/>
        <w:outlineLvl w:val="2"/>
        <w:rPr>
          <w:rFonts w:hint="eastAsia" w:ascii="宋体" w:hAnsi="宋体" w:eastAsia="宋体" w:cs="宋体"/>
          <w:sz w:val="24"/>
          <w:szCs w:val="24"/>
        </w:rPr>
      </w:pPr>
      <w:bookmarkStart w:id="68" w:name="_Toc498385106"/>
      <w:bookmarkStart w:id="69" w:name="_Toc498551287"/>
      <w:bookmarkStart w:id="70" w:name="_Toc498385774"/>
      <w:bookmarkStart w:id="71" w:name="_Toc7555"/>
      <w:r>
        <w:rPr>
          <w:rFonts w:hint="eastAsia" w:ascii="宋体" w:hAnsi="宋体" w:eastAsia="宋体" w:cs="宋体"/>
          <w:sz w:val="24"/>
          <w:szCs w:val="24"/>
        </w:rPr>
        <w:t>1、投资测算不准确风险</w:t>
      </w:r>
      <w:bookmarkEnd w:id="68"/>
      <w:bookmarkEnd w:id="69"/>
      <w:bookmarkEnd w:id="70"/>
      <w:bookmarkEnd w:id="71"/>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风险控制措施：债券内所含项目的可行性研究报告均聘请了国内知名研究院经过大量分析论证工作后得出，分析结果较为可靠。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pPr>
        <w:spacing w:line="360" w:lineRule="auto"/>
        <w:ind w:firstLine="480" w:firstLineChars="200"/>
        <w:outlineLvl w:val="2"/>
        <w:rPr>
          <w:rFonts w:hint="eastAsia" w:ascii="宋体" w:hAnsi="宋体" w:eastAsia="宋体" w:cs="宋体"/>
          <w:sz w:val="24"/>
          <w:szCs w:val="24"/>
        </w:rPr>
      </w:pPr>
      <w:bookmarkStart w:id="72" w:name="_Toc3687"/>
      <w:r>
        <w:rPr>
          <w:rFonts w:hint="eastAsia" w:ascii="宋体" w:hAnsi="宋体" w:eastAsia="宋体" w:cs="宋体"/>
          <w:sz w:val="24"/>
          <w:szCs w:val="24"/>
        </w:rPr>
        <w:t>2、利率波动风险</w:t>
      </w:r>
      <w:bookmarkEnd w:id="72"/>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pPr>
        <w:spacing w:line="360" w:lineRule="auto"/>
        <w:ind w:firstLine="480" w:firstLineChars="200"/>
        <w:outlineLvl w:val="2"/>
        <w:rPr>
          <w:rFonts w:hint="eastAsia" w:ascii="宋体" w:hAnsi="宋体" w:eastAsia="宋体" w:cs="宋体"/>
          <w:sz w:val="24"/>
          <w:szCs w:val="24"/>
        </w:rPr>
      </w:pPr>
      <w:bookmarkStart w:id="73" w:name="_Toc25085"/>
      <w:bookmarkStart w:id="74" w:name="_Toc498551289"/>
      <w:r>
        <w:rPr>
          <w:rFonts w:hint="eastAsia" w:ascii="宋体" w:hAnsi="宋体" w:eastAsia="宋体" w:cs="宋体"/>
          <w:sz w:val="24"/>
          <w:szCs w:val="24"/>
        </w:rPr>
        <w:t>3、存续债券置换不畅风险</w:t>
      </w:r>
      <w:bookmarkEnd w:id="73"/>
      <w:bookmarkEnd w:id="74"/>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pPr>
        <w:spacing w:before="159" w:beforeLines="50" w:line="360" w:lineRule="auto"/>
        <w:ind w:firstLine="482" w:firstLineChars="200"/>
        <w:outlineLvl w:val="0"/>
        <w:rPr>
          <w:rFonts w:hint="eastAsia" w:ascii="宋体" w:hAnsi="宋体" w:eastAsia="宋体" w:cs="宋体"/>
          <w:b/>
          <w:sz w:val="24"/>
          <w:szCs w:val="24"/>
        </w:rPr>
      </w:pPr>
      <w:bookmarkStart w:id="75" w:name="_Toc6349"/>
      <w:bookmarkStart w:id="76" w:name="_Toc22531"/>
      <w:bookmarkStart w:id="77" w:name="_Toc11499"/>
      <w:bookmarkStart w:id="78" w:name="_Toc32395"/>
      <w:bookmarkStart w:id="79" w:name="_Toc14093"/>
      <w:bookmarkStart w:id="80" w:name="_Toc23636"/>
      <w:bookmarkStart w:id="81" w:name="_Toc4935"/>
      <w:bookmarkStart w:id="82" w:name="_Toc17939"/>
      <w:bookmarkStart w:id="83" w:name="_Toc9133"/>
      <w:bookmarkStart w:id="84" w:name="_Toc15942"/>
      <w:bookmarkStart w:id="85" w:name="_Toc24781"/>
      <w:bookmarkStart w:id="86" w:name="_Toc5637"/>
      <w:bookmarkStart w:id="87" w:name="_Toc5677"/>
      <w:bookmarkStart w:id="88" w:name="_Toc8534"/>
      <w:bookmarkStart w:id="89" w:name="_Toc2036"/>
      <w:bookmarkStart w:id="90" w:name="_Toc9496"/>
      <w:bookmarkStart w:id="91" w:name="_Toc5009"/>
      <w:bookmarkStart w:id="92" w:name="_Toc24199"/>
      <w:bookmarkStart w:id="93" w:name="_Toc3051"/>
      <w:bookmarkStart w:id="94" w:name="_Toc1725"/>
      <w:bookmarkStart w:id="95" w:name="_Toc1287"/>
      <w:bookmarkStart w:id="96" w:name="_Toc4735"/>
      <w:bookmarkStart w:id="97" w:name="_Toc10210"/>
      <w:bookmarkStart w:id="98" w:name="_Toc32327"/>
      <w:bookmarkStart w:id="99" w:name="_Toc23808"/>
      <w:bookmarkStart w:id="100" w:name="_Toc16334"/>
      <w:bookmarkStart w:id="101" w:name="_Toc20734"/>
      <w:bookmarkStart w:id="102" w:name="_Toc13008"/>
      <w:r>
        <w:rPr>
          <w:rFonts w:hint="eastAsia" w:ascii="宋体" w:hAnsi="宋体" w:eastAsia="宋体" w:cs="宋体"/>
          <w:b/>
          <w:sz w:val="24"/>
          <w:szCs w:val="24"/>
        </w:rPr>
        <w:t>七、还款保障措施</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p>
    <w:p>
      <w:pPr>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海口市路桥建设投资有限公司</w:t>
      </w:r>
    </w:p>
    <w:p>
      <w:pPr>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sz w:val="24"/>
          <w:szCs w:val="24"/>
        </w:rPr>
        <w:t>2025年6月</w:t>
      </w:r>
    </w:p>
    <w:sectPr>
      <w:headerReference r:id="rId7" w:type="default"/>
      <w:footerReference r:id="rId8"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LF_Kai">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p>
  <w:p>
    <w:pPr>
      <w:pStyle w:val="1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9376670"/>
    </w:sdtPr>
    <w:sdtContent>
      <w:p>
        <w:pPr>
          <w:pStyle w:val="10"/>
          <w:jc w:val="center"/>
          <w:rPr>
            <w:rFonts w:hint="eastAsia"/>
          </w:rPr>
        </w:pPr>
        <w:r>
          <w:fldChar w:fldCharType="begin"/>
        </w:r>
        <w:r>
          <w:instrText xml:space="preserve">PAGE   \* MERGEFORMAT</w:instrText>
        </w:r>
        <w:r>
          <w:fldChar w:fldCharType="separate"/>
        </w:r>
        <w:r>
          <w:rPr>
            <w:lang w:val="zh-CN"/>
          </w:rPr>
          <w:t>2</w:t>
        </w:r>
        <w:r>
          <w:fldChar w:fldCharType="end"/>
        </w:r>
      </w:p>
    </w:sdtContent>
  </w:sdt>
  <w:p>
    <w:pPr>
      <w:tabs>
        <w:tab w:val="center" w:pos="4320"/>
        <w:tab w:val="right" w:pos="8640"/>
      </w:tabs>
      <w:rPr>
        <w:rFonts w:ascii="Calibri" w:hAnsi="Calibri" w:eastAsia="宋体"/>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238946"/>
    </w:sdtPr>
    <w:sdtContent>
      <w:p>
        <w:pPr>
          <w:pStyle w:val="10"/>
          <w:jc w:val="center"/>
          <w:rPr>
            <w:rFonts w:hint="eastAsia"/>
          </w:rPr>
        </w:pPr>
        <w:r>
          <w:fldChar w:fldCharType="begin"/>
        </w:r>
        <w:r>
          <w:instrText xml:space="preserve">PAGE   \* MERGEFORMAT</w:instrText>
        </w:r>
        <w:r>
          <w:fldChar w:fldCharType="separate"/>
        </w:r>
        <w:r>
          <w:rPr>
            <w:lang w:val="zh-CN"/>
          </w:rPr>
          <w:t>2</w:t>
        </w:r>
        <w:r>
          <w:fldChar w:fldCharType="end"/>
        </w:r>
      </w:p>
    </w:sdtContent>
  </w:sdt>
  <w:p>
    <w:pPr>
      <w:pStyle w:val="1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3"/>
        <w:rPr>
          <w:rFonts w:hint="eastAsia" w:ascii="宋体" w:hAnsi="宋体" w:eastAsia="宋体"/>
        </w:rPr>
      </w:pPr>
      <w:r>
        <w:rPr>
          <w:rStyle w:val="23"/>
          <w:rFonts w:ascii="宋体" w:hAnsi="宋体" w:eastAsia="宋体"/>
        </w:rPr>
        <w:footnoteRef/>
      </w:r>
      <w:r>
        <w:rPr>
          <w:rFonts w:ascii="宋体" w:hAnsi="宋体" w:eastAsia="宋体"/>
        </w:rPr>
        <w:t xml:space="preserve"> </w:t>
      </w:r>
      <w:r>
        <w:rPr>
          <w:rFonts w:hint="eastAsia" w:ascii="宋体" w:hAnsi="宋体" w:eastAsia="宋体"/>
        </w:rPr>
        <w:t>本息覆盖率</w:t>
      </w:r>
      <w:r>
        <w:rPr>
          <w:rFonts w:ascii="宋体" w:hAnsi="宋体" w:eastAsia="宋体"/>
        </w:rPr>
        <w:t>=（期末项目累计现金结存额/债券本息）+1</w:t>
      </w:r>
      <w:r>
        <w:rPr>
          <w:rFonts w:hint="eastAsia" w:ascii="宋体" w:hAnsi="宋体" w:eastAsia="宋体"/>
        </w:rPr>
        <w:t>，下同。</w:t>
      </w:r>
    </w:p>
  </w:footnote>
  <w:footnote w:id="1">
    <w:p>
      <w:pPr>
        <w:pStyle w:val="13"/>
        <w:rPr>
          <w:rFonts w:hint="eastAsia" w:ascii="等线 Light" w:hAnsi="等线 Light" w:eastAsia="等线 Light"/>
        </w:rPr>
      </w:pPr>
      <w:r>
        <w:rPr>
          <w:rStyle w:val="23"/>
          <w:rFonts w:ascii="宋体" w:hAnsi="宋体" w:eastAsia="宋体"/>
        </w:rPr>
        <w:footnoteRef/>
      </w:r>
      <w:r>
        <w:rPr>
          <w:rFonts w:ascii="宋体" w:hAnsi="宋体" w:eastAsia="宋体"/>
        </w:rPr>
        <w:t xml:space="preserve"> </w:t>
      </w:r>
      <w:r>
        <w:rPr>
          <w:rFonts w:hint="eastAsia" w:ascii="宋体" w:hAnsi="宋体" w:eastAsia="宋体"/>
        </w:rPr>
        <w:t>本息覆盖倍数</w:t>
      </w:r>
      <w:r>
        <w:rPr>
          <w:rFonts w:ascii="宋体" w:hAnsi="宋体" w:eastAsia="宋体"/>
        </w:rPr>
        <w:t>=</w:t>
      </w:r>
      <w:r>
        <w:rPr>
          <w:rFonts w:hint="eastAsia" w:ascii="宋体" w:hAnsi="宋体" w:eastAsia="宋体"/>
        </w:rPr>
        <w:t>用于资金平衡的项目收益</w:t>
      </w:r>
      <w:r>
        <w:rPr>
          <w:rFonts w:ascii="宋体" w:hAnsi="宋体" w:eastAsia="宋体"/>
        </w:rPr>
        <w:t>/债券本息，下同</w:t>
      </w:r>
      <w:r>
        <w:rPr>
          <w:rFonts w:hint="eastAsia" w:ascii="宋体" w:hAnsi="宋体" w:eastAsia="宋体"/>
        </w:rPr>
        <w:t>。</w:t>
      </w:r>
    </w:p>
  </w:footnote>
  <w:footnote w:id="2">
    <w:p>
      <w:pPr>
        <w:pStyle w:val="44"/>
        <w:jc w:val="both"/>
        <w:rPr>
          <w:rFonts w:hint="eastAsia" w:ascii="等线" w:hAnsi="等线" w:eastAsia="等线" w:cs="微软雅黑"/>
          <w:color w:val="000000"/>
          <w:sz w:val="16"/>
          <w:szCs w:val="18"/>
          <w:lang w:val="en-US"/>
        </w:rPr>
      </w:pPr>
      <w:r>
        <w:rPr>
          <w:rStyle w:val="23"/>
          <w:rFonts w:ascii="等线" w:hAnsi="等线" w:eastAsia="等线"/>
          <w:sz w:val="16"/>
        </w:rPr>
        <w:footnoteRef/>
      </w:r>
      <w:r>
        <w:rPr>
          <w:rFonts w:hint="eastAsia" w:ascii="等线" w:hAnsi="等线" w:eastAsia="等线" w:cs="微软雅黑"/>
          <w:color w:val="000000"/>
          <w:sz w:val="16"/>
          <w:szCs w:val="18"/>
          <w:lang w:val="en-US"/>
        </w:rPr>
        <w:t>债券本息覆盖率</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期末项目累计现金结存额</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债券本息</w:t>
      </w:r>
      <w:r>
        <w:rPr>
          <w:rFonts w:ascii="等线" w:hAnsi="等线" w:eastAsia="等线" w:cs="微软雅黑"/>
          <w:color w:val="000000"/>
          <w:sz w:val="16"/>
          <w:szCs w:val="18"/>
          <w:lang w:val="en-US"/>
        </w:rPr>
        <w:t>+1</w:t>
      </w:r>
      <w:r>
        <w:rPr>
          <w:rFonts w:hint="eastAsia" w:ascii="等线" w:hAnsi="等线" w:eastAsia="等线" w:cs="微软雅黑"/>
          <w:color w:val="000000"/>
          <w:sz w:val="16"/>
          <w:szCs w:val="18"/>
          <w:lang w:val="en-US"/>
        </w:rPr>
        <w:t>。</w:t>
      </w:r>
    </w:p>
  </w:footnote>
  <w:footnote w:id="3">
    <w:p>
      <w:pPr>
        <w:pStyle w:val="44"/>
        <w:jc w:val="both"/>
        <w:rPr>
          <w:rFonts w:eastAsia="华文细黑" w:cs="微软雅黑"/>
          <w:color w:val="000000"/>
          <w:sz w:val="16"/>
          <w:szCs w:val="18"/>
          <w:lang w:val="en-US"/>
        </w:rPr>
      </w:pPr>
      <w:r>
        <w:rPr>
          <w:rStyle w:val="23"/>
          <w:rFonts w:ascii="等线" w:hAnsi="等线" w:eastAsia="等线"/>
          <w:sz w:val="16"/>
        </w:rPr>
        <w:footnoteRef/>
      </w:r>
      <w:r>
        <w:rPr>
          <w:rFonts w:hint="eastAsia" w:ascii="等线" w:hAnsi="等线" w:eastAsia="等线" w:cs="微软雅黑"/>
          <w:color w:val="000000"/>
          <w:sz w:val="16"/>
          <w:szCs w:val="18"/>
          <w:lang w:val="en-US"/>
        </w:rPr>
        <w:t>债券本息覆盖倍数</w:t>
      </w:r>
      <w:r>
        <w:rPr>
          <w:rFonts w:ascii="等线" w:hAnsi="等线" w:eastAsia="等线" w:cs="微软雅黑"/>
          <w:color w:val="000000"/>
          <w:sz w:val="16"/>
          <w:szCs w:val="18"/>
          <w:lang w:val="en-US"/>
        </w:rPr>
        <w:t>=</w:t>
      </w:r>
      <w:r>
        <w:rPr>
          <w:rFonts w:hint="eastAsia" w:ascii="等线" w:hAnsi="等线" w:eastAsia="等线" w:cs="微软雅黑"/>
          <w:color w:val="000000"/>
          <w:sz w:val="16"/>
          <w:szCs w:val="18"/>
          <w:lang w:val="en-US"/>
        </w:rPr>
        <w:t>（运营收入-运营成本-税费）/债券本息。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tabs>
        <w:tab w:val="left" w:pos="6178"/>
        <w:tab w:val="clear" w:pos="8306"/>
      </w:tabs>
      <w:rPr>
        <w:rFonts w:hint="eastAsia"/>
      </w:rPr>
    </w:pPr>
    <w:r>
      <w:rPr>
        <w:rFonts w:hint="eastAsia" w:eastAsiaTheme="minor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tabs>
        <w:tab w:val="left" w:pos="6178"/>
        <w:tab w:val="clear" w:pos="8306"/>
      </w:tabs>
      <w:rPr>
        <w:rFonts w:hint="eastAsia"/>
      </w:rPr>
    </w:pPr>
    <w:r>
      <w:rPr>
        <w:rFonts w:hint="eastAsia" w:eastAsiaTheme="minor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9"/>
  <w:noPunctuationKerning w:val="1"/>
  <w:characterSpacingControl w:val="compressPunctuation"/>
  <w:footnotePr>
    <w:footnote w:id="8"/>
    <w:footnote w:id="9"/>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ODQyZjk5ZDEyOGUxZmY0ODk1YjYxYjNlN2Q2MzEifQ=="/>
  </w:docVars>
  <w:rsids>
    <w:rsidRoot w:val="00B271AC"/>
    <w:rsid w:val="000007E4"/>
    <w:rsid w:val="000015A0"/>
    <w:rsid w:val="00002D01"/>
    <w:rsid w:val="00004E30"/>
    <w:rsid w:val="0000666E"/>
    <w:rsid w:val="0001472F"/>
    <w:rsid w:val="000178C8"/>
    <w:rsid w:val="000218B0"/>
    <w:rsid w:val="000246AB"/>
    <w:rsid w:val="00037152"/>
    <w:rsid w:val="00040E2E"/>
    <w:rsid w:val="00041492"/>
    <w:rsid w:val="00045482"/>
    <w:rsid w:val="0004663A"/>
    <w:rsid w:val="00046784"/>
    <w:rsid w:val="00046C6C"/>
    <w:rsid w:val="000507C1"/>
    <w:rsid w:val="00050C72"/>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4E92"/>
    <w:rsid w:val="00106170"/>
    <w:rsid w:val="00107E7D"/>
    <w:rsid w:val="00110490"/>
    <w:rsid w:val="0011671E"/>
    <w:rsid w:val="00124FA3"/>
    <w:rsid w:val="001267AA"/>
    <w:rsid w:val="001333E3"/>
    <w:rsid w:val="0013649A"/>
    <w:rsid w:val="001375C0"/>
    <w:rsid w:val="001402B8"/>
    <w:rsid w:val="00141A89"/>
    <w:rsid w:val="001420D3"/>
    <w:rsid w:val="00144B23"/>
    <w:rsid w:val="0015056D"/>
    <w:rsid w:val="001521DB"/>
    <w:rsid w:val="00153AB8"/>
    <w:rsid w:val="00162879"/>
    <w:rsid w:val="001749C6"/>
    <w:rsid w:val="00177535"/>
    <w:rsid w:val="0018403A"/>
    <w:rsid w:val="00187349"/>
    <w:rsid w:val="00191B0F"/>
    <w:rsid w:val="001922F6"/>
    <w:rsid w:val="001A21B6"/>
    <w:rsid w:val="001B2140"/>
    <w:rsid w:val="001B5627"/>
    <w:rsid w:val="001C1869"/>
    <w:rsid w:val="001C4326"/>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6FCC"/>
    <w:rsid w:val="0022728A"/>
    <w:rsid w:val="00237397"/>
    <w:rsid w:val="00237772"/>
    <w:rsid w:val="00240A63"/>
    <w:rsid w:val="002627AF"/>
    <w:rsid w:val="002652A4"/>
    <w:rsid w:val="00270D54"/>
    <w:rsid w:val="00275D06"/>
    <w:rsid w:val="00281A0E"/>
    <w:rsid w:val="00286583"/>
    <w:rsid w:val="0029536C"/>
    <w:rsid w:val="00296B05"/>
    <w:rsid w:val="00297F4E"/>
    <w:rsid w:val="002A29E5"/>
    <w:rsid w:val="002A3CDD"/>
    <w:rsid w:val="002A62ED"/>
    <w:rsid w:val="002B4D39"/>
    <w:rsid w:val="002B7714"/>
    <w:rsid w:val="002B7CCA"/>
    <w:rsid w:val="002C38F7"/>
    <w:rsid w:val="002C5979"/>
    <w:rsid w:val="002D31F2"/>
    <w:rsid w:val="002D412D"/>
    <w:rsid w:val="002D6D0B"/>
    <w:rsid w:val="002D7B61"/>
    <w:rsid w:val="002E18B6"/>
    <w:rsid w:val="002E2B6A"/>
    <w:rsid w:val="002E7373"/>
    <w:rsid w:val="002F2656"/>
    <w:rsid w:val="00300571"/>
    <w:rsid w:val="00300FA4"/>
    <w:rsid w:val="00303D53"/>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799"/>
    <w:rsid w:val="003A5AF8"/>
    <w:rsid w:val="003B00B8"/>
    <w:rsid w:val="003B1257"/>
    <w:rsid w:val="003B1ADE"/>
    <w:rsid w:val="003C3A95"/>
    <w:rsid w:val="003C70A8"/>
    <w:rsid w:val="003C7D5D"/>
    <w:rsid w:val="003C7F01"/>
    <w:rsid w:val="003E2680"/>
    <w:rsid w:val="003E682C"/>
    <w:rsid w:val="00400EC9"/>
    <w:rsid w:val="00401CB2"/>
    <w:rsid w:val="0040537D"/>
    <w:rsid w:val="00406495"/>
    <w:rsid w:val="00410201"/>
    <w:rsid w:val="004132B2"/>
    <w:rsid w:val="00413724"/>
    <w:rsid w:val="004178E8"/>
    <w:rsid w:val="00422A22"/>
    <w:rsid w:val="0042642C"/>
    <w:rsid w:val="0044064F"/>
    <w:rsid w:val="00440791"/>
    <w:rsid w:val="00440A9C"/>
    <w:rsid w:val="00447095"/>
    <w:rsid w:val="004552B2"/>
    <w:rsid w:val="00455C6B"/>
    <w:rsid w:val="00462D3D"/>
    <w:rsid w:val="00462F50"/>
    <w:rsid w:val="00470AFA"/>
    <w:rsid w:val="0047195D"/>
    <w:rsid w:val="0047477F"/>
    <w:rsid w:val="00475A41"/>
    <w:rsid w:val="004871F0"/>
    <w:rsid w:val="00494E1B"/>
    <w:rsid w:val="004A7362"/>
    <w:rsid w:val="004B022D"/>
    <w:rsid w:val="004B0E7E"/>
    <w:rsid w:val="004C008F"/>
    <w:rsid w:val="004C3C82"/>
    <w:rsid w:val="004D0A58"/>
    <w:rsid w:val="004D71E1"/>
    <w:rsid w:val="004E194B"/>
    <w:rsid w:val="004F4E8F"/>
    <w:rsid w:val="004F7346"/>
    <w:rsid w:val="00500418"/>
    <w:rsid w:val="00500816"/>
    <w:rsid w:val="00504286"/>
    <w:rsid w:val="00504EE7"/>
    <w:rsid w:val="00505357"/>
    <w:rsid w:val="00505DA4"/>
    <w:rsid w:val="00505DB3"/>
    <w:rsid w:val="00510276"/>
    <w:rsid w:val="00515111"/>
    <w:rsid w:val="00515B4E"/>
    <w:rsid w:val="00517A1B"/>
    <w:rsid w:val="00522EF4"/>
    <w:rsid w:val="00527F34"/>
    <w:rsid w:val="005354AE"/>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65F"/>
    <w:rsid w:val="005D78AD"/>
    <w:rsid w:val="005E25FD"/>
    <w:rsid w:val="005E2F31"/>
    <w:rsid w:val="005E426B"/>
    <w:rsid w:val="005E4333"/>
    <w:rsid w:val="005F0EA3"/>
    <w:rsid w:val="00600697"/>
    <w:rsid w:val="006101C0"/>
    <w:rsid w:val="00610A56"/>
    <w:rsid w:val="006210A8"/>
    <w:rsid w:val="0062259B"/>
    <w:rsid w:val="00624C5F"/>
    <w:rsid w:val="00625AD8"/>
    <w:rsid w:val="00634E69"/>
    <w:rsid w:val="00635D45"/>
    <w:rsid w:val="0064064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77E6E"/>
    <w:rsid w:val="00684F79"/>
    <w:rsid w:val="00691003"/>
    <w:rsid w:val="00693644"/>
    <w:rsid w:val="0069439F"/>
    <w:rsid w:val="006A428F"/>
    <w:rsid w:val="006B162C"/>
    <w:rsid w:val="006B50DF"/>
    <w:rsid w:val="006B612F"/>
    <w:rsid w:val="006C1DA2"/>
    <w:rsid w:val="006C4809"/>
    <w:rsid w:val="006C53F5"/>
    <w:rsid w:val="006C753A"/>
    <w:rsid w:val="006D4716"/>
    <w:rsid w:val="006D79AA"/>
    <w:rsid w:val="006E53FE"/>
    <w:rsid w:val="006E6F5B"/>
    <w:rsid w:val="006E72DA"/>
    <w:rsid w:val="006F24DA"/>
    <w:rsid w:val="006F6BB0"/>
    <w:rsid w:val="00706119"/>
    <w:rsid w:val="00715096"/>
    <w:rsid w:val="00715A29"/>
    <w:rsid w:val="00716753"/>
    <w:rsid w:val="00723C9D"/>
    <w:rsid w:val="00725FF9"/>
    <w:rsid w:val="0073210A"/>
    <w:rsid w:val="00736E52"/>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11655"/>
    <w:rsid w:val="00813732"/>
    <w:rsid w:val="00823C9F"/>
    <w:rsid w:val="00823D77"/>
    <w:rsid w:val="00824B2B"/>
    <w:rsid w:val="008261EA"/>
    <w:rsid w:val="00835AB2"/>
    <w:rsid w:val="00836321"/>
    <w:rsid w:val="0083703A"/>
    <w:rsid w:val="00856623"/>
    <w:rsid w:val="00856FB3"/>
    <w:rsid w:val="00857C28"/>
    <w:rsid w:val="008608DB"/>
    <w:rsid w:val="008621D4"/>
    <w:rsid w:val="00864A6E"/>
    <w:rsid w:val="0087674B"/>
    <w:rsid w:val="0087704F"/>
    <w:rsid w:val="00877DC8"/>
    <w:rsid w:val="00881E00"/>
    <w:rsid w:val="0088756E"/>
    <w:rsid w:val="00890F91"/>
    <w:rsid w:val="00893616"/>
    <w:rsid w:val="00895705"/>
    <w:rsid w:val="008A29B3"/>
    <w:rsid w:val="008A3CE4"/>
    <w:rsid w:val="008A5F60"/>
    <w:rsid w:val="008B6790"/>
    <w:rsid w:val="008B687B"/>
    <w:rsid w:val="008B70C0"/>
    <w:rsid w:val="008C71F6"/>
    <w:rsid w:val="008D3D8E"/>
    <w:rsid w:val="008D4307"/>
    <w:rsid w:val="008D5144"/>
    <w:rsid w:val="008E0156"/>
    <w:rsid w:val="008E2BD4"/>
    <w:rsid w:val="008E70FC"/>
    <w:rsid w:val="008F08EF"/>
    <w:rsid w:val="008F11EF"/>
    <w:rsid w:val="00900CC6"/>
    <w:rsid w:val="00902D88"/>
    <w:rsid w:val="009128AE"/>
    <w:rsid w:val="00916B0C"/>
    <w:rsid w:val="0092037A"/>
    <w:rsid w:val="00924683"/>
    <w:rsid w:val="0093061B"/>
    <w:rsid w:val="00931DDB"/>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2F99"/>
    <w:rsid w:val="009D4E0F"/>
    <w:rsid w:val="009D6AE8"/>
    <w:rsid w:val="009D7BBB"/>
    <w:rsid w:val="009E1186"/>
    <w:rsid w:val="009E44E3"/>
    <w:rsid w:val="009F08EA"/>
    <w:rsid w:val="009F5E6D"/>
    <w:rsid w:val="00A005BA"/>
    <w:rsid w:val="00A024C7"/>
    <w:rsid w:val="00A053BF"/>
    <w:rsid w:val="00A065F7"/>
    <w:rsid w:val="00A245D2"/>
    <w:rsid w:val="00A31D86"/>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3047"/>
    <w:rsid w:val="00B1443A"/>
    <w:rsid w:val="00B146B0"/>
    <w:rsid w:val="00B150B7"/>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74115"/>
    <w:rsid w:val="00B81B19"/>
    <w:rsid w:val="00B81C11"/>
    <w:rsid w:val="00B81DA2"/>
    <w:rsid w:val="00B85E32"/>
    <w:rsid w:val="00B87D8A"/>
    <w:rsid w:val="00B929B9"/>
    <w:rsid w:val="00BA3A26"/>
    <w:rsid w:val="00BA6EBD"/>
    <w:rsid w:val="00BB1041"/>
    <w:rsid w:val="00BB5B76"/>
    <w:rsid w:val="00BC506C"/>
    <w:rsid w:val="00BD16CA"/>
    <w:rsid w:val="00BD1F51"/>
    <w:rsid w:val="00BD52D1"/>
    <w:rsid w:val="00BD7F4C"/>
    <w:rsid w:val="00BE1A5E"/>
    <w:rsid w:val="00BF00FF"/>
    <w:rsid w:val="00BF30DC"/>
    <w:rsid w:val="00BF4017"/>
    <w:rsid w:val="00BF63BD"/>
    <w:rsid w:val="00C00DC0"/>
    <w:rsid w:val="00C02BD4"/>
    <w:rsid w:val="00C0392B"/>
    <w:rsid w:val="00C05AF0"/>
    <w:rsid w:val="00C05F9D"/>
    <w:rsid w:val="00C0726C"/>
    <w:rsid w:val="00C2428B"/>
    <w:rsid w:val="00C2519E"/>
    <w:rsid w:val="00C2562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360E"/>
    <w:rsid w:val="00C75088"/>
    <w:rsid w:val="00C8278F"/>
    <w:rsid w:val="00C84CDB"/>
    <w:rsid w:val="00C92F11"/>
    <w:rsid w:val="00C943A0"/>
    <w:rsid w:val="00C94828"/>
    <w:rsid w:val="00C96DE6"/>
    <w:rsid w:val="00CA3B31"/>
    <w:rsid w:val="00CA74C3"/>
    <w:rsid w:val="00CC0F68"/>
    <w:rsid w:val="00CC71B9"/>
    <w:rsid w:val="00CD0BF7"/>
    <w:rsid w:val="00CD344A"/>
    <w:rsid w:val="00CE424B"/>
    <w:rsid w:val="00CE4B6D"/>
    <w:rsid w:val="00CE56B1"/>
    <w:rsid w:val="00CF10A7"/>
    <w:rsid w:val="00D0344C"/>
    <w:rsid w:val="00D06A29"/>
    <w:rsid w:val="00D11E0E"/>
    <w:rsid w:val="00D20B4D"/>
    <w:rsid w:val="00D22C93"/>
    <w:rsid w:val="00D25045"/>
    <w:rsid w:val="00D31FA9"/>
    <w:rsid w:val="00D33EFE"/>
    <w:rsid w:val="00D34117"/>
    <w:rsid w:val="00D369F9"/>
    <w:rsid w:val="00D414C1"/>
    <w:rsid w:val="00D459A4"/>
    <w:rsid w:val="00D476D4"/>
    <w:rsid w:val="00D5030A"/>
    <w:rsid w:val="00D52AF2"/>
    <w:rsid w:val="00D563CB"/>
    <w:rsid w:val="00D56B82"/>
    <w:rsid w:val="00D70F41"/>
    <w:rsid w:val="00D91749"/>
    <w:rsid w:val="00D95DB8"/>
    <w:rsid w:val="00D9762A"/>
    <w:rsid w:val="00DA39E8"/>
    <w:rsid w:val="00DA6AB1"/>
    <w:rsid w:val="00DA6CCE"/>
    <w:rsid w:val="00DB496C"/>
    <w:rsid w:val="00DC0A9A"/>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1064E"/>
    <w:rsid w:val="00E15EBB"/>
    <w:rsid w:val="00E31AC4"/>
    <w:rsid w:val="00E333F4"/>
    <w:rsid w:val="00E33A8E"/>
    <w:rsid w:val="00E365A4"/>
    <w:rsid w:val="00E4365F"/>
    <w:rsid w:val="00E43EA1"/>
    <w:rsid w:val="00E46FF9"/>
    <w:rsid w:val="00E514C7"/>
    <w:rsid w:val="00E56DB0"/>
    <w:rsid w:val="00E60601"/>
    <w:rsid w:val="00E6226F"/>
    <w:rsid w:val="00E70076"/>
    <w:rsid w:val="00E70165"/>
    <w:rsid w:val="00E7213A"/>
    <w:rsid w:val="00E722C6"/>
    <w:rsid w:val="00E7256E"/>
    <w:rsid w:val="00E74318"/>
    <w:rsid w:val="00E7622E"/>
    <w:rsid w:val="00E80678"/>
    <w:rsid w:val="00E81949"/>
    <w:rsid w:val="00E9455C"/>
    <w:rsid w:val="00EA2674"/>
    <w:rsid w:val="00EA4852"/>
    <w:rsid w:val="00EB218D"/>
    <w:rsid w:val="00EB2E85"/>
    <w:rsid w:val="00EB46E3"/>
    <w:rsid w:val="00EC0F29"/>
    <w:rsid w:val="00EC2BE1"/>
    <w:rsid w:val="00EC7BA1"/>
    <w:rsid w:val="00ED03B8"/>
    <w:rsid w:val="00ED2683"/>
    <w:rsid w:val="00ED27B0"/>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6260F0D"/>
    <w:rsid w:val="097B1ADC"/>
    <w:rsid w:val="09BF341F"/>
    <w:rsid w:val="0C7930E7"/>
    <w:rsid w:val="0E5E4941"/>
    <w:rsid w:val="11E64292"/>
    <w:rsid w:val="12103504"/>
    <w:rsid w:val="154E2F47"/>
    <w:rsid w:val="16A914DF"/>
    <w:rsid w:val="171B4FA5"/>
    <w:rsid w:val="175759BD"/>
    <w:rsid w:val="180778BA"/>
    <w:rsid w:val="182C395A"/>
    <w:rsid w:val="18D94137"/>
    <w:rsid w:val="19152F02"/>
    <w:rsid w:val="1921046B"/>
    <w:rsid w:val="19257F5C"/>
    <w:rsid w:val="1BF20BAA"/>
    <w:rsid w:val="20A774A8"/>
    <w:rsid w:val="21E4166A"/>
    <w:rsid w:val="22D8647E"/>
    <w:rsid w:val="232224CD"/>
    <w:rsid w:val="249F6523"/>
    <w:rsid w:val="26452677"/>
    <w:rsid w:val="29A01B46"/>
    <w:rsid w:val="2C464749"/>
    <w:rsid w:val="2D0F1E53"/>
    <w:rsid w:val="2E127B70"/>
    <w:rsid w:val="2ED326F7"/>
    <w:rsid w:val="2F4C4997"/>
    <w:rsid w:val="2FB2417E"/>
    <w:rsid w:val="30701F3B"/>
    <w:rsid w:val="32E4458C"/>
    <w:rsid w:val="331344B7"/>
    <w:rsid w:val="334D65D2"/>
    <w:rsid w:val="33704A15"/>
    <w:rsid w:val="351D1FD7"/>
    <w:rsid w:val="36564909"/>
    <w:rsid w:val="3848042D"/>
    <w:rsid w:val="3A103DEB"/>
    <w:rsid w:val="3A1322EE"/>
    <w:rsid w:val="3BBD3DE9"/>
    <w:rsid w:val="3C95003D"/>
    <w:rsid w:val="3D152BBC"/>
    <w:rsid w:val="3DA3692C"/>
    <w:rsid w:val="3E384FAC"/>
    <w:rsid w:val="3E3E1245"/>
    <w:rsid w:val="3EDC504D"/>
    <w:rsid w:val="3FE62FFD"/>
    <w:rsid w:val="3FEA361E"/>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C390BF5"/>
    <w:rsid w:val="5CCE357C"/>
    <w:rsid w:val="5DC82230"/>
    <w:rsid w:val="5F907DB5"/>
    <w:rsid w:val="5FF7115F"/>
    <w:rsid w:val="604B0929"/>
    <w:rsid w:val="62E31E6F"/>
    <w:rsid w:val="63342979"/>
    <w:rsid w:val="64C5741F"/>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6FA13A95"/>
    <w:rsid w:val="71242D64"/>
    <w:rsid w:val="72892D90"/>
    <w:rsid w:val="72AA7CFF"/>
    <w:rsid w:val="72C05517"/>
    <w:rsid w:val="73C63B14"/>
    <w:rsid w:val="74343D24"/>
    <w:rsid w:val="745F1A7B"/>
    <w:rsid w:val="74CF60EB"/>
    <w:rsid w:val="753D136B"/>
    <w:rsid w:val="756338A7"/>
    <w:rsid w:val="76132D72"/>
    <w:rsid w:val="78396CD3"/>
    <w:rsid w:val="798B2638"/>
    <w:rsid w:val="79F71A7C"/>
    <w:rsid w:val="7AF64006"/>
    <w:rsid w:val="7AFDAB09"/>
    <w:rsid w:val="7D9D7924"/>
    <w:rsid w:val="7DDECC4F"/>
    <w:rsid w:val="7F5B3843"/>
    <w:rsid w:val="B97FB961"/>
    <w:rsid w:val="DE6D2DE6"/>
    <w:rsid w:val="DFEA32A3"/>
    <w:rsid w:val="F6BED998"/>
    <w:rsid w:val="FB561B91"/>
    <w:rsid w:val="FEDD063A"/>
    <w:rsid w:val="FFF92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99"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99"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line="300" w:lineRule="auto"/>
      <w:ind w:firstLine="1446" w:firstLineChars="200"/>
      <w:jc w:val="left"/>
      <w:outlineLvl w:val="1"/>
    </w:pPr>
    <w:rPr>
      <w:rFonts w:asciiTheme="majorHAnsi" w:hAnsiTheme="majorHAnsi" w:cstheme="majorBidi"/>
      <w:b/>
      <w:bCs/>
      <w:sz w:val="24"/>
      <w:szCs w:val="32"/>
    </w:rPr>
  </w:style>
  <w:style w:type="paragraph" w:styleId="4">
    <w:name w:val="heading 3"/>
    <w:basedOn w:val="1"/>
    <w:next w:val="1"/>
    <w:qFormat/>
    <w:uiPriority w:val="0"/>
    <w:pPr>
      <w:keepNext/>
      <w:keepLines/>
      <w:outlineLvl w:val="2"/>
    </w:pPr>
    <w:rPr>
      <w:bCs/>
      <w:szCs w:val="3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link w:val="24"/>
    <w:semiHidden/>
    <w:unhideWhenUsed/>
    <w:qFormat/>
    <w:uiPriority w:val="0"/>
    <w:pPr>
      <w:jc w:val="left"/>
    </w:pPr>
  </w:style>
  <w:style w:type="paragraph" w:styleId="7">
    <w:name w:val="Body Text"/>
    <w:basedOn w:val="1"/>
    <w:qFormat/>
    <w:uiPriority w:val="0"/>
    <w:pPr>
      <w:adjustRightInd w:val="0"/>
      <w:snapToGrid w:val="0"/>
      <w:spacing w:before="150" w:after="150" w:line="264" w:lineRule="auto"/>
      <w:ind w:firstLine="567"/>
    </w:pPr>
    <w:rPr>
      <w:rFonts w:ascii="华文楷体" w:hAnsi="华文楷体" w:eastAsia="LF_Kai"/>
      <w:szCs w:val="20"/>
    </w:rPr>
  </w:style>
  <w:style w:type="paragraph" w:styleId="8">
    <w:name w:val="Body Text Indent"/>
    <w:basedOn w:val="1"/>
    <w:qFormat/>
    <w:uiPriority w:val="0"/>
    <w:pPr>
      <w:ind w:left="105" w:hanging="105"/>
    </w:pPr>
    <w:rPr>
      <w:sz w:val="32"/>
      <w:szCs w:val="32"/>
    </w:rPr>
  </w:style>
  <w:style w:type="paragraph" w:styleId="9">
    <w:name w:val="Balloon Text"/>
    <w:basedOn w:val="1"/>
    <w:link w:val="25"/>
    <w:unhideWhenUsed/>
    <w:qFormat/>
    <w:uiPriority w:val="99"/>
    <w:rPr>
      <w:sz w:val="18"/>
      <w:szCs w:val="18"/>
    </w:rPr>
  </w:style>
  <w:style w:type="paragraph" w:styleId="10">
    <w:name w:val="footer"/>
    <w:basedOn w:val="1"/>
    <w:next w:val="1"/>
    <w:link w:val="26"/>
    <w:unhideWhenUsed/>
    <w:qFormat/>
    <w:uiPriority w:val="99"/>
    <w:pPr>
      <w:tabs>
        <w:tab w:val="center" w:pos="4153"/>
        <w:tab w:val="right" w:pos="8306"/>
      </w:tabs>
      <w:snapToGrid w:val="0"/>
      <w:jc w:val="left"/>
    </w:pPr>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footnote text"/>
    <w:basedOn w:val="1"/>
    <w:link w:val="46"/>
    <w:semiHidden/>
    <w:unhideWhenUsed/>
    <w:qFormat/>
    <w:uiPriority w:val="99"/>
    <w:rPr>
      <w:szCs w:val="20"/>
    </w:rPr>
  </w:style>
  <w:style w:type="paragraph" w:styleId="14">
    <w:name w:val="Body Text Indent 3"/>
    <w:basedOn w:val="1"/>
    <w:link w:val="32"/>
    <w:qFormat/>
    <w:uiPriority w:val="0"/>
    <w:pPr>
      <w:spacing w:after="120"/>
      <w:ind w:left="420" w:leftChars="200"/>
    </w:pPr>
    <w:rPr>
      <w:rFonts w:ascii="Times New Roman" w:hAnsi="Times New Roman" w:eastAsia="宋体"/>
      <w:sz w:val="16"/>
      <w:szCs w:val="20"/>
    </w:rPr>
  </w:style>
  <w:style w:type="paragraph" w:styleId="15">
    <w:name w:val="Normal (Web)"/>
    <w:basedOn w:val="1"/>
    <w:qFormat/>
    <w:uiPriority w:val="0"/>
    <w:pPr>
      <w:spacing w:beforeAutospacing="1" w:afterAutospacing="1"/>
      <w:jc w:val="left"/>
    </w:pPr>
    <w:rPr>
      <w:kern w:val="0"/>
      <w:sz w:val="24"/>
    </w:rPr>
  </w:style>
  <w:style w:type="paragraph" w:styleId="16">
    <w:name w:val="annotation subject"/>
    <w:basedOn w:val="6"/>
    <w:next w:val="6"/>
    <w:link w:val="28"/>
    <w:semiHidden/>
    <w:unhideWhenUsed/>
    <w:qFormat/>
    <w:uiPriority w:val="0"/>
    <w:rPr>
      <w:b/>
      <w:bCs/>
    </w:rPr>
  </w:style>
  <w:style w:type="paragraph" w:styleId="17">
    <w:name w:val="Body Text First Indent"/>
    <w:basedOn w:val="7"/>
    <w:semiHidden/>
    <w:unhideWhenUsed/>
    <w:qFormat/>
    <w:uiPriority w:val="99"/>
    <w:pPr>
      <w:adjustRightInd/>
      <w:snapToGrid/>
      <w:spacing w:before="0" w:after="120" w:line="240" w:lineRule="auto"/>
      <w:ind w:firstLine="420" w:firstLineChars="100"/>
    </w:pPr>
    <w:rPr>
      <w:rFonts w:ascii="Calibri" w:hAnsi="Calibri" w:eastAsia="宋体"/>
    </w:rPr>
  </w:style>
  <w:style w:type="paragraph" w:styleId="18">
    <w:name w:val="Body Text First Indent 2"/>
    <w:basedOn w:val="8"/>
    <w:next w:val="17"/>
    <w:unhideWhenUsed/>
    <w:qFormat/>
    <w:uiPriority w:val="99"/>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semiHidden/>
    <w:unhideWhenUsed/>
    <w:qFormat/>
    <w:uiPriority w:val="0"/>
    <w:rPr>
      <w:sz w:val="21"/>
      <w:szCs w:val="21"/>
    </w:rPr>
  </w:style>
  <w:style w:type="character" w:styleId="23">
    <w:name w:val="footnote reference"/>
    <w:basedOn w:val="21"/>
    <w:unhideWhenUsed/>
    <w:qFormat/>
    <w:uiPriority w:val="99"/>
    <w:rPr>
      <w:vertAlign w:val="superscript"/>
    </w:rPr>
  </w:style>
  <w:style w:type="character" w:customStyle="1" w:styleId="24">
    <w:name w:val="批注文字 字符"/>
    <w:link w:val="6"/>
    <w:semiHidden/>
    <w:qFormat/>
    <w:uiPriority w:val="0"/>
    <w:rPr>
      <w:rFonts w:ascii="等线" w:hAnsi="等线" w:eastAsia="等线"/>
      <w:kern w:val="2"/>
      <w:sz w:val="21"/>
      <w:szCs w:val="22"/>
    </w:rPr>
  </w:style>
  <w:style w:type="character" w:customStyle="1" w:styleId="25">
    <w:name w:val="批注框文本 字符"/>
    <w:link w:val="9"/>
    <w:semiHidden/>
    <w:qFormat/>
    <w:uiPriority w:val="99"/>
    <w:rPr>
      <w:sz w:val="18"/>
      <w:szCs w:val="18"/>
    </w:rPr>
  </w:style>
  <w:style w:type="character" w:customStyle="1" w:styleId="26">
    <w:name w:val="页脚 字符"/>
    <w:link w:val="10"/>
    <w:qFormat/>
    <w:uiPriority w:val="99"/>
    <w:rPr>
      <w:sz w:val="18"/>
      <w:szCs w:val="18"/>
    </w:rPr>
  </w:style>
  <w:style w:type="character" w:customStyle="1" w:styleId="27">
    <w:name w:val="页眉 字符"/>
    <w:link w:val="11"/>
    <w:qFormat/>
    <w:uiPriority w:val="99"/>
    <w:rPr>
      <w:sz w:val="18"/>
      <w:szCs w:val="18"/>
    </w:rPr>
  </w:style>
  <w:style w:type="character" w:customStyle="1" w:styleId="28">
    <w:name w:val="批注主题 字符"/>
    <w:link w:val="16"/>
    <w:semiHidden/>
    <w:qFormat/>
    <w:uiPriority w:val="0"/>
    <w:rPr>
      <w:rFonts w:ascii="等线" w:hAnsi="等线" w:eastAsia="等线"/>
      <w:b/>
      <w:bCs/>
      <w:kern w:val="2"/>
      <w:sz w:val="21"/>
      <w:szCs w:val="22"/>
    </w:rPr>
  </w:style>
  <w:style w:type="paragraph" w:customStyle="1" w:styleId="29">
    <w:name w:val="列出段落1"/>
    <w:basedOn w:val="1"/>
    <w:qFormat/>
    <w:uiPriority w:val="34"/>
    <w:pPr>
      <w:ind w:firstLine="420" w:firstLineChars="200"/>
    </w:pPr>
  </w:style>
  <w:style w:type="paragraph" w:customStyle="1" w:styleId="30">
    <w:name w:val="Char Char Char Char Char Char Char"/>
    <w:basedOn w:val="1"/>
    <w:qFormat/>
    <w:uiPriority w:val="0"/>
    <w:pPr>
      <w:spacing w:line="480" w:lineRule="auto"/>
    </w:pPr>
    <w:rPr>
      <w:rFonts w:ascii="Times New Roman" w:hAnsi="Times New Roman" w:eastAsia="宋体"/>
      <w:szCs w:val="21"/>
    </w:rPr>
  </w:style>
  <w:style w:type="paragraph" w:styleId="31">
    <w:name w:val="List Paragraph"/>
    <w:basedOn w:val="1"/>
    <w:unhideWhenUsed/>
    <w:qFormat/>
    <w:uiPriority w:val="99"/>
    <w:pPr>
      <w:ind w:firstLine="420" w:firstLineChars="200"/>
    </w:pPr>
  </w:style>
  <w:style w:type="character" w:customStyle="1" w:styleId="32">
    <w:name w:val="正文文本缩进 3 字符"/>
    <w:basedOn w:val="21"/>
    <w:link w:val="14"/>
    <w:qFormat/>
    <w:uiPriority w:val="0"/>
    <w:rPr>
      <w:kern w:val="2"/>
      <w:sz w:val="16"/>
    </w:rPr>
  </w:style>
  <w:style w:type="table" w:customStyle="1" w:styleId="33">
    <w:name w:val="Table Normal"/>
    <w:semiHidden/>
    <w:unhideWhenUsed/>
    <w:qFormat/>
    <w:uiPriority w:val="0"/>
    <w:tblPr>
      <w:tblCellMar>
        <w:top w:w="0" w:type="dxa"/>
        <w:left w:w="0" w:type="dxa"/>
        <w:bottom w:w="0" w:type="dxa"/>
        <w:right w:w="0" w:type="dxa"/>
      </w:tblCellMar>
    </w:tbl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6">
    <w:name w:val="样式 行距: 固定值 20 磅"/>
    <w:qFormat/>
    <w:uiPriority w:val="0"/>
    <w:pPr>
      <w:ind w:firstLine="480"/>
    </w:pPr>
    <w:rPr>
      <w:rFonts w:ascii="Times New Roman" w:hAnsi="Times New Roman" w:eastAsia="Times New Roman" w:cs="宋体"/>
      <w:sz w:val="24"/>
      <w:szCs w:val="24"/>
      <w:lang w:val="en-US" w:eastAsia="zh-CN" w:bidi="ar-SA"/>
    </w:rPr>
  </w:style>
  <w:style w:type="character" w:customStyle="1" w:styleId="37">
    <w:name w:val="font91"/>
    <w:basedOn w:val="21"/>
    <w:qFormat/>
    <w:uiPriority w:val="0"/>
    <w:rPr>
      <w:rFonts w:hint="eastAsia" w:ascii="宋体" w:hAnsi="宋体" w:eastAsia="宋体" w:cs="宋体"/>
      <w:b/>
      <w:bCs/>
      <w:color w:val="000000"/>
      <w:sz w:val="21"/>
      <w:szCs w:val="21"/>
      <w:u w:val="none"/>
    </w:rPr>
  </w:style>
  <w:style w:type="character" w:customStyle="1" w:styleId="38">
    <w:name w:val="font41"/>
    <w:basedOn w:val="21"/>
    <w:qFormat/>
    <w:uiPriority w:val="0"/>
    <w:rPr>
      <w:rFonts w:hint="eastAsia" w:ascii="宋体" w:hAnsi="宋体" w:eastAsia="宋体" w:cs="宋体"/>
      <w:color w:val="000000"/>
      <w:sz w:val="16"/>
      <w:szCs w:val="16"/>
      <w:u w:val="none"/>
    </w:rPr>
  </w:style>
  <w:style w:type="character" w:customStyle="1" w:styleId="39">
    <w:name w:val="font61"/>
    <w:basedOn w:val="21"/>
    <w:qFormat/>
    <w:uiPriority w:val="0"/>
    <w:rPr>
      <w:rFonts w:hint="default" w:ascii="Times New Roman" w:hAnsi="Times New Roman" w:cs="Times New Roman"/>
      <w:color w:val="000000"/>
      <w:sz w:val="21"/>
      <w:szCs w:val="21"/>
      <w:u w:val="none"/>
    </w:rPr>
  </w:style>
  <w:style w:type="character" w:customStyle="1" w:styleId="40">
    <w:name w:val="font71"/>
    <w:basedOn w:val="21"/>
    <w:qFormat/>
    <w:uiPriority w:val="0"/>
    <w:rPr>
      <w:rFonts w:ascii="仿宋" w:hAnsi="仿宋" w:eastAsia="仿宋" w:cs="仿宋"/>
      <w:color w:val="000000"/>
      <w:sz w:val="21"/>
      <w:szCs w:val="21"/>
      <w:u w:val="none"/>
    </w:rPr>
  </w:style>
  <w:style w:type="character" w:customStyle="1" w:styleId="41">
    <w:name w:val="font81"/>
    <w:basedOn w:val="21"/>
    <w:qFormat/>
    <w:uiPriority w:val="0"/>
    <w:rPr>
      <w:rFonts w:hint="eastAsia" w:ascii="仿宋" w:hAnsi="仿宋" w:eastAsia="仿宋" w:cs="仿宋"/>
      <w:color w:val="000000"/>
      <w:sz w:val="12"/>
      <w:szCs w:val="12"/>
      <w:u w:val="none"/>
    </w:rPr>
  </w:style>
  <w:style w:type="character" w:customStyle="1" w:styleId="42">
    <w:name w:val="font101"/>
    <w:basedOn w:val="21"/>
    <w:qFormat/>
    <w:uiPriority w:val="0"/>
    <w:rPr>
      <w:rFonts w:hint="eastAsia" w:ascii="仿宋" w:hAnsi="仿宋" w:eastAsia="仿宋" w:cs="仿宋"/>
      <w:color w:val="000000"/>
      <w:sz w:val="16"/>
      <w:szCs w:val="16"/>
      <w:u w:val="none"/>
    </w:rPr>
  </w:style>
  <w:style w:type="paragraph" w:customStyle="1" w:styleId="43">
    <w:name w:val="zxh正文"/>
    <w:basedOn w:val="1"/>
    <w:qFormat/>
    <w:uiPriority w:val="0"/>
    <w:pPr>
      <w:ind w:firstLine="480" w:firstLineChars="200"/>
    </w:pPr>
    <w:rPr>
      <w:rFonts w:ascii="Times New Roman" w:hAnsi="Times New Roman"/>
      <w:kern w:val="0"/>
    </w:rPr>
  </w:style>
  <w:style w:type="paragraph" w:customStyle="1" w:styleId="44">
    <w:name w:val="脚注文本1"/>
    <w:basedOn w:val="1"/>
    <w:next w:val="13"/>
    <w:link w:val="45"/>
    <w:unhideWhenUsed/>
    <w:qFormat/>
    <w:uiPriority w:val="99"/>
    <w:pPr>
      <w:widowControl/>
      <w:jc w:val="left"/>
    </w:pPr>
    <w:rPr>
      <w:rFonts w:asciiTheme="minorHAnsi" w:hAnsiTheme="minorHAnsi" w:eastAsiaTheme="minorEastAsia" w:cstheme="minorBidi"/>
      <w:kern w:val="0"/>
      <w:sz w:val="22"/>
      <w:lang w:val="en-GB"/>
    </w:rPr>
  </w:style>
  <w:style w:type="character" w:customStyle="1" w:styleId="45">
    <w:name w:val="脚注文本 字符"/>
    <w:basedOn w:val="21"/>
    <w:link w:val="44"/>
    <w:qFormat/>
    <w:uiPriority w:val="99"/>
    <w:rPr>
      <w:rFonts w:asciiTheme="minorHAnsi" w:hAnsiTheme="minorHAnsi" w:eastAsiaTheme="minorEastAsia" w:cstheme="minorBidi"/>
      <w:sz w:val="22"/>
      <w:szCs w:val="22"/>
      <w:lang w:val="en-GB"/>
    </w:rPr>
  </w:style>
  <w:style w:type="character" w:customStyle="1" w:styleId="46">
    <w:name w:val="脚注文本 字符1"/>
    <w:basedOn w:val="21"/>
    <w:link w:val="13"/>
    <w:semiHidden/>
    <w:qFormat/>
    <w:uiPriority w:val="99"/>
    <w:rPr>
      <w:rFonts w:ascii="等线" w:hAnsi="等线" w:eastAsia="等线"/>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208.43</c:v>
                </c:pt>
                <c:pt idx="6">
                  <c:v>309.99</c:v>
                </c:pt>
                <c:pt idx="7">
                  <c:v>411.55</c:v>
                </c:pt>
                <c:pt idx="8">
                  <c:v>513.11</c:v>
                </c:pt>
                <c:pt idx="9">
                  <c:v>614.67</c:v>
                </c:pt>
                <c:pt idx="10">
                  <c:v>716.23</c:v>
                </c:pt>
                <c:pt idx="11">
                  <c:v>817.79</c:v>
                </c:pt>
                <c:pt idx="12">
                  <c:v>919.35</c:v>
                </c:pt>
                <c:pt idx="13">
                  <c:v>1020.91</c:v>
                </c:pt>
                <c:pt idx="14">
                  <c:v>329.51</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1921</Words>
  <Characters>10953</Characters>
  <Lines>91</Lines>
  <Paragraphs>25</Paragraphs>
  <TotalTime>1</TotalTime>
  <ScaleCrop>false</ScaleCrop>
  <LinksUpToDate>false</LinksUpToDate>
  <CharactersWithSpaces>12849</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2019-07-27T14:03:00Z</dcterms:created>
  <dc:creator>xtzj</dc:creator>
  <cp:lastModifiedBy>王芳</cp:lastModifiedBy>
  <cp:lastPrinted>2025-06-22T02:08:00Z</cp:lastPrinted>
  <dcterms:modified xsi:type="dcterms:W3CDTF">2025-06-22T03:29:19Z</dcterms:modified>
  <dc:title>2019年儋州市兰洋特色小镇项目专项债券（二期)</dc:title>
  <cp:revision>326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