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06678">
      <w:pPr>
        <w:spacing w:line="480" w:lineRule="auto"/>
        <w:jc w:val="center"/>
        <w:rPr>
          <w:rFonts w:hint="eastAsia" w:ascii="宋体" w:hAnsi="宋体" w:eastAsia="宋体" w:cs="宋体"/>
          <w:b/>
          <w:sz w:val="44"/>
          <w:szCs w:val="44"/>
        </w:rPr>
      </w:pPr>
    </w:p>
    <w:p w14:paraId="3EE06679">
      <w:pPr>
        <w:spacing w:line="480" w:lineRule="auto"/>
        <w:jc w:val="center"/>
        <w:rPr>
          <w:rFonts w:hint="eastAsia" w:ascii="宋体" w:hAnsi="宋体" w:eastAsia="宋体" w:cs="宋体"/>
          <w:b/>
          <w:sz w:val="44"/>
          <w:szCs w:val="44"/>
        </w:rPr>
      </w:pPr>
    </w:p>
    <w:p w14:paraId="3EE0667A">
      <w:pPr>
        <w:spacing w:line="720" w:lineRule="auto"/>
        <w:jc w:val="center"/>
        <w:rPr>
          <w:rFonts w:hint="eastAsia" w:ascii="宋体" w:hAnsi="宋体" w:eastAsia="宋体" w:cs="宋体"/>
          <w:b/>
          <w:sz w:val="44"/>
          <w:szCs w:val="44"/>
        </w:rPr>
      </w:pPr>
    </w:p>
    <w:p w14:paraId="3EE0667B">
      <w:pPr>
        <w:spacing w:line="720" w:lineRule="auto"/>
        <w:jc w:val="center"/>
        <w:rPr>
          <w:rFonts w:hint="eastAsia" w:ascii="宋体" w:hAnsi="宋体" w:eastAsia="宋体" w:cs="宋体"/>
          <w:b/>
          <w:sz w:val="44"/>
          <w:szCs w:val="44"/>
        </w:rPr>
      </w:pPr>
    </w:p>
    <w:p w14:paraId="3EE0667C">
      <w:pPr>
        <w:spacing w:line="480" w:lineRule="auto"/>
        <w:jc w:val="center"/>
        <w:rPr>
          <w:rFonts w:hint="eastAsia" w:ascii="宋体" w:hAnsi="宋体" w:eastAsia="宋体" w:cs="宋体"/>
          <w:b/>
          <w:sz w:val="44"/>
          <w:szCs w:val="44"/>
        </w:rPr>
      </w:pPr>
    </w:p>
    <w:p w14:paraId="2601E911">
      <w:pPr>
        <w:spacing w:line="480" w:lineRule="auto"/>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2024年海南省政府专项债券（八期）、2025年海南省政府专项债券（一期）资金</w:t>
      </w:r>
      <w:r>
        <w:rPr>
          <w:rFonts w:hint="eastAsia" w:ascii="宋体" w:hAnsi="宋体" w:eastAsia="宋体" w:cs="宋体"/>
          <w:b/>
          <w:bCs/>
          <w:sz w:val="44"/>
          <w:szCs w:val="44"/>
          <w:lang w:val="en-US" w:eastAsia="zh-CN"/>
        </w:rPr>
        <w:t>调整平衡实施方案</w:t>
      </w:r>
    </w:p>
    <w:p w14:paraId="77628C9D">
      <w:pPr>
        <w:spacing w:line="480" w:lineRule="auto"/>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-鸿越路</w:t>
      </w:r>
    </w:p>
    <w:p w14:paraId="6221E3B0">
      <w:pPr>
        <w:rPr>
          <w:rFonts w:hint="eastAsia" w:ascii="宋体" w:hAnsi="宋体" w:eastAsia="宋体" w:cs="宋体"/>
          <w:sz w:val="24"/>
          <w:szCs w:val="24"/>
        </w:rPr>
      </w:pPr>
      <w:r>
        <w:rPr>
          <w:rFonts w:hint="eastAsia" w:ascii="宋体" w:hAnsi="宋体" w:eastAsia="宋体" w:cs="宋体"/>
          <w:sz w:val="24"/>
          <w:szCs w:val="24"/>
        </w:rPr>
        <w:br w:type="page"/>
      </w:r>
    </w:p>
    <w:p w14:paraId="3690F8AD">
      <w:pPr>
        <w:spacing w:line="480" w:lineRule="auto"/>
        <w:jc w:val="center"/>
        <w:rPr>
          <w:rFonts w:hint="eastAsia" w:ascii="宋体" w:hAnsi="宋体" w:eastAsia="宋体" w:cs="宋体"/>
          <w:sz w:val="24"/>
          <w:szCs w:val="24"/>
        </w:rPr>
      </w:pPr>
    </w:p>
    <w:sdt>
      <w:sdtPr>
        <w:rPr>
          <w:rFonts w:hint="eastAsia" w:ascii="宋体" w:hAnsi="宋体" w:eastAsia="宋体" w:cs="宋体"/>
          <w:sz w:val="24"/>
          <w:szCs w:val="24"/>
        </w:rPr>
        <w:id w:val="147482000"/>
        <w15:color w:val="DBDBDB"/>
        <w:docPartObj>
          <w:docPartGallery w:val="Table of Contents"/>
          <w:docPartUnique/>
        </w:docPartObj>
      </w:sdtPr>
      <w:sdtEndPr>
        <w:rPr>
          <w:rFonts w:hint="eastAsia" w:ascii="宋体" w:hAnsi="宋体" w:eastAsia="宋体" w:cs="宋体"/>
          <w:sz w:val="24"/>
          <w:szCs w:val="24"/>
        </w:rPr>
      </w:sdtEndPr>
      <w:sdtContent>
        <w:p w14:paraId="3EE06681">
          <w:pPr>
            <w:spacing w:line="480" w:lineRule="auto"/>
            <w:jc w:val="center"/>
            <w:rPr>
              <w:rFonts w:hint="eastAsia" w:ascii="宋体" w:hAnsi="宋体" w:eastAsia="宋体" w:cs="宋体"/>
              <w:sz w:val="24"/>
              <w:szCs w:val="24"/>
            </w:rPr>
          </w:pPr>
          <w:r>
            <w:rPr>
              <w:rFonts w:hint="eastAsia" w:ascii="宋体" w:hAnsi="宋体" w:eastAsia="宋体" w:cs="宋体"/>
              <w:b/>
              <w:bCs/>
              <w:sz w:val="24"/>
              <w:szCs w:val="24"/>
            </w:rPr>
            <w:t>目录</w:t>
          </w:r>
        </w:p>
        <w:p w14:paraId="3DAD3D55">
          <w:pPr>
            <w:pStyle w:val="12"/>
            <w:tabs>
              <w:tab w:val="right" w:leader="dot" w:pos="8306"/>
            </w:tabs>
            <w:spacing w:line="480" w:lineRule="auto"/>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Cs w:val="32"/>
            </w:rPr>
            <w:fldChar w:fldCharType="begin"/>
          </w:r>
          <w:r>
            <w:rPr>
              <w:rFonts w:hint="eastAsia" w:ascii="宋体" w:hAnsi="宋体" w:eastAsia="宋体" w:cs="宋体"/>
              <w:szCs w:val="32"/>
            </w:rPr>
            <w:instrText xml:space="preserve"> HYPERLINK \l _Toc12137 </w:instrText>
          </w:r>
          <w:r>
            <w:rPr>
              <w:rFonts w:hint="eastAsia" w:ascii="宋体" w:hAnsi="宋体" w:eastAsia="宋体" w:cs="宋体"/>
              <w:szCs w:val="32"/>
            </w:rPr>
            <w:fldChar w:fldCharType="separate"/>
          </w:r>
          <w:r>
            <w:rPr>
              <w:rFonts w:hint="eastAsia" w:ascii="宋体" w:hAnsi="宋体" w:eastAsia="宋体" w:cs="宋体"/>
              <w:szCs w:val="24"/>
            </w:rPr>
            <w:t>一、债券调整情况</w:t>
          </w:r>
          <w:r>
            <w:tab/>
          </w:r>
          <w:r>
            <w:fldChar w:fldCharType="begin"/>
          </w:r>
          <w:r>
            <w:instrText xml:space="preserve"> PAGEREF _Toc12137 \h </w:instrText>
          </w:r>
          <w:r>
            <w:fldChar w:fldCharType="separate"/>
          </w:r>
          <w:r>
            <w:t>3</w:t>
          </w:r>
          <w:r>
            <w:fldChar w:fldCharType="end"/>
          </w:r>
          <w:r>
            <w:rPr>
              <w:rFonts w:hint="eastAsia" w:ascii="宋体" w:hAnsi="宋体" w:eastAsia="宋体" w:cs="宋体"/>
              <w:szCs w:val="32"/>
            </w:rPr>
            <w:fldChar w:fldCharType="end"/>
          </w:r>
        </w:p>
        <w:p w14:paraId="1396D776">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_Toc6620 </w:instrText>
          </w:r>
          <w:r>
            <w:rPr>
              <w:rFonts w:hint="eastAsia" w:ascii="宋体" w:hAnsi="宋体" w:eastAsia="宋体" w:cs="宋体"/>
              <w:szCs w:val="32"/>
            </w:rPr>
            <w:fldChar w:fldCharType="separate"/>
          </w:r>
          <w:r>
            <w:rPr>
              <w:rFonts w:hint="eastAsia" w:ascii="宋体" w:hAnsi="宋体" w:eastAsia="宋体" w:cs="宋体"/>
              <w:szCs w:val="24"/>
            </w:rPr>
            <w:t>二、地区情况</w:t>
          </w:r>
          <w:r>
            <w:tab/>
          </w:r>
          <w:r>
            <w:fldChar w:fldCharType="begin"/>
          </w:r>
          <w:r>
            <w:instrText xml:space="preserve"> PAGEREF _Toc6620 \h </w:instrText>
          </w:r>
          <w:r>
            <w:fldChar w:fldCharType="separate"/>
          </w:r>
          <w:r>
            <w:t>4</w:t>
          </w:r>
          <w:r>
            <w:fldChar w:fldCharType="end"/>
          </w:r>
          <w:r>
            <w:rPr>
              <w:rFonts w:hint="eastAsia" w:ascii="宋体" w:hAnsi="宋体" w:eastAsia="宋体" w:cs="宋体"/>
              <w:szCs w:val="32"/>
            </w:rPr>
            <w:fldChar w:fldCharType="end"/>
          </w:r>
        </w:p>
        <w:p w14:paraId="57595226">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_Toc2506 </w:instrText>
          </w:r>
          <w:r>
            <w:rPr>
              <w:rFonts w:hint="eastAsia" w:ascii="宋体" w:hAnsi="宋体" w:eastAsia="宋体" w:cs="宋体"/>
              <w:szCs w:val="32"/>
            </w:rPr>
            <w:fldChar w:fldCharType="separate"/>
          </w:r>
          <w:r>
            <w:rPr>
              <w:rFonts w:hint="eastAsia" w:ascii="宋体" w:hAnsi="宋体" w:eastAsia="宋体" w:cs="宋体"/>
              <w:szCs w:val="24"/>
            </w:rPr>
            <w:t>三、项目概述</w:t>
          </w:r>
          <w:r>
            <w:tab/>
          </w:r>
          <w:r>
            <w:fldChar w:fldCharType="begin"/>
          </w:r>
          <w:r>
            <w:instrText xml:space="preserve"> PAGEREF _Toc2506 \h </w:instrText>
          </w:r>
          <w:r>
            <w:fldChar w:fldCharType="separate"/>
          </w:r>
          <w:r>
            <w:t>5</w:t>
          </w:r>
          <w:r>
            <w:fldChar w:fldCharType="end"/>
          </w:r>
          <w:r>
            <w:rPr>
              <w:rFonts w:hint="eastAsia" w:ascii="宋体" w:hAnsi="宋体" w:eastAsia="宋体" w:cs="宋体"/>
              <w:szCs w:val="32"/>
            </w:rPr>
            <w:fldChar w:fldCharType="end"/>
          </w:r>
        </w:p>
        <w:p w14:paraId="11B4C705">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_Toc21471 </w:instrText>
          </w:r>
          <w:r>
            <w:rPr>
              <w:rFonts w:hint="eastAsia" w:ascii="宋体" w:hAnsi="宋体" w:eastAsia="宋体" w:cs="宋体"/>
              <w:szCs w:val="32"/>
            </w:rPr>
            <w:fldChar w:fldCharType="separate"/>
          </w:r>
          <w:r>
            <w:rPr>
              <w:rFonts w:hint="eastAsia" w:ascii="宋体" w:hAnsi="宋体" w:eastAsia="宋体" w:cs="宋体"/>
              <w:szCs w:val="24"/>
            </w:rPr>
            <w:t>（一）项目基本情况</w:t>
          </w:r>
          <w:r>
            <w:tab/>
          </w:r>
          <w:r>
            <w:fldChar w:fldCharType="begin"/>
          </w:r>
          <w:r>
            <w:instrText xml:space="preserve"> PAGEREF _Toc21471 \h </w:instrText>
          </w:r>
          <w:r>
            <w:fldChar w:fldCharType="separate"/>
          </w:r>
          <w:r>
            <w:t>5</w:t>
          </w:r>
          <w:r>
            <w:fldChar w:fldCharType="end"/>
          </w:r>
          <w:r>
            <w:rPr>
              <w:rFonts w:hint="eastAsia" w:ascii="宋体" w:hAnsi="宋体" w:eastAsia="宋体" w:cs="宋体"/>
              <w:szCs w:val="32"/>
            </w:rPr>
            <w:fldChar w:fldCharType="end"/>
          </w:r>
        </w:p>
        <w:p w14:paraId="0911B341">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_Toc28919 </w:instrText>
          </w:r>
          <w:r>
            <w:rPr>
              <w:rFonts w:hint="eastAsia" w:ascii="宋体" w:hAnsi="宋体" w:eastAsia="宋体" w:cs="宋体"/>
              <w:szCs w:val="32"/>
            </w:rPr>
            <w:fldChar w:fldCharType="separate"/>
          </w:r>
          <w:r>
            <w:rPr>
              <w:rFonts w:hint="eastAsia" w:ascii="宋体" w:hAnsi="宋体" w:eastAsia="宋体" w:cs="宋体"/>
              <w:szCs w:val="24"/>
            </w:rPr>
            <w:t>（二）项目相关批复</w:t>
          </w:r>
          <w:r>
            <w:tab/>
          </w:r>
          <w:r>
            <w:fldChar w:fldCharType="begin"/>
          </w:r>
          <w:r>
            <w:instrText xml:space="preserve"> PAGEREF _Toc28919 \h </w:instrText>
          </w:r>
          <w:r>
            <w:fldChar w:fldCharType="separate"/>
          </w:r>
          <w:r>
            <w:t>5</w:t>
          </w:r>
          <w:r>
            <w:fldChar w:fldCharType="end"/>
          </w:r>
          <w:r>
            <w:rPr>
              <w:rFonts w:hint="eastAsia" w:ascii="宋体" w:hAnsi="宋体" w:eastAsia="宋体" w:cs="宋体"/>
              <w:szCs w:val="32"/>
            </w:rPr>
            <w:fldChar w:fldCharType="end"/>
          </w:r>
        </w:p>
        <w:p w14:paraId="19EC9028">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_Toc3287 </w:instrText>
          </w:r>
          <w:r>
            <w:rPr>
              <w:rFonts w:hint="eastAsia" w:ascii="宋体" w:hAnsi="宋体" w:eastAsia="宋体" w:cs="宋体"/>
              <w:szCs w:val="32"/>
            </w:rPr>
            <w:fldChar w:fldCharType="separate"/>
          </w:r>
          <w:r>
            <w:rPr>
              <w:rFonts w:hint="eastAsia" w:ascii="宋体" w:hAnsi="宋体" w:eastAsia="宋体" w:cs="宋体"/>
              <w:szCs w:val="24"/>
            </w:rPr>
            <w:t>（三）事前绩效评估</w:t>
          </w:r>
          <w:r>
            <w:tab/>
          </w:r>
          <w:r>
            <w:fldChar w:fldCharType="begin"/>
          </w:r>
          <w:r>
            <w:instrText xml:space="preserve"> PAGEREF _Toc3287 \h </w:instrText>
          </w:r>
          <w:r>
            <w:fldChar w:fldCharType="separate"/>
          </w:r>
          <w:r>
            <w:t>7</w:t>
          </w:r>
          <w:r>
            <w:fldChar w:fldCharType="end"/>
          </w:r>
          <w:r>
            <w:rPr>
              <w:rFonts w:hint="eastAsia" w:ascii="宋体" w:hAnsi="宋体" w:eastAsia="宋体" w:cs="宋体"/>
              <w:szCs w:val="32"/>
            </w:rPr>
            <w:fldChar w:fldCharType="end"/>
          </w:r>
        </w:p>
        <w:p w14:paraId="1276D62C">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_Toc28716 </w:instrText>
          </w:r>
          <w:r>
            <w:rPr>
              <w:rFonts w:hint="eastAsia" w:ascii="宋体" w:hAnsi="宋体" w:eastAsia="宋体" w:cs="宋体"/>
              <w:szCs w:val="32"/>
            </w:rPr>
            <w:fldChar w:fldCharType="separate"/>
          </w:r>
          <w:r>
            <w:rPr>
              <w:rFonts w:hint="eastAsia" w:ascii="宋体" w:hAnsi="宋体" w:eastAsia="宋体" w:cs="宋体"/>
              <w:szCs w:val="24"/>
            </w:rPr>
            <w:t>四、项目平衡实施方案</w:t>
          </w:r>
          <w:r>
            <w:tab/>
          </w:r>
          <w:r>
            <w:fldChar w:fldCharType="begin"/>
          </w:r>
          <w:r>
            <w:instrText xml:space="preserve"> PAGEREF _Toc28716 \h </w:instrText>
          </w:r>
          <w:r>
            <w:fldChar w:fldCharType="separate"/>
          </w:r>
          <w:r>
            <w:t>8</w:t>
          </w:r>
          <w:r>
            <w:fldChar w:fldCharType="end"/>
          </w:r>
          <w:r>
            <w:rPr>
              <w:rFonts w:hint="eastAsia" w:ascii="宋体" w:hAnsi="宋体" w:eastAsia="宋体" w:cs="宋体"/>
              <w:szCs w:val="32"/>
            </w:rPr>
            <w:fldChar w:fldCharType="end"/>
          </w:r>
        </w:p>
        <w:p w14:paraId="0BC0FFB3">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_Toc12288 </w:instrText>
          </w:r>
          <w:r>
            <w:rPr>
              <w:rFonts w:hint="eastAsia" w:ascii="宋体" w:hAnsi="宋体" w:eastAsia="宋体" w:cs="宋体"/>
              <w:szCs w:val="32"/>
            </w:rPr>
            <w:fldChar w:fldCharType="separate"/>
          </w:r>
          <w:r>
            <w:rPr>
              <w:rFonts w:hint="eastAsia" w:ascii="宋体" w:hAnsi="宋体" w:eastAsia="宋体" w:cs="宋体"/>
              <w:bCs/>
              <w:szCs w:val="24"/>
            </w:rPr>
            <w:t>五、压力测试情况</w:t>
          </w:r>
          <w:r>
            <w:tab/>
          </w:r>
          <w:r>
            <w:fldChar w:fldCharType="begin"/>
          </w:r>
          <w:r>
            <w:instrText xml:space="preserve"> PAGEREF _Toc12288 \h </w:instrText>
          </w:r>
          <w:r>
            <w:fldChar w:fldCharType="separate"/>
          </w:r>
          <w:r>
            <w:t>14</w:t>
          </w:r>
          <w:r>
            <w:fldChar w:fldCharType="end"/>
          </w:r>
          <w:r>
            <w:rPr>
              <w:rFonts w:hint="eastAsia" w:ascii="宋体" w:hAnsi="宋体" w:eastAsia="宋体" w:cs="宋体"/>
              <w:szCs w:val="32"/>
            </w:rPr>
            <w:fldChar w:fldCharType="end"/>
          </w:r>
        </w:p>
        <w:p w14:paraId="28EFF0CF">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_Toc18169 </w:instrText>
          </w:r>
          <w:r>
            <w:rPr>
              <w:rFonts w:hint="eastAsia" w:ascii="宋体" w:hAnsi="宋体" w:eastAsia="宋体" w:cs="宋体"/>
              <w:szCs w:val="32"/>
            </w:rPr>
            <w:fldChar w:fldCharType="separate"/>
          </w:r>
          <w:r>
            <w:rPr>
              <w:rFonts w:hint="eastAsia" w:ascii="宋体" w:hAnsi="宋体" w:eastAsia="宋体" w:cs="宋体"/>
              <w:bCs/>
              <w:szCs w:val="24"/>
            </w:rPr>
            <w:t>六、潜在风险评估</w:t>
          </w:r>
          <w:r>
            <w:tab/>
          </w:r>
          <w:r>
            <w:fldChar w:fldCharType="begin"/>
          </w:r>
          <w:r>
            <w:instrText xml:space="preserve"> PAGEREF _Toc18169 \h </w:instrText>
          </w:r>
          <w:r>
            <w:fldChar w:fldCharType="separate"/>
          </w:r>
          <w:r>
            <w:t>15</w:t>
          </w:r>
          <w:r>
            <w:fldChar w:fldCharType="end"/>
          </w:r>
          <w:r>
            <w:rPr>
              <w:rFonts w:hint="eastAsia" w:ascii="宋体" w:hAnsi="宋体" w:eastAsia="宋体" w:cs="宋体"/>
              <w:szCs w:val="32"/>
            </w:rPr>
            <w:fldChar w:fldCharType="end"/>
          </w:r>
        </w:p>
        <w:p w14:paraId="78C0EE12">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_Toc741 </w:instrText>
          </w:r>
          <w:r>
            <w:rPr>
              <w:rFonts w:hint="eastAsia" w:ascii="宋体" w:hAnsi="宋体" w:eastAsia="宋体" w:cs="宋体"/>
              <w:szCs w:val="32"/>
            </w:rPr>
            <w:fldChar w:fldCharType="separate"/>
          </w:r>
          <w:r>
            <w:rPr>
              <w:rFonts w:hint="eastAsia" w:ascii="宋体" w:hAnsi="宋体" w:eastAsia="宋体" w:cs="宋体"/>
              <w:bCs/>
              <w:szCs w:val="24"/>
            </w:rPr>
            <w:t>（一）影响项目施工进度或正常运营的风险及控制措施</w:t>
          </w:r>
          <w:r>
            <w:tab/>
          </w:r>
          <w:r>
            <w:fldChar w:fldCharType="begin"/>
          </w:r>
          <w:r>
            <w:instrText xml:space="preserve"> PAGEREF _Toc741 \h </w:instrText>
          </w:r>
          <w:r>
            <w:fldChar w:fldCharType="separate"/>
          </w:r>
          <w:r>
            <w:t>15</w:t>
          </w:r>
          <w:r>
            <w:fldChar w:fldCharType="end"/>
          </w:r>
          <w:r>
            <w:rPr>
              <w:rFonts w:hint="eastAsia" w:ascii="宋体" w:hAnsi="宋体" w:eastAsia="宋体" w:cs="宋体"/>
              <w:szCs w:val="32"/>
            </w:rPr>
            <w:fldChar w:fldCharType="end"/>
          </w:r>
        </w:p>
        <w:p w14:paraId="1E3F2A2E">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_Toc14 </w:instrText>
          </w:r>
          <w:r>
            <w:rPr>
              <w:rFonts w:hint="eastAsia" w:ascii="宋体" w:hAnsi="宋体" w:eastAsia="宋体" w:cs="宋体"/>
              <w:szCs w:val="32"/>
            </w:rPr>
            <w:fldChar w:fldCharType="separate"/>
          </w:r>
          <w:r>
            <w:rPr>
              <w:rFonts w:hint="eastAsia" w:ascii="宋体" w:hAnsi="宋体" w:eastAsia="宋体" w:cs="宋体"/>
              <w:bCs/>
              <w:szCs w:val="24"/>
            </w:rPr>
            <w:t>（二）影响项目收益的风险及控制措施</w:t>
          </w:r>
          <w:r>
            <w:tab/>
          </w:r>
          <w:r>
            <w:fldChar w:fldCharType="begin"/>
          </w:r>
          <w:r>
            <w:instrText xml:space="preserve"> PAGEREF _Toc14 \h </w:instrText>
          </w:r>
          <w:r>
            <w:fldChar w:fldCharType="separate"/>
          </w:r>
          <w:r>
            <w:t>15</w:t>
          </w:r>
          <w:r>
            <w:fldChar w:fldCharType="end"/>
          </w:r>
          <w:r>
            <w:rPr>
              <w:rFonts w:hint="eastAsia" w:ascii="宋体" w:hAnsi="宋体" w:eastAsia="宋体" w:cs="宋体"/>
              <w:szCs w:val="32"/>
            </w:rPr>
            <w:fldChar w:fldCharType="end"/>
          </w:r>
        </w:p>
        <w:p w14:paraId="6BC7B996">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_Toc7033 </w:instrText>
          </w:r>
          <w:r>
            <w:rPr>
              <w:rFonts w:hint="eastAsia" w:ascii="宋体" w:hAnsi="宋体" w:eastAsia="宋体" w:cs="宋体"/>
              <w:szCs w:val="32"/>
            </w:rPr>
            <w:fldChar w:fldCharType="separate"/>
          </w:r>
          <w:r>
            <w:rPr>
              <w:rFonts w:hint="eastAsia" w:ascii="宋体" w:hAnsi="宋体" w:eastAsia="宋体" w:cs="宋体"/>
              <w:bCs/>
              <w:szCs w:val="24"/>
            </w:rPr>
            <w:t>（三）影响融资平衡结果的风险及控制措施</w:t>
          </w:r>
          <w:r>
            <w:tab/>
          </w:r>
          <w:r>
            <w:fldChar w:fldCharType="begin"/>
          </w:r>
          <w:r>
            <w:instrText xml:space="preserve"> PAGEREF _Toc7033 \h </w:instrText>
          </w:r>
          <w:r>
            <w:fldChar w:fldCharType="separate"/>
          </w:r>
          <w:r>
            <w:t>15</w:t>
          </w:r>
          <w:r>
            <w:fldChar w:fldCharType="end"/>
          </w:r>
          <w:r>
            <w:rPr>
              <w:rFonts w:hint="eastAsia" w:ascii="宋体" w:hAnsi="宋体" w:eastAsia="宋体" w:cs="宋体"/>
              <w:szCs w:val="32"/>
            </w:rPr>
            <w:fldChar w:fldCharType="end"/>
          </w:r>
        </w:p>
        <w:p w14:paraId="31A67DBC">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_Toc24434 </w:instrText>
          </w:r>
          <w:r>
            <w:rPr>
              <w:rFonts w:hint="eastAsia" w:ascii="宋体" w:hAnsi="宋体" w:eastAsia="宋体" w:cs="宋体"/>
              <w:szCs w:val="32"/>
            </w:rPr>
            <w:fldChar w:fldCharType="separate"/>
          </w:r>
          <w:r>
            <w:rPr>
              <w:rFonts w:hint="eastAsia" w:ascii="宋体" w:hAnsi="宋体" w:eastAsia="宋体" w:cs="宋体"/>
              <w:szCs w:val="24"/>
            </w:rPr>
            <w:t>七、还款保障措施</w:t>
          </w:r>
          <w:r>
            <w:tab/>
          </w:r>
          <w:r>
            <w:fldChar w:fldCharType="begin"/>
          </w:r>
          <w:r>
            <w:instrText xml:space="preserve"> PAGEREF _Toc24434 \h </w:instrText>
          </w:r>
          <w:r>
            <w:fldChar w:fldCharType="separate"/>
          </w:r>
          <w:r>
            <w:t>16</w:t>
          </w:r>
          <w:r>
            <w:fldChar w:fldCharType="end"/>
          </w:r>
          <w:r>
            <w:rPr>
              <w:rFonts w:hint="eastAsia" w:ascii="宋体" w:hAnsi="宋体" w:eastAsia="宋体" w:cs="宋体"/>
              <w:szCs w:val="32"/>
            </w:rPr>
            <w:fldChar w:fldCharType="end"/>
          </w:r>
        </w:p>
        <w:p w14:paraId="3EE0668F">
          <w:pPr>
            <w:spacing w:line="480" w:lineRule="auto"/>
            <w:rPr>
              <w:rFonts w:hint="eastAsia" w:ascii="宋体" w:hAnsi="宋体" w:eastAsia="宋体" w:cs="宋体"/>
              <w:sz w:val="24"/>
              <w:szCs w:val="24"/>
            </w:rPr>
          </w:pPr>
          <w:r>
            <w:rPr>
              <w:rFonts w:hint="eastAsia" w:ascii="宋体" w:hAnsi="宋体" w:eastAsia="宋体" w:cs="宋体"/>
              <w:szCs w:val="32"/>
            </w:rPr>
            <w:fldChar w:fldCharType="end"/>
          </w:r>
        </w:p>
      </w:sdtContent>
    </w:sdt>
    <w:p w14:paraId="3EE06690">
      <w:pPr>
        <w:spacing w:line="480" w:lineRule="auto"/>
        <w:rPr>
          <w:rFonts w:hint="eastAsia" w:ascii="宋体" w:hAnsi="宋体" w:eastAsia="宋体" w:cs="宋体"/>
          <w:sz w:val="24"/>
          <w:szCs w:val="24"/>
        </w:rPr>
      </w:pPr>
    </w:p>
    <w:p w14:paraId="3EE06691">
      <w:pPr>
        <w:pStyle w:val="29"/>
        <w:spacing w:line="360" w:lineRule="auto"/>
        <w:ind w:firstLine="482"/>
        <w:outlineLvl w:val="0"/>
        <w:rPr>
          <w:rFonts w:hint="eastAsia" w:ascii="宋体" w:hAnsi="宋体" w:eastAsia="宋体" w:cs="宋体"/>
          <w:b/>
          <w:sz w:val="24"/>
          <w:szCs w:val="24"/>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14:paraId="3EE06692">
      <w:pPr>
        <w:pStyle w:val="29"/>
        <w:spacing w:line="360" w:lineRule="auto"/>
        <w:ind w:firstLine="482"/>
        <w:outlineLvl w:val="0"/>
        <w:rPr>
          <w:rFonts w:hint="eastAsia" w:ascii="宋体" w:hAnsi="宋体" w:eastAsia="宋体" w:cs="宋体"/>
          <w:b/>
          <w:sz w:val="24"/>
          <w:szCs w:val="24"/>
        </w:rPr>
      </w:pPr>
      <w:bookmarkStart w:id="0" w:name="_Toc12137"/>
      <w:r>
        <w:rPr>
          <w:rFonts w:hint="eastAsia" w:ascii="宋体" w:hAnsi="宋体" w:eastAsia="宋体" w:cs="宋体"/>
          <w:b/>
          <w:sz w:val="24"/>
          <w:szCs w:val="24"/>
        </w:rPr>
        <w:t>一、债券调整情况</w:t>
      </w:r>
      <w:bookmarkEnd w:id="0"/>
    </w:p>
    <w:p w14:paraId="36B2C7F1">
      <w:pPr>
        <w:spacing w:before="120" w:after="120" w:line="360" w:lineRule="auto"/>
        <w:ind w:firstLine="480" w:firstLineChars="200"/>
        <w:jc w:val="both"/>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lang w:val="en-US"/>
          <w14:textFill>
            <w14:solidFill>
              <w14:schemeClr w14:val="tx1"/>
            </w14:solidFill>
          </w14:textFill>
        </w:rPr>
        <w:t>为了加快债券资金使用效率，现将：</w:t>
      </w:r>
    </w:p>
    <w:p w14:paraId="1926A0D4">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2024年海南省政府专项债券(八期)</w:t>
      </w:r>
      <w:r>
        <w:rPr>
          <w:rFonts w:ascii="宋体" w:hAnsi="宋体" w:eastAsia="宋体" w:cs="Times New Roman"/>
          <w:color w:val="000000"/>
          <w:kern w:val="0"/>
          <w:sz w:val="24"/>
          <w:szCs w:val="24"/>
          <w:lang w:val="en-US"/>
        </w:rPr>
        <w:t>中已发行“</w:t>
      </w:r>
      <w:r>
        <w:rPr>
          <w:rFonts w:hint="eastAsia" w:ascii="宋体" w:hAnsi="宋体" w:eastAsia="宋体" w:cs="Times New Roman"/>
          <w:color w:val="000000"/>
          <w:kern w:val="0"/>
          <w:sz w:val="24"/>
          <w:szCs w:val="24"/>
          <w:lang w:val="en-US"/>
        </w:rPr>
        <w:t>云龙产业园纵三路项目</w:t>
      </w:r>
      <w:r>
        <w:rPr>
          <w:rFonts w:ascii="宋体" w:hAnsi="宋体" w:eastAsia="宋体" w:cs="Times New Roman"/>
          <w:color w:val="000000"/>
          <w:kern w:val="0"/>
          <w:sz w:val="24"/>
          <w:szCs w:val="24"/>
          <w:lang w:val="en-US"/>
        </w:rPr>
        <w:t>”</w:t>
      </w:r>
      <w:r>
        <w:rPr>
          <w:rFonts w:hint="eastAsia" w:ascii="宋体" w:hAnsi="宋体" w:eastAsia="宋体" w:cs="Times New Roman"/>
          <w:color w:val="000000"/>
          <w:kern w:val="0"/>
          <w:sz w:val="24"/>
          <w:szCs w:val="24"/>
          <w:lang w:val="en-US"/>
        </w:rPr>
        <w:t>的</w:t>
      </w:r>
      <w:r>
        <w:rPr>
          <w:rFonts w:ascii="宋体" w:hAnsi="宋体" w:eastAsia="宋体" w:cs="Times New Roman"/>
          <w:color w:val="000000"/>
          <w:kern w:val="0"/>
          <w:sz w:val="24"/>
          <w:szCs w:val="24"/>
          <w:lang w:val="en-US"/>
        </w:rPr>
        <w:t>224.472467</w:t>
      </w:r>
      <w:r>
        <w:rPr>
          <w:rFonts w:hint="eastAsia" w:ascii="宋体" w:hAnsi="宋体" w:eastAsia="宋体" w:cs="Times New Roman"/>
          <w:color w:val="000000"/>
          <w:kern w:val="0"/>
          <w:sz w:val="24"/>
          <w:szCs w:val="24"/>
          <w:lang w:val="en-US"/>
        </w:rPr>
        <w:t>万元、</w:t>
      </w:r>
      <w:r>
        <w:rPr>
          <w:rFonts w:hint="eastAsia" w:ascii="宋体" w:hAnsi="宋体" w:eastAsia="宋体" w:cs="Times New Roman"/>
          <w:color w:val="000000"/>
          <w:kern w:val="0"/>
          <w:sz w:val="24"/>
          <w:szCs w:val="24"/>
          <w:lang w:val="en-US"/>
        </w:rPr>
        <w:t>2025年海南省政府专项债券（一期）中已发行的“美安科技新城物流园配套基础设施项目”的</w:t>
      </w:r>
      <w:r>
        <w:rPr>
          <w:rFonts w:ascii="宋体" w:hAnsi="宋体" w:eastAsia="宋体" w:cs="Times New Roman"/>
          <w:color w:val="000000"/>
          <w:kern w:val="0"/>
          <w:sz w:val="24"/>
          <w:szCs w:val="24"/>
          <w:lang w:val="en-US"/>
        </w:rPr>
        <w:t>750.00</w:t>
      </w:r>
      <w:r>
        <w:rPr>
          <w:rFonts w:hint="eastAsia" w:ascii="宋体" w:hAnsi="宋体" w:eastAsia="宋体" w:cs="Times New Roman"/>
          <w:color w:val="000000"/>
          <w:kern w:val="0"/>
          <w:sz w:val="24"/>
          <w:szCs w:val="24"/>
          <w:lang w:val="en-US"/>
        </w:rPr>
        <w:t>万元及2025年海南省政府专项债券（一期）中已发行的“海口江东新区高教科研区（知行片区）配套基础设施项目”的</w:t>
      </w:r>
      <w:r>
        <w:rPr>
          <w:rFonts w:ascii="宋体" w:hAnsi="宋体" w:eastAsia="宋体" w:cs="Times New Roman"/>
          <w:color w:val="000000"/>
          <w:kern w:val="0"/>
          <w:sz w:val="24"/>
          <w:szCs w:val="24"/>
          <w:lang w:val="en-US"/>
        </w:rPr>
        <w:t>253.75</w:t>
      </w:r>
      <w:r>
        <w:rPr>
          <w:rFonts w:hint="eastAsia" w:ascii="宋体" w:hAnsi="宋体" w:eastAsia="宋体" w:cs="Times New Roman"/>
          <w:color w:val="000000"/>
          <w:kern w:val="0"/>
          <w:sz w:val="24"/>
          <w:szCs w:val="24"/>
          <w:lang w:val="en-US"/>
        </w:rPr>
        <w:t>万元，</w:t>
      </w:r>
      <w:r>
        <w:rPr>
          <w:rFonts w:ascii="宋体" w:hAnsi="宋体" w:eastAsia="宋体" w:cs="Times New Roman"/>
          <w:color w:val="000000"/>
          <w:kern w:val="0"/>
          <w:sz w:val="24"/>
          <w:szCs w:val="24"/>
          <w:lang w:val="en-US"/>
        </w:rPr>
        <w:t>债券资金合计1,220.722467万元调剂于</w:t>
      </w:r>
      <w:r>
        <w:rPr>
          <w:rFonts w:hint="eastAsia" w:ascii="宋体" w:hAnsi="宋体" w:eastAsia="宋体" w:cs="Times New Roman"/>
          <w:color w:val="000000"/>
          <w:kern w:val="0"/>
          <w:sz w:val="24"/>
          <w:szCs w:val="24"/>
          <w:lang w:val="en-US"/>
        </w:rPr>
        <w:t>鸿越路项目。</w:t>
      </w:r>
    </w:p>
    <w:p w14:paraId="25E049EE">
      <w:pPr>
        <w:spacing w:before="120" w:after="120" w:line="360" w:lineRule="auto"/>
        <w:ind w:firstLine="480" w:firstLineChars="200"/>
        <w:jc w:val="both"/>
        <w:rPr>
          <w:rFonts w:hint="eastAsia" w:ascii="宋体" w:hAnsi="宋体" w:eastAsia="宋体" w:cs="Times New Roman"/>
          <w:color w:val="000000"/>
          <w:sz w:val="24"/>
          <w:szCs w:val="24"/>
          <w:lang w:val="en-US"/>
        </w:rPr>
      </w:pPr>
      <w:r>
        <w:rPr>
          <w:rFonts w:hint="eastAsia" w:ascii="宋体" w:hAnsi="宋体" w:eastAsia="宋体" w:cs="Times New Roman"/>
          <w:color w:val="000000" w:themeColor="text1"/>
          <w:sz w:val="24"/>
          <w:szCs w:val="24"/>
          <w:lang w:val="en-US"/>
          <w14:textFill>
            <w14:solidFill>
              <w14:schemeClr w14:val="tx1"/>
            </w14:solidFill>
          </w14:textFill>
        </w:rPr>
        <w:t>1、2024年5月，2024年海南省政府专项债券（八期）发行成功，其中云龙产业园纵三路项目发行金额为</w:t>
      </w:r>
      <w:r>
        <w:rPr>
          <w:rFonts w:ascii="宋体" w:hAnsi="宋体" w:eastAsia="宋体" w:cs="Times New Roman"/>
          <w:color w:val="000000" w:themeColor="text1"/>
          <w:sz w:val="24"/>
          <w:szCs w:val="24"/>
          <w:lang w:val="en-US"/>
          <w14:textFill>
            <w14:solidFill>
              <w14:schemeClr w14:val="tx1"/>
            </w14:solidFill>
          </w14:textFill>
        </w:rPr>
        <w:t>1,000.00</w:t>
      </w:r>
      <w:r>
        <w:rPr>
          <w:rFonts w:hint="eastAsia" w:ascii="宋体" w:hAnsi="宋体" w:eastAsia="宋体" w:cs="Times New Roman"/>
          <w:color w:val="000000" w:themeColor="text1"/>
          <w:sz w:val="24"/>
          <w:szCs w:val="24"/>
          <w:lang w:val="en-US"/>
          <w14:textFill>
            <w14:solidFill>
              <w14:schemeClr w14:val="tx1"/>
            </w14:solidFill>
          </w14:textFill>
        </w:rPr>
        <w:t>万元，发行利率为2.41%，发行期限为10年。</w:t>
      </w:r>
    </w:p>
    <w:p w14:paraId="66908DF4">
      <w:pPr>
        <w:spacing w:before="120" w:after="120" w:line="360" w:lineRule="auto"/>
        <w:ind w:firstLine="480" w:firstLineChars="200"/>
        <w:jc w:val="both"/>
        <w:rPr>
          <w:rFonts w:hint="eastAsia" w:ascii="宋体" w:hAnsi="宋体" w:eastAsia="宋体" w:cs="Times New Roman"/>
          <w:b/>
          <w:bCs/>
          <w:color w:val="000000"/>
          <w:sz w:val="24"/>
          <w:szCs w:val="24"/>
          <w:lang w:val="en-US"/>
        </w:rPr>
      </w:pPr>
      <w:r>
        <w:rPr>
          <w:rFonts w:hint="eastAsia" w:ascii="宋体" w:hAnsi="宋体" w:eastAsia="宋体" w:cs="Times New Roman"/>
          <w:color w:val="000000"/>
          <w:sz w:val="24"/>
          <w:szCs w:val="24"/>
          <w:lang w:val="en-US"/>
        </w:rPr>
        <w:t>2、2025年2月，2025年海南省政府专项债券（一期）发行成功，其中美安科技新城物流园配套基础设施项目发行金额为</w:t>
      </w:r>
      <w:r>
        <w:rPr>
          <w:rFonts w:ascii="宋体" w:hAnsi="宋体" w:eastAsia="宋体" w:cs="Times New Roman"/>
          <w:color w:val="000000"/>
          <w:sz w:val="24"/>
          <w:szCs w:val="24"/>
          <w:lang w:val="en-US"/>
        </w:rPr>
        <w:t>3,000.00</w:t>
      </w:r>
      <w:r>
        <w:rPr>
          <w:rFonts w:hint="eastAsia" w:ascii="宋体" w:hAnsi="宋体" w:eastAsia="宋体" w:cs="Times New Roman"/>
          <w:color w:val="000000"/>
          <w:sz w:val="24"/>
          <w:szCs w:val="24"/>
          <w:lang w:val="en-US"/>
        </w:rPr>
        <w:t>万元，发行利率为1.76%，发行期限为10年；海口江东新区高教科研区（知行片区）配套基础设施项目发行金额为</w:t>
      </w:r>
      <w:r>
        <w:rPr>
          <w:rFonts w:ascii="宋体" w:hAnsi="宋体" w:eastAsia="宋体" w:cs="Times New Roman"/>
          <w:color w:val="000000"/>
          <w:sz w:val="24"/>
          <w:szCs w:val="24"/>
          <w:lang w:val="en-US"/>
        </w:rPr>
        <w:t>9,300.00</w:t>
      </w:r>
      <w:r>
        <w:rPr>
          <w:rFonts w:hint="eastAsia" w:ascii="宋体" w:hAnsi="宋体" w:eastAsia="宋体" w:cs="Times New Roman"/>
          <w:color w:val="000000"/>
          <w:sz w:val="24"/>
          <w:szCs w:val="24"/>
          <w:lang w:val="en-US"/>
        </w:rPr>
        <w:t>万元,发行利率为1.76%，发行期限为10年。</w:t>
      </w:r>
    </w:p>
    <w:p w14:paraId="08FC22A4">
      <w:pPr>
        <w:widowControl/>
        <w:spacing w:before="120" w:after="120" w:line="360" w:lineRule="auto"/>
        <w:ind w:firstLine="480" w:firstLineChars="200"/>
        <w:jc w:val="both"/>
        <w:rPr>
          <w:rFonts w:hint="eastAsia" w:ascii="宋体" w:hAnsi="宋体" w:eastAsia="宋体" w:cs="宋体"/>
          <w:color w:val="000000"/>
          <w:sz w:val="24"/>
          <w:szCs w:val="24"/>
          <w:lang w:val="en-US"/>
        </w:rPr>
      </w:pPr>
      <w:bookmarkStart w:id="105" w:name="_GoBack"/>
      <w:bookmarkEnd w:id="105"/>
      <w:r>
        <w:rPr>
          <w:rFonts w:hint="eastAsia" w:ascii="宋体" w:hAnsi="宋体" w:eastAsia="宋体" w:cs="宋体"/>
          <w:color w:val="000000"/>
          <w:sz w:val="24"/>
          <w:szCs w:val="24"/>
          <w:lang w:val="en-US"/>
        </w:rPr>
        <w:t>本期调整项目具体情况如下表：</w:t>
      </w:r>
    </w:p>
    <w:p w14:paraId="4160BAED">
      <w:pPr>
        <w:spacing w:line="240" w:lineRule="atLeast"/>
        <w:jc w:val="center"/>
        <w:rPr>
          <w:rFonts w:hint="eastAsia" w:ascii="宋体" w:hAnsi="宋体" w:eastAsia="宋体" w:cs="宋体"/>
          <w:b/>
          <w:color w:val="000000"/>
          <w:sz w:val="24"/>
          <w:szCs w:val="24"/>
          <w:lang w:val="en-US"/>
        </w:rPr>
      </w:pPr>
      <w:r>
        <w:rPr>
          <w:rFonts w:hint="eastAsia" w:ascii="宋体" w:hAnsi="宋体" w:eastAsia="宋体" w:cs="宋体"/>
          <w:b/>
          <w:color w:val="000000"/>
          <w:sz w:val="24"/>
          <w:szCs w:val="24"/>
          <w:lang w:val="en-US"/>
        </w:rPr>
        <w:t>表</w:t>
      </w:r>
      <w:r>
        <w:rPr>
          <w:rFonts w:hint="eastAsia" w:ascii="宋体" w:hAnsi="宋体" w:eastAsia="宋体" w:cs="宋体"/>
          <w:b/>
          <w:color w:val="000000"/>
          <w:sz w:val="24"/>
          <w:szCs w:val="24"/>
          <w:lang w:val="en-US" w:eastAsia="zh-CN"/>
        </w:rPr>
        <w:t>1</w:t>
      </w:r>
      <w:r>
        <w:rPr>
          <w:rFonts w:hint="eastAsia" w:ascii="宋体" w:hAnsi="宋体" w:eastAsia="宋体" w:cs="宋体"/>
          <w:b/>
          <w:color w:val="000000"/>
          <w:sz w:val="24"/>
          <w:szCs w:val="24"/>
          <w:lang w:val="en-US"/>
        </w:rPr>
        <w:t xml:space="preserve"> 调整项目情况汇总表</w:t>
      </w:r>
    </w:p>
    <w:p w14:paraId="1B960587">
      <w:pPr>
        <w:ind w:right="-1489" w:rightChars="-709" w:firstLine="360" w:firstLineChars="200"/>
        <w:jc w:val="right"/>
        <w:rPr>
          <w:rFonts w:hint="eastAsia" w:ascii="宋体" w:hAnsi="宋体" w:eastAsia="宋体" w:cs="宋体"/>
          <w:color w:val="000000"/>
          <w:sz w:val="21"/>
          <w:szCs w:val="21"/>
          <w:lang w:val="en-US"/>
        </w:rPr>
      </w:pPr>
      <w:r>
        <w:rPr>
          <w:rFonts w:hint="eastAsia" w:ascii="宋体" w:hAnsi="宋体" w:eastAsia="宋体" w:cs="宋体"/>
          <w:color w:val="000000"/>
          <w:sz w:val="18"/>
          <w:szCs w:val="20"/>
          <w:lang w:val="en-US"/>
        </w:rPr>
        <w:t>单位：人民币万元</w:t>
      </w:r>
    </w:p>
    <w:tbl>
      <w:tblPr>
        <w:tblStyle w:val="19"/>
        <w:tblW w:w="10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43"/>
        <w:gridCol w:w="2059"/>
        <w:gridCol w:w="1178"/>
        <w:gridCol w:w="1179"/>
        <w:gridCol w:w="1178"/>
        <w:gridCol w:w="1179"/>
        <w:gridCol w:w="1109"/>
        <w:gridCol w:w="1392"/>
      </w:tblGrid>
      <w:tr w14:paraId="1AF5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3" w:hRule="atLeast"/>
          <w:jc w:val="center"/>
        </w:trPr>
        <w:tc>
          <w:tcPr>
            <w:tcW w:w="1243" w:type="dxa"/>
            <w:shd w:val="clear" w:color="auto" w:fill="D8D8D8" w:themeFill="background1" w:themeFillShade="D9"/>
            <w:vAlign w:val="center"/>
          </w:tcPr>
          <w:p w14:paraId="6190F60D">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债券名称</w:t>
            </w:r>
          </w:p>
        </w:tc>
        <w:tc>
          <w:tcPr>
            <w:tcW w:w="2059" w:type="dxa"/>
            <w:shd w:val="clear" w:color="auto" w:fill="D8D8D8" w:themeFill="background1" w:themeFillShade="D9"/>
            <w:vAlign w:val="center"/>
          </w:tcPr>
          <w:p w14:paraId="113C2C97">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项目名称</w:t>
            </w:r>
          </w:p>
        </w:tc>
        <w:tc>
          <w:tcPr>
            <w:tcW w:w="1178" w:type="dxa"/>
            <w:shd w:val="clear" w:color="auto" w:fill="D8D8D8" w:themeFill="background1" w:themeFillShade="D9"/>
            <w:vAlign w:val="center"/>
          </w:tcPr>
          <w:p w14:paraId="4C87447E">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原安排金额</w:t>
            </w:r>
          </w:p>
        </w:tc>
        <w:tc>
          <w:tcPr>
            <w:tcW w:w="1179" w:type="dxa"/>
            <w:shd w:val="clear" w:color="auto" w:fill="D8D8D8" w:themeFill="background1" w:themeFillShade="D9"/>
            <w:vAlign w:val="center"/>
          </w:tcPr>
          <w:p w14:paraId="7C5B72FB">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调减金额</w:t>
            </w:r>
          </w:p>
        </w:tc>
        <w:tc>
          <w:tcPr>
            <w:tcW w:w="1178" w:type="dxa"/>
            <w:shd w:val="clear" w:color="auto" w:fill="D8D8D8" w:themeFill="background1" w:themeFillShade="D9"/>
            <w:vAlign w:val="center"/>
          </w:tcPr>
          <w:p w14:paraId="5B5705E3">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债券期限</w:t>
            </w:r>
          </w:p>
        </w:tc>
        <w:tc>
          <w:tcPr>
            <w:tcW w:w="1179" w:type="dxa"/>
            <w:shd w:val="clear" w:color="auto" w:fill="D8D8D8" w:themeFill="background1" w:themeFillShade="D9"/>
            <w:vAlign w:val="center"/>
          </w:tcPr>
          <w:p w14:paraId="3489B54D">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发行利率</w:t>
            </w:r>
          </w:p>
        </w:tc>
        <w:tc>
          <w:tcPr>
            <w:tcW w:w="1109" w:type="dxa"/>
            <w:shd w:val="clear" w:color="auto" w:fill="D8D8D8" w:themeFill="background1" w:themeFillShade="D9"/>
            <w:vAlign w:val="center"/>
          </w:tcPr>
          <w:p w14:paraId="21FD0AAA">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项目名称</w:t>
            </w:r>
          </w:p>
        </w:tc>
        <w:tc>
          <w:tcPr>
            <w:tcW w:w="1392" w:type="dxa"/>
            <w:shd w:val="clear" w:color="auto" w:fill="D8D8D8" w:themeFill="background1" w:themeFillShade="D9"/>
            <w:vAlign w:val="center"/>
          </w:tcPr>
          <w:p w14:paraId="038EDE60">
            <w:pPr>
              <w:jc w:val="center"/>
              <w:rPr>
                <w:rFonts w:hint="eastAsia" w:ascii="宋体" w:hAnsi="宋体" w:eastAsia="宋体" w:cs="宋体"/>
                <w:b/>
                <w:bCs/>
                <w:color w:val="000000"/>
                <w:szCs w:val="20"/>
                <w:lang w:val="en-US"/>
              </w:rPr>
            </w:pPr>
            <w:r>
              <w:rPr>
                <w:rFonts w:hint="eastAsia" w:ascii="宋体" w:hAnsi="宋体" w:eastAsia="宋体" w:cs="宋体"/>
                <w:b/>
                <w:bCs/>
                <w:color w:val="000000"/>
                <w:szCs w:val="20"/>
                <w:lang w:val="en-US"/>
              </w:rPr>
              <w:t>调增金额</w:t>
            </w:r>
          </w:p>
        </w:tc>
      </w:tr>
      <w:tr w14:paraId="6C7F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9" w:hRule="atLeast"/>
          <w:jc w:val="center"/>
        </w:trPr>
        <w:tc>
          <w:tcPr>
            <w:tcW w:w="1243" w:type="dxa"/>
            <w:vAlign w:val="center"/>
          </w:tcPr>
          <w:p w14:paraId="15FCC4A9">
            <w:pPr>
              <w:jc w:val="center"/>
              <w:rPr>
                <w:rFonts w:hint="eastAsia" w:ascii="宋体" w:hAnsi="宋体" w:eastAsia="宋体" w:cs="宋体"/>
                <w:color w:val="000000"/>
                <w:szCs w:val="20"/>
                <w:lang w:val="en-US"/>
              </w:rPr>
            </w:pPr>
            <w:bookmarkStart w:id="1" w:name="_Hlk208333072"/>
            <w:r>
              <w:rPr>
                <w:rFonts w:hint="eastAsia" w:ascii="宋体" w:hAnsi="宋体" w:eastAsia="宋体" w:cs="宋体"/>
                <w:color w:val="000000"/>
                <w:szCs w:val="20"/>
                <w:lang w:val="en-US"/>
              </w:rPr>
              <w:t>2024年海南省政府专项债券(八期)</w:t>
            </w:r>
            <w:bookmarkEnd w:id="1"/>
          </w:p>
        </w:tc>
        <w:tc>
          <w:tcPr>
            <w:tcW w:w="2059" w:type="dxa"/>
            <w:vAlign w:val="center"/>
          </w:tcPr>
          <w:p w14:paraId="20881D11">
            <w:pPr>
              <w:jc w:val="center"/>
              <w:rPr>
                <w:rFonts w:hint="eastAsia" w:ascii="宋体" w:hAnsi="宋体" w:eastAsia="宋体" w:cs="宋体"/>
                <w:color w:val="000000"/>
                <w:szCs w:val="20"/>
                <w:lang w:val="en-US"/>
              </w:rPr>
            </w:pPr>
            <w:bookmarkStart w:id="2" w:name="_Hlk208333444"/>
            <w:r>
              <w:rPr>
                <w:rFonts w:hint="eastAsia" w:ascii="宋体" w:hAnsi="宋体" w:eastAsia="宋体" w:cs="宋体"/>
                <w:color w:val="000000"/>
                <w:szCs w:val="20"/>
                <w:lang w:val="en-US"/>
              </w:rPr>
              <w:t>云龙产业园纵三路项目</w:t>
            </w:r>
            <w:bookmarkEnd w:id="2"/>
          </w:p>
        </w:tc>
        <w:tc>
          <w:tcPr>
            <w:tcW w:w="1178" w:type="dxa"/>
            <w:vAlign w:val="center"/>
          </w:tcPr>
          <w:p w14:paraId="6620CB3A">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1,000.00</w:t>
            </w:r>
          </w:p>
        </w:tc>
        <w:tc>
          <w:tcPr>
            <w:tcW w:w="1179" w:type="dxa"/>
            <w:shd w:val="clear" w:color="auto" w:fill="auto"/>
            <w:noWrap/>
            <w:vAlign w:val="center"/>
          </w:tcPr>
          <w:p w14:paraId="6BBC479F">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224.472467</w:t>
            </w:r>
          </w:p>
        </w:tc>
        <w:tc>
          <w:tcPr>
            <w:tcW w:w="1178" w:type="dxa"/>
            <w:shd w:val="clear" w:color="auto" w:fill="auto"/>
            <w:noWrap/>
            <w:vAlign w:val="center"/>
          </w:tcPr>
          <w:p w14:paraId="01C1F78B">
            <w:pPr>
              <w:jc w:val="center"/>
              <w:rPr>
                <w:rFonts w:hint="eastAsia" w:ascii="宋体" w:hAnsi="宋体" w:eastAsia="宋体" w:cs="宋体"/>
                <w:color w:val="000000"/>
                <w:szCs w:val="20"/>
                <w:lang w:val="en-US"/>
              </w:rPr>
            </w:pPr>
            <w:r>
              <w:rPr>
                <w:rFonts w:hint="eastAsia" w:ascii="宋体" w:hAnsi="宋体" w:eastAsia="宋体" w:cs="宋体"/>
              </w:rPr>
              <w:t>10年</w:t>
            </w:r>
          </w:p>
        </w:tc>
        <w:tc>
          <w:tcPr>
            <w:tcW w:w="1179" w:type="dxa"/>
            <w:shd w:val="clear" w:color="auto" w:fill="auto"/>
            <w:noWrap/>
            <w:vAlign w:val="center"/>
          </w:tcPr>
          <w:p w14:paraId="21D9BA76">
            <w:pPr>
              <w:jc w:val="center"/>
              <w:rPr>
                <w:rFonts w:hint="eastAsia" w:ascii="宋体" w:hAnsi="宋体" w:eastAsia="宋体" w:cs="宋体"/>
              </w:rPr>
            </w:pPr>
            <w:r>
              <w:rPr>
                <w:rFonts w:hint="eastAsia" w:ascii="宋体" w:hAnsi="宋体" w:eastAsia="宋体" w:cs="宋体"/>
              </w:rPr>
              <w:t>2.41%</w:t>
            </w:r>
          </w:p>
        </w:tc>
        <w:tc>
          <w:tcPr>
            <w:tcW w:w="1109" w:type="dxa"/>
            <w:vMerge w:val="restart"/>
            <w:shd w:val="clear" w:color="auto" w:fill="auto"/>
            <w:noWrap/>
            <w:vAlign w:val="center"/>
          </w:tcPr>
          <w:p w14:paraId="5CBDA503">
            <w:pPr>
              <w:jc w:val="center"/>
              <w:rPr>
                <w:rFonts w:hint="eastAsia" w:ascii="宋体" w:hAnsi="宋体" w:eastAsia="宋体" w:cs="宋体"/>
                <w:color w:val="000000"/>
                <w:szCs w:val="20"/>
                <w:lang w:val="en-US"/>
              </w:rPr>
            </w:pPr>
            <w:r>
              <w:rPr>
                <w:rFonts w:hint="eastAsia" w:ascii="宋体" w:hAnsi="宋体" w:eastAsia="宋体" w:cs="宋体"/>
              </w:rPr>
              <w:t>鸿越路</w:t>
            </w:r>
          </w:p>
        </w:tc>
        <w:tc>
          <w:tcPr>
            <w:tcW w:w="1392" w:type="dxa"/>
            <w:vMerge w:val="restart"/>
            <w:shd w:val="clear" w:color="auto" w:fill="auto"/>
            <w:noWrap/>
            <w:vAlign w:val="center"/>
          </w:tcPr>
          <w:p w14:paraId="19CFAE23">
            <w:pPr>
              <w:jc w:val="center"/>
              <w:rPr>
                <w:rFonts w:hint="eastAsia" w:ascii="宋体" w:hAnsi="宋体" w:eastAsia="宋体" w:cs="宋体"/>
                <w:color w:val="000000"/>
                <w:szCs w:val="20"/>
                <w:lang w:val="en-US"/>
              </w:rPr>
            </w:pPr>
            <w:r>
              <w:rPr>
                <w:rFonts w:hint="eastAsia" w:ascii="宋体" w:hAnsi="宋体" w:eastAsia="宋体" w:cs="宋体"/>
                <w:szCs w:val="20"/>
              </w:rPr>
              <w:t>1,220.722467</w:t>
            </w:r>
          </w:p>
        </w:tc>
      </w:tr>
      <w:tr w14:paraId="3364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9" w:hRule="atLeast"/>
          <w:jc w:val="center"/>
        </w:trPr>
        <w:tc>
          <w:tcPr>
            <w:tcW w:w="1243" w:type="dxa"/>
            <w:vMerge w:val="restart"/>
            <w:vAlign w:val="center"/>
          </w:tcPr>
          <w:p w14:paraId="26913C8C">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2025年海南省政府专项债券（一期）</w:t>
            </w:r>
          </w:p>
        </w:tc>
        <w:tc>
          <w:tcPr>
            <w:tcW w:w="2059" w:type="dxa"/>
            <w:vAlign w:val="center"/>
          </w:tcPr>
          <w:p w14:paraId="2CCC82CE">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美安科技新城物流园配套基础设施项目</w:t>
            </w:r>
          </w:p>
        </w:tc>
        <w:tc>
          <w:tcPr>
            <w:tcW w:w="1178" w:type="dxa"/>
            <w:vAlign w:val="center"/>
          </w:tcPr>
          <w:p w14:paraId="3CC2D84D">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3,000.00</w:t>
            </w:r>
          </w:p>
        </w:tc>
        <w:tc>
          <w:tcPr>
            <w:tcW w:w="1179" w:type="dxa"/>
            <w:shd w:val="clear" w:color="auto" w:fill="auto"/>
            <w:noWrap/>
            <w:vAlign w:val="center"/>
          </w:tcPr>
          <w:p w14:paraId="19F0D60B">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750.00</w:t>
            </w:r>
          </w:p>
        </w:tc>
        <w:tc>
          <w:tcPr>
            <w:tcW w:w="1178" w:type="dxa"/>
            <w:vMerge w:val="restart"/>
            <w:shd w:val="clear" w:color="auto" w:fill="auto"/>
            <w:noWrap/>
            <w:vAlign w:val="center"/>
          </w:tcPr>
          <w:p w14:paraId="47503631">
            <w:pPr>
              <w:jc w:val="center"/>
              <w:rPr>
                <w:rFonts w:hint="eastAsia" w:ascii="宋体" w:hAnsi="宋体" w:eastAsia="宋体" w:cs="宋体"/>
              </w:rPr>
            </w:pPr>
            <w:r>
              <w:rPr>
                <w:rFonts w:hint="eastAsia" w:ascii="宋体" w:hAnsi="宋体" w:eastAsia="宋体" w:cs="宋体"/>
              </w:rPr>
              <w:t>10年</w:t>
            </w:r>
          </w:p>
        </w:tc>
        <w:tc>
          <w:tcPr>
            <w:tcW w:w="1179" w:type="dxa"/>
            <w:vMerge w:val="restart"/>
            <w:shd w:val="clear" w:color="auto" w:fill="auto"/>
            <w:noWrap/>
            <w:vAlign w:val="center"/>
          </w:tcPr>
          <w:p w14:paraId="6B3BD99A">
            <w:pPr>
              <w:jc w:val="center"/>
              <w:rPr>
                <w:rFonts w:hint="eastAsia" w:ascii="宋体" w:hAnsi="宋体" w:eastAsia="宋体" w:cs="宋体"/>
              </w:rPr>
            </w:pPr>
            <w:r>
              <w:rPr>
                <w:rFonts w:hint="eastAsia" w:ascii="宋体" w:hAnsi="宋体" w:eastAsia="宋体" w:cs="宋体"/>
              </w:rPr>
              <w:t>1.76%</w:t>
            </w:r>
          </w:p>
        </w:tc>
        <w:tc>
          <w:tcPr>
            <w:tcW w:w="1109" w:type="dxa"/>
            <w:vMerge w:val="continue"/>
            <w:shd w:val="clear" w:color="auto" w:fill="auto"/>
            <w:noWrap/>
            <w:vAlign w:val="center"/>
          </w:tcPr>
          <w:p w14:paraId="7217E70C">
            <w:pPr>
              <w:jc w:val="center"/>
              <w:rPr>
                <w:rFonts w:hint="eastAsia" w:ascii="宋体" w:hAnsi="宋体" w:eastAsia="宋体" w:cs="宋体"/>
              </w:rPr>
            </w:pPr>
          </w:p>
        </w:tc>
        <w:tc>
          <w:tcPr>
            <w:tcW w:w="1392" w:type="dxa"/>
            <w:vMerge w:val="continue"/>
            <w:shd w:val="clear" w:color="auto" w:fill="auto"/>
            <w:noWrap/>
            <w:vAlign w:val="center"/>
          </w:tcPr>
          <w:p w14:paraId="1A07AC2D">
            <w:pPr>
              <w:jc w:val="center"/>
              <w:rPr>
                <w:rFonts w:hint="eastAsia" w:ascii="宋体" w:hAnsi="宋体" w:eastAsia="宋体" w:cs="宋体"/>
                <w:szCs w:val="20"/>
              </w:rPr>
            </w:pPr>
          </w:p>
        </w:tc>
      </w:tr>
      <w:tr w14:paraId="29C0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8" w:hRule="atLeast"/>
          <w:jc w:val="center"/>
        </w:trPr>
        <w:tc>
          <w:tcPr>
            <w:tcW w:w="1243" w:type="dxa"/>
            <w:vMerge w:val="continue"/>
            <w:vAlign w:val="center"/>
          </w:tcPr>
          <w:p w14:paraId="08FD2450">
            <w:pPr>
              <w:jc w:val="center"/>
              <w:rPr>
                <w:rFonts w:hint="eastAsia" w:ascii="宋体" w:hAnsi="宋体" w:eastAsia="宋体" w:cs="宋体"/>
                <w:color w:val="000000"/>
                <w:szCs w:val="20"/>
                <w:lang w:val="en-US"/>
              </w:rPr>
            </w:pPr>
          </w:p>
        </w:tc>
        <w:tc>
          <w:tcPr>
            <w:tcW w:w="2059" w:type="dxa"/>
            <w:vAlign w:val="center"/>
          </w:tcPr>
          <w:p w14:paraId="7266C429">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海口江东新区高教科研区（知行片区）配套基础设施项目</w:t>
            </w:r>
          </w:p>
        </w:tc>
        <w:tc>
          <w:tcPr>
            <w:tcW w:w="1178" w:type="dxa"/>
            <w:vAlign w:val="center"/>
          </w:tcPr>
          <w:p w14:paraId="6B805473">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9,300.00</w:t>
            </w:r>
          </w:p>
        </w:tc>
        <w:tc>
          <w:tcPr>
            <w:tcW w:w="1179" w:type="dxa"/>
            <w:shd w:val="clear" w:color="auto" w:fill="auto"/>
            <w:noWrap/>
            <w:vAlign w:val="center"/>
          </w:tcPr>
          <w:p w14:paraId="3534ADD9">
            <w:pPr>
              <w:jc w:val="center"/>
              <w:rPr>
                <w:rFonts w:hint="eastAsia" w:ascii="宋体" w:hAnsi="宋体" w:eastAsia="宋体" w:cs="宋体"/>
                <w:color w:val="000000"/>
                <w:szCs w:val="20"/>
                <w:lang w:val="en-US"/>
              </w:rPr>
            </w:pPr>
            <w:r>
              <w:rPr>
                <w:rFonts w:hint="eastAsia" w:ascii="宋体" w:hAnsi="宋体" w:eastAsia="宋体" w:cs="宋体"/>
                <w:color w:val="000000"/>
                <w:szCs w:val="20"/>
                <w:lang w:val="en-US"/>
              </w:rPr>
              <w:t>253.75</w:t>
            </w:r>
          </w:p>
        </w:tc>
        <w:tc>
          <w:tcPr>
            <w:tcW w:w="1178" w:type="dxa"/>
            <w:vMerge w:val="continue"/>
            <w:shd w:val="clear" w:color="auto" w:fill="auto"/>
            <w:noWrap/>
            <w:vAlign w:val="center"/>
          </w:tcPr>
          <w:p w14:paraId="40FE313A">
            <w:pPr>
              <w:jc w:val="center"/>
              <w:rPr>
                <w:rFonts w:hint="eastAsia" w:ascii="宋体" w:hAnsi="宋体" w:eastAsia="宋体" w:cs="宋体"/>
              </w:rPr>
            </w:pPr>
          </w:p>
        </w:tc>
        <w:tc>
          <w:tcPr>
            <w:tcW w:w="1179" w:type="dxa"/>
            <w:vMerge w:val="continue"/>
            <w:shd w:val="clear" w:color="auto" w:fill="auto"/>
            <w:noWrap/>
            <w:vAlign w:val="center"/>
          </w:tcPr>
          <w:p w14:paraId="72B35E47">
            <w:pPr>
              <w:jc w:val="center"/>
              <w:rPr>
                <w:rFonts w:hint="eastAsia" w:ascii="宋体" w:hAnsi="宋体" w:eastAsia="宋体" w:cs="宋体"/>
              </w:rPr>
            </w:pPr>
          </w:p>
        </w:tc>
        <w:tc>
          <w:tcPr>
            <w:tcW w:w="1109" w:type="dxa"/>
            <w:vMerge w:val="continue"/>
            <w:shd w:val="clear" w:color="auto" w:fill="auto"/>
            <w:noWrap/>
            <w:vAlign w:val="center"/>
          </w:tcPr>
          <w:p w14:paraId="6634AC52">
            <w:pPr>
              <w:jc w:val="center"/>
              <w:rPr>
                <w:rFonts w:hint="eastAsia" w:ascii="宋体" w:hAnsi="宋体" w:eastAsia="宋体" w:cs="宋体"/>
              </w:rPr>
            </w:pPr>
          </w:p>
        </w:tc>
        <w:tc>
          <w:tcPr>
            <w:tcW w:w="1392" w:type="dxa"/>
            <w:vMerge w:val="continue"/>
            <w:shd w:val="clear" w:color="auto" w:fill="auto"/>
            <w:noWrap/>
            <w:vAlign w:val="center"/>
          </w:tcPr>
          <w:p w14:paraId="0DC3C09A">
            <w:pPr>
              <w:jc w:val="center"/>
              <w:rPr>
                <w:rFonts w:hint="eastAsia" w:ascii="宋体" w:hAnsi="宋体" w:eastAsia="宋体" w:cs="宋体"/>
                <w:szCs w:val="20"/>
              </w:rPr>
            </w:pPr>
          </w:p>
        </w:tc>
      </w:tr>
    </w:tbl>
    <w:p w14:paraId="511B2D68">
      <w:pPr>
        <w:rPr>
          <w:rFonts w:hint="eastAsia" w:ascii="宋体" w:hAnsi="宋体" w:eastAsia="宋体" w:cs="宋体"/>
          <w:b/>
          <w:sz w:val="24"/>
          <w:szCs w:val="24"/>
        </w:rPr>
      </w:pPr>
      <w:r>
        <w:rPr>
          <w:rFonts w:hint="eastAsia" w:ascii="宋体" w:hAnsi="宋体" w:eastAsia="宋体" w:cs="宋体"/>
          <w:b/>
          <w:sz w:val="24"/>
          <w:szCs w:val="24"/>
        </w:rPr>
        <w:br w:type="page"/>
      </w:r>
    </w:p>
    <w:p w14:paraId="3EE06709">
      <w:pPr>
        <w:pStyle w:val="29"/>
        <w:spacing w:line="360" w:lineRule="auto"/>
        <w:ind w:firstLine="482"/>
        <w:outlineLvl w:val="0"/>
        <w:rPr>
          <w:rFonts w:hint="eastAsia" w:ascii="宋体" w:hAnsi="宋体" w:eastAsia="宋体" w:cs="宋体"/>
          <w:b/>
          <w:sz w:val="24"/>
          <w:szCs w:val="24"/>
        </w:rPr>
      </w:pPr>
      <w:bookmarkStart w:id="3" w:name="_Toc6620"/>
      <w:r>
        <w:rPr>
          <w:rFonts w:hint="eastAsia" w:ascii="宋体" w:hAnsi="宋体" w:eastAsia="宋体" w:cs="宋体"/>
          <w:b/>
          <w:sz w:val="24"/>
          <w:szCs w:val="24"/>
        </w:rPr>
        <w:t>二、地区情况</w:t>
      </w:r>
      <w:bookmarkEnd w:id="3"/>
    </w:p>
    <w:p w14:paraId="3EE0670A">
      <w:pPr>
        <w:widowControl/>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14:paraId="3EE0670B">
      <w:pPr>
        <w:pStyle w:val="29"/>
        <w:tabs>
          <w:tab w:val="left" w:pos="993"/>
          <w:tab w:val="left" w:pos="1276"/>
        </w:tabs>
        <w:spacing w:after="159" w:afterLines="50" w:line="360" w:lineRule="auto"/>
        <w:ind w:left="482" w:firstLine="0" w:firstLineChars="0"/>
        <w:jc w:val="center"/>
        <w:rPr>
          <w:rFonts w:hint="eastAsia" w:ascii="宋体" w:hAnsi="宋体" w:eastAsia="宋体" w:cs="宋体"/>
          <w:b/>
          <w:sz w:val="24"/>
          <w:szCs w:val="24"/>
        </w:rPr>
      </w:pPr>
      <w:r>
        <w:rPr>
          <w:rFonts w:hint="eastAsia" w:ascii="宋体" w:hAnsi="宋体" w:eastAsia="宋体" w:cs="宋体"/>
          <w:b/>
          <w:sz w:val="24"/>
          <w:szCs w:val="24"/>
        </w:rPr>
        <w:t>表2 2022—2024年海口市财政情况</w:t>
      </w:r>
    </w:p>
    <w:p w14:paraId="3EE0670C">
      <w:pPr>
        <w:jc w:val="right"/>
        <w:rPr>
          <w:rFonts w:hint="eastAsia" w:ascii="宋体" w:hAnsi="宋体" w:eastAsia="宋体" w:cs="宋体"/>
          <w:sz w:val="20"/>
          <w:szCs w:val="20"/>
        </w:rPr>
      </w:pPr>
      <w:r>
        <w:rPr>
          <w:rFonts w:hint="eastAsia" w:ascii="宋体" w:hAnsi="宋体" w:eastAsia="宋体" w:cs="宋体"/>
          <w:color w:val="000000"/>
          <w:kern w:val="0"/>
          <w:sz w:val="20"/>
          <w:szCs w:val="20"/>
          <w:lang w:bidi="ar"/>
        </w:rPr>
        <w:t>单位：亿元</w:t>
      </w:r>
    </w:p>
    <w:tbl>
      <w:tblPr>
        <w:tblStyle w:val="19"/>
        <w:tblW w:w="8277" w:type="dxa"/>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3248"/>
        <w:gridCol w:w="1653"/>
        <w:gridCol w:w="1688"/>
        <w:gridCol w:w="1688"/>
      </w:tblGrid>
      <w:tr w14:paraId="3EE06711">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53" w:hRule="atLeast"/>
          <w:jc w:val="center"/>
        </w:trPr>
        <w:tc>
          <w:tcPr>
            <w:tcW w:w="3248" w:type="dxa"/>
            <w:tcBorders>
              <w:top w:val="single" w:color="auto" w:sz="12" w:space="0"/>
              <w:bottom w:val="single" w:color="auto" w:sz="4" w:space="0"/>
            </w:tcBorders>
            <w:shd w:val="clear" w:color="auto" w:fill="D7D7D7" w:themeFill="background1" w:themeFillShade="D8"/>
            <w:vAlign w:val="center"/>
          </w:tcPr>
          <w:p w14:paraId="3EE0670D">
            <w:pPr>
              <w:widowControl/>
              <w:jc w:val="center"/>
              <w:textAlignment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lang w:bidi="ar"/>
              </w:rPr>
              <w:t>项目</w:t>
            </w:r>
          </w:p>
        </w:tc>
        <w:tc>
          <w:tcPr>
            <w:tcW w:w="1653" w:type="dxa"/>
            <w:tcBorders>
              <w:top w:val="single" w:color="auto" w:sz="12" w:space="0"/>
              <w:bottom w:val="single" w:color="auto" w:sz="4" w:space="0"/>
            </w:tcBorders>
            <w:shd w:val="clear" w:color="auto" w:fill="D7D7D7" w:themeFill="background1" w:themeFillShade="D8"/>
            <w:vAlign w:val="center"/>
          </w:tcPr>
          <w:p w14:paraId="3EE0670E">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2022年</w:t>
            </w:r>
          </w:p>
        </w:tc>
        <w:tc>
          <w:tcPr>
            <w:tcW w:w="1688" w:type="dxa"/>
            <w:tcBorders>
              <w:top w:val="single" w:color="auto" w:sz="12" w:space="0"/>
              <w:bottom w:val="single" w:color="auto" w:sz="4" w:space="0"/>
            </w:tcBorders>
            <w:shd w:val="clear" w:color="auto" w:fill="D7D7D7" w:themeFill="background1" w:themeFillShade="D8"/>
            <w:vAlign w:val="center"/>
          </w:tcPr>
          <w:p w14:paraId="3EE0670F">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2023年</w:t>
            </w:r>
          </w:p>
        </w:tc>
        <w:tc>
          <w:tcPr>
            <w:tcW w:w="1688" w:type="dxa"/>
            <w:tcBorders>
              <w:top w:val="single" w:color="auto" w:sz="12" w:space="0"/>
              <w:bottom w:val="single" w:color="auto" w:sz="4" w:space="0"/>
            </w:tcBorders>
            <w:shd w:val="clear" w:color="auto" w:fill="D7D7D7" w:themeFill="background1" w:themeFillShade="D8"/>
            <w:vAlign w:val="center"/>
          </w:tcPr>
          <w:p w14:paraId="3EE06710">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2024年</w:t>
            </w:r>
          </w:p>
        </w:tc>
      </w:tr>
      <w:tr w14:paraId="3EE06716">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07" w:hRule="atLeast"/>
          <w:jc w:val="center"/>
        </w:trPr>
        <w:tc>
          <w:tcPr>
            <w:tcW w:w="3248" w:type="dxa"/>
            <w:tcBorders>
              <w:top w:val="single" w:color="auto" w:sz="4" w:space="0"/>
            </w:tcBorders>
            <w:vAlign w:val="center"/>
          </w:tcPr>
          <w:p w14:paraId="3EE06712">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地区生产总值</w:t>
            </w:r>
          </w:p>
        </w:tc>
        <w:tc>
          <w:tcPr>
            <w:tcW w:w="1653" w:type="dxa"/>
            <w:tcBorders>
              <w:top w:val="single" w:color="auto" w:sz="4" w:space="0"/>
            </w:tcBorders>
            <w:vAlign w:val="center"/>
          </w:tcPr>
          <w:p w14:paraId="3EE0671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2,134.80</w:t>
            </w:r>
          </w:p>
        </w:tc>
        <w:tc>
          <w:tcPr>
            <w:tcW w:w="1688" w:type="dxa"/>
            <w:tcBorders>
              <w:top w:val="single" w:color="auto" w:sz="4" w:space="0"/>
            </w:tcBorders>
            <w:vAlign w:val="center"/>
          </w:tcPr>
          <w:p w14:paraId="3EE06714">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2,358.44</w:t>
            </w:r>
          </w:p>
        </w:tc>
        <w:tc>
          <w:tcPr>
            <w:tcW w:w="1688" w:type="dxa"/>
            <w:tcBorders>
              <w:top w:val="single" w:color="auto" w:sz="4" w:space="0"/>
            </w:tcBorders>
            <w:vAlign w:val="center"/>
          </w:tcPr>
          <w:p w14:paraId="3EE06715">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2470.63</w:t>
            </w:r>
          </w:p>
        </w:tc>
      </w:tr>
      <w:tr w14:paraId="3EE0671B">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14:paraId="3EE06717">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一般预算收入(一般公共预算收入)</w:t>
            </w:r>
          </w:p>
        </w:tc>
        <w:tc>
          <w:tcPr>
            <w:tcW w:w="1653" w:type="dxa"/>
            <w:vAlign w:val="center"/>
          </w:tcPr>
          <w:p w14:paraId="3EE0671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204.82</w:t>
            </w:r>
          </w:p>
        </w:tc>
        <w:tc>
          <w:tcPr>
            <w:tcW w:w="1688" w:type="dxa"/>
            <w:vAlign w:val="center"/>
          </w:tcPr>
          <w:p w14:paraId="3EE0671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266.87</w:t>
            </w:r>
          </w:p>
        </w:tc>
        <w:tc>
          <w:tcPr>
            <w:tcW w:w="1688" w:type="dxa"/>
            <w:vAlign w:val="center"/>
          </w:tcPr>
          <w:p w14:paraId="3EE0671A">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258.26</w:t>
            </w:r>
          </w:p>
        </w:tc>
      </w:tr>
      <w:tr w14:paraId="3EE06720">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14:paraId="3EE0671C">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一般预算收入(一般公共预算总收入)</w:t>
            </w:r>
          </w:p>
        </w:tc>
        <w:tc>
          <w:tcPr>
            <w:tcW w:w="1653" w:type="dxa"/>
            <w:vAlign w:val="center"/>
          </w:tcPr>
          <w:p w14:paraId="3EE0671D">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518.12</w:t>
            </w:r>
          </w:p>
        </w:tc>
        <w:tc>
          <w:tcPr>
            <w:tcW w:w="1688" w:type="dxa"/>
            <w:vAlign w:val="center"/>
          </w:tcPr>
          <w:p w14:paraId="3EE0671E">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578.08</w:t>
            </w:r>
          </w:p>
        </w:tc>
        <w:tc>
          <w:tcPr>
            <w:tcW w:w="1688" w:type="dxa"/>
            <w:vAlign w:val="center"/>
          </w:tcPr>
          <w:p w14:paraId="3EE0671F">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597.76</w:t>
            </w:r>
          </w:p>
        </w:tc>
      </w:tr>
      <w:tr w14:paraId="3EE06725">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21">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政府性基金收入</w:t>
            </w:r>
          </w:p>
        </w:tc>
        <w:tc>
          <w:tcPr>
            <w:tcW w:w="1653" w:type="dxa"/>
            <w:vAlign w:val="center"/>
          </w:tcPr>
          <w:p w14:paraId="3EE06722">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192.34</w:t>
            </w:r>
          </w:p>
        </w:tc>
        <w:tc>
          <w:tcPr>
            <w:tcW w:w="1688" w:type="dxa"/>
            <w:vAlign w:val="center"/>
          </w:tcPr>
          <w:p w14:paraId="3EE0672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140.39</w:t>
            </w:r>
          </w:p>
        </w:tc>
        <w:tc>
          <w:tcPr>
            <w:tcW w:w="1688" w:type="dxa"/>
            <w:vAlign w:val="center"/>
          </w:tcPr>
          <w:p w14:paraId="3EE06724">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120.43</w:t>
            </w:r>
          </w:p>
        </w:tc>
      </w:tr>
      <w:tr w14:paraId="3EE0672A">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26">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其中：国有土地出让收入</w:t>
            </w:r>
          </w:p>
        </w:tc>
        <w:tc>
          <w:tcPr>
            <w:tcW w:w="1653" w:type="dxa"/>
            <w:vAlign w:val="center"/>
          </w:tcPr>
          <w:p w14:paraId="3EE06727">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176.60</w:t>
            </w:r>
          </w:p>
        </w:tc>
        <w:tc>
          <w:tcPr>
            <w:tcW w:w="1688" w:type="dxa"/>
            <w:vAlign w:val="center"/>
          </w:tcPr>
          <w:p w14:paraId="3EE0672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124.67</w:t>
            </w:r>
          </w:p>
        </w:tc>
        <w:tc>
          <w:tcPr>
            <w:tcW w:w="1688" w:type="dxa"/>
            <w:vAlign w:val="center"/>
          </w:tcPr>
          <w:p w14:paraId="3EE0672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108.59</w:t>
            </w:r>
          </w:p>
        </w:tc>
      </w:tr>
      <w:tr w14:paraId="3EE0672F">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2B">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政府性基金支出</w:t>
            </w:r>
          </w:p>
        </w:tc>
        <w:tc>
          <w:tcPr>
            <w:tcW w:w="1653" w:type="dxa"/>
            <w:vAlign w:val="center"/>
          </w:tcPr>
          <w:p w14:paraId="3EE0672C">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1688" w:type="dxa"/>
            <w:vAlign w:val="center"/>
          </w:tcPr>
          <w:p w14:paraId="3EE0672D">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264.76</w:t>
            </w:r>
          </w:p>
        </w:tc>
        <w:tc>
          <w:tcPr>
            <w:tcW w:w="1688" w:type="dxa"/>
            <w:vAlign w:val="center"/>
          </w:tcPr>
          <w:p w14:paraId="3EE0672E">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294.07</w:t>
            </w:r>
          </w:p>
        </w:tc>
      </w:tr>
      <w:tr w14:paraId="3EE06734">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0">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其中：国有土地出让支出</w:t>
            </w:r>
          </w:p>
        </w:tc>
        <w:tc>
          <w:tcPr>
            <w:tcW w:w="1653" w:type="dxa"/>
            <w:vAlign w:val="center"/>
          </w:tcPr>
          <w:p w14:paraId="3EE06731">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147.61</w:t>
            </w:r>
          </w:p>
        </w:tc>
        <w:tc>
          <w:tcPr>
            <w:tcW w:w="1688" w:type="dxa"/>
            <w:vAlign w:val="center"/>
          </w:tcPr>
          <w:p w14:paraId="3EE06732">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109.46</w:t>
            </w:r>
          </w:p>
        </w:tc>
        <w:tc>
          <w:tcPr>
            <w:tcW w:w="1688" w:type="dxa"/>
            <w:vAlign w:val="center"/>
          </w:tcPr>
          <w:p w14:paraId="3EE0673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72.02</w:t>
            </w:r>
          </w:p>
        </w:tc>
      </w:tr>
      <w:tr w14:paraId="3EE06739">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5">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地方债务限额</w:t>
            </w:r>
          </w:p>
        </w:tc>
        <w:tc>
          <w:tcPr>
            <w:tcW w:w="1653" w:type="dxa"/>
            <w:vAlign w:val="center"/>
          </w:tcPr>
          <w:p w14:paraId="3EE06736">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14:paraId="3EE06737">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892.40</w:t>
            </w:r>
          </w:p>
        </w:tc>
        <w:tc>
          <w:tcPr>
            <w:tcW w:w="1688" w:type="dxa"/>
            <w:vAlign w:val="center"/>
          </w:tcPr>
          <w:p w14:paraId="3EE06738">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1161.30</w:t>
            </w:r>
          </w:p>
        </w:tc>
      </w:tr>
      <w:tr w14:paraId="3EE0673E">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A">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其中：一般债务限额</w:t>
            </w:r>
          </w:p>
        </w:tc>
        <w:tc>
          <w:tcPr>
            <w:tcW w:w="1653" w:type="dxa"/>
            <w:vAlign w:val="center"/>
          </w:tcPr>
          <w:p w14:paraId="3EE0673B">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14:paraId="3EE0673C">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230.47</w:t>
            </w:r>
          </w:p>
        </w:tc>
        <w:tc>
          <w:tcPr>
            <w:tcW w:w="1688" w:type="dxa"/>
            <w:vAlign w:val="center"/>
          </w:tcPr>
          <w:p w14:paraId="3EE0673D">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235.24</w:t>
            </w:r>
          </w:p>
        </w:tc>
      </w:tr>
      <w:tr w14:paraId="3EE06743">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F">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专项债务限额</w:t>
            </w:r>
          </w:p>
        </w:tc>
        <w:tc>
          <w:tcPr>
            <w:tcW w:w="1653" w:type="dxa"/>
            <w:vAlign w:val="center"/>
          </w:tcPr>
          <w:p w14:paraId="3EE06740">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14:paraId="3EE06741">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661.93</w:t>
            </w:r>
          </w:p>
        </w:tc>
        <w:tc>
          <w:tcPr>
            <w:tcW w:w="1688" w:type="dxa"/>
            <w:vAlign w:val="center"/>
          </w:tcPr>
          <w:p w14:paraId="3EE06742">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926.07</w:t>
            </w:r>
          </w:p>
        </w:tc>
      </w:tr>
      <w:tr w14:paraId="3EE06748">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44">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地方债务余额</w:t>
            </w:r>
          </w:p>
        </w:tc>
        <w:tc>
          <w:tcPr>
            <w:tcW w:w="1653" w:type="dxa"/>
            <w:vAlign w:val="center"/>
          </w:tcPr>
          <w:p w14:paraId="3EE06745">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14:paraId="3EE06746">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889.45</w:t>
            </w:r>
          </w:p>
        </w:tc>
        <w:tc>
          <w:tcPr>
            <w:tcW w:w="1688" w:type="dxa"/>
            <w:vAlign w:val="center"/>
          </w:tcPr>
          <w:p w14:paraId="3EE06747">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1141.70</w:t>
            </w:r>
          </w:p>
        </w:tc>
      </w:tr>
      <w:tr w14:paraId="3EE0674D">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49">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其中：一般债务余额</w:t>
            </w:r>
          </w:p>
        </w:tc>
        <w:tc>
          <w:tcPr>
            <w:tcW w:w="1653" w:type="dxa"/>
            <w:vAlign w:val="center"/>
          </w:tcPr>
          <w:p w14:paraId="3EE0674A">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14:paraId="3EE0674B">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228.11</w:t>
            </w:r>
          </w:p>
        </w:tc>
        <w:tc>
          <w:tcPr>
            <w:tcW w:w="1688" w:type="dxa"/>
            <w:vAlign w:val="center"/>
          </w:tcPr>
          <w:p w14:paraId="3EE0674C">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227.33</w:t>
            </w:r>
          </w:p>
        </w:tc>
      </w:tr>
      <w:tr w14:paraId="3EE06752">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76" w:hRule="atLeast"/>
          <w:jc w:val="center"/>
        </w:trPr>
        <w:tc>
          <w:tcPr>
            <w:tcW w:w="3248" w:type="dxa"/>
            <w:vAlign w:val="center"/>
          </w:tcPr>
          <w:p w14:paraId="3EE0674E">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专项债务余额</w:t>
            </w:r>
          </w:p>
        </w:tc>
        <w:tc>
          <w:tcPr>
            <w:tcW w:w="1653" w:type="dxa"/>
            <w:vAlign w:val="center"/>
          </w:tcPr>
          <w:p w14:paraId="3EE0674F">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14:paraId="3EE06750">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661.34</w:t>
            </w:r>
          </w:p>
        </w:tc>
        <w:tc>
          <w:tcPr>
            <w:tcW w:w="1688" w:type="dxa"/>
            <w:vAlign w:val="center"/>
          </w:tcPr>
          <w:p w14:paraId="3EE06751">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914.37</w:t>
            </w:r>
          </w:p>
        </w:tc>
      </w:tr>
    </w:tbl>
    <w:p w14:paraId="3EE06753">
      <w:pPr>
        <w:spacing w:line="360" w:lineRule="auto"/>
        <w:ind w:firstLine="480" w:firstLineChars="200"/>
        <w:rPr>
          <w:rFonts w:hint="eastAsia" w:ascii="宋体" w:hAnsi="宋体" w:eastAsia="宋体" w:cs="宋体"/>
          <w:b/>
          <w:sz w:val="24"/>
          <w:szCs w:val="24"/>
        </w:rPr>
      </w:pPr>
      <w:r>
        <w:rPr>
          <w:rFonts w:hint="eastAsia" w:ascii="宋体" w:hAnsi="宋体" w:eastAsia="宋体" w:cs="宋体"/>
          <w:color w:val="000000"/>
          <w:kern w:val="0"/>
          <w:sz w:val="24"/>
          <w:szCs w:val="24"/>
        </w:rPr>
        <w:t>注：以上数据来源于海口市财政局。</w:t>
      </w:r>
    </w:p>
    <w:p w14:paraId="3EE06754">
      <w:pPr>
        <w:pStyle w:val="29"/>
        <w:spacing w:line="360" w:lineRule="auto"/>
        <w:ind w:firstLine="482"/>
        <w:rPr>
          <w:rFonts w:hint="eastAsia" w:ascii="宋体" w:hAnsi="宋体" w:eastAsia="宋体" w:cs="宋体"/>
          <w:b/>
          <w:sz w:val="24"/>
          <w:szCs w:val="24"/>
        </w:rPr>
      </w:pPr>
    </w:p>
    <w:p w14:paraId="3EE06755">
      <w:pPr>
        <w:pStyle w:val="29"/>
        <w:spacing w:line="360" w:lineRule="auto"/>
        <w:ind w:firstLine="482"/>
        <w:rPr>
          <w:rFonts w:hint="eastAsia" w:ascii="宋体" w:hAnsi="宋体" w:eastAsia="宋体" w:cs="宋体"/>
          <w:b/>
          <w:sz w:val="24"/>
          <w:szCs w:val="24"/>
        </w:rPr>
      </w:pPr>
    </w:p>
    <w:p w14:paraId="3EE06756">
      <w:pPr>
        <w:pStyle w:val="29"/>
        <w:spacing w:line="360" w:lineRule="auto"/>
        <w:ind w:firstLine="482"/>
        <w:rPr>
          <w:rFonts w:hint="eastAsia" w:ascii="宋体" w:hAnsi="宋体" w:eastAsia="宋体" w:cs="宋体"/>
          <w:b/>
          <w:sz w:val="24"/>
          <w:szCs w:val="24"/>
        </w:rPr>
      </w:pPr>
    </w:p>
    <w:p w14:paraId="3EE06757">
      <w:pPr>
        <w:pStyle w:val="29"/>
        <w:spacing w:line="360" w:lineRule="auto"/>
        <w:ind w:firstLine="482"/>
        <w:rPr>
          <w:rFonts w:hint="eastAsia" w:ascii="宋体" w:hAnsi="宋体" w:eastAsia="宋体" w:cs="宋体"/>
          <w:b/>
          <w:sz w:val="24"/>
          <w:szCs w:val="24"/>
        </w:rPr>
      </w:pPr>
    </w:p>
    <w:p w14:paraId="3EE06758">
      <w:pPr>
        <w:pStyle w:val="29"/>
        <w:spacing w:line="360" w:lineRule="auto"/>
        <w:ind w:firstLine="482"/>
        <w:outlineLvl w:val="0"/>
        <w:rPr>
          <w:rFonts w:hint="eastAsia" w:ascii="宋体" w:hAnsi="宋体" w:eastAsia="宋体" w:cs="宋体"/>
          <w:b/>
          <w:sz w:val="24"/>
          <w:szCs w:val="24"/>
        </w:rPr>
      </w:pPr>
      <w:bookmarkStart w:id="4" w:name="_Toc2506"/>
      <w:r>
        <w:rPr>
          <w:rFonts w:hint="eastAsia" w:ascii="宋体" w:hAnsi="宋体" w:eastAsia="宋体" w:cs="宋体"/>
          <w:b/>
          <w:sz w:val="24"/>
          <w:szCs w:val="24"/>
        </w:rPr>
        <w:t>三、项目概述</w:t>
      </w:r>
      <w:bookmarkEnd w:id="4"/>
    </w:p>
    <w:p w14:paraId="3EE06759">
      <w:pPr>
        <w:pStyle w:val="29"/>
        <w:spacing w:line="360" w:lineRule="auto"/>
        <w:ind w:firstLine="482"/>
        <w:outlineLvl w:val="0"/>
        <w:rPr>
          <w:rFonts w:hint="eastAsia" w:ascii="宋体" w:hAnsi="宋体" w:eastAsia="宋体" w:cs="宋体"/>
          <w:b/>
          <w:sz w:val="24"/>
          <w:szCs w:val="24"/>
        </w:rPr>
      </w:pPr>
      <w:bookmarkStart w:id="5" w:name="_Toc21471"/>
      <w:r>
        <w:rPr>
          <w:rFonts w:hint="eastAsia" w:ascii="宋体" w:hAnsi="宋体" w:eastAsia="宋体" w:cs="宋体"/>
          <w:b/>
          <w:sz w:val="24"/>
          <w:szCs w:val="24"/>
        </w:rPr>
        <w:t>（一）项目基本情况</w:t>
      </w:r>
      <w:bookmarkEnd w:id="5"/>
    </w:p>
    <w:p w14:paraId="605DF577">
      <w:pPr>
        <w:spacing w:before="120" w:after="120" w:line="360" w:lineRule="auto"/>
        <w:ind w:firstLine="480" w:firstLineChars="200"/>
        <w:jc w:val="both"/>
        <w:rPr>
          <w:rFonts w:hint="eastAsia" w:ascii="宋体" w:hAnsi="宋体" w:eastAsia="宋体" w:cs="宋体"/>
          <w:sz w:val="24"/>
        </w:rPr>
      </w:pPr>
      <w:r>
        <w:rPr>
          <w:rFonts w:hint="eastAsia" w:ascii="宋体" w:hAnsi="宋体" w:eastAsia="宋体" w:cs="宋体"/>
          <w:sz w:val="24"/>
        </w:rPr>
        <w:t>鸿越路项目的建设符合国家政策支持方向，并有利于海口市基础设施建设的发展，项目基本情况如下：</w:t>
      </w:r>
    </w:p>
    <w:p w14:paraId="7F219F99">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项目名称：鸿越路</w:t>
      </w:r>
    </w:p>
    <w:p w14:paraId="47F4B189">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项目行业主管部门：海口江东新区管理局</w:t>
      </w:r>
    </w:p>
    <w:p w14:paraId="114B9F7A">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项目业主：海口市恒慧基础建设有限公司</w:t>
      </w:r>
    </w:p>
    <w:p w14:paraId="1D31C278">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项目建设期：2022年12月-2026年12月</w:t>
      </w:r>
    </w:p>
    <w:p w14:paraId="18FE4372">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建设内容：项目位于江东新区三组团的国际综合服务组团，道路西起美庄路，东至海文高速联络线，道路全长1,735.351m，红线宽度为40m，行车道为双向六车道，道路等级为城市主干路。主要建设内容包含道路工程、桥梁工程、交通工程、给排水工程、管廊工程、电气工程（含合杆）等，再生水、燃气工程不含在此次工程设计范围内，仅预留管位。</w:t>
      </w:r>
    </w:p>
    <w:p w14:paraId="050C0941">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项目总体施工进度：本项目施工进度约为41%。</w:t>
      </w:r>
    </w:p>
    <w:p w14:paraId="3EE0678C">
      <w:pPr>
        <w:pStyle w:val="29"/>
        <w:spacing w:line="360" w:lineRule="auto"/>
        <w:ind w:firstLine="482"/>
        <w:outlineLvl w:val="0"/>
        <w:rPr>
          <w:rFonts w:hint="eastAsia" w:ascii="宋体" w:hAnsi="宋体" w:eastAsia="宋体" w:cs="宋体"/>
          <w:b/>
          <w:sz w:val="24"/>
          <w:szCs w:val="24"/>
        </w:rPr>
      </w:pPr>
      <w:bookmarkStart w:id="6" w:name="_Toc28919"/>
      <w:r>
        <w:rPr>
          <w:rFonts w:hint="eastAsia" w:ascii="宋体" w:hAnsi="宋体" w:eastAsia="宋体" w:cs="宋体"/>
          <w:b/>
          <w:sz w:val="24"/>
          <w:szCs w:val="24"/>
        </w:rPr>
        <w:t>（二）项目相关批复</w:t>
      </w:r>
      <w:bookmarkEnd w:id="6"/>
    </w:p>
    <w:p w14:paraId="5540D338">
      <w:pPr>
        <w:spacing w:before="120" w:after="120"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（1）2022年6月21日，取得《海口江东新区管理局关于同意鸿越路可行性研究报告的复函》（海江东局函〔2022〕141号），该复函明确：“为改善区域生活环境、完善海口市城市基础设施建设，同意建设鸿越路”。</w:t>
      </w:r>
    </w:p>
    <w:p w14:paraId="1D126513">
      <w:pPr>
        <w:spacing w:before="120" w:after="120"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2）2022年8月31日，取得《建设用地规划许可证》，发证机关为海口江东新区管理局，证号为地字第46510220220025号，用地单位为海口江东新区基础建设有限公司，项目名称为鸿越路，用地位置为海口市江东新区，用地面积为64520.30平方米，土地用途为城市道路用地，建设规模为鸿越路道路总长1735.351m，红线宽度40米，为主干路。本项目主要建设内容包含道路工程、桥梁工程、交通工程、给排水工程、管廊工程、电气工程（含合杆）等，再生水、燃气工程不含在本次工程设计。</w:t>
      </w:r>
    </w:p>
    <w:p w14:paraId="2D7FE39F">
      <w:pPr>
        <w:spacing w:before="120" w:after="120"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3）2022年9月9日，取得《海口江东新区管理局关于同意鸿越路初步设计及概算的复函》（海江东局函〔2022〕193号），该函明确了项目建设内容，批复项目概算总投资为25175.06万元，其中工程费为16211.21万元，工程建设其他费用为7788.01万元（含征地拆迁费5224.97万元，该项费用以市政府批复为准，资金用途以财政局意见为准），建设单位管理费为237.13万元，预备费为938.71万元。</w:t>
      </w:r>
    </w:p>
    <w:p w14:paraId="111BDEA2">
      <w:pPr>
        <w:spacing w:before="120" w:after="120"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4）2022年10月13日，取得《建设工程规划许可证》，发证机关为海口江东新区管理局，证号为建字第465102202215006号，建设单位为海口江东新区基础建设有限公司，项目名称为鸿越路，建设位置为三组团的国际综合服务组团，建设规模为道路长度为1735.351m，红线宽度40m；管线长度为8034m，埋设深度1.0～8.0m；缆线型管廊长度为1400m，埋设埋深0.2m；桥梁长度为60m，桥面宽40m。</w:t>
      </w:r>
    </w:p>
    <w:p w14:paraId="128BF1DA">
      <w:pPr>
        <w:spacing w:before="120" w:after="120"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5）2022年12月29日，取得《海口江东新区管理局关于鸿越路征拆费用纳入概算总投资的复函》（海江东局函〔2022〕1332号），该函原则同意将鸿越路房屋征收补偿资金纳入项目概算总投资，调整后项目概算总投资为50300.00万元，其中工程费16211.21万元，工程建设其它费用32912.95万元（其中土地房屋征收补偿费30349.91万元，该费用以市政府批复为准，资金用途以财政局意见为准），建设单位管理费237.13万元，预备费938.71万元。</w:t>
      </w:r>
    </w:p>
    <w:p w14:paraId="7EE6434F">
      <w:pPr>
        <w:spacing w:before="120" w:after="120" w:line="360" w:lineRule="auto"/>
        <w:ind w:firstLine="480" w:firstLineChars="200"/>
        <w:jc w:val="both"/>
        <w:rPr>
          <w:rFonts w:hint="eastAsia" w:ascii="宋体" w:hAnsi="宋体" w:eastAsia="宋体" w:cs="宋体"/>
          <w:sz w:val="24"/>
          <w:lang w:val="en-US" w:eastAsia="zh-CN"/>
        </w:rPr>
      </w:pPr>
      <w:bookmarkStart w:id="7" w:name="_Toc8403"/>
      <w:r>
        <w:rPr>
          <w:rFonts w:hint="eastAsia" w:ascii="宋体" w:hAnsi="宋体" w:eastAsia="宋体" w:cs="宋体"/>
          <w:sz w:val="24"/>
          <w:lang w:val="en-US" w:eastAsia="zh-CN"/>
        </w:rPr>
        <w:t>（6）2022年12月30日，取得《建筑工程施工许可证》，发证机关为海口江东新区管理局，证号为465102202212300102，建设单位为海口江东新区基础建设有限公司，工程名称为鸿越路，建设地址为海口市美兰区白驹大道以南。</w:t>
      </w:r>
      <w:bookmarkEnd w:id="7"/>
    </w:p>
    <w:p w14:paraId="67723E5D">
      <w:pPr>
        <w:spacing w:before="120" w:after="120"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（7）2023年9月11日，取得《海口江东新区管理局关于将鸿越路征拆费用纳入概算总投资的复函》（海江东局函（2023）1472号），该函明确调整后项目概算总投资为</w:t>
      </w:r>
      <w:r>
        <w:rPr>
          <w:rFonts w:hint="eastAsia" w:ascii="宋体" w:hAnsi="宋体" w:eastAsia="宋体" w:cs="宋体"/>
          <w:sz w:val="24"/>
          <w:lang w:val="en-US" w:eastAsia="zh-CN"/>
        </w:rPr>
        <w:t>56908.87</w:t>
      </w:r>
      <w:r>
        <w:rPr>
          <w:rFonts w:hint="eastAsia" w:ascii="宋体" w:hAnsi="宋体" w:eastAsia="宋体" w:cs="宋体"/>
          <w:sz w:val="24"/>
          <w:lang w:val="en-US" w:eastAsia="zh-CN"/>
        </w:rPr>
        <w:t>万元，其中工程费</w:t>
      </w:r>
      <w:r>
        <w:rPr>
          <w:rFonts w:hint="eastAsia" w:ascii="宋体" w:hAnsi="宋体" w:eastAsia="宋体" w:cs="宋体"/>
          <w:sz w:val="24"/>
          <w:lang w:val="en-US" w:eastAsia="zh-CN"/>
        </w:rPr>
        <w:t>16211.21</w:t>
      </w:r>
      <w:r>
        <w:rPr>
          <w:rFonts w:hint="eastAsia" w:ascii="宋体" w:hAnsi="宋体" w:eastAsia="宋体" w:cs="宋体"/>
          <w:sz w:val="24"/>
          <w:lang w:val="en-US" w:eastAsia="zh-CN"/>
        </w:rPr>
        <w:t>万元，工程建设其它费用</w:t>
      </w:r>
      <w:r>
        <w:rPr>
          <w:rFonts w:hint="eastAsia" w:ascii="宋体" w:hAnsi="宋体" w:eastAsia="宋体" w:cs="宋体"/>
          <w:sz w:val="24"/>
          <w:lang w:val="en-US" w:eastAsia="zh-CN"/>
        </w:rPr>
        <w:t>39521.82</w:t>
      </w:r>
      <w:r>
        <w:rPr>
          <w:rFonts w:hint="eastAsia" w:ascii="宋体" w:hAnsi="宋体" w:eastAsia="宋体" w:cs="宋体"/>
          <w:sz w:val="24"/>
          <w:lang w:val="en-US" w:eastAsia="zh-CN"/>
        </w:rPr>
        <w:t>万元（其中土地房屋征收补偿费</w:t>
      </w:r>
      <w:r>
        <w:rPr>
          <w:rFonts w:hint="eastAsia" w:ascii="宋体" w:hAnsi="宋体" w:eastAsia="宋体" w:cs="宋体"/>
          <w:sz w:val="24"/>
          <w:lang w:val="en-US" w:eastAsia="zh-CN"/>
        </w:rPr>
        <w:t>36958.78</w:t>
      </w:r>
      <w:r>
        <w:rPr>
          <w:rFonts w:hint="eastAsia" w:ascii="宋体" w:hAnsi="宋体" w:eastAsia="宋体" w:cs="宋体"/>
          <w:sz w:val="24"/>
          <w:lang w:val="en-US" w:eastAsia="zh-CN"/>
        </w:rPr>
        <w:t>万元，该费用以市政府批复为准，资金使用以市财政局意见为准），预备费</w:t>
      </w:r>
      <w:r>
        <w:rPr>
          <w:rFonts w:hint="eastAsia" w:ascii="宋体" w:hAnsi="宋体" w:eastAsia="宋体" w:cs="宋体"/>
          <w:sz w:val="24"/>
          <w:lang w:val="en-US" w:eastAsia="zh-CN"/>
        </w:rPr>
        <w:t>938.71</w:t>
      </w:r>
      <w:r>
        <w:rPr>
          <w:rFonts w:hint="eastAsia" w:ascii="宋体" w:hAnsi="宋体" w:eastAsia="宋体" w:cs="宋体"/>
          <w:sz w:val="24"/>
          <w:lang w:val="en-US" w:eastAsia="zh-CN"/>
        </w:rPr>
        <w:t>万元，建设单位管理费</w:t>
      </w:r>
      <w:r>
        <w:rPr>
          <w:rFonts w:hint="eastAsia" w:ascii="宋体" w:hAnsi="宋体" w:eastAsia="宋体" w:cs="宋体"/>
          <w:sz w:val="24"/>
          <w:lang w:val="en-US" w:eastAsia="zh-CN"/>
        </w:rPr>
        <w:t>237.13</w:t>
      </w:r>
      <w:r>
        <w:rPr>
          <w:rFonts w:hint="eastAsia" w:ascii="宋体" w:hAnsi="宋体" w:eastAsia="宋体" w:cs="宋体"/>
          <w:sz w:val="24"/>
          <w:lang w:val="en-US" w:eastAsia="zh-CN"/>
        </w:rPr>
        <w:t>万元。</w:t>
      </w:r>
    </w:p>
    <w:p w14:paraId="73A13364">
      <w:pPr>
        <w:spacing w:before="120" w:after="120"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（8）2024年2月7日，项目业主单位</w:t>
      </w:r>
      <w:r>
        <w:rPr>
          <w:rFonts w:hint="eastAsia" w:ascii="宋体" w:hAnsi="宋体" w:eastAsia="宋体" w:cs="宋体"/>
          <w:sz w:val="24"/>
          <w:lang w:val="en-US" w:eastAsia="zh-CN"/>
        </w:rPr>
        <w:t>海口江东新区基础建设有限公司</w:t>
      </w:r>
      <w:r>
        <w:rPr>
          <w:rFonts w:hint="eastAsia" w:ascii="宋体" w:hAnsi="宋体" w:eastAsia="宋体" w:cs="宋体"/>
          <w:sz w:val="24"/>
          <w:lang w:val="en-US" w:eastAsia="zh-CN"/>
        </w:rPr>
        <w:t>变更名称为海口市恒慧基础建设有限公司。</w:t>
      </w:r>
    </w:p>
    <w:p w14:paraId="4A7BCD52">
      <w:pPr>
        <w:spacing w:line="360" w:lineRule="auto"/>
        <w:ind w:firstLine="480" w:firstLineChars="200"/>
        <w:jc w:val="both"/>
        <w:rPr>
          <w:rFonts w:hint="eastAsia" w:ascii="宋体" w:hAnsi="宋体" w:eastAsia="宋体" w:cs="宋体"/>
          <w:sz w:val="24"/>
          <w:szCs w:val="24"/>
        </w:rPr>
      </w:pPr>
    </w:p>
    <w:p w14:paraId="3EE0678E">
      <w:pPr>
        <w:pStyle w:val="29"/>
        <w:spacing w:line="360" w:lineRule="auto"/>
        <w:ind w:firstLine="482"/>
        <w:outlineLvl w:val="0"/>
        <w:rPr>
          <w:rFonts w:hint="eastAsia" w:ascii="宋体" w:hAnsi="宋体" w:eastAsia="宋体" w:cs="宋体"/>
          <w:b/>
          <w:sz w:val="24"/>
          <w:szCs w:val="24"/>
        </w:rPr>
      </w:pPr>
      <w:bookmarkStart w:id="8" w:name="_Toc3287"/>
      <w:r>
        <w:rPr>
          <w:rFonts w:hint="eastAsia" w:ascii="宋体" w:hAnsi="宋体" w:eastAsia="宋体" w:cs="宋体"/>
          <w:b/>
          <w:sz w:val="24"/>
          <w:szCs w:val="24"/>
        </w:rPr>
        <w:t>（三）事前绩效评估</w:t>
      </w:r>
      <w:bookmarkEnd w:id="8"/>
    </w:p>
    <w:p w14:paraId="3EE0678F">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1.项目的必要性与收益性</w:t>
      </w:r>
    </w:p>
    <w:p w14:paraId="201D4B4B">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（1）必要性</w:t>
      </w:r>
    </w:p>
    <w:p w14:paraId="3EE0679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9" w:name="bookmark26"/>
      <w:bookmarkEnd w:id="9"/>
      <w:bookmarkStart w:id="10" w:name="bookmark23"/>
      <w:bookmarkEnd w:id="10"/>
      <w:bookmarkStart w:id="11" w:name="bookmark24"/>
      <w:bookmarkEnd w:id="11"/>
      <w:bookmarkStart w:id="12" w:name="bookmark25"/>
      <w:bookmarkEnd w:id="12"/>
      <w:r>
        <w:rPr>
          <w:rFonts w:hint="eastAsia" w:ascii="宋体" w:hAnsi="宋体" w:eastAsia="宋体" w:cs="宋体"/>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3EE0679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本项目建设有利于保障海口市江东新区的顺利建设，进而以点带面地带动整个区域的经济和旅游发展，有利于进一步推动海南国际旅游岛的建设进程。</w:t>
      </w:r>
    </w:p>
    <w:p w14:paraId="3EE0679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3EE06793">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sz w:val="24"/>
          <w:szCs w:val="24"/>
        </w:rPr>
        <w:t>（2）收益性：</w:t>
      </w:r>
      <w:r>
        <w:rPr>
          <w:rFonts w:hint="eastAsia" w:ascii="宋体" w:hAnsi="宋体" w:eastAsia="宋体" w:cs="宋体"/>
          <w:sz w:val="24"/>
          <w:szCs w:val="24"/>
        </w:rPr>
        <w:t>项目收入来源于</w:t>
      </w:r>
      <w:r>
        <w:rPr>
          <w:rFonts w:hint="eastAsia" w:ascii="宋体" w:hAnsi="宋体" w:eastAsia="宋体" w:cs="宋体"/>
          <w:color w:val="000000"/>
          <w:kern w:val="0"/>
          <w:sz w:val="24"/>
          <w:szCs w:val="24"/>
          <w:lang w:val="en-US"/>
        </w:rPr>
        <w:t>土地出让收入、广告牌出租收入、停车位收入</w:t>
      </w:r>
      <w:r>
        <w:rPr>
          <w:rFonts w:hint="eastAsia" w:ascii="宋体" w:hAnsi="宋体" w:eastAsia="宋体" w:cs="宋体"/>
          <w:kern w:val="0"/>
          <w:sz w:val="24"/>
        </w:rPr>
        <w:t>等。</w:t>
      </w:r>
    </w:p>
    <w:p w14:paraId="3EE06794">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2.项目建设投资合规性与项目成熟度</w:t>
      </w:r>
    </w:p>
    <w:p w14:paraId="3EE0679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本项目的建设投资符合国家、海南省有关法律法规、政策文件及规范性文件要求。</w:t>
      </w:r>
    </w:p>
    <w:p w14:paraId="3EE06796">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3.项目资金来源和到位可行性</w:t>
      </w:r>
    </w:p>
    <w:p w14:paraId="3EE0679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各项目主要通过发行地方政府专项债券融资以及财政资金投入，若条件允许，在满足合法合规、资金平衡要求的前提下，也可考虑发行债券方式筹集。</w:t>
      </w:r>
    </w:p>
    <w:p w14:paraId="3EE06798">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总体来看，综合海口市财政状况，财政资金到位可行性较高，专项债券部分以最终实际发行计划为准。</w:t>
      </w:r>
    </w:p>
    <w:p w14:paraId="3EE06799">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4.项目收入、成本、收益预测的合理性</w:t>
      </w:r>
    </w:p>
    <w:p w14:paraId="3EE0679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收入来源为土地出让收入。债券存续期内，本项目本息覆盖倍数可达1.20以上。综上，在满足假设条件的前提下，能够满足资金筹措充足性的要求。项目收入、成本、收益情况均根据充分依据测算得出，较为合理。</w:t>
      </w:r>
    </w:p>
    <w:p w14:paraId="3EE067A0">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5.债券资金需求的合理性</w:t>
      </w:r>
    </w:p>
    <w:p w14:paraId="3EE067A1">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3EE067A2">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本项目通过发行专项债券募集资金可以降低融资成本，是现阶段解决项目建设资金问题的较优方案。</w:t>
      </w:r>
    </w:p>
    <w:p w14:paraId="3EE067A3">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6.项目偿债计划可行性和偿债风险点</w:t>
      </w:r>
    </w:p>
    <w:p w14:paraId="3EE067A4">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通过本项目融资平衡测算，一方面通过发行专项债券筹集资金能满足项目建设资金需求；另一方面项目收益也能保障债券还本付息，总体实现项目收益和融资的自求平衡。</w:t>
      </w:r>
    </w:p>
    <w:p w14:paraId="40D3B92C">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7.绩效目标合理性</w:t>
      </w:r>
    </w:p>
    <w:p w14:paraId="79515917">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651C383C">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综上，本项目经事前绩效评估，已具备申请专项债券资金支持的必要性和可行性。</w:t>
      </w:r>
    </w:p>
    <w:p w14:paraId="238430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3EE067A6">
      <w:pPr>
        <w:pStyle w:val="29"/>
        <w:spacing w:line="360" w:lineRule="auto"/>
        <w:ind w:firstLine="482"/>
        <w:outlineLvl w:val="0"/>
        <w:rPr>
          <w:rFonts w:hint="eastAsia" w:ascii="宋体" w:hAnsi="宋体" w:eastAsia="宋体" w:cs="宋体"/>
          <w:b/>
          <w:sz w:val="24"/>
          <w:szCs w:val="24"/>
        </w:rPr>
      </w:pPr>
      <w:bookmarkStart w:id="13" w:name="_Toc28716"/>
      <w:r>
        <w:rPr>
          <w:rFonts w:hint="eastAsia" w:ascii="宋体" w:hAnsi="宋体" w:eastAsia="宋体" w:cs="宋体"/>
          <w:b/>
          <w:sz w:val="24"/>
          <w:szCs w:val="24"/>
        </w:rPr>
        <w:t>四、项目平衡实施方案</w:t>
      </w:r>
      <w:bookmarkEnd w:id="13"/>
    </w:p>
    <w:p w14:paraId="23E952CD">
      <w:pPr>
        <w:widowControl/>
        <w:spacing w:before="120" w:after="120" w:line="360" w:lineRule="auto"/>
        <w:jc w:val="both"/>
        <w:outlineLvl w:val="1"/>
        <w:rPr>
          <w:rFonts w:hint="eastAsia" w:ascii="宋体" w:hAnsi="宋体" w:eastAsia="宋体" w:cs="宋体"/>
          <w:b/>
          <w:color w:val="000000"/>
          <w:kern w:val="0"/>
          <w:sz w:val="24"/>
          <w:szCs w:val="24"/>
          <w:lang w:val="en-US"/>
        </w:rPr>
      </w:pPr>
      <w:bookmarkStart w:id="14" w:name="_Toc200555354"/>
      <w:bookmarkStart w:id="15" w:name="_Toc114818421"/>
      <w:bookmarkStart w:id="16" w:name="_Toc114818531"/>
      <w:r>
        <w:rPr>
          <w:rFonts w:hint="eastAsia" w:ascii="宋体" w:hAnsi="宋体" w:eastAsia="宋体" w:cs="宋体"/>
          <w:b/>
          <w:color w:val="000000"/>
          <w:kern w:val="0"/>
          <w:sz w:val="24"/>
          <w:szCs w:val="24"/>
          <w:lang w:val="en-US"/>
        </w:rPr>
        <w:t>（一）</w:t>
      </w:r>
      <w:r>
        <w:rPr>
          <w:rFonts w:hint="eastAsia" w:ascii="宋体" w:hAnsi="宋体" w:eastAsia="宋体" w:cs="宋体"/>
          <w:b/>
          <w:color w:val="000000"/>
          <w:kern w:val="0"/>
          <w:sz w:val="24"/>
          <w:szCs w:val="24"/>
          <w:lang w:val="en-US"/>
        </w:rPr>
        <w:t>资金充足性</w:t>
      </w:r>
      <w:bookmarkEnd w:id="14"/>
      <w:bookmarkEnd w:id="15"/>
      <w:bookmarkEnd w:id="16"/>
    </w:p>
    <w:p w14:paraId="4DD0E4E2">
      <w:pPr>
        <w:widowControl/>
        <w:spacing w:before="120" w:after="120" w:line="360" w:lineRule="auto"/>
        <w:ind w:firstLine="482" w:firstLineChars="200"/>
        <w:jc w:val="both"/>
        <w:outlineLvl w:val="2"/>
        <w:rPr>
          <w:rFonts w:hint="eastAsia" w:ascii="宋体" w:hAnsi="宋体" w:eastAsia="宋体" w:cs="宋体"/>
          <w:b/>
          <w:bCs/>
          <w:color w:val="000000"/>
          <w:kern w:val="0"/>
          <w:sz w:val="24"/>
          <w:szCs w:val="24"/>
          <w:lang w:val="en-US"/>
        </w:rPr>
      </w:pPr>
      <w:bookmarkStart w:id="17" w:name="_Toc114818422"/>
      <w:bookmarkStart w:id="18" w:name="_Toc200555355"/>
      <w:bookmarkStart w:id="19" w:name="_Toc114818532"/>
      <w:r>
        <w:rPr>
          <w:rFonts w:hint="eastAsia" w:ascii="宋体" w:hAnsi="宋体" w:eastAsia="宋体" w:cs="宋体"/>
          <w:b/>
          <w:bCs/>
          <w:color w:val="000000"/>
          <w:kern w:val="0"/>
          <w:sz w:val="24"/>
          <w:szCs w:val="24"/>
          <w:lang w:val="en-US"/>
        </w:rPr>
        <w:t>1.投资估算</w:t>
      </w:r>
      <w:bookmarkEnd w:id="17"/>
      <w:bookmarkEnd w:id="18"/>
      <w:bookmarkEnd w:id="19"/>
    </w:p>
    <w:p w14:paraId="0A0145D4">
      <w:pPr>
        <w:widowControl/>
        <w:spacing w:before="120" w:after="120" w:line="360" w:lineRule="auto"/>
        <w:ind w:firstLine="480" w:firstLineChars="200"/>
        <w:jc w:val="both"/>
        <w:rPr>
          <w:rFonts w:hint="eastAsia" w:ascii="宋体" w:hAnsi="宋体" w:eastAsia="宋体" w:cs="宋体"/>
          <w:kern w:val="0"/>
          <w:sz w:val="18"/>
          <w:szCs w:val="18"/>
          <w:lang w:val="en-GB" w:eastAsia="zh-TW"/>
        </w:rPr>
      </w:pPr>
      <w:bookmarkStart w:id="20" w:name="_Hlk114818237"/>
      <w:r>
        <w:rPr>
          <w:rFonts w:hint="eastAsia" w:ascii="宋体" w:hAnsi="宋体" w:eastAsia="宋体" w:cs="宋体"/>
          <w:color w:val="000000"/>
          <w:kern w:val="0"/>
          <w:sz w:val="24"/>
          <w:szCs w:val="24"/>
          <w:lang w:val="en-US"/>
        </w:rPr>
        <w:t>鸿越路总投资为</w:t>
      </w:r>
      <w:r>
        <w:rPr>
          <w:rFonts w:hint="eastAsia" w:ascii="宋体" w:hAnsi="宋体" w:eastAsia="宋体" w:cs="宋体"/>
          <w:color w:val="000000"/>
          <w:kern w:val="0"/>
          <w:sz w:val="24"/>
          <w:szCs w:val="24"/>
          <w:lang w:val="en-US"/>
        </w:rPr>
        <w:t>65,452.06</w:t>
      </w:r>
      <w:r>
        <w:rPr>
          <w:rFonts w:hint="eastAsia" w:ascii="宋体" w:hAnsi="宋体" w:eastAsia="宋体" w:cs="宋体"/>
          <w:color w:val="000000"/>
          <w:kern w:val="0"/>
          <w:sz w:val="24"/>
          <w:szCs w:val="24"/>
          <w:lang w:val="en-US"/>
        </w:rPr>
        <w:t>万元</w:t>
      </w:r>
      <w:bookmarkEnd w:id="20"/>
      <w:r>
        <w:rPr>
          <w:rFonts w:hint="eastAsia" w:ascii="宋体" w:hAnsi="宋体" w:eastAsia="宋体" w:cs="宋体"/>
          <w:color w:val="000000"/>
          <w:kern w:val="0"/>
          <w:sz w:val="24"/>
          <w:szCs w:val="24"/>
          <w:lang w:val="en-US"/>
        </w:rPr>
        <w:t>，详见表3。</w:t>
      </w:r>
    </w:p>
    <w:p w14:paraId="31DC7BBA">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表3 鸿越路总投资估算表</w:t>
      </w:r>
    </w:p>
    <w:p w14:paraId="538338E1">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42"/>
        <w:gridCol w:w="1234"/>
        <w:gridCol w:w="1095"/>
        <w:gridCol w:w="1097"/>
        <w:gridCol w:w="1097"/>
        <w:gridCol w:w="1097"/>
        <w:gridCol w:w="1097"/>
        <w:gridCol w:w="1097"/>
      </w:tblGrid>
      <w:tr w14:paraId="43A1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25" w:type="pct"/>
            <w:shd w:val="clear" w:color="auto" w:fill="D8D8D8"/>
            <w:vAlign w:val="center"/>
          </w:tcPr>
          <w:p w14:paraId="6C8EE45F">
            <w:pPr>
              <w:widowControl/>
              <w:jc w:val="center"/>
              <w:rPr>
                <w:rFonts w:hint="eastAsia" w:ascii="宋体" w:hAnsi="宋体" w:eastAsia="宋体" w:cs="宋体"/>
                <w:b/>
                <w:color w:val="000000"/>
                <w:kern w:val="0"/>
                <w:sz w:val="20"/>
                <w:szCs w:val="20"/>
                <w:lang w:val="en-GB"/>
              </w:rPr>
            </w:pPr>
            <w:bookmarkStart w:id="21" w:name="_Toc114818423"/>
            <w:bookmarkStart w:id="22" w:name="_Toc114818533"/>
            <w:r>
              <w:rPr>
                <w:rFonts w:hint="eastAsia" w:ascii="宋体" w:hAnsi="宋体" w:eastAsia="宋体" w:cs="宋体"/>
                <w:b/>
                <w:color w:val="000000"/>
                <w:kern w:val="0"/>
                <w:sz w:val="20"/>
                <w:szCs w:val="20"/>
                <w:lang w:val="en-GB" w:eastAsia="zh-TW"/>
              </w:rPr>
              <w:t>序号</w:t>
            </w:r>
          </w:p>
        </w:tc>
        <w:tc>
          <w:tcPr>
            <w:tcW w:w="739" w:type="pct"/>
            <w:shd w:val="clear" w:color="auto" w:fill="D8D8D8"/>
            <w:vAlign w:val="center"/>
          </w:tcPr>
          <w:p w14:paraId="5EF36427">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项目名称</w:t>
            </w:r>
          </w:p>
        </w:tc>
        <w:tc>
          <w:tcPr>
            <w:tcW w:w="655" w:type="pct"/>
            <w:shd w:val="clear" w:color="auto" w:fill="D8D8D8"/>
            <w:vAlign w:val="center"/>
          </w:tcPr>
          <w:p w14:paraId="0039DC2A">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w:t>
            </w:r>
            <w:r>
              <w:rPr>
                <w:rFonts w:hint="eastAsia" w:ascii="宋体" w:hAnsi="宋体" w:eastAsia="宋体" w:cs="宋体"/>
                <w:b/>
                <w:color w:val="000000"/>
                <w:kern w:val="0"/>
                <w:sz w:val="20"/>
                <w:szCs w:val="20"/>
                <w:lang w:val="en-GB"/>
              </w:rPr>
              <w:t>022</w:t>
            </w:r>
          </w:p>
        </w:tc>
        <w:tc>
          <w:tcPr>
            <w:tcW w:w="656" w:type="pct"/>
            <w:shd w:val="clear" w:color="auto" w:fill="D8D8D8"/>
            <w:vAlign w:val="center"/>
          </w:tcPr>
          <w:p w14:paraId="2E7814D2">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w:t>
            </w:r>
            <w:r>
              <w:rPr>
                <w:rFonts w:hint="eastAsia" w:ascii="宋体" w:hAnsi="宋体" w:eastAsia="宋体" w:cs="宋体"/>
                <w:b/>
                <w:color w:val="000000"/>
                <w:kern w:val="0"/>
                <w:sz w:val="20"/>
                <w:szCs w:val="20"/>
                <w:lang w:val="en-GB"/>
              </w:rPr>
              <w:t>023</w:t>
            </w:r>
          </w:p>
        </w:tc>
        <w:tc>
          <w:tcPr>
            <w:tcW w:w="656" w:type="pct"/>
            <w:shd w:val="clear" w:color="auto" w:fill="D8D8D8"/>
            <w:vAlign w:val="center"/>
          </w:tcPr>
          <w:p w14:paraId="2695BD76">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w:t>
            </w:r>
            <w:r>
              <w:rPr>
                <w:rFonts w:hint="eastAsia" w:ascii="宋体" w:hAnsi="宋体" w:eastAsia="宋体" w:cs="宋体"/>
                <w:b/>
                <w:color w:val="000000"/>
                <w:kern w:val="0"/>
                <w:sz w:val="20"/>
                <w:szCs w:val="20"/>
                <w:lang w:val="en-GB"/>
              </w:rPr>
              <w:t>024</w:t>
            </w:r>
          </w:p>
        </w:tc>
        <w:tc>
          <w:tcPr>
            <w:tcW w:w="656" w:type="pct"/>
            <w:shd w:val="clear" w:color="auto" w:fill="D8D8D8"/>
            <w:vAlign w:val="center"/>
          </w:tcPr>
          <w:p w14:paraId="6316A1DD">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2025</w:t>
            </w:r>
          </w:p>
        </w:tc>
        <w:tc>
          <w:tcPr>
            <w:tcW w:w="656" w:type="pct"/>
            <w:shd w:val="clear" w:color="auto" w:fill="D8D8D8"/>
            <w:vAlign w:val="center"/>
          </w:tcPr>
          <w:p w14:paraId="3512D0CD">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2026</w:t>
            </w:r>
          </w:p>
        </w:tc>
        <w:tc>
          <w:tcPr>
            <w:tcW w:w="656" w:type="pct"/>
            <w:shd w:val="clear" w:color="auto" w:fill="D8D8D8"/>
            <w:vAlign w:val="center"/>
          </w:tcPr>
          <w:p w14:paraId="10C44353">
            <w:pPr>
              <w:widowControl/>
              <w:jc w:val="center"/>
              <w:rPr>
                <w:rFonts w:hint="eastAsia" w:ascii="宋体" w:hAnsi="宋体" w:eastAsia="宋体" w:cs="宋体"/>
                <w:b/>
                <w:color w:val="000000"/>
                <w:kern w:val="0"/>
                <w:sz w:val="20"/>
                <w:szCs w:val="20"/>
                <w:lang w:val="en-GB" w:eastAsia="zh-TW"/>
              </w:rPr>
            </w:pPr>
            <w:r>
              <w:rPr>
                <w:rFonts w:hint="eastAsia" w:ascii="宋体" w:hAnsi="宋体" w:eastAsia="宋体" w:cs="宋体"/>
                <w:b/>
                <w:color w:val="000000"/>
                <w:kern w:val="0"/>
                <w:sz w:val="20"/>
                <w:szCs w:val="20"/>
                <w:lang w:val="en-GB" w:eastAsia="zh-TW"/>
              </w:rPr>
              <w:t>合计</w:t>
            </w:r>
          </w:p>
        </w:tc>
      </w:tr>
      <w:tr w14:paraId="79B5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5" w:type="pct"/>
            <w:shd w:val="clear" w:color="000000" w:fill="FFFFFF"/>
            <w:vAlign w:val="center"/>
          </w:tcPr>
          <w:p w14:paraId="54758191">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w:t>
            </w:r>
          </w:p>
        </w:tc>
        <w:tc>
          <w:tcPr>
            <w:tcW w:w="739" w:type="pct"/>
            <w:shd w:val="clear" w:color="000000" w:fill="FFFFFF"/>
            <w:vAlign w:val="center"/>
          </w:tcPr>
          <w:p w14:paraId="4C8404A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建设投资</w:t>
            </w:r>
          </w:p>
        </w:tc>
        <w:tc>
          <w:tcPr>
            <w:tcW w:w="655" w:type="pct"/>
            <w:shd w:val="clear" w:color="000000" w:fill="FFFFFF"/>
            <w:vAlign w:val="center"/>
          </w:tcPr>
          <w:p w14:paraId="3DA61E06">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50.00</w:t>
            </w:r>
          </w:p>
        </w:tc>
        <w:tc>
          <w:tcPr>
            <w:tcW w:w="656" w:type="pct"/>
            <w:shd w:val="clear" w:color="000000" w:fill="FFFFFF"/>
            <w:vAlign w:val="center"/>
          </w:tcPr>
          <w:p w14:paraId="19F78DAE">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10,400.00</w:t>
            </w:r>
          </w:p>
        </w:tc>
        <w:tc>
          <w:tcPr>
            <w:tcW w:w="656" w:type="pct"/>
            <w:shd w:val="clear" w:color="000000" w:fill="FFFFFF"/>
            <w:vAlign w:val="center"/>
          </w:tcPr>
          <w:p w14:paraId="33157A57">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21,600.00</w:t>
            </w:r>
          </w:p>
        </w:tc>
        <w:tc>
          <w:tcPr>
            <w:tcW w:w="656" w:type="pct"/>
            <w:shd w:val="clear" w:color="000000" w:fill="FFFFFF"/>
            <w:vAlign w:val="center"/>
          </w:tcPr>
          <w:p w14:paraId="23650A6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color w:val="000000"/>
                <w:kern w:val="0"/>
                <w:sz w:val="20"/>
                <w:szCs w:val="20"/>
                <w:lang w:val="en-GB"/>
              </w:rPr>
              <w:t>10,400.00</w:t>
            </w:r>
          </w:p>
        </w:tc>
        <w:tc>
          <w:tcPr>
            <w:tcW w:w="656" w:type="pct"/>
            <w:shd w:val="clear" w:color="000000" w:fill="FFFFFF"/>
            <w:vAlign w:val="center"/>
          </w:tcPr>
          <w:p w14:paraId="1768F3FE">
            <w:pPr>
              <w:widowControl/>
              <w:jc w:val="right"/>
              <w:rPr>
                <w:rFonts w:hint="eastAsia" w:ascii="宋体" w:hAnsi="宋体" w:eastAsia="宋体" w:cs="宋体"/>
                <w:b/>
                <w:bCs/>
                <w:kern w:val="0"/>
                <w:sz w:val="20"/>
                <w:szCs w:val="20"/>
                <w:lang w:val="en-GB"/>
              </w:rPr>
            </w:pPr>
            <w:r>
              <w:rPr>
                <w:rFonts w:hint="eastAsia" w:ascii="宋体" w:hAnsi="宋体" w:eastAsia="宋体" w:cs="宋体"/>
                <w:color w:val="000000"/>
                <w:kern w:val="0"/>
                <w:sz w:val="20"/>
                <w:szCs w:val="20"/>
                <w:lang w:val="en-GB"/>
              </w:rPr>
              <w:t>22,765.28</w:t>
            </w:r>
          </w:p>
        </w:tc>
        <w:tc>
          <w:tcPr>
            <w:tcW w:w="656" w:type="pct"/>
            <w:shd w:val="clear" w:color="000000" w:fill="FFFFFF"/>
            <w:vAlign w:val="center"/>
          </w:tcPr>
          <w:p w14:paraId="69CC50A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65,215.28</w:t>
            </w:r>
          </w:p>
        </w:tc>
      </w:tr>
      <w:tr w14:paraId="35E8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5" w:type="pct"/>
            <w:shd w:val="clear" w:color="000000" w:fill="FFFFFF"/>
            <w:vAlign w:val="center"/>
          </w:tcPr>
          <w:p w14:paraId="74E6791D">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w:t>
            </w:r>
          </w:p>
        </w:tc>
        <w:tc>
          <w:tcPr>
            <w:tcW w:w="739" w:type="pct"/>
            <w:shd w:val="clear" w:color="000000" w:fill="FFFFFF"/>
            <w:vAlign w:val="center"/>
          </w:tcPr>
          <w:p w14:paraId="4B719FE7">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建设期利息</w:t>
            </w:r>
          </w:p>
        </w:tc>
        <w:tc>
          <w:tcPr>
            <w:tcW w:w="655" w:type="pct"/>
            <w:shd w:val="clear" w:color="000000" w:fill="FFFFFF"/>
            <w:vAlign w:val="center"/>
          </w:tcPr>
          <w:p w14:paraId="250AFAB8">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w:t>
            </w:r>
          </w:p>
        </w:tc>
        <w:tc>
          <w:tcPr>
            <w:tcW w:w="656" w:type="pct"/>
            <w:shd w:val="clear" w:color="000000" w:fill="FFFFFF"/>
            <w:vAlign w:val="center"/>
          </w:tcPr>
          <w:p w14:paraId="6793D226">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w:t>
            </w:r>
          </w:p>
        </w:tc>
        <w:tc>
          <w:tcPr>
            <w:tcW w:w="656" w:type="pct"/>
            <w:shd w:val="clear" w:color="000000" w:fill="FFFFFF"/>
            <w:vAlign w:val="center"/>
          </w:tcPr>
          <w:p w14:paraId="31D3F823">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w:t>
            </w:r>
          </w:p>
        </w:tc>
        <w:tc>
          <w:tcPr>
            <w:tcW w:w="656" w:type="pct"/>
            <w:shd w:val="clear" w:color="000000" w:fill="FFFFFF"/>
            <w:vAlign w:val="center"/>
          </w:tcPr>
          <w:p w14:paraId="3D92BE9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color w:val="000000"/>
                <w:kern w:val="0"/>
                <w:sz w:val="20"/>
                <w:szCs w:val="20"/>
                <w:lang w:val="en-GB"/>
              </w:rPr>
              <w:t>71.28</w:t>
            </w:r>
          </w:p>
        </w:tc>
        <w:tc>
          <w:tcPr>
            <w:tcW w:w="656" w:type="pct"/>
            <w:shd w:val="clear" w:color="000000" w:fill="FFFFFF"/>
            <w:vAlign w:val="center"/>
          </w:tcPr>
          <w:p w14:paraId="1776A629">
            <w:pPr>
              <w:widowControl/>
              <w:jc w:val="right"/>
              <w:rPr>
                <w:rFonts w:hint="eastAsia" w:ascii="宋体" w:hAnsi="宋体" w:eastAsia="宋体" w:cs="宋体"/>
                <w:b/>
                <w:bCs/>
                <w:kern w:val="0"/>
                <w:sz w:val="20"/>
                <w:szCs w:val="20"/>
                <w:lang w:val="en-GB"/>
              </w:rPr>
            </w:pPr>
            <w:r>
              <w:rPr>
                <w:rFonts w:hint="eastAsia" w:ascii="宋体" w:hAnsi="宋体" w:eastAsia="宋体" w:cs="宋体"/>
                <w:color w:val="000000"/>
                <w:kern w:val="0"/>
                <w:sz w:val="20"/>
                <w:szCs w:val="20"/>
                <w:lang w:val="en-GB"/>
              </w:rPr>
              <w:t>165.50</w:t>
            </w:r>
          </w:p>
        </w:tc>
        <w:tc>
          <w:tcPr>
            <w:tcW w:w="656" w:type="pct"/>
            <w:shd w:val="clear" w:color="000000" w:fill="FFFFFF"/>
            <w:vAlign w:val="center"/>
          </w:tcPr>
          <w:p w14:paraId="696D621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236.78</w:t>
            </w:r>
          </w:p>
        </w:tc>
      </w:tr>
      <w:tr w14:paraId="3E66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5" w:type="pct"/>
            <w:shd w:val="clear" w:color="000000" w:fill="FFFFFF"/>
            <w:vAlign w:val="center"/>
          </w:tcPr>
          <w:p w14:paraId="16D3028C">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3</w:t>
            </w:r>
          </w:p>
        </w:tc>
        <w:tc>
          <w:tcPr>
            <w:tcW w:w="739" w:type="pct"/>
            <w:shd w:val="clear" w:color="000000" w:fill="FFFFFF"/>
            <w:vAlign w:val="center"/>
          </w:tcPr>
          <w:p w14:paraId="4ACC5426">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c>
          <w:tcPr>
            <w:tcW w:w="655" w:type="pct"/>
            <w:shd w:val="clear" w:color="000000" w:fill="FFFFFF"/>
            <w:vAlign w:val="center"/>
          </w:tcPr>
          <w:p w14:paraId="348FEA6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50.00</w:t>
            </w:r>
          </w:p>
        </w:tc>
        <w:tc>
          <w:tcPr>
            <w:tcW w:w="656" w:type="pct"/>
            <w:shd w:val="clear" w:color="000000" w:fill="FFFFFF"/>
            <w:vAlign w:val="center"/>
          </w:tcPr>
          <w:p w14:paraId="326BCE40">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10,400.00</w:t>
            </w:r>
          </w:p>
        </w:tc>
        <w:tc>
          <w:tcPr>
            <w:tcW w:w="656" w:type="pct"/>
            <w:shd w:val="clear" w:color="000000" w:fill="FFFFFF"/>
            <w:vAlign w:val="center"/>
          </w:tcPr>
          <w:p w14:paraId="3DBA6280">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21,600.00</w:t>
            </w:r>
          </w:p>
        </w:tc>
        <w:tc>
          <w:tcPr>
            <w:tcW w:w="656" w:type="pct"/>
            <w:shd w:val="clear" w:color="000000" w:fill="FFFFFF"/>
            <w:vAlign w:val="center"/>
          </w:tcPr>
          <w:p w14:paraId="0422BCAA">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10,471.28</w:t>
            </w:r>
          </w:p>
        </w:tc>
        <w:tc>
          <w:tcPr>
            <w:tcW w:w="656" w:type="pct"/>
            <w:shd w:val="clear" w:color="000000" w:fill="FFFFFF"/>
            <w:vAlign w:val="center"/>
          </w:tcPr>
          <w:p w14:paraId="0535B9D1">
            <w:pPr>
              <w:widowControl/>
              <w:jc w:val="right"/>
              <w:rPr>
                <w:rFonts w:hint="eastAsia" w:ascii="宋体" w:hAnsi="宋体" w:eastAsia="宋体" w:cs="宋体"/>
                <w:b/>
                <w:bCs/>
                <w:kern w:val="0"/>
                <w:sz w:val="20"/>
                <w:szCs w:val="20"/>
                <w:lang w:val="en-GB"/>
              </w:rPr>
            </w:pPr>
            <w:r>
              <w:rPr>
                <w:rFonts w:hint="eastAsia" w:ascii="宋体" w:hAnsi="宋体" w:eastAsia="宋体" w:cs="宋体"/>
                <w:b/>
                <w:bCs/>
                <w:color w:val="000000"/>
                <w:kern w:val="0"/>
                <w:sz w:val="20"/>
                <w:szCs w:val="20"/>
                <w:lang w:val="en-GB"/>
              </w:rPr>
              <w:t>22,930.78</w:t>
            </w:r>
          </w:p>
        </w:tc>
        <w:tc>
          <w:tcPr>
            <w:tcW w:w="656" w:type="pct"/>
            <w:shd w:val="clear" w:color="000000" w:fill="FFFFFF"/>
            <w:vAlign w:val="center"/>
          </w:tcPr>
          <w:p w14:paraId="5FB0699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65,452.06</w:t>
            </w:r>
          </w:p>
        </w:tc>
      </w:tr>
    </w:tbl>
    <w:p w14:paraId="3B597F67">
      <w:pPr>
        <w:widowControl/>
        <w:spacing w:before="120" w:after="120" w:line="360" w:lineRule="auto"/>
        <w:ind w:firstLine="482" w:firstLineChars="200"/>
        <w:jc w:val="both"/>
        <w:outlineLvl w:val="2"/>
        <w:rPr>
          <w:rFonts w:hint="eastAsia" w:ascii="宋体" w:hAnsi="宋体" w:eastAsia="宋体" w:cs="宋体"/>
          <w:b/>
          <w:bCs/>
          <w:color w:val="000000"/>
          <w:kern w:val="0"/>
          <w:sz w:val="24"/>
          <w:szCs w:val="24"/>
          <w:lang w:val="en-US"/>
        </w:rPr>
      </w:pPr>
      <w:bookmarkStart w:id="23" w:name="_Toc200555356"/>
      <w:r>
        <w:rPr>
          <w:rFonts w:hint="eastAsia" w:ascii="宋体" w:hAnsi="宋体" w:eastAsia="宋体" w:cs="宋体"/>
          <w:b/>
          <w:bCs/>
          <w:color w:val="000000"/>
          <w:kern w:val="0"/>
          <w:sz w:val="24"/>
          <w:szCs w:val="24"/>
          <w:lang w:val="en-US"/>
        </w:rPr>
        <w:t>2.资金筹措</w:t>
      </w:r>
      <w:bookmarkEnd w:id="21"/>
      <w:bookmarkEnd w:id="22"/>
      <w:bookmarkEnd w:id="23"/>
    </w:p>
    <w:p w14:paraId="225EF189">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本项目累计资金筹措总额</w:t>
      </w:r>
      <w:r>
        <w:rPr>
          <w:rFonts w:hint="eastAsia" w:ascii="宋体" w:hAnsi="宋体" w:eastAsia="宋体" w:cs="宋体"/>
          <w:color w:val="000000"/>
          <w:kern w:val="0"/>
          <w:sz w:val="24"/>
          <w:szCs w:val="24"/>
          <w:lang w:val="en-US"/>
        </w:rPr>
        <w:t>65,452.06</w:t>
      </w:r>
      <w:r>
        <w:rPr>
          <w:rFonts w:hint="eastAsia" w:ascii="宋体" w:hAnsi="宋体" w:eastAsia="宋体" w:cs="宋体"/>
          <w:color w:val="000000"/>
          <w:kern w:val="0"/>
          <w:sz w:val="24"/>
          <w:szCs w:val="24"/>
          <w:lang w:val="en-US"/>
        </w:rPr>
        <w:t>万元，其中，自筹资金</w:t>
      </w:r>
      <w:r>
        <w:rPr>
          <w:rFonts w:hint="eastAsia" w:ascii="宋体" w:hAnsi="宋体" w:eastAsia="宋体" w:cs="宋体"/>
          <w:color w:val="000000"/>
          <w:kern w:val="0"/>
          <w:sz w:val="24"/>
          <w:szCs w:val="24"/>
          <w:lang w:val="en-US"/>
        </w:rPr>
        <w:t>56,131.34</w:t>
      </w:r>
      <w:r>
        <w:rPr>
          <w:rFonts w:hint="eastAsia" w:ascii="宋体" w:hAnsi="宋体" w:eastAsia="宋体" w:cs="宋体"/>
          <w:color w:val="000000"/>
          <w:kern w:val="0"/>
          <w:sz w:val="24"/>
          <w:szCs w:val="24"/>
          <w:lang w:val="en-US"/>
        </w:rPr>
        <w:t>万元，2025年6月已调增专项债券8,100.00万元，本次计划调增专项债券</w:t>
      </w:r>
      <w:r>
        <w:rPr>
          <w:rFonts w:hint="eastAsia" w:ascii="宋体" w:hAnsi="宋体" w:eastAsia="宋体" w:cs="宋体"/>
          <w:color w:val="000000"/>
          <w:kern w:val="0"/>
          <w:sz w:val="24"/>
          <w:szCs w:val="24"/>
          <w:lang w:val="en-US"/>
        </w:rPr>
        <w:t>1,220.72</w:t>
      </w:r>
      <w:r>
        <w:rPr>
          <w:rFonts w:hint="eastAsia" w:ascii="宋体" w:hAnsi="宋体" w:eastAsia="宋体" w:cs="宋体"/>
          <w:color w:val="000000"/>
          <w:kern w:val="0"/>
          <w:sz w:val="24"/>
          <w:szCs w:val="24"/>
          <w:lang w:val="en-US"/>
        </w:rPr>
        <w:t>万元。本项目的自筹资金，由财政资金统筹安排。</w:t>
      </w:r>
    </w:p>
    <w:p w14:paraId="726D3423">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项目建设期各年度投资计划及资金筹措方案详见表</w:t>
      </w:r>
      <w:r>
        <w:rPr>
          <w:rFonts w:hint="eastAsia" w:ascii="宋体" w:hAnsi="宋体" w:eastAsia="宋体" w:cs="宋体"/>
          <w:color w:val="000000"/>
          <w:kern w:val="0"/>
          <w:sz w:val="24"/>
          <w:szCs w:val="24"/>
          <w:lang w:val="en-US"/>
        </w:rPr>
        <w:t>4。</w:t>
      </w:r>
    </w:p>
    <w:p w14:paraId="7B8A7A49">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表4</w:t>
      </w:r>
      <w:r>
        <w:rPr>
          <w:rFonts w:hint="eastAsia" w:ascii="宋体" w:hAnsi="宋体" w:eastAsia="宋体" w:cs="宋体"/>
          <w:b/>
          <w:kern w:val="0"/>
          <w:sz w:val="24"/>
          <w:szCs w:val="24"/>
          <w:lang w:val="en-GB"/>
        </w:rPr>
        <w:t xml:space="preserve"> </w:t>
      </w:r>
      <w:r>
        <w:rPr>
          <w:rFonts w:hint="eastAsia" w:ascii="宋体" w:hAnsi="宋体" w:eastAsia="宋体" w:cs="宋体"/>
          <w:b/>
          <w:kern w:val="0"/>
          <w:sz w:val="24"/>
          <w:szCs w:val="24"/>
          <w:lang w:val="en-GB"/>
        </w:rPr>
        <w:t>鸿越路</w:t>
      </w:r>
      <w:r>
        <w:rPr>
          <w:rFonts w:hint="eastAsia" w:ascii="宋体" w:hAnsi="宋体" w:eastAsia="宋体" w:cs="宋体"/>
          <w:b/>
          <w:kern w:val="0"/>
          <w:sz w:val="24"/>
          <w:szCs w:val="24"/>
          <w:lang w:val="en-GB"/>
        </w:rPr>
        <w:t>投资计划及资金筹措表</w:t>
      </w:r>
    </w:p>
    <w:p w14:paraId="3F62576C">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5"/>
        <w:gridCol w:w="1375"/>
        <w:gridCol w:w="1073"/>
        <w:gridCol w:w="1073"/>
        <w:gridCol w:w="1073"/>
        <w:gridCol w:w="1073"/>
        <w:gridCol w:w="1073"/>
        <w:gridCol w:w="1073"/>
      </w:tblGrid>
      <w:tr w14:paraId="562E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26" w:type="pct"/>
            <w:shd w:val="clear" w:color="auto" w:fill="D8D8D8"/>
            <w:vAlign w:val="center"/>
          </w:tcPr>
          <w:p w14:paraId="39545859">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序号</w:t>
            </w:r>
          </w:p>
        </w:tc>
        <w:tc>
          <w:tcPr>
            <w:tcW w:w="822" w:type="pct"/>
            <w:shd w:val="clear" w:color="auto" w:fill="D8D8D8"/>
            <w:vAlign w:val="center"/>
          </w:tcPr>
          <w:p w14:paraId="13D4789B">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项目名称</w:t>
            </w:r>
          </w:p>
        </w:tc>
        <w:tc>
          <w:tcPr>
            <w:tcW w:w="642" w:type="pct"/>
            <w:shd w:val="clear" w:color="auto" w:fill="D8D8D8"/>
            <w:vAlign w:val="center"/>
          </w:tcPr>
          <w:p w14:paraId="74327823">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w:t>
            </w:r>
            <w:r>
              <w:rPr>
                <w:rFonts w:hint="eastAsia" w:ascii="宋体" w:hAnsi="宋体" w:eastAsia="宋体" w:cs="宋体"/>
                <w:b/>
                <w:bCs/>
                <w:color w:val="000000"/>
                <w:kern w:val="0"/>
                <w:sz w:val="20"/>
                <w:szCs w:val="20"/>
                <w:lang w:val="en-GB"/>
              </w:rPr>
              <w:t>022</w:t>
            </w:r>
          </w:p>
        </w:tc>
        <w:tc>
          <w:tcPr>
            <w:tcW w:w="642" w:type="pct"/>
            <w:shd w:val="clear" w:color="auto" w:fill="D8D8D8"/>
            <w:vAlign w:val="center"/>
          </w:tcPr>
          <w:p w14:paraId="61D5DA59">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2023</w:t>
            </w:r>
          </w:p>
        </w:tc>
        <w:tc>
          <w:tcPr>
            <w:tcW w:w="642" w:type="pct"/>
            <w:shd w:val="clear" w:color="auto" w:fill="D8D8D8"/>
            <w:vAlign w:val="center"/>
          </w:tcPr>
          <w:p w14:paraId="7ACCC7E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2024</w:t>
            </w:r>
          </w:p>
        </w:tc>
        <w:tc>
          <w:tcPr>
            <w:tcW w:w="642" w:type="pct"/>
            <w:shd w:val="clear" w:color="auto" w:fill="D8D8D8"/>
            <w:vAlign w:val="center"/>
          </w:tcPr>
          <w:p w14:paraId="3D4CD669">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2025</w:t>
            </w:r>
          </w:p>
        </w:tc>
        <w:tc>
          <w:tcPr>
            <w:tcW w:w="642" w:type="pct"/>
            <w:shd w:val="clear" w:color="auto" w:fill="D8D8D8"/>
            <w:vAlign w:val="center"/>
          </w:tcPr>
          <w:p w14:paraId="629B5E34">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2026</w:t>
            </w:r>
          </w:p>
        </w:tc>
        <w:tc>
          <w:tcPr>
            <w:tcW w:w="643" w:type="pct"/>
            <w:shd w:val="clear" w:color="auto" w:fill="D8D8D8"/>
            <w:vAlign w:val="center"/>
          </w:tcPr>
          <w:p w14:paraId="1F4E8993">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合计</w:t>
            </w:r>
          </w:p>
        </w:tc>
      </w:tr>
      <w:tr w14:paraId="196D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6" w:type="pct"/>
            <w:shd w:val="clear" w:color="000000" w:fill="FFFFFF"/>
            <w:vAlign w:val="center"/>
          </w:tcPr>
          <w:p w14:paraId="5937680D">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1</w:t>
            </w:r>
          </w:p>
        </w:tc>
        <w:tc>
          <w:tcPr>
            <w:tcW w:w="822" w:type="pct"/>
            <w:shd w:val="clear" w:color="000000" w:fill="FFFFFF"/>
            <w:vAlign w:val="center"/>
          </w:tcPr>
          <w:p w14:paraId="3A15A1E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自筹资金</w:t>
            </w:r>
          </w:p>
        </w:tc>
        <w:tc>
          <w:tcPr>
            <w:tcW w:w="642" w:type="pct"/>
            <w:shd w:val="clear" w:color="000000" w:fill="FFFFFF"/>
            <w:vAlign w:val="center"/>
          </w:tcPr>
          <w:p w14:paraId="7E15AAD5">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50.00</w:t>
            </w:r>
          </w:p>
        </w:tc>
        <w:tc>
          <w:tcPr>
            <w:tcW w:w="642" w:type="pct"/>
            <w:shd w:val="clear" w:color="000000" w:fill="FFFFFF"/>
            <w:vAlign w:val="center"/>
          </w:tcPr>
          <w:p w14:paraId="641F33FF">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10,400.00</w:t>
            </w:r>
          </w:p>
        </w:tc>
        <w:tc>
          <w:tcPr>
            <w:tcW w:w="642" w:type="pct"/>
            <w:shd w:val="clear" w:color="000000" w:fill="FFFFFF"/>
            <w:vAlign w:val="center"/>
          </w:tcPr>
          <w:p w14:paraId="779ACDDA">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21,600.00</w:t>
            </w:r>
          </w:p>
        </w:tc>
        <w:tc>
          <w:tcPr>
            <w:tcW w:w="642" w:type="pct"/>
            <w:shd w:val="clear" w:color="000000" w:fill="FFFFFF"/>
            <w:vAlign w:val="center"/>
          </w:tcPr>
          <w:p w14:paraId="78C2B34A">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1,150.56</w:t>
            </w:r>
          </w:p>
        </w:tc>
        <w:tc>
          <w:tcPr>
            <w:tcW w:w="642" w:type="pct"/>
            <w:shd w:val="clear" w:color="000000" w:fill="FFFFFF"/>
            <w:vAlign w:val="center"/>
          </w:tcPr>
          <w:p w14:paraId="773792BB">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22,930.78</w:t>
            </w:r>
          </w:p>
        </w:tc>
        <w:tc>
          <w:tcPr>
            <w:tcW w:w="643" w:type="pct"/>
            <w:shd w:val="clear" w:color="000000" w:fill="FFFFFF"/>
            <w:vAlign w:val="center"/>
          </w:tcPr>
          <w:p w14:paraId="2549ECE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56,131.34</w:t>
            </w:r>
          </w:p>
        </w:tc>
      </w:tr>
      <w:tr w14:paraId="5448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6" w:type="pct"/>
            <w:shd w:val="clear" w:color="000000" w:fill="FFFFFF"/>
            <w:vAlign w:val="center"/>
          </w:tcPr>
          <w:p w14:paraId="57E64C3E">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2</w:t>
            </w:r>
          </w:p>
        </w:tc>
        <w:tc>
          <w:tcPr>
            <w:tcW w:w="822" w:type="pct"/>
            <w:shd w:val="clear" w:color="000000" w:fill="FFFFFF"/>
            <w:vAlign w:val="center"/>
          </w:tcPr>
          <w:p w14:paraId="7DE87CC9">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eastAsia="zh-TW"/>
              </w:rPr>
              <w:t>债券发行</w:t>
            </w:r>
          </w:p>
        </w:tc>
        <w:tc>
          <w:tcPr>
            <w:tcW w:w="642" w:type="pct"/>
            <w:shd w:val="clear" w:color="000000" w:fill="FFFFFF"/>
            <w:vAlign w:val="center"/>
          </w:tcPr>
          <w:p w14:paraId="1C5337D2">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w:t>
            </w:r>
          </w:p>
        </w:tc>
        <w:tc>
          <w:tcPr>
            <w:tcW w:w="642" w:type="pct"/>
            <w:shd w:val="clear" w:color="000000" w:fill="FFFFFF"/>
            <w:vAlign w:val="center"/>
          </w:tcPr>
          <w:p w14:paraId="39D51C19">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w:t>
            </w:r>
          </w:p>
        </w:tc>
        <w:tc>
          <w:tcPr>
            <w:tcW w:w="642" w:type="pct"/>
            <w:shd w:val="clear" w:color="000000" w:fill="FFFFFF"/>
            <w:vAlign w:val="center"/>
          </w:tcPr>
          <w:p w14:paraId="74CBADF1">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w:t>
            </w:r>
          </w:p>
        </w:tc>
        <w:tc>
          <w:tcPr>
            <w:tcW w:w="642" w:type="pct"/>
            <w:shd w:val="clear" w:color="000000" w:fill="FFFFFF"/>
            <w:vAlign w:val="center"/>
          </w:tcPr>
          <w:p w14:paraId="67F15005">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9,320.72</w:t>
            </w:r>
          </w:p>
        </w:tc>
        <w:tc>
          <w:tcPr>
            <w:tcW w:w="642" w:type="pct"/>
            <w:shd w:val="clear" w:color="000000" w:fill="FFFFFF"/>
            <w:vAlign w:val="center"/>
          </w:tcPr>
          <w:p w14:paraId="5F09D328">
            <w:pPr>
              <w:widowControl/>
              <w:jc w:val="righ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w:t>
            </w:r>
          </w:p>
        </w:tc>
        <w:tc>
          <w:tcPr>
            <w:tcW w:w="643" w:type="pct"/>
            <w:shd w:val="clear" w:color="000000" w:fill="FFFFFF"/>
            <w:vAlign w:val="center"/>
          </w:tcPr>
          <w:p w14:paraId="3962A877">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9,320.72</w:t>
            </w:r>
          </w:p>
        </w:tc>
      </w:tr>
      <w:tr w14:paraId="37B1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6" w:type="pct"/>
            <w:shd w:val="clear" w:color="000000" w:fill="FFFFFF"/>
            <w:vAlign w:val="center"/>
          </w:tcPr>
          <w:p w14:paraId="65626A2B">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3</w:t>
            </w:r>
          </w:p>
        </w:tc>
        <w:tc>
          <w:tcPr>
            <w:tcW w:w="822" w:type="pct"/>
            <w:shd w:val="clear" w:color="000000" w:fill="FFFFFF"/>
            <w:vAlign w:val="center"/>
          </w:tcPr>
          <w:p w14:paraId="2A1B53EB">
            <w:pPr>
              <w:widowControl/>
              <w:jc w:val="left"/>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合计</w:t>
            </w:r>
          </w:p>
        </w:tc>
        <w:tc>
          <w:tcPr>
            <w:tcW w:w="642" w:type="pct"/>
            <w:shd w:val="clear" w:color="000000" w:fill="FFFFFF"/>
            <w:vAlign w:val="center"/>
          </w:tcPr>
          <w:p w14:paraId="31CD324B">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50.00</w:t>
            </w:r>
          </w:p>
        </w:tc>
        <w:tc>
          <w:tcPr>
            <w:tcW w:w="642" w:type="pct"/>
            <w:shd w:val="clear" w:color="000000" w:fill="FFFFFF"/>
            <w:vAlign w:val="center"/>
          </w:tcPr>
          <w:p w14:paraId="4BAFFBA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10,400.00</w:t>
            </w:r>
          </w:p>
        </w:tc>
        <w:tc>
          <w:tcPr>
            <w:tcW w:w="642" w:type="pct"/>
            <w:shd w:val="clear" w:color="000000" w:fill="FFFFFF"/>
            <w:vAlign w:val="center"/>
          </w:tcPr>
          <w:p w14:paraId="0637CFA7">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21,600.00</w:t>
            </w:r>
          </w:p>
        </w:tc>
        <w:tc>
          <w:tcPr>
            <w:tcW w:w="642" w:type="pct"/>
            <w:shd w:val="clear" w:color="000000" w:fill="FFFFFF"/>
            <w:vAlign w:val="center"/>
          </w:tcPr>
          <w:p w14:paraId="183F30E7">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10,471.28</w:t>
            </w:r>
          </w:p>
        </w:tc>
        <w:tc>
          <w:tcPr>
            <w:tcW w:w="642" w:type="pct"/>
            <w:shd w:val="clear" w:color="000000" w:fill="FFFFFF"/>
            <w:vAlign w:val="center"/>
          </w:tcPr>
          <w:p w14:paraId="712C4764">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22,930.78</w:t>
            </w:r>
          </w:p>
        </w:tc>
        <w:tc>
          <w:tcPr>
            <w:tcW w:w="643" w:type="pct"/>
            <w:shd w:val="clear" w:color="000000" w:fill="FFFFFF"/>
            <w:vAlign w:val="center"/>
          </w:tcPr>
          <w:p w14:paraId="336D084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65,452.06</w:t>
            </w:r>
          </w:p>
        </w:tc>
      </w:tr>
    </w:tbl>
    <w:p w14:paraId="2F8BA1A8">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基于以上投资计划、资金筹措安排，我们未发现本项目建设期内所需建设资金存在缺口的情况。</w:t>
      </w:r>
    </w:p>
    <w:p w14:paraId="778FCA1F">
      <w:pPr>
        <w:widowControl/>
        <w:spacing w:before="120" w:after="120" w:line="360" w:lineRule="auto"/>
        <w:ind w:firstLine="482" w:firstLineChars="200"/>
        <w:jc w:val="both"/>
        <w:outlineLvl w:val="2"/>
        <w:rPr>
          <w:rFonts w:hint="eastAsia" w:ascii="宋体" w:hAnsi="宋体" w:eastAsia="宋体" w:cs="宋体"/>
          <w:b/>
          <w:bCs/>
          <w:color w:val="000000"/>
          <w:kern w:val="0"/>
          <w:sz w:val="24"/>
          <w:szCs w:val="24"/>
          <w:lang w:val="en-US"/>
        </w:rPr>
      </w:pPr>
      <w:bookmarkStart w:id="24" w:name="_Toc200555357"/>
      <w:bookmarkStart w:id="25" w:name="_Toc114818534"/>
      <w:bookmarkStart w:id="26" w:name="_Toc114818424"/>
      <w:r>
        <w:rPr>
          <w:rFonts w:hint="eastAsia" w:ascii="宋体" w:hAnsi="宋体" w:eastAsia="宋体" w:cs="宋体"/>
          <w:b/>
          <w:bCs/>
          <w:color w:val="000000"/>
          <w:kern w:val="0"/>
          <w:sz w:val="24"/>
          <w:szCs w:val="24"/>
          <w:lang w:val="en-US"/>
        </w:rPr>
        <w:t>3.资金覆盖</w:t>
      </w:r>
      <w:r>
        <w:rPr>
          <w:rFonts w:hint="eastAsia" w:ascii="宋体" w:hAnsi="宋体" w:eastAsia="宋体" w:cs="宋体"/>
          <w:b/>
          <w:bCs/>
          <w:color w:val="000000"/>
          <w:kern w:val="0"/>
          <w:sz w:val="24"/>
          <w:szCs w:val="24"/>
          <w:lang w:val="en-US"/>
        </w:rPr>
        <w:t>情况</w:t>
      </w:r>
      <w:bookmarkEnd w:id="24"/>
      <w:bookmarkEnd w:id="25"/>
      <w:bookmarkEnd w:id="26"/>
    </w:p>
    <w:p w14:paraId="54B8742F">
      <w:pPr>
        <w:widowControl/>
        <w:spacing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kern w:val="0"/>
          <w:sz w:val="24"/>
          <w:szCs w:val="24"/>
          <w:lang w:val="en-GB"/>
        </w:rPr>
        <w:t>本项目2025年6月已调增专项债券</w:t>
      </w:r>
      <w:r>
        <w:rPr>
          <w:rFonts w:hint="eastAsia" w:ascii="宋体" w:hAnsi="宋体" w:eastAsia="宋体" w:cs="宋体"/>
          <w:kern w:val="0"/>
          <w:sz w:val="24"/>
          <w:szCs w:val="24"/>
          <w:lang w:val="en-GB"/>
        </w:rPr>
        <w:t>8,100.00万元。</w:t>
      </w:r>
      <w:r>
        <w:rPr>
          <w:rFonts w:hint="eastAsia" w:ascii="宋体" w:hAnsi="宋体" w:eastAsia="宋体" w:cs="宋体"/>
          <w:kern w:val="0"/>
          <w:sz w:val="24"/>
          <w:szCs w:val="24"/>
          <w:lang w:val="en-GB"/>
        </w:rPr>
        <w:t>本次计划调增专项债券1,220.72万元。</w:t>
      </w:r>
      <w:r>
        <w:rPr>
          <w:rFonts w:hint="eastAsia" w:ascii="宋体" w:hAnsi="宋体" w:eastAsia="宋体" w:cs="宋体"/>
          <w:kern w:val="0"/>
          <w:sz w:val="24"/>
          <w:szCs w:val="24"/>
          <w:lang w:val="en-GB"/>
        </w:rPr>
        <w:t>本息覆盖</w:t>
      </w:r>
      <w:r>
        <w:rPr>
          <w:rFonts w:hint="eastAsia" w:ascii="宋体" w:hAnsi="宋体" w:eastAsia="宋体" w:cs="宋体"/>
          <w:kern w:val="0"/>
          <w:sz w:val="24"/>
          <w:szCs w:val="24"/>
          <w:lang w:val="en-GB"/>
        </w:rPr>
        <w:t>倍数</w:t>
      </w:r>
      <w:r>
        <w:rPr>
          <w:rFonts w:hint="eastAsia" w:ascii="宋体" w:hAnsi="宋体" w:eastAsia="宋体" w:cs="宋体"/>
          <w:kern w:val="0"/>
          <w:sz w:val="24"/>
          <w:szCs w:val="24"/>
          <w:lang w:val="en-GB"/>
        </w:rPr>
        <w:t>可达到1.</w:t>
      </w:r>
      <w:r>
        <w:rPr>
          <w:rFonts w:hint="eastAsia" w:ascii="宋体" w:hAnsi="宋体" w:eastAsia="宋体" w:cs="宋体"/>
          <w:kern w:val="0"/>
          <w:sz w:val="24"/>
          <w:szCs w:val="24"/>
          <w:lang w:val="en-GB"/>
        </w:rPr>
        <w:t>4</w:t>
      </w:r>
      <w:r>
        <w:rPr>
          <w:rFonts w:hint="eastAsia" w:ascii="宋体" w:hAnsi="宋体" w:eastAsia="宋体" w:cs="宋体"/>
          <w:kern w:val="0"/>
          <w:sz w:val="24"/>
          <w:szCs w:val="24"/>
          <w:lang w:val="en-GB"/>
        </w:rPr>
        <w:t>1，根据项目收益与融资平衡分析结果显示，本债券存续期内还本付息资金充足。</w:t>
      </w:r>
      <w:r>
        <w:rPr>
          <w:rFonts w:hint="eastAsia" w:ascii="宋体" w:hAnsi="宋体" w:eastAsia="宋体" w:cs="宋体"/>
          <w:color w:val="000000"/>
          <w:kern w:val="0"/>
          <w:sz w:val="24"/>
          <w:szCs w:val="24"/>
          <w:lang w:val="en-GB"/>
        </w:rPr>
        <w:t>详见下表5、表6：</w:t>
      </w:r>
    </w:p>
    <w:p w14:paraId="02AE4EB9">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表5 鸿越路本息覆盖倍数表</w:t>
      </w:r>
    </w:p>
    <w:p w14:paraId="09C684CB">
      <w:pPr>
        <w:widowControl/>
        <w:ind w:right="-603" w:rightChars="-287" w:firstLine="360" w:firstLineChars="200"/>
        <w:jc w:val="right"/>
        <w:rPr>
          <w:rFonts w:hint="eastAsia" w:ascii="宋体" w:hAnsi="宋体" w:eastAsia="宋体" w:cs="宋体"/>
          <w:b/>
          <w:kern w:val="0"/>
          <w:sz w:val="24"/>
          <w:szCs w:val="24"/>
          <w:lang w:val="en-GB"/>
        </w:rPr>
      </w:pPr>
      <w:r>
        <w:rPr>
          <w:rFonts w:hint="eastAsia" w:ascii="宋体" w:hAnsi="宋体" w:eastAsia="宋体" w:cs="宋体"/>
          <w:kern w:val="0"/>
          <w:sz w:val="18"/>
          <w:szCs w:val="18"/>
          <w:lang w:val="en-GB"/>
        </w:rPr>
        <w:t>单位：人民币万元</w:t>
      </w:r>
    </w:p>
    <w:tbl>
      <w:tblPr>
        <w:tblStyle w:val="19"/>
        <w:tblW w:w="5746" w:type="pct"/>
        <w:jc w:val="center"/>
        <w:tblLayout w:type="fixed"/>
        <w:tblCellMar>
          <w:top w:w="0" w:type="dxa"/>
          <w:left w:w="108" w:type="dxa"/>
          <w:bottom w:w="0" w:type="dxa"/>
          <w:right w:w="108" w:type="dxa"/>
        </w:tblCellMar>
      </w:tblPr>
      <w:tblGrid>
        <w:gridCol w:w="913"/>
        <w:gridCol w:w="1180"/>
        <w:gridCol w:w="1118"/>
        <w:gridCol w:w="1118"/>
        <w:gridCol w:w="1258"/>
        <w:gridCol w:w="1118"/>
        <w:gridCol w:w="1118"/>
        <w:gridCol w:w="983"/>
        <w:gridCol w:w="981"/>
      </w:tblGrid>
      <w:tr w14:paraId="2BC9C834">
        <w:tblPrEx>
          <w:tblCellMar>
            <w:top w:w="0" w:type="dxa"/>
            <w:left w:w="108" w:type="dxa"/>
            <w:bottom w:w="0" w:type="dxa"/>
            <w:right w:w="108" w:type="dxa"/>
          </w:tblCellMar>
        </w:tblPrEx>
        <w:trPr>
          <w:trHeight w:val="276" w:hRule="atLeast"/>
          <w:tblHeader/>
          <w:jc w:val="center"/>
        </w:trPr>
        <w:tc>
          <w:tcPr>
            <w:tcW w:w="467" w:type="pct"/>
            <w:tcBorders>
              <w:top w:val="single" w:color="auto" w:sz="4" w:space="0"/>
              <w:left w:val="single" w:color="auto" w:sz="4" w:space="0"/>
              <w:bottom w:val="single" w:color="auto" w:sz="4" w:space="0"/>
              <w:right w:val="single" w:color="auto" w:sz="4" w:space="0"/>
            </w:tcBorders>
            <w:shd w:val="clear" w:color="auto" w:fill="D8D8D8"/>
            <w:noWrap/>
            <w:vAlign w:val="center"/>
          </w:tcPr>
          <w:p w14:paraId="778AABED">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项目</w:t>
            </w:r>
          </w:p>
        </w:tc>
        <w:tc>
          <w:tcPr>
            <w:tcW w:w="603" w:type="pct"/>
            <w:tcBorders>
              <w:top w:val="single" w:color="auto" w:sz="4" w:space="0"/>
              <w:left w:val="nil"/>
              <w:bottom w:val="single" w:color="auto" w:sz="4" w:space="0"/>
              <w:right w:val="single" w:color="auto" w:sz="4" w:space="0"/>
            </w:tcBorders>
            <w:shd w:val="clear" w:color="auto" w:fill="D8D8D8"/>
            <w:noWrap/>
            <w:vAlign w:val="center"/>
          </w:tcPr>
          <w:p w14:paraId="43F7847F">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调整后项目总投资</w:t>
            </w:r>
          </w:p>
        </w:tc>
        <w:tc>
          <w:tcPr>
            <w:tcW w:w="571" w:type="pct"/>
            <w:tcBorders>
              <w:top w:val="single" w:color="auto" w:sz="4" w:space="0"/>
              <w:left w:val="nil"/>
              <w:bottom w:val="single" w:color="auto" w:sz="4" w:space="0"/>
              <w:right w:val="single" w:color="auto" w:sz="4" w:space="0"/>
            </w:tcBorders>
            <w:shd w:val="clear" w:color="auto" w:fill="D8D8D8"/>
            <w:noWrap/>
            <w:vAlign w:val="center"/>
          </w:tcPr>
          <w:p w14:paraId="16EAC479">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用于资金平衡的项目收益</w:t>
            </w:r>
          </w:p>
        </w:tc>
        <w:tc>
          <w:tcPr>
            <w:tcW w:w="571" w:type="pct"/>
            <w:tcBorders>
              <w:top w:val="single" w:color="auto" w:sz="4" w:space="0"/>
              <w:left w:val="nil"/>
              <w:bottom w:val="single" w:color="auto" w:sz="4" w:space="0"/>
              <w:right w:val="single" w:color="auto" w:sz="4" w:space="0"/>
            </w:tcBorders>
            <w:shd w:val="clear" w:color="auto" w:fill="D8D8D8"/>
            <w:noWrap/>
            <w:vAlign w:val="center"/>
          </w:tcPr>
          <w:p w14:paraId="32CB6F6A">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期末项目累计现金结存额</w:t>
            </w:r>
          </w:p>
        </w:tc>
        <w:tc>
          <w:tcPr>
            <w:tcW w:w="643" w:type="pct"/>
            <w:tcBorders>
              <w:top w:val="single" w:color="auto" w:sz="4" w:space="0"/>
              <w:left w:val="nil"/>
              <w:bottom w:val="single" w:color="auto" w:sz="4" w:space="0"/>
              <w:right w:val="single" w:color="auto" w:sz="4" w:space="0"/>
            </w:tcBorders>
            <w:shd w:val="clear" w:color="auto" w:fill="D8D8D8"/>
            <w:vAlign w:val="center"/>
          </w:tcPr>
          <w:p w14:paraId="30D7C3DE">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已调增额度</w:t>
            </w:r>
          </w:p>
        </w:tc>
        <w:tc>
          <w:tcPr>
            <w:tcW w:w="571" w:type="pct"/>
            <w:tcBorders>
              <w:top w:val="single" w:color="auto" w:sz="4" w:space="0"/>
              <w:left w:val="single" w:color="auto" w:sz="4" w:space="0"/>
              <w:bottom w:val="single" w:color="auto" w:sz="4" w:space="0"/>
              <w:right w:val="single" w:color="auto" w:sz="4" w:space="0"/>
            </w:tcBorders>
            <w:shd w:val="clear" w:color="auto" w:fill="D8D8D8"/>
            <w:noWrap/>
            <w:vAlign w:val="center"/>
          </w:tcPr>
          <w:p w14:paraId="0C2E95C8">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本次调增额度</w:t>
            </w:r>
          </w:p>
        </w:tc>
        <w:tc>
          <w:tcPr>
            <w:tcW w:w="571" w:type="pct"/>
            <w:tcBorders>
              <w:top w:val="single" w:color="auto" w:sz="4" w:space="0"/>
              <w:left w:val="nil"/>
              <w:bottom w:val="single" w:color="auto" w:sz="4" w:space="0"/>
              <w:right w:val="single" w:color="auto" w:sz="4" w:space="0"/>
            </w:tcBorders>
            <w:shd w:val="clear" w:color="auto" w:fill="D8D8D8"/>
            <w:noWrap/>
            <w:vAlign w:val="center"/>
          </w:tcPr>
          <w:p w14:paraId="61A060E1">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债券本息合计</w:t>
            </w:r>
          </w:p>
        </w:tc>
        <w:tc>
          <w:tcPr>
            <w:tcW w:w="502" w:type="pct"/>
            <w:tcBorders>
              <w:top w:val="single" w:color="auto" w:sz="4" w:space="0"/>
              <w:left w:val="nil"/>
              <w:bottom w:val="single" w:color="auto" w:sz="4" w:space="0"/>
              <w:right w:val="single" w:color="auto" w:sz="4" w:space="0"/>
            </w:tcBorders>
            <w:shd w:val="clear" w:color="auto" w:fill="D8D8D8"/>
            <w:noWrap/>
            <w:vAlign w:val="center"/>
          </w:tcPr>
          <w:p w14:paraId="43FFFB76">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本息覆盖率</w:t>
            </w:r>
          </w:p>
        </w:tc>
        <w:tc>
          <w:tcPr>
            <w:tcW w:w="501" w:type="pct"/>
            <w:tcBorders>
              <w:top w:val="single" w:color="auto" w:sz="4" w:space="0"/>
              <w:left w:val="nil"/>
              <w:bottom w:val="single" w:color="auto" w:sz="4" w:space="0"/>
              <w:right w:val="single" w:color="auto" w:sz="4" w:space="0"/>
            </w:tcBorders>
            <w:shd w:val="clear" w:color="auto" w:fill="D8D8D8"/>
            <w:noWrap/>
            <w:vAlign w:val="center"/>
          </w:tcPr>
          <w:p w14:paraId="1611D2A7">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rPr>
              <w:t>本息覆盖倍数</w:t>
            </w:r>
          </w:p>
        </w:tc>
      </w:tr>
      <w:tr w14:paraId="6FE0409E">
        <w:tblPrEx>
          <w:tblCellMar>
            <w:top w:w="0" w:type="dxa"/>
            <w:left w:w="108" w:type="dxa"/>
            <w:bottom w:w="0" w:type="dxa"/>
            <w:right w:w="108" w:type="dxa"/>
          </w:tblCellMar>
        </w:tblPrEx>
        <w:trPr>
          <w:trHeight w:val="276" w:hRule="atLeast"/>
          <w:jc w:val="center"/>
        </w:trPr>
        <w:tc>
          <w:tcPr>
            <w:tcW w:w="467" w:type="pct"/>
            <w:tcBorders>
              <w:top w:val="nil"/>
              <w:left w:val="single" w:color="auto" w:sz="4" w:space="0"/>
              <w:bottom w:val="single" w:color="auto" w:sz="4" w:space="0"/>
              <w:right w:val="single" w:color="auto" w:sz="4" w:space="0"/>
            </w:tcBorders>
            <w:shd w:val="clear" w:color="auto" w:fill="auto"/>
            <w:noWrap/>
            <w:vAlign w:val="center"/>
          </w:tcPr>
          <w:p w14:paraId="5D49A887">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鸿越路</w:t>
            </w:r>
          </w:p>
        </w:tc>
        <w:tc>
          <w:tcPr>
            <w:tcW w:w="603" w:type="pct"/>
            <w:tcBorders>
              <w:top w:val="nil"/>
              <w:left w:val="nil"/>
              <w:bottom w:val="single" w:color="auto" w:sz="4" w:space="0"/>
              <w:right w:val="single" w:color="auto" w:sz="4" w:space="0"/>
            </w:tcBorders>
            <w:shd w:val="clear" w:color="auto" w:fill="auto"/>
            <w:noWrap/>
            <w:vAlign w:val="center"/>
          </w:tcPr>
          <w:p w14:paraId="6A3B8595">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65,452.06</w:t>
            </w:r>
          </w:p>
        </w:tc>
        <w:tc>
          <w:tcPr>
            <w:tcW w:w="571" w:type="pct"/>
            <w:tcBorders>
              <w:top w:val="nil"/>
              <w:left w:val="nil"/>
              <w:bottom w:val="single" w:color="auto" w:sz="4" w:space="0"/>
              <w:right w:val="single" w:color="auto" w:sz="4" w:space="0"/>
            </w:tcBorders>
            <w:shd w:val="clear" w:color="auto" w:fill="auto"/>
            <w:noWrap/>
            <w:vAlign w:val="center"/>
          </w:tcPr>
          <w:p w14:paraId="669C0B7E">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15,423.89</w:t>
            </w:r>
          </w:p>
        </w:tc>
        <w:tc>
          <w:tcPr>
            <w:tcW w:w="571" w:type="pct"/>
            <w:tcBorders>
              <w:top w:val="nil"/>
              <w:left w:val="nil"/>
              <w:bottom w:val="single" w:color="auto" w:sz="4" w:space="0"/>
              <w:right w:val="single" w:color="auto" w:sz="4" w:space="0"/>
            </w:tcBorders>
            <w:shd w:val="clear" w:color="auto" w:fill="auto"/>
            <w:noWrap/>
            <w:vAlign w:val="center"/>
          </w:tcPr>
          <w:p w14:paraId="722E6E28">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4,690.36</w:t>
            </w:r>
          </w:p>
        </w:tc>
        <w:tc>
          <w:tcPr>
            <w:tcW w:w="643" w:type="pct"/>
            <w:tcBorders>
              <w:top w:val="single" w:color="auto" w:sz="4" w:space="0"/>
              <w:left w:val="nil"/>
              <w:bottom w:val="single" w:color="auto" w:sz="4" w:space="0"/>
              <w:right w:val="single" w:color="auto" w:sz="4" w:space="0"/>
            </w:tcBorders>
          </w:tcPr>
          <w:p w14:paraId="6AC73A2D">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8,100.00</w:t>
            </w:r>
          </w:p>
        </w:tc>
        <w:tc>
          <w:tcPr>
            <w:tcW w:w="571" w:type="pct"/>
            <w:tcBorders>
              <w:top w:val="nil"/>
              <w:left w:val="single" w:color="auto" w:sz="4" w:space="0"/>
              <w:bottom w:val="single" w:color="auto" w:sz="4" w:space="0"/>
              <w:right w:val="single" w:color="auto" w:sz="4" w:space="0"/>
            </w:tcBorders>
            <w:shd w:val="clear" w:color="auto" w:fill="auto"/>
            <w:noWrap/>
            <w:vAlign w:val="center"/>
          </w:tcPr>
          <w:p w14:paraId="4F218486">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1,220.72</w:t>
            </w:r>
          </w:p>
        </w:tc>
        <w:tc>
          <w:tcPr>
            <w:tcW w:w="571" w:type="pct"/>
            <w:tcBorders>
              <w:top w:val="nil"/>
              <w:left w:val="nil"/>
              <w:bottom w:val="single" w:color="auto" w:sz="4" w:space="0"/>
              <w:right w:val="single" w:color="auto" w:sz="4" w:space="0"/>
            </w:tcBorders>
            <w:shd w:val="clear" w:color="auto" w:fill="auto"/>
            <w:noWrap/>
            <w:vAlign w:val="center"/>
          </w:tcPr>
          <w:p w14:paraId="1CACB0F3">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10,970.31</w:t>
            </w:r>
          </w:p>
        </w:tc>
        <w:tc>
          <w:tcPr>
            <w:tcW w:w="502" w:type="pct"/>
            <w:tcBorders>
              <w:top w:val="nil"/>
              <w:left w:val="nil"/>
              <w:bottom w:val="single" w:color="auto" w:sz="4" w:space="0"/>
              <w:right w:val="single" w:color="auto" w:sz="4" w:space="0"/>
            </w:tcBorders>
            <w:shd w:val="clear" w:color="auto" w:fill="auto"/>
            <w:noWrap/>
            <w:vAlign w:val="center"/>
          </w:tcPr>
          <w:p w14:paraId="123F2774">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1.43</w:t>
            </w:r>
          </w:p>
        </w:tc>
        <w:tc>
          <w:tcPr>
            <w:tcW w:w="501" w:type="pct"/>
            <w:tcBorders>
              <w:top w:val="nil"/>
              <w:left w:val="nil"/>
              <w:bottom w:val="single" w:color="auto" w:sz="4" w:space="0"/>
              <w:right w:val="single" w:color="auto" w:sz="4" w:space="0"/>
            </w:tcBorders>
            <w:shd w:val="clear" w:color="auto" w:fill="auto"/>
            <w:noWrap/>
            <w:vAlign w:val="center"/>
          </w:tcPr>
          <w:p w14:paraId="0B16D22F">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1.41</w:t>
            </w:r>
          </w:p>
        </w:tc>
      </w:tr>
    </w:tbl>
    <w:p w14:paraId="3A7D6E35">
      <w:pPr>
        <w:widowControl/>
        <w:ind w:firstLine="360" w:firstLineChars="200"/>
        <w:jc w:val="right"/>
        <w:rPr>
          <w:rFonts w:hint="eastAsia" w:ascii="宋体" w:hAnsi="宋体" w:eastAsia="宋体" w:cs="宋体"/>
          <w:kern w:val="0"/>
          <w:sz w:val="18"/>
          <w:szCs w:val="18"/>
          <w:lang w:val="en-GB"/>
        </w:rPr>
      </w:pPr>
    </w:p>
    <w:p w14:paraId="0ABF939B">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w:t>
      </w:r>
      <w:r>
        <w:rPr>
          <w:rFonts w:hint="eastAsia" w:ascii="宋体" w:hAnsi="宋体" w:eastAsia="宋体" w:cs="宋体"/>
          <w:b/>
          <w:kern w:val="0"/>
          <w:sz w:val="24"/>
          <w:szCs w:val="24"/>
          <w:lang w:val="en-GB"/>
        </w:rPr>
        <w:t xml:space="preserve">6 </w:t>
      </w:r>
      <w:r>
        <w:rPr>
          <w:rFonts w:hint="eastAsia" w:ascii="宋体" w:hAnsi="宋体" w:eastAsia="宋体" w:cs="宋体"/>
          <w:b/>
          <w:kern w:val="0"/>
          <w:sz w:val="24"/>
          <w:szCs w:val="24"/>
          <w:lang w:val="en-GB"/>
        </w:rPr>
        <w:t>鸿越路</w:t>
      </w:r>
      <w:r>
        <w:rPr>
          <w:rFonts w:hint="eastAsia" w:ascii="宋体" w:hAnsi="宋体" w:eastAsia="宋体" w:cs="宋体"/>
          <w:b/>
          <w:kern w:val="0"/>
          <w:sz w:val="24"/>
          <w:szCs w:val="24"/>
          <w:lang w:val="en-GB"/>
        </w:rPr>
        <w:t>现金流模拟测算表</w:t>
      </w:r>
    </w:p>
    <w:p w14:paraId="2228968E">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3"/>
        <w:gridCol w:w="1273"/>
        <w:gridCol w:w="1273"/>
        <w:gridCol w:w="1274"/>
        <w:gridCol w:w="1273"/>
        <w:gridCol w:w="1274"/>
      </w:tblGrid>
      <w:tr w14:paraId="1C2C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tblHeader/>
          <w:jc w:val="center"/>
        </w:trPr>
        <w:tc>
          <w:tcPr>
            <w:tcW w:w="2263" w:type="dxa"/>
            <w:tcBorders>
              <w:top w:val="single" w:color="auto" w:sz="4" w:space="0"/>
              <w:left w:val="single" w:color="auto" w:sz="4" w:space="0"/>
              <w:bottom w:val="single" w:color="auto" w:sz="4" w:space="0"/>
              <w:right w:val="single" w:color="auto" w:sz="4" w:space="0"/>
            </w:tcBorders>
            <w:shd w:val="clear" w:color="auto" w:fill="D8D8D8"/>
            <w:vAlign w:val="center"/>
          </w:tcPr>
          <w:p w14:paraId="3F88E5D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1273" w:type="dxa"/>
            <w:tcBorders>
              <w:top w:val="single" w:color="auto" w:sz="4" w:space="0"/>
              <w:left w:val="single" w:color="auto" w:sz="4" w:space="0"/>
              <w:bottom w:val="single" w:color="auto" w:sz="4" w:space="0"/>
              <w:right w:val="single" w:color="auto" w:sz="4" w:space="0"/>
            </w:tcBorders>
            <w:shd w:val="clear" w:color="auto" w:fill="D8D8D8"/>
            <w:vAlign w:val="center"/>
          </w:tcPr>
          <w:p w14:paraId="3F95F263">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2022</w:t>
            </w:r>
          </w:p>
        </w:tc>
        <w:tc>
          <w:tcPr>
            <w:tcW w:w="1273" w:type="dxa"/>
            <w:tcBorders>
              <w:top w:val="single" w:color="auto" w:sz="4" w:space="0"/>
              <w:left w:val="single" w:color="auto" w:sz="4" w:space="0"/>
              <w:bottom w:val="single" w:color="auto" w:sz="4" w:space="0"/>
              <w:right w:val="single" w:color="auto" w:sz="4" w:space="0"/>
            </w:tcBorders>
            <w:shd w:val="clear" w:color="auto" w:fill="D8D8D8"/>
            <w:vAlign w:val="center"/>
          </w:tcPr>
          <w:p w14:paraId="58FA4730">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2023</w:t>
            </w:r>
          </w:p>
        </w:tc>
        <w:tc>
          <w:tcPr>
            <w:tcW w:w="1274" w:type="dxa"/>
            <w:tcBorders>
              <w:top w:val="single" w:color="auto" w:sz="4" w:space="0"/>
              <w:left w:val="single" w:color="auto" w:sz="4" w:space="0"/>
              <w:bottom w:val="single" w:color="auto" w:sz="4" w:space="0"/>
              <w:right w:val="single" w:color="auto" w:sz="4" w:space="0"/>
            </w:tcBorders>
            <w:shd w:val="clear" w:color="auto" w:fill="D8D8D8"/>
            <w:vAlign w:val="center"/>
          </w:tcPr>
          <w:p w14:paraId="5531E92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2024</w:t>
            </w:r>
          </w:p>
        </w:tc>
        <w:tc>
          <w:tcPr>
            <w:tcW w:w="1273" w:type="dxa"/>
            <w:tcBorders>
              <w:top w:val="single" w:color="auto" w:sz="4" w:space="0"/>
              <w:left w:val="single" w:color="auto" w:sz="4" w:space="0"/>
              <w:bottom w:val="single" w:color="auto" w:sz="4" w:space="0"/>
              <w:right w:val="single" w:color="auto" w:sz="4" w:space="0"/>
            </w:tcBorders>
            <w:shd w:val="clear" w:color="auto" w:fill="D8D8D8"/>
            <w:vAlign w:val="center"/>
          </w:tcPr>
          <w:p w14:paraId="7E8F5C5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2025</w:t>
            </w:r>
          </w:p>
        </w:tc>
        <w:tc>
          <w:tcPr>
            <w:tcW w:w="1274" w:type="dxa"/>
            <w:tcBorders>
              <w:top w:val="single" w:color="auto" w:sz="4" w:space="0"/>
              <w:left w:val="single" w:color="auto" w:sz="4" w:space="0"/>
              <w:bottom w:val="single" w:color="auto" w:sz="4" w:space="0"/>
              <w:right w:val="single" w:color="auto" w:sz="4" w:space="0"/>
            </w:tcBorders>
            <w:shd w:val="clear" w:color="auto" w:fill="D8D8D8"/>
            <w:vAlign w:val="center"/>
          </w:tcPr>
          <w:p w14:paraId="6F41504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2026</w:t>
            </w:r>
          </w:p>
        </w:tc>
      </w:tr>
      <w:tr w14:paraId="6456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264F151A">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1925129">
            <w:pPr>
              <w:widowControl/>
              <w:jc w:val="right"/>
              <w:rPr>
                <w:rFonts w:hint="eastAsia" w:ascii="宋体" w:hAnsi="宋体" w:eastAsia="宋体" w:cs="宋体"/>
                <w:b/>
                <w:bCs/>
                <w:color w:val="000000"/>
                <w:kern w:val="0"/>
                <w:sz w:val="20"/>
                <w:szCs w:val="20"/>
                <w:lang w:val="en-GB"/>
              </w:rPr>
            </w:pP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54EB090C">
            <w:pPr>
              <w:widowControl/>
              <w:jc w:val="right"/>
              <w:rPr>
                <w:rFonts w:hint="eastAsia" w:ascii="宋体" w:hAnsi="宋体" w:eastAsia="宋体" w:cs="宋体"/>
                <w:b/>
                <w:bCs/>
                <w:color w:val="000000"/>
                <w:kern w:val="0"/>
                <w:sz w:val="20"/>
                <w:szCs w:val="20"/>
                <w:lang w:val="en-GB"/>
              </w:rPr>
            </w:pP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5BF85323">
            <w:pPr>
              <w:widowControl/>
              <w:jc w:val="right"/>
              <w:rPr>
                <w:rFonts w:hint="eastAsia" w:ascii="宋体" w:hAnsi="宋体" w:eastAsia="宋体" w:cs="宋体"/>
                <w:b/>
                <w:bCs/>
                <w:color w:val="000000"/>
                <w:kern w:val="0"/>
                <w:sz w:val="20"/>
                <w:szCs w:val="20"/>
                <w:lang w:val="en-GB"/>
              </w:rPr>
            </w:pP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33CC1390">
            <w:pPr>
              <w:widowControl/>
              <w:jc w:val="right"/>
              <w:rPr>
                <w:rFonts w:hint="eastAsia" w:ascii="宋体" w:hAnsi="宋体" w:eastAsia="宋体" w:cs="宋体"/>
                <w:b/>
                <w:bCs/>
                <w:color w:val="000000"/>
                <w:kern w:val="0"/>
                <w:sz w:val="20"/>
                <w:szCs w:val="20"/>
                <w:lang w:val="en-GB"/>
              </w:rPr>
            </w:pP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1184A5D2">
            <w:pPr>
              <w:widowControl/>
              <w:jc w:val="right"/>
              <w:rPr>
                <w:rFonts w:hint="eastAsia" w:ascii="宋体" w:hAnsi="宋体" w:eastAsia="宋体" w:cs="宋体"/>
                <w:b/>
                <w:bCs/>
                <w:color w:val="000000"/>
                <w:kern w:val="0"/>
                <w:sz w:val="20"/>
                <w:szCs w:val="20"/>
                <w:lang w:val="en-GB"/>
              </w:rPr>
            </w:pPr>
          </w:p>
        </w:tc>
      </w:tr>
      <w:tr w14:paraId="7F2E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16B6AED1">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2B17A99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0C6C5FB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10,400.00</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1377279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7A2AC42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1,150.56</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2CE1271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22,930.78</w:t>
            </w:r>
          </w:p>
        </w:tc>
      </w:tr>
      <w:tr w14:paraId="1224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26D25C03">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本次债券资金流入</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1EED54E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3A6E6B1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51254EC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224B70A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7AB15E7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133F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135C449C">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5340AF6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5F04CCC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7429C98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2E8D811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3CB7A4D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1DA6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7BC3CD50">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2874138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2DCCD81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10,400.00</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24B4E38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21,600.00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5D49E4F7">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10,471.28</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4ECA6564">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22,930.78</w:t>
            </w:r>
          </w:p>
        </w:tc>
      </w:tr>
      <w:tr w14:paraId="0F72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5712BA1D">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D586C0D">
            <w:pPr>
              <w:widowControl/>
              <w:jc w:val="right"/>
              <w:rPr>
                <w:rFonts w:hint="eastAsia" w:ascii="宋体" w:hAnsi="宋体" w:eastAsia="宋体" w:cs="宋体"/>
                <w:b/>
                <w:bCs/>
                <w:color w:val="000000"/>
                <w:kern w:val="0"/>
                <w:sz w:val="20"/>
                <w:szCs w:val="20"/>
                <w:lang w:val="en-GB"/>
              </w:rPr>
            </w:pP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12DE3C5">
            <w:pPr>
              <w:widowControl/>
              <w:jc w:val="right"/>
              <w:rPr>
                <w:rFonts w:hint="eastAsia" w:ascii="宋体" w:hAnsi="宋体" w:eastAsia="宋体" w:cs="宋体"/>
                <w:b/>
                <w:bCs/>
                <w:color w:val="000000"/>
                <w:kern w:val="0"/>
                <w:sz w:val="20"/>
                <w:szCs w:val="20"/>
                <w:lang w:val="en-GB"/>
              </w:rPr>
            </w:pP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60C4F0A2">
            <w:pPr>
              <w:widowControl/>
              <w:jc w:val="right"/>
              <w:rPr>
                <w:rFonts w:hint="eastAsia" w:ascii="宋体" w:hAnsi="宋体" w:eastAsia="宋体" w:cs="宋体"/>
                <w:b/>
                <w:bCs/>
                <w:color w:val="000000"/>
                <w:kern w:val="0"/>
                <w:sz w:val="20"/>
                <w:szCs w:val="20"/>
                <w:lang w:val="en-GB"/>
              </w:rPr>
            </w:pP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3B4B0104">
            <w:pPr>
              <w:widowControl/>
              <w:jc w:val="right"/>
              <w:rPr>
                <w:rFonts w:hint="eastAsia" w:ascii="宋体" w:hAnsi="宋体" w:eastAsia="宋体" w:cs="宋体"/>
                <w:b/>
                <w:bCs/>
                <w:color w:val="000000"/>
                <w:kern w:val="0"/>
                <w:sz w:val="20"/>
                <w:szCs w:val="20"/>
                <w:lang w:val="en-GB"/>
              </w:rPr>
            </w:pP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0CAA764D">
            <w:pPr>
              <w:widowControl/>
              <w:jc w:val="right"/>
              <w:rPr>
                <w:rFonts w:hint="eastAsia" w:ascii="宋体" w:hAnsi="宋体" w:eastAsia="宋体" w:cs="宋体"/>
                <w:b/>
                <w:bCs/>
                <w:color w:val="000000"/>
                <w:kern w:val="0"/>
                <w:sz w:val="20"/>
                <w:szCs w:val="20"/>
                <w:lang w:val="en-GB"/>
              </w:rPr>
            </w:pPr>
          </w:p>
        </w:tc>
      </w:tr>
      <w:tr w14:paraId="2AFD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11CB2A81">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728356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310EC50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10,400.00</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241DE81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3D52585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10,400.00</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3A8C050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22,765.28</w:t>
            </w:r>
          </w:p>
        </w:tc>
      </w:tr>
      <w:tr w14:paraId="1FE1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3772D9E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1FBD085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4837D20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341CF85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25124B0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3B183A7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7C04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39BAFA8E">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1ACC5FF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73CABB3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4247734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09F01B3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71.28</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375E404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r>
      <w:tr w14:paraId="38A7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1A59AE69">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7FD16E2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40627D2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4B24A8C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0CD4369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3338070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2FD6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595A1C1E">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8782A6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90504A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10,400.00</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78514E7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21,600.00</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07FB971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10,471.28</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4BDBB03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22,930.78</w:t>
            </w:r>
          </w:p>
        </w:tc>
      </w:tr>
      <w:tr w14:paraId="178B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2B567B98">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B56D06A">
            <w:pPr>
              <w:widowControl/>
              <w:jc w:val="right"/>
              <w:rPr>
                <w:rFonts w:hint="eastAsia" w:ascii="宋体" w:hAnsi="宋体" w:eastAsia="宋体" w:cs="宋体"/>
                <w:b/>
                <w:bCs/>
                <w:color w:val="000000"/>
                <w:kern w:val="0"/>
                <w:sz w:val="20"/>
                <w:szCs w:val="20"/>
                <w:lang w:val="en-GB"/>
              </w:rPr>
            </w:pP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4D5539FB">
            <w:pPr>
              <w:widowControl/>
              <w:jc w:val="right"/>
              <w:rPr>
                <w:rFonts w:hint="eastAsia" w:ascii="宋体" w:hAnsi="宋体" w:eastAsia="宋体" w:cs="宋体"/>
                <w:b/>
                <w:bCs/>
                <w:color w:val="000000"/>
                <w:kern w:val="0"/>
                <w:sz w:val="20"/>
                <w:szCs w:val="20"/>
                <w:lang w:val="en-GB"/>
              </w:rPr>
            </w:pP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3AA9B8BF">
            <w:pPr>
              <w:widowControl/>
              <w:jc w:val="right"/>
              <w:rPr>
                <w:rFonts w:hint="eastAsia" w:ascii="宋体" w:hAnsi="宋体" w:eastAsia="宋体" w:cs="宋体"/>
                <w:b/>
                <w:bCs/>
                <w:color w:val="000000"/>
                <w:kern w:val="0"/>
                <w:sz w:val="20"/>
                <w:szCs w:val="20"/>
                <w:lang w:val="en-GB"/>
              </w:rPr>
            </w:pP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0D5976A">
            <w:pPr>
              <w:widowControl/>
              <w:jc w:val="right"/>
              <w:rPr>
                <w:rFonts w:hint="eastAsia" w:ascii="宋体" w:hAnsi="宋体" w:eastAsia="宋体" w:cs="宋体"/>
                <w:b/>
                <w:bCs/>
                <w:color w:val="000000"/>
                <w:kern w:val="0"/>
                <w:sz w:val="20"/>
                <w:szCs w:val="20"/>
                <w:lang w:val="en-GB"/>
              </w:rPr>
            </w:pP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6995F66A">
            <w:pPr>
              <w:widowControl/>
              <w:jc w:val="right"/>
              <w:rPr>
                <w:rFonts w:hint="eastAsia" w:ascii="宋体" w:hAnsi="宋体" w:eastAsia="宋体" w:cs="宋体"/>
                <w:b/>
                <w:bCs/>
                <w:color w:val="000000"/>
                <w:kern w:val="0"/>
                <w:sz w:val="20"/>
                <w:szCs w:val="20"/>
                <w:lang w:val="en-GB"/>
              </w:rPr>
            </w:pPr>
          </w:p>
        </w:tc>
      </w:tr>
      <w:tr w14:paraId="47ED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10698E6B">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3B8F045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4236C6B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6757736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3712AE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538CBB5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r>
      <w:tr w14:paraId="40D0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FFFFFF"/>
            <w:vAlign w:val="center"/>
          </w:tcPr>
          <w:p w14:paraId="17D170FD">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3621F3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22390DC0">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78987E0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3" w:type="dxa"/>
            <w:tcBorders>
              <w:top w:val="single" w:color="auto" w:sz="4" w:space="0"/>
              <w:left w:val="single" w:color="auto" w:sz="4" w:space="0"/>
              <w:bottom w:val="single" w:color="auto" w:sz="4" w:space="0"/>
              <w:right w:val="single" w:color="auto" w:sz="4" w:space="0"/>
            </w:tcBorders>
            <w:shd w:val="clear" w:color="auto" w:fill="FFFFFF"/>
          </w:tcPr>
          <w:p w14:paraId="6AE8419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c>
          <w:tcPr>
            <w:tcW w:w="1274" w:type="dxa"/>
            <w:tcBorders>
              <w:top w:val="single" w:color="auto" w:sz="4" w:space="0"/>
              <w:left w:val="single" w:color="auto" w:sz="4" w:space="0"/>
              <w:bottom w:val="single" w:color="auto" w:sz="4" w:space="0"/>
              <w:right w:val="single" w:color="auto" w:sz="4" w:space="0"/>
            </w:tcBorders>
            <w:shd w:val="clear" w:color="auto" w:fill="FFFFFF"/>
          </w:tcPr>
          <w:p w14:paraId="2B2A94D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r>
    </w:tbl>
    <w:p w14:paraId="334CF059">
      <w:pPr>
        <w:widowControl/>
        <w:ind w:firstLine="482" w:firstLineChars="200"/>
        <w:jc w:val="center"/>
        <w:rPr>
          <w:rFonts w:hint="eastAsia" w:ascii="宋体" w:hAnsi="宋体" w:eastAsia="宋体" w:cs="宋体"/>
          <w:b/>
          <w:kern w:val="0"/>
          <w:sz w:val="24"/>
          <w:szCs w:val="24"/>
          <w:lang w:val="en-GB"/>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05"/>
        <w:gridCol w:w="1245"/>
        <w:gridCol w:w="1245"/>
        <w:gridCol w:w="1245"/>
        <w:gridCol w:w="1245"/>
        <w:gridCol w:w="1245"/>
      </w:tblGrid>
      <w:tr w14:paraId="2BBB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2405" w:type="dxa"/>
            <w:tcBorders>
              <w:top w:val="single" w:color="auto" w:sz="4" w:space="0"/>
              <w:left w:val="single" w:color="auto" w:sz="4" w:space="0"/>
              <w:bottom w:val="single" w:color="auto" w:sz="4" w:space="0"/>
              <w:right w:val="single" w:color="auto" w:sz="4" w:space="0"/>
            </w:tcBorders>
            <w:shd w:val="clear" w:color="auto" w:fill="D8D8D8"/>
            <w:vAlign w:val="center"/>
          </w:tcPr>
          <w:p w14:paraId="51A6CF88">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1245" w:type="dxa"/>
            <w:tcBorders>
              <w:top w:val="single" w:color="auto" w:sz="4" w:space="0"/>
              <w:left w:val="single" w:color="auto" w:sz="4" w:space="0"/>
              <w:bottom w:val="single" w:color="auto" w:sz="4" w:space="0"/>
              <w:right w:val="single" w:color="auto" w:sz="4" w:space="0"/>
            </w:tcBorders>
            <w:shd w:val="clear" w:color="auto" w:fill="D8D8D8"/>
            <w:vAlign w:val="center"/>
          </w:tcPr>
          <w:p w14:paraId="7CF75A88">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2027</w:t>
            </w:r>
          </w:p>
        </w:tc>
        <w:tc>
          <w:tcPr>
            <w:tcW w:w="1245" w:type="dxa"/>
            <w:tcBorders>
              <w:top w:val="single" w:color="auto" w:sz="4" w:space="0"/>
              <w:left w:val="single" w:color="auto" w:sz="4" w:space="0"/>
              <w:bottom w:val="single" w:color="auto" w:sz="4" w:space="0"/>
              <w:right w:val="single" w:color="auto" w:sz="4" w:space="0"/>
            </w:tcBorders>
            <w:shd w:val="clear" w:color="auto" w:fill="D8D8D8"/>
            <w:vAlign w:val="center"/>
          </w:tcPr>
          <w:p w14:paraId="587EEDD9">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2028</w:t>
            </w:r>
          </w:p>
        </w:tc>
        <w:tc>
          <w:tcPr>
            <w:tcW w:w="1245" w:type="dxa"/>
            <w:tcBorders>
              <w:top w:val="single" w:color="auto" w:sz="4" w:space="0"/>
              <w:left w:val="single" w:color="auto" w:sz="4" w:space="0"/>
              <w:bottom w:val="single" w:color="auto" w:sz="4" w:space="0"/>
              <w:right w:val="single" w:color="auto" w:sz="4" w:space="0"/>
            </w:tcBorders>
            <w:shd w:val="clear" w:color="auto" w:fill="D8D8D8"/>
            <w:vAlign w:val="center"/>
          </w:tcPr>
          <w:p w14:paraId="57553B2F">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2029</w:t>
            </w:r>
          </w:p>
        </w:tc>
        <w:tc>
          <w:tcPr>
            <w:tcW w:w="1245" w:type="dxa"/>
            <w:tcBorders>
              <w:top w:val="single" w:color="auto" w:sz="4" w:space="0"/>
              <w:left w:val="single" w:color="auto" w:sz="4" w:space="0"/>
              <w:bottom w:val="single" w:color="auto" w:sz="4" w:space="0"/>
              <w:right w:val="single" w:color="auto" w:sz="4" w:space="0"/>
            </w:tcBorders>
            <w:shd w:val="clear" w:color="auto" w:fill="D8D8D8"/>
            <w:vAlign w:val="center"/>
          </w:tcPr>
          <w:p w14:paraId="67D523A0">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2030</w:t>
            </w:r>
          </w:p>
        </w:tc>
        <w:tc>
          <w:tcPr>
            <w:tcW w:w="1245" w:type="dxa"/>
            <w:tcBorders>
              <w:top w:val="single" w:color="auto" w:sz="4" w:space="0"/>
              <w:left w:val="single" w:color="auto" w:sz="4" w:space="0"/>
              <w:bottom w:val="single" w:color="auto" w:sz="4" w:space="0"/>
              <w:right w:val="single" w:color="auto" w:sz="4" w:space="0"/>
            </w:tcBorders>
            <w:shd w:val="clear" w:color="auto" w:fill="D8D8D8"/>
            <w:vAlign w:val="center"/>
          </w:tcPr>
          <w:p w14:paraId="22351E2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2031</w:t>
            </w:r>
          </w:p>
        </w:tc>
      </w:tr>
      <w:tr w14:paraId="3CD1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53BD26CB">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66726E3C">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71250E95">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580F6F7">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F065BCE">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8702F33">
            <w:pPr>
              <w:widowControl/>
              <w:jc w:val="right"/>
              <w:rPr>
                <w:rFonts w:hint="eastAsia" w:ascii="宋体" w:hAnsi="宋体" w:eastAsia="宋体" w:cs="宋体"/>
                <w:b/>
                <w:bCs/>
                <w:color w:val="000000"/>
                <w:kern w:val="0"/>
                <w:sz w:val="20"/>
                <w:szCs w:val="20"/>
                <w:lang w:val="en-GB"/>
              </w:rPr>
            </w:pPr>
          </w:p>
        </w:tc>
      </w:tr>
      <w:tr w14:paraId="0A2F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439EFE3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5CDA3C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BEA32E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B13255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670BDF7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48FFCCA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752F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7A505644">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本期债券资金流入</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D3AA8A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4E486F1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65A5B4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057580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1A8136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3C32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0257AF4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181E37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3,900.60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3D22C8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2,096.10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E503DEB">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2,096.10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F97C52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2,096.10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F8D545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2,096.10</w:t>
            </w:r>
          </w:p>
        </w:tc>
      </w:tr>
      <w:tr w14:paraId="4071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0DE64A29">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63007A1">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3,900.60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2B772EA">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DEF1BA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F2A038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4884BD0">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r>
      <w:tr w14:paraId="049B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4F35E346">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4043143">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4857E857">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3C05FB3">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43E483CF">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B6F8204">
            <w:pPr>
              <w:widowControl/>
              <w:jc w:val="right"/>
              <w:rPr>
                <w:rFonts w:hint="eastAsia" w:ascii="宋体" w:hAnsi="宋体" w:eastAsia="宋体" w:cs="宋体"/>
                <w:b/>
                <w:bCs/>
                <w:color w:val="000000"/>
                <w:kern w:val="0"/>
                <w:sz w:val="20"/>
                <w:szCs w:val="20"/>
                <w:lang w:val="en-GB"/>
              </w:rPr>
            </w:pPr>
          </w:p>
        </w:tc>
      </w:tr>
      <w:tr w14:paraId="1578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6D4C530A">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BEB464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008A37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695B07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F70D3F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713A8AD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01B1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005993B0">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4A77DEF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983.83</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0D3268B">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532.71</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6AF024E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532.71</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FF1370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532.71</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624B581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532.71</w:t>
            </w:r>
          </w:p>
        </w:tc>
      </w:tr>
      <w:tr w14:paraId="3ABFC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787F033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4A0A446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6370EAA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691729C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BD283A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53D8D6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r>
      <w:tr w14:paraId="43D06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16040AF3">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7D5112F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7FB5667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F48269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67A1FEC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141BEA4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4DF8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618192BD">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911FE3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1,149.33</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BB543A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698.21</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73143CA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698.21</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DDBC8A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698.21</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7B7680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698.21</w:t>
            </w:r>
          </w:p>
        </w:tc>
      </w:tr>
      <w:tr w14:paraId="42BD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5026D4EE">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713E1C83">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977609C">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1780B27">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13C2FFD">
            <w:pPr>
              <w:widowControl/>
              <w:jc w:val="right"/>
              <w:rPr>
                <w:rFonts w:hint="eastAsia" w:ascii="宋体" w:hAnsi="宋体" w:eastAsia="宋体" w:cs="宋体"/>
                <w:b/>
                <w:bCs/>
                <w:color w:val="000000"/>
                <w:kern w:val="0"/>
                <w:sz w:val="20"/>
                <w:szCs w:val="20"/>
                <w:lang w:val="en-GB"/>
              </w:rPr>
            </w:pP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418C44B">
            <w:pPr>
              <w:widowControl/>
              <w:jc w:val="right"/>
              <w:rPr>
                <w:rFonts w:hint="eastAsia" w:ascii="宋体" w:hAnsi="宋体" w:eastAsia="宋体" w:cs="宋体"/>
                <w:b/>
                <w:bCs/>
                <w:color w:val="000000"/>
                <w:kern w:val="0"/>
                <w:sz w:val="20"/>
                <w:szCs w:val="20"/>
                <w:lang w:val="en-GB"/>
              </w:rPr>
            </w:pPr>
          </w:p>
        </w:tc>
      </w:tr>
      <w:tr w14:paraId="5068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10A984D0">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DC4959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2,751.27</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76705D1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1,397.89</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06A7A9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1,397.89</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B64FB57">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1,397.89</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5A69B1B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1,397.89</w:t>
            </w:r>
          </w:p>
        </w:tc>
      </w:tr>
      <w:tr w14:paraId="6C69E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FFFFFF"/>
            <w:vAlign w:val="center"/>
          </w:tcPr>
          <w:p w14:paraId="0F5CCD3F">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7B7AD2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2,751.27</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2EB35D0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4,149.16</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128C44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5,547.05</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0D01E3AB">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6,944.94</w:t>
            </w:r>
          </w:p>
        </w:tc>
        <w:tc>
          <w:tcPr>
            <w:tcW w:w="1245" w:type="dxa"/>
            <w:tcBorders>
              <w:top w:val="single" w:color="auto" w:sz="4" w:space="0"/>
              <w:left w:val="single" w:color="auto" w:sz="4" w:space="0"/>
              <w:bottom w:val="single" w:color="auto" w:sz="4" w:space="0"/>
              <w:right w:val="single" w:color="auto" w:sz="4" w:space="0"/>
            </w:tcBorders>
            <w:shd w:val="clear" w:color="auto" w:fill="FFFFFF"/>
          </w:tcPr>
          <w:p w14:paraId="39424684">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8,342.83</w:t>
            </w:r>
          </w:p>
        </w:tc>
      </w:tr>
    </w:tbl>
    <w:p w14:paraId="18427164">
      <w:pPr>
        <w:widowControl/>
        <w:ind w:firstLine="482" w:firstLineChars="200"/>
        <w:jc w:val="center"/>
        <w:rPr>
          <w:rFonts w:hint="eastAsia" w:ascii="宋体" w:hAnsi="宋体" w:eastAsia="宋体" w:cs="宋体"/>
          <w:b/>
          <w:kern w:val="0"/>
          <w:sz w:val="24"/>
          <w:szCs w:val="24"/>
          <w:lang w:val="en-GB"/>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52"/>
        <w:gridCol w:w="1172"/>
        <w:gridCol w:w="1172"/>
        <w:gridCol w:w="1172"/>
        <w:gridCol w:w="1172"/>
        <w:gridCol w:w="1170"/>
      </w:tblGrid>
      <w:tr w14:paraId="36FA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76" w:type="pct"/>
            <w:tcBorders>
              <w:top w:val="single" w:color="auto" w:sz="4" w:space="0"/>
              <w:left w:val="single" w:color="auto" w:sz="4" w:space="0"/>
              <w:bottom w:val="single" w:color="auto" w:sz="4" w:space="0"/>
              <w:right w:val="single" w:color="auto" w:sz="4" w:space="0"/>
            </w:tcBorders>
            <w:shd w:val="clear" w:color="auto" w:fill="D8D8D8"/>
            <w:vAlign w:val="center"/>
          </w:tcPr>
          <w:p w14:paraId="27A03241">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705" w:type="pct"/>
            <w:tcBorders>
              <w:top w:val="single" w:color="auto" w:sz="4" w:space="0"/>
              <w:left w:val="single" w:color="auto" w:sz="4" w:space="0"/>
              <w:bottom w:val="single" w:color="auto" w:sz="4" w:space="0"/>
              <w:right w:val="single" w:color="auto" w:sz="4" w:space="0"/>
            </w:tcBorders>
            <w:shd w:val="clear" w:color="auto" w:fill="D8D8D8"/>
            <w:vAlign w:val="center"/>
          </w:tcPr>
          <w:p w14:paraId="06C4E241">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2032</w:t>
            </w:r>
          </w:p>
        </w:tc>
        <w:tc>
          <w:tcPr>
            <w:tcW w:w="705" w:type="pct"/>
            <w:tcBorders>
              <w:top w:val="single" w:color="auto" w:sz="4" w:space="0"/>
              <w:left w:val="single" w:color="auto" w:sz="4" w:space="0"/>
              <w:bottom w:val="single" w:color="auto" w:sz="4" w:space="0"/>
              <w:right w:val="single" w:color="auto" w:sz="4" w:space="0"/>
            </w:tcBorders>
            <w:shd w:val="clear" w:color="auto" w:fill="D8D8D8"/>
            <w:vAlign w:val="center"/>
          </w:tcPr>
          <w:p w14:paraId="5286CFC5">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2033</w:t>
            </w:r>
          </w:p>
        </w:tc>
        <w:tc>
          <w:tcPr>
            <w:tcW w:w="705" w:type="pct"/>
            <w:tcBorders>
              <w:top w:val="single" w:color="auto" w:sz="4" w:space="0"/>
              <w:left w:val="single" w:color="auto" w:sz="4" w:space="0"/>
              <w:bottom w:val="single" w:color="auto" w:sz="4" w:space="0"/>
              <w:right w:val="single" w:color="auto" w:sz="4" w:space="0"/>
            </w:tcBorders>
            <w:shd w:val="clear" w:color="auto" w:fill="D8D8D8"/>
          </w:tcPr>
          <w:p w14:paraId="0495353F">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2034</w:t>
            </w:r>
          </w:p>
        </w:tc>
        <w:tc>
          <w:tcPr>
            <w:tcW w:w="705" w:type="pct"/>
            <w:tcBorders>
              <w:top w:val="single" w:color="auto" w:sz="4" w:space="0"/>
              <w:left w:val="single" w:color="auto" w:sz="4" w:space="0"/>
              <w:bottom w:val="single" w:color="auto" w:sz="4" w:space="0"/>
              <w:right w:val="single" w:color="auto" w:sz="4" w:space="0"/>
            </w:tcBorders>
            <w:shd w:val="clear" w:color="auto" w:fill="D8D8D8"/>
          </w:tcPr>
          <w:p w14:paraId="6DF0D57C">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2035</w:t>
            </w:r>
          </w:p>
        </w:tc>
        <w:tc>
          <w:tcPr>
            <w:tcW w:w="705" w:type="pct"/>
            <w:tcBorders>
              <w:top w:val="single" w:color="auto" w:sz="4" w:space="0"/>
              <w:left w:val="single" w:color="auto" w:sz="4" w:space="0"/>
              <w:bottom w:val="single" w:color="auto" w:sz="4" w:space="0"/>
              <w:right w:val="single" w:color="auto" w:sz="4" w:space="0"/>
            </w:tcBorders>
            <w:shd w:val="clear" w:color="auto" w:fill="D8D8D8"/>
            <w:vAlign w:val="center"/>
          </w:tcPr>
          <w:p w14:paraId="3A89A8E9">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r>
      <w:tr w14:paraId="21F9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44E36136">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4DB9417">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E47601D">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759577BC">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F48AE23">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3949AD1">
            <w:pPr>
              <w:widowControl/>
              <w:jc w:val="right"/>
              <w:rPr>
                <w:rFonts w:hint="eastAsia" w:ascii="宋体" w:hAnsi="宋体" w:eastAsia="宋体" w:cs="宋体"/>
                <w:b/>
                <w:bCs/>
                <w:color w:val="000000"/>
                <w:kern w:val="0"/>
                <w:sz w:val="20"/>
                <w:szCs w:val="20"/>
                <w:lang w:val="en-GB"/>
              </w:rPr>
            </w:pPr>
          </w:p>
        </w:tc>
      </w:tr>
      <w:tr w14:paraId="2013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5221048E">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78F8E5A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27FA00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62E8200">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E3D479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7ED59A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56,131.34</w:t>
            </w:r>
          </w:p>
        </w:tc>
      </w:tr>
      <w:tr w14:paraId="4FC18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59FD7D80">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本期债券资金流入</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CA81B3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28B366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6416B11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40CC515A">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560BB1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9,320.72</w:t>
            </w:r>
          </w:p>
        </w:tc>
      </w:tr>
      <w:tr w14:paraId="52B2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4E7FFAB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947395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CB2E4B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D54871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69FEA01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72EE6AA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20,669.40</w:t>
            </w:r>
          </w:p>
        </w:tc>
      </w:tr>
      <w:tr w14:paraId="34CF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6B8A3F34">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E22F9C1">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46B3195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2B0D7E1">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30D7690">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0900E4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86,121.46</w:t>
            </w:r>
          </w:p>
        </w:tc>
      </w:tr>
      <w:tr w14:paraId="005E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709992D4">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8C4A754">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98CADFA">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05E2589">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77CF55D">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4504179">
            <w:pPr>
              <w:widowControl/>
              <w:jc w:val="right"/>
              <w:rPr>
                <w:rFonts w:hint="eastAsia" w:ascii="宋体" w:hAnsi="宋体" w:eastAsia="宋体" w:cs="宋体"/>
                <w:b/>
                <w:bCs/>
                <w:color w:val="000000"/>
                <w:kern w:val="0"/>
                <w:sz w:val="20"/>
                <w:szCs w:val="20"/>
                <w:lang w:val="en-GB"/>
              </w:rPr>
            </w:pPr>
          </w:p>
        </w:tc>
      </w:tr>
      <w:tr w14:paraId="1BD8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32D08C4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6FAE6F4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01F97A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B13679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7324289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647C108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65,215.28</w:t>
            </w:r>
          </w:p>
        </w:tc>
      </w:tr>
      <w:tr w14:paraId="12B6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09DF0A2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C596DC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532.71</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45C1EFA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532.71</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592A787">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532.71</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488092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532.71</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319347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5,245.51</w:t>
            </w:r>
          </w:p>
        </w:tc>
      </w:tr>
      <w:tr w14:paraId="6858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7D591C1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69DE81F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80DBA0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830470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389.97</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435C45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9,185.06</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4AB2F4C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10,970.31</w:t>
            </w:r>
          </w:p>
        </w:tc>
      </w:tr>
      <w:tr w14:paraId="27A9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5816F610">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4C6B6C8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25F1BC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3D96CA7">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411D8C4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B90C92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r>
      <w:tr w14:paraId="433C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104B36A3">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14287B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698.21</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6B72B0C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698.21</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8C9D43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922.68</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449C4B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9,717.77</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5C78AF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81,431.10</w:t>
            </w:r>
          </w:p>
        </w:tc>
      </w:tr>
      <w:tr w14:paraId="5971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6719AC14">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3D2D122">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FBFCDFE">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C4A289B">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71B2BA0">
            <w:pPr>
              <w:widowControl/>
              <w:jc w:val="right"/>
              <w:rPr>
                <w:rFonts w:hint="eastAsia" w:ascii="宋体" w:hAnsi="宋体" w:eastAsia="宋体" w:cs="宋体"/>
                <w:b/>
                <w:bCs/>
                <w:color w:val="000000"/>
                <w:kern w:val="0"/>
                <w:sz w:val="20"/>
                <w:szCs w:val="20"/>
                <w:lang w:val="en-GB"/>
              </w:rPr>
            </w:pP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9ABF57C">
            <w:pPr>
              <w:widowControl/>
              <w:jc w:val="right"/>
              <w:rPr>
                <w:rFonts w:hint="eastAsia" w:ascii="宋体" w:hAnsi="宋体" w:eastAsia="宋体" w:cs="宋体"/>
                <w:b/>
                <w:bCs/>
                <w:color w:val="000000"/>
                <w:kern w:val="0"/>
                <w:sz w:val="20"/>
                <w:szCs w:val="20"/>
                <w:lang w:val="en-GB"/>
              </w:rPr>
            </w:pPr>
          </w:p>
        </w:tc>
      </w:tr>
      <w:tr w14:paraId="4D78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682A20C5">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7E70A8EA">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1,397.89</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65DD83A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1,397.89</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338E2CA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1,173.42</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46410C1">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-7,621.67</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1674EA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r>
      <w:tr w14:paraId="7962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76" w:type="pct"/>
            <w:tcBorders>
              <w:top w:val="single" w:color="auto" w:sz="4" w:space="0"/>
              <w:left w:val="single" w:color="auto" w:sz="4" w:space="0"/>
              <w:bottom w:val="single" w:color="auto" w:sz="4" w:space="0"/>
              <w:right w:val="single" w:color="auto" w:sz="4" w:space="0"/>
            </w:tcBorders>
            <w:shd w:val="clear" w:color="auto" w:fill="FFFFFF"/>
            <w:vAlign w:val="center"/>
          </w:tcPr>
          <w:p w14:paraId="0E7A45DF">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987C39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9,740.72</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015B36C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11,138.61</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553D923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12,312.03</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2AB6339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4,690.36</w:t>
            </w:r>
          </w:p>
        </w:tc>
        <w:tc>
          <w:tcPr>
            <w:tcW w:w="705" w:type="pct"/>
            <w:tcBorders>
              <w:top w:val="single" w:color="auto" w:sz="4" w:space="0"/>
              <w:left w:val="single" w:color="auto" w:sz="4" w:space="0"/>
              <w:bottom w:val="single" w:color="auto" w:sz="4" w:space="0"/>
              <w:right w:val="single" w:color="auto" w:sz="4" w:space="0"/>
            </w:tcBorders>
            <w:shd w:val="clear" w:color="auto" w:fill="FFFFFF"/>
          </w:tcPr>
          <w:p w14:paraId="1D9D6EF6">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w:t>
            </w:r>
          </w:p>
        </w:tc>
      </w:tr>
    </w:tbl>
    <w:p w14:paraId="5905C074">
      <w:pPr>
        <w:widowControl/>
        <w:spacing w:before="120" w:after="120" w:line="360" w:lineRule="auto"/>
        <w:ind w:firstLine="482" w:firstLineChars="200"/>
        <w:jc w:val="both"/>
        <w:outlineLvl w:val="2"/>
        <w:rPr>
          <w:rFonts w:hint="eastAsia" w:ascii="宋体" w:hAnsi="宋体" w:eastAsia="宋体" w:cs="宋体"/>
          <w:b/>
          <w:bCs/>
          <w:color w:val="000000"/>
          <w:kern w:val="0"/>
          <w:sz w:val="24"/>
          <w:szCs w:val="24"/>
          <w:lang w:val="en-US"/>
        </w:rPr>
      </w:pPr>
      <w:bookmarkStart w:id="27" w:name="_Toc200555358"/>
      <w:bookmarkStart w:id="28" w:name="_Toc114818425"/>
      <w:bookmarkStart w:id="29" w:name="_Toc114818535"/>
      <w:r>
        <w:rPr>
          <w:rFonts w:hint="eastAsia" w:ascii="宋体" w:hAnsi="宋体" w:eastAsia="宋体" w:cs="宋体"/>
          <w:b/>
          <w:bCs/>
          <w:color w:val="000000"/>
          <w:kern w:val="0"/>
          <w:sz w:val="24"/>
          <w:szCs w:val="24"/>
          <w:lang w:val="en-US"/>
        </w:rPr>
        <w:t>4</w:t>
      </w:r>
      <w:r>
        <w:rPr>
          <w:rFonts w:hint="eastAsia" w:ascii="宋体" w:hAnsi="宋体" w:eastAsia="宋体" w:cs="宋体"/>
          <w:b/>
          <w:bCs/>
          <w:color w:val="000000"/>
          <w:kern w:val="0"/>
          <w:sz w:val="24"/>
          <w:szCs w:val="24"/>
          <w:lang w:val="en-US"/>
        </w:rPr>
        <w:t>.</w:t>
      </w:r>
      <w:r>
        <w:rPr>
          <w:rFonts w:hint="eastAsia" w:ascii="宋体" w:hAnsi="宋体" w:eastAsia="宋体" w:cs="宋体"/>
          <w:b/>
          <w:bCs/>
          <w:color w:val="000000"/>
          <w:kern w:val="0"/>
          <w:sz w:val="24"/>
          <w:szCs w:val="24"/>
          <w:lang w:val="en-US"/>
        </w:rPr>
        <w:t>债券发行和还本付息</w:t>
      </w:r>
      <w:bookmarkEnd w:id="27"/>
    </w:p>
    <w:p w14:paraId="20F11026">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本次债券利息每半年支付一次，最后一期利息随本金一起支付。自发行之日起存续期还本付息情况详见表7。</w:t>
      </w:r>
    </w:p>
    <w:p w14:paraId="5FD4AB40">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表7 鸿越路配套路网工程</w:t>
      </w:r>
      <w:r>
        <w:rPr>
          <w:rFonts w:hint="eastAsia" w:ascii="宋体" w:hAnsi="宋体" w:eastAsia="宋体" w:cs="宋体"/>
          <w:b/>
          <w:kern w:val="0"/>
          <w:sz w:val="24"/>
          <w:szCs w:val="24"/>
          <w:lang w:val="en-GB"/>
        </w:rPr>
        <w:t>还本付息表</w:t>
      </w:r>
    </w:p>
    <w:p w14:paraId="5947CCAA">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20"/>
        <w:gridCol w:w="1092"/>
        <w:gridCol w:w="1090"/>
        <w:gridCol w:w="1090"/>
        <w:gridCol w:w="1090"/>
        <w:gridCol w:w="1084"/>
        <w:gridCol w:w="1083"/>
      </w:tblGrid>
      <w:tr w14:paraId="2CC5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90" w:type="pct"/>
            <w:shd w:val="clear" w:color="auto" w:fill="D8D8D8"/>
            <w:vAlign w:val="center"/>
          </w:tcPr>
          <w:p w14:paraId="73F861DA">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54" w:type="pct"/>
            <w:shd w:val="clear" w:color="auto" w:fill="D8D8D8"/>
            <w:vAlign w:val="center"/>
          </w:tcPr>
          <w:p w14:paraId="43EF5BB5">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2025</w:t>
            </w:r>
          </w:p>
        </w:tc>
        <w:tc>
          <w:tcPr>
            <w:tcW w:w="653" w:type="pct"/>
            <w:shd w:val="clear" w:color="auto" w:fill="D8D8D8"/>
            <w:vAlign w:val="center"/>
          </w:tcPr>
          <w:p w14:paraId="1CFEC87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2026</w:t>
            </w:r>
          </w:p>
        </w:tc>
        <w:tc>
          <w:tcPr>
            <w:tcW w:w="653" w:type="pct"/>
            <w:shd w:val="clear" w:color="auto" w:fill="D8D8D8"/>
            <w:vAlign w:val="center"/>
          </w:tcPr>
          <w:p w14:paraId="162ED15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2027</w:t>
            </w:r>
          </w:p>
        </w:tc>
        <w:tc>
          <w:tcPr>
            <w:tcW w:w="653" w:type="pct"/>
            <w:shd w:val="clear" w:color="auto" w:fill="D8D8D8"/>
            <w:vAlign w:val="center"/>
          </w:tcPr>
          <w:p w14:paraId="0738427A">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2028</w:t>
            </w:r>
          </w:p>
        </w:tc>
        <w:tc>
          <w:tcPr>
            <w:tcW w:w="649" w:type="pct"/>
            <w:shd w:val="clear" w:color="auto" w:fill="D8D8D8"/>
            <w:vAlign w:val="center"/>
          </w:tcPr>
          <w:p w14:paraId="2C9B1BD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2029</w:t>
            </w:r>
          </w:p>
        </w:tc>
        <w:tc>
          <w:tcPr>
            <w:tcW w:w="648" w:type="pct"/>
            <w:shd w:val="clear" w:color="auto" w:fill="D8D8D8"/>
            <w:vAlign w:val="center"/>
          </w:tcPr>
          <w:p w14:paraId="43F782C9">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2030</w:t>
            </w:r>
          </w:p>
        </w:tc>
      </w:tr>
      <w:tr w14:paraId="7BB0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2AA84B25">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期初专项债券余额</w:t>
            </w:r>
          </w:p>
        </w:tc>
        <w:tc>
          <w:tcPr>
            <w:tcW w:w="654" w:type="pct"/>
            <w:shd w:val="clear" w:color="000000" w:fill="FFFFFF"/>
            <w:vAlign w:val="center"/>
          </w:tcPr>
          <w:p w14:paraId="267BBCBB">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2605FD3B">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488DF26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5C899E8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49" w:type="pct"/>
            <w:shd w:val="clear" w:color="000000" w:fill="FFFFFF"/>
            <w:vAlign w:val="center"/>
          </w:tcPr>
          <w:p w14:paraId="7D4E7C2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48" w:type="pct"/>
            <w:shd w:val="clear" w:color="000000" w:fill="FFFFFF"/>
            <w:vAlign w:val="center"/>
          </w:tcPr>
          <w:p w14:paraId="15A3114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r>
      <w:tr w14:paraId="13D7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765A0358">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本期专项债券发行</w:t>
            </w:r>
          </w:p>
        </w:tc>
        <w:tc>
          <w:tcPr>
            <w:tcW w:w="654" w:type="pct"/>
            <w:shd w:val="clear" w:color="000000" w:fill="FFFFFF"/>
            <w:vAlign w:val="center"/>
          </w:tcPr>
          <w:p w14:paraId="1B56603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r>
              <w:rPr>
                <w:rFonts w:hint="eastAsia" w:ascii="宋体" w:hAnsi="宋体" w:eastAsia="宋体" w:cs="宋体"/>
                <w:kern w:val="0"/>
                <w:sz w:val="20"/>
                <w:vertAlign w:val="superscript"/>
                <w:lang w:val="en-GB"/>
              </w:rPr>
              <w:t>1</w:t>
            </w:r>
          </w:p>
        </w:tc>
        <w:tc>
          <w:tcPr>
            <w:tcW w:w="653" w:type="pct"/>
            <w:shd w:val="clear" w:color="000000" w:fill="FFFFFF"/>
            <w:vAlign w:val="center"/>
          </w:tcPr>
          <w:p w14:paraId="0AF2607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064900F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1DABABA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9" w:type="pct"/>
            <w:shd w:val="clear" w:color="000000" w:fill="FFFFFF"/>
            <w:vAlign w:val="center"/>
          </w:tcPr>
          <w:p w14:paraId="1B1577F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8" w:type="pct"/>
            <w:shd w:val="clear" w:color="000000" w:fill="FFFFFF"/>
            <w:vAlign w:val="center"/>
          </w:tcPr>
          <w:p w14:paraId="35360D1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6109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323E9542">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利息支出</w:t>
            </w:r>
          </w:p>
        </w:tc>
        <w:tc>
          <w:tcPr>
            <w:tcW w:w="654" w:type="pct"/>
            <w:shd w:val="clear" w:color="000000" w:fill="FFFFFF"/>
            <w:vAlign w:val="center"/>
          </w:tcPr>
          <w:p w14:paraId="1CB4DE4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71.28</w:t>
            </w:r>
          </w:p>
        </w:tc>
        <w:tc>
          <w:tcPr>
            <w:tcW w:w="653" w:type="pct"/>
            <w:shd w:val="clear" w:color="000000" w:fill="FFFFFF"/>
            <w:vAlign w:val="center"/>
          </w:tcPr>
          <w:p w14:paraId="734A3F8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210D23D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1BA07DB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49" w:type="pct"/>
            <w:shd w:val="clear" w:color="000000" w:fill="FFFFFF"/>
            <w:vAlign w:val="center"/>
          </w:tcPr>
          <w:p w14:paraId="71D5BFD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48" w:type="pct"/>
            <w:shd w:val="clear" w:color="000000" w:fill="FFFFFF"/>
            <w:vAlign w:val="center"/>
          </w:tcPr>
          <w:p w14:paraId="0C6DC2F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r>
      <w:tr w14:paraId="4B45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1FFA924F">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本期还款</w:t>
            </w:r>
          </w:p>
        </w:tc>
        <w:tc>
          <w:tcPr>
            <w:tcW w:w="654" w:type="pct"/>
            <w:shd w:val="clear" w:color="000000" w:fill="FFFFFF"/>
            <w:vAlign w:val="center"/>
          </w:tcPr>
          <w:p w14:paraId="084393E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71.28</w:t>
            </w:r>
          </w:p>
        </w:tc>
        <w:tc>
          <w:tcPr>
            <w:tcW w:w="653" w:type="pct"/>
            <w:shd w:val="clear" w:color="000000" w:fill="FFFFFF"/>
            <w:vAlign w:val="center"/>
          </w:tcPr>
          <w:p w14:paraId="0717570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558ADAA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637FB1D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49" w:type="pct"/>
            <w:shd w:val="clear" w:color="000000" w:fill="FFFFFF"/>
            <w:vAlign w:val="center"/>
          </w:tcPr>
          <w:p w14:paraId="6863A4F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48" w:type="pct"/>
            <w:shd w:val="clear" w:color="000000" w:fill="FFFFFF"/>
            <w:vAlign w:val="center"/>
          </w:tcPr>
          <w:p w14:paraId="4F36B84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r>
      <w:tr w14:paraId="017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3774F4F8">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其中：还本</w:t>
            </w:r>
          </w:p>
        </w:tc>
        <w:tc>
          <w:tcPr>
            <w:tcW w:w="654" w:type="pct"/>
            <w:shd w:val="clear" w:color="000000" w:fill="FFFFFF"/>
            <w:vAlign w:val="center"/>
          </w:tcPr>
          <w:p w14:paraId="0D3D450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74CF590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3D3B3B1B">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1D8AC15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9" w:type="pct"/>
            <w:shd w:val="clear" w:color="000000" w:fill="FFFFFF"/>
            <w:vAlign w:val="center"/>
          </w:tcPr>
          <w:p w14:paraId="60D8CB9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48" w:type="pct"/>
            <w:shd w:val="clear" w:color="000000" w:fill="FFFFFF"/>
            <w:vAlign w:val="center"/>
          </w:tcPr>
          <w:p w14:paraId="67BFD09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r>
      <w:tr w14:paraId="0A7F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4E67EB80">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付息</w:t>
            </w:r>
          </w:p>
        </w:tc>
        <w:tc>
          <w:tcPr>
            <w:tcW w:w="654" w:type="pct"/>
            <w:shd w:val="clear" w:color="000000" w:fill="FFFFFF"/>
            <w:vAlign w:val="center"/>
          </w:tcPr>
          <w:p w14:paraId="587CF9B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71.28</w:t>
            </w:r>
          </w:p>
        </w:tc>
        <w:tc>
          <w:tcPr>
            <w:tcW w:w="653" w:type="pct"/>
            <w:shd w:val="clear" w:color="000000" w:fill="FFFFFF"/>
            <w:vAlign w:val="center"/>
          </w:tcPr>
          <w:p w14:paraId="3CDEA41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5807054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3D866BC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49" w:type="pct"/>
            <w:shd w:val="clear" w:color="000000" w:fill="FFFFFF"/>
            <w:vAlign w:val="center"/>
          </w:tcPr>
          <w:p w14:paraId="318321F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48" w:type="pct"/>
            <w:shd w:val="clear" w:color="000000" w:fill="FFFFFF"/>
            <w:vAlign w:val="center"/>
          </w:tcPr>
          <w:p w14:paraId="474576F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r>
      <w:tr w14:paraId="63A5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0804203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期末专项债券余额</w:t>
            </w:r>
          </w:p>
        </w:tc>
        <w:tc>
          <w:tcPr>
            <w:tcW w:w="654" w:type="pct"/>
            <w:shd w:val="clear" w:color="000000" w:fill="FFFFFF"/>
            <w:vAlign w:val="center"/>
          </w:tcPr>
          <w:p w14:paraId="327AA88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5677665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3A10A06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2FB59D5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49" w:type="pct"/>
            <w:shd w:val="clear" w:color="000000" w:fill="FFFFFF"/>
            <w:vAlign w:val="center"/>
          </w:tcPr>
          <w:p w14:paraId="11E555C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48" w:type="pct"/>
            <w:shd w:val="clear" w:color="000000" w:fill="FFFFFF"/>
            <w:vAlign w:val="center"/>
          </w:tcPr>
          <w:p w14:paraId="551163D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r>
    </w:tbl>
    <w:p w14:paraId="353FB8D3">
      <w:pPr>
        <w:widowControl/>
        <w:ind w:firstLine="360" w:firstLineChars="200"/>
        <w:jc w:val="left"/>
        <w:rPr>
          <w:rFonts w:hint="eastAsia" w:ascii="宋体" w:hAnsi="宋体" w:eastAsia="宋体" w:cs="宋体"/>
          <w:kern w:val="0"/>
          <w:sz w:val="18"/>
          <w:szCs w:val="18"/>
          <w:lang w:val="en-GB"/>
        </w:rPr>
      </w:pPr>
      <w:r>
        <w:rPr>
          <w:rFonts w:hint="eastAsia" w:ascii="宋体" w:hAnsi="宋体" w:eastAsia="宋体" w:cs="宋体"/>
          <w:kern w:val="0"/>
          <w:sz w:val="18"/>
          <w:szCs w:val="18"/>
          <w:lang w:val="en-GB" w:eastAsia="zh-TW"/>
        </w:rPr>
        <w:t>注</w:t>
      </w:r>
      <w:r>
        <w:rPr>
          <w:rFonts w:hint="eastAsia" w:ascii="宋体" w:hAnsi="宋体" w:eastAsia="宋体" w:cs="宋体"/>
          <w:kern w:val="0"/>
          <w:sz w:val="18"/>
          <w:szCs w:val="18"/>
          <w:vertAlign w:val="superscript"/>
          <w:lang w:val="en-GB"/>
        </w:rPr>
        <w:t>1</w:t>
      </w:r>
      <w:r>
        <w:rPr>
          <w:rFonts w:hint="eastAsia" w:ascii="宋体" w:hAnsi="宋体" w:eastAsia="宋体" w:cs="宋体"/>
          <w:kern w:val="0"/>
          <w:sz w:val="18"/>
          <w:szCs w:val="18"/>
          <w:lang w:val="en-GB" w:eastAsia="zh-TW"/>
        </w:rPr>
        <w:t>：本项目2025年6月已调增专项债券8,100.00万元。本次计划调增专项债券1,220.72万元</w:t>
      </w:r>
      <w:r>
        <w:rPr>
          <w:rFonts w:hint="eastAsia" w:ascii="宋体" w:hAnsi="宋体" w:eastAsia="宋体" w:cs="宋体"/>
          <w:kern w:val="0"/>
          <w:sz w:val="18"/>
          <w:szCs w:val="18"/>
          <w:lang w:val="en-GB"/>
        </w:rPr>
        <w:t>。</w:t>
      </w:r>
    </w:p>
    <w:tbl>
      <w:tblPr>
        <w:tblStyle w:val="19"/>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5"/>
        <w:gridCol w:w="1093"/>
        <w:gridCol w:w="1093"/>
        <w:gridCol w:w="1093"/>
        <w:gridCol w:w="1059"/>
        <w:gridCol w:w="1058"/>
      </w:tblGrid>
      <w:tr w14:paraId="385D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2" w:type="pct"/>
            <w:shd w:val="clear" w:color="auto" w:fill="D8D8D8"/>
            <w:vAlign w:val="center"/>
          </w:tcPr>
          <w:p w14:paraId="0BFBAAE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54" w:type="pct"/>
            <w:shd w:val="clear" w:color="auto" w:fill="D8D8D8"/>
            <w:vAlign w:val="center"/>
          </w:tcPr>
          <w:p w14:paraId="02D2104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2031</w:t>
            </w:r>
          </w:p>
        </w:tc>
        <w:tc>
          <w:tcPr>
            <w:tcW w:w="653" w:type="pct"/>
            <w:shd w:val="clear" w:color="auto" w:fill="D8D8D8"/>
            <w:vAlign w:val="center"/>
          </w:tcPr>
          <w:p w14:paraId="3E27DD7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2032</w:t>
            </w:r>
          </w:p>
        </w:tc>
        <w:tc>
          <w:tcPr>
            <w:tcW w:w="653" w:type="pct"/>
            <w:shd w:val="clear" w:color="auto" w:fill="D8D8D8"/>
            <w:vAlign w:val="center"/>
          </w:tcPr>
          <w:p w14:paraId="32FDD53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2033</w:t>
            </w:r>
          </w:p>
        </w:tc>
        <w:tc>
          <w:tcPr>
            <w:tcW w:w="653" w:type="pct"/>
            <w:shd w:val="clear" w:color="auto" w:fill="D8D8D8"/>
            <w:vAlign w:val="center"/>
          </w:tcPr>
          <w:p w14:paraId="3669CB9B">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2034</w:t>
            </w:r>
          </w:p>
        </w:tc>
        <w:tc>
          <w:tcPr>
            <w:tcW w:w="633" w:type="pct"/>
            <w:shd w:val="clear" w:color="auto" w:fill="D8D8D8"/>
          </w:tcPr>
          <w:p w14:paraId="52180A19">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2035</w:t>
            </w:r>
          </w:p>
        </w:tc>
        <w:tc>
          <w:tcPr>
            <w:tcW w:w="632" w:type="pct"/>
            <w:shd w:val="clear" w:color="auto" w:fill="D8D8D8"/>
            <w:vAlign w:val="center"/>
          </w:tcPr>
          <w:p w14:paraId="64FE470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r>
      <w:tr w14:paraId="4F5C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50447C3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期初专项债券余额</w:t>
            </w:r>
          </w:p>
        </w:tc>
        <w:tc>
          <w:tcPr>
            <w:tcW w:w="654" w:type="pct"/>
            <w:shd w:val="clear" w:color="000000" w:fill="FFFFFF"/>
            <w:vAlign w:val="center"/>
          </w:tcPr>
          <w:p w14:paraId="06801C7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37520E5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40A20E9B">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0539377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33" w:type="pct"/>
            <w:shd w:val="clear" w:color="000000" w:fill="FFFFFF"/>
            <w:vAlign w:val="center"/>
          </w:tcPr>
          <w:p w14:paraId="26E4B1A4">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9,096.25</w:t>
            </w:r>
          </w:p>
        </w:tc>
        <w:tc>
          <w:tcPr>
            <w:tcW w:w="632" w:type="pct"/>
            <w:shd w:val="clear" w:color="000000" w:fill="FFFFFF"/>
            <w:vAlign w:val="center"/>
          </w:tcPr>
          <w:p w14:paraId="390D213A">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w:t>
            </w:r>
          </w:p>
        </w:tc>
      </w:tr>
      <w:tr w14:paraId="2409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FC19D08">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本期专项债券发行</w:t>
            </w:r>
          </w:p>
        </w:tc>
        <w:tc>
          <w:tcPr>
            <w:tcW w:w="654" w:type="pct"/>
            <w:shd w:val="clear" w:color="000000" w:fill="FFFFFF"/>
            <w:vAlign w:val="center"/>
          </w:tcPr>
          <w:p w14:paraId="6413F3A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482B8B2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2B6F3B6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tcPr>
          <w:p w14:paraId="39D3663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33" w:type="pct"/>
            <w:shd w:val="clear" w:color="000000" w:fill="FFFFFF"/>
          </w:tcPr>
          <w:p w14:paraId="57FF308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632" w:type="pct"/>
            <w:shd w:val="clear" w:color="000000" w:fill="FFFFFF"/>
            <w:vAlign w:val="center"/>
          </w:tcPr>
          <w:p w14:paraId="10780BD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9,320.72</w:t>
            </w:r>
          </w:p>
        </w:tc>
      </w:tr>
      <w:tr w14:paraId="2484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2A7AA6CC">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利息支出</w:t>
            </w:r>
          </w:p>
        </w:tc>
        <w:tc>
          <w:tcPr>
            <w:tcW w:w="654" w:type="pct"/>
            <w:shd w:val="clear" w:color="000000" w:fill="FFFFFF"/>
            <w:vAlign w:val="center"/>
          </w:tcPr>
          <w:p w14:paraId="74C0DB6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646C72F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54E4C314">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31AED52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33" w:type="pct"/>
            <w:shd w:val="clear" w:color="000000" w:fill="FFFFFF"/>
            <w:vAlign w:val="center"/>
          </w:tcPr>
          <w:p w14:paraId="5650161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88.81</w:t>
            </w:r>
          </w:p>
        </w:tc>
        <w:tc>
          <w:tcPr>
            <w:tcW w:w="632" w:type="pct"/>
            <w:shd w:val="clear" w:color="000000" w:fill="FFFFFF"/>
            <w:vAlign w:val="center"/>
          </w:tcPr>
          <w:p w14:paraId="2052619D">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1,649.59</w:t>
            </w:r>
          </w:p>
        </w:tc>
      </w:tr>
      <w:tr w14:paraId="6E34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1FF23FE8">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本期还款</w:t>
            </w:r>
          </w:p>
        </w:tc>
        <w:tc>
          <w:tcPr>
            <w:tcW w:w="654" w:type="pct"/>
            <w:shd w:val="clear" w:color="000000" w:fill="FFFFFF"/>
            <w:vAlign w:val="center"/>
          </w:tcPr>
          <w:p w14:paraId="76DD1C9C">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3EADA7E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5EA021B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5FAD8FA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389.97</w:t>
            </w:r>
          </w:p>
        </w:tc>
        <w:tc>
          <w:tcPr>
            <w:tcW w:w="633" w:type="pct"/>
            <w:shd w:val="clear" w:color="000000" w:fill="FFFFFF"/>
            <w:vAlign w:val="center"/>
          </w:tcPr>
          <w:p w14:paraId="5B1316B4">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9,185.06</w:t>
            </w:r>
          </w:p>
        </w:tc>
        <w:tc>
          <w:tcPr>
            <w:tcW w:w="632" w:type="pct"/>
            <w:shd w:val="clear" w:color="000000" w:fill="FFFFFF"/>
            <w:vAlign w:val="center"/>
          </w:tcPr>
          <w:p w14:paraId="3080CF2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10,970.31</w:t>
            </w:r>
          </w:p>
        </w:tc>
      </w:tr>
      <w:tr w14:paraId="36D66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6710BA97">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其中：还本</w:t>
            </w:r>
          </w:p>
        </w:tc>
        <w:tc>
          <w:tcPr>
            <w:tcW w:w="654" w:type="pct"/>
            <w:shd w:val="clear" w:color="000000" w:fill="FFFFFF"/>
            <w:vAlign w:val="center"/>
          </w:tcPr>
          <w:p w14:paraId="5FC9547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7B1627A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12BA5AD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w:t>
            </w:r>
          </w:p>
        </w:tc>
        <w:tc>
          <w:tcPr>
            <w:tcW w:w="653" w:type="pct"/>
            <w:shd w:val="clear" w:color="000000" w:fill="FFFFFF"/>
            <w:vAlign w:val="center"/>
          </w:tcPr>
          <w:p w14:paraId="0449376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224.47</w:t>
            </w:r>
          </w:p>
        </w:tc>
        <w:tc>
          <w:tcPr>
            <w:tcW w:w="633" w:type="pct"/>
            <w:shd w:val="clear" w:color="000000" w:fill="FFFFFF"/>
            <w:vAlign w:val="center"/>
          </w:tcPr>
          <w:p w14:paraId="1BB47554">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9,096.25</w:t>
            </w:r>
          </w:p>
        </w:tc>
        <w:tc>
          <w:tcPr>
            <w:tcW w:w="632" w:type="pct"/>
            <w:shd w:val="clear" w:color="000000" w:fill="FFFFFF"/>
            <w:vAlign w:val="center"/>
          </w:tcPr>
          <w:p w14:paraId="0CEA5274">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9,320.72</w:t>
            </w:r>
          </w:p>
        </w:tc>
      </w:tr>
      <w:tr w14:paraId="3509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31FFEF9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付息</w:t>
            </w:r>
          </w:p>
        </w:tc>
        <w:tc>
          <w:tcPr>
            <w:tcW w:w="654" w:type="pct"/>
            <w:shd w:val="clear" w:color="000000" w:fill="FFFFFF"/>
            <w:vAlign w:val="center"/>
          </w:tcPr>
          <w:p w14:paraId="0ABC9AE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3E7F166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3063F54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53" w:type="pct"/>
            <w:shd w:val="clear" w:color="000000" w:fill="FFFFFF"/>
            <w:vAlign w:val="center"/>
          </w:tcPr>
          <w:p w14:paraId="5012C96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165.50</w:t>
            </w:r>
          </w:p>
        </w:tc>
        <w:tc>
          <w:tcPr>
            <w:tcW w:w="633" w:type="pct"/>
            <w:shd w:val="clear" w:color="000000" w:fill="FFFFFF"/>
            <w:vAlign w:val="center"/>
          </w:tcPr>
          <w:p w14:paraId="2F3D979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88.81</w:t>
            </w:r>
          </w:p>
        </w:tc>
        <w:tc>
          <w:tcPr>
            <w:tcW w:w="632" w:type="pct"/>
            <w:shd w:val="clear" w:color="000000" w:fill="FFFFFF"/>
            <w:vAlign w:val="center"/>
          </w:tcPr>
          <w:p w14:paraId="75D009C1">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1,649.59</w:t>
            </w:r>
          </w:p>
        </w:tc>
      </w:tr>
      <w:tr w14:paraId="7632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D27FF70">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期末专项债券余额</w:t>
            </w:r>
          </w:p>
        </w:tc>
        <w:tc>
          <w:tcPr>
            <w:tcW w:w="654" w:type="pct"/>
            <w:shd w:val="clear" w:color="000000" w:fill="FFFFFF"/>
            <w:vAlign w:val="center"/>
          </w:tcPr>
          <w:p w14:paraId="08E13A2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4BE4867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11AB02D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9,320.72</w:t>
            </w:r>
          </w:p>
        </w:tc>
        <w:tc>
          <w:tcPr>
            <w:tcW w:w="653" w:type="pct"/>
            <w:shd w:val="clear" w:color="000000" w:fill="FFFFFF"/>
            <w:vAlign w:val="center"/>
          </w:tcPr>
          <w:p w14:paraId="39450E80">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9,096.25</w:t>
            </w:r>
          </w:p>
        </w:tc>
        <w:tc>
          <w:tcPr>
            <w:tcW w:w="633" w:type="pct"/>
            <w:shd w:val="clear" w:color="000000" w:fill="FFFFFF"/>
          </w:tcPr>
          <w:p w14:paraId="4417EE6B">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c>
          <w:tcPr>
            <w:tcW w:w="632" w:type="pct"/>
            <w:shd w:val="clear" w:color="000000" w:fill="FFFFFF"/>
          </w:tcPr>
          <w:p w14:paraId="09259E2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w:t>
            </w:r>
          </w:p>
        </w:tc>
      </w:tr>
    </w:tbl>
    <w:p w14:paraId="349BBB7B">
      <w:pPr>
        <w:widowControl/>
        <w:spacing w:before="120" w:after="120" w:line="360" w:lineRule="auto"/>
        <w:jc w:val="both"/>
        <w:outlineLvl w:val="1"/>
        <w:rPr>
          <w:rFonts w:hint="eastAsia" w:ascii="宋体" w:hAnsi="宋体" w:eastAsia="宋体" w:cs="宋体"/>
          <w:b/>
          <w:color w:val="000000"/>
          <w:kern w:val="0"/>
          <w:sz w:val="24"/>
          <w:szCs w:val="24"/>
          <w:lang w:val="en-US"/>
        </w:rPr>
      </w:pPr>
      <w:bookmarkStart w:id="30" w:name="_Toc200555359"/>
      <w:r>
        <w:rPr>
          <w:rFonts w:hint="eastAsia" w:ascii="宋体" w:hAnsi="宋体" w:eastAsia="宋体" w:cs="宋体"/>
          <w:b/>
          <w:color w:val="000000"/>
          <w:kern w:val="0"/>
          <w:sz w:val="24"/>
          <w:szCs w:val="24"/>
          <w:lang w:val="en-US"/>
        </w:rPr>
        <w:t>（二）项目收益情况</w:t>
      </w:r>
      <w:bookmarkEnd w:id="30"/>
    </w:p>
    <w:p w14:paraId="12724C99">
      <w:pPr>
        <w:widowControl/>
        <w:spacing w:before="120" w:after="120" w:line="360" w:lineRule="auto"/>
        <w:ind w:firstLine="482" w:firstLineChars="200"/>
        <w:jc w:val="both"/>
        <w:outlineLvl w:val="2"/>
        <w:rPr>
          <w:rFonts w:hint="eastAsia" w:ascii="宋体" w:hAnsi="宋体" w:eastAsia="宋体" w:cs="宋体"/>
          <w:b/>
          <w:bCs/>
          <w:color w:val="000000"/>
          <w:kern w:val="0"/>
          <w:sz w:val="24"/>
          <w:szCs w:val="24"/>
          <w:lang w:val="en-US"/>
        </w:rPr>
      </w:pPr>
      <w:bookmarkStart w:id="31" w:name="_Toc200555360"/>
      <w:r>
        <w:rPr>
          <w:rFonts w:hint="eastAsia" w:ascii="宋体" w:hAnsi="宋体" w:eastAsia="宋体" w:cs="宋体"/>
          <w:b/>
          <w:bCs/>
          <w:color w:val="000000"/>
          <w:kern w:val="0"/>
          <w:sz w:val="24"/>
          <w:szCs w:val="24"/>
          <w:lang w:val="en-US"/>
        </w:rPr>
        <w:t>1.</w:t>
      </w:r>
      <w:r>
        <w:rPr>
          <w:rFonts w:hint="eastAsia" w:ascii="宋体" w:hAnsi="宋体" w:eastAsia="宋体" w:cs="宋体"/>
          <w:b/>
          <w:bCs/>
          <w:color w:val="000000"/>
          <w:kern w:val="0"/>
          <w:sz w:val="24"/>
          <w:szCs w:val="24"/>
          <w:lang w:val="en-US"/>
        </w:rPr>
        <w:t>项目收入</w:t>
      </w:r>
      <w:bookmarkEnd w:id="31"/>
    </w:p>
    <w:p w14:paraId="70B0D2A6">
      <w:pPr>
        <w:widowControl/>
        <w:adjustRightInd w:val="0"/>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w:t>
      </w:r>
      <w:r>
        <w:rPr>
          <w:rFonts w:hint="eastAsia" w:ascii="宋体" w:hAnsi="宋体" w:eastAsia="宋体" w:cs="宋体"/>
          <w:color w:val="000000"/>
          <w:kern w:val="0"/>
          <w:sz w:val="24"/>
          <w:szCs w:val="24"/>
          <w:lang w:val="en-GB"/>
        </w:rPr>
        <w:t>1</w:t>
      </w:r>
      <w:r>
        <w:rPr>
          <w:rFonts w:hint="eastAsia" w:ascii="宋体" w:hAnsi="宋体" w:eastAsia="宋体" w:cs="宋体"/>
          <w:color w:val="000000"/>
          <w:kern w:val="0"/>
          <w:sz w:val="24"/>
          <w:szCs w:val="24"/>
          <w:lang w:val="en-GB"/>
        </w:rPr>
        <w:t>）土地出让收入预测</w:t>
      </w:r>
    </w:p>
    <w:p w14:paraId="35A0550F">
      <w:pPr>
        <w:widowControl/>
        <w:adjustRightInd w:val="0"/>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根据《2024年海南省政府专项债券（一期）、2025年海南省政府专项债券（一期）调整项目偿债收入来源的说明函》及《2024年海南省政府专项债券(八期)、2025年海南省政府专项债券（一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14:paraId="46408ACC">
      <w:pPr>
        <w:widowControl/>
        <w:spacing w:before="120" w:beforeLines="50" w:after="120" w:afterLines="50"/>
        <w:jc w:val="center"/>
        <w:rPr>
          <w:rFonts w:hint="eastAsia" w:ascii="宋体" w:hAnsi="宋体" w:eastAsia="宋体" w:cs="宋体"/>
          <w:b/>
          <w:color w:val="000000"/>
          <w:kern w:val="0"/>
          <w:sz w:val="24"/>
          <w:szCs w:val="24"/>
          <w:lang w:val="en-US"/>
        </w:rPr>
      </w:pPr>
      <w:r>
        <w:rPr>
          <w:rFonts w:hint="eastAsia" w:ascii="宋体" w:hAnsi="宋体" w:eastAsia="宋体" w:cs="宋体"/>
          <w:b/>
          <w:color w:val="000000"/>
          <w:kern w:val="0"/>
          <w:sz w:val="24"/>
          <w:szCs w:val="24"/>
          <w:lang w:val="en-US"/>
        </w:rPr>
        <w:t>表</w:t>
      </w:r>
      <w:r>
        <w:rPr>
          <w:rFonts w:hint="eastAsia" w:ascii="宋体" w:hAnsi="宋体" w:eastAsia="宋体" w:cs="宋体"/>
          <w:b/>
          <w:color w:val="000000"/>
          <w:kern w:val="0"/>
          <w:sz w:val="24"/>
          <w:szCs w:val="24"/>
          <w:lang w:val="en-US"/>
        </w:rPr>
        <w:t xml:space="preserve">8 </w:t>
      </w:r>
      <w:r>
        <w:rPr>
          <w:rFonts w:hint="eastAsia" w:ascii="宋体" w:hAnsi="宋体" w:eastAsia="宋体" w:cs="宋体"/>
          <w:b/>
          <w:color w:val="000000"/>
          <w:kern w:val="0"/>
          <w:sz w:val="24"/>
          <w:szCs w:val="24"/>
          <w:lang w:val="en-US"/>
        </w:rPr>
        <w:t>土地出让情况表</w:t>
      </w:r>
    </w:p>
    <w:tbl>
      <w:tblPr>
        <w:tblStyle w:val="19"/>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679"/>
        <w:gridCol w:w="1816"/>
        <w:gridCol w:w="946"/>
        <w:gridCol w:w="1442"/>
        <w:gridCol w:w="1215"/>
        <w:gridCol w:w="1427"/>
      </w:tblGrid>
      <w:tr w14:paraId="0DDDD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blHeader/>
          <w:jc w:val="center"/>
        </w:trPr>
        <w:tc>
          <w:tcPr>
            <w:tcW w:w="380" w:type="pct"/>
            <w:vMerge w:val="restart"/>
            <w:shd w:val="clear" w:color="000000" w:fill="D0CECE"/>
            <w:vAlign w:val="center"/>
          </w:tcPr>
          <w:p w14:paraId="1FDB921B">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序号</w:t>
            </w:r>
          </w:p>
        </w:tc>
        <w:tc>
          <w:tcPr>
            <w:tcW w:w="909" w:type="pct"/>
            <w:vMerge w:val="restart"/>
            <w:shd w:val="clear" w:color="000000" w:fill="D0CECE"/>
            <w:vAlign w:val="center"/>
          </w:tcPr>
          <w:p w14:paraId="0026980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项目名称</w:t>
            </w:r>
          </w:p>
        </w:tc>
        <w:tc>
          <w:tcPr>
            <w:tcW w:w="984" w:type="pct"/>
            <w:vMerge w:val="restart"/>
            <w:shd w:val="clear" w:color="000000" w:fill="D0CECE"/>
            <w:vAlign w:val="center"/>
          </w:tcPr>
          <w:p w14:paraId="018AE8E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地块编号</w:t>
            </w:r>
          </w:p>
        </w:tc>
        <w:tc>
          <w:tcPr>
            <w:tcW w:w="513" w:type="pct"/>
            <w:shd w:val="clear" w:color="000000" w:fill="D0CECE"/>
            <w:vAlign w:val="center"/>
          </w:tcPr>
          <w:p w14:paraId="3EB2892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面积</w:t>
            </w:r>
          </w:p>
        </w:tc>
        <w:tc>
          <w:tcPr>
            <w:tcW w:w="782" w:type="pct"/>
            <w:shd w:val="clear" w:color="000000" w:fill="D0CECE"/>
            <w:vAlign w:val="center"/>
          </w:tcPr>
          <w:p w14:paraId="45551EC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预估地价</w:t>
            </w:r>
          </w:p>
        </w:tc>
        <w:tc>
          <w:tcPr>
            <w:tcW w:w="658" w:type="pct"/>
            <w:vMerge w:val="restart"/>
            <w:shd w:val="clear" w:color="000000" w:fill="D0CECE"/>
            <w:vAlign w:val="center"/>
          </w:tcPr>
          <w:p w14:paraId="60AD8345">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土地性质</w:t>
            </w:r>
          </w:p>
        </w:tc>
        <w:tc>
          <w:tcPr>
            <w:tcW w:w="773" w:type="pct"/>
            <w:vMerge w:val="restart"/>
            <w:shd w:val="clear" w:color="000000" w:fill="D0CECE"/>
            <w:vAlign w:val="center"/>
          </w:tcPr>
          <w:p w14:paraId="701ADF5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预计出让年限</w:t>
            </w:r>
          </w:p>
        </w:tc>
      </w:tr>
      <w:tr w14:paraId="1820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blHeader/>
          <w:jc w:val="center"/>
        </w:trPr>
        <w:tc>
          <w:tcPr>
            <w:tcW w:w="380" w:type="pct"/>
            <w:vMerge w:val="continue"/>
            <w:vAlign w:val="center"/>
          </w:tcPr>
          <w:p w14:paraId="2259DE51">
            <w:pPr>
              <w:widowControl/>
              <w:jc w:val="left"/>
              <w:rPr>
                <w:rFonts w:hint="eastAsia" w:ascii="宋体" w:hAnsi="宋体" w:eastAsia="宋体" w:cs="宋体"/>
                <w:b/>
                <w:bCs/>
                <w:color w:val="000000"/>
                <w:kern w:val="0"/>
                <w:sz w:val="20"/>
                <w:szCs w:val="20"/>
                <w:lang w:val="en-GB"/>
              </w:rPr>
            </w:pPr>
          </w:p>
        </w:tc>
        <w:tc>
          <w:tcPr>
            <w:tcW w:w="909" w:type="pct"/>
            <w:vMerge w:val="continue"/>
            <w:vAlign w:val="center"/>
          </w:tcPr>
          <w:p w14:paraId="23EFD05D">
            <w:pPr>
              <w:widowControl/>
              <w:jc w:val="left"/>
              <w:rPr>
                <w:rFonts w:hint="eastAsia" w:ascii="宋体" w:hAnsi="宋体" w:eastAsia="宋体" w:cs="宋体"/>
                <w:b/>
                <w:bCs/>
                <w:color w:val="000000"/>
                <w:kern w:val="0"/>
                <w:sz w:val="20"/>
                <w:szCs w:val="20"/>
                <w:lang w:val="en-GB"/>
              </w:rPr>
            </w:pPr>
          </w:p>
        </w:tc>
        <w:tc>
          <w:tcPr>
            <w:tcW w:w="984" w:type="pct"/>
            <w:vMerge w:val="continue"/>
            <w:vAlign w:val="center"/>
          </w:tcPr>
          <w:p w14:paraId="39DF9171">
            <w:pPr>
              <w:widowControl/>
              <w:jc w:val="left"/>
              <w:rPr>
                <w:rFonts w:hint="eastAsia" w:ascii="宋体" w:hAnsi="宋体" w:eastAsia="宋体" w:cs="宋体"/>
                <w:b/>
                <w:bCs/>
                <w:color w:val="000000"/>
                <w:kern w:val="0"/>
                <w:sz w:val="20"/>
                <w:szCs w:val="20"/>
                <w:lang w:val="en-GB"/>
              </w:rPr>
            </w:pPr>
          </w:p>
        </w:tc>
        <w:tc>
          <w:tcPr>
            <w:tcW w:w="513" w:type="pct"/>
            <w:shd w:val="clear" w:color="000000" w:fill="D0CECE"/>
            <w:vAlign w:val="center"/>
          </w:tcPr>
          <w:p w14:paraId="3E7BB60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（亩）</w:t>
            </w:r>
          </w:p>
        </w:tc>
        <w:tc>
          <w:tcPr>
            <w:tcW w:w="782" w:type="pct"/>
            <w:shd w:val="clear" w:color="000000" w:fill="D0CECE"/>
            <w:vAlign w:val="center"/>
          </w:tcPr>
          <w:p w14:paraId="7D960D3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（万元/亩）</w:t>
            </w:r>
          </w:p>
        </w:tc>
        <w:tc>
          <w:tcPr>
            <w:tcW w:w="658" w:type="pct"/>
            <w:vMerge w:val="continue"/>
            <w:vAlign w:val="center"/>
          </w:tcPr>
          <w:p w14:paraId="071E45CB">
            <w:pPr>
              <w:widowControl/>
              <w:jc w:val="left"/>
              <w:rPr>
                <w:rFonts w:hint="eastAsia" w:ascii="宋体" w:hAnsi="宋体" w:eastAsia="宋体" w:cs="宋体"/>
                <w:b/>
                <w:bCs/>
                <w:color w:val="000000"/>
                <w:kern w:val="0"/>
                <w:sz w:val="20"/>
                <w:szCs w:val="20"/>
                <w:lang w:val="en-GB"/>
              </w:rPr>
            </w:pPr>
          </w:p>
        </w:tc>
        <w:tc>
          <w:tcPr>
            <w:tcW w:w="773" w:type="pct"/>
            <w:vMerge w:val="continue"/>
            <w:vAlign w:val="center"/>
          </w:tcPr>
          <w:p w14:paraId="5360361E">
            <w:pPr>
              <w:widowControl/>
              <w:jc w:val="left"/>
              <w:rPr>
                <w:rFonts w:hint="eastAsia" w:ascii="宋体" w:hAnsi="宋体" w:eastAsia="宋体" w:cs="宋体"/>
                <w:b/>
                <w:bCs/>
                <w:color w:val="000000"/>
                <w:kern w:val="0"/>
                <w:sz w:val="20"/>
                <w:szCs w:val="20"/>
                <w:lang w:val="en-GB"/>
              </w:rPr>
            </w:pPr>
          </w:p>
        </w:tc>
      </w:tr>
      <w:tr w14:paraId="6F20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80" w:type="pct"/>
            <w:shd w:val="clear" w:color="auto" w:fill="auto"/>
            <w:vAlign w:val="center"/>
          </w:tcPr>
          <w:p w14:paraId="68294F10">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w:t>
            </w:r>
          </w:p>
        </w:tc>
        <w:tc>
          <w:tcPr>
            <w:tcW w:w="909" w:type="pct"/>
            <w:shd w:val="clear" w:color="auto" w:fill="auto"/>
            <w:noWrap/>
            <w:vAlign w:val="center"/>
          </w:tcPr>
          <w:p w14:paraId="174F2186">
            <w:pPr>
              <w:widowControl/>
              <w:jc w:val="left"/>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鸿越路</w:t>
            </w:r>
          </w:p>
        </w:tc>
        <w:tc>
          <w:tcPr>
            <w:tcW w:w="984" w:type="pct"/>
            <w:shd w:val="clear" w:color="auto" w:fill="auto"/>
            <w:noWrap/>
            <w:vAlign w:val="center"/>
          </w:tcPr>
          <w:p w14:paraId="4F664A45">
            <w:pPr>
              <w:widowControl/>
              <w:jc w:val="center"/>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JDZH-06-G08-04</w:t>
            </w:r>
          </w:p>
        </w:tc>
        <w:tc>
          <w:tcPr>
            <w:tcW w:w="513" w:type="pct"/>
            <w:shd w:val="clear" w:color="auto" w:fill="auto"/>
            <w:noWrap/>
            <w:vAlign w:val="center"/>
          </w:tcPr>
          <w:p w14:paraId="14E1E504">
            <w:pPr>
              <w:widowControl/>
              <w:jc w:val="center"/>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9.40</w:t>
            </w:r>
          </w:p>
        </w:tc>
        <w:tc>
          <w:tcPr>
            <w:tcW w:w="782" w:type="pct"/>
            <w:shd w:val="clear" w:color="auto" w:fill="auto"/>
            <w:noWrap/>
            <w:vAlign w:val="center"/>
          </w:tcPr>
          <w:p w14:paraId="40ACC4BA">
            <w:pPr>
              <w:widowControl/>
              <w:jc w:val="center"/>
              <w:rPr>
                <w:rFonts w:hint="eastAsia" w:ascii="宋体" w:hAnsi="宋体" w:eastAsia="宋体" w:cs="宋体"/>
                <w:kern w:val="0"/>
                <w:sz w:val="20"/>
                <w:szCs w:val="20"/>
                <w:lang w:val="en-GB"/>
              </w:rPr>
            </w:pPr>
            <w:r>
              <w:rPr>
                <w:rFonts w:hint="eastAsia" w:ascii="宋体" w:hAnsi="宋体" w:eastAsia="宋体" w:cs="宋体"/>
                <w:color w:val="000000"/>
                <w:kern w:val="0"/>
                <w:sz w:val="20"/>
                <w:szCs w:val="20"/>
                <w:lang w:val="en-GB"/>
              </w:rPr>
              <w:t>1,500.00</w:t>
            </w:r>
          </w:p>
        </w:tc>
        <w:tc>
          <w:tcPr>
            <w:tcW w:w="658" w:type="pct"/>
            <w:shd w:val="clear" w:color="auto" w:fill="auto"/>
            <w:noWrap/>
            <w:vAlign w:val="center"/>
          </w:tcPr>
          <w:p w14:paraId="7F5E2407">
            <w:pPr>
              <w:widowControl/>
              <w:jc w:val="center"/>
              <w:rPr>
                <w:rFonts w:hint="eastAsia" w:ascii="宋体" w:hAnsi="宋体" w:eastAsia="宋体" w:cs="宋体"/>
                <w:kern w:val="0"/>
                <w:sz w:val="20"/>
                <w:szCs w:val="20"/>
                <w:lang w:val="en-GB"/>
              </w:rPr>
            </w:pPr>
            <w:r>
              <w:rPr>
                <w:rFonts w:hint="eastAsia" w:ascii="宋体" w:hAnsi="宋体" w:eastAsia="宋体" w:cs="宋体"/>
                <w:color w:val="000000"/>
                <w:kern w:val="0"/>
                <w:sz w:val="20"/>
                <w:szCs w:val="20"/>
                <w:lang w:val="en-GB"/>
              </w:rPr>
              <w:t>二类居住</w:t>
            </w:r>
          </w:p>
        </w:tc>
        <w:tc>
          <w:tcPr>
            <w:tcW w:w="773" w:type="pct"/>
            <w:shd w:val="clear" w:color="auto" w:fill="auto"/>
            <w:noWrap/>
            <w:vAlign w:val="center"/>
          </w:tcPr>
          <w:p w14:paraId="48EB97B8">
            <w:pPr>
              <w:widowControl/>
              <w:jc w:val="center"/>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2027-2035</w:t>
            </w:r>
          </w:p>
        </w:tc>
      </w:tr>
      <w:tr w14:paraId="42CC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80" w:type="pct"/>
            <w:shd w:val="clear" w:color="auto" w:fill="auto"/>
            <w:vAlign w:val="center"/>
          </w:tcPr>
          <w:p w14:paraId="7FE9228F">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w:t>
            </w:r>
          </w:p>
        </w:tc>
        <w:tc>
          <w:tcPr>
            <w:tcW w:w="909" w:type="pct"/>
            <w:shd w:val="clear" w:color="auto" w:fill="auto"/>
            <w:noWrap/>
            <w:vAlign w:val="center"/>
          </w:tcPr>
          <w:p w14:paraId="09B612C9">
            <w:pPr>
              <w:widowControl/>
              <w:jc w:val="left"/>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鸿越路</w:t>
            </w:r>
          </w:p>
        </w:tc>
        <w:tc>
          <w:tcPr>
            <w:tcW w:w="984" w:type="pct"/>
            <w:shd w:val="clear" w:color="auto" w:fill="auto"/>
            <w:noWrap/>
            <w:vAlign w:val="center"/>
          </w:tcPr>
          <w:p w14:paraId="4F5CEE83">
            <w:pPr>
              <w:widowControl/>
              <w:jc w:val="center"/>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JDZH-06-G08-07</w:t>
            </w:r>
          </w:p>
        </w:tc>
        <w:tc>
          <w:tcPr>
            <w:tcW w:w="513" w:type="pct"/>
            <w:shd w:val="clear" w:color="auto" w:fill="auto"/>
            <w:noWrap/>
            <w:vAlign w:val="center"/>
          </w:tcPr>
          <w:p w14:paraId="1AC4685D">
            <w:pPr>
              <w:widowControl/>
              <w:jc w:val="center"/>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2.63</w:t>
            </w:r>
          </w:p>
        </w:tc>
        <w:tc>
          <w:tcPr>
            <w:tcW w:w="782" w:type="pct"/>
            <w:shd w:val="clear" w:color="auto" w:fill="auto"/>
            <w:noWrap/>
            <w:vAlign w:val="center"/>
          </w:tcPr>
          <w:p w14:paraId="5C5A1288">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1,500.00</w:t>
            </w:r>
          </w:p>
        </w:tc>
        <w:tc>
          <w:tcPr>
            <w:tcW w:w="658" w:type="pct"/>
            <w:shd w:val="clear" w:color="auto" w:fill="auto"/>
            <w:noWrap/>
            <w:vAlign w:val="center"/>
          </w:tcPr>
          <w:p w14:paraId="7161D8CF">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二类居住</w:t>
            </w:r>
          </w:p>
        </w:tc>
        <w:tc>
          <w:tcPr>
            <w:tcW w:w="773" w:type="pct"/>
            <w:shd w:val="clear" w:color="auto" w:fill="auto"/>
            <w:noWrap/>
            <w:vAlign w:val="center"/>
          </w:tcPr>
          <w:p w14:paraId="579BBABD">
            <w:pPr>
              <w:widowControl/>
              <w:jc w:val="center"/>
              <w:rPr>
                <w:rFonts w:hint="eastAsia" w:ascii="宋体" w:hAnsi="宋体" w:eastAsia="宋体" w:cs="宋体"/>
                <w:kern w:val="0"/>
                <w:sz w:val="20"/>
                <w:szCs w:val="20"/>
                <w:lang w:val="en-GB"/>
              </w:rPr>
            </w:pPr>
            <w:r>
              <w:rPr>
                <w:rFonts w:hint="eastAsia" w:ascii="宋体" w:hAnsi="宋体" w:eastAsia="宋体" w:cs="宋体"/>
                <w:kern w:val="0"/>
                <w:sz w:val="20"/>
                <w:szCs w:val="20"/>
                <w:lang w:val="en-GB"/>
              </w:rPr>
              <w:t>2027-2035</w:t>
            </w:r>
          </w:p>
        </w:tc>
      </w:tr>
    </w:tbl>
    <w:p w14:paraId="476CF3E6">
      <w:pPr>
        <w:widowControl/>
        <w:adjustRightInd w:val="0"/>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（2）广告牌出租收入预测</w:t>
      </w:r>
    </w:p>
    <w:p w14:paraId="169D7501">
      <w:pPr>
        <w:widowControl/>
        <w:adjustRightInd w:val="0"/>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本项目预留50个广告牌，结合周边同区域、同水平、同档位的广告出租单价暂按5,000.00元/个/月计算，基于谨慎性原则，运营期出租率暂按90%考虑。</w:t>
      </w:r>
    </w:p>
    <w:p w14:paraId="511112F8">
      <w:pPr>
        <w:widowControl/>
        <w:adjustRightInd w:val="0"/>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（3）停车位收入预测</w:t>
      </w:r>
    </w:p>
    <w:p w14:paraId="0C79732F">
      <w:pPr>
        <w:widowControl/>
        <w:adjustRightInd w:val="0"/>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本项目预留100个停车位，结合周边同区域、同水平、同档位停车位出租收入单价暂按200.00元/个/月计算，基于谨慎性原则，运营期出租率暂按90%考虑。</w:t>
      </w:r>
    </w:p>
    <w:p w14:paraId="225F938C">
      <w:pPr>
        <w:widowControl/>
        <w:spacing w:before="120" w:after="120" w:line="360" w:lineRule="auto"/>
        <w:ind w:firstLine="482" w:firstLineChars="200"/>
        <w:jc w:val="both"/>
        <w:outlineLvl w:val="2"/>
        <w:rPr>
          <w:rFonts w:hint="eastAsia" w:ascii="宋体" w:hAnsi="宋体" w:eastAsia="宋体" w:cs="宋体"/>
          <w:b/>
          <w:bCs/>
          <w:color w:val="000000"/>
          <w:kern w:val="0"/>
          <w:sz w:val="24"/>
          <w:szCs w:val="24"/>
          <w:lang w:val="en-US"/>
        </w:rPr>
      </w:pPr>
      <w:bookmarkStart w:id="32" w:name="_Toc200555361"/>
      <w:r>
        <w:rPr>
          <w:rFonts w:hint="eastAsia" w:ascii="宋体" w:hAnsi="宋体" w:eastAsia="宋体" w:cs="宋体"/>
          <w:b/>
          <w:bCs/>
          <w:color w:val="000000"/>
          <w:kern w:val="0"/>
          <w:sz w:val="24"/>
          <w:szCs w:val="24"/>
          <w:lang w:val="en-US"/>
        </w:rPr>
        <w:t>2.</w:t>
      </w:r>
      <w:r>
        <w:rPr>
          <w:rFonts w:hint="eastAsia" w:ascii="宋体" w:hAnsi="宋体" w:eastAsia="宋体" w:cs="宋体"/>
          <w:b/>
          <w:bCs/>
          <w:color w:val="000000"/>
          <w:kern w:val="0"/>
          <w:sz w:val="24"/>
          <w:szCs w:val="24"/>
          <w:lang w:val="en-US"/>
        </w:rPr>
        <w:t>项目成本</w:t>
      </w:r>
      <w:bookmarkEnd w:id="32"/>
    </w:p>
    <w:p w14:paraId="20D7F236">
      <w:pPr>
        <w:widowControl/>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（1）土地出让成本</w:t>
      </w:r>
    </w:p>
    <w:p w14:paraId="06E8EE6E">
      <w:pPr>
        <w:widowControl/>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w:t>
      </w:r>
      <w:r>
        <w:rPr>
          <w:rFonts w:hint="eastAsia" w:ascii="宋体" w:hAnsi="宋体" w:eastAsia="宋体" w:cs="宋体"/>
          <w:color w:val="000000"/>
          <w:kern w:val="0"/>
          <w:sz w:val="24"/>
          <w:szCs w:val="24"/>
          <w:lang w:val="en-GB"/>
        </w:rPr>
        <w:t>25</w:t>
      </w:r>
      <w:r>
        <w:rPr>
          <w:rFonts w:hint="eastAsia" w:ascii="宋体" w:hAnsi="宋体" w:eastAsia="宋体" w:cs="宋体"/>
          <w:color w:val="000000"/>
          <w:kern w:val="0"/>
          <w:sz w:val="24"/>
          <w:szCs w:val="24"/>
          <w:lang w:val="en-GB"/>
        </w:rPr>
        <w:t>%计提。按照预估的土地出让单价、出让计划及成本费用在项目存续期间有稳定的政府性基金收入，可稳定覆盖债券存续期间各年利息及到期偿还本金的支出需求。</w:t>
      </w:r>
    </w:p>
    <w:p w14:paraId="4D1F9773">
      <w:pPr>
        <w:widowControl/>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（2）运营成本</w:t>
      </w:r>
    </w:p>
    <w:p w14:paraId="44FF7525">
      <w:pPr>
        <w:widowControl/>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参考同类项目运营管理经验，运营成本一般按照项目运营收入的一定比例预估。参考同类项目运营成本占比数据，本项目运营成本暂按广告牌出租收入及停车位收入的20%测算。</w:t>
      </w:r>
    </w:p>
    <w:p w14:paraId="7D07EAD6">
      <w:pPr>
        <w:widowControl/>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（3）相关税费</w:t>
      </w:r>
    </w:p>
    <w:p w14:paraId="2B55D67B">
      <w:pPr>
        <w:widowControl/>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A．增值税：</w:t>
      </w:r>
      <w:r>
        <w:rPr>
          <w:rFonts w:hint="eastAsia" w:ascii="宋体" w:hAnsi="宋体" w:eastAsia="宋体" w:cs="宋体"/>
          <w:color w:val="000000"/>
          <w:kern w:val="0"/>
          <w:sz w:val="24"/>
          <w:szCs w:val="24"/>
          <w:lang w:val="en-GB"/>
        </w:rPr>
        <w:t>根据《中华人民共和国增值税法》</w:t>
      </w:r>
      <w:r>
        <w:rPr>
          <w:rFonts w:hint="eastAsia" w:ascii="宋体" w:hAnsi="宋体" w:eastAsia="宋体" w:cs="宋体"/>
          <w:color w:val="000000"/>
          <w:kern w:val="0"/>
          <w:sz w:val="24"/>
          <w:szCs w:val="24"/>
          <w:lang w:val="en-GB"/>
        </w:rPr>
        <w:t>，广告牌出租收入、停车位收入增值税税率为9%。</w:t>
      </w:r>
    </w:p>
    <w:p w14:paraId="4D0E23C6">
      <w:pPr>
        <w:widowControl w:val="0"/>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5BA9B7A3">
      <w:pPr>
        <w:widowControl/>
        <w:spacing w:before="120" w:after="120" w:line="360" w:lineRule="auto"/>
        <w:ind w:firstLine="480" w:firstLineChars="200"/>
        <w:jc w:val="both"/>
        <w:rPr>
          <w:rFonts w:hint="eastAsia" w:ascii="宋体" w:hAnsi="宋体" w:eastAsia="宋体" w:cs="宋体"/>
          <w:color w:val="000000"/>
          <w:kern w:val="0"/>
          <w:sz w:val="24"/>
          <w:szCs w:val="24"/>
          <w:lang w:val="en-GB"/>
        </w:rPr>
      </w:pPr>
      <w:r>
        <w:rPr>
          <w:rFonts w:hint="eastAsia" w:ascii="宋体" w:hAnsi="宋体" w:eastAsia="宋体" w:cs="宋体"/>
          <w:color w:val="000000"/>
          <w:kern w:val="0"/>
          <w:sz w:val="24"/>
          <w:szCs w:val="24"/>
          <w:lang w:val="en-GB"/>
        </w:rPr>
        <w:t>C．企业所得税：根据《海南自由贸易港建设总体方案》，对注册在海南自贸港并实质性运营的企业（负面清单行业除外），减按15%征收企业所得税。</w:t>
      </w:r>
    </w:p>
    <w:p w14:paraId="177CAFE5">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表9</w:t>
      </w:r>
      <w:r>
        <w:rPr>
          <w:rFonts w:hint="eastAsia" w:ascii="宋体" w:hAnsi="宋体" w:eastAsia="宋体" w:cs="宋体"/>
          <w:b/>
          <w:kern w:val="0"/>
          <w:sz w:val="24"/>
          <w:szCs w:val="24"/>
          <w:lang w:val="en-GB"/>
        </w:rPr>
        <w:t xml:space="preserve"> </w:t>
      </w:r>
      <w:r>
        <w:rPr>
          <w:rFonts w:hint="eastAsia" w:ascii="宋体" w:hAnsi="宋体" w:eastAsia="宋体" w:cs="宋体"/>
          <w:b/>
          <w:kern w:val="0"/>
          <w:sz w:val="24"/>
          <w:szCs w:val="24"/>
          <w:lang w:val="en-GB"/>
        </w:rPr>
        <w:t>鸿越路收入成本</w:t>
      </w:r>
      <w:r>
        <w:rPr>
          <w:rFonts w:hint="eastAsia" w:ascii="宋体" w:hAnsi="宋体" w:eastAsia="宋体" w:cs="宋体"/>
          <w:b/>
          <w:kern w:val="0"/>
          <w:sz w:val="24"/>
          <w:szCs w:val="24"/>
          <w:lang w:val="en-GB"/>
        </w:rPr>
        <w:t>预测表</w:t>
      </w:r>
    </w:p>
    <w:p w14:paraId="6541925A">
      <w:pPr>
        <w:widowControl/>
        <w:ind w:firstLine="360" w:firstLineChars="200"/>
        <w:jc w:val="right"/>
        <w:rPr>
          <w:rFonts w:hint="eastAsia" w:ascii="宋体" w:hAnsi="宋体" w:eastAsia="宋体" w:cs="宋体"/>
          <w:kern w:val="0"/>
          <w:sz w:val="18"/>
          <w:szCs w:val="18"/>
          <w:lang w:val="en-GB"/>
        </w:rPr>
      </w:pPr>
      <w:r>
        <w:rPr>
          <w:rFonts w:hint="eastAsia" w:ascii="宋体" w:hAnsi="宋体" w:eastAsia="宋体" w:cs="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3"/>
        <w:gridCol w:w="1201"/>
        <w:gridCol w:w="1201"/>
        <w:gridCol w:w="1201"/>
        <w:gridCol w:w="1201"/>
        <w:gridCol w:w="1199"/>
      </w:tblGrid>
      <w:tr w14:paraId="4F07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476" w:type="pct"/>
            <w:shd w:val="clear" w:color="auto" w:fill="D8D8D8"/>
            <w:vAlign w:val="center"/>
          </w:tcPr>
          <w:p w14:paraId="76149E4F">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运营期</w:t>
            </w:r>
          </w:p>
        </w:tc>
        <w:tc>
          <w:tcPr>
            <w:tcW w:w="705" w:type="pct"/>
            <w:shd w:val="clear" w:color="auto" w:fill="D8D8D8"/>
            <w:vAlign w:val="center"/>
          </w:tcPr>
          <w:p w14:paraId="16405027">
            <w:pPr>
              <w:widowControl/>
              <w:jc w:val="center"/>
              <w:rPr>
                <w:rFonts w:hint="eastAsia" w:ascii="宋体" w:hAnsi="宋体" w:eastAsia="宋体" w:cs="宋体"/>
                <w:b/>
                <w:color w:val="000000"/>
                <w:kern w:val="0"/>
                <w:sz w:val="20"/>
                <w:szCs w:val="20"/>
                <w:lang w:val="en-GB" w:eastAsia="zh-TW"/>
              </w:rPr>
            </w:pPr>
            <w:r>
              <w:rPr>
                <w:rFonts w:hint="eastAsia" w:ascii="宋体" w:hAnsi="宋体" w:eastAsia="宋体" w:cs="宋体"/>
                <w:b/>
                <w:kern w:val="0"/>
                <w:sz w:val="20"/>
                <w:szCs w:val="20"/>
                <w:lang w:val="en-GB"/>
              </w:rPr>
              <w:t>2027</w:t>
            </w:r>
          </w:p>
        </w:tc>
        <w:tc>
          <w:tcPr>
            <w:tcW w:w="705" w:type="pct"/>
            <w:shd w:val="clear" w:color="auto" w:fill="D8D8D8"/>
            <w:vAlign w:val="center"/>
          </w:tcPr>
          <w:p w14:paraId="6D7A5FAD">
            <w:pPr>
              <w:widowControl/>
              <w:jc w:val="center"/>
              <w:rPr>
                <w:rFonts w:hint="eastAsia" w:ascii="宋体" w:hAnsi="宋体" w:eastAsia="宋体" w:cs="宋体"/>
                <w:b/>
                <w:color w:val="000000"/>
                <w:kern w:val="0"/>
                <w:sz w:val="20"/>
                <w:szCs w:val="20"/>
                <w:lang w:val="en-GB" w:eastAsia="zh-TW"/>
              </w:rPr>
            </w:pPr>
            <w:r>
              <w:rPr>
                <w:rFonts w:hint="eastAsia" w:ascii="宋体" w:hAnsi="宋体" w:eastAsia="宋体" w:cs="宋体"/>
                <w:b/>
                <w:kern w:val="0"/>
                <w:sz w:val="20"/>
                <w:szCs w:val="20"/>
                <w:lang w:val="en-GB"/>
              </w:rPr>
              <w:t>2028</w:t>
            </w:r>
          </w:p>
        </w:tc>
        <w:tc>
          <w:tcPr>
            <w:tcW w:w="705" w:type="pct"/>
            <w:shd w:val="clear" w:color="auto" w:fill="D8D8D8"/>
            <w:vAlign w:val="center"/>
          </w:tcPr>
          <w:p w14:paraId="2B3030F4">
            <w:pPr>
              <w:widowControl/>
              <w:jc w:val="center"/>
              <w:rPr>
                <w:rFonts w:hint="eastAsia" w:ascii="宋体" w:hAnsi="宋体" w:eastAsia="宋体" w:cs="宋体"/>
                <w:b/>
                <w:color w:val="000000"/>
                <w:kern w:val="0"/>
                <w:sz w:val="20"/>
                <w:szCs w:val="20"/>
                <w:lang w:val="en-GB" w:eastAsia="zh-TW"/>
              </w:rPr>
            </w:pPr>
            <w:r>
              <w:rPr>
                <w:rFonts w:hint="eastAsia" w:ascii="宋体" w:hAnsi="宋体" w:eastAsia="宋体" w:cs="宋体"/>
                <w:b/>
                <w:kern w:val="0"/>
                <w:sz w:val="20"/>
                <w:szCs w:val="20"/>
                <w:lang w:val="en-GB"/>
              </w:rPr>
              <w:t>2029</w:t>
            </w:r>
          </w:p>
        </w:tc>
        <w:tc>
          <w:tcPr>
            <w:tcW w:w="705" w:type="pct"/>
            <w:shd w:val="clear" w:color="auto" w:fill="D8D8D8"/>
          </w:tcPr>
          <w:p w14:paraId="07DC5CF6">
            <w:pPr>
              <w:widowControl/>
              <w:jc w:val="center"/>
              <w:rPr>
                <w:rFonts w:hint="eastAsia" w:ascii="宋体" w:hAnsi="宋体" w:eastAsia="宋体" w:cs="宋体"/>
                <w:b/>
                <w:kern w:val="0"/>
                <w:sz w:val="20"/>
                <w:szCs w:val="20"/>
                <w:lang w:val="en-GB"/>
              </w:rPr>
            </w:pPr>
            <w:r>
              <w:rPr>
                <w:rFonts w:hint="eastAsia" w:ascii="宋体" w:hAnsi="宋体" w:eastAsia="宋体" w:cs="宋体"/>
                <w:b/>
                <w:kern w:val="0"/>
                <w:sz w:val="20"/>
                <w:szCs w:val="20"/>
                <w:lang w:val="en-GB"/>
              </w:rPr>
              <w:t>2030</w:t>
            </w:r>
          </w:p>
        </w:tc>
        <w:tc>
          <w:tcPr>
            <w:tcW w:w="705" w:type="pct"/>
            <w:shd w:val="clear" w:color="auto" w:fill="D8D8D8"/>
            <w:vAlign w:val="center"/>
          </w:tcPr>
          <w:p w14:paraId="008A39C9">
            <w:pPr>
              <w:widowControl/>
              <w:jc w:val="center"/>
              <w:rPr>
                <w:rFonts w:hint="eastAsia" w:ascii="宋体" w:hAnsi="宋体" w:eastAsia="宋体" w:cs="宋体"/>
                <w:b/>
                <w:kern w:val="0"/>
                <w:sz w:val="20"/>
                <w:szCs w:val="20"/>
                <w:lang w:val="en-GB"/>
              </w:rPr>
            </w:pPr>
            <w:r>
              <w:rPr>
                <w:rFonts w:hint="eastAsia" w:ascii="宋体" w:hAnsi="宋体" w:eastAsia="宋体" w:cs="宋体"/>
                <w:b/>
                <w:color w:val="000000"/>
                <w:kern w:val="0"/>
                <w:sz w:val="20"/>
                <w:szCs w:val="20"/>
                <w:lang w:val="en-GB" w:eastAsia="zh-TW"/>
              </w:rPr>
              <w:t>2031</w:t>
            </w:r>
          </w:p>
        </w:tc>
      </w:tr>
      <w:tr w14:paraId="455B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7BB89A5E">
            <w:pPr>
              <w:widowControl/>
              <w:jc w:val="left"/>
              <w:rPr>
                <w:rFonts w:hint="eastAsia" w:ascii="宋体" w:hAnsi="宋体" w:eastAsia="宋体" w:cs="宋体"/>
                <w:color w:val="000000"/>
                <w:kern w:val="0"/>
                <w:sz w:val="20"/>
                <w:szCs w:val="20"/>
                <w:lang w:val="en-GB" w:eastAsia="zh-TW"/>
              </w:rPr>
            </w:pPr>
            <w:r>
              <w:rPr>
                <w:rFonts w:hint="eastAsia" w:ascii="宋体" w:hAnsi="宋体" w:eastAsia="宋体" w:cs="宋体"/>
                <w:kern w:val="0"/>
                <w:sz w:val="20"/>
                <w:lang w:val="en-GB"/>
              </w:rPr>
              <w:t>土地出让收入</w:t>
            </w:r>
          </w:p>
        </w:tc>
        <w:tc>
          <w:tcPr>
            <w:tcW w:w="705" w:type="pct"/>
            <w:shd w:val="clear" w:color="000000" w:fill="FFFFFF"/>
            <w:vAlign w:val="center"/>
          </w:tcPr>
          <w:p w14:paraId="0204104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3,609.00</w:t>
            </w:r>
          </w:p>
        </w:tc>
        <w:tc>
          <w:tcPr>
            <w:tcW w:w="705" w:type="pct"/>
            <w:shd w:val="clear" w:color="000000" w:fill="FFFFFF"/>
            <w:vAlign w:val="center"/>
          </w:tcPr>
          <w:p w14:paraId="5A28C8B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c>
          <w:tcPr>
            <w:tcW w:w="705" w:type="pct"/>
            <w:shd w:val="clear" w:color="000000" w:fill="FFFFFF"/>
            <w:vAlign w:val="center"/>
          </w:tcPr>
          <w:p w14:paraId="4CB0C4E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c>
          <w:tcPr>
            <w:tcW w:w="705" w:type="pct"/>
            <w:shd w:val="clear" w:color="000000" w:fill="FFFFFF"/>
            <w:vAlign w:val="center"/>
          </w:tcPr>
          <w:p w14:paraId="58EE30ED">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c>
          <w:tcPr>
            <w:tcW w:w="705" w:type="pct"/>
            <w:shd w:val="clear" w:color="000000" w:fill="FFFFFF"/>
            <w:vAlign w:val="center"/>
          </w:tcPr>
          <w:p w14:paraId="23779F3F">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r>
      <w:tr w14:paraId="33A41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219C9458">
            <w:pPr>
              <w:widowControl/>
              <w:jc w:val="left"/>
              <w:rPr>
                <w:rFonts w:hint="eastAsia" w:ascii="宋体" w:hAnsi="宋体" w:eastAsia="宋体" w:cs="宋体"/>
                <w:color w:val="000000"/>
                <w:kern w:val="0"/>
                <w:sz w:val="20"/>
                <w:szCs w:val="20"/>
                <w:lang w:val="en-GB" w:eastAsia="zh-TW"/>
              </w:rPr>
            </w:pPr>
            <w:r>
              <w:rPr>
                <w:rFonts w:hint="eastAsia" w:ascii="宋体" w:hAnsi="宋体" w:eastAsia="宋体" w:cs="宋体"/>
                <w:kern w:val="0"/>
                <w:sz w:val="20"/>
                <w:lang w:val="en-GB"/>
              </w:rPr>
              <w:t>广告牌出租收入</w:t>
            </w:r>
          </w:p>
        </w:tc>
        <w:tc>
          <w:tcPr>
            <w:tcW w:w="705" w:type="pct"/>
            <w:shd w:val="clear" w:color="000000" w:fill="FFFFFF"/>
            <w:vAlign w:val="center"/>
          </w:tcPr>
          <w:p w14:paraId="2BC8D41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5" w:type="pct"/>
            <w:shd w:val="clear" w:color="000000" w:fill="FFFFFF"/>
            <w:vAlign w:val="center"/>
          </w:tcPr>
          <w:p w14:paraId="5CDE6D9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5" w:type="pct"/>
            <w:shd w:val="clear" w:color="000000" w:fill="FFFFFF"/>
            <w:vAlign w:val="center"/>
          </w:tcPr>
          <w:p w14:paraId="2D84B8D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5" w:type="pct"/>
            <w:shd w:val="clear" w:color="000000" w:fill="FFFFFF"/>
            <w:vAlign w:val="center"/>
          </w:tcPr>
          <w:p w14:paraId="2BE04C4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5" w:type="pct"/>
            <w:shd w:val="clear" w:color="000000" w:fill="FFFFFF"/>
            <w:vAlign w:val="center"/>
          </w:tcPr>
          <w:p w14:paraId="3A2C4B19">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r>
      <w:tr w14:paraId="6634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151EFF16">
            <w:pPr>
              <w:widowControl/>
              <w:jc w:val="left"/>
              <w:rPr>
                <w:rFonts w:hint="eastAsia" w:ascii="宋体" w:hAnsi="宋体" w:eastAsia="宋体" w:cs="宋体"/>
                <w:color w:val="000000"/>
                <w:kern w:val="0"/>
                <w:sz w:val="20"/>
                <w:szCs w:val="20"/>
                <w:lang w:val="en-GB" w:eastAsia="zh-TW"/>
              </w:rPr>
            </w:pPr>
            <w:r>
              <w:rPr>
                <w:rFonts w:hint="eastAsia" w:ascii="宋体" w:hAnsi="宋体" w:eastAsia="宋体" w:cs="宋体"/>
                <w:kern w:val="0"/>
                <w:sz w:val="20"/>
                <w:lang w:val="en-GB"/>
              </w:rPr>
              <w:t>停车位收入</w:t>
            </w:r>
          </w:p>
        </w:tc>
        <w:tc>
          <w:tcPr>
            <w:tcW w:w="705" w:type="pct"/>
            <w:shd w:val="clear" w:color="000000" w:fill="FFFFFF"/>
            <w:vAlign w:val="center"/>
          </w:tcPr>
          <w:p w14:paraId="726318B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5" w:type="pct"/>
            <w:shd w:val="clear" w:color="000000" w:fill="FFFFFF"/>
            <w:vAlign w:val="center"/>
          </w:tcPr>
          <w:p w14:paraId="6C1765F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5" w:type="pct"/>
            <w:shd w:val="clear" w:color="000000" w:fill="FFFFFF"/>
            <w:vAlign w:val="center"/>
          </w:tcPr>
          <w:p w14:paraId="3288601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5" w:type="pct"/>
            <w:shd w:val="clear" w:color="000000" w:fill="FFFFFF"/>
            <w:vAlign w:val="center"/>
          </w:tcPr>
          <w:p w14:paraId="0AA88142">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5" w:type="pct"/>
            <w:shd w:val="clear" w:color="000000" w:fill="FFFFFF"/>
            <w:vAlign w:val="center"/>
          </w:tcPr>
          <w:p w14:paraId="29552131">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r>
      <w:tr w14:paraId="3C7C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3B0BF716">
            <w:pPr>
              <w:widowControl/>
              <w:jc w:val="left"/>
              <w:rPr>
                <w:rFonts w:hint="eastAsia" w:ascii="宋体" w:hAnsi="宋体" w:eastAsia="宋体" w:cs="宋体"/>
                <w:b/>
                <w:bCs/>
                <w:color w:val="000000"/>
                <w:kern w:val="0"/>
                <w:sz w:val="20"/>
                <w:szCs w:val="20"/>
                <w:lang w:val="en-GB" w:eastAsia="zh-TW"/>
              </w:rPr>
            </w:pPr>
            <w:r>
              <w:rPr>
                <w:rFonts w:hint="eastAsia" w:ascii="宋体" w:hAnsi="宋体" w:eastAsia="宋体" w:cs="宋体"/>
                <w:b/>
                <w:bCs/>
                <w:kern w:val="0"/>
                <w:sz w:val="20"/>
                <w:lang w:val="en-GB"/>
              </w:rPr>
              <w:t>收入合计</w:t>
            </w:r>
          </w:p>
        </w:tc>
        <w:tc>
          <w:tcPr>
            <w:tcW w:w="705" w:type="pct"/>
            <w:shd w:val="clear" w:color="000000" w:fill="FFFFFF"/>
            <w:vAlign w:val="center"/>
          </w:tcPr>
          <w:p w14:paraId="4F4ADAE5">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3,900.60</w:t>
            </w:r>
          </w:p>
        </w:tc>
        <w:tc>
          <w:tcPr>
            <w:tcW w:w="705" w:type="pct"/>
            <w:shd w:val="clear" w:color="000000" w:fill="FFFFFF"/>
            <w:vAlign w:val="center"/>
          </w:tcPr>
          <w:p w14:paraId="61EFF4E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5" w:type="pct"/>
            <w:shd w:val="clear" w:color="000000" w:fill="FFFFFF"/>
            <w:vAlign w:val="center"/>
          </w:tcPr>
          <w:p w14:paraId="4B11DE39">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5" w:type="pct"/>
            <w:shd w:val="clear" w:color="000000" w:fill="FFFFFF"/>
            <w:vAlign w:val="center"/>
          </w:tcPr>
          <w:p w14:paraId="478371E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5" w:type="pct"/>
            <w:shd w:val="clear" w:color="000000" w:fill="FFFFFF"/>
            <w:vAlign w:val="center"/>
          </w:tcPr>
          <w:p w14:paraId="18BD547C">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r>
      <w:tr w14:paraId="22BE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655F5645">
            <w:pPr>
              <w:widowControl/>
              <w:jc w:val="lef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土地出让成本</w:t>
            </w:r>
          </w:p>
        </w:tc>
        <w:tc>
          <w:tcPr>
            <w:tcW w:w="705" w:type="pct"/>
            <w:shd w:val="clear" w:color="000000" w:fill="FFFFFF"/>
            <w:vAlign w:val="center"/>
          </w:tcPr>
          <w:p w14:paraId="5BAAFBA9">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902.25</w:t>
            </w:r>
          </w:p>
        </w:tc>
        <w:tc>
          <w:tcPr>
            <w:tcW w:w="705" w:type="pct"/>
            <w:shd w:val="clear" w:color="000000" w:fill="FFFFFF"/>
            <w:vAlign w:val="center"/>
          </w:tcPr>
          <w:p w14:paraId="1BB7A5A3">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451.13</w:t>
            </w:r>
          </w:p>
        </w:tc>
        <w:tc>
          <w:tcPr>
            <w:tcW w:w="705" w:type="pct"/>
            <w:shd w:val="clear" w:color="000000" w:fill="FFFFFF"/>
            <w:vAlign w:val="center"/>
          </w:tcPr>
          <w:p w14:paraId="16FC1C15">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451.13</w:t>
            </w:r>
          </w:p>
        </w:tc>
        <w:tc>
          <w:tcPr>
            <w:tcW w:w="705" w:type="pct"/>
            <w:shd w:val="clear" w:color="000000" w:fill="FFFFFF"/>
            <w:vAlign w:val="center"/>
          </w:tcPr>
          <w:p w14:paraId="1D9C8631">
            <w:pPr>
              <w:widowControl/>
              <w:jc w:val="right"/>
              <w:rPr>
                <w:rFonts w:hint="eastAsia" w:ascii="宋体" w:hAnsi="宋体" w:eastAsia="宋体" w:cs="宋体"/>
                <w:b/>
                <w:bCs/>
                <w:kern w:val="0"/>
                <w:sz w:val="20"/>
                <w:szCs w:val="20"/>
                <w:lang w:val="en-GB"/>
              </w:rPr>
            </w:pPr>
            <w:r>
              <w:rPr>
                <w:rFonts w:hint="eastAsia" w:ascii="宋体" w:hAnsi="宋体" w:eastAsia="宋体" w:cs="宋体"/>
                <w:kern w:val="0"/>
                <w:sz w:val="20"/>
                <w:lang w:val="en-GB"/>
              </w:rPr>
              <w:t>451.13</w:t>
            </w:r>
          </w:p>
        </w:tc>
        <w:tc>
          <w:tcPr>
            <w:tcW w:w="705" w:type="pct"/>
            <w:shd w:val="clear" w:color="000000" w:fill="FFFFFF"/>
            <w:vAlign w:val="center"/>
          </w:tcPr>
          <w:p w14:paraId="3C4996E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451.13</w:t>
            </w:r>
          </w:p>
        </w:tc>
      </w:tr>
      <w:tr w14:paraId="194A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5D214B76">
            <w:pPr>
              <w:widowControl/>
              <w:jc w:val="left"/>
              <w:rPr>
                <w:rFonts w:hint="eastAsia" w:ascii="宋体" w:hAnsi="宋体" w:eastAsia="宋体" w:cs="宋体"/>
                <w:b/>
                <w:color w:val="000000"/>
                <w:kern w:val="0"/>
                <w:sz w:val="20"/>
                <w:szCs w:val="20"/>
                <w:lang w:val="en-GB"/>
              </w:rPr>
            </w:pPr>
            <w:r>
              <w:rPr>
                <w:rFonts w:hint="eastAsia" w:ascii="宋体" w:hAnsi="宋体" w:eastAsia="宋体" w:cs="宋体"/>
                <w:kern w:val="0"/>
                <w:sz w:val="20"/>
                <w:lang w:val="en-GB"/>
              </w:rPr>
              <w:t>运营成本</w:t>
            </w:r>
          </w:p>
        </w:tc>
        <w:tc>
          <w:tcPr>
            <w:tcW w:w="705" w:type="pct"/>
            <w:shd w:val="clear" w:color="000000" w:fill="FFFFFF"/>
            <w:vAlign w:val="center"/>
          </w:tcPr>
          <w:p w14:paraId="79CD7CF9">
            <w:pPr>
              <w:widowControl/>
              <w:jc w:val="right"/>
              <w:rPr>
                <w:rFonts w:hint="eastAsia" w:ascii="宋体" w:hAnsi="宋体" w:eastAsia="宋体" w:cs="宋体"/>
                <w:b/>
                <w:kern w:val="0"/>
                <w:sz w:val="20"/>
                <w:szCs w:val="20"/>
                <w:lang w:val="en-GB"/>
              </w:rPr>
            </w:pPr>
            <w:r>
              <w:rPr>
                <w:rFonts w:hint="eastAsia" w:ascii="宋体" w:hAnsi="宋体" w:eastAsia="宋体" w:cs="宋体"/>
                <w:kern w:val="0"/>
                <w:sz w:val="20"/>
                <w:lang w:val="en-GB"/>
              </w:rPr>
              <w:t>58.32</w:t>
            </w:r>
          </w:p>
        </w:tc>
        <w:tc>
          <w:tcPr>
            <w:tcW w:w="705" w:type="pct"/>
            <w:shd w:val="clear" w:color="000000" w:fill="FFFFFF"/>
            <w:vAlign w:val="center"/>
          </w:tcPr>
          <w:p w14:paraId="404CB5E0">
            <w:pPr>
              <w:widowControl/>
              <w:jc w:val="right"/>
              <w:rPr>
                <w:rFonts w:hint="eastAsia" w:ascii="宋体" w:hAnsi="宋体" w:eastAsia="宋体" w:cs="宋体"/>
                <w:b/>
                <w:kern w:val="0"/>
                <w:sz w:val="20"/>
                <w:szCs w:val="20"/>
                <w:lang w:val="en-GB"/>
              </w:rPr>
            </w:pPr>
            <w:r>
              <w:rPr>
                <w:rFonts w:hint="eastAsia" w:ascii="宋体" w:hAnsi="宋体" w:eastAsia="宋体" w:cs="宋体"/>
                <w:kern w:val="0"/>
                <w:sz w:val="20"/>
                <w:lang w:val="en-GB"/>
              </w:rPr>
              <w:t>58.32</w:t>
            </w:r>
          </w:p>
        </w:tc>
        <w:tc>
          <w:tcPr>
            <w:tcW w:w="705" w:type="pct"/>
            <w:shd w:val="clear" w:color="000000" w:fill="FFFFFF"/>
            <w:vAlign w:val="center"/>
          </w:tcPr>
          <w:p w14:paraId="254E359B">
            <w:pPr>
              <w:widowControl/>
              <w:jc w:val="right"/>
              <w:rPr>
                <w:rFonts w:hint="eastAsia" w:ascii="宋体" w:hAnsi="宋体" w:eastAsia="宋体" w:cs="宋体"/>
                <w:b/>
                <w:kern w:val="0"/>
                <w:sz w:val="20"/>
                <w:szCs w:val="20"/>
                <w:lang w:val="en-GB"/>
              </w:rPr>
            </w:pPr>
            <w:r>
              <w:rPr>
                <w:rFonts w:hint="eastAsia" w:ascii="宋体" w:hAnsi="宋体" w:eastAsia="宋体" w:cs="宋体"/>
                <w:kern w:val="0"/>
                <w:sz w:val="20"/>
                <w:lang w:val="en-GB"/>
              </w:rPr>
              <w:t>58.32</w:t>
            </w:r>
          </w:p>
        </w:tc>
        <w:tc>
          <w:tcPr>
            <w:tcW w:w="705" w:type="pct"/>
            <w:shd w:val="clear" w:color="000000" w:fill="FFFFFF"/>
            <w:vAlign w:val="center"/>
          </w:tcPr>
          <w:p w14:paraId="16360322">
            <w:pPr>
              <w:widowControl/>
              <w:jc w:val="right"/>
              <w:rPr>
                <w:rFonts w:hint="eastAsia" w:ascii="宋体" w:hAnsi="宋体" w:eastAsia="宋体" w:cs="宋体"/>
                <w:b/>
                <w:kern w:val="0"/>
                <w:sz w:val="20"/>
                <w:szCs w:val="20"/>
                <w:lang w:val="en-GB"/>
              </w:rPr>
            </w:pPr>
            <w:r>
              <w:rPr>
                <w:rFonts w:hint="eastAsia" w:ascii="宋体" w:hAnsi="宋体" w:eastAsia="宋体" w:cs="宋体"/>
                <w:kern w:val="0"/>
                <w:sz w:val="20"/>
                <w:lang w:val="en-GB"/>
              </w:rPr>
              <w:t>58.32</w:t>
            </w:r>
          </w:p>
        </w:tc>
        <w:tc>
          <w:tcPr>
            <w:tcW w:w="705" w:type="pct"/>
            <w:shd w:val="clear" w:color="000000" w:fill="FFFFFF"/>
            <w:vAlign w:val="center"/>
          </w:tcPr>
          <w:p w14:paraId="05C478F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58.32</w:t>
            </w:r>
          </w:p>
        </w:tc>
      </w:tr>
      <w:tr w14:paraId="7D405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4DF7201A">
            <w:pPr>
              <w:widowControl/>
              <w:jc w:val="lef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相关税费</w:t>
            </w:r>
          </w:p>
        </w:tc>
        <w:tc>
          <w:tcPr>
            <w:tcW w:w="705" w:type="pct"/>
            <w:shd w:val="clear" w:color="000000" w:fill="FFFFFF"/>
            <w:vAlign w:val="center"/>
          </w:tcPr>
          <w:p w14:paraId="3825D651">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23.26</w:t>
            </w:r>
          </w:p>
        </w:tc>
        <w:tc>
          <w:tcPr>
            <w:tcW w:w="705" w:type="pct"/>
            <w:shd w:val="clear" w:color="000000" w:fill="FFFFFF"/>
            <w:vAlign w:val="center"/>
          </w:tcPr>
          <w:p w14:paraId="11D927B9">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23.26</w:t>
            </w:r>
          </w:p>
        </w:tc>
        <w:tc>
          <w:tcPr>
            <w:tcW w:w="705" w:type="pct"/>
            <w:shd w:val="clear" w:color="000000" w:fill="FFFFFF"/>
            <w:vAlign w:val="center"/>
          </w:tcPr>
          <w:p w14:paraId="4754A021">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23.26</w:t>
            </w:r>
          </w:p>
        </w:tc>
        <w:tc>
          <w:tcPr>
            <w:tcW w:w="705" w:type="pct"/>
            <w:shd w:val="clear" w:color="000000" w:fill="FFFFFF"/>
            <w:vAlign w:val="center"/>
          </w:tcPr>
          <w:p w14:paraId="44102C3E">
            <w:pPr>
              <w:widowControl/>
              <w:jc w:val="right"/>
              <w:rPr>
                <w:rFonts w:hint="eastAsia" w:ascii="宋体" w:hAnsi="宋体" w:eastAsia="宋体" w:cs="宋体"/>
                <w:b/>
                <w:bCs/>
                <w:kern w:val="0"/>
                <w:sz w:val="20"/>
                <w:szCs w:val="20"/>
                <w:lang w:val="en-GB"/>
              </w:rPr>
            </w:pPr>
            <w:r>
              <w:rPr>
                <w:rFonts w:hint="eastAsia" w:ascii="宋体" w:hAnsi="宋体" w:eastAsia="宋体" w:cs="宋体"/>
                <w:kern w:val="0"/>
                <w:sz w:val="20"/>
                <w:lang w:val="en-GB"/>
              </w:rPr>
              <w:t>23.26</w:t>
            </w:r>
          </w:p>
        </w:tc>
        <w:tc>
          <w:tcPr>
            <w:tcW w:w="705" w:type="pct"/>
            <w:shd w:val="clear" w:color="000000" w:fill="FFFFFF"/>
            <w:vAlign w:val="center"/>
          </w:tcPr>
          <w:p w14:paraId="05823BA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23.26</w:t>
            </w:r>
          </w:p>
        </w:tc>
      </w:tr>
      <w:tr w14:paraId="544D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6" w:type="pct"/>
            <w:shd w:val="clear" w:color="000000" w:fill="FFFFFF"/>
          </w:tcPr>
          <w:p w14:paraId="2A744474">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成本合计</w:t>
            </w:r>
          </w:p>
        </w:tc>
        <w:tc>
          <w:tcPr>
            <w:tcW w:w="705" w:type="pct"/>
            <w:shd w:val="clear" w:color="000000" w:fill="FFFFFF"/>
            <w:vAlign w:val="center"/>
          </w:tcPr>
          <w:p w14:paraId="7AA0D18F">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983.83</w:t>
            </w:r>
          </w:p>
        </w:tc>
        <w:tc>
          <w:tcPr>
            <w:tcW w:w="705" w:type="pct"/>
            <w:shd w:val="clear" w:color="000000" w:fill="FFFFFF"/>
            <w:vAlign w:val="center"/>
          </w:tcPr>
          <w:p w14:paraId="56FA99FF">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532.71</w:t>
            </w:r>
          </w:p>
        </w:tc>
        <w:tc>
          <w:tcPr>
            <w:tcW w:w="705" w:type="pct"/>
            <w:shd w:val="clear" w:color="000000" w:fill="FFFFFF"/>
            <w:vAlign w:val="center"/>
          </w:tcPr>
          <w:p w14:paraId="252EAB26">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532.71</w:t>
            </w:r>
          </w:p>
        </w:tc>
        <w:tc>
          <w:tcPr>
            <w:tcW w:w="705" w:type="pct"/>
            <w:shd w:val="clear" w:color="000000" w:fill="FFFFFF"/>
            <w:vAlign w:val="center"/>
          </w:tcPr>
          <w:p w14:paraId="3B300EF6">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532.71</w:t>
            </w:r>
          </w:p>
        </w:tc>
        <w:tc>
          <w:tcPr>
            <w:tcW w:w="705" w:type="pct"/>
            <w:shd w:val="clear" w:color="000000" w:fill="FFFFFF"/>
            <w:vAlign w:val="center"/>
          </w:tcPr>
          <w:p w14:paraId="3AB8E32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532.71</w:t>
            </w:r>
          </w:p>
        </w:tc>
      </w:tr>
    </w:tbl>
    <w:p w14:paraId="7C5D0688">
      <w:pPr>
        <w:widowControl/>
        <w:ind w:firstLine="482" w:firstLineChars="200"/>
        <w:jc w:val="left"/>
        <w:rPr>
          <w:rFonts w:hint="eastAsia" w:ascii="宋体" w:hAnsi="宋体" w:eastAsia="宋体" w:cs="宋体"/>
          <w:b/>
          <w:bCs/>
          <w:kern w:val="0"/>
          <w:sz w:val="24"/>
          <w:szCs w:val="24"/>
          <w:lang w:val="en-GB" w:eastAsia="zh-TW"/>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208"/>
        <w:gridCol w:w="1208"/>
        <w:gridCol w:w="1208"/>
        <w:gridCol w:w="1208"/>
        <w:gridCol w:w="1204"/>
      </w:tblGrid>
      <w:tr w14:paraId="0BD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457" w:type="pct"/>
            <w:shd w:val="clear" w:color="auto" w:fill="D0CECE"/>
            <w:vAlign w:val="center"/>
          </w:tcPr>
          <w:p w14:paraId="4089FE45">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运营期</w:t>
            </w:r>
          </w:p>
        </w:tc>
        <w:tc>
          <w:tcPr>
            <w:tcW w:w="709" w:type="pct"/>
            <w:shd w:val="clear" w:color="auto" w:fill="D0CECE"/>
            <w:vAlign w:val="center"/>
          </w:tcPr>
          <w:p w14:paraId="00853455">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20</w:t>
            </w:r>
            <w:r>
              <w:rPr>
                <w:rFonts w:hint="eastAsia" w:ascii="宋体" w:hAnsi="宋体" w:eastAsia="宋体" w:cs="宋体"/>
                <w:b/>
                <w:color w:val="000000"/>
                <w:kern w:val="0"/>
                <w:sz w:val="20"/>
                <w:szCs w:val="20"/>
                <w:lang w:val="en-GB" w:eastAsia="zh-TW"/>
              </w:rPr>
              <w:t>32</w:t>
            </w:r>
          </w:p>
        </w:tc>
        <w:tc>
          <w:tcPr>
            <w:tcW w:w="709" w:type="pct"/>
            <w:shd w:val="clear" w:color="auto" w:fill="D0CECE"/>
            <w:vAlign w:val="center"/>
          </w:tcPr>
          <w:p w14:paraId="749411CB">
            <w:pPr>
              <w:widowControl/>
              <w:jc w:val="center"/>
              <w:rPr>
                <w:rFonts w:hint="eastAsia" w:ascii="宋体" w:hAnsi="宋体" w:eastAsia="宋体" w:cs="宋体"/>
                <w:b/>
                <w:color w:val="000000"/>
                <w:kern w:val="0"/>
                <w:sz w:val="20"/>
                <w:szCs w:val="20"/>
                <w:lang w:val="en-GB"/>
              </w:rPr>
            </w:pPr>
            <w:r>
              <w:rPr>
                <w:rFonts w:hint="eastAsia" w:ascii="宋体" w:hAnsi="宋体" w:eastAsia="宋体" w:cs="宋体"/>
                <w:b/>
                <w:color w:val="000000"/>
                <w:kern w:val="0"/>
                <w:sz w:val="20"/>
                <w:szCs w:val="20"/>
                <w:lang w:val="en-GB" w:eastAsia="zh-TW"/>
              </w:rPr>
              <w:t>20</w:t>
            </w:r>
            <w:r>
              <w:rPr>
                <w:rFonts w:hint="eastAsia" w:ascii="宋体" w:hAnsi="宋体" w:eastAsia="宋体" w:cs="宋体"/>
                <w:b/>
                <w:color w:val="000000"/>
                <w:kern w:val="0"/>
                <w:sz w:val="20"/>
                <w:szCs w:val="20"/>
                <w:lang w:val="en-GB" w:eastAsia="zh-TW"/>
              </w:rPr>
              <w:t>33</w:t>
            </w:r>
          </w:p>
        </w:tc>
        <w:tc>
          <w:tcPr>
            <w:tcW w:w="709" w:type="pct"/>
            <w:shd w:val="clear" w:color="auto" w:fill="D0CECE"/>
            <w:vAlign w:val="center"/>
          </w:tcPr>
          <w:p w14:paraId="73BC92AF">
            <w:pPr>
              <w:widowControl/>
              <w:jc w:val="center"/>
              <w:rPr>
                <w:rFonts w:hint="eastAsia" w:ascii="宋体" w:hAnsi="宋体" w:eastAsia="宋体" w:cs="宋体"/>
                <w:b/>
                <w:color w:val="000000"/>
                <w:kern w:val="0"/>
                <w:sz w:val="20"/>
                <w:szCs w:val="20"/>
                <w:lang w:val="en-GB" w:eastAsia="zh-TW"/>
              </w:rPr>
            </w:pPr>
            <w:r>
              <w:rPr>
                <w:rFonts w:hint="eastAsia" w:ascii="宋体" w:hAnsi="宋体" w:eastAsia="宋体" w:cs="宋体"/>
                <w:b/>
                <w:kern w:val="0"/>
                <w:sz w:val="20"/>
                <w:szCs w:val="20"/>
                <w:lang w:val="en-GB"/>
              </w:rPr>
              <w:t>20</w:t>
            </w:r>
            <w:r>
              <w:rPr>
                <w:rFonts w:hint="eastAsia" w:ascii="宋体" w:hAnsi="宋体" w:eastAsia="宋体" w:cs="宋体"/>
                <w:b/>
                <w:kern w:val="0"/>
                <w:sz w:val="20"/>
                <w:szCs w:val="20"/>
                <w:lang w:val="en-GB"/>
              </w:rPr>
              <w:t>34</w:t>
            </w:r>
          </w:p>
        </w:tc>
        <w:tc>
          <w:tcPr>
            <w:tcW w:w="709" w:type="pct"/>
            <w:shd w:val="clear" w:color="auto" w:fill="D0CECE"/>
          </w:tcPr>
          <w:p w14:paraId="7AA6F56C">
            <w:pPr>
              <w:widowControl/>
              <w:jc w:val="center"/>
              <w:rPr>
                <w:rFonts w:hint="eastAsia" w:ascii="宋体" w:hAnsi="宋体" w:eastAsia="宋体" w:cs="宋体"/>
                <w:b/>
                <w:kern w:val="0"/>
                <w:sz w:val="20"/>
                <w:szCs w:val="20"/>
                <w:lang w:val="en-GB"/>
              </w:rPr>
            </w:pPr>
            <w:r>
              <w:rPr>
                <w:rFonts w:hint="eastAsia" w:ascii="宋体" w:hAnsi="宋体" w:eastAsia="宋体" w:cs="宋体"/>
                <w:b/>
                <w:kern w:val="0"/>
                <w:sz w:val="20"/>
                <w:szCs w:val="20"/>
                <w:lang w:val="en-GB"/>
              </w:rPr>
              <w:t>2035</w:t>
            </w:r>
          </w:p>
        </w:tc>
        <w:tc>
          <w:tcPr>
            <w:tcW w:w="707" w:type="pct"/>
            <w:shd w:val="clear" w:color="auto" w:fill="D0CECE"/>
            <w:vAlign w:val="center"/>
          </w:tcPr>
          <w:p w14:paraId="07A667C1">
            <w:pPr>
              <w:widowControl/>
              <w:jc w:val="center"/>
              <w:rPr>
                <w:rFonts w:hint="eastAsia" w:ascii="宋体" w:hAnsi="宋体" w:eastAsia="宋体" w:cs="宋体"/>
                <w:b/>
                <w:color w:val="000000"/>
                <w:kern w:val="0"/>
                <w:sz w:val="20"/>
                <w:szCs w:val="20"/>
                <w:lang w:val="en-GB" w:eastAsia="zh-TW"/>
              </w:rPr>
            </w:pPr>
            <w:r>
              <w:rPr>
                <w:rFonts w:hint="eastAsia" w:ascii="宋体" w:hAnsi="宋体" w:eastAsia="宋体" w:cs="宋体"/>
                <w:b/>
                <w:kern w:val="0"/>
                <w:sz w:val="20"/>
                <w:szCs w:val="20"/>
                <w:lang w:val="en-GB"/>
              </w:rPr>
              <w:t>合计</w:t>
            </w:r>
          </w:p>
        </w:tc>
      </w:tr>
      <w:tr w14:paraId="5E3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196C9028">
            <w:pPr>
              <w:widowControl/>
              <w:jc w:val="left"/>
              <w:rPr>
                <w:rFonts w:hint="eastAsia" w:ascii="宋体" w:hAnsi="宋体" w:eastAsia="宋体" w:cs="宋体"/>
                <w:color w:val="000000"/>
                <w:kern w:val="0"/>
                <w:sz w:val="20"/>
                <w:szCs w:val="20"/>
                <w:lang w:val="en-GB" w:eastAsia="zh-TW"/>
              </w:rPr>
            </w:pPr>
            <w:r>
              <w:rPr>
                <w:rFonts w:hint="eastAsia" w:ascii="宋体" w:hAnsi="宋体" w:eastAsia="宋体" w:cs="宋体"/>
                <w:kern w:val="0"/>
                <w:sz w:val="20"/>
                <w:lang w:val="en-GB"/>
              </w:rPr>
              <w:t>土地出让收入</w:t>
            </w:r>
          </w:p>
        </w:tc>
        <w:tc>
          <w:tcPr>
            <w:tcW w:w="709" w:type="pct"/>
            <w:shd w:val="clear" w:color="000000" w:fill="FFFFFF"/>
            <w:vAlign w:val="center"/>
          </w:tcPr>
          <w:p w14:paraId="7F5633E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c>
          <w:tcPr>
            <w:tcW w:w="709" w:type="pct"/>
            <w:shd w:val="clear" w:color="000000" w:fill="FFFFFF"/>
            <w:vAlign w:val="center"/>
          </w:tcPr>
          <w:p w14:paraId="1270791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c>
          <w:tcPr>
            <w:tcW w:w="709" w:type="pct"/>
            <w:shd w:val="clear" w:color="000000" w:fill="FFFFFF"/>
            <w:vAlign w:val="center"/>
          </w:tcPr>
          <w:p w14:paraId="722B467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c>
          <w:tcPr>
            <w:tcW w:w="709" w:type="pct"/>
            <w:shd w:val="clear" w:color="000000" w:fill="FFFFFF"/>
            <w:vAlign w:val="center"/>
          </w:tcPr>
          <w:p w14:paraId="480013EA">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1,804.50</w:t>
            </w:r>
          </w:p>
        </w:tc>
        <w:tc>
          <w:tcPr>
            <w:tcW w:w="707" w:type="pct"/>
            <w:shd w:val="clear" w:color="000000" w:fill="FFFFFF"/>
            <w:vAlign w:val="center"/>
          </w:tcPr>
          <w:p w14:paraId="7498889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18,045.00</w:t>
            </w:r>
          </w:p>
        </w:tc>
      </w:tr>
      <w:tr w14:paraId="33CA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23D6ADE7">
            <w:pPr>
              <w:widowControl/>
              <w:jc w:val="left"/>
              <w:rPr>
                <w:rFonts w:hint="eastAsia" w:ascii="宋体" w:hAnsi="宋体" w:eastAsia="宋体" w:cs="宋体"/>
                <w:color w:val="000000"/>
                <w:kern w:val="0"/>
                <w:sz w:val="20"/>
                <w:szCs w:val="20"/>
                <w:lang w:val="en-GB" w:eastAsia="zh-TW"/>
              </w:rPr>
            </w:pPr>
            <w:r>
              <w:rPr>
                <w:rFonts w:hint="eastAsia" w:ascii="宋体" w:hAnsi="宋体" w:eastAsia="宋体" w:cs="宋体"/>
                <w:kern w:val="0"/>
                <w:sz w:val="20"/>
                <w:lang w:val="en-GB"/>
              </w:rPr>
              <w:t>广告牌出租收入</w:t>
            </w:r>
          </w:p>
        </w:tc>
        <w:tc>
          <w:tcPr>
            <w:tcW w:w="709" w:type="pct"/>
            <w:shd w:val="clear" w:color="000000" w:fill="FFFFFF"/>
            <w:vAlign w:val="center"/>
          </w:tcPr>
          <w:p w14:paraId="1CB6D448">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9" w:type="pct"/>
            <w:shd w:val="clear" w:color="000000" w:fill="FFFFFF"/>
            <w:vAlign w:val="center"/>
          </w:tcPr>
          <w:p w14:paraId="110A8436">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9" w:type="pct"/>
            <w:shd w:val="clear" w:color="000000" w:fill="FFFFFF"/>
            <w:vAlign w:val="center"/>
          </w:tcPr>
          <w:p w14:paraId="05E186E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9" w:type="pct"/>
            <w:shd w:val="clear" w:color="000000" w:fill="FFFFFF"/>
            <w:vAlign w:val="center"/>
          </w:tcPr>
          <w:p w14:paraId="56ABAB15">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270.00</w:t>
            </w:r>
          </w:p>
        </w:tc>
        <w:tc>
          <w:tcPr>
            <w:tcW w:w="707" w:type="pct"/>
            <w:shd w:val="clear" w:color="000000" w:fill="FFFFFF"/>
            <w:vAlign w:val="center"/>
          </w:tcPr>
          <w:p w14:paraId="7728AB9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2,430.00</w:t>
            </w:r>
          </w:p>
        </w:tc>
      </w:tr>
      <w:tr w14:paraId="66957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43DD12EB">
            <w:pPr>
              <w:widowControl/>
              <w:jc w:val="left"/>
              <w:rPr>
                <w:rFonts w:hint="eastAsia" w:ascii="宋体" w:hAnsi="宋体" w:eastAsia="宋体" w:cs="宋体"/>
                <w:color w:val="000000"/>
                <w:kern w:val="0"/>
                <w:sz w:val="20"/>
                <w:szCs w:val="20"/>
                <w:lang w:val="en-GB" w:eastAsia="zh-TW"/>
              </w:rPr>
            </w:pPr>
            <w:r>
              <w:rPr>
                <w:rFonts w:hint="eastAsia" w:ascii="宋体" w:hAnsi="宋体" w:eastAsia="宋体" w:cs="宋体"/>
                <w:kern w:val="0"/>
                <w:sz w:val="20"/>
                <w:lang w:val="en-GB"/>
              </w:rPr>
              <w:t>停车位收入</w:t>
            </w:r>
          </w:p>
        </w:tc>
        <w:tc>
          <w:tcPr>
            <w:tcW w:w="709" w:type="pct"/>
            <w:shd w:val="clear" w:color="000000" w:fill="FFFFFF"/>
            <w:vAlign w:val="center"/>
          </w:tcPr>
          <w:p w14:paraId="40A3697E">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9" w:type="pct"/>
            <w:shd w:val="clear" w:color="000000" w:fill="FFFFFF"/>
            <w:vAlign w:val="center"/>
          </w:tcPr>
          <w:p w14:paraId="79F28143">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9" w:type="pct"/>
            <w:shd w:val="clear" w:color="000000" w:fill="FFFFFF"/>
            <w:vAlign w:val="center"/>
          </w:tcPr>
          <w:p w14:paraId="08A4C3E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9" w:type="pct"/>
            <w:shd w:val="clear" w:color="000000" w:fill="FFFFFF"/>
            <w:vAlign w:val="center"/>
          </w:tcPr>
          <w:p w14:paraId="28AF11D7">
            <w:pPr>
              <w:widowControl/>
              <w:jc w:val="righ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21.60</w:t>
            </w:r>
          </w:p>
        </w:tc>
        <w:tc>
          <w:tcPr>
            <w:tcW w:w="707" w:type="pct"/>
            <w:shd w:val="clear" w:color="000000" w:fill="FFFFFF"/>
            <w:vAlign w:val="center"/>
          </w:tcPr>
          <w:p w14:paraId="1673681A">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194.40</w:t>
            </w:r>
          </w:p>
        </w:tc>
      </w:tr>
      <w:tr w14:paraId="5DFF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242FEE6F">
            <w:pPr>
              <w:widowControl/>
              <w:jc w:val="left"/>
              <w:rPr>
                <w:rFonts w:hint="eastAsia" w:ascii="宋体" w:hAnsi="宋体" w:eastAsia="宋体" w:cs="宋体"/>
                <w:b/>
                <w:bCs/>
                <w:color w:val="000000"/>
                <w:kern w:val="0"/>
                <w:sz w:val="20"/>
                <w:szCs w:val="20"/>
                <w:lang w:val="en-GB" w:eastAsia="zh-TW"/>
              </w:rPr>
            </w:pPr>
            <w:r>
              <w:rPr>
                <w:rFonts w:hint="eastAsia" w:ascii="宋体" w:hAnsi="宋体" w:eastAsia="宋体" w:cs="宋体"/>
                <w:b/>
                <w:bCs/>
                <w:kern w:val="0"/>
                <w:sz w:val="20"/>
                <w:lang w:val="en-GB"/>
              </w:rPr>
              <w:t>收入合计</w:t>
            </w:r>
          </w:p>
        </w:tc>
        <w:tc>
          <w:tcPr>
            <w:tcW w:w="709" w:type="pct"/>
            <w:shd w:val="clear" w:color="000000" w:fill="FFFFFF"/>
            <w:vAlign w:val="center"/>
          </w:tcPr>
          <w:p w14:paraId="66B4870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9" w:type="pct"/>
            <w:shd w:val="clear" w:color="000000" w:fill="FFFFFF"/>
            <w:vAlign w:val="center"/>
          </w:tcPr>
          <w:p w14:paraId="24F58E1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9" w:type="pct"/>
            <w:shd w:val="clear" w:color="000000" w:fill="FFFFFF"/>
            <w:vAlign w:val="center"/>
          </w:tcPr>
          <w:p w14:paraId="650E183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9" w:type="pct"/>
            <w:shd w:val="clear" w:color="000000" w:fill="FFFFFF"/>
            <w:vAlign w:val="center"/>
          </w:tcPr>
          <w:p w14:paraId="1C67808B">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2,096.10</w:t>
            </w:r>
          </w:p>
        </w:tc>
        <w:tc>
          <w:tcPr>
            <w:tcW w:w="707" w:type="pct"/>
            <w:shd w:val="clear" w:color="000000" w:fill="FFFFFF"/>
            <w:vAlign w:val="center"/>
          </w:tcPr>
          <w:p w14:paraId="6925B79E">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20,669.40</w:t>
            </w:r>
          </w:p>
        </w:tc>
      </w:tr>
      <w:tr w14:paraId="7EB3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1CA71EBF">
            <w:pPr>
              <w:widowControl/>
              <w:jc w:val="lef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土地出让成本</w:t>
            </w:r>
          </w:p>
        </w:tc>
        <w:tc>
          <w:tcPr>
            <w:tcW w:w="709" w:type="pct"/>
            <w:shd w:val="clear" w:color="000000" w:fill="FFFFFF"/>
            <w:vAlign w:val="center"/>
          </w:tcPr>
          <w:p w14:paraId="7409C6C3">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451.13</w:t>
            </w:r>
          </w:p>
        </w:tc>
        <w:tc>
          <w:tcPr>
            <w:tcW w:w="709" w:type="pct"/>
            <w:shd w:val="clear" w:color="000000" w:fill="FFFFFF"/>
            <w:vAlign w:val="center"/>
          </w:tcPr>
          <w:p w14:paraId="258EE945">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451.13</w:t>
            </w:r>
          </w:p>
        </w:tc>
        <w:tc>
          <w:tcPr>
            <w:tcW w:w="709" w:type="pct"/>
            <w:shd w:val="clear" w:color="000000" w:fill="FFFFFF"/>
            <w:vAlign w:val="center"/>
          </w:tcPr>
          <w:p w14:paraId="52B37F16">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451.13</w:t>
            </w:r>
          </w:p>
        </w:tc>
        <w:tc>
          <w:tcPr>
            <w:tcW w:w="709" w:type="pct"/>
            <w:shd w:val="clear" w:color="000000" w:fill="FFFFFF"/>
            <w:vAlign w:val="center"/>
          </w:tcPr>
          <w:p w14:paraId="091D6338">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451.13</w:t>
            </w:r>
          </w:p>
        </w:tc>
        <w:tc>
          <w:tcPr>
            <w:tcW w:w="707" w:type="pct"/>
            <w:shd w:val="clear" w:color="000000" w:fill="FFFFFF"/>
            <w:vAlign w:val="center"/>
          </w:tcPr>
          <w:p w14:paraId="3400199E">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4,511.29</w:t>
            </w:r>
          </w:p>
        </w:tc>
      </w:tr>
      <w:tr w14:paraId="563FA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6A44B819">
            <w:pPr>
              <w:widowControl/>
              <w:jc w:val="left"/>
              <w:rPr>
                <w:rFonts w:hint="eastAsia" w:ascii="宋体" w:hAnsi="宋体" w:eastAsia="宋体" w:cs="宋体"/>
                <w:b/>
                <w:color w:val="000000"/>
                <w:kern w:val="0"/>
                <w:sz w:val="20"/>
                <w:szCs w:val="20"/>
                <w:lang w:val="en-GB"/>
              </w:rPr>
            </w:pPr>
            <w:r>
              <w:rPr>
                <w:rFonts w:hint="eastAsia" w:ascii="宋体" w:hAnsi="宋体" w:eastAsia="宋体" w:cs="宋体"/>
                <w:kern w:val="0"/>
                <w:sz w:val="20"/>
                <w:lang w:val="en-GB"/>
              </w:rPr>
              <w:t>运营成本</w:t>
            </w:r>
          </w:p>
        </w:tc>
        <w:tc>
          <w:tcPr>
            <w:tcW w:w="709" w:type="pct"/>
            <w:shd w:val="clear" w:color="000000" w:fill="FFFFFF"/>
            <w:vAlign w:val="center"/>
          </w:tcPr>
          <w:p w14:paraId="6402C9ED">
            <w:pPr>
              <w:widowControl/>
              <w:jc w:val="right"/>
              <w:rPr>
                <w:rFonts w:hint="eastAsia" w:ascii="宋体" w:hAnsi="宋体" w:eastAsia="宋体" w:cs="宋体"/>
                <w:b/>
                <w:kern w:val="0"/>
                <w:sz w:val="20"/>
                <w:szCs w:val="20"/>
                <w:lang w:val="en-GB"/>
              </w:rPr>
            </w:pPr>
            <w:r>
              <w:rPr>
                <w:rFonts w:hint="eastAsia" w:ascii="宋体" w:hAnsi="宋体" w:eastAsia="宋体" w:cs="宋体"/>
                <w:kern w:val="0"/>
                <w:sz w:val="20"/>
                <w:lang w:val="en-GB"/>
              </w:rPr>
              <w:t>58.32</w:t>
            </w:r>
          </w:p>
        </w:tc>
        <w:tc>
          <w:tcPr>
            <w:tcW w:w="709" w:type="pct"/>
            <w:shd w:val="clear" w:color="000000" w:fill="FFFFFF"/>
            <w:vAlign w:val="center"/>
          </w:tcPr>
          <w:p w14:paraId="7A7D5BC5">
            <w:pPr>
              <w:widowControl/>
              <w:jc w:val="right"/>
              <w:rPr>
                <w:rFonts w:hint="eastAsia" w:ascii="宋体" w:hAnsi="宋体" w:eastAsia="宋体" w:cs="宋体"/>
                <w:b/>
                <w:kern w:val="0"/>
                <w:sz w:val="20"/>
                <w:szCs w:val="20"/>
                <w:lang w:val="en-GB"/>
              </w:rPr>
            </w:pPr>
            <w:r>
              <w:rPr>
                <w:rFonts w:hint="eastAsia" w:ascii="宋体" w:hAnsi="宋体" w:eastAsia="宋体" w:cs="宋体"/>
                <w:kern w:val="0"/>
                <w:sz w:val="20"/>
                <w:lang w:val="en-GB"/>
              </w:rPr>
              <w:t>58.32</w:t>
            </w:r>
          </w:p>
        </w:tc>
        <w:tc>
          <w:tcPr>
            <w:tcW w:w="709" w:type="pct"/>
            <w:shd w:val="clear" w:color="000000" w:fill="FFFFFF"/>
            <w:vAlign w:val="center"/>
          </w:tcPr>
          <w:p w14:paraId="2DE53D02">
            <w:pPr>
              <w:widowControl/>
              <w:jc w:val="right"/>
              <w:rPr>
                <w:rFonts w:hint="eastAsia" w:ascii="宋体" w:hAnsi="宋体" w:eastAsia="宋体" w:cs="宋体"/>
                <w:b/>
                <w:kern w:val="0"/>
                <w:sz w:val="20"/>
                <w:szCs w:val="20"/>
                <w:lang w:val="en-GB"/>
              </w:rPr>
            </w:pPr>
            <w:r>
              <w:rPr>
                <w:rFonts w:hint="eastAsia" w:ascii="宋体" w:hAnsi="宋体" w:eastAsia="宋体" w:cs="宋体"/>
                <w:kern w:val="0"/>
                <w:sz w:val="20"/>
                <w:lang w:val="en-GB"/>
              </w:rPr>
              <w:t>58.32</w:t>
            </w:r>
          </w:p>
        </w:tc>
        <w:tc>
          <w:tcPr>
            <w:tcW w:w="709" w:type="pct"/>
            <w:shd w:val="clear" w:color="000000" w:fill="FFFFFF"/>
            <w:vAlign w:val="center"/>
          </w:tcPr>
          <w:p w14:paraId="3D988F1F">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58.32</w:t>
            </w:r>
          </w:p>
        </w:tc>
        <w:tc>
          <w:tcPr>
            <w:tcW w:w="707" w:type="pct"/>
            <w:shd w:val="clear" w:color="000000" w:fill="FFFFFF"/>
            <w:vAlign w:val="center"/>
          </w:tcPr>
          <w:p w14:paraId="1FF7E63C">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524.88</w:t>
            </w:r>
          </w:p>
        </w:tc>
      </w:tr>
      <w:tr w14:paraId="6B2A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26078568">
            <w:pPr>
              <w:widowControl/>
              <w:jc w:val="left"/>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相关税费</w:t>
            </w:r>
          </w:p>
        </w:tc>
        <w:tc>
          <w:tcPr>
            <w:tcW w:w="709" w:type="pct"/>
            <w:shd w:val="clear" w:color="000000" w:fill="FFFFFF"/>
            <w:vAlign w:val="center"/>
          </w:tcPr>
          <w:p w14:paraId="51CA58B0">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23.26</w:t>
            </w:r>
          </w:p>
        </w:tc>
        <w:tc>
          <w:tcPr>
            <w:tcW w:w="709" w:type="pct"/>
            <w:shd w:val="clear" w:color="000000" w:fill="FFFFFF"/>
            <w:vAlign w:val="center"/>
          </w:tcPr>
          <w:p w14:paraId="25A95FC9">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23.26</w:t>
            </w:r>
          </w:p>
        </w:tc>
        <w:tc>
          <w:tcPr>
            <w:tcW w:w="709" w:type="pct"/>
            <w:shd w:val="clear" w:color="000000" w:fill="FFFFFF"/>
            <w:vAlign w:val="center"/>
          </w:tcPr>
          <w:p w14:paraId="7C106585">
            <w:pPr>
              <w:widowControl/>
              <w:jc w:val="right"/>
              <w:rPr>
                <w:rFonts w:hint="eastAsia" w:ascii="宋体" w:hAnsi="宋体" w:eastAsia="宋体" w:cs="宋体"/>
                <w:kern w:val="0"/>
                <w:sz w:val="20"/>
                <w:szCs w:val="20"/>
                <w:lang w:val="en-GB"/>
              </w:rPr>
            </w:pPr>
            <w:r>
              <w:rPr>
                <w:rFonts w:hint="eastAsia" w:ascii="宋体" w:hAnsi="宋体" w:eastAsia="宋体" w:cs="宋体"/>
                <w:kern w:val="0"/>
                <w:sz w:val="20"/>
                <w:lang w:val="en-GB"/>
              </w:rPr>
              <w:t>23.26</w:t>
            </w:r>
          </w:p>
        </w:tc>
        <w:tc>
          <w:tcPr>
            <w:tcW w:w="709" w:type="pct"/>
            <w:shd w:val="clear" w:color="000000" w:fill="FFFFFF"/>
            <w:vAlign w:val="center"/>
          </w:tcPr>
          <w:p w14:paraId="644E6BB2">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kern w:val="0"/>
                <w:sz w:val="20"/>
                <w:lang w:val="en-GB"/>
              </w:rPr>
              <w:t>23.26</w:t>
            </w:r>
          </w:p>
        </w:tc>
        <w:tc>
          <w:tcPr>
            <w:tcW w:w="707" w:type="pct"/>
            <w:shd w:val="clear" w:color="000000" w:fill="FFFFFF"/>
            <w:vAlign w:val="center"/>
          </w:tcPr>
          <w:p w14:paraId="1A733A0A">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209.34</w:t>
            </w:r>
          </w:p>
        </w:tc>
      </w:tr>
      <w:tr w14:paraId="34B7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57" w:type="pct"/>
            <w:shd w:val="clear" w:color="000000" w:fill="FFFFFF"/>
          </w:tcPr>
          <w:p w14:paraId="4A4CE814">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成本合计</w:t>
            </w:r>
          </w:p>
        </w:tc>
        <w:tc>
          <w:tcPr>
            <w:tcW w:w="709" w:type="pct"/>
            <w:shd w:val="clear" w:color="000000" w:fill="FFFFFF"/>
            <w:vAlign w:val="center"/>
          </w:tcPr>
          <w:p w14:paraId="05CE781D">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532.71</w:t>
            </w:r>
          </w:p>
        </w:tc>
        <w:tc>
          <w:tcPr>
            <w:tcW w:w="709" w:type="pct"/>
            <w:shd w:val="clear" w:color="000000" w:fill="FFFFFF"/>
            <w:vAlign w:val="center"/>
          </w:tcPr>
          <w:p w14:paraId="5C9F2D74">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532.71</w:t>
            </w:r>
          </w:p>
        </w:tc>
        <w:tc>
          <w:tcPr>
            <w:tcW w:w="709" w:type="pct"/>
            <w:shd w:val="clear" w:color="000000" w:fill="FFFFFF"/>
            <w:vAlign w:val="center"/>
          </w:tcPr>
          <w:p w14:paraId="2A749362">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532.71</w:t>
            </w:r>
          </w:p>
        </w:tc>
        <w:tc>
          <w:tcPr>
            <w:tcW w:w="709" w:type="pct"/>
            <w:shd w:val="clear" w:color="000000" w:fill="FFFFFF"/>
            <w:vAlign w:val="center"/>
          </w:tcPr>
          <w:p w14:paraId="40620313">
            <w:pPr>
              <w:widowControl/>
              <w:jc w:val="right"/>
              <w:rPr>
                <w:rFonts w:hint="eastAsia" w:ascii="宋体" w:hAnsi="宋体" w:eastAsia="宋体" w:cs="宋体"/>
                <w:b/>
                <w:bCs/>
                <w:color w:val="000000"/>
                <w:kern w:val="0"/>
                <w:sz w:val="20"/>
                <w:szCs w:val="20"/>
                <w:lang w:val="en-GB"/>
              </w:rPr>
            </w:pPr>
            <w:r>
              <w:rPr>
                <w:rFonts w:hint="eastAsia" w:ascii="宋体" w:hAnsi="宋体" w:eastAsia="宋体" w:cs="宋体"/>
                <w:b/>
                <w:bCs/>
                <w:kern w:val="0"/>
                <w:sz w:val="20"/>
                <w:lang w:val="en-GB"/>
              </w:rPr>
              <w:t>532.71</w:t>
            </w:r>
          </w:p>
        </w:tc>
        <w:tc>
          <w:tcPr>
            <w:tcW w:w="707" w:type="pct"/>
            <w:shd w:val="clear" w:color="000000" w:fill="FFFFFF"/>
            <w:vAlign w:val="center"/>
          </w:tcPr>
          <w:p w14:paraId="4F7E2972">
            <w:pPr>
              <w:widowControl/>
              <w:jc w:val="right"/>
              <w:rPr>
                <w:rFonts w:hint="eastAsia" w:ascii="宋体" w:hAnsi="宋体" w:eastAsia="宋体" w:cs="宋体"/>
                <w:b/>
                <w:bCs/>
                <w:kern w:val="0"/>
                <w:sz w:val="20"/>
                <w:szCs w:val="20"/>
                <w:lang w:val="en-GB"/>
              </w:rPr>
            </w:pPr>
            <w:r>
              <w:rPr>
                <w:rFonts w:hint="eastAsia" w:ascii="宋体" w:hAnsi="宋体" w:eastAsia="宋体" w:cs="宋体"/>
                <w:b/>
                <w:bCs/>
                <w:kern w:val="0"/>
                <w:sz w:val="20"/>
                <w:lang w:val="en-GB"/>
              </w:rPr>
              <w:t>5,245.51</w:t>
            </w:r>
          </w:p>
        </w:tc>
      </w:tr>
    </w:tbl>
    <w:p w14:paraId="38A79C4F">
      <w:pPr>
        <w:widowControl/>
        <w:spacing w:before="120" w:after="120" w:line="360" w:lineRule="auto"/>
        <w:jc w:val="both"/>
        <w:outlineLvl w:val="1"/>
        <w:rPr>
          <w:rFonts w:hint="eastAsia" w:ascii="宋体" w:hAnsi="宋体" w:eastAsia="宋体" w:cs="宋体"/>
          <w:b/>
          <w:color w:val="000000"/>
          <w:kern w:val="0"/>
          <w:sz w:val="24"/>
          <w:szCs w:val="24"/>
          <w:lang w:val="en-US"/>
        </w:rPr>
      </w:pPr>
      <w:bookmarkStart w:id="33" w:name="_Toc200555362"/>
      <w:r>
        <w:rPr>
          <w:rFonts w:hint="eastAsia" w:ascii="宋体" w:hAnsi="宋体" w:eastAsia="宋体" w:cs="宋体"/>
          <w:b/>
          <w:color w:val="000000"/>
          <w:kern w:val="0"/>
          <w:sz w:val="24"/>
          <w:szCs w:val="24"/>
          <w:lang w:val="en-US"/>
        </w:rPr>
        <w:t>（三）</w:t>
      </w:r>
      <w:r>
        <w:rPr>
          <w:rFonts w:hint="eastAsia" w:ascii="宋体" w:hAnsi="宋体" w:eastAsia="宋体" w:cs="宋体"/>
          <w:b/>
          <w:color w:val="000000"/>
          <w:kern w:val="0"/>
          <w:sz w:val="24"/>
          <w:szCs w:val="24"/>
          <w:lang w:val="en-US"/>
        </w:rPr>
        <w:t>小结</w:t>
      </w:r>
      <w:bookmarkEnd w:id="28"/>
      <w:bookmarkEnd w:id="29"/>
      <w:bookmarkEnd w:id="33"/>
    </w:p>
    <w:p w14:paraId="52A61DCA">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综上，在本期政府专项债券存续期内，我们未发现本项目资金出现不能满足还本付息要求的情况。</w:t>
      </w:r>
    </w:p>
    <w:p w14:paraId="73B888A0">
      <w:pPr>
        <w:widowControl/>
        <w:spacing w:before="120" w:after="120" w:line="360" w:lineRule="auto"/>
        <w:jc w:val="both"/>
        <w:outlineLvl w:val="1"/>
        <w:rPr>
          <w:rFonts w:hint="eastAsia" w:ascii="宋体" w:hAnsi="宋体" w:eastAsia="宋体" w:cs="宋体"/>
          <w:b/>
          <w:color w:val="000000"/>
          <w:kern w:val="0"/>
          <w:sz w:val="24"/>
          <w:szCs w:val="24"/>
          <w:lang w:val="en-US"/>
        </w:rPr>
      </w:pPr>
      <w:bookmarkStart w:id="34" w:name="_Toc114818426"/>
      <w:bookmarkStart w:id="35" w:name="_Toc200555363"/>
      <w:bookmarkStart w:id="36" w:name="_Toc114818536"/>
      <w:r>
        <w:rPr>
          <w:rFonts w:hint="eastAsia" w:ascii="宋体" w:hAnsi="宋体" w:eastAsia="宋体" w:cs="宋体"/>
          <w:b/>
          <w:color w:val="000000"/>
          <w:kern w:val="0"/>
          <w:sz w:val="24"/>
          <w:szCs w:val="24"/>
          <w:lang w:val="en-US"/>
        </w:rPr>
        <w:t>（四）</w:t>
      </w:r>
      <w:r>
        <w:rPr>
          <w:rFonts w:hint="eastAsia" w:ascii="宋体" w:hAnsi="宋体" w:eastAsia="宋体" w:cs="宋体"/>
          <w:b/>
          <w:color w:val="000000"/>
          <w:kern w:val="0"/>
          <w:sz w:val="24"/>
          <w:szCs w:val="24"/>
          <w:lang w:val="en-US"/>
        </w:rPr>
        <w:t>资金稳定性</w:t>
      </w:r>
      <w:bookmarkEnd w:id="34"/>
      <w:bookmarkEnd w:id="35"/>
      <w:bookmarkEnd w:id="36"/>
    </w:p>
    <w:p w14:paraId="7E43DEA5">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鸿越路</w:t>
      </w:r>
      <w:r>
        <w:rPr>
          <w:rFonts w:hint="eastAsia" w:ascii="宋体" w:hAnsi="宋体" w:eastAsia="宋体" w:cs="宋体"/>
          <w:color w:val="000000"/>
          <w:kern w:val="0"/>
          <w:sz w:val="24"/>
          <w:szCs w:val="24"/>
          <w:lang w:val="en-US"/>
        </w:rPr>
        <w:t>还本付息以</w:t>
      </w:r>
      <w:r>
        <w:rPr>
          <w:rFonts w:hint="eastAsia" w:ascii="宋体" w:hAnsi="宋体" w:eastAsia="宋体" w:cs="宋体"/>
          <w:color w:val="000000"/>
          <w:kern w:val="0"/>
          <w:sz w:val="24"/>
          <w:szCs w:val="24"/>
          <w:lang w:val="en-US"/>
        </w:rPr>
        <w:t>土地出让收入、广告牌出租收入、停车位收入</w:t>
      </w:r>
      <w:r>
        <w:rPr>
          <w:rFonts w:hint="eastAsia" w:ascii="宋体" w:hAnsi="宋体" w:eastAsia="宋体" w:cs="宋体"/>
          <w:color w:val="000000"/>
          <w:kern w:val="0"/>
          <w:sz w:val="24"/>
          <w:szCs w:val="24"/>
          <w:lang w:val="en-US"/>
        </w:rPr>
        <w:t>为基础</w:t>
      </w:r>
      <w:r>
        <w:rPr>
          <w:rFonts w:hint="eastAsia" w:ascii="宋体" w:hAnsi="宋体" w:eastAsia="宋体" w:cs="宋体"/>
          <w:color w:val="000000"/>
          <w:kern w:val="0"/>
          <w:sz w:val="24"/>
          <w:szCs w:val="24"/>
          <w:lang w:val="en-US"/>
        </w:rPr>
        <w:t>，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r>
        <w:rPr>
          <w:rFonts w:hint="eastAsia" w:ascii="宋体" w:hAnsi="宋体" w:eastAsia="宋体" w:cs="宋体"/>
          <w:color w:val="000000"/>
          <w:kern w:val="0"/>
          <w:sz w:val="24"/>
          <w:szCs w:val="24"/>
          <w:lang w:val="en-US"/>
        </w:rPr>
        <w:t>。</w:t>
      </w:r>
    </w:p>
    <w:p w14:paraId="4D8A08A5">
      <w:pPr>
        <w:widowControl/>
        <w:jc w:val="center"/>
        <w:rPr>
          <w:rFonts w:hint="eastAsia" w:ascii="宋体" w:hAnsi="宋体" w:eastAsia="宋体" w:cs="宋体"/>
          <w:kern w:val="0"/>
          <w:sz w:val="18"/>
          <w:szCs w:val="18"/>
          <w:lang w:val="en-GB"/>
        </w:rPr>
      </w:pPr>
      <w:r>
        <w:rPr>
          <w:rFonts w:hint="eastAsia" w:ascii="宋体" w:hAnsi="宋体" w:eastAsia="宋体" w:cs="宋体"/>
          <w:kern w:val="0"/>
          <w:sz w:val="20"/>
          <w:lang w:val="en-GB"/>
        </w:rPr>
        <w:drawing>
          <wp:inline distT="0" distB="0" distL="0" distR="0">
            <wp:extent cx="4572000" cy="2743200"/>
            <wp:effectExtent l="4445" t="4445" r="10795" b="10795"/>
            <wp:docPr id="198999518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B1FF9FA">
      <w:pPr>
        <w:widowControl/>
        <w:jc w:val="center"/>
        <w:rPr>
          <w:rFonts w:hint="eastAsia" w:ascii="宋体" w:hAnsi="宋体" w:eastAsia="宋体" w:cs="宋体"/>
          <w:kern w:val="0"/>
          <w:sz w:val="18"/>
          <w:szCs w:val="18"/>
          <w:lang w:val="en-GB"/>
        </w:rPr>
      </w:pPr>
    </w:p>
    <w:p w14:paraId="23D4D054">
      <w:pPr>
        <w:widowControl/>
        <w:ind w:firstLine="482" w:firstLineChars="200"/>
        <w:jc w:val="center"/>
        <w:rPr>
          <w:rFonts w:hint="eastAsia" w:ascii="宋体" w:hAnsi="宋体" w:eastAsia="宋体" w:cs="宋体"/>
          <w:b/>
          <w:kern w:val="0"/>
          <w:sz w:val="24"/>
          <w:szCs w:val="24"/>
          <w:lang w:val="en-GB"/>
        </w:rPr>
      </w:pPr>
      <w:r>
        <w:rPr>
          <w:rFonts w:hint="eastAsia" w:ascii="宋体" w:hAnsi="宋体" w:eastAsia="宋体" w:cs="宋体"/>
          <w:b/>
          <w:kern w:val="0"/>
          <w:sz w:val="24"/>
          <w:szCs w:val="24"/>
          <w:lang w:val="en-GB"/>
        </w:rPr>
        <w:t>图1</w:t>
      </w:r>
      <w:r>
        <w:rPr>
          <w:rFonts w:hint="eastAsia" w:ascii="宋体" w:hAnsi="宋体" w:eastAsia="宋体" w:cs="宋体"/>
          <w:b/>
          <w:kern w:val="0"/>
          <w:sz w:val="24"/>
          <w:szCs w:val="24"/>
          <w:lang w:val="en-GB"/>
        </w:rPr>
        <w:t xml:space="preserve"> </w:t>
      </w:r>
      <w:r>
        <w:rPr>
          <w:rFonts w:hint="eastAsia" w:ascii="宋体" w:hAnsi="宋体" w:eastAsia="宋体" w:cs="宋体"/>
          <w:b/>
          <w:kern w:val="0"/>
          <w:sz w:val="24"/>
          <w:szCs w:val="24"/>
          <w:lang w:val="en-GB"/>
        </w:rPr>
        <w:t>债券存续期鸿越路</w:t>
      </w:r>
      <w:r>
        <w:rPr>
          <w:rFonts w:hint="eastAsia" w:ascii="宋体" w:hAnsi="宋体" w:eastAsia="宋体" w:cs="宋体"/>
          <w:b/>
          <w:kern w:val="0"/>
          <w:sz w:val="24"/>
          <w:szCs w:val="24"/>
          <w:lang w:val="en-GB"/>
        </w:rPr>
        <w:t>资金留存情况</w:t>
      </w:r>
    </w:p>
    <w:p w14:paraId="647D64B1">
      <w:pPr>
        <w:spacing w:line="360" w:lineRule="auto"/>
        <w:ind w:firstLine="482" w:firstLineChars="200"/>
        <w:outlineLvl w:val="0"/>
        <w:rPr>
          <w:rFonts w:hint="eastAsia" w:ascii="宋体" w:hAnsi="宋体" w:eastAsia="宋体" w:cs="宋体"/>
          <w:b/>
          <w:bCs/>
          <w:sz w:val="24"/>
          <w:szCs w:val="24"/>
        </w:rPr>
      </w:pPr>
      <w:bookmarkStart w:id="37" w:name="_Toc12288"/>
      <w:r>
        <w:rPr>
          <w:rFonts w:hint="eastAsia" w:ascii="宋体" w:hAnsi="宋体" w:eastAsia="宋体" w:cs="宋体"/>
          <w:b/>
          <w:bCs/>
          <w:sz w:val="24"/>
          <w:szCs w:val="24"/>
        </w:rPr>
        <w:t>五、压力测试情况</w:t>
      </w:r>
      <w:bookmarkEnd w:id="37"/>
    </w:p>
    <w:p w14:paraId="78AB3B69">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根据本项目收益与融资自求平衡的压力测试结果，当</w:t>
      </w:r>
      <w:r>
        <w:rPr>
          <w:rFonts w:hint="eastAsia" w:ascii="宋体" w:hAnsi="宋体" w:eastAsia="宋体" w:cs="宋体"/>
          <w:color w:val="000000"/>
          <w:kern w:val="0"/>
          <w:sz w:val="24"/>
          <w:szCs w:val="24"/>
          <w:lang w:val="en-US"/>
        </w:rPr>
        <w:t>项目收益</w:t>
      </w:r>
      <w:r>
        <w:rPr>
          <w:rFonts w:hint="eastAsia" w:ascii="宋体" w:hAnsi="宋体" w:eastAsia="宋体" w:cs="宋体"/>
          <w:color w:val="000000"/>
          <w:kern w:val="0"/>
          <w:sz w:val="24"/>
          <w:szCs w:val="24"/>
          <w:lang w:val="en-US"/>
        </w:rPr>
        <w:t>影响债券还本付息的因素在±</w:t>
      </w:r>
      <w:r>
        <w:rPr>
          <w:rFonts w:hint="eastAsia" w:ascii="宋体" w:hAnsi="宋体" w:eastAsia="宋体" w:cs="宋体"/>
          <w:color w:val="000000"/>
          <w:kern w:val="0"/>
          <w:sz w:val="24"/>
          <w:szCs w:val="24"/>
          <w:lang w:val="en-US"/>
        </w:rPr>
        <w:t>15</w:t>
      </w:r>
      <w:r>
        <w:rPr>
          <w:rFonts w:hint="eastAsia" w:ascii="宋体" w:hAnsi="宋体" w:eastAsia="宋体" w:cs="宋体"/>
          <w:color w:val="000000"/>
          <w:kern w:val="0"/>
          <w:sz w:val="24"/>
          <w:szCs w:val="24"/>
          <w:lang w:val="en-US"/>
        </w:rPr>
        <w:t>%范围内变动的情况下，专项债券本息资金覆盖率仍然大于1，还本付息资金具有一定的风险抵抗能力。具体情况</w:t>
      </w:r>
      <w:r>
        <w:rPr>
          <w:rFonts w:hint="eastAsia" w:ascii="宋体" w:hAnsi="宋体" w:eastAsia="宋体" w:cs="宋体"/>
          <w:color w:val="000000"/>
          <w:kern w:val="0"/>
          <w:sz w:val="24"/>
          <w:szCs w:val="24"/>
          <w:lang w:val="en-US"/>
        </w:rPr>
        <w:t>详见</w:t>
      </w:r>
      <w:r>
        <w:rPr>
          <w:rFonts w:hint="eastAsia" w:ascii="宋体" w:hAnsi="宋体" w:eastAsia="宋体" w:cs="宋体"/>
          <w:color w:val="000000"/>
          <w:kern w:val="0"/>
          <w:sz w:val="24"/>
          <w:szCs w:val="24"/>
          <w:lang w:val="en-US"/>
        </w:rPr>
        <w:t>表10：</w:t>
      </w:r>
    </w:p>
    <w:p w14:paraId="053FCCA8">
      <w:pPr>
        <w:widowControl/>
        <w:spacing w:before="120" w:after="120" w:line="360" w:lineRule="auto"/>
        <w:ind w:firstLine="454"/>
        <w:jc w:val="center"/>
        <w:rPr>
          <w:rFonts w:hint="eastAsia" w:ascii="宋体" w:hAnsi="宋体" w:eastAsia="宋体" w:cs="宋体"/>
          <w:b/>
          <w:color w:val="000000"/>
          <w:kern w:val="0"/>
          <w:sz w:val="24"/>
          <w:szCs w:val="24"/>
          <w:lang w:val="en-US"/>
        </w:rPr>
      </w:pPr>
      <w:r>
        <w:rPr>
          <w:rFonts w:hint="eastAsia" w:ascii="宋体" w:hAnsi="宋体" w:eastAsia="宋体" w:cs="宋体"/>
          <w:b/>
          <w:color w:val="000000"/>
          <w:kern w:val="0"/>
          <w:sz w:val="24"/>
          <w:szCs w:val="24"/>
          <w:lang w:val="en-US"/>
        </w:rPr>
        <w:t>表</w:t>
      </w:r>
      <w:r>
        <w:rPr>
          <w:rFonts w:hint="eastAsia" w:ascii="宋体" w:hAnsi="宋体" w:eastAsia="宋体" w:cs="宋体"/>
          <w:b/>
          <w:color w:val="000000"/>
          <w:kern w:val="0"/>
          <w:sz w:val="24"/>
          <w:szCs w:val="24"/>
          <w:lang w:val="en-US"/>
        </w:rPr>
        <w:t>1</w:t>
      </w:r>
      <w:r>
        <w:rPr>
          <w:rFonts w:hint="eastAsia" w:ascii="宋体" w:hAnsi="宋体" w:eastAsia="宋体" w:cs="宋体"/>
          <w:b/>
          <w:color w:val="000000"/>
          <w:kern w:val="0"/>
          <w:sz w:val="24"/>
          <w:szCs w:val="24"/>
          <w:lang w:val="en-US"/>
        </w:rPr>
        <w:t xml:space="preserve">0 </w:t>
      </w:r>
      <w:r>
        <w:rPr>
          <w:rFonts w:hint="eastAsia" w:ascii="宋体" w:hAnsi="宋体" w:eastAsia="宋体" w:cs="宋体"/>
          <w:b/>
          <w:color w:val="000000"/>
          <w:kern w:val="0"/>
          <w:sz w:val="24"/>
          <w:szCs w:val="24"/>
          <w:lang w:val="en-US"/>
        </w:rPr>
        <w:t>鸿越路项目</w:t>
      </w:r>
      <w:r>
        <w:rPr>
          <w:rFonts w:hint="eastAsia" w:ascii="宋体" w:hAnsi="宋体" w:eastAsia="宋体" w:cs="宋体"/>
          <w:b/>
          <w:color w:val="000000"/>
          <w:kern w:val="0"/>
          <w:sz w:val="24"/>
          <w:szCs w:val="24"/>
          <w:lang w:val="en-US"/>
        </w:rPr>
        <w:t>压力测试表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857"/>
        <w:gridCol w:w="857"/>
        <w:gridCol w:w="857"/>
        <w:gridCol w:w="857"/>
        <w:gridCol w:w="857"/>
        <w:gridCol w:w="858"/>
        <w:gridCol w:w="858"/>
      </w:tblGrid>
      <w:tr w14:paraId="07E7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476" w:type="pct"/>
            <w:shd w:val="clear" w:color="auto" w:fill="D8D8D8"/>
            <w:noWrap/>
            <w:vAlign w:val="center"/>
          </w:tcPr>
          <w:p w14:paraId="1BCA66D8">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资金覆盖率</w:t>
            </w:r>
            <w:r>
              <w:rPr>
                <w:rFonts w:hint="eastAsia" w:ascii="宋体" w:hAnsi="宋体" w:eastAsia="宋体" w:cs="宋体"/>
                <w:b/>
                <w:color w:val="000000"/>
                <w:kern w:val="0"/>
                <w:sz w:val="22"/>
                <w:szCs w:val="18"/>
                <w:lang w:val="en-GB"/>
              </w:rPr>
              <w:t>-</w:t>
            </w:r>
            <w:r>
              <w:rPr>
                <w:rFonts w:hint="eastAsia" w:ascii="宋体" w:hAnsi="宋体" w:eastAsia="宋体" w:cs="宋体"/>
                <w:b/>
                <w:color w:val="000000"/>
                <w:kern w:val="0"/>
                <w:sz w:val="22"/>
                <w:szCs w:val="18"/>
                <w:lang w:val="en-GB"/>
              </w:rPr>
              <w:t>压力测试</w:t>
            </w:r>
          </w:p>
          <w:p w14:paraId="4EAF272C">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（单因素敏感性分析）</w:t>
            </w:r>
          </w:p>
        </w:tc>
        <w:tc>
          <w:tcPr>
            <w:tcW w:w="503" w:type="pct"/>
            <w:shd w:val="clear" w:color="auto" w:fill="D8D8D8"/>
            <w:vAlign w:val="center"/>
          </w:tcPr>
          <w:p w14:paraId="6F626F05">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-15%</w:t>
            </w:r>
          </w:p>
        </w:tc>
        <w:tc>
          <w:tcPr>
            <w:tcW w:w="503" w:type="pct"/>
            <w:shd w:val="clear" w:color="auto" w:fill="D8D8D8"/>
            <w:noWrap/>
            <w:vAlign w:val="center"/>
          </w:tcPr>
          <w:p w14:paraId="5AF01A9A">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-10%</w:t>
            </w:r>
          </w:p>
        </w:tc>
        <w:tc>
          <w:tcPr>
            <w:tcW w:w="503" w:type="pct"/>
            <w:shd w:val="clear" w:color="auto" w:fill="D8D8D8"/>
            <w:noWrap/>
            <w:vAlign w:val="center"/>
          </w:tcPr>
          <w:p w14:paraId="5EEC5C11">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-5%</w:t>
            </w:r>
          </w:p>
        </w:tc>
        <w:tc>
          <w:tcPr>
            <w:tcW w:w="503" w:type="pct"/>
            <w:shd w:val="clear" w:color="auto" w:fill="D8D8D8"/>
            <w:noWrap/>
            <w:vAlign w:val="center"/>
          </w:tcPr>
          <w:p w14:paraId="201C5496">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0%</w:t>
            </w:r>
          </w:p>
        </w:tc>
        <w:tc>
          <w:tcPr>
            <w:tcW w:w="503" w:type="pct"/>
            <w:shd w:val="clear" w:color="auto" w:fill="D8D8D8"/>
            <w:noWrap/>
            <w:vAlign w:val="center"/>
          </w:tcPr>
          <w:p w14:paraId="6DD9C89D">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5%</w:t>
            </w:r>
          </w:p>
        </w:tc>
        <w:tc>
          <w:tcPr>
            <w:tcW w:w="503" w:type="pct"/>
            <w:shd w:val="clear" w:color="auto" w:fill="D8D8D8"/>
            <w:noWrap/>
            <w:vAlign w:val="center"/>
          </w:tcPr>
          <w:p w14:paraId="330E3566">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10%</w:t>
            </w:r>
          </w:p>
        </w:tc>
        <w:tc>
          <w:tcPr>
            <w:tcW w:w="503" w:type="pct"/>
            <w:shd w:val="clear" w:color="auto" w:fill="D8D8D8"/>
            <w:vAlign w:val="center"/>
          </w:tcPr>
          <w:p w14:paraId="784AA26F">
            <w:pPr>
              <w:widowControl/>
              <w:autoSpaceDE w:val="0"/>
              <w:autoSpaceDN w:val="0"/>
              <w:spacing w:after="120"/>
              <w:contextualSpacing/>
              <w:jc w:val="center"/>
              <w:rPr>
                <w:rFonts w:hint="eastAsia" w:ascii="宋体" w:hAnsi="宋体" w:eastAsia="宋体" w:cs="宋体"/>
                <w:b/>
                <w:color w:val="000000"/>
                <w:kern w:val="0"/>
                <w:sz w:val="22"/>
                <w:szCs w:val="18"/>
                <w:lang w:val="en-GB"/>
              </w:rPr>
            </w:pPr>
            <w:r>
              <w:rPr>
                <w:rFonts w:hint="eastAsia" w:ascii="宋体" w:hAnsi="宋体" w:eastAsia="宋体" w:cs="宋体"/>
                <w:b/>
                <w:color w:val="000000"/>
                <w:kern w:val="0"/>
                <w:sz w:val="22"/>
                <w:szCs w:val="18"/>
                <w:lang w:val="en-GB"/>
              </w:rPr>
              <w:t>15%</w:t>
            </w:r>
          </w:p>
        </w:tc>
      </w:tr>
      <w:tr w14:paraId="415EC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476" w:type="pct"/>
            <w:shd w:val="clear" w:color="auto" w:fill="auto"/>
            <w:noWrap/>
            <w:vAlign w:val="center"/>
          </w:tcPr>
          <w:p w14:paraId="39211644">
            <w:pPr>
              <w:widowControl/>
              <w:spacing w:line="256" w:lineRule="auto"/>
              <w:jc w:val="left"/>
              <w:rPr>
                <w:rFonts w:hint="eastAsia" w:ascii="宋体" w:hAnsi="宋体" w:eastAsia="宋体" w:cs="宋体"/>
                <w:color w:val="000000"/>
                <w:kern w:val="0"/>
                <w:sz w:val="20"/>
                <w:szCs w:val="20"/>
                <w:lang w:val="en-US"/>
              </w:rPr>
            </w:pPr>
            <w:r>
              <w:rPr>
                <w:rFonts w:hint="eastAsia" w:ascii="宋体" w:hAnsi="宋体" w:eastAsia="宋体" w:cs="宋体"/>
                <w:b/>
                <w:bCs/>
                <w:color w:val="000000"/>
                <w:kern w:val="0"/>
                <w:sz w:val="20"/>
                <w:szCs w:val="20"/>
                <w:lang w:val="en-US"/>
              </w:rPr>
              <w:t>收益变动情况敏感性分析</w:t>
            </w:r>
          </w:p>
        </w:tc>
        <w:tc>
          <w:tcPr>
            <w:tcW w:w="503" w:type="pct"/>
          </w:tcPr>
          <w:p w14:paraId="2E82F62F">
            <w:pPr>
              <w:widowControl/>
              <w:jc w:val="right"/>
              <w:rPr>
                <w:rFonts w:hint="eastAsia" w:ascii="宋体" w:hAnsi="宋体" w:eastAsia="宋体" w:cs="宋体"/>
                <w:color w:val="000000"/>
                <w:kern w:val="0"/>
                <w:sz w:val="20"/>
                <w:szCs w:val="20"/>
                <w:lang w:val="en-GB"/>
              </w:rPr>
            </w:pPr>
          </w:p>
        </w:tc>
        <w:tc>
          <w:tcPr>
            <w:tcW w:w="503" w:type="pct"/>
            <w:shd w:val="clear" w:color="auto" w:fill="auto"/>
            <w:noWrap/>
            <w:vAlign w:val="center"/>
          </w:tcPr>
          <w:p w14:paraId="174E4A26">
            <w:pPr>
              <w:widowControl/>
              <w:jc w:val="right"/>
              <w:rPr>
                <w:rFonts w:hint="eastAsia" w:ascii="宋体" w:hAnsi="宋体" w:eastAsia="宋体" w:cs="宋体"/>
                <w:color w:val="000000"/>
                <w:kern w:val="0"/>
                <w:sz w:val="20"/>
                <w:szCs w:val="20"/>
                <w:lang w:val="en-GB"/>
              </w:rPr>
            </w:pPr>
          </w:p>
        </w:tc>
        <w:tc>
          <w:tcPr>
            <w:tcW w:w="503" w:type="pct"/>
            <w:shd w:val="clear" w:color="auto" w:fill="auto"/>
            <w:noWrap/>
            <w:vAlign w:val="center"/>
          </w:tcPr>
          <w:p w14:paraId="21D7B393">
            <w:pPr>
              <w:widowControl/>
              <w:jc w:val="right"/>
              <w:rPr>
                <w:rFonts w:hint="eastAsia" w:ascii="宋体" w:hAnsi="宋体" w:eastAsia="宋体" w:cs="宋体"/>
                <w:color w:val="000000"/>
                <w:kern w:val="0"/>
                <w:sz w:val="20"/>
                <w:szCs w:val="20"/>
                <w:lang w:val="en-GB"/>
              </w:rPr>
            </w:pPr>
          </w:p>
        </w:tc>
        <w:tc>
          <w:tcPr>
            <w:tcW w:w="503" w:type="pct"/>
            <w:shd w:val="clear" w:color="auto" w:fill="auto"/>
            <w:noWrap/>
            <w:vAlign w:val="center"/>
          </w:tcPr>
          <w:p w14:paraId="34997DF9">
            <w:pPr>
              <w:widowControl/>
              <w:jc w:val="right"/>
              <w:rPr>
                <w:rFonts w:hint="eastAsia" w:ascii="宋体" w:hAnsi="宋体" w:eastAsia="宋体" w:cs="宋体"/>
                <w:color w:val="000000"/>
                <w:kern w:val="0"/>
                <w:sz w:val="20"/>
                <w:szCs w:val="20"/>
                <w:lang w:val="en-GB"/>
              </w:rPr>
            </w:pPr>
          </w:p>
        </w:tc>
        <w:tc>
          <w:tcPr>
            <w:tcW w:w="503" w:type="pct"/>
            <w:shd w:val="clear" w:color="auto" w:fill="auto"/>
            <w:noWrap/>
            <w:vAlign w:val="center"/>
          </w:tcPr>
          <w:p w14:paraId="0D9BD5CA">
            <w:pPr>
              <w:widowControl/>
              <w:jc w:val="right"/>
              <w:rPr>
                <w:rFonts w:hint="eastAsia" w:ascii="宋体" w:hAnsi="宋体" w:eastAsia="宋体" w:cs="宋体"/>
                <w:color w:val="000000"/>
                <w:kern w:val="0"/>
                <w:sz w:val="20"/>
                <w:szCs w:val="20"/>
                <w:lang w:val="en-GB"/>
              </w:rPr>
            </w:pPr>
          </w:p>
        </w:tc>
        <w:tc>
          <w:tcPr>
            <w:tcW w:w="503" w:type="pct"/>
            <w:shd w:val="clear" w:color="auto" w:fill="auto"/>
            <w:noWrap/>
            <w:vAlign w:val="center"/>
          </w:tcPr>
          <w:p w14:paraId="0FD447A4">
            <w:pPr>
              <w:widowControl/>
              <w:jc w:val="right"/>
              <w:rPr>
                <w:rFonts w:hint="eastAsia" w:ascii="宋体" w:hAnsi="宋体" w:eastAsia="宋体" w:cs="宋体"/>
                <w:color w:val="000000"/>
                <w:kern w:val="0"/>
                <w:sz w:val="20"/>
                <w:szCs w:val="20"/>
                <w:lang w:val="en-GB"/>
              </w:rPr>
            </w:pPr>
          </w:p>
        </w:tc>
        <w:tc>
          <w:tcPr>
            <w:tcW w:w="503" w:type="pct"/>
          </w:tcPr>
          <w:p w14:paraId="7AFE362B">
            <w:pPr>
              <w:widowControl/>
              <w:jc w:val="right"/>
              <w:rPr>
                <w:rFonts w:hint="eastAsia" w:ascii="宋体" w:hAnsi="宋体" w:eastAsia="宋体" w:cs="宋体"/>
                <w:color w:val="000000"/>
                <w:kern w:val="0"/>
                <w:sz w:val="20"/>
                <w:szCs w:val="20"/>
                <w:lang w:val="en-GB"/>
              </w:rPr>
            </w:pPr>
          </w:p>
        </w:tc>
      </w:tr>
      <w:tr w14:paraId="0E5C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476" w:type="pct"/>
            <w:shd w:val="clear" w:color="auto" w:fill="auto"/>
            <w:noWrap/>
            <w:vAlign w:val="center"/>
          </w:tcPr>
          <w:p w14:paraId="0B1EB1AD">
            <w:pPr>
              <w:widowControl/>
              <w:spacing w:line="256" w:lineRule="auto"/>
              <w:jc w:val="left"/>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rPr>
              <w:t>债券本息覆盖率</w:t>
            </w:r>
          </w:p>
        </w:tc>
        <w:tc>
          <w:tcPr>
            <w:tcW w:w="503" w:type="pct"/>
            <w:vAlign w:val="center"/>
          </w:tcPr>
          <w:p w14:paraId="2CA9E443">
            <w:pPr>
              <w:widowControl/>
              <w:jc w:val="center"/>
              <w:rPr>
                <w:rFonts w:hint="eastAsia" w:ascii="宋体" w:hAnsi="宋体" w:eastAsia="宋体" w:cs="宋体"/>
                <w:kern w:val="0"/>
                <w:sz w:val="20"/>
                <w:lang w:val="en-GB"/>
              </w:rPr>
            </w:pPr>
            <w:r>
              <w:rPr>
                <w:rFonts w:hint="eastAsia" w:ascii="宋体" w:hAnsi="宋体" w:eastAsia="宋体" w:cs="宋体"/>
                <w:kern w:val="0"/>
                <w:sz w:val="20"/>
                <w:lang w:val="en-GB"/>
              </w:rPr>
              <w:t>1.22</w:t>
            </w:r>
          </w:p>
        </w:tc>
        <w:tc>
          <w:tcPr>
            <w:tcW w:w="503" w:type="pct"/>
            <w:shd w:val="clear" w:color="auto" w:fill="auto"/>
            <w:noWrap/>
            <w:vAlign w:val="center"/>
          </w:tcPr>
          <w:p w14:paraId="56603DEC">
            <w:pPr>
              <w:widowControl/>
              <w:jc w:val="center"/>
              <w:rPr>
                <w:rFonts w:hint="eastAsia" w:ascii="宋体" w:hAnsi="宋体" w:eastAsia="宋体" w:cs="宋体"/>
                <w:color w:val="000000"/>
                <w:kern w:val="0"/>
                <w:sz w:val="20"/>
                <w:szCs w:val="20"/>
                <w:lang w:val="en-US"/>
              </w:rPr>
            </w:pPr>
            <w:r>
              <w:rPr>
                <w:rFonts w:hint="eastAsia" w:ascii="宋体" w:hAnsi="宋体" w:eastAsia="宋体" w:cs="宋体"/>
                <w:kern w:val="0"/>
                <w:sz w:val="20"/>
                <w:lang w:val="en-GB"/>
              </w:rPr>
              <w:t>1.29</w:t>
            </w:r>
          </w:p>
        </w:tc>
        <w:tc>
          <w:tcPr>
            <w:tcW w:w="503" w:type="pct"/>
            <w:shd w:val="clear" w:color="auto" w:fill="auto"/>
            <w:noWrap/>
            <w:vAlign w:val="center"/>
          </w:tcPr>
          <w:p w14:paraId="2E75A16F">
            <w:pPr>
              <w:widowControl/>
              <w:jc w:val="center"/>
              <w:rPr>
                <w:rFonts w:hint="eastAsia" w:ascii="宋体" w:hAnsi="宋体" w:eastAsia="宋体" w:cs="宋体"/>
                <w:color w:val="000000"/>
                <w:kern w:val="0"/>
                <w:sz w:val="20"/>
                <w:szCs w:val="20"/>
                <w:lang w:val="en-US"/>
              </w:rPr>
            </w:pPr>
            <w:r>
              <w:rPr>
                <w:rFonts w:hint="eastAsia" w:ascii="宋体" w:hAnsi="宋体" w:eastAsia="宋体" w:cs="宋体"/>
                <w:kern w:val="0"/>
                <w:sz w:val="20"/>
                <w:lang w:val="en-GB"/>
              </w:rPr>
              <w:t>1.36</w:t>
            </w:r>
          </w:p>
        </w:tc>
        <w:tc>
          <w:tcPr>
            <w:tcW w:w="503" w:type="pct"/>
            <w:shd w:val="clear" w:color="auto" w:fill="auto"/>
            <w:noWrap/>
            <w:vAlign w:val="center"/>
          </w:tcPr>
          <w:p w14:paraId="3AB01F79">
            <w:pPr>
              <w:widowControl/>
              <w:jc w:val="center"/>
              <w:rPr>
                <w:rFonts w:hint="eastAsia" w:ascii="宋体" w:hAnsi="宋体" w:eastAsia="宋体" w:cs="宋体"/>
                <w:color w:val="000000"/>
                <w:kern w:val="0"/>
                <w:sz w:val="20"/>
                <w:szCs w:val="20"/>
                <w:lang w:val="en-US"/>
              </w:rPr>
            </w:pPr>
            <w:r>
              <w:rPr>
                <w:rFonts w:hint="eastAsia" w:ascii="宋体" w:hAnsi="宋体" w:eastAsia="宋体" w:cs="宋体"/>
                <w:kern w:val="0"/>
                <w:sz w:val="20"/>
                <w:lang w:val="en-GB"/>
              </w:rPr>
              <w:t>1.43</w:t>
            </w:r>
          </w:p>
        </w:tc>
        <w:tc>
          <w:tcPr>
            <w:tcW w:w="503" w:type="pct"/>
            <w:shd w:val="clear" w:color="auto" w:fill="auto"/>
            <w:noWrap/>
            <w:vAlign w:val="center"/>
          </w:tcPr>
          <w:p w14:paraId="671B19A9">
            <w:pPr>
              <w:widowControl/>
              <w:jc w:val="center"/>
              <w:rPr>
                <w:rFonts w:hint="eastAsia" w:ascii="宋体" w:hAnsi="宋体" w:eastAsia="宋体" w:cs="宋体"/>
                <w:color w:val="000000"/>
                <w:kern w:val="0"/>
                <w:sz w:val="20"/>
                <w:szCs w:val="20"/>
                <w:lang w:val="en-US"/>
              </w:rPr>
            </w:pPr>
            <w:r>
              <w:rPr>
                <w:rFonts w:hint="eastAsia" w:ascii="宋体" w:hAnsi="宋体" w:eastAsia="宋体" w:cs="宋体"/>
                <w:kern w:val="0"/>
                <w:sz w:val="20"/>
                <w:lang w:val="en-GB"/>
              </w:rPr>
              <w:t>1.50</w:t>
            </w:r>
          </w:p>
        </w:tc>
        <w:tc>
          <w:tcPr>
            <w:tcW w:w="503" w:type="pct"/>
            <w:shd w:val="clear" w:color="auto" w:fill="auto"/>
            <w:noWrap/>
            <w:vAlign w:val="center"/>
          </w:tcPr>
          <w:p w14:paraId="2C0F2AD2">
            <w:pPr>
              <w:widowControl/>
              <w:jc w:val="center"/>
              <w:rPr>
                <w:rFonts w:hint="eastAsia" w:ascii="宋体" w:hAnsi="宋体" w:eastAsia="宋体" w:cs="宋体"/>
                <w:color w:val="000000"/>
                <w:kern w:val="0"/>
                <w:sz w:val="20"/>
                <w:szCs w:val="20"/>
                <w:lang w:val="en-US"/>
              </w:rPr>
            </w:pPr>
            <w:r>
              <w:rPr>
                <w:rFonts w:hint="eastAsia" w:ascii="宋体" w:hAnsi="宋体" w:eastAsia="宋体" w:cs="宋体"/>
                <w:kern w:val="0"/>
                <w:sz w:val="20"/>
                <w:lang w:val="en-GB"/>
              </w:rPr>
              <w:t>1.57</w:t>
            </w:r>
          </w:p>
        </w:tc>
        <w:tc>
          <w:tcPr>
            <w:tcW w:w="503" w:type="pct"/>
            <w:vAlign w:val="center"/>
          </w:tcPr>
          <w:p w14:paraId="4731EBE2">
            <w:pPr>
              <w:widowControl/>
              <w:jc w:val="center"/>
              <w:rPr>
                <w:rFonts w:hint="eastAsia" w:ascii="宋体" w:hAnsi="宋体" w:eastAsia="宋体" w:cs="宋体"/>
                <w:kern w:val="0"/>
                <w:sz w:val="20"/>
                <w:lang w:val="en-GB"/>
              </w:rPr>
            </w:pPr>
            <w:r>
              <w:rPr>
                <w:rFonts w:hint="eastAsia" w:ascii="宋体" w:hAnsi="宋体" w:eastAsia="宋体" w:cs="宋体"/>
                <w:kern w:val="0"/>
                <w:sz w:val="20"/>
                <w:lang w:val="en-GB"/>
              </w:rPr>
              <w:t>1.64</w:t>
            </w:r>
          </w:p>
        </w:tc>
      </w:tr>
      <w:tr w14:paraId="4E47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476" w:type="pct"/>
            <w:shd w:val="clear" w:color="auto" w:fill="auto"/>
            <w:noWrap/>
            <w:vAlign w:val="center"/>
          </w:tcPr>
          <w:p w14:paraId="4E766208">
            <w:pPr>
              <w:widowControl/>
              <w:spacing w:line="256" w:lineRule="auto"/>
              <w:jc w:val="left"/>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rPr>
              <w:t>债券</w:t>
            </w:r>
            <w:r>
              <w:rPr>
                <w:rFonts w:hint="eastAsia" w:ascii="宋体" w:hAnsi="宋体" w:eastAsia="宋体" w:cs="宋体"/>
                <w:color w:val="000000"/>
                <w:kern w:val="0"/>
                <w:sz w:val="20"/>
                <w:szCs w:val="20"/>
                <w:lang w:val="en-US"/>
              </w:rPr>
              <w:t>本息覆盖倍数</w:t>
            </w:r>
          </w:p>
        </w:tc>
        <w:tc>
          <w:tcPr>
            <w:tcW w:w="503" w:type="pct"/>
            <w:vAlign w:val="center"/>
          </w:tcPr>
          <w:p w14:paraId="3FBF16F2">
            <w:pPr>
              <w:widowControl/>
              <w:jc w:val="center"/>
              <w:rPr>
                <w:rFonts w:hint="eastAsia" w:ascii="宋体" w:hAnsi="宋体" w:eastAsia="宋体" w:cs="宋体"/>
                <w:kern w:val="0"/>
                <w:sz w:val="20"/>
                <w:lang w:val="en-GB"/>
              </w:rPr>
            </w:pPr>
            <w:r>
              <w:rPr>
                <w:rFonts w:hint="eastAsia" w:ascii="宋体" w:hAnsi="宋体" w:eastAsia="宋体" w:cs="宋体"/>
                <w:kern w:val="0"/>
                <w:sz w:val="20"/>
                <w:lang w:val="en-GB"/>
              </w:rPr>
              <w:t>1.20</w:t>
            </w:r>
          </w:p>
        </w:tc>
        <w:tc>
          <w:tcPr>
            <w:tcW w:w="503" w:type="pct"/>
            <w:shd w:val="clear" w:color="auto" w:fill="auto"/>
            <w:noWrap/>
            <w:vAlign w:val="center"/>
          </w:tcPr>
          <w:p w14:paraId="2F6738C7">
            <w:pPr>
              <w:widowControl/>
              <w:jc w:val="center"/>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1.27</w:t>
            </w:r>
          </w:p>
        </w:tc>
        <w:tc>
          <w:tcPr>
            <w:tcW w:w="503" w:type="pct"/>
            <w:shd w:val="clear" w:color="auto" w:fill="auto"/>
            <w:noWrap/>
            <w:vAlign w:val="center"/>
          </w:tcPr>
          <w:p w14:paraId="3D61453B">
            <w:pPr>
              <w:widowControl/>
              <w:jc w:val="center"/>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1.34</w:t>
            </w:r>
          </w:p>
        </w:tc>
        <w:tc>
          <w:tcPr>
            <w:tcW w:w="503" w:type="pct"/>
            <w:shd w:val="clear" w:color="auto" w:fill="auto"/>
            <w:noWrap/>
            <w:vAlign w:val="center"/>
          </w:tcPr>
          <w:p w14:paraId="24D1F67F">
            <w:pPr>
              <w:widowControl/>
              <w:jc w:val="center"/>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1.41</w:t>
            </w:r>
          </w:p>
        </w:tc>
        <w:tc>
          <w:tcPr>
            <w:tcW w:w="503" w:type="pct"/>
            <w:shd w:val="clear" w:color="auto" w:fill="auto"/>
            <w:noWrap/>
            <w:vAlign w:val="center"/>
          </w:tcPr>
          <w:p w14:paraId="78B2FFAC">
            <w:pPr>
              <w:widowControl/>
              <w:jc w:val="center"/>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1.48</w:t>
            </w:r>
          </w:p>
        </w:tc>
        <w:tc>
          <w:tcPr>
            <w:tcW w:w="503" w:type="pct"/>
            <w:shd w:val="clear" w:color="auto" w:fill="auto"/>
            <w:noWrap/>
            <w:vAlign w:val="center"/>
          </w:tcPr>
          <w:p w14:paraId="4E4C5EE6">
            <w:pPr>
              <w:widowControl/>
              <w:jc w:val="center"/>
              <w:rPr>
                <w:rFonts w:hint="eastAsia" w:ascii="宋体" w:hAnsi="宋体" w:eastAsia="宋体" w:cs="宋体"/>
                <w:color w:val="000000"/>
                <w:kern w:val="0"/>
                <w:sz w:val="20"/>
                <w:szCs w:val="20"/>
                <w:lang w:val="en-GB"/>
              </w:rPr>
            </w:pPr>
            <w:r>
              <w:rPr>
                <w:rFonts w:hint="eastAsia" w:ascii="宋体" w:hAnsi="宋体" w:eastAsia="宋体" w:cs="宋体"/>
                <w:kern w:val="0"/>
                <w:sz w:val="20"/>
                <w:lang w:val="en-GB"/>
              </w:rPr>
              <w:t>1.55</w:t>
            </w:r>
          </w:p>
        </w:tc>
        <w:tc>
          <w:tcPr>
            <w:tcW w:w="503" w:type="pct"/>
            <w:vAlign w:val="center"/>
          </w:tcPr>
          <w:p w14:paraId="6EB62364">
            <w:pPr>
              <w:widowControl/>
              <w:jc w:val="center"/>
              <w:rPr>
                <w:rFonts w:hint="eastAsia" w:ascii="宋体" w:hAnsi="宋体" w:eastAsia="宋体" w:cs="宋体"/>
                <w:kern w:val="0"/>
                <w:sz w:val="20"/>
                <w:lang w:val="en-GB"/>
              </w:rPr>
            </w:pPr>
            <w:r>
              <w:rPr>
                <w:rFonts w:hint="eastAsia" w:ascii="宋体" w:hAnsi="宋体" w:eastAsia="宋体" w:cs="宋体"/>
                <w:kern w:val="0"/>
                <w:sz w:val="20"/>
                <w:lang w:val="en-GB"/>
              </w:rPr>
              <w:t>1.62</w:t>
            </w:r>
          </w:p>
        </w:tc>
      </w:tr>
    </w:tbl>
    <w:p w14:paraId="1E151CBE">
      <w:pPr>
        <w:widowControl/>
        <w:spacing w:before="120" w:after="120" w:line="360" w:lineRule="auto"/>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总体而言，本项目预计</w:t>
      </w:r>
      <w:r>
        <w:rPr>
          <w:rFonts w:hint="eastAsia" w:ascii="宋体" w:hAnsi="宋体" w:eastAsia="宋体" w:cs="宋体"/>
          <w:color w:val="000000"/>
          <w:kern w:val="0"/>
          <w:sz w:val="24"/>
          <w:szCs w:val="24"/>
          <w:lang w:val="en-US"/>
        </w:rPr>
        <w:t>土地出让收入、广告牌出租收入、停车位收入</w:t>
      </w:r>
      <w:r>
        <w:rPr>
          <w:rFonts w:hint="eastAsia" w:ascii="宋体" w:hAnsi="宋体" w:eastAsia="宋体" w:cs="宋体"/>
          <w:color w:val="000000"/>
          <w:kern w:val="0"/>
          <w:sz w:val="24"/>
          <w:szCs w:val="24"/>
          <w:lang w:val="en-US"/>
        </w:rPr>
        <w:t>对其拟使用的募集资金保障程度较高。</w:t>
      </w:r>
      <w:r>
        <w:rPr>
          <w:rFonts w:hint="eastAsia" w:ascii="宋体" w:hAnsi="宋体" w:eastAsia="宋体" w:cs="宋体"/>
          <w:color w:val="000000"/>
          <w:kern w:val="0"/>
          <w:sz w:val="24"/>
          <w:szCs w:val="24"/>
          <w:lang w:val="en-US"/>
        </w:rPr>
        <w:t>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3EE08DBE">
      <w:pPr>
        <w:spacing w:line="360" w:lineRule="auto"/>
        <w:ind w:firstLine="482" w:firstLineChars="200"/>
        <w:outlineLvl w:val="0"/>
        <w:rPr>
          <w:rFonts w:hint="eastAsia" w:ascii="宋体" w:hAnsi="宋体" w:eastAsia="宋体" w:cs="宋体"/>
          <w:b/>
          <w:bCs/>
          <w:sz w:val="24"/>
          <w:szCs w:val="24"/>
        </w:rPr>
      </w:pPr>
      <w:bookmarkStart w:id="38" w:name="_Toc18169"/>
      <w:r>
        <w:rPr>
          <w:rFonts w:hint="eastAsia" w:ascii="宋体" w:hAnsi="宋体" w:eastAsia="宋体" w:cs="宋体"/>
          <w:b/>
          <w:bCs/>
          <w:sz w:val="24"/>
          <w:szCs w:val="24"/>
        </w:rPr>
        <w:t>六、潜在风险评估</w:t>
      </w:r>
      <w:bookmarkEnd w:id="38"/>
    </w:p>
    <w:p w14:paraId="3EE08DBF">
      <w:pPr>
        <w:spacing w:line="360" w:lineRule="auto"/>
        <w:ind w:firstLine="482" w:firstLineChars="200"/>
        <w:outlineLvl w:val="0"/>
        <w:rPr>
          <w:rFonts w:hint="eastAsia" w:ascii="宋体" w:hAnsi="宋体" w:eastAsia="宋体" w:cs="宋体"/>
          <w:b/>
          <w:bCs/>
          <w:sz w:val="24"/>
          <w:szCs w:val="24"/>
        </w:rPr>
      </w:pPr>
      <w:bookmarkStart w:id="39" w:name="_Toc498385095"/>
      <w:bookmarkStart w:id="40" w:name="_Toc498385763"/>
      <w:bookmarkStart w:id="41" w:name="_Toc498551274"/>
      <w:bookmarkStart w:id="42" w:name="_Toc16405"/>
      <w:bookmarkStart w:id="43" w:name="_Toc20908"/>
      <w:bookmarkStart w:id="44" w:name="_Toc741"/>
      <w:r>
        <w:rPr>
          <w:rFonts w:hint="eastAsia" w:ascii="宋体" w:hAnsi="宋体" w:eastAsia="宋体" w:cs="宋体"/>
          <w:b/>
          <w:bCs/>
          <w:sz w:val="24"/>
          <w:szCs w:val="24"/>
        </w:rPr>
        <w:t>（一）影响项目施工进度或正常运营的风险及控制措施</w:t>
      </w:r>
      <w:bookmarkEnd w:id="39"/>
      <w:bookmarkEnd w:id="40"/>
      <w:bookmarkEnd w:id="41"/>
      <w:bookmarkEnd w:id="42"/>
      <w:bookmarkEnd w:id="43"/>
      <w:bookmarkEnd w:id="44"/>
    </w:p>
    <w:p w14:paraId="3EE08DC0">
      <w:pPr>
        <w:spacing w:line="360" w:lineRule="auto"/>
        <w:ind w:firstLine="480" w:firstLineChars="200"/>
        <w:outlineLvl w:val="2"/>
        <w:rPr>
          <w:rFonts w:hint="eastAsia" w:ascii="宋体" w:hAnsi="宋体" w:eastAsia="宋体" w:cs="宋体"/>
          <w:sz w:val="24"/>
          <w:szCs w:val="24"/>
        </w:rPr>
      </w:pPr>
      <w:bookmarkStart w:id="45" w:name="_Toc498385096"/>
      <w:bookmarkStart w:id="46" w:name="_Toc498385764"/>
      <w:bookmarkStart w:id="47" w:name="_Toc498551275"/>
      <w:bookmarkStart w:id="48" w:name="_Toc23168"/>
      <w:r>
        <w:rPr>
          <w:rFonts w:hint="eastAsia" w:ascii="宋体" w:hAnsi="宋体" w:eastAsia="宋体" w:cs="宋体"/>
          <w:sz w:val="24"/>
          <w:szCs w:val="24"/>
        </w:rPr>
        <w:t>1</w:t>
      </w:r>
      <w:bookmarkEnd w:id="45"/>
      <w:bookmarkEnd w:id="46"/>
      <w:bookmarkEnd w:id="47"/>
      <w:r>
        <w:rPr>
          <w:rFonts w:hint="eastAsia" w:ascii="宋体" w:hAnsi="宋体" w:eastAsia="宋体" w:cs="宋体"/>
          <w:sz w:val="24"/>
          <w:szCs w:val="24"/>
        </w:rPr>
        <w:t>、政策风险</w:t>
      </w:r>
      <w:bookmarkEnd w:id="48"/>
    </w:p>
    <w:p w14:paraId="3EE08D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3EE08DC2">
      <w:pPr>
        <w:spacing w:line="360" w:lineRule="auto"/>
        <w:ind w:firstLine="480" w:firstLineChars="200"/>
        <w:outlineLvl w:val="2"/>
        <w:rPr>
          <w:rFonts w:hint="eastAsia" w:ascii="宋体" w:hAnsi="宋体" w:eastAsia="宋体" w:cs="宋体"/>
          <w:sz w:val="24"/>
          <w:szCs w:val="24"/>
        </w:rPr>
      </w:pPr>
      <w:bookmarkStart w:id="49" w:name="_Toc498385765"/>
      <w:bookmarkStart w:id="50" w:name="_Toc498551276"/>
      <w:bookmarkStart w:id="51" w:name="_Toc498385097"/>
      <w:bookmarkStart w:id="52" w:name="_Toc26505"/>
      <w:r>
        <w:rPr>
          <w:rFonts w:hint="eastAsia" w:ascii="宋体" w:hAnsi="宋体" w:eastAsia="宋体" w:cs="宋体"/>
          <w:sz w:val="24"/>
          <w:szCs w:val="24"/>
        </w:rPr>
        <w:t>2</w:t>
      </w:r>
      <w:bookmarkEnd w:id="49"/>
      <w:bookmarkEnd w:id="50"/>
      <w:bookmarkEnd w:id="51"/>
      <w:r>
        <w:rPr>
          <w:rFonts w:hint="eastAsia" w:ascii="宋体" w:hAnsi="宋体" w:eastAsia="宋体" w:cs="宋体"/>
          <w:sz w:val="24"/>
          <w:szCs w:val="24"/>
        </w:rPr>
        <w:t>、项目实施与管理风险</w:t>
      </w:r>
      <w:bookmarkEnd w:id="52"/>
    </w:p>
    <w:p w14:paraId="3EE08D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项目建设期间严格执行文明施工标准，确保项目对民众生活的影响降至最低。</w:t>
      </w:r>
    </w:p>
    <w:p w14:paraId="3EE08DC4">
      <w:pPr>
        <w:spacing w:line="360" w:lineRule="auto"/>
        <w:ind w:firstLine="480" w:firstLineChars="200"/>
        <w:outlineLvl w:val="2"/>
        <w:rPr>
          <w:rFonts w:hint="eastAsia" w:ascii="宋体" w:hAnsi="宋体" w:eastAsia="宋体" w:cs="宋体"/>
          <w:sz w:val="24"/>
          <w:szCs w:val="24"/>
        </w:rPr>
      </w:pPr>
      <w:bookmarkStart w:id="53" w:name="_Toc22995"/>
      <w:r>
        <w:rPr>
          <w:rFonts w:hint="eastAsia" w:ascii="宋体" w:hAnsi="宋体" w:eastAsia="宋体" w:cs="宋体"/>
          <w:sz w:val="24"/>
          <w:szCs w:val="24"/>
        </w:rPr>
        <w:t>3、财务风险</w:t>
      </w:r>
      <w:bookmarkEnd w:id="53"/>
    </w:p>
    <w:p w14:paraId="3EE08D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EE08DC6">
      <w:pPr>
        <w:spacing w:line="360" w:lineRule="auto"/>
        <w:ind w:firstLine="480" w:firstLineChars="200"/>
        <w:outlineLvl w:val="2"/>
        <w:rPr>
          <w:rFonts w:hint="eastAsia" w:ascii="宋体" w:hAnsi="宋体" w:eastAsia="宋体" w:cs="宋体"/>
          <w:sz w:val="24"/>
          <w:szCs w:val="24"/>
        </w:rPr>
      </w:pPr>
      <w:bookmarkStart w:id="54" w:name="_Toc18164"/>
      <w:r>
        <w:rPr>
          <w:rFonts w:hint="eastAsia" w:ascii="宋体" w:hAnsi="宋体" w:eastAsia="宋体" w:cs="宋体"/>
          <w:sz w:val="24"/>
          <w:szCs w:val="24"/>
        </w:rPr>
        <w:t>4.社会风险</w:t>
      </w:r>
      <w:bookmarkEnd w:id="54"/>
    </w:p>
    <w:p w14:paraId="3EE08D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3EE08DC8">
      <w:pPr>
        <w:spacing w:line="360" w:lineRule="auto"/>
        <w:ind w:firstLine="482" w:firstLineChars="200"/>
        <w:outlineLvl w:val="0"/>
        <w:rPr>
          <w:rFonts w:hint="eastAsia" w:ascii="宋体" w:hAnsi="宋体" w:eastAsia="宋体" w:cs="宋体"/>
          <w:b/>
          <w:bCs/>
          <w:sz w:val="24"/>
          <w:szCs w:val="24"/>
        </w:rPr>
      </w:pPr>
      <w:bookmarkStart w:id="55" w:name="_Toc17161"/>
      <w:bookmarkStart w:id="56" w:name="_Toc498385766"/>
      <w:bookmarkStart w:id="57" w:name="_Toc498551277"/>
      <w:bookmarkStart w:id="58" w:name="_Toc4601"/>
      <w:bookmarkStart w:id="59" w:name="_Toc498385098"/>
      <w:bookmarkStart w:id="60" w:name="_Toc14"/>
      <w:r>
        <w:rPr>
          <w:rFonts w:hint="eastAsia" w:ascii="宋体" w:hAnsi="宋体" w:eastAsia="宋体" w:cs="宋体"/>
          <w:b/>
          <w:bCs/>
          <w:sz w:val="24"/>
          <w:szCs w:val="24"/>
        </w:rPr>
        <w:t>（二）影响项目收益的风险及控制措施</w:t>
      </w:r>
      <w:bookmarkEnd w:id="55"/>
      <w:bookmarkEnd w:id="56"/>
      <w:bookmarkEnd w:id="57"/>
      <w:bookmarkEnd w:id="58"/>
      <w:bookmarkEnd w:id="59"/>
      <w:bookmarkEnd w:id="60"/>
    </w:p>
    <w:p w14:paraId="3EE08DC9">
      <w:pPr>
        <w:spacing w:line="360" w:lineRule="auto"/>
        <w:ind w:firstLine="480" w:firstLineChars="200"/>
        <w:rPr>
          <w:rFonts w:hint="eastAsia" w:ascii="宋体" w:hAnsi="宋体" w:eastAsia="宋体" w:cs="宋体"/>
          <w:sz w:val="24"/>
          <w:szCs w:val="24"/>
        </w:rPr>
      </w:pPr>
      <w:bookmarkStart w:id="61" w:name="_Toc498551279"/>
      <w:bookmarkStart w:id="62" w:name="_Toc498385099"/>
      <w:bookmarkStart w:id="63" w:name="_Toc498385767"/>
      <w:r>
        <w:rPr>
          <w:rFonts w:hint="eastAsia" w:ascii="宋体" w:hAnsi="宋体" w:eastAsia="宋体" w:cs="宋体"/>
          <w:sz w:val="24"/>
          <w:szCs w:val="24"/>
        </w:rPr>
        <w:t>工程可行性研究报告中的总投资额与实际造价成本可能会发生偏差，影响资金项目资金投入和发债计划安排。</w:t>
      </w:r>
    </w:p>
    <w:p w14:paraId="3EE08D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风险控制措施：按照市政府主管部门的批复结果及时调整项目资金投入计划，保障项目顺利实施。</w:t>
      </w:r>
    </w:p>
    <w:bookmarkEnd w:id="61"/>
    <w:bookmarkEnd w:id="62"/>
    <w:bookmarkEnd w:id="63"/>
    <w:p w14:paraId="3EE08DCB">
      <w:pPr>
        <w:spacing w:line="360" w:lineRule="auto"/>
        <w:ind w:firstLine="482" w:firstLineChars="200"/>
        <w:outlineLvl w:val="0"/>
        <w:rPr>
          <w:rFonts w:hint="eastAsia" w:ascii="宋体" w:hAnsi="宋体" w:eastAsia="宋体" w:cs="宋体"/>
          <w:b/>
          <w:bCs/>
          <w:sz w:val="24"/>
          <w:szCs w:val="24"/>
        </w:rPr>
      </w:pPr>
      <w:bookmarkStart w:id="64" w:name="_Toc30358"/>
      <w:bookmarkStart w:id="65" w:name="_Toc498551286"/>
      <w:bookmarkStart w:id="66" w:name="_Toc7640"/>
      <w:bookmarkStart w:id="67" w:name="_Toc498385773"/>
      <w:bookmarkStart w:id="68" w:name="_Toc498385105"/>
      <w:bookmarkStart w:id="69" w:name="_Toc7033"/>
      <w:r>
        <w:rPr>
          <w:rFonts w:hint="eastAsia" w:ascii="宋体" w:hAnsi="宋体" w:eastAsia="宋体" w:cs="宋体"/>
          <w:b/>
          <w:bCs/>
          <w:sz w:val="24"/>
          <w:szCs w:val="24"/>
        </w:rPr>
        <w:t>（三）影响融资平衡结果的风险及控制措施</w:t>
      </w:r>
      <w:bookmarkEnd w:id="64"/>
      <w:bookmarkEnd w:id="65"/>
      <w:bookmarkEnd w:id="66"/>
      <w:bookmarkEnd w:id="67"/>
      <w:bookmarkEnd w:id="68"/>
      <w:bookmarkEnd w:id="69"/>
    </w:p>
    <w:p w14:paraId="3EE08DCC">
      <w:pPr>
        <w:spacing w:line="360" w:lineRule="auto"/>
        <w:ind w:firstLine="480" w:firstLineChars="200"/>
        <w:outlineLvl w:val="2"/>
        <w:rPr>
          <w:rFonts w:hint="eastAsia" w:ascii="宋体" w:hAnsi="宋体" w:eastAsia="宋体" w:cs="宋体"/>
          <w:sz w:val="24"/>
          <w:szCs w:val="24"/>
        </w:rPr>
      </w:pPr>
      <w:bookmarkStart w:id="70" w:name="_Toc7555"/>
      <w:bookmarkStart w:id="71" w:name="_Toc498385106"/>
      <w:bookmarkStart w:id="72" w:name="_Toc498551287"/>
      <w:bookmarkStart w:id="73" w:name="_Toc498385774"/>
      <w:r>
        <w:rPr>
          <w:rFonts w:hint="eastAsia" w:ascii="宋体" w:hAnsi="宋体" w:eastAsia="宋体" w:cs="宋体"/>
          <w:sz w:val="24"/>
          <w:szCs w:val="24"/>
        </w:rPr>
        <w:t>1、投资测算不准确风险</w:t>
      </w:r>
      <w:bookmarkEnd w:id="70"/>
      <w:bookmarkEnd w:id="71"/>
      <w:bookmarkEnd w:id="72"/>
      <w:bookmarkEnd w:id="73"/>
    </w:p>
    <w:p w14:paraId="3EE08D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3EE08D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风险控制措施：债券内所含项目的可行性研究报告均聘请了国内知名研究院经过大量分析论证工作后得出，分析结果较为可靠。</w:t>
      </w:r>
    </w:p>
    <w:p w14:paraId="3EE08D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3EE08DD0">
      <w:pPr>
        <w:spacing w:line="360" w:lineRule="auto"/>
        <w:ind w:firstLine="480" w:firstLineChars="200"/>
        <w:outlineLvl w:val="2"/>
        <w:rPr>
          <w:rFonts w:hint="eastAsia" w:ascii="宋体" w:hAnsi="宋体" w:eastAsia="宋体" w:cs="宋体"/>
          <w:sz w:val="24"/>
          <w:szCs w:val="24"/>
        </w:rPr>
      </w:pPr>
      <w:bookmarkStart w:id="74" w:name="_Toc3687"/>
      <w:r>
        <w:rPr>
          <w:rFonts w:hint="eastAsia" w:ascii="宋体" w:hAnsi="宋体" w:eastAsia="宋体" w:cs="宋体"/>
          <w:sz w:val="24"/>
          <w:szCs w:val="24"/>
        </w:rPr>
        <w:t>2、利率波动风险</w:t>
      </w:r>
      <w:bookmarkEnd w:id="74"/>
    </w:p>
    <w:p w14:paraId="3EE08D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3EE08D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3EE08DD3">
      <w:pPr>
        <w:spacing w:line="360" w:lineRule="auto"/>
        <w:ind w:firstLine="480" w:firstLineChars="200"/>
        <w:outlineLvl w:val="2"/>
        <w:rPr>
          <w:rFonts w:hint="eastAsia" w:ascii="宋体" w:hAnsi="宋体" w:eastAsia="宋体" w:cs="宋体"/>
          <w:sz w:val="24"/>
          <w:szCs w:val="24"/>
        </w:rPr>
      </w:pPr>
      <w:bookmarkStart w:id="75" w:name="_Toc498551289"/>
      <w:bookmarkStart w:id="76" w:name="_Toc25085"/>
      <w:r>
        <w:rPr>
          <w:rFonts w:hint="eastAsia" w:ascii="宋体" w:hAnsi="宋体" w:eastAsia="宋体" w:cs="宋体"/>
          <w:sz w:val="24"/>
          <w:szCs w:val="24"/>
        </w:rPr>
        <w:t>3、存续债券置换不畅风险</w:t>
      </w:r>
      <w:bookmarkEnd w:id="75"/>
      <w:bookmarkEnd w:id="76"/>
    </w:p>
    <w:p w14:paraId="3EE08D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3EE08D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3EE08DD6">
      <w:pPr>
        <w:spacing w:before="159" w:beforeLines="50" w:line="360" w:lineRule="auto"/>
        <w:ind w:firstLine="482" w:firstLineChars="200"/>
        <w:outlineLvl w:val="0"/>
        <w:rPr>
          <w:rFonts w:hint="eastAsia" w:ascii="宋体" w:hAnsi="宋体" w:eastAsia="宋体" w:cs="宋体"/>
          <w:b/>
          <w:sz w:val="24"/>
          <w:szCs w:val="24"/>
        </w:rPr>
      </w:pPr>
      <w:bookmarkStart w:id="77" w:name="_Toc11499"/>
      <w:bookmarkStart w:id="78" w:name="_Toc1287"/>
      <w:bookmarkStart w:id="79" w:name="_Toc9133"/>
      <w:bookmarkStart w:id="80" w:name="_Toc23636"/>
      <w:bookmarkStart w:id="81" w:name="_Toc8534"/>
      <w:bookmarkStart w:id="82" w:name="_Toc23808"/>
      <w:bookmarkStart w:id="83" w:name="_Toc4735"/>
      <w:bookmarkStart w:id="84" w:name="_Toc10210"/>
      <w:bookmarkStart w:id="85" w:name="_Toc15942"/>
      <w:bookmarkStart w:id="86" w:name="_Toc5009"/>
      <w:bookmarkStart w:id="87" w:name="_Toc1725"/>
      <w:bookmarkStart w:id="88" w:name="_Toc20734"/>
      <w:bookmarkStart w:id="89" w:name="_Toc2036"/>
      <w:bookmarkStart w:id="90" w:name="_Toc32395"/>
      <w:bookmarkStart w:id="91" w:name="_Toc5637"/>
      <w:bookmarkStart w:id="92" w:name="_Toc13008"/>
      <w:bookmarkStart w:id="93" w:name="_Toc17939"/>
      <w:bookmarkStart w:id="94" w:name="_Toc24199"/>
      <w:bookmarkStart w:id="95" w:name="_Toc22531"/>
      <w:bookmarkStart w:id="96" w:name="_Toc5677"/>
      <w:bookmarkStart w:id="97" w:name="_Toc3051"/>
      <w:bookmarkStart w:id="98" w:name="_Toc32327"/>
      <w:bookmarkStart w:id="99" w:name="_Toc16334"/>
      <w:bookmarkStart w:id="100" w:name="_Toc6349"/>
      <w:bookmarkStart w:id="101" w:name="_Toc24781"/>
      <w:bookmarkStart w:id="102" w:name="_Toc9496"/>
      <w:bookmarkStart w:id="103" w:name="_Toc4935"/>
      <w:bookmarkStart w:id="104" w:name="_Toc24434"/>
      <w:r>
        <w:rPr>
          <w:rFonts w:hint="eastAsia" w:ascii="宋体" w:hAnsi="宋体" w:eastAsia="宋体" w:cs="宋体"/>
          <w:b/>
          <w:sz w:val="24"/>
          <w:szCs w:val="24"/>
        </w:rPr>
        <w:t>七、还款保障措施</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EE08D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14:paraId="3EE08D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3EE08DD9">
      <w:pPr>
        <w:spacing w:line="360" w:lineRule="auto"/>
        <w:ind w:firstLine="480" w:firstLineChars="200"/>
        <w:rPr>
          <w:rFonts w:hint="eastAsia" w:ascii="宋体" w:hAnsi="宋体" w:eastAsia="宋体" w:cs="宋体"/>
          <w:sz w:val="24"/>
          <w:szCs w:val="24"/>
        </w:rPr>
      </w:pPr>
    </w:p>
    <w:p w14:paraId="3EE08DDA">
      <w:pPr>
        <w:spacing w:line="360" w:lineRule="auto"/>
        <w:ind w:firstLine="480" w:firstLineChars="200"/>
        <w:rPr>
          <w:rFonts w:hint="eastAsia" w:ascii="宋体" w:hAnsi="宋体" w:eastAsia="宋体" w:cs="宋体"/>
          <w:sz w:val="24"/>
          <w:szCs w:val="24"/>
        </w:rPr>
      </w:pPr>
    </w:p>
    <w:p w14:paraId="55B45146">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海口市恒慧基础建设有限公司</w:t>
      </w:r>
    </w:p>
    <w:p w14:paraId="3EE08DDC">
      <w:pPr>
        <w:spacing w:line="360" w:lineRule="auto"/>
        <w:ind w:firstLine="480" w:firstLineChars="200"/>
        <w:jc w:val="right"/>
        <w:rPr>
          <w:rFonts w:hint="eastAsia" w:ascii="宋体" w:hAnsi="宋体" w:eastAsia="宋体" w:cs="宋体"/>
          <w:color w:val="000000"/>
          <w:kern w:val="0"/>
          <w:sz w:val="24"/>
          <w:szCs w:val="24"/>
          <w:lang w:val="en-US" w:eastAsia="zh-CN"/>
        </w:rPr>
      </w:pPr>
      <w:r>
        <w:rPr>
          <w:rFonts w:hint="eastAsia" w:ascii="宋体" w:hAnsi="宋体" w:eastAsia="宋体" w:cs="宋体"/>
          <w:sz w:val="24"/>
          <w:szCs w:val="24"/>
        </w:rPr>
        <w:t>2025年</w:t>
      </w:r>
      <w:r>
        <w:rPr>
          <w:rFonts w:hint="eastAsia" w:ascii="宋体" w:hAnsi="宋体" w:eastAsia="宋体" w:cs="宋体"/>
          <w:sz w:val="24"/>
          <w:szCs w:val="24"/>
          <w:lang w:val="en-US" w:eastAsia="zh-CN"/>
        </w:rPr>
        <w:t>9</w:t>
      </w:r>
      <w:r>
        <w:rPr>
          <w:rFonts w:hint="eastAsia" w:ascii="宋体" w:hAnsi="宋体" w:eastAsia="宋体" w:cs="宋体"/>
          <w:sz w:val="24"/>
          <w:szCs w:val="24"/>
        </w:rPr>
        <w:t>月</w:t>
      </w:r>
      <w:r>
        <w:rPr>
          <w:rFonts w:hint="eastAsia" w:ascii="宋体" w:hAnsi="宋体" w:eastAsia="宋体" w:cs="宋体"/>
          <w:color w:val="000000"/>
          <w:kern w:val="0"/>
          <w:sz w:val="24"/>
          <w:szCs w:val="24"/>
          <w:lang w:val="en-US" w:eastAsia="zh-CN"/>
        </w:rPr>
        <w:t>10日</w:t>
      </w:r>
    </w:p>
    <w:sectPr>
      <w:headerReference r:id="rId5" w:type="default"/>
      <w:footerReference r:id="rId6" w:type="default"/>
      <w:pgSz w:w="11906" w:h="16838"/>
      <w:pgMar w:top="1440" w:right="1803" w:bottom="1440" w:left="1803"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6CF1">
    <w:pPr>
      <w:pStyle w:val="10"/>
      <w:jc w:val="center"/>
      <w:rPr>
        <w:rFonts w:hint="eastAsia"/>
      </w:rPr>
    </w:pPr>
  </w:p>
  <w:p w14:paraId="3EE08DFD">
    <w:pPr>
      <w:pStyle w:val="1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238946"/>
      <w:docPartObj>
        <w:docPartGallery w:val="autotext"/>
      </w:docPartObj>
    </w:sdtPr>
    <w:sdtContent>
      <w:p w14:paraId="2654F3A9">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EE08E01">
    <w:pPr>
      <w:pStyle w:val="1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8DFB">
    <w:pPr>
      <w:pStyle w:val="11"/>
      <w:pBdr>
        <w:bottom w:val="none" w:color="auto" w:sz="0" w:space="1"/>
      </w:pBdr>
      <w:tabs>
        <w:tab w:val="left" w:pos="6178"/>
        <w:tab w:val="clear" w:pos="8306"/>
      </w:tabs>
      <w:rPr>
        <w:rFonts w:hint="eastAsia"/>
      </w:rPr>
    </w:pPr>
    <w:r>
      <w:rPr>
        <w:rFonts w:hint="eastAsia" w:eastAsiaTheme="minor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8DFF">
    <w:pPr>
      <w:pStyle w:val="11"/>
      <w:pBdr>
        <w:bottom w:val="none" w:color="auto" w:sz="0" w:space="1"/>
      </w:pBdr>
      <w:tabs>
        <w:tab w:val="left" w:pos="6178"/>
        <w:tab w:val="clear" w:pos="8306"/>
      </w:tabs>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NotTrackMoves/>
  <w:documentProtection w:enforcement="0"/>
  <w:defaultTabStop w:val="420"/>
  <w:drawingGridHorizontalSpacing w:val="105"/>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QyZjk5ZDEyOGUxZmY0ODk1YjYxYjNlN2Q2MzEifQ=="/>
  </w:docVars>
  <w:rsids>
    <w:rsidRoot w:val="00B271AC"/>
    <w:rsid w:val="000007E4"/>
    <w:rsid w:val="000015A0"/>
    <w:rsid w:val="00002D01"/>
    <w:rsid w:val="00004E30"/>
    <w:rsid w:val="0001472F"/>
    <w:rsid w:val="000178C8"/>
    <w:rsid w:val="000218B0"/>
    <w:rsid w:val="00037152"/>
    <w:rsid w:val="00040E2E"/>
    <w:rsid w:val="00041492"/>
    <w:rsid w:val="00045482"/>
    <w:rsid w:val="0004663A"/>
    <w:rsid w:val="00046784"/>
    <w:rsid w:val="00046C6C"/>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4E92"/>
    <w:rsid w:val="00107E7D"/>
    <w:rsid w:val="00110490"/>
    <w:rsid w:val="0011671E"/>
    <w:rsid w:val="00124FA3"/>
    <w:rsid w:val="001267AA"/>
    <w:rsid w:val="0013649A"/>
    <w:rsid w:val="001375C0"/>
    <w:rsid w:val="001402B8"/>
    <w:rsid w:val="00141A89"/>
    <w:rsid w:val="001420D3"/>
    <w:rsid w:val="00144B23"/>
    <w:rsid w:val="0015056D"/>
    <w:rsid w:val="001521DB"/>
    <w:rsid w:val="00153AB8"/>
    <w:rsid w:val="00162879"/>
    <w:rsid w:val="001745B6"/>
    <w:rsid w:val="001749C6"/>
    <w:rsid w:val="00177535"/>
    <w:rsid w:val="0018403A"/>
    <w:rsid w:val="00187349"/>
    <w:rsid w:val="00191B0F"/>
    <w:rsid w:val="001922F6"/>
    <w:rsid w:val="001A21B6"/>
    <w:rsid w:val="001B2140"/>
    <w:rsid w:val="001B5627"/>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682C"/>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94E1B"/>
    <w:rsid w:val="004A32ED"/>
    <w:rsid w:val="004A615E"/>
    <w:rsid w:val="004A7362"/>
    <w:rsid w:val="004B022D"/>
    <w:rsid w:val="004B0E7E"/>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333"/>
    <w:rsid w:val="005F0EA3"/>
    <w:rsid w:val="00600697"/>
    <w:rsid w:val="006101C0"/>
    <w:rsid w:val="00610A56"/>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F79"/>
    <w:rsid w:val="00691003"/>
    <w:rsid w:val="00693644"/>
    <w:rsid w:val="0069439F"/>
    <w:rsid w:val="0069494F"/>
    <w:rsid w:val="006B162C"/>
    <w:rsid w:val="006B50DF"/>
    <w:rsid w:val="006B612F"/>
    <w:rsid w:val="006C1DA2"/>
    <w:rsid w:val="006C4809"/>
    <w:rsid w:val="006C53F5"/>
    <w:rsid w:val="006C753A"/>
    <w:rsid w:val="006D4716"/>
    <w:rsid w:val="006D79AA"/>
    <w:rsid w:val="006E53FE"/>
    <w:rsid w:val="006E6F5B"/>
    <w:rsid w:val="006E72DA"/>
    <w:rsid w:val="006F24DA"/>
    <w:rsid w:val="006F6BB0"/>
    <w:rsid w:val="00706119"/>
    <w:rsid w:val="00715096"/>
    <w:rsid w:val="00715A29"/>
    <w:rsid w:val="00716152"/>
    <w:rsid w:val="00716753"/>
    <w:rsid w:val="00723C9D"/>
    <w:rsid w:val="00725FF9"/>
    <w:rsid w:val="0073210A"/>
    <w:rsid w:val="00736E52"/>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07BC8"/>
    <w:rsid w:val="00811655"/>
    <w:rsid w:val="00813732"/>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138C"/>
    <w:rsid w:val="008D3D8E"/>
    <w:rsid w:val="008D4307"/>
    <w:rsid w:val="008D5144"/>
    <w:rsid w:val="008E0156"/>
    <w:rsid w:val="008E04A6"/>
    <w:rsid w:val="008E2BD4"/>
    <w:rsid w:val="008E5437"/>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4029"/>
    <w:rsid w:val="009F5E6D"/>
    <w:rsid w:val="00A005BA"/>
    <w:rsid w:val="00A024C7"/>
    <w:rsid w:val="00A053BF"/>
    <w:rsid w:val="00A065F7"/>
    <w:rsid w:val="00A245D2"/>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63BD"/>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5DB8"/>
    <w:rsid w:val="00D9762A"/>
    <w:rsid w:val="00DA39E8"/>
    <w:rsid w:val="00DA6AB1"/>
    <w:rsid w:val="00DA6CCE"/>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3038"/>
    <w:rsid w:val="00E15EBB"/>
    <w:rsid w:val="00E333F4"/>
    <w:rsid w:val="00E33A8E"/>
    <w:rsid w:val="00E365A4"/>
    <w:rsid w:val="00E4365F"/>
    <w:rsid w:val="00E43EA1"/>
    <w:rsid w:val="00E46FF9"/>
    <w:rsid w:val="00E514C7"/>
    <w:rsid w:val="00E56DB0"/>
    <w:rsid w:val="00E60601"/>
    <w:rsid w:val="00E6226F"/>
    <w:rsid w:val="00E70076"/>
    <w:rsid w:val="00E70165"/>
    <w:rsid w:val="00E7213A"/>
    <w:rsid w:val="00E722C6"/>
    <w:rsid w:val="00E7256E"/>
    <w:rsid w:val="00E74318"/>
    <w:rsid w:val="00E7622E"/>
    <w:rsid w:val="00E80678"/>
    <w:rsid w:val="00E81949"/>
    <w:rsid w:val="00E9455C"/>
    <w:rsid w:val="00EA2674"/>
    <w:rsid w:val="00EA4852"/>
    <w:rsid w:val="00EB218D"/>
    <w:rsid w:val="00EB2E85"/>
    <w:rsid w:val="00EB46E3"/>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57327A"/>
    <w:rsid w:val="1BF20BAA"/>
    <w:rsid w:val="1DBC69B5"/>
    <w:rsid w:val="20A774A8"/>
    <w:rsid w:val="21E4166A"/>
    <w:rsid w:val="22D8647E"/>
    <w:rsid w:val="232224CD"/>
    <w:rsid w:val="249F6523"/>
    <w:rsid w:val="26452677"/>
    <w:rsid w:val="29A01B46"/>
    <w:rsid w:val="2C464749"/>
    <w:rsid w:val="2D0F1E53"/>
    <w:rsid w:val="2E127B70"/>
    <w:rsid w:val="2ED326F7"/>
    <w:rsid w:val="2F4C4997"/>
    <w:rsid w:val="2FB2417E"/>
    <w:rsid w:val="31392E76"/>
    <w:rsid w:val="32472749"/>
    <w:rsid w:val="32E4458C"/>
    <w:rsid w:val="331344B7"/>
    <w:rsid w:val="33704A15"/>
    <w:rsid w:val="351D1FD7"/>
    <w:rsid w:val="36564909"/>
    <w:rsid w:val="3848042D"/>
    <w:rsid w:val="3A103DEB"/>
    <w:rsid w:val="3A1322EE"/>
    <w:rsid w:val="3A3A7499"/>
    <w:rsid w:val="3BBD3DE9"/>
    <w:rsid w:val="3BC9365E"/>
    <w:rsid w:val="3C95003D"/>
    <w:rsid w:val="3D152BBC"/>
    <w:rsid w:val="3DA3692C"/>
    <w:rsid w:val="3E384FAC"/>
    <w:rsid w:val="3E3E1245"/>
    <w:rsid w:val="3EDC504D"/>
    <w:rsid w:val="3FE62FFD"/>
    <w:rsid w:val="3FEA361E"/>
    <w:rsid w:val="41850CE8"/>
    <w:rsid w:val="42024C3E"/>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5485616"/>
    <w:rsid w:val="560D77BF"/>
    <w:rsid w:val="56D70DC4"/>
    <w:rsid w:val="58FE1D5D"/>
    <w:rsid w:val="5AA61FA3"/>
    <w:rsid w:val="5AD27F22"/>
    <w:rsid w:val="5C390BF5"/>
    <w:rsid w:val="5CCE357C"/>
    <w:rsid w:val="5DC82230"/>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9382508"/>
    <w:rsid w:val="798B2638"/>
    <w:rsid w:val="79F71A7C"/>
    <w:rsid w:val="7AF64006"/>
    <w:rsid w:val="7AFDAB09"/>
    <w:rsid w:val="7C1F52BA"/>
    <w:rsid w:val="7D9D7924"/>
    <w:rsid w:val="7DDECC4F"/>
    <w:rsid w:val="7E6D055E"/>
    <w:rsid w:val="7F5B3843"/>
    <w:rsid w:val="B97FB961"/>
    <w:rsid w:val="DE6D2DE6"/>
    <w:rsid w:val="DFEA32A3"/>
    <w:rsid w:val="F6BED998"/>
    <w:rsid w:val="FB561B91"/>
    <w:rsid w:val="FEDD063A"/>
    <w:rsid w:val="FFF92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4">
    <w:name w:val="heading 3"/>
    <w:basedOn w:val="1"/>
    <w:next w:val="1"/>
    <w:qFormat/>
    <w:uiPriority w:val="0"/>
    <w:pPr>
      <w:keepNext/>
      <w:keepLines/>
      <w:outlineLvl w:val="2"/>
    </w:pPr>
    <w:rPr>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style>
  <w:style w:type="paragraph" w:styleId="6">
    <w:name w:val="annotation text"/>
    <w:basedOn w:val="1"/>
    <w:link w:val="24"/>
    <w:autoRedefine/>
    <w:semiHidden/>
    <w:unhideWhenUsed/>
    <w:qFormat/>
    <w:uiPriority w:val="0"/>
    <w:pPr>
      <w:jc w:val="left"/>
    </w:pPr>
  </w:style>
  <w:style w:type="paragraph" w:styleId="7">
    <w:name w:val="Body Text"/>
    <w:basedOn w:val="1"/>
    <w:qFormat/>
    <w:uiPriority w:val="0"/>
    <w:pPr>
      <w:adjustRightInd w:val="0"/>
      <w:snapToGrid w:val="0"/>
      <w:spacing w:before="150" w:after="150" w:line="264" w:lineRule="auto"/>
      <w:ind w:firstLine="567"/>
    </w:pPr>
    <w:rPr>
      <w:rFonts w:ascii="华文楷体" w:hAnsi="华文楷体" w:eastAsia="LF_Kai"/>
      <w:szCs w:val="20"/>
    </w:rPr>
  </w:style>
  <w:style w:type="paragraph" w:styleId="8">
    <w:name w:val="Body Text Indent"/>
    <w:basedOn w:val="1"/>
    <w:autoRedefine/>
    <w:qFormat/>
    <w:uiPriority w:val="0"/>
    <w:pPr>
      <w:ind w:left="105" w:hanging="105"/>
    </w:pPr>
    <w:rPr>
      <w:sz w:val="32"/>
      <w:szCs w:val="32"/>
    </w:rPr>
  </w:style>
  <w:style w:type="paragraph" w:styleId="9">
    <w:name w:val="Balloon Text"/>
    <w:basedOn w:val="1"/>
    <w:link w:val="25"/>
    <w:unhideWhenUsed/>
    <w:qFormat/>
    <w:uiPriority w:val="99"/>
    <w:rPr>
      <w:sz w:val="18"/>
      <w:szCs w:val="18"/>
    </w:rPr>
  </w:style>
  <w:style w:type="paragraph" w:styleId="10">
    <w:name w:val="footer"/>
    <w:basedOn w:val="1"/>
    <w:next w:val="1"/>
    <w:link w:val="26"/>
    <w:autoRedefine/>
    <w:unhideWhenUsed/>
    <w:qFormat/>
    <w:uiPriority w:val="99"/>
    <w:pPr>
      <w:tabs>
        <w:tab w:val="center" w:pos="4153"/>
        <w:tab w:val="right" w:pos="8306"/>
      </w:tabs>
      <w:snapToGrid w:val="0"/>
      <w:jc w:val="left"/>
    </w:pPr>
    <w:rPr>
      <w:sz w:val="18"/>
      <w:szCs w:val="18"/>
    </w:rPr>
  </w:style>
  <w:style w:type="paragraph" w:styleId="11">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footnote text"/>
    <w:basedOn w:val="1"/>
    <w:autoRedefine/>
    <w:semiHidden/>
    <w:unhideWhenUsed/>
    <w:qFormat/>
    <w:uiPriority w:val="99"/>
    <w:rPr>
      <w:szCs w:val="20"/>
    </w:rPr>
  </w:style>
  <w:style w:type="paragraph" w:styleId="14">
    <w:name w:val="Body Text Indent 3"/>
    <w:basedOn w:val="1"/>
    <w:link w:val="32"/>
    <w:qFormat/>
    <w:uiPriority w:val="0"/>
    <w:pPr>
      <w:spacing w:after="120"/>
      <w:ind w:left="420" w:leftChars="200"/>
    </w:pPr>
    <w:rPr>
      <w:rFonts w:ascii="Times New Roman" w:hAnsi="Times New Roman" w:eastAsia="宋体"/>
      <w:sz w:val="16"/>
      <w:szCs w:val="20"/>
    </w:r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6"/>
    <w:next w:val="6"/>
    <w:link w:val="28"/>
    <w:autoRedefine/>
    <w:semiHidden/>
    <w:unhideWhenUsed/>
    <w:qFormat/>
    <w:uiPriority w:val="0"/>
    <w:rPr>
      <w:b/>
      <w:bCs/>
    </w:rPr>
  </w:style>
  <w:style w:type="paragraph" w:styleId="17">
    <w:name w:val="Body Text First Indent"/>
    <w:basedOn w:val="7"/>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18">
    <w:name w:val="Body Text First Indent 2"/>
    <w:basedOn w:val="8"/>
    <w:next w:val="17"/>
    <w:unhideWhenUsed/>
    <w:qFormat/>
    <w:uiPriority w:val="99"/>
    <w:pPr>
      <w:ind w:firstLine="420" w:firstLineChars="200"/>
    </w:p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semiHidden/>
    <w:unhideWhenUsed/>
    <w:qFormat/>
    <w:uiPriority w:val="0"/>
    <w:rPr>
      <w:sz w:val="21"/>
      <w:szCs w:val="21"/>
    </w:rPr>
  </w:style>
  <w:style w:type="character" w:styleId="23">
    <w:name w:val="footnote reference"/>
    <w:basedOn w:val="21"/>
    <w:unhideWhenUsed/>
    <w:qFormat/>
    <w:uiPriority w:val="99"/>
    <w:rPr>
      <w:vertAlign w:val="superscript"/>
    </w:rPr>
  </w:style>
  <w:style w:type="character" w:customStyle="1" w:styleId="24">
    <w:name w:val="批注文字 字符"/>
    <w:link w:val="6"/>
    <w:semiHidden/>
    <w:qFormat/>
    <w:uiPriority w:val="0"/>
    <w:rPr>
      <w:rFonts w:ascii="等线" w:hAnsi="等线" w:eastAsia="等线"/>
      <w:kern w:val="2"/>
      <w:sz w:val="21"/>
      <w:szCs w:val="22"/>
    </w:rPr>
  </w:style>
  <w:style w:type="character" w:customStyle="1" w:styleId="25">
    <w:name w:val="批注框文本 字符"/>
    <w:link w:val="9"/>
    <w:semiHidden/>
    <w:qFormat/>
    <w:uiPriority w:val="99"/>
    <w:rPr>
      <w:sz w:val="18"/>
      <w:szCs w:val="18"/>
    </w:rPr>
  </w:style>
  <w:style w:type="character" w:customStyle="1" w:styleId="26">
    <w:name w:val="页脚 字符"/>
    <w:link w:val="10"/>
    <w:qFormat/>
    <w:uiPriority w:val="99"/>
    <w:rPr>
      <w:sz w:val="18"/>
      <w:szCs w:val="18"/>
    </w:rPr>
  </w:style>
  <w:style w:type="character" w:customStyle="1" w:styleId="27">
    <w:name w:val="页眉 字符"/>
    <w:link w:val="11"/>
    <w:autoRedefine/>
    <w:qFormat/>
    <w:uiPriority w:val="99"/>
    <w:rPr>
      <w:sz w:val="18"/>
      <w:szCs w:val="18"/>
    </w:rPr>
  </w:style>
  <w:style w:type="character" w:customStyle="1" w:styleId="28">
    <w:name w:val="批注主题 字符"/>
    <w:link w:val="16"/>
    <w:semiHidden/>
    <w:qFormat/>
    <w:uiPriority w:val="0"/>
    <w:rPr>
      <w:rFonts w:ascii="等线" w:hAnsi="等线" w:eastAsia="等线"/>
      <w:b/>
      <w:bCs/>
      <w:kern w:val="2"/>
      <w:sz w:val="21"/>
      <w:szCs w:val="22"/>
    </w:rPr>
  </w:style>
  <w:style w:type="paragraph" w:customStyle="1" w:styleId="29">
    <w:name w:val="列出段落1"/>
    <w:basedOn w:val="1"/>
    <w:qFormat/>
    <w:uiPriority w:val="34"/>
    <w:pPr>
      <w:ind w:firstLine="420" w:firstLineChars="200"/>
    </w:pPr>
  </w:style>
  <w:style w:type="paragraph" w:customStyle="1" w:styleId="30">
    <w:name w:val="Char Char Char Char Char Char Char"/>
    <w:basedOn w:val="1"/>
    <w:qFormat/>
    <w:uiPriority w:val="0"/>
    <w:pPr>
      <w:spacing w:line="480" w:lineRule="auto"/>
    </w:pPr>
    <w:rPr>
      <w:rFonts w:ascii="Times New Roman" w:hAnsi="Times New Roman" w:eastAsia="宋体"/>
      <w:szCs w:val="21"/>
    </w:rPr>
  </w:style>
  <w:style w:type="paragraph" w:styleId="31">
    <w:name w:val="List Paragraph"/>
    <w:basedOn w:val="1"/>
    <w:autoRedefine/>
    <w:unhideWhenUsed/>
    <w:qFormat/>
    <w:uiPriority w:val="99"/>
    <w:pPr>
      <w:ind w:firstLine="420" w:firstLineChars="200"/>
    </w:pPr>
  </w:style>
  <w:style w:type="character" w:customStyle="1" w:styleId="32">
    <w:name w:val="正文文本缩进 3 字符"/>
    <w:basedOn w:val="21"/>
    <w:link w:val="14"/>
    <w:autoRedefine/>
    <w:qFormat/>
    <w:uiPriority w:val="0"/>
    <w:rPr>
      <w:kern w:val="2"/>
      <w:sz w:val="16"/>
    </w:rPr>
  </w:style>
  <w:style w:type="table" w:customStyle="1" w:styleId="33">
    <w:name w:val="Table Normal"/>
    <w:autoRedefine/>
    <w:semiHidden/>
    <w:unhideWhenUsed/>
    <w:qFormat/>
    <w:uiPriority w:val="0"/>
    <w:tblPr>
      <w:tblCellMar>
        <w:top w:w="0" w:type="dxa"/>
        <w:left w:w="0" w:type="dxa"/>
        <w:bottom w:w="0" w:type="dxa"/>
        <w:right w:w="0" w:type="dxa"/>
      </w:tblCellMar>
    </w:tbl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6">
    <w:name w:val="样式 行距: 固定值 20 磅"/>
    <w:autoRedefine/>
    <w:qFormat/>
    <w:uiPriority w:val="0"/>
    <w:pPr>
      <w:ind w:firstLine="480"/>
    </w:pPr>
    <w:rPr>
      <w:rFonts w:ascii="Times New Roman" w:hAnsi="Times New Roman" w:eastAsia="Times New Roman" w:cs="宋体"/>
      <w:sz w:val="24"/>
      <w:szCs w:val="24"/>
      <w:lang w:val="en-US" w:eastAsia="zh-CN" w:bidi="ar-SA"/>
    </w:rPr>
  </w:style>
  <w:style w:type="character" w:customStyle="1" w:styleId="37">
    <w:name w:val="font91"/>
    <w:basedOn w:val="21"/>
    <w:qFormat/>
    <w:uiPriority w:val="0"/>
    <w:rPr>
      <w:rFonts w:hint="eastAsia" w:ascii="宋体" w:hAnsi="宋体" w:eastAsia="宋体" w:cs="宋体"/>
      <w:b/>
      <w:bCs/>
      <w:color w:val="000000"/>
      <w:sz w:val="21"/>
      <w:szCs w:val="21"/>
      <w:u w:val="none"/>
    </w:rPr>
  </w:style>
  <w:style w:type="character" w:customStyle="1" w:styleId="38">
    <w:name w:val="font41"/>
    <w:basedOn w:val="21"/>
    <w:qFormat/>
    <w:uiPriority w:val="0"/>
    <w:rPr>
      <w:rFonts w:hint="eastAsia" w:ascii="宋体" w:hAnsi="宋体" w:eastAsia="宋体" w:cs="宋体"/>
      <w:color w:val="000000"/>
      <w:sz w:val="16"/>
      <w:szCs w:val="16"/>
      <w:u w:val="none"/>
    </w:rPr>
  </w:style>
  <w:style w:type="character" w:customStyle="1" w:styleId="39">
    <w:name w:val="font61"/>
    <w:basedOn w:val="21"/>
    <w:qFormat/>
    <w:uiPriority w:val="0"/>
    <w:rPr>
      <w:rFonts w:hint="default" w:ascii="Times New Roman" w:hAnsi="Times New Roman" w:cs="Times New Roman"/>
      <w:color w:val="000000"/>
      <w:sz w:val="21"/>
      <w:szCs w:val="21"/>
      <w:u w:val="none"/>
    </w:rPr>
  </w:style>
  <w:style w:type="character" w:customStyle="1" w:styleId="40">
    <w:name w:val="font71"/>
    <w:basedOn w:val="21"/>
    <w:qFormat/>
    <w:uiPriority w:val="0"/>
    <w:rPr>
      <w:rFonts w:ascii="仿宋" w:hAnsi="仿宋" w:eastAsia="仿宋" w:cs="仿宋"/>
      <w:color w:val="000000"/>
      <w:sz w:val="21"/>
      <w:szCs w:val="21"/>
      <w:u w:val="none"/>
    </w:rPr>
  </w:style>
  <w:style w:type="character" w:customStyle="1" w:styleId="41">
    <w:name w:val="font81"/>
    <w:basedOn w:val="21"/>
    <w:qFormat/>
    <w:uiPriority w:val="0"/>
    <w:rPr>
      <w:rFonts w:hint="eastAsia" w:ascii="仿宋" w:hAnsi="仿宋" w:eastAsia="仿宋" w:cs="仿宋"/>
      <w:color w:val="000000"/>
      <w:sz w:val="12"/>
      <w:szCs w:val="12"/>
      <w:u w:val="none"/>
    </w:rPr>
  </w:style>
  <w:style w:type="character" w:customStyle="1" w:styleId="42">
    <w:name w:val="font101"/>
    <w:basedOn w:val="21"/>
    <w:qFormat/>
    <w:uiPriority w:val="0"/>
    <w:rPr>
      <w:rFonts w:hint="eastAsia" w:ascii="仿宋" w:hAnsi="仿宋" w:eastAsia="仿宋" w:cs="仿宋"/>
      <w:color w:val="000000"/>
      <w:sz w:val="16"/>
      <w:szCs w:val="16"/>
      <w:u w:val="none"/>
    </w:rPr>
  </w:style>
  <w:style w:type="paragraph" w:customStyle="1" w:styleId="43">
    <w:name w:val="zxh正文"/>
    <w:basedOn w:val="1"/>
    <w:qFormat/>
    <w:uiPriority w:val="0"/>
    <w:pPr>
      <w:ind w:firstLine="480" w:firstLineChars="200"/>
    </w:pPr>
    <w:rPr>
      <w:rFonts w:ascii="Times New Roman" w:hAnsi="Times New Roman"/>
      <w:kern w:val="0"/>
    </w:rPr>
  </w:style>
  <w:style w:type="paragraph" w:customStyle="1" w:styleId="44">
    <w:name w:val="脚注文本1"/>
    <w:basedOn w:val="1"/>
    <w:next w:val="13"/>
    <w:link w:val="45"/>
    <w:unhideWhenUsed/>
    <w:qFormat/>
    <w:uiPriority w:val="99"/>
    <w:pPr>
      <w:widowControl/>
      <w:jc w:val="left"/>
    </w:pPr>
    <w:rPr>
      <w:rFonts w:asciiTheme="minorHAnsi" w:hAnsiTheme="minorHAnsi" w:eastAsiaTheme="minorEastAsia" w:cstheme="minorBidi"/>
      <w:kern w:val="0"/>
      <w:sz w:val="22"/>
      <w:lang w:val="en-GB"/>
    </w:rPr>
  </w:style>
  <w:style w:type="character" w:customStyle="1" w:styleId="45">
    <w:name w:val="脚注文本 字符"/>
    <w:basedOn w:val="21"/>
    <w:link w:val="44"/>
    <w:qFormat/>
    <w:uiPriority w:val="99"/>
    <w:rPr>
      <w:rFonts w:asciiTheme="minorHAnsi" w:hAnsiTheme="minorHAnsi" w:eastAsiaTheme="minorEastAsia" w:cstheme="minorBidi"/>
      <w:sz w:val="22"/>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C:\xwechat_files\wxid_kneenckt05or11_8f44\msg\file\2025-09\2&#12289;&#40511;&#36234;&#36335;-&#27979;&#31639;.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9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900">
                <a:latin typeface="宋体" panose="02010600030101010101" charset="-122"/>
                <a:ea typeface="宋体" panose="02010600030101010101" charset="-122"/>
              </a:rPr>
              <a:t>单位：人民币万元</a:t>
            </a:r>
            <a:endParaRPr lang="en-US" altLang="zh-CN" sz="900">
              <a:latin typeface="宋体" panose="02010600030101010101" charset="-122"/>
              <a:ea typeface="宋体" panose="02010600030101010101" charset="-122"/>
            </a:endParaRPr>
          </a:p>
        </c:rich>
      </c:tx>
      <c:layout>
        <c:manualLayout>
          <c:xMode val="edge"/>
          <c:yMode val="edge"/>
          <c:x val="0.739423447069116"/>
          <c:y val="0.0231481481481481"/>
        </c:manualLayout>
      </c:layout>
      <c:overlay val="0"/>
      <c:spPr>
        <a:noFill/>
        <a:ln>
          <a:noFill/>
        </a:ln>
        <a:effectLst/>
      </c:spPr>
    </c:title>
    <c:autoTitleDeleted val="0"/>
    <c:plotArea>
      <c:layout/>
      <c:barChart>
        <c:barDir val="col"/>
        <c:grouping val="clustered"/>
        <c:varyColors val="0"/>
        <c:ser>
          <c:idx val="0"/>
          <c:order val="0"/>
          <c:spPr>
            <a:solidFill>
              <a:srgbClr val="75787B"/>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现金流模拟测算表!$L$2:$T$2</c:f>
              <c:numCache>
                <c:formatCode>General</c:formatCode>
                <c:ptCount val="9"/>
                <c:pt idx="0">
                  <c:v>2027</c:v>
                </c:pt>
                <c:pt idx="1">
                  <c:v>2028</c:v>
                </c:pt>
                <c:pt idx="2">
                  <c:v>2029</c:v>
                </c:pt>
                <c:pt idx="3">
                  <c:v>2030</c:v>
                </c:pt>
                <c:pt idx="4">
                  <c:v>2031</c:v>
                </c:pt>
                <c:pt idx="5">
                  <c:v>2032</c:v>
                </c:pt>
                <c:pt idx="6">
                  <c:v>2033</c:v>
                </c:pt>
                <c:pt idx="7">
                  <c:v>2034</c:v>
                </c:pt>
                <c:pt idx="8">
                  <c:v>2035</c:v>
                </c:pt>
              </c:numCache>
            </c:numRef>
          </c:cat>
          <c:val>
            <c:numRef>
              <c:f>现金流模拟测算表!$L$23:$T$23</c:f>
              <c:numCache>
                <c:formatCode>_(* #,##0.00_);_(* \(#,##0.00\);_(* "-"??_);_(@_)</c:formatCode>
                <c:ptCount val="9"/>
                <c:pt idx="0">
                  <c:v>2751.27</c:v>
                </c:pt>
                <c:pt idx="1">
                  <c:v>4149.16</c:v>
                </c:pt>
                <c:pt idx="2">
                  <c:v>5547.05</c:v>
                </c:pt>
                <c:pt idx="3">
                  <c:v>6944.94</c:v>
                </c:pt>
                <c:pt idx="4">
                  <c:v>8342.83</c:v>
                </c:pt>
                <c:pt idx="5">
                  <c:v>9740.72</c:v>
                </c:pt>
                <c:pt idx="6">
                  <c:v>11138.61</c:v>
                </c:pt>
                <c:pt idx="7">
                  <c:v>12312.027533</c:v>
                </c:pt>
                <c:pt idx="8">
                  <c:v>4690.357533</c:v>
                </c:pt>
              </c:numCache>
            </c:numRef>
          </c:val>
        </c:ser>
        <c:dLbls>
          <c:showLegendKey val="0"/>
          <c:showVal val="0"/>
          <c:showCatName val="0"/>
          <c:showSerName val="0"/>
          <c:showPercent val="0"/>
          <c:showBubbleSize val="0"/>
        </c:dLbls>
        <c:gapWidth val="219"/>
        <c:overlap val="-27"/>
        <c:axId val="284334096"/>
        <c:axId val="284333136"/>
      </c:barChart>
      <c:catAx>
        <c:axId val="284334096"/>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284333136"/>
        <c:crosses val="autoZero"/>
        <c:auto val="1"/>
        <c:lblAlgn val="ctr"/>
        <c:lblOffset val="100"/>
        <c:noMultiLvlLbl val="0"/>
      </c:catAx>
      <c:valAx>
        <c:axId val="284333136"/>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284334096"/>
        <c:crosses val="autoZero"/>
        <c:crossBetween val="between"/>
      </c:valAx>
      <c:spPr>
        <a:noFill/>
        <a:ln>
          <a:noFill/>
        </a:ln>
        <a:effectLst/>
      </c:spPr>
    </c:plotArea>
    <c:plotVisOnly val="1"/>
    <c:dispBlanksAs val="gap"/>
    <c:showDLblsOverMax val="0"/>
    <c:extLst>
      <c:ext uri="{0b15fc19-7d7d-44ad-8c2d-2c3a37ce22c3}">
        <chartProps xmlns="https://web.wps.cn/et/2018/main" chartId="{c94a1501-5191-4c75-8216-e41a4bba777d}"/>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17</Pages>
  <Words>4437</Words>
  <Characters>5816</Characters>
  <Lines>83</Lines>
  <Paragraphs>23</Paragraphs>
  <TotalTime>0</TotalTime>
  <ScaleCrop>false</ScaleCrop>
  <LinksUpToDate>false</LinksUpToDate>
  <CharactersWithSpaces>5860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2019-07-27T14:03:00Z</dcterms:created>
  <dc:creator>xtzj</dc:creator>
  <cp:lastModifiedBy>林树芊</cp:lastModifiedBy>
  <dcterms:modified xsi:type="dcterms:W3CDTF">2025-09-10T09:30:36Z</dcterms:modified>
  <dc:title>2019年儋州市兰洋特色小镇项目专项债券（二期)</dc:title>
  <cp:revision>310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