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287BA" w14:textId="77777777" w:rsidR="00CD75AA" w:rsidRDefault="00CD75AA">
      <w:pPr>
        <w:spacing w:line="480" w:lineRule="auto"/>
        <w:jc w:val="center"/>
        <w:rPr>
          <w:rFonts w:ascii="宋体" w:eastAsia="宋体" w:hAnsi="宋体" w:cs="宋体" w:hint="eastAsia"/>
          <w:b/>
          <w:sz w:val="44"/>
          <w:szCs w:val="44"/>
        </w:rPr>
      </w:pPr>
    </w:p>
    <w:p w14:paraId="737287BB" w14:textId="77777777" w:rsidR="00CD75AA" w:rsidRDefault="00CD75AA">
      <w:pPr>
        <w:spacing w:line="480" w:lineRule="auto"/>
        <w:jc w:val="center"/>
        <w:rPr>
          <w:rFonts w:ascii="宋体" w:eastAsia="宋体" w:hAnsi="宋体" w:cs="宋体" w:hint="eastAsia"/>
          <w:b/>
          <w:sz w:val="44"/>
          <w:szCs w:val="44"/>
        </w:rPr>
      </w:pPr>
    </w:p>
    <w:p w14:paraId="737287BC" w14:textId="77777777" w:rsidR="00CD75AA" w:rsidRDefault="00CD75AA">
      <w:pPr>
        <w:spacing w:line="720" w:lineRule="auto"/>
        <w:jc w:val="center"/>
        <w:rPr>
          <w:rFonts w:ascii="宋体" w:eastAsia="宋体" w:hAnsi="宋体" w:cs="宋体" w:hint="eastAsia"/>
          <w:b/>
          <w:sz w:val="44"/>
          <w:szCs w:val="44"/>
        </w:rPr>
      </w:pPr>
    </w:p>
    <w:p w14:paraId="737287BD" w14:textId="77777777" w:rsidR="00CD75AA" w:rsidRDefault="00CD75AA">
      <w:pPr>
        <w:spacing w:line="720" w:lineRule="auto"/>
        <w:jc w:val="center"/>
        <w:rPr>
          <w:rFonts w:ascii="宋体" w:eastAsia="宋体" w:hAnsi="宋体" w:cs="宋体" w:hint="eastAsia"/>
          <w:b/>
          <w:sz w:val="44"/>
          <w:szCs w:val="44"/>
        </w:rPr>
      </w:pPr>
    </w:p>
    <w:p w14:paraId="737287BE" w14:textId="77777777" w:rsidR="00CD75AA" w:rsidRDefault="00CD75AA">
      <w:pPr>
        <w:spacing w:line="480" w:lineRule="auto"/>
        <w:jc w:val="center"/>
        <w:rPr>
          <w:rFonts w:ascii="宋体" w:eastAsia="宋体" w:hAnsi="宋体" w:cs="宋体" w:hint="eastAsia"/>
          <w:b/>
          <w:sz w:val="44"/>
          <w:szCs w:val="44"/>
        </w:rPr>
      </w:pPr>
    </w:p>
    <w:p w14:paraId="737287BF" w14:textId="582ED9BA" w:rsidR="00CD75AA" w:rsidRDefault="007D11AE">
      <w:pPr>
        <w:spacing w:line="480" w:lineRule="auto"/>
        <w:jc w:val="center"/>
        <w:rPr>
          <w:rFonts w:ascii="宋体" w:eastAsia="宋体" w:hAnsi="宋体" w:cs="宋体" w:hint="eastAsia"/>
          <w:sz w:val="44"/>
          <w:szCs w:val="44"/>
        </w:rPr>
      </w:pPr>
      <w:r>
        <w:rPr>
          <w:rFonts w:ascii="宋体" w:eastAsia="宋体" w:hAnsi="宋体" w:cs="宋体" w:hint="eastAsia"/>
          <w:sz w:val="44"/>
          <w:szCs w:val="44"/>
        </w:rPr>
        <w:t>2025年海南省政府专项债券（一期）</w:t>
      </w:r>
      <w:r w:rsidR="009B7F58" w:rsidRPr="009B7F58">
        <w:rPr>
          <w:rFonts w:ascii="宋体" w:eastAsia="宋体" w:hAnsi="宋体" w:cs="宋体" w:hint="eastAsia"/>
          <w:sz w:val="44"/>
          <w:szCs w:val="44"/>
        </w:rPr>
        <w:t>债券资金调整收益与融资自求平衡方案</w:t>
      </w:r>
    </w:p>
    <w:p w14:paraId="737287C0" w14:textId="1863912F" w:rsidR="00CD75AA" w:rsidRDefault="007D11AE">
      <w:pPr>
        <w:spacing w:line="480" w:lineRule="auto"/>
        <w:jc w:val="center"/>
        <w:rPr>
          <w:rFonts w:ascii="宋体" w:eastAsia="宋体" w:hAnsi="宋体" w:cs="宋体" w:hint="eastAsia"/>
          <w:sz w:val="44"/>
          <w:szCs w:val="44"/>
        </w:rPr>
      </w:pPr>
      <w:r>
        <w:rPr>
          <w:rFonts w:ascii="宋体" w:eastAsia="宋体" w:hAnsi="宋体" w:cs="宋体" w:hint="eastAsia"/>
          <w:sz w:val="44"/>
          <w:szCs w:val="44"/>
        </w:rPr>
        <w:t>-鸿越路项目</w:t>
      </w:r>
    </w:p>
    <w:p w14:paraId="737287C1" w14:textId="77777777" w:rsidR="00CD75AA" w:rsidRDefault="007D11AE">
      <w:pPr>
        <w:rPr>
          <w:rFonts w:ascii="宋体" w:eastAsia="宋体" w:hAnsi="宋体" w:cs="宋体" w:hint="eastAsia"/>
          <w:sz w:val="24"/>
          <w:szCs w:val="24"/>
        </w:rPr>
      </w:pPr>
      <w:r>
        <w:rPr>
          <w:rFonts w:ascii="宋体" w:eastAsia="宋体" w:hAnsi="宋体" w:cs="宋体" w:hint="eastAsia"/>
          <w:sz w:val="24"/>
          <w:szCs w:val="24"/>
        </w:rPr>
        <w:br w:type="page"/>
      </w:r>
    </w:p>
    <w:p w14:paraId="737287C2" w14:textId="77777777" w:rsidR="00CD75AA" w:rsidRDefault="00CD75AA">
      <w:pPr>
        <w:spacing w:line="480" w:lineRule="auto"/>
        <w:jc w:val="center"/>
        <w:rPr>
          <w:rFonts w:ascii="宋体" w:eastAsia="宋体" w:hAnsi="宋体" w:cs="宋体" w:hint="eastAsia"/>
          <w:sz w:val="24"/>
          <w:szCs w:val="24"/>
        </w:rPr>
      </w:pPr>
    </w:p>
    <w:sdt>
      <w:sdtPr>
        <w:rPr>
          <w:rFonts w:ascii="宋体" w:eastAsia="宋体" w:hAnsi="宋体" w:cs="宋体" w:hint="eastAsia"/>
          <w:sz w:val="24"/>
          <w:szCs w:val="24"/>
        </w:rPr>
        <w:id w:val="147482000"/>
        <w15:color w:val="DBDBDB"/>
        <w:docPartObj>
          <w:docPartGallery w:val="Table of Contents"/>
          <w:docPartUnique/>
        </w:docPartObj>
      </w:sdtPr>
      <w:sdtEndPr/>
      <w:sdtContent>
        <w:p w14:paraId="737287C3" w14:textId="77777777" w:rsidR="00CD75AA" w:rsidRDefault="007D11AE">
          <w:pPr>
            <w:spacing w:line="480" w:lineRule="auto"/>
            <w:jc w:val="center"/>
            <w:rPr>
              <w:rFonts w:ascii="宋体" w:eastAsia="宋体" w:hAnsi="宋体" w:cs="宋体" w:hint="eastAsia"/>
              <w:sz w:val="24"/>
              <w:szCs w:val="24"/>
            </w:rPr>
          </w:pPr>
          <w:r>
            <w:rPr>
              <w:rFonts w:ascii="宋体" w:eastAsia="宋体" w:hAnsi="宋体" w:cs="宋体" w:hint="eastAsia"/>
              <w:b/>
              <w:bCs/>
              <w:sz w:val="24"/>
              <w:szCs w:val="24"/>
            </w:rPr>
            <w:t>目录</w:t>
          </w:r>
        </w:p>
        <w:p w14:paraId="737287C4" w14:textId="102005F2" w:rsidR="00CD75AA" w:rsidRDefault="007D11AE">
          <w:pPr>
            <w:pStyle w:val="TOC1"/>
            <w:tabs>
              <w:tab w:val="right" w:leader="dot" w:pos="8306"/>
            </w:tabs>
            <w:spacing w:line="480" w:lineRule="auto"/>
            <w:rPr>
              <w:rFonts w:ascii="宋体" w:eastAsia="宋体" w:hAnsi="宋体" w:cs="宋体" w:hint="eastAsia"/>
              <w:noProof/>
            </w:rPr>
          </w:pP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TOC \o "1-1" \h \u </w:instrText>
          </w:r>
          <w:r>
            <w:rPr>
              <w:rFonts w:ascii="宋体" w:eastAsia="宋体" w:hAnsi="宋体" w:cs="宋体" w:hint="eastAsia"/>
              <w:sz w:val="32"/>
              <w:szCs w:val="32"/>
            </w:rPr>
            <w:fldChar w:fldCharType="separate"/>
          </w:r>
          <w:hyperlink w:anchor="_Toc2314" w:history="1">
            <w:r>
              <w:rPr>
                <w:rFonts w:ascii="宋体" w:eastAsia="宋体" w:hAnsi="宋体" w:cs="宋体" w:hint="eastAsia"/>
                <w:noProof/>
                <w:szCs w:val="24"/>
              </w:rPr>
              <w:t>一、债券调整情况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_Toc2314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1</w:t>
            </w:r>
            <w:r>
              <w:rPr>
                <w:rFonts w:ascii="宋体" w:eastAsia="宋体" w:hAnsi="宋体" w:cs="宋体" w:hint="eastAsia"/>
                <w:noProof/>
              </w:rPr>
              <w:fldChar w:fldCharType="end"/>
            </w:r>
          </w:hyperlink>
        </w:p>
        <w:p w14:paraId="737287C5" w14:textId="15DFA114" w:rsidR="00CD75AA" w:rsidRDefault="007D11AE">
          <w:pPr>
            <w:pStyle w:val="TOC1"/>
            <w:tabs>
              <w:tab w:val="right" w:leader="dot" w:pos="8306"/>
            </w:tabs>
            <w:spacing w:line="480" w:lineRule="auto"/>
            <w:rPr>
              <w:rFonts w:ascii="宋体" w:eastAsia="宋体" w:hAnsi="宋体" w:cs="宋体" w:hint="eastAsia"/>
              <w:noProof/>
            </w:rPr>
          </w:pPr>
          <w:hyperlink w:anchor="_Toc7374" w:history="1">
            <w:r>
              <w:rPr>
                <w:rFonts w:ascii="宋体" w:eastAsia="宋体" w:hAnsi="宋体" w:cs="宋体" w:hint="eastAsia"/>
                <w:noProof/>
                <w:szCs w:val="24"/>
              </w:rPr>
              <w:t>二、地区情况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_Toc7374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1</w:t>
            </w:r>
            <w:r>
              <w:rPr>
                <w:rFonts w:ascii="宋体" w:eastAsia="宋体" w:hAnsi="宋体" w:cs="宋体" w:hint="eastAsia"/>
                <w:noProof/>
              </w:rPr>
              <w:fldChar w:fldCharType="end"/>
            </w:r>
          </w:hyperlink>
        </w:p>
        <w:p w14:paraId="737287C6" w14:textId="2F784060" w:rsidR="00CD75AA" w:rsidRDefault="007D11AE">
          <w:pPr>
            <w:pStyle w:val="TOC1"/>
            <w:tabs>
              <w:tab w:val="right" w:leader="dot" w:pos="8306"/>
            </w:tabs>
            <w:spacing w:line="480" w:lineRule="auto"/>
            <w:rPr>
              <w:rFonts w:ascii="宋体" w:eastAsia="宋体" w:hAnsi="宋体" w:cs="宋体" w:hint="eastAsia"/>
              <w:noProof/>
            </w:rPr>
          </w:pPr>
          <w:hyperlink w:anchor="_Toc9911" w:history="1">
            <w:r>
              <w:rPr>
                <w:rFonts w:ascii="宋体" w:eastAsia="宋体" w:hAnsi="宋体" w:cs="宋体" w:hint="eastAsia"/>
                <w:noProof/>
                <w:szCs w:val="24"/>
              </w:rPr>
              <w:t>三、项目概述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_Toc9911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3</w:t>
            </w:r>
            <w:r>
              <w:rPr>
                <w:rFonts w:ascii="宋体" w:eastAsia="宋体" w:hAnsi="宋体" w:cs="宋体" w:hint="eastAsia"/>
                <w:noProof/>
              </w:rPr>
              <w:fldChar w:fldCharType="end"/>
            </w:r>
          </w:hyperlink>
        </w:p>
        <w:p w14:paraId="737287C7" w14:textId="472AF0F6" w:rsidR="00CD75AA" w:rsidRDefault="007D11AE">
          <w:pPr>
            <w:pStyle w:val="TOC1"/>
            <w:tabs>
              <w:tab w:val="right" w:leader="dot" w:pos="8306"/>
            </w:tabs>
            <w:spacing w:line="480" w:lineRule="auto"/>
            <w:rPr>
              <w:rFonts w:ascii="宋体" w:eastAsia="宋体" w:hAnsi="宋体" w:cs="宋体" w:hint="eastAsia"/>
              <w:noProof/>
            </w:rPr>
          </w:pPr>
          <w:hyperlink w:anchor="_Toc3086" w:history="1">
            <w:r>
              <w:rPr>
                <w:rFonts w:ascii="宋体" w:eastAsia="宋体" w:hAnsi="宋体" w:cs="宋体" w:hint="eastAsia"/>
                <w:noProof/>
                <w:szCs w:val="24"/>
              </w:rPr>
              <w:t>（一）项目基本情况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_Toc3086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3</w:t>
            </w:r>
            <w:r>
              <w:rPr>
                <w:rFonts w:ascii="宋体" w:eastAsia="宋体" w:hAnsi="宋体" w:cs="宋体" w:hint="eastAsia"/>
                <w:noProof/>
              </w:rPr>
              <w:fldChar w:fldCharType="end"/>
            </w:r>
          </w:hyperlink>
        </w:p>
        <w:p w14:paraId="737287C8" w14:textId="2632D031" w:rsidR="00CD75AA" w:rsidRDefault="007D11AE">
          <w:pPr>
            <w:pStyle w:val="TOC1"/>
            <w:tabs>
              <w:tab w:val="right" w:leader="dot" w:pos="8306"/>
            </w:tabs>
            <w:spacing w:line="480" w:lineRule="auto"/>
            <w:rPr>
              <w:rFonts w:ascii="宋体" w:eastAsia="宋体" w:hAnsi="宋体" w:cs="宋体" w:hint="eastAsia"/>
              <w:noProof/>
            </w:rPr>
          </w:pPr>
          <w:hyperlink w:anchor="_Toc6853" w:history="1">
            <w:r>
              <w:rPr>
                <w:rFonts w:ascii="宋体" w:eastAsia="宋体" w:hAnsi="宋体" w:cs="宋体" w:hint="eastAsia"/>
                <w:noProof/>
                <w:szCs w:val="24"/>
              </w:rPr>
              <w:t>（二）项目相关批复</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_Toc6853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3</w:t>
            </w:r>
            <w:r>
              <w:rPr>
                <w:rFonts w:ascii="宋体" w:eastAsia="宋体" w:hAnsi="宋体" w:cs="宋体" w:hint="eastAsia"/>
                <w:noProof/>
              </w:rPr>
              <w:fldChar w:fldCharType="end"/>
            </w:r>
          </w:hyperlink>
        </w:p>
        <w:p w14:paraId="737287C9" w14:textId="14CD9861" w:rsidR="00CD75AA" w:rsidRDefault="007D11AE">
          <w:pPr>
            <w:pStyle w:val="TOC1"/>
            <w:tabs>
              <w:tab w:val="right" w:leader="dot" w:pos="8306"/>
            </w:tabs>
            <w:spacing w:line="480" w:lineRule="auto"/>
            <w:rPr>
              <w:rFonts w:ascii="宋体" w:eastAsia="宋体" w:hAnsi="宋体" w:cs="宋体" w:hint="eastAsia"/>
              <w:noProof/>
            </w:rPr>
          </w:pPr>
          <w:hyperlink w:anchor="_Toc6811" w:history="1">
            <w:r>
              <w:rPr>
                <w:rFonts w:ascii="宋体" w:eastAsia="宋体" w:hAnsi="宋体" w:cs="宋体" w:hint="eastAsia"/>
                <w:noProof/>
                <w:szCs w:val="24"/>
              </w:rPr>
              <w:t>（三）事前绩效评估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_Toc6811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5</w:t>
            </w:r>
            <w:r>
              <w:rPr>
                <w:rFonts w:ascii="宋体" w:eastAsia="宋体" w:hAnsi="宋体" w:cs="宋体" w:hint="eastAsia"/>
                <w:noProof/>
              </w:rPr>
              <w:fldChar w:fldCharType="end"/>
            </w:r>
          </w:hyperlink>
        </w:p>
        <w:p w14:paraId="737287CA" w14:textId="06976478" w:rsidR="00CD75AA" w:rsidRDefault="007D11AE">
          <w:pPr>
            <w:pStyle w:val="TOC1"/>
            <w:tabs>
              <w:tab w:val="right" w:leader="dot" w:pos="8306"/>
            </w:tabs>
            <w:spacing w:line="480" w:lineRule="auto"/>
            <w:rPr>
              <w:rFonts w:ascii="宋体" w:eastAsia="宋体" w:hAnsi="宋体" w:cs="宋体" w:hint="eastAsia"/>
              <w:noProof/>
            </w:rPr>
          </w:pPr>
          <w:hyperlink w:anchor="_Toc7833" w:history="1">
            <w:r>
              <w:rPr>
                <w:rFonts w:ascii="宋体" w:eastAsia="宋体" w:hAnsi="宋体" w:cs="宋体" w:hint="eastAsia"/>
                <w:noProof/>
                <w:szCs w:val="24"/>
              </w:rPr>
              <w:t>四、项目平衡实施方案</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_Toc7833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6</w:t>
            </w:r>
            <w:r>
              <w:rPr>
                <w:rFonts w:ascii="宋体" w:eastAsia="宋体" w:hAnsi="宋体" w:cs="宋体" w:hint="eastAsia"/>
                <w:noProof/>
              </w:rPr>
              <w:fldChar w:fldCharType="end"/>
            </w:r>
          </w:hyperlink>
        </w:p>
        <w:p w14:paraId="737287CB" w14:textId="341F51C6" w:rsidR="00CD75AA" w:rsidRDefault="007D11AE">
          <w:pPr>
            <w:pStyle w:val="TOC1"/>
            <w:tabs>
              <w:tab w:val="right" w:leader="dot" w:pos="8306"/>
            </w:tabs>
            <w:spacing w:line="480" w:lineRule="auto"/>
            <w:rPr>
              <w:rFonts w:ascii="宋体" w:eastAsia="宋体" w:hAnsi="宋体" w:cs="宋体" w:hint="eastAsia"/>
              <w:noProof/>
            </w:rPr>
          </w:pPr>
          <w:hyperlink w:anchor="_Toc12755" w:history="1">
            <w:r>
              <w:rPr>
                <w:rFonts w:ascii="宋体" w:eastAsia="宋体" w:hAnsi="宋体" w:cs="宋体" w:hint="eastAsia"/>
                <w:bCs/>
                <w:noProof/>
                <w:szCs w:val="24"/>
              </w:rPr>
              <w:t>五、压力测试情况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_Toc12755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6</w:t>
            </w:r>
            <w:r>
              <w:rPr>
                <w:rFonts w:ascii="宋体" w:eastAsia="宋体" w:hAnsi="宋体" w:cs="宋体" w:hint="eastAsia"/>
                <w:noProof/>
              </w:rPr>
              <w:fldChar w:fldCharType="end"/>
            </w:r>
          </w:hyperlink>
        </w:p>
        <w:p w14:paraId="737287CC" w14:textId="462BC914" w:rsidR="00CD75AA" w:rsidRDefault="007D11AE">
          <w:pPr>
            <w:pStyle w:val="TOC1"/>
            <w:tabs>
              <w:tab w:val="right" w:leader="dot" w:pos="8306"/>
            </w:tabs>
            <w:spacing w:line="480" w:lineRule="auto"/>
            <w:rPr>
              <w:rFonts w:ascii="宋体" w:eastAsia="宋体" w:hAnsi="宋体" w:cs="宋体" w:hint="eastAsia"/>
              <w:noProof/>
            </w:rPr>
          </w:pPr>
          <w:hyperlink w:anchor="_Toc23928" w:history="1">
            <w:r>
              <w:rPr>
                <w:rFonts w:ascii="宋体" w:eastAsia="宋体" w:hAnsi="宋体" w:cs="宋体" w:hint="eastAsia"/>
                <w:bCs/>
                <w:noProof/>
                <w:szCs w:val="24"/>
              </w:rPr>
              <w:t>六、潜在风险评估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_Toc23928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12</w:t>
            </w:r>
            <w:r>
              <w:rPr>
                <w:rFonts w:ascii="宋体" w:eastAsia="宋体" w:hAnsi="宋体" w:cs="宋体" w:hint="eastAsia"/>
                <w:noProof/>
              </w:rPr>
              <w:fldChar w:fldCharType="end"/>
            </w:r>
          </w:hyperlink>
        </w:p>
        <w:p w14:paraId="737287CD" w14:textId="7D3919F1" w:rsidR="00CD75AA" w:rsidRDefault="007D11AE">
          <w:pPr>
            <w:pStyle w:val="TOC1"/>
            <w:tabs>
              <w:tab w:val="right" w:leader="dot" w:pos="8306"/>
            </w:tabs>
            <w:spacing w:line="480" w:lineRule="auto"/>
            <w:rPr>
              <w:rFonts w:ascii="宋体" w:eastAsia="宋体" w:hAnsi="宋体" w:cs="宋体" w:hint="eastAsia"/>
              <w:noProof/>
            </w:rPr>
          </w:pPr>
          <w:hyperlink w:anchor="_Toc8637" w:history="1">
            <w:r>
              <w:rPr>
                <w:rFonts w:ascii="宋体" w:eastAsia="宋体" w:hAnsi="宋体" w:cs="宋体" w:hint="eastAsia"/>
                <w:bCs/>
                <w:noProof/>
                <w:szCs w:val="24"/>
              </w:rPr>
              <w:t>（一）影响项目施工进度或正常运营的风险及控制措施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_Toc8637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13</w:t>
            </w:r>
            <w:r>
              <w:rPr>
                <w:rFonts w:ascii="宋体" w:eastAsia="宋体" w:hAnsi="宋体" w:cs="宋体" w:hint="eastAsia"/>
                <w:noProof/>
              </w:rPr>
              <w:fldChar w:fldCharType="end"/>
            </w:r>
          </w:hyperlink>
        </w:p>
        <w:p w14:paraId="737287CE" w14:textId="17EAD484" w:rsidR="00CD75AA" w:rsidRDefault="007D11AE">
          <w:pPr>
            <w:pStyle w:val="TOC1"/>
            <w:tabs>
              <w:tab w:val="right" w:leader="dot" w:pos="8306"/>
            </w:tabs>
            <w:spacing w:line="480" w:lineRule="auto"/>
            <w:rPr>
              <w:rFonts w:ascii="宋体" w:eastAsia="宋体" w:hAnsi="宋体" w:cs="宋体" w:hint="eastAsia"/>
              <w:noProof/>
            </w:rPr>
          </w:pPr>
          <w:hyperlink w:anchor="_Toc22980" w:history="1">
            <w:r>
              <w:rPr>
                <w:rFonts w:ascii="宋体" w:eastAsia="宋体" w:hAnsi="宋体" w:cs="宋体" w:hint="eastAsia"/>
                <w:bCs/>
                <w:noProof/>
                <w:szCs w:val="24"/>
              </w:rPr>
              <w:t>（二）影响项目收益的风险及控制措施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_Toc22980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13</w:t>
            </w:r>
            <w:r>
              <w:rPr>
                <w:rFonts w:ascii="宋体" w:eastAsia="宋体" w:hAnsi="宋体" w:cs="宋体" w:hint="eastAsia"/>
                <w:noProof/>
              </w:rPr>
              <w:fldChar w:fldCharType="end"/>
            </w:r>
          </w:hyperlink>
        </w:p>
        <w:p w14:paraId="737287CF" w14:textId="76334527" w:rsidR="00CD75AA" w:rsidRDefault="007D11AE">
          <w:pPr>
            <w:pStyle w:val="TOC1"/>
            <w:tabs>
              <w:tab w:val="right" w:leader="dot" w:pos="8306"/>
            </w:tabs>
            <w:spacing w:line="480" w:lineRule="auto"/>
            <w:rPr>
              <w:rFonts w:ascii="宋体" w:eastAsia="宋体" w:hAnsi="宋体" w:cs="宋体" w:hint="eastAsia"/>
              <w:noProof/>
            </w:rPr>
          </w:pPr>
          <w:hyperlink w:anchor="_Toc21473" w:history="1">
            <w:r>
              <w:rPr>
                <w:rFonts w:ascii="宋体" w:eastAsia="宋体" w:hAnsi="宋体" w:cs="宋体" w:hint="eastAsia"/>
                <w:bCs/>
                <w:noProof/>
                <w:szCs w:val="24"/>
              </w:rPr>
              <w:t>（三）影响融资平衡结果的风险及控制措施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_Toc21473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13</w:t>
            </w:r>
            <w:r>
              <w:rPr>
                <w:rFonts w:ascii="宋体" w:eastAsia="宋体" w:hAnsi="宋体" w:cs="宋体" w:hint="eastAsia"/>
                <w:noProof/>
              </w:rPr>
              <w:fldChar w:fldCharType="end"/>
            </w:r>
          </w:hyperlink>
        </w:p>
        <w:p w14:paraId="737287D0" w14:textId="6336555E" w:rsidR="00CD75AA" w:rsidRDefault="007D11AE">
          <w:pPr>
            <w:pStyle w:val="TOC1"/>
            <w:tabs>
              <w:tab w:val="right" w:leader="dot" w:pos="8306"/>
            </w:tabs>
            <w:spacing w:line="480" w:lineRule="auto"/>
            <w:rPr>
              <w:rFonts w:ascii="宋体" w:eastAsia="宋体" w:hAnsi="宋体" w:cs="宋体" w:hint="eastAsia"/>
              <w:noProof/>
            </w:rPr>
          </w:pPr>
          <w:hyperlink w:anchor="_Toc11488" w:history="1">
            <w:r>
              <w:rPr>
                <w:rFonts w:ascii="宋体" w:eastAsia="宋体" w:hAnsi="宋体" w:cs="宋体" w:hint="eastAsia"/>
                <w:noProof/>
                <w:szCs w:val="24"/>
              </w:rPr>
              <w:t>七、还款保障措施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_Toc11488 \h </w:instrText>
            </w:r>
            <w:r>
              <w:rPr>
                <w:rFonts w:ascii="宋体" w:eastAsia="宋体" w:hAnsi="宋体" w:cs="宋体" w:hint="eastAsia"/>
                <w:noProof/>
              </w:rPr>
            </w:r>
            <w:r>
              <w:rPr>
                <w:rFonts w:ascii="宋体" w:eastAsia="宋体" w:hAnsi="宋体" w:cs="宋体" w:hint="eastAsia"/>
                <w:noProof/>
              </w:rPr>
              <w:fldChar w:fldCharType="separate"/>
            </w:r>
            <w:r w:rsidR="008F3882">
              <w:rPr>
                <w:rFonts w:ascii="宋体" w:eastAsia="宋体" w:hAnsi="宋体" w:cs="宋体" w:hint="eastAsia"/>
                <w:noProof/>
              </w:rPr>
              <w:t>14</w:t>
            </w:r>
            <w:r>
              <w:rPr>
                <w:rFonts w:ascii="宋体" w:eastAsia="宋体" w:hAnsi="宋体" w:cs="宋体" w:hint="eastAsia"/>
                <w:noProof/>
              </w:rPr>
              <w:fldChar w:fldCharType="end"/>
            </w:r>
          </w:hyperlink>
        </w:p>
        <w:p w14:paraId="737287D1" w14:textId="77777777" w:rsidR="00CD75AA" w:rsidRDefault="007D11AE">
          <w:pPr>
            <w:spacing w:line="480" w:lineRule="auto"/>
            <w:rPr>
              <w:rFonts w:ascii="宋体" w:eastAsia="宋体" w:hAnsi="宋体" w:cs="宋体" w:hint="eastAsia"/>
              <w:sz w:val="24"/>
              <w:szCs w:val="24"/>
            </w:rPr>
          </w:pPr>
          <w:r>
            <w:rPr>
              <w:rFonts w:ascii="宋体" w:eastAsia="宋体" w:hAnsi="宋体" w:cs="宋体" w:hint="eastAsia"/>
              <w:szCs w:val="32"/>
            </w:rPr>
            <w:fldChar w:fldCharType="end"/>
          </w:r>
        </w:p>
      </w:sdtContent>
    </w:sdt>
    <w:p w14:paraId="737287D2" w14:textId="77777777" w:rsidR="00CD75AA" w:rsidRDefault="00CD75AA">
      <w:pPr>
        <w:spacing w:line="480" w:lineRule="auto"/>
        <w:rPr>
          <w:rFonts w:ascii="宋体" w:eastAsia="宋体" w:hAnsi="宋体" w:cs="宋体" w:hint="eastAsia"/>
          <w:sz w:val="24"/>
          <w:szCs w:val="24"/>
        </w:rPr>
      </w:pPr>
    </w:p>
    <w:p w14:paraId="737287D3" w14:textId="77777777" w:rsidR="00CD75AA" w:rsidRDefault="00CD75AA">
      <w:pPr>
        <w:pStyle w:val="10"/>
        <w:spacing w:line="360" w:lineRule="auto"/>
        <w:ind w:firstLine="482"/>
        <w:outlineLvl w:val="0"/>
        <w:rPr>
          <w:rFonts w:ascii="宋体" w:eastAsia="宋体" w:hAnsi="宋体" w:cs="宋体" w:hint="eastAsia"/>
          <w:b/>
          <w:sz w:val="24"/>
          <w:szCs w:val="24"/>
        </w:rPr>
        <w:sectPr w:rsidR="00CD75AA">
          <w:headerReference w:type="default" r:id="rId6"/>
          <w:footerReference w:type="default" r:id="rId7"/>
          <w:pgSz w:w="11906" w:h="16838"/>
          <w:pgMar w:top="1440" w:right="1800" w:bottom="1440" w:left="1800" w:header="851" w:footer="992" w:gutter="0"/>
          <w:pgNumType w:start="1"/>
          <w:cols w:space="425"/>
          <w:docGrid w:type="lines" w:linePitch="312"/>
        </w:sectPr>
      </w:pPr>
    </w:p>
    <w:p w14:paraId="737287D4" w14:textId="77777777" w:rsidR="00CD75AA" w:rsidRDefault="007D11AE">
      <w:pPr>
        <w:pStyle w:val="10"/>
        <w:spacing w:line="360" w:lineRule="auto"/>
        <w:ind w:firstLine="482"/>
        <w:outlineLvl w:val="0"/>
        <w:rPr>
          <w:rFonts w:ascii="宋体" w:eastAsia="宋体" w:hAnsi="宋体" w:cs="宋体" w:hint="eastAsia"/>
          <w:b/>
          <w:sz w:val="24"/>
          <w:szCs w:val="24"/>
        </w:rPr>
      </w:pPr>
      <w:bookmarkStart w:id="0" w:name="_Toc2314"/>
      <w:r>
        <w:rPr>
          <w:rFonts w:ascii="宋体" w:eastAsia="宋体" w:hAnsi="宋体" w:cs="宋体" w:hint="eastAsia"/>
          <w:b/>
          <w:sz w:val="24"/>
          <w:szCs w:val="24"/>
        </w:rPr>
        <w:lastRenderedPageBreak/>
        <w:t>一、债券调整情况</w:t>
      </w:r>
      <w:bookmarkEnd w:id="0"/>
    </w:p>
    <w:p w14:paraId="737287D5" w14:textId="77777777" w:rsidR="00CD75AA" w:rsidRDefault="007D11AE">
      <w:pPr>
        <w:spacing w:before="120" w:after="120" w:line="360" w:lineRule="auto"/>
        <w:ind w:firstLineChars="200" w:firstLine="480"/>
        <w:rPr>
          <w:rFonts w:ascii="宋体" w:eastAsia="宋体" w:hAnsi="宋体" w:cs="宋体" w:hint="eastAsia"/>
          <w:color w:val="000000" w:themeColor="text1"/>
          <w:sz w:val="24"/>
          <w:szCs w:val="24"/>
        </w:rPr>
      </w:pPr>
      <w:bookmarkStart w:id="1" w:name="_Toc7374"/>
      <w:r>
        <w:rPr>
          <w:rFonts w:ascii="宋体" w:eastAsia="宋体" w:hAnsi="宋体" w:cs="宋体" w:hint="eastAsia"/>
          <w:color w:val="000000" w:themeColor="text1"/>
          <w:sz w:val="24"/>
          <w:szCs w:val="24"/>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p>
    <w:p w14:paraId="737287D6" w14:textId="77777777" w:rsidR="00CD75AA" w:rsidRDefault="007D11AE">
      <w:pPr>
        <w:spacing w:before="120" w:after="120"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themeColor="text1"/>
          <w:sz w:val="24"/>
          <w:szCs w:val="24"/>
        </w:rPr>
        <w:t>2025年海南省政府专项债券（一期）中已发行“海口市琼山区迈瀛片区（一期）城中村改造配套基础设施项目”的债券资金合计8,100.00万元调剂于鸿越路。</w:t>
      </w:r>
    </w:p>
    <w:p w14:paraId="737287D7" w14:textId="77777777" w:rsidR="00CD75AA" w:rsidRDefault="007D11AE">
      <w:pPr>
        <w:spacing w:before="120" w:after="120" w:line="360" w:lineRule="auto"/>
        <w:ind w:firstLineChars="200" w:firstLine="480"/>
        <w:rPr>
          <w:rFonts w:ascii="宋体" w:eastAsia="宋体" w:hAnsi="宋体" w:cs="宋体" w:hint="eastAsia"/>
          <w:b/>
          <w:bCs/>
          <w:color w:val="000000"/>
          <w:sz w:val="24"/>
          <w:szCs w:val="24"/>
        </w:rPr>
      </w:pPr>
      <w:r>
        <w:rPr>
          <w:rFonts w:ascii="宋体" w:eastAsia="宋体" w:hAnsi="宋体" w:cs="宋体" w:hint="eastAsia"/>
          <w:color w:val="000000"/>
          <w:sz w:val="24"/>
          <w:szCs w:val="24"/>
        </w:rPr>
        <w:t>2025年2月，2025年海南省政府专项债券（一期）发行成功，其中海口市琼山区迈瀛片区（一期）城中村改造配套基础设施项目发行金额为121,500.00万元，发行利率为1.76%，发行期限为10年。</w:t>
      </w:r>
    </w:p>
    <w:p w14:paraId="737287D8" w14:textId="77777777" w:rsidR="00CD75AA" w:rsidRDefault="007D11AE">
      <w:pPr>
        <w:spacing w:before="120" w:after="120"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t>本期调整项目具体情况如下表：</w:t>
      </w:r>
    </w:p>
    <w:p w14:paraId="737287D9" w14:textId="77777777" w:rsidR="00CD75AA" w:rsidRDefault="007D11AE">
      <w:pPr>
        <w:spacing w:line="240" w:lineRule="atLeast"/>
        <w:jc w:val="center"/>
        <w:rPr>
          <w:rFonts w:ascii="宋体" w:eastAsia="宋体" w:hAnsi="宋体" w:cs="宋体" w:hint="eastAsia"/>
          <w:b/>
          <w:color w:val="000000"/>
          <w:sz w:val="24"/>
          <w:szCs w:val="24"/>
        </w:rPr>
      </w:pPr>
      <w:r>
        <w:rPr>
          <w:rFonts w:ascii="宋体" w:eastAsia="宋体" w:hAnsi="宋体" w:cs="宋体" w:hint="eastAsia"/>
          <w:b/>
          <w:color w:val="000000"/>
          <w:sz w:val="24"/>
          <w:szCs w:val="24"/>
        </w:rPr>
        <w:t>表1 调整项目情况汇总表</w:t>
      </w:r>
    </w:p>
    <w:p w14:paraId="737287DA" w14:textId="77777777" w:rsidR="00CD75AA" w:rsidRDefault="007D11AE">
      <w:pPr>
        <w:ind w:rightChars="-709" w:right="-1489" w:firstLineChars="200" w:firstLine="360"/>
        <w:jc w:val="right"/>
        <w:rPr>
          <w:rFonts w:ascii="宋体" w:eastAsia="宋体" w:hAnsi="宋体" w:cs="宋体" w:hint="eastAsia"/>
          <w:color w:val="000000"/>
          <w:szCs w:val="21"/>
        </w:rPr>
      </w:pPr>
      <w:r>
        <w:rPr>
          <w:rFonts w:ascii="宋体" w:eastAsia="宋体" w:hAnsi="宋体" w:cs="宋体" w:hint="eastAsia"/>
          <w:color w:val="000000"/>
          <w:sz w:val="18"/>
          <w:szCs w:val="20"/>
        </w:rPr>
        <w:t>单位：人民币万元</w:t>
      </w:r>
    </w:p>
    <w:tbl>
      <w:tblPr>
        <w:tblW w:w="11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886"/>
        <w:gridCol w:w="1079"/>
        <w:gridCol w:w="1080"/>
        <w:gridCol w:w="1079"/>
        <w:gridCol w:w="1080"/>
        <w:gridCol w:w="2012"/>
        <w:gridCol w:w="1145"/>
      </w:tblGrid>
      <w:tr w:rsidR="00CD75AA" w14:paraId="737287E3" w14:textId="77777777">
        <w:trPr>
          <w:trHeight w:val="20"/>
          <w:jc w:val="center"/>
        </w:trPr>
        <w:tc>
          <w:tcPr>
            <w:tcW w:w="1985" w:type="dxa"/>
            <w:shd w:val="clear" w:color="auto" w:fill="D9D9D9" w:themeFill="background1" w:themeFillShade="D9"/>
            <w:vAlign w:val="center"/>
          </w:tcPr>
          <w:p w14:paraId="737287DB" w14:textId="77777777" w:rsidR="00CD75AA" w:rsidRDefault="007D11AE">
            <w:pPr>
              <w:jc w:val="center"/>
              <w:rPr>
                <w:rFonts w:ascii="宋体" w:eastAsia="宋体" w:hAnsi="宋体" w:cs="宋体" w:hint="eastAsia"/>
                <w:b/>
                <w:bCs/>
                <w:color w:val="000000"/>
                <w:szCs w:val="20"/>
              </w:rPr>
            </w:pPr>
            <w:r>
              <w:rPr>
                <w:rFonts w:ascii="宋体" w:eastAsia="宋体" w:hAnsi="宋体" w:cs="宋体" w:hint="eastAsia"/>
                <w:b/>
                <w:bCs/>
                <w:color w:val="000000"/>
                <w:szCs w:val="20"/>
              </w:rPr>
              <w:t>债券名称</w:t>
            </w:r>
          </w:p>
        </w:tc>
        <w:tc>
          <w:tcPr>
            <w:tcW w:w="1886" w:type="dxa"/>
            <w:shd w:val="clear" w:color="auto" w:fill="D9D9D9" w:themeFill="background1" w:themeFillShade="D9"/>
            <w:vAlign w:val="center"/>
          </w:tcPr>
          <w:p w14:paraId="737287DC" w14:textId="77777777" w:rsidR="00CD75AA" w:rsidRDefault="007D11AE">
            <w:pPr>
              <w:jc w:val="center"/>
              <w:rPr>
                <w:rFonts w:ascii="宋体" w:eastAsia="宋体" w:hAnsi="宋体" w:cs="宋体" w:hint="eastAsia"/>
                <w:b/>
                <w:bCs/>
                <w:color w:val="000000"/>
                <w:szCs w:val="20"/>
              </w:rPr>
            </w:pPr>
            <w:r>
              <w:rPr>
                <w:rFonts w:ascii="宋体" w:eastAsia="宋体" w:hAnsi="宋体" w:cs="宋体" w:hint="eastAsia"/>
                <w:b/>
                <w:bCs/>
                <w:color w:val="000000"/>
                <w:szCs w:val="20"/>
              </w:rPr>
              <w:t>项目名称</w:t>
            </w:r>
          </w:p>
        </w:tc>
        <w:tc>
          <w:tcPr>
            <w:tcW w:w="1079" w:type="dxa"/>
            <w:shd w:val="clear" w:color="auto" w:fill="D9D9D9" w:themeFill="background1" w:themeFillShade="D9"/>
            <w:vAlign w:val="center"/>
          </w:tcPr>
          <w:p w14:paraId="737287DD" w14:textId="77777777" w:rsidR="00CD75AA" w:rsidRDefault="007D11AE">
            <w:pPr>
              <w:jc w:val="center"/>
              <w:rPr>
                <w:rFonts w:ascii="宋体" w:eastAsia="宋体" w:hAnsi="宋体" w:cs="宋体" w:hint="eastAsia"/>
                <w:b/>
                <w:bCs/>
                <w:color w:val="000000"/>
                <w:szCs w:val="20"/>
              </w:rPr>
            </w:pPr>
            <w:r>
              <w:rPr>
                <w:rFonts w:ascii="宋体" w:eastAsia="宋体" w:hAnsi="宋体" w:cs="宋体" w:hint="eastAsia"/>
                <w:b/>
                <w:bCs/>
                <w:color w:val="000000"/>
                <w:szCs w:val="20"/>
              </w:rPr>
              <w:t>原安排金额</w:t>
            </w:r>
          </w:p>
        </w:tc>
        <w:tc>
          <w:tcPr>
            <w:tcW w:w="1080" w:type="dxa"/>
            <w:shd w:val="clear" w:color="auto" w:fill="D9D9D9" w:themeFill="background1" w:themeFillShade="D9"/>
            <w:vAlign w:val="center"/>
          </w:tcPr>
          <w:p w14:paraId="737287DE" w14:textId="77777777" w:rsidR="00CD75AA" w:rsidRDefault="007D11AE">
            <w:pPr>
              <w:jc w:val="center"/>
              <w:rPr>
                <w:rFonts w:ascii="宋体" w:eastAsia="宋体" w:hAnsi="宋体" w:cs="宋体" w:hint="eastAsia"/>
                <w:b/>
                <w:bCs/>
                <w:color w:val="000000"/>
                <w:szCs w:val="20"/>
              </w:rPr>
            </w:pPr>
            <w:r>
              <w:rPr>
                <w:rFonts w:ascii="宋体" w:eastAsia="宋体" w:hAnsi="宋体" w:cs="宋体" w:hint="eastAsia"/>
                <w:b/>
                <w:bCs/>
                <w:color w:val="000000"/>
                <w:szCs w:val="20"/>
              </w:rPr>
              <w:t>调减金额</w:t>
            </w:r>
          </w:p>
        </w:tc>
        <w:tc>
          <w:tcPr>
            <w:tcW w:w="1079" w:type="dxa"/>
            <w:shd w:val="clear" w:color="auto" w:fill="D9D9D9" w:themeFill="background1" w:themeFillShade="D9"/>
            <w:vAlign w:val="center"/>
          </w:tcPr>
          <w:p w14:paraId="737287DF" w14:textId="77777777" w:rsidR="00CD75AA" w:rsidRDefault="007D11AE">
            <w:pPr>
              <w:jc w:val="center"/>
              <w:rPr>
                <w:rFonts w:ascii="宋体" w:eastAsia="宋体" w:hAnsi="宋体" w:cs="宋体" w:hint="eastAsia"/>
                <w:b/>
                <w:bCs/>
                <w:color w:val="000000"/>
                <w:szCs w:val="20"/>
              </w:rPr>
            </w:pPr>
            <w:r>
              <w:rPr>
                <w:rFonts w:ascii="宋体" w:eastAsia="宋体" w:hAnsi="宋体" w:cs="宋体" w:hint="eastAsia"/>
                <w:b/>
                <w:bCs/>
                <w:color w:val="000000"/>
                <w:szCs w:val="20"/>
              </w:rPr>
              <w:t>债券期限</w:t>
            </w:r>
          </w:p>
        </w:tc>
        <w:tc>
          <w:tcPr>
            <w:tcW w:w="1080" w:type="dxa"/>
            <w:shd w:val="clear" w:color="auto" w:fill="D9D9D9" w:themeFill="background1" w:themeFillShade="D9"/>
            <w:vAlign w:val="center"/>
          </w:tcPr>
          <w:p w14:paraId="737287E0" w14:textId="77777777" w:rsidR="00CD75AA" w:rsidRDefault="007D11AE">
            <w:pPr>
              <w:jc w:val="center"/>
              <w:rPr>
                <w:rFonts w:ascii="宋体" w:eastAsia="宋体" w:hAnsi="宋体" w:cs="宋体" w:hint="eastAsia"/>
                <w:b/>
                <w:bCs/>
                <w:color w:val="000000"/>
                <w:szCs w:val="20"/>
              </w:rPr>
            </w:pPr>
            <w:r>
              <w:rPr>
                <w:rFonts w:ascii="宋体" w:eastAsia="宋体" w:hAnsi="宋体" w:cs="宋体" w:hint="eastAsia"/>
                <w:b/>
                <w:bCs/>
                <w:color w:val="000000"/>
                <w:szCs w:val="20"/>
              </w:rPr>
              <w:t>发行利率</w:t>
            </w:r>
          </w:p>
        </w:tc>
        <w:tc>
          <w:tcPr>
            <w:tcW w:w="2012" w:type="dxa"/>
            <w:shd w:val="clear" w:color="auto" w:fill="D9D9D9" w:themeFill="background1" w:themeFillShade="D9"/>
            <w:vAlign w:val="center"/>
          </w:tcPr>
          <w:p w14:paraId="737287E1" w14:textId="77777777" w:rsidR="00CD75AA" w:rsidRDefault="007D11AE">
            <w:pPr>
              <w:jc w:val="center"/>
              <w:rPr>
                <w:rFonts w:ascii="宋体" w:eastAsia="宋体" w:hAnsi="宋体" w:cs="宋体" w:hint="eastAsia"/>
                <w:b/>
                <w:bCs/>
                <w:color w:val="000000"/>
                <w:szCs w:val="20"/>
              </w:rPr>
            </w:pPr>
            <w:r>
              <w:rPr>
                <w:rFonts w:ascii="宋体" w:eastAsia="宋体" w:hAnsi="宋体" w:cs="宋体" w:hint="eastAsia"/>
                <w:b/>
                <w:bCs/>
                <w:color w:val="000000"/>
                <w:szCs w:val="20"/>
              </w:rPr>
              <w:t>项目名称</w:t>
            </w:r>
          </w:p>
        </w:tc>
        <w:tc>
          <w:tcPr>
            <w:tcW w:w="1145" w:type="dxa"/>
            <w:shd w:val="clear" w:color="auto" w:fill="D9D9D9" w:themeFill="background1" w:themeFillShade="D9"/>
            <w:vAlign w:val="center"/>
          </w:tcPr>
          <w:p w14:paraId="737287E2" w14:textId="77777777" w:rsidR="00CD75AA" w:rsidRDefault="007D11AE">
            <w:pPr>
              <w:jc w:val="center"/>
              <w:rPr>
                <w:rFonts w:ascii="宋体" w:eastAsia="宋体" w:hAnsi="宋体" w:cs="宋体" w:hint="eastAsia"/>
                <w:b/>
                <w:bCs/>
                <w:color w:val="000000"/>
                <w:szCs w:val="20"/>
              </w:rPr>
            </w:pPr>
            <w:r>
              <w:rPr>
                <w:rFonts w:ascii="宋体" w:eastAsia="宋体" w:hAnsi="宋体" w:cs="宋体" w:hint="eastAsia"/>
                <w:b/>
                <w:bCs/>
                <w:color w:val="000000"/>
                <w:szCs w:val="20"/>
              </w:rPr>
              <w:t>调增金额</w:t>
            </w:r>
          </w:p>
        </w:tc>
      </w:tr>
      <w:tr w:rsidR="00CD75AA" w14:paraId="737287EC" w14:textId="77777777">
        <w:trPr>
          <w:trHeight w:val="20"/>
          <w:jc w:val="center"/>
        </w:trPr>
        <w:tc>
          <w:tcPr>
            <w:tcW w:w="1985" w:type="dxa"/>
            <w:vAlign w:val="center"/>
          </w:tcPr>
          <w:p w14:paraId="737287E4" w14:textId="77777777" w:rsidR="00CD75AA" w:rsidRDefault="007D11AE">
            <w:pPr>
              <w:jc w:val="center"/>
              <w:rPr>
                <w:rFonts w:ascii="宋体" w:eastAsia="宋体" w:hAnsi="宋体" w:cs="宋体" w:hint="eastAsia"/>
                <w:color w:val="000000"/>
                <w:szCs w:val="20"/>
              </w:rPr>
            </w:pPr>
            <w:r>
              <w:rPr>
                <w:rFonts w:ascii="宋体" w:eastAsia="宋体" w:hAnsi="宋体" w:cs="宋体" w:hint="eastAsia"/>
                <w:color w:val="000000"/>
                <w:szCs w:val="20"/>
              </w:rPr>
              <w:t>2025年海南省政府专项债券（一期）</w:t>
            </w:r>
          </w:p>
        </w:tc>
        <w:tc>
          <w:tcPr>
            <w:tcW w:w="1886" w:type="dxa"/>
            <w:vAlign w:val="center"/>
          </w:tcPr>
          <w:p w14:paraId="737287E5" w14:textId="77777777" w:rsidR="00CD75AA" w:rsidRDefault="007D11AE">
            <w:pPr>
              <w:jc w:val="center"/>
              <w:rPr>
                <w:rFonts w:ascii="宋体" w:eastAsia="宋体" w:hAnsi="宋体" w:cs="宋体" w:hint="eastAsia"/>
                <w:color w:val="000000"/>
                <w:szCs w:val="20"/>
              </w:rPr>
            </w:pPr>
            <w:r>
              <w:rPr>
                <w:rFonts w:ascii="宋体" w:eastAsia="宋体" w:hAnsi="宋体" w:cs="宋体" w:hint="eastAsia"/>
                <w:color w:val="000000"/>
                <w:szCs w:val="20"/>
              </w:rPr>
              <w:t>海口市琼山区迈瀛片区（一期）城中村改造配套基础设施项目</w:t>
            </w:r>
          </w:p>
        </w:tc>
        <w:tc>
          <w:tcPr>
            <w:tcW w:w="1079" w:type="dxa"/>
            <w:vAlign w:val="center"/>
          </w:tcPr>
          <w:p w14:paraId="737287E6" w14:textId="77777777" w:rsidR="00CD75AA" w:rsidRDefault="007D11AE">
            <w:pPr>
              <w:jc w:val="center"/>
              <w:rPr>
                <w:rFonts w:ascii="宋体" w:eastAsia="宋体" w:hAnsi="宋体" w:cs="宋体" w:hint="eastAsia"/>
                <w:color w:val="000000"/>
                <w:szCs w:val="20"/>
              </w:rPr>
            </w:pPr>
            <w:r>
              <w:rPr>
                <w:rFonts w:ascii="宋体" w:eastAsia="宋体" w:hAnsi="宋体" w:cs="宋体" w:hint="eastAsia"/>
                <w:color w:val="000000"/>
                <w:szCs w:val="20"/>
              </w:rPr>
              <w:t>121,500.00</w:t>
            </w:r>
          </w:p>
        </w:tc>
        <w:tc>
          <w:tcPr>
            <w:tcW w:w="1080" w:type="dxa"/>
            <w:shd w:val="clear" w:color="auto" w:fill="auto"/>
            <w:noWrap/>
            <w:vAlign w:val="center"/>
          </w:tcPr>
          <w:p w14:paraId="737287E7" w14:textId="77777777" w:rsidR="00CD75AA" w:rsidRDefault="007D11AE">
            <w:pPr>
              <w:jc w:val="center"/>
              <w:rPr>
                <w:rFonts w:ascii="宋体" w:eastAsia="宋体" w:hAnsi="宋体" w:cs="宋体" w:hint="eastAsia"/>
                <w:color w:val="000000"/>
                <w:szCs w:val="20"/>
              </w:rPr>
            </w:pPr>
            <w:r>
              <w:rPr>
                <w:rFonts w:ascii="宋体" w:eastAsia="宋体" w:hAnsi="宋体" w:cs="宋体" w:hint="eastAsia"/>
                <w:color w:val="000000"/>
                <w:szCs w:val="20"/>
              </w:rPr>
              <w:t>8,100.00</w:t>
            </w:r>
          </w:p>
        </w:tc>
        <w:tc>
          <w:tcPr>
            <w:tcW w:w="1079" w:type="dxa"/>
            <w:shd w:val="clear" w:color="auto" w:fill="auto"/>
            <w:noWrap/>
            <w:vAlign w:val="center"/>
          </w:tcPr>
          <w:p w14:paraId="737287E8" w14:textId="77777777" w:rsidR="00CD75AA" w:rsidRDefault="007D11AE">
            <w:pPr>
              <w:jc w:val="center"/>
              <w:rPr>
                <w:rFonts w:ascii="宋体" w:eastAsia="宋体" w:hAnsi="宋体" w:cs="宋体" w:hint="eastAsia"/>
                <w:color w:val="000000"/>
                <w:szCs w:val="20"/>
              </w:rPr>
            </w:pPr>
            <w:r>
              <w:rPr>
                <w:rFonts w:ascii="宋体" w:eastAsia="宋体" w:hAnsi="宋体" w:cs="宋体" w:hint="eastAsia"/>
              </w:rPr>
              <w:t>10年</w:t>
            </w:r>
          </w:p>
        </w:tc>
        <w:tc>
          <w:tcPr>
            <w:tcW w:w="1080" w:type="dxa"/>
            <w:shd w:val="clear" w:color="auto" w:fill="auto"/>
            <w:noWrap/>
            <w:vAlign w:val="center"/>
          </w:tcPr>
          <w:p w14:paraId="737287E9" w14:textId="77777777" w:rsidR="00CD75AA" w:rsidRDefault="007D11AE">
            <w:pPr>
              <w:jc w:val="center"/>
              <w:rPr>
                <w:rFonts w:ascii="宋体" w:eastAsia="宋体" w:hAnsi="宋体" w:cs="宋体" w:hint="eastAsia"/>
                <w:color w:val="000000"/>
                <w:szCs w:val="20"/>
              </w:rPr>
            </w:pPr>
            <w:r>
              <w:rPr>
                <w:rFonts w:ascii="宋体" w:eastAsia="宋体" w:hAnsi="宋体" w:cs="宋体" w:hint="eastAsia"/>
              </w:rPr>
              <w:t>1.76%</w:t>
            </w:r>
          </w:p>
        </w:tc>
        <w:tc>
          <w:tcPr>
            <w:tcW w:w="2012" w:type="dxa"/>
            <w:shd w:val="clear" w:color="auto" w:fill="auto"/>
            <w:noWrap/>
            <w:vAlign w:val="center"/>
          </w:tcPr>
          <w:p w14:paraId="737287EA" w14:textId="77777777" w:rsidR="00CD75AA" w:rsidRDefault="007D11AE">
            <w:pPr>
              <w:jc w:val="center"/>
              <w:rPr>
                <w:rFonts w:ascii="宋体" w:eastAsia="宋体" w:hAnsi="宋体" w:cs="宋体" w:hint="eastAsia"/>
                <w:color w:val="000000"/>
                <w:szCs w:val="20"/>
              </w:rPr>
            </w:pPr>
            <w:r>
              <w:rPr>
                <w:rFonts w:ascii="宋体" w:eastAsia="宋体" w:hAnsi="宋体" w:cs="宋体" w:hint="eastAsia"/>
              </w:rPr>
              <w:t>鸿越路</w:t>
            </w:r>
          </w:p>
        </w:tc>
        <w:tc>
          <w:tcPr>
            <w:tcW w:w="1145" w:type="dxa"/>
            <w:shd w:val="clear" w:color="auto" w:fill="auto"/>
            <w:noWrap/>
            <w:vAlign w:val="center"/>
          </w:tcPr>
          <w:p w14:paraId="737287EB" w14:textId="77777777" w:rsidR="00CD75AA" w:rsidRDefault="007D11AE">
            <w:pPr>
              <w:jc w:val="center"/>
              <w:rPr>
                <w:rFonts w:ascii="宋体" w:eastAsia="宋体" w:hAnsi="宋体" w:cs="宋体" w:hint="eastAsia"/>
                <w:color w:val="000000"/>
                <w:szCs w:val="20"/>
              </w:rPr>
            </w:pPr>
            <w:r>
              <w:rPr>
                <w:rFonts w:ascii="宋体" w:eastAsia="宋体" w:hAnsi="宋体" w:cs="宋体" w:hint="eastAsia"/>
                <w:szCs w:val="20"/>
              </w:rPr>
              <w:t>8,100.00</w:t>
            </w:r>
          </w:p>
        </w:tc>
      </w:tr>
    </w:tbl>
    <w:p w14:paraId="737287ED" w14:textId="77777777" w:rsidR="00CD75AA" w:rsidRDefault="007D11AE">
      <w:pPr>
        <w:rPr>
          <w:rFonts w:ascii="宋体" w:eastAsia="宋体" w:hAnsi="宋体" w:cs="宋体" w:hint="eastAsia"/>
          <w:b/>
          <w:sz w:val="24"/>
          <w:szCs w:val="24"/>
        </w:rPr>
      </w:pPr>
      <w:r>
        <w:rPr>
          <w:rFonts w:ascii="宋体" w:eastAsia="宋体" w:hAnsi="宋体" w:cs="宋体" w:hint="eastAsia"/>
          <w:b/>
          <w:sz w:val="24"/>
          <w:szCs w:val="24"/>
        </w:rPr>
        <w:br w:type="page"/>
      </w:r>
    </w:p>
    <w:p w14:paraId="737287EE" w14:textId="77777777" w:rsidR="00CD75AA" w:rsidRDefault="007D11AE">
      <w:pPr>
        <w:pStyle w:val="10"/>
        <w:spacing w:line="360" w:lineRule="auto"/>
        <w:ind w:firstLine="482"/>
        <w:outlineLvl w:val="0"/>
        <w:rPr>
          <w:rFonts w:ascii="宋体" w:eastAsia="宋体" w:hAnsi="宋体" w:cs="宋体" w:hint="eastAsia"/>
          <w:b/>
          <w:sz w:val="24"/>
          <w:szCs w:val="24"/>
        </w:rPr>
      </w:pPr>
      <w:r>
        <w:rPr>
          <w:rFonts w:ascii="宋体" w:eastAsia="宋体" w:hAnsi="宋体" w:cs="宋体" w:hint="eastAsia"/>
          <w:b/>
          <w:sz w:val="24"/>
          <w:szCs w:val="24"/>
        </w:rPr>
        <w:lastRenderedPageBreak/>
        <w:t>二、地区情况</w:t>
      </w:r>
      <w:bookmarkEnd w:id="1"/>
    </w:p>
    <w:p w14:paraId="737287EF" w14:textId="77777777" w:rsidR="00CD75AA" w:rsidRDefault="007D11AE">
      <w:pPr>
        <w:widowControl/>
        <w:adjustRightInd w:val="0"/>
        <w:snapToGrid w:val="0"/>
        <w:spacing w:line="360" w:lineRule="auto"/>
        <w:ind w:firstLineChars="200" w:firstLine="480"/>
        <w:rPr>
          <w:rFonts w:ascii="宋体" w:eastAsia="宋体" w:hAnsi="宋体" w:cs="宋体" w:hint="eastAsia"/>
        </w:rPr>
      </w:pPr>
      <w:r>
        <w:rPr>
          <w:rFonts w:ascii="宋体" w:eastAsia="宋体" w:hAnsi="宋体" w:cs="宋体" w:hint="eastAsia"/>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3年地区财政情况如下表2：</w:t>
      </w:r>
    </w:p>
    <w:p w14:paraId="737287F0" w14:textId="77777777" w:rsidR="00CD75AA" w:rsidRDefault="007D11AE">
      <w:pPr>
        <w:pStyle w:val="10"/>
        <w:tabs>
          <w:tab w:val="left" w:pos="993"/>
          <w:tab w:val="left" w:pos="1276"/>
        </w:tabs>
        <w:spacing w:afterLines="50" w:after="159" w:line="360" w:lineRule="auto"/>
        <w:ind w:left="482" w:firstLineChars="0" w:firstLine="0"/>
        <w:jc w:val="center"/>
        <w:rPr>
          <w:rFonts w:ascii="宋体" w:eastAsia="宋体" w:hAnsi="宋体" w:cs="宋体" w:hint="eastAsia"/>
          <w:b/>
          <w:sz w:val="24"/>
          <w:szCs w:val="24"/>
        </w:rPr>
      </w:pPr>
      <w:r>
        <w:rPr>
          <w:rFonts w:ascii="宋体" w:eastAsia="宋体" w:hAnsi="宋体" w:cs="宋体" w:hint="eastAsia"/>
          <w:b/>
          <w:sz w:val="24"/>
          <w:szCs w:val="24"/>
        </w:rPr>
        <w:t>表2 2022—2024年海口市财政情况</w:t>
      </w:r>
    </w:p>
    <w:p w14:paraId="737287F1" w14:textId="77777777" w:rsidR="00CD75AA" w:rsidRDefault="007D11AE">
      <w:pPr>
        <w:jc w:val="right"/>
        <w:rPr>
          <w:rFonts w:ascii="宋体" w:eastAsia="宋体" w:hAnsi="宋体" w:cs="宋体" w:hint="eastAsia"/>
          <w:sz w:val="20"/>
          <w:szCs w:val="20"/>
        </w:rPr>
      </w:pPr>
      <w:r>
        <w:rPr>
          <w:rFonts w:ascii="宋体" w:eastAsia="宋体" w:hAnsi="宋体" w:cs="宋体" w:hint="eastAsia"/>
          <w:color w:val="000000"/>
          <w:kern w:val="0"/>
          <w:sz w:val="20"/>
          <w:szCs w:val="20"/>
          <w:lang w:bidi="ar"/>
        </w:rPr>
        <w:t>单位：亿元</w:t>
      </w:r>
    </w:p>
    <w:tbl>
      <w:tblPr>
        <w:tblW w:w="8277" w:type="dxa"/>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248"/>
        <w:gridCol w:w="1653"/>
        <w:gridCol w:w="1688"/>
        <w:gridCol w:w="1688"/>
      </w:tblGrid>
      <w:tr w:rsidR="00CD75AA" w14:paraId="737287F6" w14:textId="77777777">
        <w:trPr>
          <w:trHeight w:val="553"/>
          <w:jc w:val="center"/>
        </w:trPr>
        <w:tc>
          <w:tcPr>
            <w:tcW w:w="3248" w:type="dxa"/>
            <w:tcBorders>
              <w:top w:val="single" w:sz="12" w:space="0" w:color="auto"/>
              <w:bottom w:val="single" w:sz="4" w:space="0" w:color="auto"/>
            </w:tcBorders>
            <w:shd w:val="clear" w:color="auto" w:fill="D8D8D8" w:themeFill="background1" w:themeFillShade="D8"/>
            <w:vAlign w:val="center"/>
          </w:tcPr>
          <w:p w14:paraId="737287F2" w14:textId="77777777" w:rsidR="00CD75AA" w:rsidRDefault="007D11AE">
            <w:pPr>
              <w:widowControl/>
              <w:jc w:val="center"/>
              <w:textAlignment w:val="center"/>
              <w:rPr>
                <w:rFonts w:ascii="宋体" w:eastAsia="宋体" w:hAnsi="宋体" w:cs="宋体" w:hint="eastAsia"/>
                <w:b/>
                <w:bCs/>
                <w:color w:val="000000"/>
                <w:kern w:val="0"/>
                <w:sz w:val="18"/>
                <w:szCs w:val="18"/>
              </w:rPr>
            </w:pPr>
            <w:r>
              <w:rPr>
                <w:rFonts w:ascii="宋体" w:eastAsia="宋体" w:hAnsi="宋体" w:cs="宋体" w:hint="eastAsia"/>
                <w:b/>
                <w:bCs/>
                <w:color w:val="000000"/>
                <w:kern w:val="0"/>
                <w:sz w:val="18"/>
                <w:szCs w:val="18"/>
                <w:lang w:bidi="ar"/>
              </w:rPr>
              <w:t>项目</w:t>
            </w:r>
          </w:p>
        </w:tc>
        <w:tc>
          <w:tcPr>
            <w:tcW w:w="1653" w:type="dxa"/>
            <w:tcBorders>
              <w:top w:val="single" w:sz="12" w:space="0" w:color="auto"/>
              <w:bottom w:val="single" w:sz="4" w:space="0" w:color="auto"/>
            </w:tcBorders>
            <w:shd w:val="clear" w:color="auto" w:fill="D8D8D8" w:themeFill="background1" w:themeFillShade="D8"/>
            <w:vAlign w:val="center"/>
          </w:tcPr>
          <w:p w14:paraId="737287F3" w14:textId="77777777" w:rsidR="00CD75AA" w:rsidRDefault="007D11AE">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2022年</w:t>
            </w:r>
          </w:p>
        </w:tc>
        <w:tc>
          <w:tcPr>
            <w:tcW w:w="1688" w:type="dxa"/>
            <w:tcBorders>
              <w:top w:val="single" w:sz="12" w:space="0" w:color="auto"/>
              <w:bottom w:val="single" w:sz="4" w:space="0" w:color="auto"/>
            </w:tcBorders>
            <w:shd w:val="clear" w:color="auto" w:fill="D8D8D8" w:themeFill="background1" w:themeFillShade="D8"/>
            <w:vAlign w:val="center"/>
          </w:tcPr>
          <w:p w14:paraId="737287F4" w14:textId="77777777" w:rsidR="00CD75AA" w:rsidRDefault="007D11AE">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2023年</w:t>
            </w:r>
          </w:p>
        </w:tc>
        <w:tc>
          <w:tcPr>
            <w:tcW w:w="1688" w:type="dxa"/>
            <w:tcBorders>
              <w:top w:val="single" w:sz="12" w:space="0" w:color="auto"/>
              <w:bottom w:val="single" w:sz="4" w:space="0" w:color="auto"/>
            </w:tcBorders>
            <w:shd w:val="clear" w:color="auto" w:fill="D8D8D8" w:themeFill="background1" w:themeFillShade="D8"/>
            <w:vAlign w:val="center"/>
          </w:tcPr>
          <w:p w14:paraId="737287F5" w14:textId="77777777" w:rsidR="00CD75AA" w:rsidRDefault="007D11AE">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2024年</w:t>
            </w:r>
          </w:p>
        </w:tc>
      </w:tr>
      <w:tr w:rsidR="00CD75AA" w14:paraId="737287FB" w14:textId="77777777">
        <w:trPr>
          <w:trHeight w:val="507"/>
          <w:jc w:val="center"/>
        </w:trPr>
        <w:tc>
          <w:tcPr>
            <w:tcW w:w="3248" w:type="dxa"/>
            <w:tcBorders>
              <w:top w:val="single" w:sz="4" w:space="0" w:color="auto"/>
            </w:tcBorders>
            <w:vAlign w:val="center"/>
          </w:tcPr>
          <w:p w14:paraId="737287F7"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地区生产总值</w:t>
            </w:r>
          </w:p>
        </w:tc>
        <w:tc>
          <w:tcPr>
            <w:tcW w:w="1653" w:type="dxa"/>
            <w:tcBorders>
              <w:top w:val="single" w:sz="4" w:space="0" w:color="auto"/>
            </w:tcBorders>
            <w:vAlign w:val="center"/>
          </w:tcPr>
          <w:p w14:paraId="737287F8"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2,134.80</w:t>
            </w:r>
          </w:p>
        </w:tc>
        <w:tc>
          <w:tcPr>
            <w:tcW w:w="1688" w:type="dxa"/>
            <w:tcBorders>
              <w:top w:val="single" w:sz="4" w:space="0" w:color="auto"/>
            </w:tcBorders>
            <w:vAlign w:val="center"/>
          </w:tcPr>
          <w:p w14:paraId="737287F9"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2,358.44</w:t>
            </w:r>
          </w:p>
        </w:tc>
        <w:tc>
          <w:tcPr>
            <w:tcW w:w="1688" w:type="dxa"/>
            <w:tcBorders>
              <w:top w:val="single" w:sz="4" w:space="0" w:color="auto"/>
            </w:tcBorders>
            <w:vAlign w:val="center"/>
          </w:tcPr>
          <w:p w14:paraId="737287FA" w14:textId="77777777" w:rsidR="00CD75AA" w:rsidRDefault="007D11AE">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2470.63</w:t>
            </w:r>
          </w:p>
        </w:tc>
      </w:tr>
      <w:tr w:rsidR="00CD75AA" w14:paraId="73728800" w14:textId="77777777">
        <w:trPr>
          <w:trHeight w:val="741"/>
          <w:jc w:val="center"/>
        </w:trPr>
        <w:tc>
          <w:tcPr>
            <w:tcW w:w="3248" w:type="dxa"/>
            <w:vAlign w:val="center"/>
          </w:tcPr>
          <w:p w14:paraId="737287FC"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一般预算收入(一般公共预算收入)</w:t>
            </w:r>
          </w:p>
        </w:tc>
        <w:tc>
          <w:tcPr>
            <w:tcW w:w="1653" w:type="dxa"/>
            <w:vAlign w:val="center"/>
          </w:tcPr>
          <w:p w14:paraId="737287FD"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204.82</w:t>
            </w:r>
          </w:p>
        </w:tc>
        <w:tc>
          <w:tcPr>
            <w:tcW w:w="1688" w:type="dxa"/>
            <w:vAlign w:val="center"/>
          </w:tcPr>
          <w:p w14:paraId="737287FE"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266.87</w:t>
            </w:r>
          </w:p>
        </w:tc>
        <w:tc>
          <w:tcPr>
            <w:tcW w:w="1688" w:type="dxa"/>
            <w:vAlign w:val="center"/>
          </w:tcPr>
          <w:p w14:paraId="737287FF"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258.26</w:t>
            </w:r>
          </w:p>
        </w:tc>
      </w:tr>
      <w:tr w:rsidR="00CD75AA" w14:paraId="73728805" w14:textId="77777777">
        <w:trPr>
          <w:trHeight w:val="741"/>
          <w:jc w:val="center"/>
        </w:trPr>
        <w:tc>
          <w:tcPr>
            <w:tcW w:w="3248" w:type="dxa"/>
            <w:vAlign w:val="center"/>
          </w:tcPr>
          <w:p w14:paraId="73728801"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一般预算收入(一般公共预算总收入)</w:t>
            </w:r>
          </w:p>
        </w:tc>
        <w:tc>
          <w:tcPr>
            <w:tcW w:w="1653" w:type="dxa"/>
            <w:vAlign w:val="center"/>
          </w:tcPr>
          <w:p w14:paraId="73728802"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518.12</w:t>
            </w:r>
          </w:p>
        </w:tc>
        <w:tc>
          <w:tcPr>
            <w:tcW w:w="1688" w:type="dxa"/>
            <w:vAlign w:val="center"/>
          </w:tcPr>
          <w:p w14:paraId="73728803"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578.08</w:t>
            </w:r>
          </w:p>
        </w:tc>
        <w:tc>
          <w:tcPr>
            <w:tcW w:w="1688" w:type="dxa"/>
            <w:vAlign w:val="center"/>
          </w:tcPr>
          <w:p w14:paraId="73728804"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597.76</w:t>
            </w:r>
          </w:p>
        </w:tc>
      </w:tr>
      <w:tr w:rsidR="00CD75AA" w14:paraId="7372880A" w14:textId="77777777">
        <w:trPr>
          <w:trHeight w:val="472"/>
          <w:jc w:val="center"/>
        </w:trPr>
        <w:tc>
          <w:tcPr>
            <w:tcW w:w="3248" w:type="dxa"/>
            <w:vAlign w:val="center"/>
          </w:tcPr>
          <w:p w14:paraId="73728806"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政府性基金收入</w:t>
            </w:r>
          </w:p>
        </w:tc>
        <w:tc>
          <w:tcPr>
            <w:tcW w:w="1653" w:type="dxa"/>
            <w:vAlign w:val="center"/>
          </w:tcPr>
          <w:p w14:paraId="73728807"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192.34</w:t>
            </w:r>
          </w:p>
        </w:tc>
        <w:tc>
          <w:tcPr>
            <w:tcW w:w="1688" w:type="dxa"/>
            <w:vAlign w:val="center"/>
          </w:tcPr>
          <w:p w14:paraId="73728808"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140.39</w:t>
            </w:r>
          </w:p>
        </w:tc>
        <w:tc>
          <w:tcPr>
            <w:tcW w:w="1688" w:type="dxa"/>
            <w:vAlign w:val="center"/>
          </w:tcPr>
          <w:p w14:paraId="73728809"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120.43</w:t>
            </w:r>
          </w:p>
        </w:tc>
      </w:tr>
      <w:tr w:rsidR="00CD75AA" w14:paraId="7372880F" w14:textId="77777777">
        <w:trPr>
          <w:trHeight w:val="472"/>
          <w:jc w:val="center"/>
        </w:trPr>
        <w:tc>
          <w:tcPr>
            <w:tcW w:w="3248" w:type="dxa"/>
            <w:vAlign w:val="center"/>
          </w:tcPr>
          <w:p w14:paraId="7372880B"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其中：国有土地出让收入</w:t>
            </w:r>
          </w:p>
        </w:tc>
        <w:tc>
          <w:tcPr>
            <w:tcW w:w="1653" w:type="dxa"/>
            <w:vAlign w:val="center"/>
          </w:tcPr>
          <w:p w14:paraId="7372880C"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176.60</w:t>
            </w:r>
          </w:p>
        </w:tc>
        <w:tc>
          <w:tcPr>
            <w:tcW w:w="1688" w:type="dxa"/>
            <w:vAlign w:val="center"/>
          </w:tcPr>
          <w:p w14:paraId="7372880D"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124.67</w:t>
            </w:r>
          </w:p>
        </w:tc>
        <w:tc>
          <w:tcPr>
            <w:tcW w:w="1688" w:type="dxa"/>
            <w:vAlign w:val="center"/>
          </w:tcPr>
          <w:p w14:paraId="7372880E"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108.59</w:t>
            </w:r>
          </w:p>
        </w:tc>
      </w:tr>
      <w:tr w:rsidR="00CD75AA" w14:paraId="73728814" w14:textId="77777777">
        <w:trPr>
          <w:trHeight w:val="472"/>
          <w:jc w:val="center"/>
        </w:trPr>
        <w:tc>
          <w:tcPr>
            <w:tcW w:w="3248" w:type="dxa"/>
            <w:vAlign w:val="center"/>
          </w:tcPr>
          <w:p w14:paraId="73728810"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政府性基金支出</w:t>
            </w:r>
          </w:p>
        </w:tc>
        <w:tc>
          <w:tcPr>
            <w:tcW w:w="1653" w:type="dxa"/>
            <w:vAlign w:val="center"/>
          </w:tcPr>
          <w:p w14:paraId="73728811"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310.21</w:t>
            </w:r>
          </w:p>
        </w:tc>
        <w:tc>
          <w:tcPr>
            <w:tcW w:w="1688" w:type="dxa"/>
            <w:vAlign w:val="center"/>
          </w:tcPr>
          <w:p w14:paraId="73728812"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264.76</w:t>
            </w:r>
          </w:p>
        </w:tc>
        <w:tc>
          <w:tcPr>
            <w:tcW w:w="1688" w:type="dxa"/>
            <w:vAlign w:val="center"/>
          </w:tcPr>
          <w:p w14:paraId="73728813"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294.07</w:t>
            </w:r>
          </w:p>
        </w:tc>
      </w:tr>
      <w:tr w:rsidR="00CD75AA" w14:paraId="73728819" w14:textId="77777777">
        <w:trPr>
          <w:trHeight w:val="472"/>
          <w:jc w:val="center"/>
        </w:trPr>
        <w:tc>
          <w:tcPr>
            <w:tcW w:w="3248" w:type="dxa"/>
            <w:vAlign w:val="center"/>
          </w:tcPr>
          <w:p w14:paraId="73728815"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其中：国有土地出让支出</w:t>
            </w:r>
          </w:p>
        </w:tc>
        <w:tc>
          <w:tcPr>
            <w:tcW w:w="1653" w:type="dxa"/>
            <w:vAlign w:val="center"/>
          </w:tcPr>
          <w:p w14:paraId="73728816"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147.61</w:t>
            </w:r>
          </w:p>
        </w:tc>
        <w:tc>
          <w:tcPr>
            <w:tcW w:w="1688" w:type="dxa"/>
            <w:vAlign w:val="center"/>
          </w:tcPr>
          <w:p w14:paraId="73728817"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109.46</w:t>
            </w:r>
          </w:p>
        </w:tc>
        <w:tc>
          <w:tcPr>
            <w:tcW w:w="1688" w:type="dxa"/>
            <w:vAlign w:val="center"/>
          </w:tcPr>
          <w:p w14:paraId="73728818"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72.02</w:t>
            </w:r>
          </w:p>
        </w:tc>
      </w:tr>
      <w:tr w:rsidR="00CD75AA" w14:paraId="7372881E" w14:textId="77777777">
        <w:trPr>
          <w:trHeight w:val="472"/>
          <w:jc w:val="center"/>
        </w:trPr>
        <w:tc>
          <w:tcPr>
            <w:tcW w:w="3248" w:type="dxa"/>
            <w:vAlign w:val="center"/>
          </w:tcPr>
          <w:p w14:paraId="7372881A"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地方债务限额</w:t>
            </w:r>
          </w:p>
        </w:tc>
        <w:tc>
          <w:tcPr>
            <w:tcW w:w="1653" w:type="dxa"/>
            <w:vAlign w:val="center"/>
          </w:tcPr>
          <w:p w14:paraId="7372881B"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7372881C"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892.40</w:t>
            </w:r>
          </w:p>
        </w:tc>
        <w:tc>
          <w:tcPr>
            <w:tcW w:w="1688" w:type="dxa"/>
            <w:vAlign w:val="center"/>
          </w:tcPr>
          <w:p w14:paraId="7372881D" w14:textId="77777777" w:rsidR="00CD75AA" w:rsidRDefault="007D11AE">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1161.30</w:t>
            </w:r>
          </w:p>
        </w:tc>
      </w:tr>
      <w:tr w:rsidR="00CD75AA" w14:paraId="73728823" w14:textId="77777777">
        <w:trPr>
          <w:trHeight w:val="472"/>
          <w:jc w:val="center"/>
        </w:trPr>
        <w:tc>
          <w:tcPr>
            <w:tcW w:w="3248" w:type="dxa"/>
            <w:vAlign w:val="center"/>
          </w:tcPr>
          <w:p w14:paraId="7372881F"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其中：一般债务限额</w:t>
            </w:r>
          </w:p>
        </w:tc>
        <w:tc>
          <w:tcPr>
            <w:tcW w:w="1653" w:type="dxa"/>
            <w:vAlign w:val="center"/>
          </w:tcPr>
          <w:p w14:paraId="73728820"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73728821"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230.47</w:t>
            </w:r>
          </w:p>
        </w:tc>
        <w:tc>
          <w:tcPr>
            <w:tcW w:w="1688" w:type="dxa"/>
            <w:vAlign w:val="center"/>
          </w:tcPr>
          <w:p w14:paraId="73728822" w14:textId="77777777" w:rsidR="00CD75AA" w:rsidRDefault="007D11AE">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235.24</w:t>
            </w:r>
          </w:p>
        </w:tc>
      </w:tr>
      <w:tr w:rsidR="00CD75AA" w14:paraId="73728828" w14:textId="77777777">
        <w:trPr>
          <w:trHeight w:val="472"/>
          <w:jc w:val="center"/>
        </w:trPr>
        <w:tc>
          <w:tcPr>
            <w:tcW w:w="3248" w:type="dxa"/>
            <w:vAlign w:val="center"/>
          </w:tcPr>
          <w:p w14:paraId="73728824"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专项债务限额</w:t>
            </w:r>
          </w:p>
        </w:tc>
        <w:tc>
          <w:tcPr>
            <w:tcW w:w="1653" w:type="dxa"/>
            <w:vAlign w:val="center"/>
          </w:tcPr>
          <w:p w14:paraId="73728825"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73728826"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661.93</w:t>
            </w:r>
          </w:p>
        </w:tc>
        <w:tc>
          <w:tcPr>
            <w:tcW w:w="1688" w:type="dxa"/>
            <w:vAlign w:val="center"/>
          </w:tcPr>
          <w:p w14:paraId="73728827" w14:textId="77777777" w:rsidR="00CD75AA" w:rsidRDefault="007D11AE">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926.07</w:t>
            </w:r>
          </w:p>
        </w:tc>
      </w:tr>
      <w:tr w:rsidR="00CD75AA" w14:paraId="7372882D" w14:textId="77777777">
        <w:trPr>
          <w:trHeight w:val="472"/>
          <w:jc w:val="center"/>
        </w:trPr>
        <w:tc>
          <w:tcPr>
            <w:tcW w:w="3248" w:type="dxa"/>
            <w:vAlign w:val="center"/>
          </w:tcPr>
          <w:p w14:paraId="73728829"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地方债务余额</w:t>
            </w:r>
          </w:p>
        </w:tc>
        <w:tc>
          <w:tcPr>
            <w:tcW w:w="1653" w:type="dxa"/>
            <w:vAlign w:val="center"/>
          </w:tcPr>
          <w:p w14:paraId="7372882A"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7372882B"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889.45</w:t>
            </w:r>
          </w:p>
        </w:tc>
        <w:tc>
          <w:tcPr>
            <w:tcW w:w="1688" w:type="dxa"/>
            <w:vAlign w:val="center"/>
          </w:tcPr>
          <w:p w14:paraId="7372882C" w14:textId="77777777" w:rsidR="00CD75AA" w:rsidRDefault="007D11AE">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1141.70</w:t>
            </w:r>
          </w:p>
        </w:tc>
      </w:tr>
      <w:tr w:rsidR="00CD75AA" w14:paraId="73728832" w14:textId="77777777">
        <w:trPr>
          <w:trHeight w:val="472"/>
          <w:jc w:val="center"/>
        </w:trPr>
        <w:tc>
          <w:tcPr>
            <w:tcW w:w="3248" w:type="dxa"/>
            <w:vAlign w:val="center"/>
          </w:tcPr>
          <w:p w14:paraId="7372882E"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其中：一般债务余额</w:t>
            </w:r>
          </w:p>
        </w:tc>
        <w:tc>
          <w:tcPr>
            <w:tcW w:w="1653" w:type="dxa"/>
            <w:vAlign w:val="center"/>
          </w:tcPr>
          <w:p w14:paraId="7372882F"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73728830"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228.11</w:t>
            </w:r>
          </w:p>
        </w:tc>
        <w:tc>
          <w:tcPr>
            <w:tcW w:w="1688" w:type="dxa"/>
            <w:vAlign w:val="center"/>
          </w:tcPr>
          <w:p w14:paraId="73728831" w14:textId="77777777" w:rsidR="00CD75AA" w:rsidRDefault="007D11AE">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227.33</w:t>
            </w:r>
          </w:p>
        </w:tc>
      </w:tr>
      <w:tr w:rsidR="00CD75AA" w14:paraId="73728837" w14:textId="77777777">
        <w:trPr>
          <w:trHeight w:val="576"/>
          <w:jc w:val="center"/>
        </w:trPr>
        <w:tc>
          <w:tcPr>
            <w:tcW w:w="3248" w:type="dxa"/>
            <w:vAlign w:val="center"/>
          </w:tcPr>
          <w:p w14:paraId="73728833" w14:textId="77777777" w:rsidR="00CD75AA" w:rsidRDefault="007D11AE">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专项债务余额</w:t>
            </w:r>
          </w:p>
        </w:tc>
        <w:tc>
          <w:tcPr>
            <w:tcW w:w="1653" w:type="dxa"/>
            <w:vAlign w:val="center"/>
          </w:tcPr>
          <w:p w14:paraId="73728834"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73728835" w14:textId="77777777" w:rsidR="00CD75AA" w:rsidRDefault="007D11AE">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661.34</w:t>
            </w:r>
          </w:p>
        </w:tc>
        <w:tc>
          <w:tcPr>
            <w:tcW w:w="1688" w:type="dxa"/>
            <w:vAlign w:val="center"/>
          </w:tcPr>
          <w:p w14:paraId="73728836" w14:textId="77777777" w:rsidR="00CD75AA" w:rsidRDefault="007D11AE">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914.37</w:t>
            </w:r>
          </w:p>
        </w:tc>
      </w:tr>
    </w:tbl>
    <w:p w14:paraId="73728838" w14:textId="77777777" w:rsidR="00CD75AA" w:rsidRDefault="007D11AE">
      <w:pPr>
        <w:spacing w:line="360" w:lineRule="auto"/>
        <w:ind w:firstLineChars="200" w:firstLine="480"/>
        <w:rPr>
          <w:rFonts w:ascii="宋体" w:eastAsia="宋体" w:hAnsi="宋体" w:cs="宋体" w:hint="eastAsia"/>
          <w:b/>
          <w:sz w:val="24"/>
          <w:szCs w:val="24"/>
        </w:rPr>
      </w:pPr>
      <w:r>
        <w:rPr>
          <w:rFonts w:ascii="宋体" w:eastAsia="宋体" w:hAnsi="宋体" w:cs="宋体" w:hint="eastAsia"/>
          <w:color w:val="000000"/>
          <w:kern w:val="0"/>
          <w:sz w:val="24"/>
          <w:szCs w:val="24"/>
        </w:rPr>
        <w:t>注：以上数据来源于海口市财政局。</w:t>
      </w:r>
    </w:p>
    <w:p w14:paraId="73728839" w14:textId="77777777" w:rsidR="00CD75AA" w:rsidRDefault="00CD75AA">
      <w:pPr>
        <w:pStyle w:val="10"/>
        <w:spacing w:line="360" w:lineRule="auto"/>
        <w:ind w:firstLine="482"/>
        <w:rPr>
          <w:rFonts w:ascii="宋体" w:eastAsia="宋体" w:hAnsi="宋体" w:cs="宋体" w:hint="eastAsia"/>
          <w:b/>
          <w:sz w:val="24"/>
          <w:szCs w:val="24"/>
        </w:rPr>
      </w:pPr>
    </w:p>
    <w:p w14:paraId="7372883A" w14:textId="77777777" w:rsidR="00CD75AA" w:rsidRDefault="00CD75AA">
      <w:pPr>
        <w:pStyle w:val="10"/>
        <w:spacing w:line="360" w:lineRule="auto"/>
        <w:ind w:firstLine="482"/>
        <w:rPr>
          <w:rFonts w:ascii="宋体" w:eastAsia="宋体" w:hAnsi="宋体" w:cs="宋体" w:hint="eastAsia"/>
          <w:b/>
          <w:sz w:val="24"/>
          <w:szCs w:val="24"/>
        </w:rPr>
      </w:pPr>
    </w:p>
    <w:p w14:paraId="7372883B" w14:textId="77777777" w:rsidR="00CD75AA" w:rsidRDefault="00CD75AA">
      <w:pPr>
        <w:pStyle w:val="10"/>
        <w:spacing w:line="360" w:lineRule="auto"/>
        <w:ind w:firstLine="482"/>
        <w:rPr>
          <w:rFonts w:ascii="宋体" w:eastAsia="宋体" w:hAnsi="宋体" w:cs="宋体" w:hint="eastAsia"/>
          <w:b/>
          <w:sz w:val="24"/>
          <w:szCs w:val="24"/>
        </w:rPr>
      </w:pPr>
    </w:p>
    <w:p w14:paraId="7372883C" w14:textId="77777777" w:rsidR="00CD75AA" w:rsidRDefault="00CD75AA">
      <w:pPr>
        <w:pStyle w:val="10"/>
        <w:spacing w:line="360" w:lineRule="auto"/>
        <w:ind w:firstLine="482"/>
        <w:rPr>
          <w:rFonts w:ascii="宋体" w:eastAsia="宋体" w:hAnsi="宋体" w:cs="宋体" w:hint="eastAsia"/>
          <w:b/>
          <w:sz w:val="24"/>
          <w:szCs w:val="24"/>
        </w:rPr>
      </w:pPr>
    </w:p>
    <w:p w14:paraId="7372883D" w14:textId="77777777" w:rsidR="00CD75AA" w:rsidRDefault="007D11AE">
      <w:pPr>
        <w:pStyle w:val="10"/>
        <w:spacing w:line="360" w:lineRule="auto"/>
        <w:ind w:firstLine="482"/>
        <w:outlineLvl w:val="0"/>
        <w:rPr>
          <w:rFonts w:ascii="宋体" w:eastAsia="宋体" w:hAnsi="宋体" w:cs="宋体" w:hint="eastAsia"/>
          <w:b/>
          <w:sz w:val="24"/>
          <w:szCs w:val="24"/>
        </w:rPr>
      </w:pPr>
      <w:bookmarkStart w:id="2" w:name="_Toc9911"/>
      <w:r>
        <w:rPr>
          <w:rFonts w:ascii="宋体" w:eastAsia="宋体" w:hAnsi="宋体" w:cs="宋体" w:hint="eastAsia"/>
          <w:b/>
          <w:sz w:val="24"/>
          <w:szCs w:val="24"/>
        </w:rPr>
        <w:lastRenderedPageBreak/>
        <w:t>三、项目概述</w:t>
      </w:r>
      <w:bookmarkEnd w:id="2"/>
    </w:p>
    <w:p w14:paraId="7372883E" w14:textId="77777777" w:rsidR="00CD75AA" w:rsidRDefault="007D11AE">
      <w:pPr>
        <w:pStyle w:val="10"/>
        <w:spacing w:line="360" w:lineRule="auto"/>
        <w:ind w:firstLine="482"/>
        <w:outlineLvl w:val="0"/>
        <w:rPr>
          <w:rFonts w:ascii="宋体" w:eastAsia="宋体" w:hAnsi="宋体" w:cs="宋体" w:hint="eastAsia"/>
          <w:b/>
          <w:sz w:val="24"/>
          <w:szCs w:val="24"/>
        </w:rPr>
      </w:pPr>
      <w:bookmarkStart w:id="3" w:name="_Toc3086"/>
      <w:r>
        <w:rPr>
          <w:rFonts w:ascii="宋体" w:eastAsia="宋体" w:hAnsi="宋体" w:cs="宋体" w:hint="eastAsia"/>
          <w:b/>
          <w:sz w:val="24"/>
          <w:szCs w:val="24"/>
        </w:rPr>
        <w:t>（一）项目基本情况</w:t>
      </w:r>
      <w:bookmarkEnd w:id="3"/>
    </w:p>
    <w:p w14:paraId="7372883F" w14:textId="77777777" w:rsidR="00CD75AA" w:rsidRDefault="007D11AE">
      <w:pPr>
        <w:spacing w:before="120" w:after="120" w:line="360" w:lineRule="auto"/>
        <w:ind w:firstLineChars="200" w:firstLine="480"/>
        <w:rPr>
          <w:rFonts w:ascii="宋体" w:eastAsia="宋体" w:hAnsi="宋体" w:cs="宋体" w:hint="eastAsia"/>
          <w:sz w:val="24"/>
        </w:rPr>
      </w:pPr>
      <w:bookmarkStart w:id="4" w:name="_Toc6853"/>
      <w:r>
        <w:rPr>
          <w:rFonts w:ascii="宋体" w:eastAsia="宋体" w:hAnsi="宋体" w:cs="宋体" w:hint="eastAsia"/>
          <w:sz w:val="24"/>
        </w:rPr>
        <w:t>鸿越路项目的建设符合国家政策支持方向，并有利于海口市基础设施建设的发展，项目基本情况如下：</w:t>
      </w:r>
    </w:p>
    <w:p w14:paraId="73728840"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项目名称：鸿越路</w:t>
      </w:r>
    </w:p>
    <w:p w14:paraId="73728841"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项目行业主管部门：海口江东新区管理局</w:t>
      </w:r>
    </w:p>
    <w:p w14:paraId="73728842"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项目业主：海口市恒慧基础建设有限公司</w:t>
      </w:r>
    </w:p>
    <w:p w14:paraId="73728843"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项目建设期：2022年12月-2026年12月</w:t>
      </w:r>
    </w:p>
    <w:p w14:paraId="73728844"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内容：项目位于江东新区三组团的国际综合服务组团，道路西起美庄路，东至海文高速联络线，道路全长1,735.351m，红线宽度为40m，行车道为双向六车道，道路等级为城市主干路。主要建设内容包含道路工程、桥梁工程、交通工程、给排水工程、管廊工程、电气工程（含合杆）等，再生水、燃气工程不含在此次工程设计范围内，仅预留管位。</w:t>
      </w:r>
    </w:p>
    <w:p w14:paraId="73728845"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项目总体施工进度：本项目施工进度约为41%。</w:t>
      </w:r>
    </w:p>
    <w:p w14:paraId="73728846" w14:textId="77777777" w:rsidR="00CD75AA" w:rsidRDefault="007D11AE">
      <w:pPr>
        <w:pStyle w:val="10"/>
        <w:spacing w:line="360" w:lineRule="auto"/>
        <w:ind w:firstLine="482"/>
        <w:outlineLvl w:val="0"/>
        <w:rPr>
          <w:rFonts w:ascii="宋体" w:eastAsia="宋体" w:hAnsi="宋体" w:cs="宋体" w:hint="eastAsia"/>
          <w:b/>
          <w:sz w:val="24"/>
          <w:szCs w:val="24"/>
        </w:rPr>
      </w:pPr>
      <w:r>
        <w:rPr>
          <w:rFonts w:ascii="宋体" w:eastAsia="宋体" w:hAnsi="宋体" w:cs="宋体" w:hint="eastAsia"/>
          <w:b/>
          <w:sz w:val="24"/>
          <w:szCs w:val="24"/>
        </w:rPr>
        <w:t>（二）项目相关批复</w:t>
      </w:r>
      <w:bookmarkEnd w:id="4"/>
    </w:p>
    <w:p w14:paraId="73728847" w14:textId="77777777" w:rsidR="00CD75AA" w:rsidRDefault="007D11AE">
      <w:pPr>
        <w:spacing w:before="120" w:after="120" w:line="360" w:lineRule="auto"/>
        <w:ind w:firstLineChars="200" w:firstLine="480"/>
        <w:rPr>
          <w:rFonts w:ascii="宋体" w:eastAsia="宋体" w:hAnsi="宋体" w:cs="宋体" w:hint="eastAsia"/>
          <w:sz w:val="24"/>
        </w:rPr>
      </w:pPr>
      <w:r>
        <w:rPr>
          <w:rFonts w:ascii="宋体" w:eastAsia="宋体" w:hAnsi="宋体" w:cs="宋体" w:hint="eastAsia"/>
          <w:sz w:val="24"/>
        </w:rPr>
        <w:t>（1）2022年6月21日，取得《海口江东新区管理局关于同意鸿越路可行性研究报告的复函》（海江东局函〔2022〕141号），该复函明确：“为改善区域生活环境、完善海口市城市基础设施建设，同意建设鸿越路”。</w:t>
      </w:r>
    </w:p>
    <w:p w14:paraId="73728848" w14:textId="77777777" w:rsidR="00CD75AA" w:rsidRDefault="007D11AE">
      <w:pPr>
        <w:spacing w:before="120" w:after="120" w:line="360" w:lineRule="auto"/>
        <w:ind w:firstLineChars="200" w:firstLine="480"/>
        <w:rPr>
          <w:rFonts w:ascii="宋体" w:eastAsia="宋体" w:hAnsi="宋体" w:cs="宋体" w:hint="eastAsia"/>
          <w:sz w:val="24"/>
        </w:rPr>
      </w:pPr>
      <w:r>
        <w:rPr>
          <w:rFonts w:ascii="宋体" w:eastAsia="宋体" w:hAnsi="宋体" w:cs="宋体" w:hint="eastAsia"/>
          <w:sz w:val="24"/>
        </w:rPr>
        <w:t>（2）2022年8月31日，取得《建设用地规划许可证》，发证机关为海口江东新区管理局，证号为地字第46510220220025号，用地单位为海口江东新区基础建设有限公司，项目名称为鸿越路，用地位置为海口市江东新区，用地面积为64520.30平方米，土地用途为城市道路用地，建设规模为鸿越路道路总长1735.351m，红线宽度40米，为主干路。本项目主要建设内容包含道路工程、桥梁工程、交通工程、给排水工程、管廊工程、电气工程（含合杆）等，再生水、燃气工程不含在本次工程设计。</w:t>
      </w:r>
    </w:p>
    <w:p w14:paraId="73728849" w14:textId="77777777" w:rsidR="00CD75AA" w:rsidRDefault="007D11AE">
      <w:pPr>
        <w:spacing w:before="120" w:after="120" w:line="360" w:lineRule="auto"/>
        <w:ind w:firstLineChars="200" w:firstLine="480"/>
        <w:rPr>
          <w:rFonts w:ascii="宋体" w:eastAsia="宋体" w:hAnsi="宋体" w:cs="宋体" w:hint="eastAsia"/>
          <w:sz w:val="24"/>
        </w:rPr>
      </w:pPr>
      <w:r>
        <w:rPr>
          <w:rFonts w:ascii="宋体" w:eastAsia="宋体" w:hAnsi="宋体" w:cs="宋体" w:hint="eastAsia"/>
          <w:sz w:val="24"/>
        </w:rPr>
        <w:t>（3）2022年9月9日，取得《海口江东新区管理局关于同意鸿越路初步设计及概算的复函》（海江东局函〔2022〕193号），该函明确了项目建设内容，批复项目概算总投资为25175.06万元，其中工程费为16211.21万元，工程建设</w:t>
      </w:r>
      <w:r>
        <w:rPr>
          <w:rFonts w:ascii="宋体" w:eastAsia="宋体" w:hAnsi="宋体" w:cs="宋体" w:hint="eastAsia"/>
          <w:sz w:val="24"/>
        </w:rPr>
        <w:lastRenderedPageBreak/>
        <w:t>其他费用为7788.01万元（含征地拆迁费5224.97万元，该项费用以市政府批复为准，资金用途以财政局意见为准），建设单位管理费为237.13万元，预备费为938.71万元。</w:t>
      </w:r>
    </w:p>
    <w:p w14:paraId="7372884A" w14:textId="77777777" w:rsidR="00CD75AA" w:rsidRDefault="007D11AE">
      <w:pPr>
        <w:spacing w:before="120" w:after="120" w:line="360" w:lineRule="auto"/>
        <w:ind w:firstLineChars="200" w:firstLine="480"/>
        <w:rPr>
          <w:rFonts w:ascii="宋体" w:eastAsia="宋体" w:hAnsi="宋体" w:cs="宋体" w:hint="eastAsia"/>
          <w:sz w:val="24"/>
        </w:rPr>
      </w:pPr>
      <w:r>
        <w:rPr>
          <w:rFonts w:ascii="宋体" w:eastAsia="宋体" w:hAnsi="宋体" w:cs="宋体" w:hint="eastAsia"/>
          <w:sz w:val="24"/>
        </w:rPr>
        <w:t>（4）2022年10月13日，取得《建设工程规划许可证》，发证机关为海口江东新区管理局，证号为建字第465102202215006号，建设单位为海口江东新区基础建设有限公司，项目名称为鸿越路，建设位置为三组团的国际综合服务组团，建设规模为道路长度为1735.351m，红线宽度40m；管线长度为8034m，埋设深度1.0～8.0m；缆线型管廊长度为1400m，埋设埋深0.2m；桥梁长度为60m，桥面宽40m。</w:t>
      </w:r>
    </w:p>
    <w:p w14:paraId="7372884B" w14:textId="77777777" w:rsidR="00CD75AA" w:rsidRDefault="007D11AE">
      <w:pPr>
        <w:spacing w:before="120" w:after="120" w:line="360" w:lineRule="auto"/>
        <w:ind w:firstLineChars="200" w:firstLine="480"/>
        <w:rPr>
          <w:rFonts w:ascii="宋体" w:eastAsia="宋体" w:hAnsi="宋体" w:cs="宋体" w:hint="eastAsia"/>
          <w:sz w:val="24"/>
        </w:rPr>
      </w:pPr>
      <w:r>
        <w:rPr>
          <w:rFonts w:ascii="宋体" w:eastAsia="宋体" w:hAnsi="宋体" w:cs="宋体" w:hint="eastAsia"/>
          <w:sz w:val="24"/>
        </w:rPr>
        <w:t>（5）2022年12月29日，取得《海口江东新区管理局关于鸿越路征拆费用纳入概算总投资的复函》（海江东局函〔2022〕1332号），该函原则同意将鸿越路房屋征收补偿资金纳入项目概算总投资，调整后项目概算总投资为50300.00万元，其中工程费16211.21万元，工程建设其它费用32912.95万元（其中土地房屋征收补偿费30349.91万元，该费用以市政府批复为准，资金用途以财政局意见为准），建设单位管理费237.13万元，预备费938.71万元。</w:t>
      </w:r>
    </w:p>
    <w:p w14:paraId="7372884C" w14:textId="77777777" w:rsidR="00CD75AA" w:rsidRDefault="007D11AE">
      <w:pPr>
        <w:spacing w:before="120" w:after="120" w:line="360" w:lineRule="auto"/>
        <w:ind w:firstLineChars="200" w:firstLine="480"/>
        <w:rPr>
          <w:rFonts w:ascii="宋体" w:eastAsia="宋体" w:hAnsi="宋体" w:cs="宋体" w:hint="eastAsia"/>
          <w:sz w:val="24"/>
        </w:rPr>
      </w:pPr>
      <w:bookmarkStart w:id="5" w:name="_Toc8403"/>
      <w:r>
        <w:rPr>
          <w:rFonts w:ascii="宋体" w:eastAsia="宋体" w:hAnsi="宋体" w:cs="宋体" w:hint="eastAsia"/>
          <w:sz w:val="24"/>
        </w:rPr>
        <w:t>（6）2022年12月30日，取得《建筑工程施工许可证》，发证机关为海口江东新区管理局，证号为465102202212300102，建设单位为海口江东新区基础建设有限公司，工程名称为鸿越路，建设地址为海口市美兰区白驹大道以南。</w:t>
      </w:r>
      <w:bookmarkEnd w:id="5"/>
    </w:p>
    <w:p w14:paraId="7372884D" w14:textId="77777777" w:rsidR="00CD75AA" w:rsidRDefault="007D11AE">
      <w:pPr>
        <w:spacing w:before="120" w:after="120" w:line="360" w:lineRule="auto"/>
        <w:ind w:firstLineChars="200" w:firstLine="480"/>
        <w:rPr>
          <w:rFonts w:ascii="宋体" w:eastAsia="宋体" w:hAnsi="宋体" w:cs="宋体" w:hint="eastAsia"/>
          <w:sz w:val="24"/>
        </w:rPr>
      </w:pPr>
      <w:r>
        <w:rPr>
          <w:rFonts w:ascii="宋体" w:eastAsia="宋体" w:hAnsi="宋体" w:cs="宋体" w:hint="eastAsia"/>
          <w:sz w:val="24"/>
        </w:rPr>
        <w:t>（7）2023年9月11日，取得《海口江东新区管理局关于将鸿越路征拆费用纳入概算总投资的复函》（海江东局函（2023）1472号），该函明确调整后项目概算总投资为</w:t>
      </w:r>
      <w:r>
        <w:rPr>
          <w:rFonts w:ascii="宋体" w:eastAsia="宋体" w:hAnsi="宋体" w:cs="宋体"/>
          <w:sz w:val="24"/>
        </w:rPr>
        <w:t>56908.87</w:t>
      </w:r>
      <w:r>
        <w:rPr>
          <w:rFonts w:ascii="宋体" w:eastAsia="宋体" w:hAnsi="宋体" w:cs="宋体" w:hint="eastAsia"/>
          <w:sz w:val="24"/>
        </w:rPr>
        <w:t>万元，其中工程费</w:t>
      </w:r>
      <w:r>
        <w:rPr>
          <w:rFonts w:ascii="宋体" w:eastAsia="宋体" w:hAnsi="宋体" w:cs="宋体"/>
          <w:sz w:val="24"/>
        </w:rPr>
        <w:t>16211.21</w:t>
      </w:r>
      <w:r>
        <w:rPr>
          <w:rFonts w:ascii="宋体" w:eastAsia="宋体" w:hAnsi="宋体" w:cs="宋体" w:hint="eastAsia"/>
          <w:sz w:val="24"/>
        </w:rPr>
        <w:t>万元，工程建设其它费用</w:t>
      </w:r>
      <w:r>
        <w:rPr>
          <w:rFonts w:ascii="宋体" w:eastAsia="宋体" w:hAnsi="宋体" w:cs="宋体"/>
          <w:sz w:val="24"/>
        </w:rPr>
        <w:t>39521.82</w:t>
      </w:r>
      <w:r>
        <w:rPr>
          <w:rFonts w:ascii="宋体" w:eastAsia="宋体" w:hAnsi="宋体" w:cs="宋体" w:hint="eastAsia"/>
          <w:sz w:val="24"/>
        </w:rPr>
        <w:t>万元（其中土地房屋征收补偿费</w:t>
      </w:r>
      <w:r>
        <w:rPr>
          <w:rFonts w:ascii="宋体" w:eastAsia="宋体" w:hAnsi="宋体" w:cs="宋体"/>
          <w:sz w:val="24"/>
        </w:rPr>
        <w:t>36958.78</w:t>
      </w:r>
      <w:r>
        <w:rPr>
          <w:rFonts w:ascii="宋体" w:eastAsia="宋体" w:hAnsi="宋体" w:cs="宋体" w:hint="eastAsia"/>
          <w:sz w:val="24"/>
        </w:rPr>
        <w:t>万元，该费用以市政府批复为准，资金使用以市财政局意见为准），预备费</w:t>
      </w:r>
      <w:r>
        <w:rPr>
          <w:rFonts w:ascii="宋体" w:eastAsia="宋体" w:hAnsi="宋体" w:cs="宋体"/>
          <w:sz w:val="24"/>
        </w:rPr>
        <w:t>938.71</w:t>
      </w:r>
      <w:r>
        <w:rPr>
          <w:rFonts w:ascii="宋体" w:eastAsia="宋体" w:hAnsi="宋体" w:cs="宋体" w:hint="eastAsia"/>
          <w:sz w:val="24"/>
        </w:rPr>
        <w:t>万元，建设单位管理费</w:t>
      </w:r>
      <w:r>
        <w:rPr>
          <w:rFonts w:ascii="宋体" w:eastAsia="宋体" w:hAnsi="宋体" w:cs="宋体"/>
          <w:sz w:val="24"/>
        </w:rPr>
        <w:t>237.13</w:t>
      </w:r>
      <w:r>
        <w:rPr>
          <w:rFonts w:ascii="宋体" w:eastAsia="宋体" w:hAnsi="宋体" w:cs="宋体" w:hint="eastAsia"/>
          <w:sz w:val="24"/>
        </w:rPr>
        <w:t>万元。</w:t>
      </w:r>
    </w:p>
    <w:p w14:paraId="7372884E" w14:textId="77777777" w:rsidR="00CD75AA" w:rsidRDefault="007D11AE">
      <w:pPr>
        <w:spacing w:before="120" w:after="120" w:line="360" w:lineRule="auto"/>
        <w:ind w:firstLineChars="200" w:firstLine="480"/>
        <w:rPr>
          <w:rFonts w:ascii="宋体" w:eastAsia="宋体" w:hAnsi="宋体" w:cs="宋体" w:hint="eastAsia"/>
          <w:sz w:val="24"/>
        </w:rPr>
      </w:pPr>
      <w:r>
        <w:rPr>
          <w:rFonts w:ascii="宋体" w:eastAsia="宋体" w:hAnsi="宋体" w:cs="宋体" w:hint="eastAsia"/>
          <w:sz w:val="24"/>
        </w:rPr>
        <w:t>（8）2024年2月7日，项目业主单位</w:t>
      </w:r>
      <w:r>
        <w:rPr>
          <w:rFonts w:ascii="宋体" w:eastAsia="宋体" w:hAnsi="宋体" w:cs="宋体"/>
          <w:sz w:val="24"/>
        </w:rPr>
        <w:t>海口江东新区基础建设有限公司</w:t>
      </w:r>
      <w:r>
        <w:rPr>
          <w:rFonts w:ascii="宋体" w:eastAsia="宋体" w:hAnsi="宋体" w:cs="宋体" w:hint="eastAsia"/>
          <w:sz w:val="24"/>
        </w:rPr>
        <w:t>变更名称为海口市恒慧基础建设有限公司。</w:t>
      </w:r>
    </w:p>
    <w:p w14:paraId="7372884F" w14:textId="77777777" w:rsidR="00CD75AA" w:rsidRDefault="00CD75AA">
      <w:pPr>
        <w:spacing w:line="360" w:lineRule="auto"/>
        <w:ind w:firstLineChars="200" w:firstLine="480"/>
        <w:rPr>
          <w:rFonts w:ascii="宋体" w:eastAsia="宋体" w:hAnsi="宋体" w:cs="宋体" w:hint="eastAsia"/>
          <w:sz w:val="24"/>
          <w:szCs w:val="24"/>
        </w:rPr>
      </w:pPr>
    </w:p>
    <w:p w14:paraId="73728850" w14:textId="77777777" w:rsidR="00CD75AA" w:rsidRDefault="007D11AE">
      <w:pPr>
        <w:pStyle w:val="10"/>
        <w:spacing w:line="360" w:lineRule="auto"/>
        <w:ind w:firstLine="482"/>
        <w:outlineLvl w:val="0"/>
        <w:rPr>
          <w:rFonts w:ascii="宋体" w:eastAsia="宋体" w:hAnsi="宋体" w:cs="宋体" w:hint="eastAsia"/>
          <w:b/>
          <w:sz w:val="24"/>
          <w:szCs w:val="24"/>
        </w:rPr>
      </w:pPr>
      <w:bookmarkStart w:id="6" w:name="_Toc6811"/>
      <w:r>
        <w:rPr>
          <w:rFonts w:ascii="宋体" w:eastAsia="宋体" w:hAnsi="宋体" w:cs="宋体" w:hint="eastAsia"/>
          <w:b/>
          <w:sz w:val="24"/>
          <w:szCs w:val="24"/>
        </w:rPr>
        <w:lastRenderedPageBreak/>
        <w:t>（三）事前绩效评估</w:t>
      </w:r>
      <w:bookmarkEnd w:id="6"/>
    </w:p>
    <w:p w14:paraId="73728851" w14:textId="77777777" w:rsidR="00CD75AA" w:rsidRDefault="007D11AE">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1.项目的必要性与收益性</w:t>
      </w:r>
    </w:p>
    <w:p w14:paraId="73728852" w14:textId="77777777" w:rsidR="00CD75AA" w:rsidRDefault="007D11AE">
      <w:pPr>
        <w:adjustRightInd w:val="0"/>
        <w:snapToGrid w:val="0"/>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（1）必要性</w:t>
      </w:r>
    </w:p>
    <w:p w14:paraId="73728853" w14:textId="77777777" w:rsidR="00CD75AA" w:rsidRDefault="007D11AE">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7" w:name="bookmark26"/>
      <w:bookmarkStart w:id="8" w:name="bookmark23"/>
      <w:bookmarkStart w:id="9" w:name="bookmark25"/>
      <w:bookmarkStart w:id="10" w:name="bookmark24"/>
      <w:bookmarkEnd w:id="7"/>
      <w:bookmarkEnd w:id="8"/>
      <w:bookmarkEnd w:id="9"/>
      <w:bookmarkEnd w:id="10"/>
      <w:r>
        <w:rPr>
          <w:rFonts w:ascii="宋体" w:eastAsia="宋体" w:hAnsi="宋体" w:cs="宋体" w:hint="eastAsia"/>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73728854" w14:textId="77777777" w:rsidR="00CD75AA" w:rsidRDefault="007D11AE">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本项目建设有利于保障海口市江东新区的顺利建设，进而以点带面地带动整个区域的经济和旅游发展，有利于进一步推动海南国际旅游岛的建设进程。</w:t>
      </w:r>
    </w:p>
    <w:p w14:paraId="73728855" w14:textId="77777777" w:rsidR="00CD75AA" w:rsidRDefault="007D11AE">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73728856" w14:textId="77777777" w:rsidR="00CD75AA" w:rsidRDefault="007D11AE">
      <w:pPr>
        <w:adjustRightInd w:val="0"/>
        <w:snapToGrid w:val="0"/>
        <w:spacing w:line="360" w:lineRule="auto"/>
        <w:ind w:firstLineChars="200" w:firstLine="482"/>
        <w:rPr>
          <w:rFonts w:ascii="宋体" w:eastAsia="宋体" w:hAnsi="宋体" w:cs="宋体" w:hint="eastAsia"/>
          <w:kern w:val="0"/>
          <w:sz w:val="24"/>
        </w:rPr>
      </w:pPr>
      <w:r>
        <w:rPr>
          <w:rFonts w:ascii="宋体" w:eastAsia="宋体" w:hAnsi="宋体" w:cs="宋体" w:hint="eastAsia"/>
          <w:b/>
          <w:bCs/>
          <w:sz w:val="24"/>
          <w:szCs w:val="24"/>
        </w:rPr>
        <w:t>（2）收益性：</w:t>
      </w:r>
      <w:r>
        <w:rPr>
          <w:rFonts w:ascii="宋体" w:eastAsia="宋体" w:hAnsi="宋体" w:cs="宋体" w:hint="eastAsia"/>
          <w:sz w:val="24"/>
          <w:szCs w:val="24"/>
        </w:rPr>
        <w:t>项目收入来源于</w:t>
      </w:r>
      <w:r>
        <w:rPr>
          <w:rFonts w:ascii="宋体" w:eastAsia="宋体" w:hAnsi="宋体" w:hint="eastAsia"/>
          <w:color w:val="000000"/>
          <w:kern w:val="0"/>
          <w:sz w:val="24"/>
          <w:szCs w:val="24"/>
        </w:rPr>
        <w:t>土地出让收入、广告牌出租收入、停车位收入</w:t>
      </w:r>
      <w:r>
        <w:rPr>
          <w:rFonts w:ascii="宋体" w:eastAsia="宋体" w:hAnsi="宋体" w:cs="宋体" w:hint="eastAsia"/>
          <w:kern w:val="0"/>
          <w:sz w:val="24"/>
        </w:rPr>
        <w:t>等。</w:t>
      </w:r>
    </w:p>
    <w:p w14:paraId="15A07EB7" w14:textId="16FFA76E" w:rsidR="001F2258" w:rsidRDefault="001F2258">
      <w:pPr>
        <w:adjustRightInd w:val="0"/>
        <w:snapToGrid w:val="0"/>
        <w:spacing w:line="360" w:lineRule="auto"/>
        <w:ind w:firstLineChars="200" w:firstLine="482"/>
        <w:rPr>
          <w:rFonts w:ascii="宋体" w:eastAsia="宋体" w:hAnsi="宋体" w:cs="宋体" w:hint="eastAsia"/>
          <w:kern w:val="0"/>
          <w:sz w:val="24"/>
        </w:rPr>
      </w:pPr>
      <w:r w:rsidRPr="001F2258">
        <w:rPr>
          <w:rFonts w:ascii="宋体" w:eastAsia="宋体" w:hAnsi="宋体" w:cs="宋体" w:hint="eastAsia"/>
          <w:b/>
          <w:bCs/>
          <w:kern w:val="0"/>
          <w:sz w:val="24"/>
        </w:rPr>
        <w:t>（3）公益性：</w:t>
      </w:r>
      <w:r w:rsidRPr="001F2258">
        <w:rPr>
          <w:rFonts w:ascii="宋体" w:eastAsia="宋体" w:hAnsi="宋体" w:cs="宋体" w:hint="eastAsia"/>
          <w:kern w:val="0"/>
          <w:sz w:val="24"/>
        </w:rPr>
        <w:t>本项目的建设可以提高广大人民群众的生活水平、优化生活环境，提高海口市经济水平的发展，加快海口市的建设，是提升海口市构建和谐社会的重要内容，是一项为民、惠民、利民的工程。</w:t>
      </w:r>
    </w:p>
    <w:p w14:paraId="73728857" w14:textId="77777777" w:rsidR="00CD75AA" w:rsidRDefault="007D11AE">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2.项目建设投资合规性与项目成熟度</w:t>
      </w:r>
    </w:p>
    <w:p w14:paraId="73728858" w14:textId="77777777" w:rsidR="00CD75AA" w:rsidRDefault="007D11AE">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本项目的建设投资符合国家、海南省有关法律法规、政策文件及规范性文件要求。</w:t>
      </w:r>
    </w:p>
    <w:p w14:paraId="73728859" w14:textId="77777777" w:rsidR="00CD75AA" w:rsidRDefault="007D11AE">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3.项目资金来源和到位可行性</w:t>
      </w:r>
    </w:p>
    <w:p w14:paraId="7372885A" w14:textId="77777777" w:rsidR="00CD75AA" w:rsidRDefault="007D11AE">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各项目主要通过发行地方政府专项债券融资以及财政资金投入，若条件允许，在满足合法合规、资金平衡要求的前提下，也可考虑发行债券方式筹集。</w:t>
      </w:r>
    </w:p>
    <w:p w14:paraId="7372885B" w14:textId="77777777" w:rsidR="00CD75AA" w:rsidRDefault="007D11AE">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总体来看，综合海口市财政状况，财政资金到位可行性较高，专项债券部分以最终实际发行计划为准。</w:t>
      </w:r>
    </w:p>
    <w:p w14:paraId="7372885C" w14:textId="77777777" w:rsidR="00CD75AA" w:rsidRDefault="007D11AE">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4.项目收入、成本、收益预测的合理性</w:t>
      </w:r>
    </w:p>
    <w:p w14:paraId="7372885D" w14:textId="77777777" w:rsidR="00CD75AA" w:rsidRDefault="007D11AE">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本项目收入来源为土地出让收入。债券存续期内，本项目本息覆盖倍数可达</w:t>
      </w:r>
      <w:r>
        <w:rPr>
          <w:rFonts w:ascii="宋体" w:eastAsia="宋体" w:hAnsi="宋体" w:cs="宋体" w:hint="eastAsia"/>
          <w:kern w:val="0"/>
          <w:sz w:val="24"/>
          <w:szCs w:val="24"/>
        </w:rPr>
        <w:lastRenderedPageBreak/>
        <w:t>1.20以上。综上，在满足假设条件的前提下，能够满足资金筹措充足性的要求。项目收入、成本、收益情况均根据充分依据测算得出，较为合理。</w:t>
      </w:r>
    </w:p>
    <w:p w14:paraId="7372885E" w14:textId="77777777" w:rsidR="00CD75AA" w:rsidRDefault="007D11AE">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5.债券资金需求的合理性</w:t>
      </w:r>
    </w:p>
    <w:p w14:paraId="7372885F" w14:textId="77777777" w:rsidR="00CD75AA" w:rsidRDefault="007D11AE">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14:paraId="73728860" w14:textId="77777777" w:rsidR="00CD75AA" w:rsidRDefault="007D11AE">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本项目通过发行专项债券募集资金可以降低融资成本，是现阶段解决项目建设资金问题的较优方案。</w:t>
      </w:r>
    </w:p>
    <w:p w14:paraId="73728861" w14:textId="77777777" w:rsidR="00CD75AA" w:rsidRDefault="007D11AE">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6.项目偿债计划可行性和偿债风险点</w:t>
      </w:r>
    </w:p>
    <w:p w14:paraId="73728862" w14:textId="77777777" w:rsidR="00CD75AA" w:rsidRDefault="007D11AE">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通过本项目融资平衡测算，一方面通过发行专项债券筹集资金能满足项目建设资金需求；另一方面项目收益也能保障债券还本付息，总体实现项目收益和融资的自求平衡。</w:t>
      </w:r>
    </w:p>
    <w:p w14:paraId="73728863" w14:textId="77777777" w:rsidR="00CD75AA" w:rsidRDefault="007D11AE">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7.绩效目标合理性</w:t>
      </w:r>
    </w:p>
    <w:p w14:paraId="73728864" w14:textId="77777777" w:rsidR="00CD75AA" w:rsidRDefault="007D11AE">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14:paraId="73728865" w14:textId="77777777" w:rsidR="00CD75AA" w:rsidRDefault="007D11AE">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sz w:val="24"/>
          <w:szCs w:val="24"/>
        </w:rPr>
        <w:t>综上，本项目经事前绩效评估，已具备申请专项债券资金支持的必要性和可行性。</w:t>
      </w:r>
    </w:p>
    <w:p w14:paraId="73728866"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p>
    <w:p w14:paraId="73728867" w14:textId="77777777" w:rsidR="00CD75AA" w:rsidRDefault="007D11AE">
      <w:pPr>
        <w:pStyle w:val="10"/>
        <w:spacing w:line="360" w:lineRule="auto"/>
        <w:ind w:firstLine="482"/>
        <w:outlineLvl w:val="0"/>
        <w:rPr>
          <w:rFonts w:ascii="宋体" w:eastAsia="宋体" w:hAnsi="宋体" w:cs="宋体" w:hint="eastAsia"/>
          <w:b/>
          <w:sz w:val="24"/>
          <w:szCs w:val="24"/>
        </w:rPr>
      </w:pPr>
      <w:bookmarkStart w:id="11" w:name="_Toc7833"/>
      <w:r>
        <w:rPr>
          <w:rFonts w:ascii="宋体" w:eastAsia="宋体" w:hAnsi="宋体" w:cs="宋体" w:hint="eastAsia"/>
          <w:b/>
          <w:sz w:val="24"/>
          <w:szCs w:val="24"/>
        </w:rPr>
        <w:t>四、项目平衡实施方案</w:t>
      </w:r>
      <w:bookmarkEnd w:id="11"/>
    </w:p>
    <w:p w14:paraId="73728868" w14:textId="77777777" w:rsidR="00CD75AA" w:rsidRDefault="007D11AE">
      <w:pPr>
        <w:widowControl/>
        <w:spacing w:before="120" w:after="120" w:line="360" w:lineRule="auto"/>
        <w:outlineLvl w:val="1"/>
        <w:rPr>
          <w:rFonts w:ascii="宋体" w:eastAsia="宋体" w:hAnsi="宋体" w:hint="eastAsia"/>
          <w:b/>
          <w:color w:val="000000"/>
          <w:kern w:val="0"/>
          <w:sz w:val="24"/>
          <w:szCs w:val="24"/>
        </w:rPr>
      </w:pPr>
      <w:bookmarkStart w:id="12" w:name="_Toc114818421"/>
      <w:bookmarkStart w:id="13" w:name="_Toc200555354"/>
      <w:bookmarkStart w:id="14" w:name="_Toc114818531"/>
      <w:bookmarkStart w:id="15" w:name="_Toc12755"/>
      <w:r>
        <w:rPr>
          <w:rFonts w:ascii="宋体" w:eastAsia="宋体" w:hAnsi="宋体" w:hint="eastAsia"/>
          <w:b/>
          <w:color w:val="000000"/>
          <w:kern w:val="0"/>
          <w:sz w:val="24"/>
          <w:szCs w:val="24"/>
        </w:rPr>
        <w:t>（一）</w:t>
      </w:r>
      <w:r>
        <w:rPr>
          <w:rFonts w:ascii="宋体" w:eastAsia="宋体" w:hAnsi="宋体"/>
          <w:b/>
          <w:color w:val="000000"/>
          <w:kern w:val="0"/>
          <w:sz w:val="24"/>
          <w:szCs w:val="24"/>
        </w:rPr>
        <w:t>资金充足性</w:t>
      </w:r>
      <w:bookmarkEnd w:id="12"/>
      <w:bookmarkEnd w:id="13"/>
      <w:bookmarkEnd w:id="14"/>
    </w:p>
    <w:p w14:paraId="73728869" w14:textId="77777777" w:rsidR="00CD75AA" w:rsidRDefault="007D11AE">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16" w:name="_Toc200555355"/>
      <w:bookmarkStart w:id="17" w:name="_Toc114818532"/>
      <w:bookmarkStart w:id="18" w:name="_Toc114818422"/>
      <w:r>
        <w:rPr>
          <w:rFonts w:ascii="宋体" w:eastAsia="宋体" w:hAnsi="宋体"/>
          <w:b/>
          <w:bCs/>
          <w:color w:val="000000"/>
          <w:kern w:val="0"/>
          <w:sz w:val="24"/>
          <w:szCs w:val="24"/>
        </w:rPr>
        <w:t>1.投资估算</w:t>
      </w:r>
      <w:bookmarkEnd w:id="16"/>
      <w:bookmarkEnd w:id="17"/>
      <w:bookmarkEnd w:id="18"/>
    </w:p>
    <w:p w14:paraId="7372886A" w14:textId="77777777" w:rsidR="00CD75AA" w:rsidRDefault="007D11AE">
      <w:pPr>
        <w:widowControl/>
        <w:spacing w:before="120" w:after="120" w:line="360" w:lineRule="auto"/>
        <w:ind w:firstLineChars="200" w:firstLine="480"/>
        <w:rPr>
          <w:rFonts w:ascii="宋体" w:eastAsia="宋体" w:hAnsi="宋体" w:hint="eastAsia"/>
          <w:kern w:val="0"/>
          <w:sz w:val="18"/>
          <w:szCs w:val="18"/>
          <w:lang w:val="en-GB" w:eastAsia="zh-TW"/>
        </w:rPr>
      </w:pPr>
      <w:bookmarkStart w:id="19" w:name="_Hlk114818237"/>
      <w:r>
        <w:rPr>
          <w:rFonts w:ascii="宋体" w:eastAsia="宋体" w:hAnsi="宋体" w:hint="eastAsia"/>
          <w:color w:val="000000"/>
          <w:kern w:val="0"/>
          <w:sz w:val="24"/>
          <w:szCs w:val="24"/>
        </w:rPr>
        <w:t>鸿越路总投资为</w:t>
      </w:r>
      <w:r>
        <w:rPr>
          <w:rFonts w:ascii="宋体" w:eastAsia="宋体" w:hAnsi="宋体"/>
          <w:color w:val="000000"/>
          <w:kern w:val="0"/>
          <w:sz w:val="24"/>
          <w:szCs w:val="24"/>
        </w:rPr>
        <w:t>65,429.12</w:t>
      </w:r>
      <w:r>
        <w:rPr>
          <w:rFonts w:ascii="宋体" w:eastAsia="宋体" w:hAnsi="宋体" w:hint="eastAsia"/>
          <w:color w:val="000000"/>
          <w:kern w:val="0"/>
          <w:sz w:val="24"/>
          <w:szCs w:val="24"/>
        </w:rPr>
        <w:t>万元</w:t>
      </w:r>
      <w:bookmarkEnd w:id="19"/>
      <w:r>
        <w:rPr>
          <w:rFonts w:ascii="宋体" w:eastAsia="宋体" w:hAnsi="宋体" w:hint="eastAsia"/>
          <w:color w:val="000000"/>
          <w:kern w:val="0"/>
          <w:sz w:val="24"/>
          <w:szCs w:val="24"/>
        </w:rPr>
        <w:t>，详见表3。</w:t>
      </w:r>
    </w:p>
    <w:p w14:paraId="7372886B" w14:textId="77777777" w:rsidR="00CD75AA" w:rsidRDefault="007D11AE">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lastRenderedPageBreak/>
        <w:t>表3 鸿越路总投资估算表</w:t>
      </w:r>
    </w:p>
    <w:p w14:paraId="7372886C" w14:textId="77777777" w:rsidR="00CD75AA" w:rsidRDefault="007D11AE">
      <w:pPr>
        <w:widowControl/>
        <w:ind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4"/>
        <w:gridCol w:w="1236"/>
        <w:gridCol w:w="1096"/>
        <w:gridCol w:w="1096"/>
        <w:gridCol w:w="1096"/>
        <w:gridCol w:w="1096"/>
        <w:gridCol w:w="1096"/>
        <w:gridCol w:w="1096"/>
      </w:tblGrid>
      <w:tr w:rsidR="00CD75AA" w14:paraId="73728875" w14:textId="77777777">
        <w:trPr>
          <w:trHeight w:val="276"/>
          <w:tblHeader/>
          <w:jc w:val="center"/>
        </w:trPr>
        <w:tc>
          <w:tcPr>
            <w:tcW w:w="325" w:type="pct"/>
            <w:shd w:val="clear" w:color="auto" w:fill="D8D8D8"/>
            <w:vAlign w:val="center"/>
          </w:tcPr>
          <w:p w14:paraId="7372886D" w14:textId="77777777" w:rsidR="00CD75AA" w:rsidRDefault="007D11AE">
            <w:pPr>
              <w:widowControl/>
              <w:jc w:val="center"/>
              <w:rPr>
                <w:rFonts w:ascii="宋体" w:eastAsia="宋体" w:hAnsi="宋体" w:cs="Arial Unicode MS" w:hint="eastAsia"/>
                <w:b/>
                <w:color w:val="000000"/>
                <w:kern w:val="0"/>
                <w:sz w:val="20"/>
                <w:szCs w:val="20"/>
                <w:lang w:val="en-GB"/>
              </w:rPr>
            </w:pPr>
            <w:bookmarkStart w:id="20" w:name="_Toc114818533"/>
            <w:bookmarkStart w:id="21" w:name="_Toc114818423"/>
            <w:r>
              <w:rPr>
                <w:rFonts w:ascii="宋体" w:eastAsia="宋体" w:hAnsi="宋体" w:cs="Arial Unicode MS" w:hint="eastAsia"/>
                <w:b/>
                <w:color w:val="000000"/>
                <w:kern w:val="0"/>
                <w:sz w:val="20"/>
                <w:szCs w:val="20"/>
                <w:lang w:val="en-GB" w:eastAsia="zh-TW"/>
              </w:rPr>
              <w:t>序号</w:t>
            </w:r>
          </w:p>
        </w:tc>
        <w:tc>
          <w:tcPr>
            <w:tcW w:w="739" w:type="pct"/>
            <w:shd w:val="clear" w:color="auto" w:fill="D8D8D8"/>
            <w:vAlign w:val="center"/>
          </w:tcPr>
          <w:p w14:paraId="7372886E"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655" w:type="pct"/>
            <w:shd w:val="clear" w:color="auto" w:fill="D8D8D8"/>
            <w:vAlign w:val="center"/>
          </w:tcPr>
          <w:p w14:paraId="7372886F"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022</w:t>
            </w:r>
          </w:p>
        </w:tc>
        <w:tc>
          <w:tcPr>
            <w:tcW w:w="656" w:type="pct"/>
            <w:shd w:val="clear" w:color="auto" w:fill="D8D8D8"/>
            <w:vAlign w:val="center"/>
          </w:tcPr>
          <w:p w14:paraId="73728870"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023</w:t>
            </w:r>
          </w:p>
        </w:tc>
        <w:tc>
          <w:tcPr>
            <w:tcW w:w="656" w:type="pct"/>
            <w:shd w:val="clear" w:color="auto" w:fill="D8D8D8"/>
            <w:vAlign w:val="center"/>
          </w:tcPr>
          <w:p w14:paraId="73728871"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024</w:t>
            </w:r>
          </w:p>
        </w:tc>
        <w:tc>
          <w:tcPr>
            <w:tcW w:w="656" w:type="pct"/>
            <w:shd w:val="clear" w:color="auto" w:fill="D8D8D8"/>
            <w:vAlign w:val="center"/>
          </w:tcPr>
          <w:p w14:paraId="73728872"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656" w:type="pct"/>
            <w:shd w:val="clear" w:color="auto" w:fill="D8D8D8"/>
            <w:vAlign w:val="center"/>
          </w:tcPr>
          <w:p w14:paraId="73728873"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2026</w:t>
            </w:r>
          </w:p>
        </w:tc>
        <w:tc>
          <w:tcPr>
            <w:tcW w:w="656" w:type="pct"/>
            <w:shd w:val="clear" w:color="auto" w:fill="D8D8D8"/>
            <w:vAlign w:val="center"/>
          </w:tcPr>
          <w:p w14:paraId="73728874" w14:textId="77777777" w:rsidR="00CD75AA" w:rsidRDefault="007D11AE">
            <w:pPr>
              <w:widowControl/>
              <w:jc w:val="center"/>
              <w:rPr>
                <w:rFonts w:ascii="宋体" w:eastAsia="宋体" w:hAnsi="宋体" w:cs="Arial Unicode MS" w:hint="eastAsia"/>
                <w:b/>
                <w:color w:val="000000"/>
                <w:kern w:val="0"/>
                <w:sz w:val="20"/>
                <w:szCs w:val="20"/>
                <w:lang w:val="en-GB" w:eastAsia="zh-TW"/>
              </w:rPr>
            </w:pPr>
            <w:r>
              <w:rPr>
                <w:rFonts w:ascii="宋体" w:eastAsia="宋体" w:hAnsi="宋体" w:cs="Arial Unicode MS" w:hint="eastAsia"/>
                <w:b/>
                <w:color w:val="000000"/>
                <w:kern w:val="0"/>
                <w:sz w:val="20"/>
                <w:szCs w:val="20"/>
                <w:lang w:val="en-GB" w:eastAsia="zh-TW"/>
              </w:rPr>
              <w:t>合计</w:t>
            </w:r>
          </w:p>
        </w:tc>
      </w:tr>
      <w:tr w:rsidR="00CD75AA" w14:paraId="7372887E" w14:textId="77777777">
        <w:trPr>
          <w:trHeight w:val="276"/>
          <w:jc w:val="center"/>
        </w:trPr>
        <w:tc>
          <w:tcPr>
            <w:tcW w:w="325" w:type="pct"/>
            <w:shd w:val="clear" w:color="000000" w:fill="FFFFFF"/>
            <w:vAlign w:val="center"/>
          </w:tcPr>
          <w:p w14:paraId="73728876" w14:textId="77777777" w:rsidR="00CD75AA" w:rsidRDefault="007D11AE">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1.1</w:t>
            </w:r>
          </w:p>
        </w:tc>
        <w:tc>
          <w:tcPr>
            <w:tcW w:w="739" w:type="pct"/>
            <w:shd w:val="clear" w:color="000000" w:fill="FFFFFF"/>
            <w:vAlign w:val="center"/>
          </w:tcPr>
          <w:p w14:paraId="73728877" w14:textId="77777777" w:rsidR="00CD75AA" w:rsidRDefault="007D11AE">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建设投资</w:t>
            </w:r>
          </w:p>
        </w:tc>
        <w:tc>
          <w:tcPr>
            <w:tcW w:w="655" w:type="pct"/>
            <w:shd w:val="clear" w:color="000000" w:fill="FFFFFF"/>
            <w:vAlign w:val="center"/>
          </w:tcPr>
          <w:p w14:paraId="73728878"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50.00</w:t>
            </w:r>
          </w:p>
        </w:tc>
        <w:tc>
          <w:tcPr>
            <w:tcW w:w="656" w:type="pct"/>
            <w:shd w:val="clear" w:color="000000" w:fill="FFFFFF"/>
            <w:vAlign w:val="center"/>
          </w:tcPr>
          <w:p w14:paraId="73728879"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10,400.00</w:t>
            </w:r>
          </w:p>
        </w:tc>
        <w:tc>
          <w:tcPr>
            <w:tcW w:w="656" w:type="pct"/>
            <w:shd w:val="clear" w:color="000000" w:fill="FFFFFF"/>
            <w:vAlign w:val="center"/>
          </w:tcPr>
          <w:p w14:paraId="7372887A"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21,600.00</w:t>
            </w:r>
          </w:p>
        </w:tc>
        <w:tc>
          <w:tcPr>
            <w:tcW w:w="656" w:type="pct"/>
            <w:shd w:val="clear" w:color="000000" w:fill="FFFFFF"/>
            <w:vAlign w:val="center"/>
          </w:tcPr>
          <w:p w14:paraId="7372887B"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10,400.00</w:t>
            </w:r>
          </w:p>
        </w:tc>
        <w:tc>
          <w:tcPr>
            <w:tcW w:w="656" w:type="pct"/>
            <w:shd w:val="clear" w:color="000000" w:fill="FFFFFF"/>
            <w:vAlign w:val="center"/>
          </w:tcPr>
          <w:p w14:paraId="7372887C" w14:textId="77777777" w:rsidR="00CD75AA" w:rsidRDefault="007D11AE">
            <w:pPr>
              <w:widowControl/>
              <w:jc w:val="right"/>
              <w:rPr>
                <w:rFonts w:ascii="宋体" w:eastAsia="宋体" w:hAnsi="宋体" w:hint="eastAsia"/>
                <w:b/>
                <w:bCs/>
                <w:kern w:val="0"/>
                <w:sz w:val="20"/>
                <w:szCs w:val="20"/>
                <w:lang w:val="en-GB"/>
              </w:rPr>
            </w:pPr>
            <w:r>
              <w:rPr>
                <w:rFonts w:ascii="宋体" w:eastAsia="宋体" w:hAnsi="宋体" w:hint="eastAsia"/>
                <w:color w:val="000000"/>
                <w:kern w:val="0"/>
                <w:sz w:val="20"/>
                <w:szCs w:val="20"/>
                <w:lang w:val="en-GB"/>
              </w:rPr>
              <w:t>22,765.28</w:t>
            </w:r>
          </w:p>
        </w:tc>
        <w:tc>
          <w:tcPr>
            <w:tcW w:w="656" w:type="pct"/>
            <w:shd w:val="clear" w:color="000000" w:fill="FFFFFF"/>
            <w:vAlign w:val="center"/>
          </w:tcPr>
          <w:p w14:paraId="7372887D"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65,215.28</w:t>
            </w:r>
          </w:p>
        </w:tc>
      </w:tr>
      <w:tr w:rsidR="00CD75AA" w14:paraId="73728887" w14:textId="77777777">
        <w:trPr>
          <w:trHeight w:val="276"/>
          <w:jc w:val="center"/>
        </w:trPr>
        <w:tc>
          <w:tcPr>
            <w:tcW w:w="325" w:type="pct"/>
            <w:shd w:val="clear" w:color="000000" w:fill="FFFFFF"/>
            <w:vAlign w:val="center"/>
          </w:tcPr>
          <w:p w14:paraId="7372887F" w14:textId="77777777" w:rsidR="00CD75AA" w:rsidRDefault="007D11AE">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1.2</w:t>
            </w:r>
          </w:p>
        </w:tc>
        <w:tc>
          <w:tcPr>
            <w:tcW w:w="739" w:type="pct"/>
            <w:shd w:val="clear" w:color="000000" w:fill="FFFFFF"/>
            <w:vAlign w:val="center"/>
          </w:tcPr>
          <w:p w14:paraId="73728880" w14:textId="77777777" w:rsidR="00CD75AA" w:rsidRDefault="007D11AE">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建设期利息</w:t>
            </w:r>
          </w:p>
        </w:tc>
        <w:tc>
          <w:tcPr>
            <w:tcW w:w="655" w:type="pct"/>
            <w:shd w:val="clear" w:color="000000" w:fill="FFFFFF"/>
            <w:vAlign w:val="center"/>
          </w:tcPr>
          <w:p w14:paraId="7372888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6" w:type="pct"/>
            <w:shd w:val="clear" w:color="000000" w:fill="FFFFFF"/>
            <w:vAlign w:val="center"/>
          </w:tcPr>
          <w:p w14:paraId="7372888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6" w:type="pct"/>
            <w:shd w:val="clear" w:color="000000" w:fill="FFFFFF"/>
            <w:vAlign w:val="center"/>
          </w:tcPr>
          <w:p w14:paraId="73728883"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6" w:type="pct"/>
            <w:shd w:val="clear" w:color="000000" w:fill="FFFFFF"/>
            <w:vAlign w:val="center"/>
          </w:tcPr>
          <w:p w14:paraId="73728884"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71.28</w:t>
            </w:r>
          </w:p>
        </w:tc>
        <w:tc>
          <w:tcPr>
            <w:tcW w:w="656" w:type="pct"/>
            <w:shd w:val="clear" w:color="000000" w:fill="FFFFFF"/>
            <w:vAlign w:val="center"/>
          </w:tcPr>
          <w:p w14:paraId="73728885" w14:textId="77777777" w:rsidR="00CD75AA" w:rsidRDefault="007D11AE">
            <w:pPr>
              <w:widowControl/>
              <w:jc w:val="right"/>
              <w:rPr>
                <w:rFonts w:ascii="宋体" w:eastAsia="宋体" w:hAnsi="宋体" w:hint="eastAsia"/>
                <w:b/>
                <w:bCs/>
                <w:kern w:val="0"/>
                <w:sz w:val="20"/>
                <w:szCs w:val="20"/>
                <w:lang w:val="en-GB"/>
              </w:rPr>
            </w:pPr>
            <w:r>
              <w:rPr>
                <w:rFonts w:ascii="宋体" w:eastAsia="宋体" w:hAnsi="宋体" w:hint="eastAsia"/>
                <w:color w:val="000000"/>
                <w:kern w:val="0"/>
                <w:sz w:val="20"/>
                <w:szCs w:val="20"/>
                <w:lang w:val="en-GB"/>
              </w:rPr>
              <w:t>142.56</w:t>
            </w:r>
          </w:p>
        </w:tc>
        <w:tc>
          <w:tcPr>
            <w:tcW w:w="656" w:type="pct"/>
            <w:shd w:val="clear" w:color="000000" w:fill="FFFFFF"/>
            <w:vAlign w:val="center"/>
          </w:tcPr>
          <w:p w14:paraId="73728886"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213.84</w:t>
            </w:r>
          </w:p>
        </w:tc>
      </w:tr>
      <w:tr w:rsidR="00CD75AA" w14:paraId="73728890" w14:textId="77777777">
        <w:trPr>
          <w:trHeight w:val="276"/>
          <w:jc w:val="center"/>
        </w:trPr>
        <w:tc>
          <w:tcPr>
            <w:tcW w:w="325" w:type="pct"/>
            <w:shd w:val="clear" w:color="000000" w:fill="FFFFFF"/>
            <w:vAlign w:val="center"/>
          </w:tcPr>
          <w:p w14:paraId="73728888" w14:textId="77777777" w:rsidR="00CD75AA" w:rsidRDefault="007D11AE">
            <w:pPr>
              <w:widowControl/>
              <w:jc w:val="center"/>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t>1</w:t>
            </w:r>
            <w:r>
              <w:rPr>
                <w:rFonts w:ascii="宋体" w:eastAsia="宋体" w:hAnsi="宋体" w:cs="Arial Unicode MS"/>
                <w:b/>
                <w:bCs/>
                <w:color w:val="000000"/>
                <w:kern w:val="0"/>
                <w:sz w:val="20"/>
                <w:szCs w:val="20"/>
                <w:lang w:val="en-GB"/>
              </w:rPr>
              <w:t>.</w:t>
            </w:r>
            <w:r>
              <w:rPr>
                <w:rFonts w:ascii="宋体" w:eastAsia="宋体" w:hAnsi="宋体" w:cs="Arial Unicode MS" w:hint="eastAsia"/>
                <w:b/>
                <w:bCs/>
                <w:color w:val="000000"/>
                <w:kern w:val="0"/>
                <w:sz w:val="20"/>
                <w:szCs w:val="20"/>
                <w:lang w:val="en-GB"/>
              </w:rPr>
              <w:t>3</w:t>
            </w:r>
          </w:p>
        </w:tc>
        <w:tc>
          <w:tcPr>
            <w:tcW w:w="739" w:type="pct"/>
            <w:shd w:val="clear" w:color="000000" w:fill="FFFFFF"/>
            <w:vAlign w:val="center"/>
          </w:tcPr>
          <w:p w14:paraId="73728889" w14:textId="77777777" w:rsidR="00CD75AA" w:rsidRDefault="007D11AE">
            <w:pPr>
              <w:widowControl/>
              <w:jc w:val="left"/>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t>合计</w:t>
            </w:r>
          </w:p>
        </w:tc>
        <w:tc>
          <w:tcPr>
            <w:tcW w:w="655" w:type="pct"/>
            <w:shd w:val="clear" w:color="000000" w:fill="FFFFFF"/>
            <w:vAlign w:val="center"/>
          </w:tcPr>
          <w:p w14:paraId="7372888A"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50.00</w:t>
            </w:r>
          </w:p>
        </w:tc>
        <w:tc>
          <w:tcPr>
            <w:tcW w:w="656" w:type="pct"/>
            <w:shd w:val="clear" w:color="000000" w:fill="FFFFFF"/>
            <w:vAlign w:val="center"/>
          </w:tcPr>
          <w:p w14:paraId="7372888B"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10,400.00</w:t>
            </w:r>
          </w:p>
        </w:tc>
        <w:tc>
          <w:tcPr>
            <w:tcW w:w="656" w:type="pct"/>
            <w:shd w:val="clear" w:color="000000" w:fill="FFFFFF"/>
            <w:vAlign w:val="center"/>
          </w:tcPr>
          <w:p w14:paraId="7372888C"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21,600.00</w:t>
            </w:r>
          </w:p>
        </w:tc>
        <w:tc>
          <w:tcPr>
            <w:tcW w:w="656" w:type="pct"/>
            <w:shd w:val="clear" w:color="000000" w:fill="FFFFFF"/>
            <w:vAlign w:val="center"/>
          </w:tcPr>
          <w:p w14:paraId="7372888D"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10,471.28</w:t>
            </w:r>
          </w:p>
        </w:tc>
        <w:tc>
          <w:tcPr>
            <w:tcW w:w="656" w:type="pct"/>
            <w:shd w:val="clear" w:color="000000" w:fill="FFFFFF"/>
            <w:vAlign w:val="center"/>
          </w:tcPr>
          <w:p w14:paraId="7372888E" w14:textId="77777777" w:rsidR="00CD75AA" w:rsidRDefault="007D11AE">
            <w:pPr>
              <w:widowControl/>
              <w:jc w:val="right"/>
              <w:rPr>
                <w:rFonts w:ascii="宋体" w:eastAsia="宋体" w:hAnsi="宋体" w:hint="eastAsia"/>
                <w:b/>
                <w:bCs/>
                <w:kern w:val="0"/>
                <w:sz w:val="20"/>
                <w:szCs w:val="20"/>
                <w:lang w:val="en-GB"/>
              </w:rPr>
            </w:pPr>
            <w:r>
              <w:rPr>
                <w:rFonts w:ascii="宋体" w:eastAsia="宋体" w:hAnsi="宋体" w:hint="eastAsia"/>
                <w:b/>
                <w:bCs/>
                <w:color w:val="000000"/>
                <w:kern w:val="0"/>
                <w:sz w:val="20"/>
                <w:szCs w:val="20"/>
                <w:lang w:val="en-GB"/>
              </w:rPr>
              <w:t>22,907.84</w:t>
            </w:r>
          </w:p>
        </w:tc>
        <w:tc>
          <w:tcPr>
            <w:tcW w:w="656" w:type="pct"/>
            <w:shd w:val="clear" w:color="000000" w:fill="FFFFFF"/>
            <w:vAlign w:val="center"/>
          </w:tcPr>
          <w:p w14:paraId="7372888F"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65,429.12</w:t>
            </w:r>
          </w:p>
        </w:tc>
      </w:tr>
    </w:tbl>
    <w:p w14:paraId="73728891" w14:textId="77777777" w:rsidR="00CD75AA" w:rsidRDefault="007D11AE">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2" w:name="_Toc200555356"/>
      <w:r>
        <w:rPr>
          <w:rFonts w:ascii="宋体" w:eastAsia="宋体" w:hAnsi="宋体"/>
          <w:b/>
          <w:bCs/>
          <w:color w:val="000000"/>
          <w:kern w:val="0"/>
          <w:sz w:val="24"/>
          <w:szCs w:val="24"/>
        </w:rPr>
        <w:t>2.资金筹措</w:t>
      </w:r>
      <w:bookmarkEnd w:id="20"/>
      <w:bookmarkEnd w:id="21"/>
      <w:bookmarkEnd w:id="22"/>
    </w:p>
    <w:p w14:paraId="73728892" w14:textId="77777777" w:rsidR="00CD75AA" w:rsidRDefault="007D11AE">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本项目累计资金筹措总额</w:t>
      </w:r>
      <w:r>
        <w:rPr>
          <w:rFonts w:ascii="宋体" w:eastAsia="宋体" w:hAnsi="宋体"/>
          <w:color w:val="000000"/>
          <w:kern w:val="0"/>
          <w:sz w:val="24"/>
          <w:szCs w:val="24"/>
        </w:rPr>
        <w:t>65,429.12</w:t>
      </w:r>
      <w:r>
        <w:rPr>
          <w:rFonts w:ascii="宋体" w:eastAsia="宋体" w:hAnsi="宋体" w:hint="eastAsia"/>
          <w:color w:val="000000"/>
          <w:kern w:val="0"/>
          <w:sz w:val="24"/>
          <w:szCs w:val="24"/>
        </w:rPr>
        <w:t>万元，其中，自筹资金</w:t>
      </w:r>
      <w:r>
        <w:rPr>
          <w:rFonts w:ascii="宋体" w:eastAsia="宋体" w:hAnsi="宋体"/>
          <w:color w:val="000000"/>
          <w:kern w:val="0"/>
          <w:sz w:val="24"/>
          <w:szCs w:val="24"/>
        </w:rPr>
        <w:t>57,329.12</w:t>
      </w:r>
      <w:r>
        <w:rPr>
          <w:rFonts w:ascii="宋体" w:eastAsia="宋体" w:hAnsi="宋体" w:hint="eastAsia"/>
          <w:color w:val="000000"/>
          <w:kern w:val="0"/>
          <w:sz w:val="24"/>
          <w:szCs w:val="24"/>
        </w:rPr>
        <w:t>万元，本期计划调增专项债券</w:t>
      </w:r>
      <w:r>
        <w:rPr>
          <w:rFonts w:ascii="宋体" w:eastAsia="宋体" w:hAnsi="宋体"/>
          <w:color w:val="000000"/>
          <w:kern w:val="0"/>
          <w:sz w:val="24"/>
          <w:szCs w:val="24"/>
        </w:rPr>
        <w:t>8,100.00</w:t>
      </w:r>
      <w:r>
        <w:rPr>
          <w:rFonts w:ascii="宋体" w:eastAsia="宋体" w:hAnsi="宋体" w:hint="eastAsia"/>
          <w:color w:val="000000"/>
          <w:kern w:val="0"/>
          <w:sz w:val="24"/>
          <w:szCs w:val="24"/>
        </w:rPr>
        <w:t>万元。本项目的自筹资金，由财政资金统筹安排。</w:t>
      </w:r>
    </w:p>
    <w:p w14:paraId="73728893" w14:textId="77777777" w:rsidR="00CD75AA" w:rsidRDefault="007D11AE">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项目建设期各年度投资计划及资金筹措方案详见表</w:t>
      </w:r>
      <w:r>
        <w:rPr>
          <w:rFonts w:ascii="宋体" w:eastAsia="宋体" w:hAnsi="宋体"/>
          <w:color w:val="000000"/>
          <w:kern w:val="0"/>
          <w:sz w:val="24"/>
          <w:szCs w:val="24"/>
        </w:rPr>
        <w:t>4。</w:t>
      </w:r>
    </w:p>
    <w:p w14:paraId="73728894" w14:textId="77777777" w:rsidR="00CD75AA" w:rsidRDefault="007D11AE">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表4</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鸿越路</w:t>
      </w:r>
      <w:r>
        <w:rPr>
          <w:rFonts w:ascii="宋体" w:eastAsia="宋体" w:hAnsi="宋体"/>
          <w:b/>
          <w:kern w:val="0"/>
          <w:sz w:val="24"/>
          <w:szCs w:val="24"/>
          <w:lang w:val="en-GB"/>
        </w:rPr>
        <w:t>投资计划及资金筹措表</w:t>
      </w:r>
    </w:p>
    <w:p w14:paraId="73728895" w14:textId="77777777" w:rsidR="00CD75AA" w:rsidRDefault="007D11AE">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26"/>
        <w:gridCol w:w="1389"/>
        <w:gridCol w:w="981"/>
        <w:gridCol w:w="1118"/>
        <w:gridCol w:w="1118"/>
        <w:gridCol w:w="1118"/>
        <w:gridCol w:w="1118"/>
        <w:gridCol w:w="988"/>
      </w:tblGrid>
      <w:tr w:rsidR="00CD75AA" w14:paraId="7372889E" w14:textId="77777777">
        <w:trPr>
          <w:trHeight w:val="113"/>
          <w:tblHeader/>
          <w:jc w:val="center"/>
        </w:trPr>
        <w:tc>
          <w:tcPr>
            <w:tcW w:w="315" w:type="pct"/>
            <w:shd w:val="clear" w:color="auto" w:fill="D8D8D8"/>
            <w:vAlign w:val="center"/>
          </w:tcPr>
          <w:p w14:paraId="73728896"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序号</w:t>
            </w:r>
          </w:p>
        </w:tc>
        <w:tc>
          <w:tcPr>
            <w:tcW w:w="831" w:type="pct"/>
            <w:shd w:val="clear" w:color="auto" w:fill="D8D8D8"/>
            <w:vAlign w:val="center"/>
          </w:tcPr>
          <w:p w14:paraId="73728897"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587" w:type="pct"/>
            <w:shd w:val="clear" w:color="auto" w:fill="D8D8D8"/>
          </w:tcPr>
          <w:p w14:paraId="73728898"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w:t>
            </w:r>
            <w:r>
              <w:rPr>
                <w:rFonts w:ascii="宋体" w:eastAsia="宋体" w:hAnsi="宋体" w:cs="宋体"/>
                <w:b/>
                <w:bCs/>
                <w:color w:val="000000"/>
                <w:kern w:val="0"/>
                <w:sz w:val="20"/>
                <w:szCs w:val="20"/>
                <w:lang w:val="en-GB"/>
              </w:rPr>
              <w:t>022</w:t>
            </w:r>
          </w:p>
        </w:tc>
        <w:tc>
          <w:tcPr>
            <w:tcW w:w="669" w:type="pct"/>
            <w:shd w:val="clear" w:color="auto" w:fill="D8D8D8"/>
            <w:vAlign w:val="center"/>
          </w:tcPr>
          <w:p w14:paraId="73728899"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b/>
                <w:bCs/>
                <w:color w:val="000000"/>
                <w:kern w:val="0"/>
                <w:sz w:val="20"/>
                <w:szCs w:val="20"/>
                <w:lang w:val="en-GB"/>
              </w:rPr>
              <w:t>2023</w:t>
            </w:r>
          </w:p>
        </w:tc>
        <w:tc>
          <w:tcPr>
            <w:tcW w:w="669" w:type="pct"/>
            <w:shd w:val="clear" w:color="auto" w:fill="D8D8D8"/>
            <w:vAlign w:val="center"/>
          </w:tcPr>
          <w:p w14:paraId="7372889A"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b/>
                <w:bCs/>
                <w:color w:val="000000"/>
                <w:kern w:val="0"/>
                <w:sz w:val="20"/>
                <w:szCs w:val="20"/>
                <w:lang w:val="en-GB"/>
              </w:rPr>
              <w:t>2024</w:t>
            </w:r>
          </w:p>
        </w:tc>
        <w:tc>
          <w:tcPr>
            <w:tcW w:w="669" w:type="pct"/>
            <w:shd w:val="clear" w:color="auto" w:fill="D8D8D8"/>
          </w:tcPr>
          <w:p w14:paraId="7372889B"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669" w:type="pct"/>
            <w:shd w:val="clear" w:color="auto" w:fill="D8D8D8"/>
          </w:tcPr>
          <w:p w14:paraId="7372889C"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2026</w:t>
            </w:r>
          </w:p>
        </w:tc>
        <w:tc>
          <w:tcPr>
            <w:tcW w:w="592" w:type="pct"/>
            <w:shd w:val="clear" w:color="auto" w:fill="D8D8D8"/>
            <w:vAlign w:val="center"/>
          </w:tcPr>
          <w:p w14:paraId="7372889D"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r>
      <w:tr w:rsidR="00CD75AA" w14:paraId="737288A7" w14:textId="77777777">
        <w:trPr>
          <w:trHeight w:val="113"/>
          <w:jc w:val="center"/>
        </w:trPr>
        <w:tc>
          <w:tcPr>
            <w:tcW w:w="315" w:type="pct"/>
            <w:shd w:val="clear" w:color="000000" w:fill="FFFFFF"/>
            <w:vAlign w:val="center"/>
          </w:tcPr>
          <w:p w14:paraId="7372889F" w14:textId="77777777" w:rsidR="00CD75AA" w:rsidRDefault="007D11AE">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1</w:t>
            </w:r>
          </w:p>
        </w:tc>
        <w:tc>
          <w:tcPr>
            <w:tcW w:w="831" w:type="pct"/>
            <w:shd w:val="clear" w:color="000000" w:fill="FFFFFF"/>
            <w:vAlign w:val="center"/>
          </w:tcPr>
          <w:p w14:paraId="737288A0" w14:textId="77777777" w:rsidR="00CD75AA" w:rsidRDefault="007D11AE">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自筹资金</w:t>
            </w:r>
          </w:p>
        </w:tc>
        <w:tc>
          <w:tcPr>
            <w:tcW w:w="587" w:type="pct"/>
            <w:shd w:val="clear" w:color="000000" w:fill="FFFFFF"/>
            <w:vAlign w:val="center"/>
          </w:tcPr>
          <w:p w14:paraId="737288A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50.00</w:t>
            </w:r>
          </w:p>
        </w:tc>
        <w:tc>
          <w:tcPr>
            <w:tcW w:w="669" w:type="pct"/>
            <w:shd w:val="clear" w:color="000000" w:fill="FFFFFF"/>
            <w:vAlign w:val="center"/>
          </w:tcPr>
          <w:p w14:paraId="737288A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10,400.00</w:t>
            </w:r>
          </w:p>
        </w:tc>
        <w:tc>
          <w:tcPr>
            <w:tcW w:w="669" w:type="pct"/>
            <w:shd w:val="clear" w:color="000000" w:fill="FFFFFF"/>
            <w:vAlign w:val="center"/>
          </w:tcPr>
          <w:p w14:paraId="737288A3"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21,600.00</w:t>
            </w:r>
          </w:p>
        </w:tc>
        <w:tc>
          <w:tcPr>
            <w:tcW w:w="669" w:type="pct"/>
            <w:shd w:val="clear" w:color="000000" w:fill="FFFFFF"/>
            <w:vAlign w:val="center"/>
          </w:tcPr>
          <w:p w14:paraId="737288A4"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2,371.28</w:t>
            </w:r>
          </w:p>
        </w:tc>
        <w:tc>
          <w:tcPr>
            <w:tcW w:w="669" w:type="pct"/>
            <w:shd w:val="clear" w:color="000000" w:fill="FFFFFF"/>
            <w:vAlign w:val="center"/>
          </w:tcPr>
          <w:p w14:paraId="737288A5"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22,907.84</w:t>
            </w:r>
          </w:p>
        </w:tc>
        <w:tc>
          <w:tcPr>
            <w:tcW w:w="592" w:type="pct"/>
            <w:shd w:val="clear" w:color="000000" w:fill="FFFFFF"/>
            <w:vAlign w:val="center"/>
          </w:tcPr>
          <w:p w14:paraId="737288A6"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57,329.12</w:t>
            </w:r>
          </w:p>
        </w:tc>
      </w:tr>
      <w:tr w:rsidR="00CD75AA" w14:paraId="737288B0" w14:textId="77777777">
        <w:trPr>
          <w:trHeight w:val="113"/>
          <w:jc w:val="center"/>
        </w:trPr>
        <w:tc>
          <w:tcPr>
            <w:tcW w:w="315" w:type="pct"/>
            <w:shd w:val="clear" w:color="000000" w:fill="FFFFFF"/>
            <w:vAlign w:val="center"/>
          </w:tcPr>
          <w:p w14:paraId="737288A8" w14:textId="77777777" w:rsidR="00CD75AA" w:rsidRDefault="007D11AE">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2</w:t>
            </w:r>
          </w:p>
        </w:tc>
        <w:tc>
          <w:tcPr>
            <w:tcW w:w="831" w:type="pct"/>
            <w:shd w:val="clear" w:color="000000" w:fill="FFFFFF"/>
            <w:vAlign w:val="center"/>
          </w:tcPr>
          <w:p w14:paraId="737288A9" w14:textId="77777777" w:rsidR="00CD75AA" w:rsidRDefault="007D11AE">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本期债券发行</w:t>
            </w:r>
          </w:p>
        </w:tc>
        <w:tc>
          <w:tcPr>
            <w:tcW w:w="587" w:type="pct"/>
            <w:shd w:val="clear" w:color="000000" w:fill="FFFFFF"/>
            <w:vAlign w:val="center"/>
          </w:tcPr>
          <w:p w14:paraId="737288AA" w14:textId="77777777" w:rsidR="00CD75AA" w:rsidRDefault="00CD75AA">
            <w:pPr>
              <w:widowControl/>
              <w:jc w:val="right"/>
              <w:rPr>
                <w:rFonts w:ascii="宋体" w:eastAsia="宋体" w:hAnsi="宋体" w:hint="eastAsia"/>
                <w:color w:val="000000"/>
                <w:kern w:val="0"/>
                <w:sz w:val="20"/>
                <w:szCs w:val="20"/>
                <w:lang w:val="en-GB"/>
              </w:rPr>
            </w:pPr>
          </w:p>
        </w:tc>
        <w:tc>
          <w:tcPr>
            <w:tcW w:w="669" w:type="pct"/>
            <w:shd w:val="clear" w:color="000000" w:fill="FFFFFF"/>
            <w:vAlign w:val="center"/>
          </w:tcPr>
          <w:p w14:paraId="737288AB" w14:textId="77777777" w:rsidR="00CD75AA" w:rsidRDefault="00CD75AA">
            <w:pPr>
              <w:widowControl/>
              <w:jc w:val="right"/>
              <w:rPr>
                <w:rFonts w:ascii="宋体" w:eastAsia="宋体" w:hAnsi="宋体" w:hint="eastAsia"/>
                <w:color w:val="000000"/>
                <w:kern w:val="0"/>
                <w:sz w:val="20"/>
                <w:szCs w:val="20"/>
                <w:lang w:val="en-GB"/>
              </w:rPr>
            </w:pPr>
          </w:p>
        </w:tc>
        <w:tc>
          <w:tcPr>
            <w:tcW w:w="669" w:type="pct"/>
            <w:shd w:val="clear" w:color="000000" w:fill="FFFFFF"/>
            <w:vAlign w:val="center"/>
          </w:tcPr>
          <w:p w14:paraId="737288AC"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69" w:type="pct"/>
            <w:shd w:val="clear" w:color="000000" w:fill="FFFFFF"/>
            <w:vAlign w:val="center"/>
          </w:tcPr>
          <w:p w14:paraId="737288AD"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69" w:type="pct"/>
            <w:shd w:val="clear" w:color="000000" w:fill="FFFFFF"/>
            <w:vAlign w:val="center"/>
          </w:tcPr>
          <w:p w14:paraId="737288AE" w14:textId="77777777" w:rsidR="00CD75AA" w:rsidRDefault="00CD75AA">
            <w:pPr>
              <w:widowControl/>
              <w:jc w:val="right"/>
              <w:rPr>
                <w:rFonts w:ascii="宋体" w:eastAsia="宋体" w:hAnsi="宋体" w:hint="eastAsia"/>
                <w:color w:val="000000"/>
                <w:kern w:val="0"/>
                <w:sz w:val="20"/>
                <w:szCs w:val="20"/>
                <w:lang w:val="en-GB"/>
              </w:rPr>
            </w:pPr>
          </w:p>
        </w:tc>
        <w:tc>
          <w:tcPr>
            <w:tcW w:w="592" w:type="pct"/>
            <w:shd w:val="clear" w:color="000000" w:fill="FFFFFF"/>
            <w:vAlign w:val="center"/>
          </w:tcPr>
          <w:p w14:paraId="737288AF"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8,100.00</w:t>
            </w:r>
          </w:p>
        </w:tc>
      </w:tr>
      <w:tr w:rsidR="00CD75AA" w14:paraId="737288B9" w14:textId="77777777">
        <w:trPr>
          <w:trHeight w:val="113"/>
          <w:jc w:val="center"/>
        </w:trPr>
        <w:tc>
          <w:tcPr>
            <w:tcW w:w="315" w:type="pct"/>
            <w:shd w:val="clear" w:color="000000" w:fill="FFFFFF"/>
            <w:vAlign w:val="center"/>
          </w:tcPr>
          <w:p w14:paraId="737288B1" w14:textId="77777777" w:rsidR="00CD75AA" w:rsidRDefault="007D11AE">
            <w:pPr>
              <w:widowControl/>
              <w:jc w:val="center"/>
              <w:rPr>
                <w:rFonts w:ascii="宋体" w:eastAsia="宋体" w:hAnsi="宋体" w:hint="eastAsia"/>
                <w:b/>
                <w:color w:val="000000"/>
                <w:kern w:val="0"/>
                <w:sz w:val="20"/>
                <w:szCs w:val="20"/>
                <w:lang w:val="en-GB"/>
              </w:rPr>
            </w:pPr>
            <w:r>
              <w:rPr>
                <w:rFonts w:ascii="宋体" w:eastAsia="宋体" w:hAnsi="宋体"/>
                <w:b/>
                <w:color w:val="000000"/>
                <w:kern w:val="0"/>
                <w:sz w:val="20"/>
                <w:szCs w:val="20"/>
                <w:lang w:val="en-GB" w:eastAsia="zh-TW"/>
              </w:rPr>
              <w:t>3</w:t>
            </w:r>
          </w:p>
        </w:tc>
        <w:tc>
          <w:tcPr>
            <w:tcW w:w="831" w:type="pct"/>
            <w:shd w:val="clear" w:color="000000" w:fill="FFFFFF"/>
            <w:vAlign w:val="center"/>
          </w:tcPr>
          <w:p w14:paraId="737288B2" w14:textId="77777777" w:rsidR="00CD75AA" w:rsidRDefault="007D11AE">
            <w:pPr>
              <w:widowControl/>
              <w:jc w:val="left"/>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c>
          <w:tcPr>
            <w:tcW w:w="587" w:type="pct"/>
            <w:shd w:val="clear" w:color="000000" w:fill="FFFFFF"/>
            <w:vAlign w:val="center"/>
          </w:tcPr>
          <w:p w14:paraId="737288B3"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50.00</w:t>
            </w:r>
          </w:p>
        </w:tc>
        <w:tc>
          <w:tcPr>
            <w:tcW w:w="669" w:type="pct"/>
            <w:shd w:val="clear" w:color="000000" w:fill="FFFFFF"/>
            <w:vAlign w:val="center"/>
          </w:tcPr>
          <w:p w14:paraId="737288B4"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10,400.00</w:t>
            </w:r>
          </w:p>
        </w:tc>
        <w:tc>
          <w:tcPr>
            <w:tcW w:w="669" w:type="pct"/>
            <w:shd w:val="clear" w:color="000000" w:fill="FFFFFF"/>
            <w:vAlign w:val="center"/>
          </w:tcPr>
          <w:p w14:paraId="737288B5"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21,600.00</w:t>
            </w:r>
          </w:p>
        </w:tc>
        <w:tc>
          <w:tcPr>
            <w:tcW w:w="669" w:type="pct"/>
            <w:shd w:val="clear" w:color="000000" w:fill="FFFFFF"/>
            <w:vAlign w:val="center"/>
          </w:tcPr>
          <w:p w14:paraId="737288B6"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10,471.28</w:t>
            </w:r>
          </w:p>
        </w:tc>
        <w:tc>
          <w:tcPr>
            <w:tcW w:w="669" w:type="pct"/>
            <w:shd w:val="clear" w:color="000000" w:fill="FFFFFF"/>
            <w:vAlign w:val="center"/>
          </w:tcPr>
          <w:p w14:paraId="737288B7"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22,907.84</w:t>
            </w:r>
          </w:p>
        </w:tc>
        <w:tc>
          <w:tcPr>
            <w:tcW w:w="592" w:type="pct"/>
            <w:shd w:val="clear" w:color="000000" w:fill="FFFFFF"/>
            <w:vAlign w:val="center"/>
          </w:tcPr>
          <w:p w14:paraId="737288B8"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65,429.12</w:t>
            </w:r>
          </w:p>
        </w:tc>
      </w:tr>
    </w:tbl>
    <w:p w14:paraId="737288BA" w14:textId="77777777" w:rsidR="00CD75AA" w:rsidRDefault="007D11AE">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基于以上投资计划、资金筹措安排，我们未发现本项目建设期内所需建设资金存在缺口的情况。</w:t>
      </w:r>
    </w:p>
    <w:p w14:paraId="737288BB" w14:textId="77777777" w:rsidR="00CD75AA" w:rsidRDefault="007D11AE">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3" w:name="_Toc114818534"/>
      <w:bookmarkStart w:id="24" w:name="_Toc114818424"/>
      <w:bookmarkStart w:id="25" w:name="_Toc200555357"/>
      <w:r>
        <w:rPr>
          <w:rFonts w:ascii="宋体" w:eastAsia="宋体" w:hAnsi="宋体"/>
          <w:b/>
          <w:bCs/>
          <w:color w:val="000000"/>
          <w:kern w:val="0"/>
          <w:sz w:val="24"/>
          <w:szCs w:val="24"/>
        </w:rPr>
        <w:t>3.资金覆盖</w:t>
      </w:r>
      <w:r>
        <w:rPr>
          <w:rFonts w:ascii="宋体" w:eastAsia="宋体" w:hAnsi="宋体" w:hint="eastAsia"/>
          <w:b/>
          <w:bCs/>
          <w:color w:val="000000"/>
          <w:kern w:val="0"/>
          <w:sz w:val="24"/>
          <w:szCs w:val="24"/>
        </w:rPr>
        <w:t>情况</w:t>
      </w:r>
      <w:bookmarkEnd w:id="23"/>
      <w:bookmarkEnd w:id="24"/>
      <w:bookmarkEnd w:id="25"/>
    </w:p>
    <w:p w14:paraId="737288BC" w14:textId="77777777" w:rsidR="00CD75AA" w:rsidRDefault="007D11AE">
      <w:pPr>
        <w:widowControl/>
        <w:spacing w:line="360" w:lineRule="auto"/>
        <w:ind w:firstLineChars="200" w:firstLine="480"/>
        <w:jc w:val="left"/>
        <w:rPr>
          <w:rFonts w:ascii="宋体" w:eastAsia="宋体" w:hAnsi="宋体" w:hint="eastAsia"/>
          <w:color w:val="000000"/>
          <w:kern w:val="0"/>
          <w:sz w:val="24"/>
          <w:szCs w:val="24"/>
          <w:lang w:val="en-GB"/>
        </w:rPr>
      </w:pPr>
      <w:r>
        <w:rPr>
          <w:rFonts w:ascii="宋体" w:eastAsia="宋体" w:hAnsi="宋体" w:hint="eastAsia"/>
          <w:kern w:val="0"/>
          <w:sz w:val="24"/>
          <w:szCs w:val="24"/>
          <w:lang w:val="en-GB"/>
        </w:rPr>
        <w:t>本期计划调增专项债券</w:t>
      </w:r>
      <w:r>
        <w:rPr>
          <w:rFonts w:ascii="宋体" w:eastAsia="宋体" w:hAnsi="宋体"/>
          <w:kern w:val="0"/>
          <w:sz w:val="24"/>
          <w:szCs w:val="24"/>
          <w:lang w:val="en-GB"/>
        </w:rPr>
        <w:t>8,100.00万元。本息覆盖</w:t>
      </w:r>
      <w:r>
        <w:rPr>
          <w:rFonts w:ascii="宋体" w:eastAsia="宋体" w:hAnsi="宋体" w:hint="eastAsia"/>
          <w:kern w:val="0"/>
          <w:sz w:val="24"/>
          <w:szCs w:val="24"/>
          <w:lang w:val="en-GB"/>
        </w:rPr>
        <w:t>倍数</w:t>
      </w:r>
      <w:r>
        <w:rPr>
          <w:rFonts w:ascii="宋体" w:eastAsia="宋体" w:hAnsi="宋体"/>
          <w:kern w:val="0"/>
          <w:sz w:val="24"/>
          <w:szCs w:val="24"/>
          <w:lang w:val="en-GB"/>
        </w:rPr>
        <w:t>可达到1.31，根据项目收益与融资平衡分析结果显示，本债券存续期内还本付息资金充足。</w:t>
      </w:r>
      <w:r>
        <w:rPr>
          <w:rFonts w:ascii="宋体" w:eastAsia="宋体" w:hAnsi="宋体" w:hint="eastAsia"/>
          <w:color w:val="000000"/>
          <w:kern w:val="0"/>
          <w:sz w:val="24"/>
          <w:szCs w:val="24"/>
          <w:lang w:val="en-GB"/>
        </w:rPr>
        <w:t>详见下表5、表6：</w:t>
      </w:r>
    </w:p>
    <w:p w14:paraId="737288BD" w14:textId="77777777" w:rsidR="00CD75AA" w:rsidRDefault="007D11AE">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表5</w:t>
      </w:r>
      <w:r>
        <w:rPr>
          <w:rFonts w:ascii="宋体" w:eastAsia="宋体" w:hAnsi="宋体"/>
          <w:b/>
          <w:kern w:val="0"/>
          <w:sz w:val="24"/>
          <w:szCs w:val="24"/>
          <w:lang w:val="en-GB"/>
        </w:rPr>
        <w:t>-</w:t>
      </w:r>
      <w:r>
        <w:rPr>
          <w:rFonts w:ascii="宋体" w:eastAsia="宋体" w:hAnsi="宋体" w:hint="eastAsia"/>
          <w:b/>
          <w:kern w:val="0"/>
          <w:sz w:val="24"/>
          <w:szCs w:val="24"/>
          <w:lang w:val="en-GB"/>
        </w:rPr>
        <w:t>8鸿越路本息覆盖倍数表</w:t>
      </w:r>
    </w:p>
    <w:p w14:paraId="737288BE" w14:textId="77777777" w:rsidR="00CD75AA" w:rsidRDefault="007D11AE">
      <w:pPr>
        <w:widowControl/>
        <w:ind w:rightChars="-432" w:right="-907" w:firstLineChars="200" w:firstLine="360"/>
        <w:jc w:val="right"/>
        <w:rPr>
          <w:rFonts w:ascii="宋体" w:eastAsia="宋体" w:hAnsi="宋体" w:hint="eastAsia"/>
          <w:b/>
          <w:kern w:val="0"/>
          <w:sz w:val="24"/>
          <w:szCs w:val="24"/>
          <w:lang w:val="en-GB"/>
        </w:rPr>
      </w:pPr>
      <w:r>
        <w:rPr>
          <w:rFonts w:ascii="宋体" w:eastAsia="宋体" w:hAnsi="宋体" w:hint="eastAsia"/>
          <w:kern w:val="0"/>
          <w:sz w:val="18"/>
          <w:szCs w:val="18"/>
          <w:lang w:val="en-GB"/>
        </w:rPr>
        <w:t>单位：人民币万元</w:t>
      </w:r>
    </w:p>
    <w:tbl>
      <w:tblPr>
        <w:tblW w:w="6293" w:type="pct"/>
        <w:jc w:val="center"/>
        <w:tblLayout w:type="fixed"/>
        <w:tblLook w:val="04A0" w:firstRow="1" w:lastRow="0" w:firstColumn="1" w:lastColumn="0" w:noHBand="0" w:noVBand="1"/>
      </w:tblPr>
      <w:tblGrid>
        <w:gridCol w:w="1886"/>
        <w:gridCol w:w="1406"/>
        <w:gridCol w:w="1239"/>
        <w:gridCol w:w="1239"/>
        <w:gridCol w:w="1239"/>
        <w:gridCol w:w="1237"/>
        <w:gridCol w:w="1237"/>
        <w:gridCol w:w="1235"/>
      </w:tblGrid>
      <w:tr w:rsidR="00CD75AA" w14:paraId="737288C7" w14:textId="77777777">
        <w:trPr>
          <w:trHeight w:val="276"/>
          <w:tblHeader/>
          <w:jc w:val="center"/>
        </w:trPr>
        <w:tc>
          <w:tcPr>
            <w:tcW w:w="880" w:type="pct"/>
            <w:tcBorders>
              <w:top w:val="single" w:sz="4" w:space="0" w:color="auto"/>
              <w:left w:val="single" w:sz="4" w:space="0" w:color="auto"/>
              <w:bottom w:val="single" w:sz="4" w:space="0" w:color="auto"/>
              <w:right w:val="single" w:sz="4" w:space="0" w:color="auto"/>
            </w:tcBorders>
            <w:shd w:val="clear" w:color="auto" w:fill="D8D8D8"/>
            <w:noWrap/>
            <w:vAlign w:val="center"/>
          </w:tcPr>
          <w:p w14:paraId="737288BF"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项目</w:t>
            </w:r>
          </w:p>
        </w:tc>
        <w:tc>
          <w:tcPr>
            <w:tcW w:w="656" w:type="pct"/>
            <w:tcBorders>
              <w:top w:val="single" w:sz="4" w:space="0" w:color="auto"/>
              <w:left w:val="nil"/>
              <w:bottom w:val="single" w:sz="4" w:space="0" w:color="auto"/>
              <w:right w:val="single" w:sz="4" w:space="0" w:color="auto"/>
            </w:tcBorders>
            <w:shd w:val="clear" w:color="auto" w:fill="D8D8D8"/>
            <w:noWrap/>
            <w:vAlign w:val="center"/>
          </w:tcPr>
          <w:p w14:paraId="737288C0"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调整后项目总投资</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737288C1"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用于资金平衡的项目收益</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737288C2"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期末项目累计现金结存额</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737288C3"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本期调增额度</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737288C4"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债券本息合计</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737288C5"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本息覆盖率</w:t>
            </w:r>
          </w:p>
        </w:tc>
        <w:tc>
          <w:tcPr>
            <w:tcW w:w="576" w:type="pct"/>
            <w:tcBorders>
              <w:top w:val="single" w:sz="4" w:space="0" w:color="auto"/>
              <w:left w:val="nil"/>
              <w:bottom w:val="single" w:sz="4" w:space="0" w:color="auto"/>
              <w:right w:val="single" w:sz="4" w:space="0" w:color="auto"/>
            </w:tcBorders>
            <w:shd w:val="clear" w:color="auto" w:fill="D8D8D8"/>
            <w:noWrap/>
            <w:vAlign w:val="center"/>
          </w:tcPr>
          <w:p w14:paraId="737288C6" w14:textId="77777777" w:rsidR="00CD75AA" w:rsidRDefault="007D11AE">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本息覆盖倍数</w:t>
            </w:r>
          </w:p>
        </w:tc>
      </w:tr>
      <w:tr w:rsidR="00F72ACB" w14:paraId="737288D0" w14:textId="77777777">
        <w:trPr>
          <w:trHeight w:val="276"/>
          <w:jc w:val="center"/>
        </w:trPr>
        <w:tc>
          <w:tcPr>
            <w:tcW w:w="880" w:type="pct"/>
            <w:tcBorders>
              <w:top w:val="nil"/>
              <w:left w:val="single" w:sz="4" w:space="0" w:color="auto"/>
              <w:bottom w:val="single" w:sz="4" w:space="0" w:color="auto"/>
              <w:right w:val="single" w:sz="4" w:space="0" w:color="auto"/>
            </w:tcBorders>
            <w:shd w:val="clear" w:color="auto" w:fill="auto"/>
            <w:noWrap/>
            <w:vAlign w:val="center"/>
          </w:tcPr>
          <w:p w14:paraId="737288C8" w14:textId="77777777" w:rsidR="00F72ACB" w:rsidRDefault="00F72ACB" w:rsidP="00F72ACB">
            <w:pPr>
              <w:widowControl/>
              <w:jc w:val="center"/>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rPr>
              <w:t>鸿越路</w:t>
            </w:r>
          </w:p>
        </w:tc>
        <w:tc>
          <w:tcPr>
            <w:tcW w:w="656" w:type="pct"/>
            <w:tcBorders>
              <w:top w:val="nil"/>
              <w:left w:val="nil"/>
              <w:bottom w:val="single" w:sz="4" w:space="0" w:color="auto"/>
              <w:right w:val="single" w:sz="4" w:space="0" w:color="auto"/>
            </w:tcBorders>
            <w:shd w:val="clear" w:color="auto" w:fill="auto"/>
            <w:noWrap/>
            <w:vAlign w:val="center"/>
          </w:tcPr>
          <w:p w14:paraId="737288C9" w14:textId="5EA02F14" w:rsidR="00F72ACB" w:rsidRDefault="00F72ACB" w:rsidP="00F72ACB">
            <w:pPr>
              <w:widowControl/>
              <w:jc w:val="right"/>
              <w:rPr>
                <w:rFonts w:ascii="宋体" w:eastAsia="宋体" w:hAnsi="宋体" w:hint="eastAsia"/>
                <w:color w:val="000000"/>
                <w:kern w:val="0"/>
                <w:sz w:val="20"/>
                <w:szCs w:val="20"/>
                <w:lang w:val="en-GB"/>
              </w:rPr>
            </w:pPr>
            <w:r w:rsidRPr="00D34A97">
              <w:rPr>
                <w:rFonts w:ascii="宋体" w:eastAsia="宋体" w:hAnsi="宋体" w:hint="eastAsia"/>
                <w:color w:val="000000"/>
                <w:szCs w:val="20"/>
              </w:rPr>
              <w:t>65,429.12</w:t>
            </w:r>
          </w:p>
        </w:tc>
        <w:tc>
          <w:tcPr>
            <w:tcW w:w="578" w:type="pct"/>
            <w:tcBorders>
              <w:top w:val="nil"/>
              <w:left w:val="nil"/>
              <w:bottom w:val="single" w:sz="4" w:space="0" w:color="auto"/>
              <w:right w:val="single" w:sz="4" w:space="0" w:color="auto"/>
            </w:tcBorders>
            <w:shd w:val="clear" w:color="auto" w:fill="auto"/>
            <w:noWrap/>
            <w:vAlign w:val="center"/>
          </w:tcPr>
          <w:p w14:paraId="737288CA" w14:textId="694CDBCE" w:rsidR="00F72ACB" w:rsidRDefault="00F72ACB" w:rsidP="00F72ACB">
            <w:pPr>
              <w:widowControl/>
              <w:jc w:val="right"/>
              <w:rPr>
                <w:rFonts w:ascii="宋体" w:eastAsia="宋体" w:hAnsi="宋体" w:hint="eastAsia"/>
                <w:color w:val="000000"/>
                <w:kern w:val="0"/>
                <w:sz w:val="20"/>
                <w:szCs w:val="20"/>
                <w:lang w:val="en-GB"/>
              </w:rPr>
            </w:pPr>
            <w:r w:rsidRPr="00D34A97">
              <w:rPr>
                <w:rFonts w:ascii="宋体" w:eastAsia="宋体" w:hAnsi="宋体" w:hint="eastAsia"/>
                <w:color w:val="000000"/>
                <w:szCs w:val="20"/>
              </w:rPr>
              <w:t>12,465.18</w:t>
            </w:r>
          </w:p>
        </w:tc>
        <w:tc>
          <w:tcPr>
            <w:tcW w:w="578" w:type="pct"/>
            <w:tcBorders>
              <w:top w:val="nil"/>
              <w:left w:val="nil"/>
              <w:bottom w:val="single" w:sz="4" w:space="0" w:color="auto"/>
              <w:right w:val="single" w:sz="4" w:space="0" w:color="auto"/>
            </w:tcBorders>
            <w:shd w:val="clear" w:color="auto" w:fill="auto"/>
            <w:noWrap/>
            <w:vAlign w:val="center"/>
          </w:tcPr>
          <w:p w14:paraId="737288CB" w14:textId="4CAC4C7A" w:rsidR="00F72ACB" w:rsidRDefault="00F72ACB" w:rsidP="00F72ACB">
            <w:pPr>
              <w:widowControl/>
              <w:jc w:val="right"/>
              <w:rPr>
                <w:rFonts w:ascii="宋体" w:eastAsia="宋体" w:hAnsi="宋体" w:hint="eastAsia"/>
                <w:color w:val="000000"/>
                <w:kern w:val="0"/>
                <w:sz w:val="20"/>
                <w:szCs w:val="20"/>
                <w:lang w:val="en-GB"/>
              </w:rPr>
            </w:pPr>
            <w:r w:rsidRPr="00D34A97">
              <w:rPr>
                <w:rFonts w:ascii="宋体" w:eastAsia="宋体" w:hAnsi="宋体" w:hint="eastAsia"/>
                <w:color w:val="000000"/>
                <w:szCs w:val="20"/>
              </w:rPr>
              <w:t>3,153.42</w:t>
            </w:r>
          </w:p>
        </w:tc>
        <w:tc>
          <w:tcPr>
            <w:tcW w:w="578" w:type="pct"/>
            <w:tcBorders>
              <w:top w:val="nil"/>
              <w:left w:val="nil"/>
              <w:bottom w:val="single" w:sz="4" w:space="0" w:color="auto"/>
              <w:right w:val="single" w:sz="4" w:space="0" w:color="auto"/>
            </w:tcBorders>
            <w:shd w:val="clear" w:color="auto" w:fill="auto"/>
            <w:noWrap/>
            <w:vAlign w:val="center"/>
          </w:tcPr>
          <w:p w14:paraId="737288CC" w14:textId="3175A9B0" w:rsidR="00F72ACB" w:rsidRDefault="00F72ACB" w:rsidP="00F72ACB">
            <w:pPr>
              <w:widowControl/>
              <w:jc w:val="right"/>
              <w:rPr>
                <w:rFonts w:ascii="宋体" w:eastAsia="宋体" w:hAnsi="宋体" w:hint="eastAsia"/>
                <w:color w:val="000000"/>
                <w:kern w:val="0"/>
                <w:sz w:val="20"/>
                <w:szCs w:val="20"/>
                <w:lang w:val="en-GB"/>
              </w:rPr>
            </w:pPr>
            <w:r w:rsidRPr="00D34A97">
              <w:rPr>
                <w:rFonts w:ascii="宋体" w:eastAsia="宋体" w:hAnsi="宋体" w:hint="eastAsia"/>
                <w:color w:val="000000"/>
                <w:szCs w:val="20"/>
              </w:rPr>
              <w:t>8,100.00</w:t>
            </w:r>
          </w:p>
        </w:tc>
        <w:tc>
          <w:tcPr>
            <w:tcW w:w="577" w:type="pct"/>
            <w:tcBorders>
              <w:top w:val="nil"/>
              <w:left w:val="nil"/>
              <w:bottom w:val="single" w:sz="4" w:space="0" w:color="auto"/>
              <w:right w:val="single" w:sz="4" w:space="0" w:color="auto"/>
            </w:tcBorders>
            <w:shd w:val="clear" w:color="auto" w:fill="auto"/>
            <w:noWrap/>
            <w:vAlign w:val="center"/>
          </w:tcPr>
          <w:p w14:paraId="737288CD" w14:textId="1107B802" w:rsidR="00F72ACB" w:rsidRDefault="00F72ACB" w:rsidP="00F72ACB">
            <w:pPr>
              <w:widowControl/>
              <w:jc w:val="right"/>
              <w:rPr>
                <w:rFonts w:ascii="宋体" w:eastAsia="宋体" w:hAnsi="宋体" w:hint="eastAsia"/>
                <w:color w:val="000000"/>
                <w:kern w:val="0"/>
                <w:sz w:val="20"/>
                <w:szCs w:val="20"/>
                <w:lang w:val="en-GB"/>
              </w:rPr>
            </w:pPr>
            <w:r w:rsidRPr="00D34A97">
              <w:rPr>
                <w:rFonts w:ascii="宋体" w:eastAsia="宋体" w:hAnsi="宋体" w:hint="eastAsia"/>
                <w:color w:val="000000"/>
                <w:szCs w:val="20"/>
              </w:rPr>
              <w:t>9,525.60</w:t>
            </w:r>
          </w:p>
        </w:tc>
        <w:tc>
          <w:tcPr>
            <w:tcW w:w="577" w:type="pct"/>
            <w:tcBorders>
              <w:top w:val="nil"/>
              <w:left w:val="nil"/>
              <w:bottom w:val="single" w:sz="4" w:space="0" w:color="auto"/>
              <w:right w:val="single" w:sz="4" w:space="0" w:color="auto"/>
            </w:tcBorders>
            <w:shd w:val="clear" w:color="auto" w:fill="auto"/>
            <w:noWrap/>
            <w:vAlign w:val="center"/>
          </w:tcPr>
          <w:p w14:paraId="737288CE" w14:textId="3808454E" w:rsidR="00F72ACB" w:rsidRDefault="00F72ACB" w:rsidP="00F72ACB">
            <w:pPr>
              <w:widowControl/>
              <w:jc w:val="right"/>
              <w:rPr>
                <w:rFonts w:ascii="宋体" w:eastAsia="宋体" w:hAnsi="宋体" w:hint="eastAsia"/>
                <w:color w:val="000000"/>
                <w:kern w:val="0"/>
                <w:sz w:val="20"/>
                <w:szCs w:val="20"/>
                <w:lang w:val="en-GB"/>
              </w:rPr>
            </w:pPr>
            <w:r w:rsidRPr="00D34A97">
              <w:rPr>
                <w:rFonts w:ascii="宋体" w:eastAsia="宋体" w:hAnsi="宋体" w:hint="eastAsia"/>
                <w:color w:val="000000"/>
                <w:szCs w:val="20"/>
              </w:rPr>
              <w:t>1.33</w:t>
            </w:r>
          </w:p>
        </w:tc>
        <w:tc>
          <w:tcPr>
            <w:tcW w:w="576" w:type="pct"/>
            <w:tcBorders>
              <w:top w:val="nil"/>
              <w:left w:val="nil"/>
              <w:bottom w:val="single" w:sz="4" w:space="0" w:color="auto"/>
              <w:right w:val="single" w:sz="4" w:space="0" w:color="auto"/>
            </w:tcBorders>
            <w:shd w:val="clear" w:color="auto" w:fill="auto"/>
            <w:noWrap/>
            <w:vAlign w:val="center"/>
          </w:tcPr>
          <w:p w14:paraId="737288CF" w14:textId="27F50C8B" w:rsidR="00F72ACB" w:rsidRDefault="00F72ACB" w:rsidP="00F72ACB">
            <w:pPr>
              <w:widowControl/>
              <w:jc w:val="right"/>
              <w:rPr>
                <w:rFonts w:ascii="宋体" w:eastAsia="宋体" w:hAnsi="宋体" w:hint="eastAsia"/>
                <w:color w:val="000000"/>
                <w:kern w:val="0"/>
                <w:sz w:val="20"/>
                <w:szCs w:val="20"/>
                <w:lang w:val="en-GB"/>
              </w:rPr>
            </w:pPr>
            <w:r w:rsidRPr="00D34A97">
              <w:rPr>
                <w:rFonts w:ascii="宋体" w:eastAsia="宋体" w:hAnsi="宋体" w:hint="eastAsia"/>
                <w:color w:val="000000"/>
                <w:szCs w:val="20"/>
              </w:rPr>
              <w:t>1.31</w:t>
            </w:r>
          </w:p>
        </w:tc>
      </w:tr>
    </w:tbl>
    <w:p w14:paraId="737288D1" w14:textId="77777777" w:rsidR="00CD75AA" w:rsidRDefault="00CD75AA">
      <w:pPr>
        <w:widowControl/>
        <w:ind w:firstLineChars="200" w:firstLine="360"/>
        <w:jc w:val="right"/>
        <w:rPr>
          <w:rFonts w:ascii="宋体" w:eastAsia="宋体" w:hAnsi="宋体" w:hint="eastAsia"/>
          <w:kern w:val="0"/>
          <w:sz w:val="18"/>
          <w:szCs w:val="18"/>
          <w:lang w:val="en-GB"/>
        </w:rPr>
      </w:pPr>
    </w:p>
    <w:p w14:paraId="737288D2" w14:textId="77777777" w:rsidR="00CD75AA" w:rsidRDefault="007D11AE">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b/>
          <w:kern w:val="0"/>
          <w:sz w:val="24"/>
          <w:szCs w:val="24"/>
          <w:lang w:val="en-GB"/>
        </w:rPr>
        <w:t>6-</w:t>
      </w:r>
      <w:r>
        <w:rPr>
          <w:rFonts w:ascii="宋体" w:eastAsia="宋体" w:hAnsi="宋体" w:hint="eastAsia"/>
          <w:b/>
          <w:kern w:val="0"/>
          <w:sz w:val="24"/>
          <w:szCs w:val="24"/>
          <w:lang w:val="en-GB"/>
        </w:rPr>
        <w:t>8</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鸿越路</w:t>
      </w:r>
      <w:r>
        <w:rPr>
          <w:rFonts w:ascii="宋体" w:eastAsia="宋体" w:hAnsi="宋体"/>
          <w:b/>
          <w:kern w:val="0"/>
          <w:sz w:val="24"/>
          <w:szCs w:val="24"/>
          <w:lang w:val="en-GB"/>
        </w:rPr>
        <w:t>现金流模拟测算表</w:t>
      </w:r>
    </w:p>
    <w:p w14:paraId="737288D3" w14:textId="77777777" w:rsidR="00CD75AA" w:rsidRDefault="007D11AE">
      <w:pPr>
        <w:widowControl/>
        <w:ind w:firstLineChars="200" w:firstLine="360"/>
        <w:jc w:val="right"/>
        <w:rPr>
          <w:rFonts w:ascii="宋体" w:eastAsia="宋体" w:hAnsi="宋体"/>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32"/>
        <w:gridCol w:w="1073"/>
        <w:gridCol w:w="1029"/>
        <w:gridCol w:w="1324"/>
        <w:gridCol w:w="1200"/>
        <w:gridCol w:w="1198"/>
      </w:tblGrid>
      <w:tr w:rsidR="001A2F9D" w:rsidRPr="001A2F9D" w14:paraId="07C741B7" w14:textId="77777777" w:rsidTr="001A2F9D">
        <w:trPr>
          <w:trHeight w:val="227"/>
          <w:tblHeader/>
          <w:jc w:val="center"/>
        </w:trPr>
        <w:tc>
          <w:tcPr>
            <w:tcW w:w="1515" w:type="pct"/>
            <w:tcBorders>
              <w:top w:val="single" w:sz="4" w:space="0" w:color="auto"/>
              <w:left w:val="single" w:sz="4" w:space="0" w:color="auto"/>
              <w:bottom w:val="single" w:sz="4" w:space="0" w:color="auto"/>
              <w:right w:val="single" w:sz="4" w:space="0" w:color="auto"/>
            </w:tcBorders>
            <w:shd w:val="clear" w:color="auto" w:fill="D9D9D9"/>
            <w:vAlign w:val="center"/>
          </w:tcPr>
          <w:p w14:paraId="081584E1"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年度</w:t>
            </w:r>
          </w:p>
        </w:tc>
        <w:tc>
          <w:tcPr>
            <w:tcW w:w="642" w:type="pct"/>
            <w:tcBorders>
              <w:top w:val="single" w:sz="4" w:space="0" w:color="auto"/>
              <w:left w:val="single" w:sz="4" w:space="0" w:color="auto"/>
              <w:bottom w:val="single" w:sz="4" w:space="0" w:color="auto"/>
              <w:right w:val="single" w:sz="4" w:space="0" w:color="auto"/>
            </w:tcBorders>
            <w:shd w:val="clear" w:color="auto" w:fill="D9D9D9"/>
          </w:tcPr>
          <w:p w14:paraId="3C976296"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w:t>
            </w:r>
            <w:r w:rsidRPr="001A2F9D">
              <w:rPr>
                <w:rFonts w:ascii="宋体" w:eastAsia="宋体" w:hAnsi="宋体" w:cs="宋体"/>
                <w:b/>
                <w:bCs/>
                <w:color w:val="000000"/>
                <w:kern w:val="0"/>
                <w:sz w:val="20"/>
                <w:szCs w:val="20"/>
                <w:lang w:val="en-GB"/>
              </w:rPr>
              <w:t>022</w:t>
            </w:r>
          </w:p>
        </w:tc>
        <w:tc>
          <w:tcPr>
            <w:tcW w:w="616" w:type="pct"/>
            <w:tcBorders>
              <w:top w:val="single" w:sz="4" w:space="0" w:color="auto"/>
              <w:left w:val="single" w:sz="4" w:space="0" w:color="auto"/>
              <w:bottom w:val="single" w:sz="4" w:space="0" w:color="auto"/>
              <w:right w:val="single" w:sz="4" w:space="0" w:color="auto"/>
            </w:tcBorders>
            <w:shd w:val="clear" w:color="auto" w:fill="D9D9D9"/>
          </w:tcPr>
          <w:p w14:paraId="16ADECD6"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w:t>
            </w:r>
            <w:r w:rsidRPr="001A2F9D">
              <w:rPr>
                <w:rFonts w:ascii="宋体" w:eastAsia="宋体" w:hAnsi="宋体" w:cs="宋体"/>
                <w:b/>
                <w:bCs/>
                <w:color w:val="000000"/>
                <w:kern w:val="0"/>
                <w:sz w:val="20"/>
                <w:szCs w:val="20"/>
                <w:lang w:val="en-GB"/>
              </w:rPr>
              <w:t>023</w:t>
            </w:r>
          </w:p>
        </w:tc>
        <w:tc>
          <w:tcPr>
            <w:tcW w:w="792" w:type="pct"/>
            <w:tcBorders>
              <w:top w:val="single" w:sz="4" w:space="0" w:color="auto"/>
              <w:left w:val="single" w:sz="4" w:space="0" w:color="auto"/>
              <w:bottom w:val="single" w:sz="4" w:space="0" w:color="auto"/>
              <w:right w:val="single" w:sz="4" w:space="0" w:color="auto"/>
            </w:tcBorders>
            <w:shd w:val="clear" w:color="auto" w:fill="D9D9D9"/>
            <w:vAlign w:val="center"/>
          </w:tcPr>
          <w:p w14:paraId="29638724"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2024</w:t>
            </w:r>
          </w:p>
        </w:tc>
        <w:tc>
          <w:tcPr>
            <w:tcW w:w="718" w:type="pct"/>
            <w:tcBorders>
              <w:top w:val="single" w:sz="4" w:space="0" w:color="auto"/>
              <w:left w:val="single" w:sz="4" w:space="0" w:color="auto"/>
              <w:bottom w:val="single" w:sz="4" w:space="0" w:color="auto"/>
              <w:right w:val="single" w:sz="4" w:space="0" w:color="auto"/>
            </w:tcBorders>
            <w:shd w:val="clear" w:color="auto" w:fill="D9D9D9"/>
            <w:vAlign w:val="center"/>
          </w:tcPr>
          <w:p w14:paraId="6A4428CC"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2025</w:t>
            </w:r>
          </w:p>
        </w:tc>
        <w:tc>
          <w:tcPr>
            <w:tcW w:w="717" w:type="pct"/>
            <w:tcBorders>
              <w:top w:val="single" w:sz="4" w:space="0" w:color="auto"/>
              <w:left w:val="single" w:sz="4" w:space="0" w:color="auto"/>
              <w:bottom w:val="single" w:sz="4" w:space="0" w:color="auto"/>
              <w:right w:val="single" w:sz="4" w:space="0" w:color="auto"/>
            </w:tcBorders>
            <w:shd w:val="clear" w:color="auto" w:fill="D9D9D9"/>
            <w:vAlign w:val="center"/>
          </w:tcPr>
          <w:p w14:paraId="53DE0734"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2026</w:t>
            </w:r>
          </w:p>
        </w:tc>
      </w:tr>
      <w:tr w:rsidR="001A2F9D" w:rsidRPr="001A2F9D" w14:paraId="18B8188B"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0230CB92"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现金流入</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24FE5B76"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4D0772E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1D082EE"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73BAAF8"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371AC303"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r>
      <w:tr w:rsidR="001A2F9D" w:rsidRPr="001A2F9D" w14:paraId="26194F83"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99246CA"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lastRenderedPageBreak/>
              <w:t>自筹资金流入</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2BB2995D"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50.00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7DB2406D"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10,400.00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A5E85EA"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21,600.00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574446A3"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2,371.28</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7156B2E1"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22,907.84</w:t>
            </w:r>
          </w:p>
        </w:tc>
      </w:tr>
      <w:tr w:rsidR="001A2F9D" w:rsidRPr="001A2F9D" w14:paraId="3AC32A3F"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340C0C1D"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本期债券资金流入</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4D397EDD"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31C4C552"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64D296E1"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7DF32980"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8,100.00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748C05B0"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r>
      <w:tr w:rsidR="001A2F9D" w:rsidRPr="001A2F9D" w14:paraId="4CD19B53"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C388FB8"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运营期现金流入</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50EE8812"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69E6E8B0"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5A799315"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050C8318"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4C0DE9DD"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r>
      <w:tr w:rsidR="001A2F9D" w:rsidRPr="001A2F9D" w14:paraId="7D26BADF"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2040A967"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现金流入总额</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6BAF9D9F"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4B3EC85C"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10,400.00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429944F8"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21,600.00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0CF7A5E1"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10,471.28</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13A35CAB"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22,907.84</w:t>
            </w:r>
          </w:p>
        </w:tc>
      </w:tr>
      <w:tr w:rsidR="001A2F9D" w:rsidRPr="001A2F9D" w14:paraId="185E19FB"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51DC0A67"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现金流出</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0187E1F8"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4F4A4AF"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485EB341"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740F9635"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1502680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r>
      <w:tr w:rsidR="001A2F9D" w:rsidRPr="001A2F9D" w14:paraId="37FE8E64"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D177D8F"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建设期资金流出</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3938CCD0"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50.00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31616C3"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10,400.00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11741075"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21,600.00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CA81546"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10,400.00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4744DDD2"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22,765.28</w:t>
            </w:r>
          </w:p>
        </w:tc>
      </w:tr>
      <w:tr w:rsidR="001A2F9D" w:rsidRPr="001A2F9D" w14:paraId="0B67A169"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3BA968A5"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运营期现金流出</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6D20655E"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0EDDC8C7"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6D6C370F"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6B892033"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06A53825"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r>
      <w:tr w:rsidR="001A2F9D" w:rsidRPr="001A2F9D" w14:paraId="6614A4EA"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21A7F4F1"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债券还本付息</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436C7314"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3287A294"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1874D937"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55BDD777"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71.28</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6EFFCAD1"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142.56</w:t>
            </w:r>
          </w:p>
        </w:tc>
      </w:tr>
      <w:tr w:rsidR="001A2F9D" w:rsidRPr="001A2F9D" w14:paraId="714B03DF"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4107A1EA"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债券发行费用</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5CDB5FFA"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66FDEF15"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6C9DCBC"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7925E58B"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3DE4101D"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r>
      <w:tr w:rsidR="001A2F9D" w:rsidRPr="001A2F9D" w14:paraId="4F71A7F6"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5E06BF5"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现金流出总额</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6D9A9036"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D9B4B45"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10,400.00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29A38663"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21,600.00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01674229"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10,471.28</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7161C93A"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22,907.84</w:t>
            </w:r>
          </w:p>
        </w:tc>
      </w:tr>
      <w:tr w:rsidR="001A2F9D" w:rsidRPr="001A2F9D" w14:paraId="584D4E9F"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56457157"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现金净流量</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411A02CD"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1DEA5767"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4227D798"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0D86BF82"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056D972D"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r>
      <w:tr w:rsidR="001A2F9D" w:rsidRPr="001A2F9D" w14:paraId="6F65CA4D"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28CE0939"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当年项目现金净流入</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034492EC"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78C51896"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C4D1CD1"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75576519"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34CE74DB"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r>
      <w:tr w:rsidR="001A2F9D" w:rsidRPr="001A2F9D" w14:paraId="11ED41E5" w14:textId="77777777" w:rsidTr="004320BD">
        <w:trPr>
          <w:trHeight w:val="227"/>
          <w:jc w:val="center"/>
        </w:trPr>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2F0ED686"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期末项目累计现金结存额</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6748918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66046A8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527849A9"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6BAEB933"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2903CD71"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r>
    </w:tbl>
    <w:p w14:paraId="56059980" w14:textId="77777777" w:rsidR="001A2F9D" w:rsidRPr="001A2F9D" w:rsidRDefault="001A2F9D" w:rsidP="001A2F9D">
      <w:pPr>
        <w:widowControl/>
        <w:ind w:firstLineChars="200" w:firstLine="482"/>
        <w:jc w:val="center"/>
        <w:rPr>
          <w:rFonts w:ascii="宋体" w:eastAsia="宋体" w:hAnsi="宋体" w:hint="eastAsia"/>
          <w:b/>
          <w:kern w:val="0"/>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76"/>
        <w:gridCol w:w="1145"/>
        <w:gridCol w:w="1140"/>
        <w:gridCol w:w="1133"/>
        <w:gridCol w:w="1131"/>
        <w:gridCol w:w="1131"/>
      </w:tblGrid>
      <w:tr w:rsidR="001A2F9D" w:rsidRPr="001A2F9D" w14:paraId="681D94D0" w14:textId="77777777" w:rsidTr="001A2F9D">
        <w:trPr>
          <w:trHeight w:val="227"/>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vAlign w:val="center"/>
          </w:tcPr>
          <w:p w14:paraId="2FDE9CE4"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年度</w:t>
            </w:r>
          </w:p>
        </w:tc>
        <w:tc>
          <w:tcPr>
            <w:tcW w:w="685" w:type="pct"/>
            <w:tcBorders>
              <w:top w:val="single" w:sz="4" w:space="0" w:color="auto"/>
              <w:left w:val="single" w:sz="4" w:space="0" w:color="auto"/>
              <w:bottom w:val="single" w:sz="4" w:space="0" w:color="auto"/>
              <w:right w:val="single" w:sz="4" w:space="0" w:color="auto"/>
            </w:tcBorders>
            <w:shd w:val="clear" w:color="auto" w:fill="D9D9D9"/>
            <w:vAlign w:val="center"/>
          </w:tcPr>
          <w:p w14:paraId="0A35A50F"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2027</w:t>
            </w:r>
          </w:p>
        </w:tc>
        <w:tc>
          <w:tcPr>
            <w:tcW w:w="682" w:type="pct"/>
            <w:tcBorders>
              <w:top w:val="single" w:sz="4" w:space="0" w:color="auto"/>
              <w:left w:val="single" w:sz="4" w:space="0" w:color="auto"/>
              <w:bottom w:val="single" w:sz="4" w:space="0" w:color="auto"/>
              <w:right w:val="single" w:sz="4" w:space="0" w:color="auto"/>
            </w:tcBorders>
            <w:shd w:val="clear" w:color="auto" w:fill="D9D9D9"/>
            <w:vAlign w:val="center"/>
          </w:tcPr>
          <w:p w14:paraId="4709D5D7"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2028</w:t>
            </w:r>
          </w:p>
        </w:tc>
        <w:tc>
          <w:tcPr>
            <w:tcW w:w="678" w:type="pct"/>
            <w:tcBorders>
              <w:top w:val="single" w:sz="4" w:space="0" w:color="auto"/>
              <w:left w:val="single" w:sz="4" w:space="0" w:color="auto"/>
              <w:bottom w:val="single" w:sz="4" w:space="0" w:color="auto"/>
              <w:right w:val="single" w:sz="4" w:space="0" w:color="auto"/>
            </w:tcBorders>
            <w:shd w:val="clear" w:color="auto" w:fill="D9D9D9"/>
            <w:vAlign w:val="center"/>
          </w:tcPr>
          <w:p w14:paraId="5F5D6515"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2029</w:t>
            </w:r>
          </w:p>
        </w:tc>
        <w:tc>
          <w:tcPr>
            <w:tcW w:w="677" w:type="pct"/>
            <w:tcBorders>
              <w:top w:val="single" w:sz="4" w:space="0" w:color="auto"/>
              <w:left w:val="single" w:sz="4" w:space="0" w:color="auto"/>
              <w:bottom w:val="single" w:sz="4" w:space="0" w:color="auto"/>
              <w:right w:val="single" w:sz="4" w:space="0" w:color="auto"/>
            </w:tcBorders>
            <w:shd w:val="clear" w:color="auto" w:fill="D9D9D9"/>
            <w:vAlign w:val="center"/>
          </w:tcPr>
          <w:p w14:paraId="1CFBB783"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2030</w:t>
            </w:r>
          </w:p>
        </w:tc>
        <w:tc>
          <w:tcPr>
            <w:tcW w:w="677" w:type="pct"/>
            <w:tcBorders>
              <w:top w:val="single" w:sz="4" w:space="0" w:color="auto"/>
              <w:left w:val="single" w:sz="4" w:space="0" w:color="auto"/>
              <w:bottom w:val="single" w:sz="4" w:space="0" w:color="auto"/>
              <w:right w:val="single" w:sz="4" w:space="0" w:color="auto"/>
            </w:tcBorders>
            <w:shd w:val="clear" w:color="auto" w:fill="D9D9D9"/>
            <w:vAlign w:val="center"/>
          </w:tcPr>
          <w:p w14:paraId="7FBBF11B"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2031</w:t>
            </w:r>
          </w:p>
        </w:tc>
      </w:tr>
      <w:tr w:rsidR="001A2F9D" w:rsidRPr="001A2F9D" w14:paraId="12BCAB32"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1E2E114"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07E19D3A"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5596F31"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30BA2B1"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06D0563"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174A3CD"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r>
      <w:tr w:rsidR="001A2F9D" w:rsidRPr="001A2F9D" w14:paraId="458FAD40"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6B0047B9"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自筹资金流入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04CC64A5"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03DB8BA"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AE4868B"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C0A6D92"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71A432B"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r>
      <w:tr w:rsidR="001A2F9D" w:rsidRPr="001A2F9D" w14:paraId="36C0F02B"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33F647FE"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本期债券资金流入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0A34A9A7"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215D1EFF"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C7AE060"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0FE7E24"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E3A1EEB"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r>
      <w:tr w:rsidR="001A2F9D" w:rsidRPr="001A2F9D" w14:paraId="154CA011"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2CA7073"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运营期现金流入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4B48A28D"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3,111.60</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C90CC98"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1,701.60</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A05C71A"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1,701.60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AB3E8CA"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1,701.60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2F67E01"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1,701.60</w:t>
            </w:r>
          </w:p>
        </w:tc>
      </w:tr>
      <w:tr w:rsidR="001A2F9D" w:rsidRPr="001A2F9D" w14:paraId="56CB5D8A"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37A56C64"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现金流入总额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03C055A"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3,111.60</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9A64368"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1,701.60</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A74D454"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1,701.60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F029BEA"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1,701.60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2245485"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1,701.60</w:t>
            </w:r>
          </w:p>
        </w:tc>
      </w:tr>
      <w:tr w:rsidR="001A2F9D" w:rsidRPr="001A2F9D" w14:paraId="2598E4BD"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2D04E33"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C54D6E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DC5A76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2B4C0F7"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B5B7869"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F26FBD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r>
      <w:tr w:rsidR="001A2F9D" w:rsidRPr="001A2F9D" w14:paraId="20F68067"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758BFAE0"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建设期资金流出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62469E0"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DFE6BA7"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4749EC3"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8FB886A"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4AD21CD"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r>
      <w:tr w:rsidR="001A2F9D" w:rsidRPr="001A2F9D" w14:paraId="01A52FB5"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BA8BB79"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运营期现金流出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032CD273"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786.58</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69922FCF"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434.08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8411496"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434.08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3BF76B0"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434.08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339209E"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434.08</w:t>
            </w:r>
          </w:p>
        </w:tc>
      </w:tr>
      <w:tr w:rsidR="001A2F9D" w:rsidRPr="001A2F9D" w14:paraId="6F24442D"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3923F238"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债券还本付息</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3310226A"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142.56</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D051A2C"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142.56</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7C9BF69"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142.56</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1C0E62E"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142.56</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04B2DAE"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142.56</w:t>
            </w:r>
          </w:p>
        </w:tc>
      </w:tr>
      <w:tr w:rsidR="001A2F9D" w:rsidRPr="001A2F9D" w14:paraId="38E64F4D"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D5855A0"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债券发行费用</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20D9CEE4"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5EE2CCA7"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DD21BFA"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0882295"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1A38306" w14:textId="77777777" w:rsidR="001A2F9D" w:rsidRPr="001A2F9D" w:rsidRDefault="001A2F9D" w:rsidP="001A2F9D">
            <w:pPr>
              <w:widowControl/>
              <w:jc w:val="right"/>
              <w:rPr>
                <w:rFonts w:ascii="宋体" w:eastAsia="宋体" w:hAnsi="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r>
      <w:tr w:rsidR="001A2F9D" w:rsidRPr="001A2F9D" w14:paraId="4325D758"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767D19CE"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现金流出总额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3853F610"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929.14</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81391F7"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576.64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1D37583"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576.64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850190D"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576.64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3DDE84F"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576.64</w:t>
            </w:r>
          </w:p>
        </w:tc>
      </w:tr>
      <w:tr w:rsidR="001A2F9D" w:rsidRPr="001A2F9D" w14:paraId="0E9FE9CB"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1DC33119"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现金净流量</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43F55A9"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6CC61C78"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73F0CE7"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8DE9D36"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F41E94D"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r>
      <w:tr w:rsidR="001A2F9D" w:rsidRPr="001A2F9D" w14:paraId="446F704E"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7D8DAC7"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当年项目现金净流入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454DC974"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2,182.46</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543633B7"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1,124.96</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E6AE5BF"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1,124.96</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5FCAA4D"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1,124.96</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91E249C"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1,124.96</w:t>
            </w:r>
          </w:p>
        </w:tc>
      </w:tr>
      <w:tr w:rsidR="001A2F9D" w:rsidRPr="001A2F9D" w14:paraId="3DEDDDB9" w14:textId="77777777" w:rsidTr="004320BD">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02342EF1"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期末项目累计现金结存额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26F9756C"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2,182.46</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4B1A679C"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3,307.42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F059F11"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4,432.38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5B42F63"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5,557.34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C8AA523"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6,682.30</w:t>
            </w:r>
          </w:p>
        </w:tc>
      </w:tr>
    </w:tbl>
    <w:p w14:paraId="695FC9E9" w14:textId="77777777" w:rsidR="001A2F9D" w:rsidRPr="001A2F9D" w:rsidRDefault="001A2F9D" w:rsidP="001A2F9D">
      <w:pPr>
        <w:widowControl/>
        <w:ind w:firstLineChars="200" w:firstLine="482"/>
        <w:jc w:val="center"/>
        <w:rPr>
          <w:rFonts w:ascii="宋体" w:eastAsia="宋体" w:hAnsi="宋体" w:hint="eastAsia"/>
          <w:b/>
          <w:kern w:val="0"/>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8"/>
        <w:gridCol w:w="1104"/>
        <w:gridCol w:w="1104"/>
        <w:gridCol w:w="1104"/>
        <w:gridCol w:w="1100"/>
        <w:gridCol w:w="1150"/>
      </w:tblGrid>
      <w:tr w:rsidR="001A2F9D" w:rsidRPr="001A2F9D" w14:paraId="4F547395" w14:textId="77777777" w:rsidTr="001A2F9D">
        <w:trPr>
          <w:trHeight w:val="113"/>
          <w:tblHeader/>
          <w:jc w:val="center"/>
        </w:trPr>
        <w:tc>
          <w:tcPr>
            <w:tcW w:w="1654" w:type="pct"/>
            <w:tcBorders>
              <w:top w:val="single" w:sz="4" w:space="0" w:color="auto"/>
              <w:left w:val="single" w:sz="4" w:space="0" w:color="auto"/>
              <w:bottom w:val="single" w:sz="4" w:space="0" w:color="auto"/>
              <w:right w:val="single" w:sz="4" w:space="0" w:color="auto"/>
            </w:tcBorders>
            <w:shd w:val="clear" w:color="auto" w:fill="D9D9D9"/>
            <w:vAlign w:val="center"/>
          </w:tcPr>
          <w:p w14:paraId="1AD1E955"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年度</w:t>
            </w:r>
          </w:p>
        </w:tc>
        <w:tc>
          <w:tcPr>
            <w:tcW w:w="664" w:type="pct"/>
            <w:tcBorders>
              <w:top w:val="single" w:sz="4" w:space="0" w:color="auto"/>
              <w:left w:val="single" w:sz="4" w:space="0" w:color="auto"/>
              <w:bottom w:val="single" w:sz="4" w:space="0" w:color="auto"/>
              <w:right w:val="single" w:sz="4" w:space="0" w:color="auto"/>
            </w:tcBorders>
            <w:shd w:val="clear" w:color="auto" w:fill="D9D9D9"/>
            <w:vAlign w:val="center"/>
          </w:tcPr>
          <w:p w14:paraId="01F114C2"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2032</w:t>
            </w:r>
          </w:p>
        </w:tc>
        <w:tc>
          <w:tcPr>
            <w:tcW w:w="664" w:type="pct"/>
            <w:tcBorders>
              <w:top w:val="single" w:sz="4" w:space="0" w:color="auto"/>
              <w:left w:val="single" w:sz="4" w:space="0" w:color="auto"/>
              <w:bottom w:val="single" w:sz="4" w:space="0" w:color="auto"/>
              <w:right w:val="single" w:sz="4" w:space="0" w:color="auto"/>
            </w:tcBorders>
            <w:shd w:val="clear" w:color="auto" w:fill="D9D9D9"/>
            <w:vAlign w:val="center"/>
          </w:tcPr>
          <w:p w14:paraId="18B616C5"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2033</w:t>
            </w:r>
          </w:p>
        </w:tc>
        <w:tc>
          <w:tcPr>
            <w:tcW w:w="664" w:type="pct"/>
            <w:tcBorders>
              <w:top w:val="single" w:sz="4" w:space="0" w:color="auto"/>
              <w:left w:val="single" w:sz="4" w:space="0" w:color="auto"/>
              <w:bottom w:val="single" w:sz="4" w:space="0" w:color="auto"/>
              <w:right w:val="single" w:sz="4" w:space="0" w:color="auto"/>
            </w:tcBorders>
            <w:shd w:val="clear" w:color="auto" w:fill="D9D9D9"/>
          </w:tcPr>
          <w:p w14:paraId="1C943134"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2034</w:t>
            </w:r>
          </w:p>
        </w:tc>
        <w:tc>
          <w:tcPr>
            <w:tcW w:w="662" w:type="pct"/>
            <w:tcBorders>
              <w:top w:val="single" w:sz="4" w:space="0" w:color="auto"/>
              <w:left w:val="single" w:sz="4" w:space="0" w:color="auto"/>
              <w:bottom w:val="single" w:sz="4" w:space="0" w:color="auto"/>
              <w:right w:val="single" w:sz="4" w:space="0" w:color="auto"/>
            </w:tcBorders>
            <w:shd w:val="clear" w:color="auto" w:fill="D9D9D9"/>
          </w:tcPr>
          <w:p w14:paraId="7C3053C1"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2035</w:t>
            </w:r>
          </w:p>
        </w:tc>
        <w:tc>
          <w:tcPr>
            <w:tcW w:w="692" w:type="pct"/>
            <w:tcBorders>
              <w:top w:val="single" w:sz="4" w:space="0" w:color="auto"/>
              <w:left w:val="single" w:sz="4" w:space="0" w:color="auto"/>
              <w:bottom w:val="single" w:sz="4" w:space="0" w:color="auto"/>
              <w:right w:val="single" w:sz="4" w:space="0" w:color="auto"/>
            </w:tcBorders>
            <w:shd w:val="clear" w:color="auto" w:fill="D9D9D9"/>
            <w:vAlign w:val="center"/>
          </w:tcPr>
          <w:p w14:paraId="650A1855" w14:textId="77777777" w:rsidR="001A2F9D" w:rsidRPr="001A2F9D" w:rsidRDefault="001A2F9D" w:rsidP="001A2F9D">
            <w:pPr>
              <w:widowControl/>
              <w:jc w:val="center"/>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合计</w:t>
            </w:r>
          </w:p>
        </w:tc>
      </w:tr>
      <w:tr w:rsidR="001A2F9D" w:rsidRPr="001A2F9D" w14:paraId="7CE977E7"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75E2FAE2"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FBFB58D"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8A4A908"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FF56454"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0416F536"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FC9D47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r>
      <w:tr w:rsidR="001A2F9D" w:rsidRPr="001A2F9D" w14:paraId="53B4AC17"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23A9D7A0"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自筹资金流入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5C1CE98"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371F8346"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EFBD70A"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color w:val="000000"/>
                <w:kern w:val="0"/>
                <w:sz w:val="20"/>
                <w:szCs w:val="20"/>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2E7586D5"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color w:val="000000"/>
                <w:kern w:val="0"/>
                <w:sz w:val="20"/>
                <w:szCs w:val="20"/>
                <w:lang w:val="en-GB"/>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6DC257F1"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57,329.12</w:t>
            </w:r>
          </w:p>
        </w:tc>
      </w:tr>
      <w:tr w:rsidR="001A2F9D" w:rsidRPr="001A2F9D" w14:paraId="2F173C8B"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553ACBCA"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本期债券资金流入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BA8F1A1"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B4A80E3"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643F3E4F"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color w:val="000000"/>
                <w:kern w:val="0"/>
                <w:sz w:val="20"/>
                <w:szCs w:val="20"/>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69463F3A"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color w:val="000000"/>
                <w:kern w:val="0"/>
                <w:sz w:val="20"/>
                <w:szCs w:val="20"/>
                <w:lang w:val="en-GB"/>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6F48ECE"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8,100.00</w:t>
            </w:r>
          </w:p>
        </w:tc>
      </w:tr>
      <w:tr w:rsidR="001A2F9D" w:rsidRPr="001A2F9D" w14:paraId="7ECF8D34"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297A73D1"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运营期现金流入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9B9F22A"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1,701.60</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D8C1BE9"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1,701.60</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3178DA4"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color w:val="000000"/>
                <w:kern w:val="0"/>
                <w:sz w:val="20"/>
                <w:szCs w:val="20"/>
                <w:lang w:val="en-GB"/>
              </w:rPr>
              <w:t>1,701.60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09A197CF"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color w:val="000000"/>
                <w:kern w:val="0"/>
                <w:sz w:val="20"/>
                <w:szCs w:val="20"/>
                <w:lang w:val="en-GB"/>
              </w:rPr>
              <w:t>1,701.60</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749A1C4"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16,724.40</w:t>
            </w:r>
          </w:p>
        </w:tc>
      </w:tr>
      <w:tr w:rsidR="001A2F9D" w:rsidRPr="001A2F9D" w14:paraId="254F787F"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7B68FC26"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现金流入总额</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059E2C2E"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1,701.60</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0118341"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1,701.60</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AE52456"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b/>
                <w:bCs/>
                <w:color w:val="000000"/>
                <w:kern w:val="0"/>
                <w:sz w:val="20"/>
                <w:szCs w:val="20"/>
                <w:lang w:val="en-GB"/>
              </w:rPr>
              <w:t>1,701.60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23AFDB46"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1,701.60</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C7BD2B7"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82,153.52</w:t>
            </w:r>
          </w:p>
        </w:tc>
      </w:tr>
      <w:tr w:rsidR="001A2F9D" w:rsidRPr="001A2F9D" w14:paraId="67B52FBC"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74CE5495"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现金流出</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A8FDE07"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6C457CC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0D1782C"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3EFC16B6" w14:textId="77777777" w:rsidR="001A2F9D" w:rsidRPr="001A2F9D" w:rsidRDefault="001A2F9D" w:rsidP="001A2F9D">
            <w:pPr>
              <w:widowControl/>
              <w:jc w:val="right"/>
              <w:rPr>
                <w:rFonts w:ascii="宋体" w:eastAsia="宋体" w:hAnsi="宋体" w:hint="eastAsia"/>
                <w:b/>
                <w:bCs/>
                <w:color w:val="000000"/>
                <w:kern w:val="0"/>
                <w:sz w:val="20"/>
                <w:szCs w:val="20"/>
                <w:lang w:val="en-GB"/>
              </w:rPr>
            </w:pP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68001F14"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r>
      <w:tr w:rsidR="001A2F9D" w:rsidRPr="001A2F9D" w14:paraId="7202CA8C"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2CF52799"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建设期资金流出</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3FCEC6D"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906F541"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0AFB886C"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color w:val="000000"/>
                <w:kern w:val="0"/>
                <w:sz w:val="20"/>
                <w:szCs w:val="20"/>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6EAD477C"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color w:val="000000"/>
                <w:kern w:val="0"/>
                <w:sz w:val="20"/>
                <w:szCs w:val="20"/>
                <w:lang w:val="en-GB"/>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89C5F5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65,215.28</w:t>
            </w:r>
          </w:p>
        </w:tc>
      </w:tr>
      <w:tr w:rsidR="001A2F9D" w:rsidRPr="001A2F9D" w14:paraId="1A8864FD"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7021484E"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运营期现金流出</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7DFC475"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434.08</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6E809A89"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434.08</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6B57866"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color w:val="000000"/>
                <w:kern w:val="0"/>
                <w:sz w:val="20"/>
                <w:szCs w:val="20"/>
                <w:lang w:val="en-GB"/>
              </w:rPr>
              <w:t>434.08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0AD8BA00"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color w:val="000000"/>
                <w:kern w:val="0"/>
                <w:sz w:val="20"/>
                <w:szCs w:val="20"/>
                <w:lang w:val="en-GB"/>
              </w:rPr>
              <w:t>434.08</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764366A"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4,259.22</w:t>
            </w:r>
          </w:p>
        </w:tc>
      </w:tr>
      <w:tr w:rsidR="001A2F9D" w:rsidRPr="001A2F9D" w14:paraId="31D3D028"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7D9707A3"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债券还本付息</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60CEE3B"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142.56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91C0434"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142.56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2DA36A1"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color w:val="000000"/>
                <w:kern w:val="0"/>
                <w:sz w:val="20"/>
                <w:szCs w:val="20"/>
                <w:lang w:val="en-GB"/>
              </w:rPr>
              <w:t>142.56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286E7C02"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color w:val="000000"/>
                <w:kern w:val="0"/>
                <w:sz w:val="20"/>
                <w:szCs w:val="20"/>
                <w:lang w:val="en-GB"/>
              </w:rPr>
              <w:t>8,171.28</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1981113"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9,525.60</w:t>
            </w:r>
          </w:p>
        </w:tc>
      </w:tr>
      <w:tr w:rsidR="001A2F9D" w:rsidRPr="001A2F9D" w14:paraId="10E713E1"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25E56899" w14:textId="77777777" w:rsidR="001A2F9D" w:rsidRPr="001A2F9D" w:rsidRDefault="001A2F9D" w:rsidP="001A2F9D">
            <w:pPr>
              <w:widowControl/>
              <w:jc w:val="left"/>
              <w:rPr>
                <w:rFonts w:ascii="宋体" w:eastAsia="宋体" w:hAnsi="宋体" w:cs="宋体" w:hint="eastAsia"/>
                <w:color w:val="000000"/>
                <w:kern w:val="0"/>
                <w:sz w:val="20"/>
                <w:szCs w:val="20"/>
                <w:lang w:val="en-GB"/>
              </w:rPr>
            </w:pPr>
            <w:r w:rsidRPr="001A2F9D">
              <w:rPr>
                <w:rFonts w:ascii="宋体" w:eastAsia="宋体" w:hAnsi="宋体" w:cs="宋体" w:hint="eastAsia"/>
                <w:color w:val="000000"/>
                <w:kern w:val="0"/>
                <w:sz w:val="20"/>
                <w:szCs w:val="20"/>
                <w:lang w:val="en-GB"/>
              </w:rPr>
              <w:t>债券发行费用</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6CEA75CB"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9B5E022" w14:textId="77777777" w:rsidR="001A2F9D" w:rsidRPr="001A2F9D" w:rsidRDefault="001A2F9D" w:rsidP="001A2F9D">
            <w:pPr>
              <w:widowControl/>
              <w:jc w:val="right"/>
              <w:rPr>
                <w:rFonts w:ascii="宋体" w:eastAsia="宋体" w:hAnsi="宋体" w:cs="宋体" w:hint="eastAsia"/>
                <w:color w:val="000000"/>
                <w:kern w:val="0"/>
                <w:sz w:val="20"/>
                <w:szCs w:val="20"/>
                <w:lang w:val="en-GB"/>
              </w:rPr>
            </w:pPr>
            <w:r w:rsidRPr="001A2F9D">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1646E10"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color w:val="000000"/>
                <w:kern w:val="0"/>
                <w:sz w:val="20"/>
                <w:szCs w:val="20"/>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14DF4371"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color w:val="000000"/>
                <w:kern w:val="0"/>
                <w:sz w:val="20"/>
                <w:szCs w:val="20"/>
                <w:lang w:val="en-GB"/>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42B018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r>
      <w:tr w:rsidR="001A2F9D" w:rsidRPr="001A2F9D" w14:paraId="6DFD06EA"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0BF2652D"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lastRenderedPageBreak/>
              <w:t>现金流出总额</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6D2018EE"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576.64</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03695B66"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576.64</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BE4121F"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b/>
                <w:bCs/>
                <w:color w:val="000000"/>
                <w:kern w:val="0"/>
                <w:sz w:val="20"/>
                <w:szCs w:val="20"/>
                <w:lang w:val="en-GB"/>
              </w:rPr>
              <w:t>576.64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779826B2"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8,605.36</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311692F"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79,000.10</w:t>
            </w:r>
          </w:p>
        </w:tc>
      </w:tr>
      <w:tr w:rsidR="001A2F9D" w:rsidRPr="001A2F9D" w14:paraId="3B1AB47E"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1EFF2CDB"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现金净流量</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3E688C20"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BD474CD"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3091B9C2"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619026C9"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22CC8A7"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p>
        </w:tc>
      </w:tr>
      <w:tr w:rsidR="001A2F9D" w:rsidRPr="001A2F9D" w14:paraId="09588065"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0A8B0923"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当年项目现金净流入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2EA4282"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1,124.96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00630F2"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1,124.96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89084D6"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b/>
                <w:bCs/>
                <w:color w:val="000000"/>
                <w:kern w:val="0"/>
                <w:sz w:val="20"/>
                <w:szCs w:val="20"/>
                <w:lang w:val="en-GB"/>
              </w:rPr>
              <w:t>1,124.96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6B44E62C"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-6,903.76</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D3F1D6B"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r>
      <w:tr w:rsidR="001A2F9D" w:rsidRPr="001A2F9D" w14:paraId="439B0627" w14:textId="77777777" w:rsidTr="004320BD">
        <w:trPr>
          <w:trHeight w:val="113"/>
          <w:jc w:val="center"/>
        </w:trPr>
        <w:tc>
          <w:tcPr>
            <w:tcW w:w="1654" w:type="pct"/>
            <w:tcBorders>
              <w:top w:val="single" w:sz="4" w:space="0" w:color="auto"/>
              <w:left w:val="single" w:sz="4" w:space="0" w:color="auto"/>
              <w:bottom w:val="single" w:sz="4" w:space="0" w:color="auto"/>
              <w:right w:val="single" w:sz="4" w:space="0" w:color="auto"/>
            </w:tcBorders>
            <w:shd w:val="clear" w:color="auto" w:fill="FFFFFF"/>
            <w:vAlign w:val="center"/>
          </w:tcPr>
          <w:p w14:paraId="23425319" w14:textId="77777777" w:rsidR="001A2F9D" w:rsidRPr="001A2F9D" w:rsidRDefault="001A2F9D" w:rsidP="001A2F9D">
            <w:pPr>
              <w:widowControl/>
              <w:jc w:val="left"/>
              <w:rPr>
                <w:rFonts w:ascii="宋体" w:eastAsia="宋体" w:hAnsi="宋体" w:cs="宋体" w:hint="eastAsia"/>
                <w:b/>
                <w:bCs/>
                <w:color w:val="000000"/>
                <w:kern w:val="0"/>
                <w:sz w:val="20"/>
                <w:szCs w:val="20"/>
                <w:lang w:val="en-GB"/>
              </w:rPr>
            </w:pPr>
            <w:r w:rsidRPr="001A2F9D">
              <w:rPr>
                <w:rFonts w:ascii="宋体" w:eastAsia="宋体" w:hAnsi="宋体" w:cs="宋体" w:hint="eastAsia"/>
                <w:b/>
                <w:bCs/>
                <w:color w:val="000000"/>
                <w:kern w:val="0"/>
                <w:sz w:val="20"/>
                <w:szCs w:val="20"/>
                <w:lang w:val="en-GB"/>
              </w:rPr>
              <w:t>期末项目累计现金结存额</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27AA698"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7,807.26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655FE1E"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8,932.22</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C02AA20" w14:textId="77777777" w:rsidR="001A2F9D" w:rsidRPr="001A2F9D" w:rsidRDefault="001A2F9D" w:rsidP="001A2F9D">
            <w:pPr>
              <w:widowControl/>
              <w:jc w:val="right"/>
              <w:rPr>
                <w:rFonts w:ascii="宋体" w:eastAsia="宋体" w:hAnsi="宋体" w:cs="Arial" w:hint="eastAsia"/>
                <w:b/>
                <w:bCs/>
                <w:color w:val="000000"/>
                <w:kern w:val="0"/>
                <w:sz w:val="20"/>
                <w:szCs w:val="20"/>
                <w:lang w:val="en-GB"/>
              </w:rPr>
            </w:pPr>
            <w:r w:rsidRPr="001A2F9D">
              <w:rPr>
                <w:rFonts w:ascii="宋体" w:eastAsia="宋体" w:hAnsi="宋体" w:hint="eastAsia"/>
                <w:b/>
                <w:bCs/>
                <w:color w:val="000000"/>
                <w:kern w:val="0"/>
                <w:sz w:val="20"/>
                <w:szCs w:val="20"/>
                <w:lang w:val="en-GB"/>
              </w:rPr>
              <w:t>10,057.18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6D4576BF" w14:textId="77777777" w:rsidR="001A2F9D" w:rsidRPr="001A2F9D" w:rsidRDefault="001A2F9D" w:rsidP="001A2F9D">
            <w:pPr>
              <w:widowControl/>
              <w:jc w:val="right"/>
              <w:rPr>
                <w:rFonts w:ascii="宋体" w:eastAsia="宋体" w:hAnsi="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3,153.42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CE97786" w14:textId="77777777" w:rsidR="001A2F9D" w:rsidRPr="001A2F9D" w:rsidRDefault="001A2F9D" w:rsidP="001A2F9D">
            <w:pPr>
              <w:widowControl/>
              <w:jc w:val="right"/>
              <w:rPr>
                <w:rFonts w:ascii="宋体" w:eastAsia="宋体" w:hAnsi="宋体" w:cs="宋体" w:hint="eastAsia"/>
                <w:b/>
                <w:bCs/>
                <w:color w:val="000000"/>
                <w:kern w:val="0"/>
                <w:sz w:val="20"/>
                <w:szCs w:val="20"/>
                <w:lang w:val="en-GB"/>
              </w:rPr>
            </w:pPr>
            <w:r w:rsidRPr="001A2F9D">
              <w:rPr>
                <w:rFonts w:ascii="宋体" w:eastAsia="宋体" w:hAnsi="宋体" w:hint="eastAsia"/>
                <w:b/>
                <w:bCs/>
                <w:color w:val="000000"/>
                <w:kern w:val="0"/>
                <w:sz w:val="20"/>
                <w:szCs w:val="20"/>
                <w:lang w:val="en-GB"/>
              </w:rPr>
              <w:t>-</w:t>
            </w:r>
          </w:p>
        </w:tc>
      </w:tr>
    </w:tbl>
    <w:p w14:paraId="7DF1BA76" w14:textId="77777777" w:rsidR="00F72ACB" w:rsidRDefault="00F72ACB">
      <w:pPr>
        <w:widowControl/>
        <w:ind w:firstLineChars="200" w:firstLine="360"/>
        <w:jc w:val="right"/>
        <w:rPr>
          <w:rFonts w:ascii="宋体" w:eastAsia="宋体" w:hAnsi="宋体" w:hint="eastAsia"/>
          <w:kern w:val="0"/>
          <w:sz w:val="18"/>
          <w:szCs w:val="18"/>
          <w:lang w:val="en-GB"/>
        </w:rPr>
      </w:pPr>
    </w:p>
    <w:p w14:paraId="73728A11" w14:textId="77777777" w:rsidR="00CD75AA" w:rsidRDefault="007D11AE">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6" w:name="_Toc200555358"/>
      <w:bookmarkStart w:id="27" w:name="_Toc114818535"/>
      <w:bookmarkStart w:id="28" w:name="_Toc114818425"/>
      <w:r>
        <w:rPr>
          <w:rFonts w:ascii="宋体" w:eastAsia="宋体" w:hAnsi="宋体" w:hint="eastAsia"/>
          <w:b/>
          <w:bCs/>
          <w:color w:val="000000"/>
          <w:kern w:val="0"/>
          <w:sz w:val="24"/>
          <w:szCs w:val="24"/>
        </w:rPr>
        <w:t>4</w:t>
      </w:r>
      <w:r>
        <w:rPr>
          <w:rFonts w:ascii="宋体" w:eastAsia="宋体" w:hAnsi="宋体"/>
          <w:b/>
          <w:bCs/>
          <w:color w:val="000000"/>
          <w:kern w:val="0"/>
          <w:sz w:val="24"/>
          <w:szCs w:val="24"/>
        </w:rPr>
        <w:t>.</w:t>
      </w:r>
      <w:r>
        <w:rPr>
          <w:rFonts w:ascii="宋体" w:eastAsia="宋体" w:hAnsi="宋体" w:hint="eastAsia"/>
          <w:b/>
          <w:bCs/>
          <w:color w:val="000000"/>
          <w:kern w:val="0"/>
          <w:sz w:val="24"/>
          <w:szCs w:val="24"/>
        </w:rPr>
        <w:t>债券发行和还本付息</w:t>
      </w:r>
      <w:bookmarkEnd w:id="26"/>
    </w:p>
    <w:p w14:paraId="73728A12" w14:textId="77777777" w:rsidR="00CD75AA" w:rsidRDefault="007D11AE">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本次债券利息每半年支付一次，最后一期利息随本金一起支付。自发行之日起存续期还本付息情况详见表7。</w:t>
      </w:r>
    </w:p>
    <w:p w14:paraId="73728A13" w14:textId="77777777" w:rsidR="00CD75AA" w:rsidRDefault="007D11AE">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表7 鸿越路配套路网工程</w:t>
      </w:r>
      <w:r>
        <w:rPr>
          <w:rFonts w:ascii="宋体" w:eastAsia="宋体" w:hAnsi="宋体"/>
          <w:b/>
          <w:kern w:val="0"/>
          <w:sz w:val="24"/>
          <w:szCs w:val="24"/>
          <w:lang w:val="en-GB"/>
        </w:rPr>
        <w:t>还本付息表</w:t>
      </w:r>
    </w:p>
    <w:p w14:paraId="73728A14" w14:textId="77777777" w:rsidR="00CD75AA" w:rsidRDefault="007D11AE">
      <w:pPr>
        <w:widowControl/>
        <w:ind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9"/>
        <w:gridCol w:w="1092"/>
        <w:gridCol w:w="1090"/>
        <w:gridCol w:w="1090"/>
        <w:gridCol w:w="1090"/>
        <w:gridCol w:w="1084"/>
        <w:gridCol w:w="1084"/>
      </w:tblGrid>
      <w:tr w:rsidR="00CD75AA" w14:paraId="73728A1C" w14:textId="77777777">
        <w:trPr>
          <w:trHeight w:val="20"/>
          <w:tblHeader/>
        </w:trPr>
        <w:tc>
          <w:tcPr>
            <w:tcW w:w="1089" w:type="pct"/>
            <w:shd w:val="clear" w:color="auto" w:fill="D8D8D8"/>
            <w:vAlign w:val="center"/>
          </w:tcPr>
          <w:p w14:paraId="73728A15"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654" w:type="pct"/>
            <w:shd w:val="clear" w:color="auto" w:fill="D8D8D8"/>
            <w:vAlign w:val="center"/>
          </w:tcPr>
          <w:p w14:paraId="73728A16"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2025</w:t>
            </w:r>
          </w:p>
        </w:tc>
        <w:tc>
          <w:tcPr>
            <w:tcW w:w="653" w:type="pct"/>
            <w:shd w:val="clear" w:color="auto" w:fill="D8D8D8"/>
            <w:vAlign w:val="center"/>
          </w:tcPr>
          <w:p w14:paraId="73728A17"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2026</w:t>
            </w:r>
          </w:p>
        </w:tc>
        <w:tc>
          <w:tcPr>
            <w:tcW w:w="653" w:type="pct"/>
            <w:shd w:val="clear" w:color="auto" w:fill="D8D8D8"/>
            <w:vAlign w:val="center"/>
          </w:tcPr>
          <w:p w14:paraId="73728A18"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2027</w:t>
            </w:r>
          </w:p>
        </w:tc>
        <w:tc>
          <w:tcPr>
            <w:tcW w:w="653" w:type="pct"/>
            <w:shd w:val="clear" w:color="auto" w:fill="D8D8D8"/>
            <w:vAlign w:val="center"/>
          </w:tcPr>
          <w:p w14:paraId="73728A19"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2028</w:t>
            </w:r>
          </w:p>
        </w:tc>
        <w:tc>
          <w:tcPr>
            <w:tcW w:w="649" w:type="pct"/>
            <w:shd w:val="clear" w:color="auto" w:fill="D8D8D8"/>
            <w:vAlign w:val="center"/>
          </w:tcPr>
          <w:p w14:paraId="73728A1A"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2029</w:t>
            </w:r>
          </w:p>
        </w:tc>
        <w:tc>
          <w:tcPr>
            <w:tcW w:w="649" w:type="pct"/>
            <w:shd w:val="clear" w:color="auto" w:fill="D8D8D8"/>
            <w:vAlign w:val="center"/>
          </w:tcPr>
          <w:p w14:paraId="73728A1B"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2030</w:t>
            </w:r>
          </w:p>
        </w:tc>
      </w:tr>
      <w:tr w:rsidR="00CD75AA" w14:paraId="73728A24" w14:textId="77777777">
        <w:trPr>
          <w:trHeight w:val="20"/>
        </w:trPr>
        <w:tc>
          <w:tcPr>
            <w:tcW w:w="1089" w:type="pct"/>
            <w:shd w:val="clear" w:color="000000" w:fill="FFFFFF"/>
            <w:vAlign w:val="center"/>
          </w:tcPr>
          <w:p w14:paraId="73728A1D"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654" w:type="pct"/>
            <w:shd w:val="clear" w:color="000000" w:fill="FFFFFF"/>
            <w:vAlign w:val="center"/>
          </w:tcPr>
          <w:p w14:paraId="73728A1E"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1F"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20"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2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49" w:type="pct"/>
            <w:shd w:val="clear" w:color="000000" w:fill="FFFFFF"/>
            <w:vAlign w:val="center"/>
          </w:tcPr>
          <w:p w14:paraId="73728A2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49" w:type="pct"/>
            <w:shd w:val="clear" w:color="000000" w:fill="FFFFFF"/>
            <w:vAlign w:val="center"/>
          </w:tcPr>
          <w:p w14:paraId="73728A23"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r>
      <w:tr w:rsidR="00CD75AA" w14:paraId="73728A2C" w14:textId="77777777">
        <w:trPr>
          <w:trHeight w:val="20"/>
        </w:trPr>
        <w:tc>
          <w:tcPr>
            <w:tcW w:w="1089" w:type="pct"/>
            <w:shd w:val="clear" w:color="000000" w:fill="FFFFFF"/>
            <w:vAlign w:val="center"/>
          </w:tcPr>
          <w:p w14:paraId="73728A25"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本期专项债券发行</w:t>
            </w:r>
          </w:p>
        </w:tc>
        <w:tc>
          <w:tcPr>
            <w:tcW w:w="654" w:type="pct"/>
            <w:shd w:val="clear" w:color="000000" w:fill="FFFFFF"/>
            <w:vAlign w:val="center"/>
          </w:tcPr>
          <w:p w14:paraId="73728A26"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27"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28"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29"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73728A2A"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73728A2B"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CD75AA" w14:paraId="73728A34" w14:textId="77777777">
        <w:trPr>
          <w:trHeight w:val="20"/>
        </w:trPr>
        <w:tc>
          <w:tcPr>
            <w:tcW w:w="1089" w:type="pct"/>
            <w:shd w:val="clear" w:color="000000" w:fill="FFFFFF"/>
            <w:vAlign w:val="center"/>
          </w:tcPr>
          <w:p w14:paraId="73728A2D"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654" w:type="pct"/>
            <w:shd w:val="clear" w:color="000000" w:fill="FFFFFF"/>
            <w:vAlign w:val="center"/>
          </w:tcPr>
          <w:p w14:paraId="73728A2E"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71.28</w:t>
            </w:r>
          </w:p>
        </w:tc>
        <w:tc>
          <w:tcPr>
            <w:tcW w:w="653" w:type="pct"/>
            <w:shd w:val="clear" w:color="000000" w:fill="FFFFFF"/>
            <w:vAlign w:val="center"/>
          </w:tcPr>
          <w:p w14:paraId="73728A2F"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30"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3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49" w:type="pct"/>
            <w:shd w:val="clear" w:color="000000" w:fill="FFFFFF"/>
            <w:vAlign w:val="center"/>
          </w:tcPr>
          <w:p w14:paraId="73728A3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49" w:type="pct"/>
            <w:shd w:val="clear" w:color="000000" w:fill="FFFFFF"/>
            <w:vAlign w:val="center"/>
          </w:tcPr>
          <w:p w14:paraId="73728A33"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r>
      <w:tr w:rsidR="00CD75AA" w14:paraId="73728A3C" w14:textId="77777777">
        <w:trPr>
          <w:trHeight w:val="20"/>
        </w:trPr>
        <w:tc>
          <w:tcPr>
            <w:tcW w:w="1089" w:type="pct"/>
            <w:shd w:val="clear" w:color="000000" w:fill="FFFFFF"/>
            <w:vAlign w:val="center"/>
          </w:tcPr>
          <w:p w14:paraId="73728A35"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654" w:type="pct"/>
            <w:shd w:val="clear" w:color="000000" w:fill="FFFFFF"/>
            <w:vAlign w:val="center"/>
          </w:tcPr>
          <w:p w14:paraId="73728A36"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71.28</w:t>
            </w:r>
          </w:p>
        </w:tc>
        <w:tc>
          <w:tcPr>
            <w:tcW w:w="653" w:type="pct"/>
            <w:shd w:val="clear" w:color="000000" w:fill="FFFFFF"/>
            <w:vAlign w:val="center"/>
          </w:tcPr>
          <w:p w14:paraId="73728A37"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38"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39"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49" w:type="pct"/>
            <w:shd w:val="clear" w:color="000000" w:fill="FFFFFF"/>
            <w:vAlign w:val="center"/>
          </w:tcPr>
          <w:p w14:paraId="73728A3A"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49" w:type="pct"/>
            <w:shd w:val="clear" w:color="000000" w:fill="FFFFFF"/>
            <w:vAlign w:val="center"/>
          </w:tcPr>
          <w:p w14:paraId="73728A3B"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r>
      <w:tr w:rsidR="00CD75AA" w14:paraId="73728A44" w14:textId="77777777">
        <w:trPr>
          <w:trHeight w:val="20"/>
        </w:trPr>
        <w:tc>
          <w:tcPr>
            <w:tcW w:w="1089" w:type="pct"/>
            <w:shd w:val="clear" w:color="000000" w:fill="FFFFFF"/>
            <w:vAlign w:val="center"/>
          </w:tcPr>
          <w:p w14:paraId="73728A3D"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654" w:type="pct"/>
            <w:shd w:val="clear" w:color="000000" w:fill="FFFFFF"/>
            <w:vAlign w:val="center"/>
          </w:tcPr>
          <w:p w14:paraId="73728A3E"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3F"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40"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4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73728A4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73728A43"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CD75AA" w14:paraId="73728A4C" w14:textId="77777777">
        <w:trPr>
          <w:trHeight w:val="20"/>
        </w:trPr>
        <w:tc>
          <w:tcPr>
            <w:tcW w:w="1089" w:type="pct"/>
            <w:shd w:val="clear" w:color="000000" w:fill="FFFFFF"/>
            <w:vAlign w:val="center"/>
          </w:tcPr>
          <w:p w14:paraId="73728A45"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654" w:type="pct"/>
            <w:shd w:val="clear" w:color="000000" w:fill="FFFFFF"/>
            <w:vAlign w:val="center"/>
          </w:tcPr>
          <w:p w14:paraId="73728A46"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71.28</w:t>
            </w:r>
          </w:p>
        </w:tc>
        <w:tc>
          <w:tcPr>
            <w:tcW w:w="653" w:type="pct"/>
            <w:shd w:val="clear" w:color="000000" w:fill="FFFFFF"/>
            <w:vAlign w:val="center"/>
          </w:tcPr>
          <w:p w14:paraId="73728A47"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48"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49"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49" w:type="pct"/>
            <w:shd w:val="clear" w:color="000000" w:fill="FFFFFF"/>
            <w:vAlign w:val="center"/>
          </w:tcPr>
          <w:p w14:paraId="73728A4A"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49" w:type="pct"/>
            <w:shd w:val="clear" w:color="000000" w:fill="FFFFFF"/>
            <w:vAlign w:val="center"/>
          </w:tcPr>
          <w:p w14:paraId="73728A4B"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r>
      <w:tr w:rsidR="00CD75AA" w14:paraId="73728A54" w14:textId="77777777">
        <w:trPr>
          <w:trHeight w:val="20"/>
        </w:trPr>
        <w:tc>
          <w:tcPr>
            <w:tcW w:w="1089" w:type="pct"/>
            <w:shd w:val="clear" w:color="000000" w:fill="FFFFFF"/>
            <w:vAlign w:val="center"/>
          </w:tcPr>
          <w:p w14:paraId="73728A4D"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654" w:type="pct"/>
            <w:shd w:val="clear" w:color="000000" w:fill="FFFFFF"/>
            <w:vAlign w:val="center"/>
          </w:tcPr>
          <w:p w14:paraId="73728A4E"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4F"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50"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5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49" w:type="pct"/>
            <w:shd w:val="clear" w:color="000000" w:fill="FFFFFF"/>
            <w:vAlign w:val="center"/>
          </w:tcPr>
          <w:p w14:paraId="73728A5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49" w:type="pct"/>
            <w:shd w:val="clear" w:color="000000" w:fill="FFFFFF"/>
            <w:vAlign w:val="center"/>
          </w:tcPr>
          <w:p w14:paraId="73728A53"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r>
    </w:tbl>
    <w:p w14:paraId="73728A55" w14:textId="77777777" w:rsidR="00CD75AA" w:rsidRDefault="00CD75AA">
      <w:pPr>
        <w:widowControl/>
        <w:ind w:firstLineChars="200" w:firstLine="400"/>
        <w:jc w:val="right"/>
        <w:rPr>
          <w:rFonts w:ascii="宋体" w:eastAsia="宋体" w:hAnsi="宋体" w:hint="eastAsia"/>
          <w:kern w:val="0"/>
          <w:sz w:val="20"/>
          <w:szCs w:val="20"/>
          <w:lang w:val="en-GB" w:eastAsia="zh-TW"/>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77"/>
        <w:gridCol w:w="1093"/>
        <w:gridCol w:w="1093"/>
        <w:gridCol w:w="1093"/>
        <w:gridCol w:w="1093"/>
        <w:gridCol w:w="1059"/>
        <w:gridCol w:w="1059"/>
      </w:tblGrid>
      <w:tr w:rsidR="00CD75AA" w14:paraId="73728A5D" w14:textId="77777777">
        <w:trPr>
          <w:trHeight w:val="20"/>
          <w:tblHeader/>
        </w:trPr>
        <w:tc>
          <w:tcPr>
            <w:tcW w:w="1121" w:type="pct"/>
            <w:shd w:val="clear" w:color="auto" w:fill="D8D8D8"/>
            <w:vAlign w:val="center"/>
          </w:tcPr>
          <w:p w14:paraId="73728A56"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653" w:type="pct"/>
            <w:shd w:val="clear" w:color="auto" w:fill="D8D8D8"/>
            <w:vAlign w:val="center"/>
          </w:tcPr>
          <w:p w14:paraId="73728A57"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2031</w:t>
            </w:r>
          </w:p>
        </w:tc>
        <w:tc>
          <w:tcPr>
            <w:tcW w:w="653" w:type="pct"/>
            <w:shd w:val="clear" w:color="auto" w:fill="D8D8D8"/>
            <w:vAlign w:val="center"/>
          </w:tcPr>
          <w:p w14:paraId="73728A58"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2032</w:t>
            </w:r>
          </w:p>
        </w:tc>
        <w:tc>
          <w:tcPr>
            <w:tcW w:w="653" w:type="pct"/>
            <w:shd w:val="clear" w:color="auto" w:fill="D8D8D8"/>
            <w:vAlign w:val="center"/>
          </w:tcPr>
          <w:p w14:paraId="73728A59"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2033</w:t>
            </w:r>
          </w:p>
        </w:tc>
        <w:tc>
          <w:tcPr>
            <w:tcW w:w="653" w:type="pct"/>
            <w:shd w:val="clear" w:color="auto" w:fill="D8D8D8"/>
            <w:vAlign w:val="center"/>
          </w:tcPr>
          <w:p w14:paraId="73728A5A"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2034</w:t>
            </w:r>
          </w:p>
        </w:tc>
        <w:tc>
          <w:tcPr>
            <w:tcW w:w="633" w:type="pct"/>
            <w:shd w:val="clear" w:color="auto" w:fill="D8D8D8"/>
          </w:tcPr>
          <w:p w14:paraId="73728A5B"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2035</w:t>
            </w:r>
          </w:p>
        </w:tc>
        <w:tc>
          <w:tcPr>
            <w:tcW w:w="633" w:type="pct"/>
            <w:shd w:val="clear" w:color="auto" w:fill="D8D8D8"/>
            <w:vAlign w:val="center"/>
          </w:tcPr>
          <w:p w14:paraId="73728A5C"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合计</w:t>
            </w:r>
          </w:p>
        </w:tc>
      </w:tr>
      <w:tr w:rsidR="00CD75AA" w14:paraId="73728A65" w14:textId="77777777">
        <w:trPr>
          <w:trHeight w:val="20"/>
        </w:trPr>
        <w:tc>
          <w:tcPr>
            <w:tcW w:w="1121" w:type="pct"/>
            <w:shd w:val="clear" w:color="000000" w:fill="FFFFFF"/>
            <w:vAlign w:val="center"/>
          </w:tcPr>
          <w:p w14:paraId="73728A5E"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653" w:type="pct"/>
            <w:shd w:val="clear" w:color="000000" w:fill="FFFFFF"/>
            <w:vAlign w:val="center"/>
          </w:tcPr>
          <w:p w14:paraId="73728A5F"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60"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6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6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33" w:type="pct"/>
            <w:shd w:val="clear" w:color="000000" w:fill="FFFFFF"/>
            <w:vAlign w:val="center"/>
          </w:tcPr>
          <w:p w14:paraId="73728A63"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8,100.00</w:t>
            </w:r>
          </w:p>
        </w:tc>
        <w:tc>
          <w:tcPr>
            <w:tcW w:w="633" w:type="pct"/>
            <w:shd w:val="clear" w:color="000000" w:fill="FFFFFF"/>
            <w:vAlign w:val="center"/>
          </w:tcPr>
          <w:p w14:paraId="73728A64" w14:textId="77777777" w:rsidR="00CD75AA" w:rsidRDefault="00CD75AA">
            <w:pPr>
              <w:widowControl/>
              <w:jc w:val="right"/>
              <w:rPr>
                <w:rFonts w:ascii="宋体" w:eastAsia="宋体" w:hAnsi="宋体" w:hint="eastAsia"/>
                <w:b/>
                <w:bCs/>
                <w:color w:val="000000"/>
                <w:kern w:val="0"/>
                <w:sz w:val="20"/>
                <w:szCs w:val="20"/>
                <w:lang w:val="en-GB"/>
              </w:rPr>
            </w:pPr>
          </w:p>
        </w:tc>
      </w:tr>
      <w:tr w:rsidR="00CD75AA" w14:paraId="73728A6D" w14:textId="77777777">
        <w:trPr>
          <w:trHeight w:val="20"/>
        </w:trPr>
        <w:tc>
          <w:tcPr>
            <w:tcW w:w="1121" w:type="pct"/>
            <w:shd w:val="clear" w:color="000000" w:fill="FFFFFF"/>
            <w:vAlign w:val="center"/>
          </w:tcPr>
          <w:p w14:paraId="73728A66"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本期专项债券发行</w:t>
            </w:r>
          </w:p>
        </w:tc>
        <w:tc>
          <w:tcPr>
            <w:tcW w:w="653" w:type="pct"/>
            <w:shd w:val="clear" w:color="000000" w:fill="FFFFFF"/>
            <w:vAlign w:val="center"/>
          </w:tcPr>
          <w:p w14:paraId="73728A67"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68"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69"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6A"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73728A6B"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73728A6C"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8,100.00</w:t>
            </w:r>
          </w:p>
        </w:tc>
      </w:tr>
      <w:tr w:rsidR="00CD75AA" w14:paraId="73728A75" w14:textId="77777777">
        <w:trPr>
          <w:trHeight w:val="20"/>
        </w:trPr>
        <w:tc>
          <w:tcPr>
            <w:tcW w:w="1121" w:type="pct"/>
            <w:shd w:val="clear" w:color="000000" w:fill="FFFFFF"/>
            <w:vAlign w:val="center"/>
          </w:tcPr>
          <w:p w14:paraId="73728A6E"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653" w:type="pct"/>
            <w:shd w:val="clear" w:color="000000" w:fill="FFFFFF"/>
            <w:vAlign w:val="center"/>
          </w:tcPr>
          <w:p w14:paraId="73728A6F"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70"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7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7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33" w:type="pct"/>
            <w:shd w:val="clear" w:color="000000" w:fill="FFFFFF"/>
            <w:vAlign w:val="center"/>
          </w:tcPr>
          <w:p w14:paraId="73728A73"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71.28</w:t>
            </w:r>
          </w:p>
        </w:tc>
        <w:tc>
          <w:tcPr>
            <w:tcW w:w="633" w:type="pct"/>
            <w:shd w:val="clear" w:color="000000" w:fill="FFFFFF"/>
            <w:vAlign w:val="center"/>
          </w:tcPr>
          <w:p w14:paraId="73728A74"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1,425.60</w:t>
            </w:r>
          </w:p>
        </w:tc>
      </w:tr>
      <w:tr w:rsidR="00CD75AA" w14:paraId="73728A7D" w14:textId="77777777">
        <w:trPr>
          <w:trHeight w:val="20"/>
        </w:trPr>
        <w:tc>
          <w:tcPr>
            <w:tcW w:w="1121" w:type="pct"/>
            <w:shd w:val="clear" w:color="000000" w:fill="FFFFFF"/>
            <w:vAlign w:val="center"/>
          </w:tcPr>
          <w:p w14:paraId="73728A76"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653" w:type="pct"/>
            <w:shd w:val="clear" w:color="000000" w:fill="FFFFFF"/>
            <w:vAlign w:val="center"/>
          </w:tcPr>
          <w:p w14:paraId="73728A77"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78"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79"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7A"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33" w:type="pct"/>
            <w:shd w:val="clear" w:color="000000" w:fill="FFFFFF"/>
            <w:vAlign w:val="center"/>
          </w:tcPr>
          <w:p w14:paraId="73728A7B"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8,171.28</w:t>
            </w:r>
          </w:p>
        </w:tc>
        <w:tc>
          <w:tcPr>
            <w:tcW w:w="633" w:type="pct"/>
            <w:shd w:val="clear" w:color="000000" w:fill="FFFFFF"/>
            <w:vAlign w:val="center"/>
          </w:tcPr>
          <w:p w14:paraId="73728A7C"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9,525.60</w:t>
            </w:r>
          </w:p>
        </w:tc>
      </w:tr>
      <w:tr w:rsidR="00CD75AA" w14:paraId="73728A85" w14:textId="77777777">
        <w:trPr>
          <w:trHeight w:val="20"/>
        </w:trPr>
        <w:tc>
          <w:tcPr>
            <w:tcW w:w="1121" w:type="pct"/>
            <w:shd w:val="clear" w:color="000000" w:fill="FFFFFF"/>
            <w:vAlign w:val="center"/>
          </w:tcPr>
          <w:p w14:paraId="73728A7E"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653" w:type="pct"/>
            <w:shd w:val="clear" w:color="000000" w:fill="FFFFFF"/>
            <w:vAlign w:val="center"/>
          </w:tcPr>
          <w:p w14:paraId="73728A7F"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80"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8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3728A8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73728A83"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8,100.00</w:t>
            </w:r>
          </w:p>
        </w:tc>
        <w:tc>
          <w:tcPr>
            <w:tcW w:w="633" w:type="pct"/>
            <w:shd w:val="clear" w:color="000000" w:fill="FFFFFF"/>
            <w:vAlign w:val="center"/>
          </w:tcPr>
          <w:p w14:paraId="73728A84"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8,100.00</w:t>
            </w:r>
          </w:p>
        </w:tc>
      </w:tr>
      <w:tr w:rsidR="00CD75AA" w14:paraId="73728A8D" w14:textId="77777777">
        <w:trPr>
          <w:trHeight w:val="20"/>
        </w:trPr>
        <w:tc>
          <w:tcPr>
            <w:tcW w:w="1121" w:type="pct"/>
            <w:shd w:val="clear" w:color="000000" w:fill="FFFFFF"/>
            <w:vAlign w:val="center"/>
          </w:tcPr>
          <w:p w14:paraId="73728A86"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653" w:type="pct"/>
            <w:shd w:val="clear" w:color="000000" w:fill="FFFFFF"/>
            <w:vAlign w:val="center"/>
          </w:tcPr>
          <w:p w14:paraId="73728A87"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88"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89"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53" w:type="pct"/>
            <w:shd w:val="clear" w:color="000000" w:fill="FFFFFF"/>
            <w:vAlign w:val="center"/>
          </w:tcPr>
          <w:p w14:paraId="73728A8A"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142.56</w:t>
            </w:r>
          </w:p>
        </w:tc>
        <w:tc>
          <w:tcPr>
            <w:tcW w:w="633" w:type="pct"/>
            <w:shd w:val="clear" w:color="000000" w:fill="FFFFFF"/>
            <w:vAlign w:val="center"/>
          </w:tcPr>
          <w:p w14:paraId="73728A8B"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71.28</w:t>
            </w:r>
          </w:p>
        </w:tc>
        <w:tc>
          <w:tcPr>
            <w:tcW w:w="633" w:type="pct"/>
            <w:shd w:val="clear" w:color="000000" w:fill="FFFFFF"/>
            <w:vAlign w:val="center"/>
          </w:tcPr>
          <w:p w14:paraId="73728A8C"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1,425.60</w:t>
            </w:r>
          </w:p>
        </w:tc>
      </w:tr>
      <w:tr w:rsidR="00CD75AA" w14:paraId="73728A95" w14:textId="77777777">
        <w:trPr>
          <w:trHeight w:val="20"/>
        </w:trPr>
        <w:tc>
          <w:tcPr>
            <w:tcW w:w="1121" w:type="pct"/>
            <w:shd w:val="clear" w:color="000000" w:fill="FFFFFF"/>
            <w:vAlign w:val="center"/>
          </w:tcPr>
          <w:p w14:paraId="73728A8E" w14:textId="77777777" w:rsidR="00CD75AA" w:rsidRDefault="007D11AE">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653" w:type="pct"/>
            <w:shd w:val="clear" w:color="000000" w:fill="FFFFFF"/>
            <w:vAlign w:val="center"/>
          </w:tcPr>
          <w:p w14:paraId="73728A8F"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90"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91"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53" w:type="pct"/>
            <w:shd w:val="clear" w:color="000000" w:fill="FFFFFF"/>
            <w:vAlign w:val="center"/>
          </w:tcPr>
          <w:p w14:paraId="73728A92" w14:textId="77777777" w:rsidR="00CD75AA" w:rsidRDefault="007D11AE">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8,100.00</w:t>
            </w:r>
          </w:p>
        </w:tc>
        <w:tc>
          <w:tcPr>
            <w:tcW w:w="633" w:type="pct"/>
            <w:shd w:val="clear" w:color="000000" w:fill="FFFFFF"/>
            <w:vAlign w:val="center"/>
          </w:tcPr>
          <w:p w14:paraId="73728A93" w14:textId="77777777" w:rsidR="00CD75AA" w:rsidRDefault="007D11AE">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73728A94" w14:textId="77777777" w:rsidR="00CD75AA" w:rsidRDefault="00CD75AA">
            <w:pPr>
              <w:widowControl/>
              <w:jc w:val="right"/>
              <w:rPr>
                <w:rFonts w:ascii="宋体" w:eastAsia="宋体" w:hAnsi="宋体" w:hint="eastAsia"/>
                <w:b/>
                <w:bCs/>
                <w:color w:val="000000"/>
                <w:kern w:val="0"/>
                <w:sz w:val="20"/>
                <w:szCs w:val="20"/>
                <w:lang w:val="en-GB"/>
              </w:rPr>
            </w:pPr>
          </w:p>
        </w:tc>
      </w:tr>
    </w:tbl>
    <w:p w14:paraId="73728A96" w14:textId="77777777" w:rsidR="00CD75AA" w:rsidRDefault="007D11AE">
      <w:pPr>
        <w:widowControl/>
        <w:spacing w:before="120" w:after="120" w:line="360" w:lineRule="auto"/>
        <w:outlineLvl w:val="1"/>
        <w:rPr>
          <w:rFonts w:ascii="宋体" w:eastAsia="宋体" w:hAnsi="宋体" w:hint="eastAsia"/>
          <w:b/>
          <w:color w:val="000000"/>
          <w:kern w:val="0"/>
          <w:sz w:val="24"/>
          <w:szCs w:val="24"/>
        </w:rPr>
      </w:pPr>
      <w:bookmarkStart w:id="29" w:name="_Toc200555359"/>
      <w:r>
        <w:rPr>
          <w:rFonts w:ascii="宋体" w:eastAsia="宋体" w:hAnsi="宋体" w:hint="eastAsia"/>
          <w:b/>
          <w:color w:val="000000"/>
          <w:kern w:val="0"/>
          <w:sz w:val="24"/>
          <w:szCs w:val="24"/>
        </w:rPr>
        <w:t>（二）项目收益情况</w:t>
      </w:r>
      <w:bookmarkEnd w:id="29"/>
    </w:p>
    <w:p w14:paraId="73728A97" w14:textId="77777777" w:rsidR="00CD75AA" w:rsidRDefault="007D11AE">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30" w:name="_Toc200555360"/>
      <w:r>
        <w:rPr>
          <w:rFonts w:ascii="宋体" w:eastAsia="宋体" w:hAnsi="宋体"/>
          <w:b/>
          <w:bCs/>
          <w:color w:val="000000"/>
          <w:kern w:val="0"/>
          <w:sz w:val="24"/>
          <w:szCs w:val="24"/>
        </w:rPr>
        <w:t>1.</w:t>
      </w:r>
      <w:r>
        <w:rPr>
          <w:rFonts w:ascii="宋体" w:eastAsia="宋体" w:hAnsi="宋体" w:hint="eastAsia"/>
          <w:b/>
          <w:bCs/>
          <w:color w:val="000000"/>
          <w:kern w:val="0"/>
          <w:sz w:val="24"/>
          <w:szCs w:val="24"/>
        </w:rPr>
        <w:t>项目收入</w:t>
      </w:r>
      <w:bookmarkEnd w:id="30"/>
    </w:p>
    <w:p w14:paraId="73728A98" w14:textId="77777777" w:rsidR="00CD75AA" w:rsidRDefault="007D11AE">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w:t>
      </w:r>
      <w:r>
        <w:rPr>
          <w:rFonts w:ascii="宋体" w:eastAsia="宋体" w:hAnsi="宋体"/>
          <w:color w:val="000000"/>
          <w:kern w:val="0"/>
          <w:sz w:val="24"/>
          <w:szCs w:val="24"/>
          <w:lang w:val="en-GB"/>
        </w:rPr>
        <w:t>1</w:t>
      </w:r>
      <w:r>
        <w:rPr>
          <w:rFonts w:ascii="宋体" w:eastAsia="宋体" w:hAnsi="宋体" w:hint="eastAsia"/>
          <w:color w:val="000000"/>
          <w:kern w:val="0"/>
          <w:sz w:val="24"/>
          <w:szCs w:val="24"/>
          <w:lang w:val="en-GB"/>
        </w:rPr>
        <w:t>）土地出让收入预测</w:t>
      </w:r>
    </w:p>
    <w:p w14:paraId="73728A99" w14:textId="77777777" w:rsidR="00CD75AA" w:rsidRDefault="007D11AE">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根据《2024年海南省政府专项债券（一期）、2025年海南省政府专项债券（一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w:t>
      </w:r>
      <w:r>
        <w:rPr>
          <w:rFonts w:ascii="宋体" w:eastAsia="宋体" w:hAnsi="宋体" w:hint="eastAsia"/>
          <w:color w:val="000000"/>
          <w:kern w:val="0"/>
          <w:sz w:val="24"/>
          <w:szCs w:val="24"/>
          <w:lang w:val="en-GB"/>
        </w:rPr>
        <w:lastRenderedPageBreak/>
        <w:t>所在片区基准地价、近期历史成交价、未来经济增长、城市商品房销售价格等标准，合理预估本项目的土地出让单价，并据此测算相关收入。本次调增专项债券项目偿债的土地出让情况详见表8。</w:t>
      </w:r>
    </w:p>
    <w:p w14:paraId="73728A9A" w14:textId="77777777" w:rsidR="00CD75AA" w:rsidRDefault="007D11AE">
      <w:pPr>
        <w:widowControl/>
        <w:spacing w:beforeLines="50" w:before="159" w:afterLines="50" w:after="159"/>
        <w:jc w:val="center"/>
        <w:rPr>
          <w:rFonts w:ascii="宋体" w:eastAsia="宋体" w:hAnsi="宋体" w:hint="eastAsia"/>
          <w:b/>
          <w:color w:val="000000"/>
          <w:kern w:val="0"/>
          <w:sz w:val="24"/>
          <w:szCs w:val="24"/>
        </w:rPr>
      </w:pPr>
      <w:r>
        <w:rPr>
          <w:rFonts w:ascii="宋体" w:eastAsia="宋体" w:hAnsi="宋体" w:hint="eastAsia"/>
          <w:b/>
          <w:color w:val="000000"/>
          <w:kern w:val="0"/>
          <w:sz w:val="24"/>
          <w:szCs w:val="24"/>
        </w:rPr>
        <w:t>表</w:t>
      </w:r>
      <w:r>
        <w:rPr>
          <w:rFonts w:ascii="宋体" w:eastAsia="宋体" w:hAnsi="宋体"/>
          <w:b/>
          <w:color w:val="000000"/>
          <w:kern w:val="0"/>
          <w:sz w:val="24"/>
          <w:szCs w:val="24"/>
        </w:rPr>
        <w:t xml:space="preserve">8 </w:t>
      </w:r>
      <w:r>
        <w:rPr>
          <w:rFonts w:ascii="宋体" w:eastAsia="宋体" w:hAnsi="宋体" w:hint="eastAsia"/>
          <w:b/>
          <w:color w:val="000000"/>
          <w:kern w:val="0"/>
          <w:sz w:val="24"/>
          <w:szCs w:val="24"/>
        </w:rPr>
        <w:t>土地出让情况表</w:t>
      </w:r>
    </w:p>
    <w:tbl>
      <w:tblPr>
        <w:tblW w:w="5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519"/>
        <w:gridCol w:w="1816"/>
        <w:gridCol w:w="947"/>
        <w:gridCol w:w="1444"/>
        <w:gridCol w:w="1216"/>
        <w:gridCol w:w="1546"/>
      </w:tblGrid>
      <w:tr w:rsidR="00CD75AA" w14:paraId="73728AA2" w14:textId="77777777">
        <w:trPr>
          <w:trHeight w:val="170"/>
          <w:tblHeader/>
          <w:jc w:val="center"/>
        </w:trPr>
        <w:tc>
          <w:tcPr>
            <w:tcW w:w="341" w:type="pct"/>
            <w:vMerge w:val="restart"/>
            <w:shd w:val="clear" w:color="000000" w:fill="D0CECE"/>
            <w:vAlign w:val="center"/>
          </w:tcPr>
          <w:p w14:paraId="73728A9B"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序号</w:t>
            </w:r>
          </w:p>
        </w:tc>
        <w:tc>
          <w:tcPr>
            <w:tcW w:w="1237" w:type="pct"/>
            <w:vMerge w:val="restart"/>
            <w:shd w:val="clear" w:color="000000" w:fill="D0CECE"/>
            <w:vAlign w:val="center"/>
          </w:tcPr>
          <w:p w14:paraId="73728A9C"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项目名称</w:t>
            </w:r>
          </w:p>
        </w:tc>
        <w:tc>
          <w:tcPr>
            <w:tcW w:w="892" w:type="pct"/>
            <w:vMerge w:val="restart"/>
            <w:shd w:val="clear" w:color="000000" w:fill="D0CECE"/>
            <w:vAlign w:val="center"/>
          </w:tcPr>
          <w:p w14:paraId="73728A9D"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地块编号</w:t>
            </w:r>
          </w:p>
        </w:tc>
        <w:tc>
          <w:tcPr>
            <w:tcW w:w="465" w:type="pct"/>
            <w:shd w:val="clear" w:color="000000" w:fill="D0CECE"/>
            <w:vAlign w:val="center"/>
          </w:tcPr>
          <w:p w14:paraId="73728A9E"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面积</w:t>
            </w:r>
          </w:p>
        </w:tc>
        <w:tc>
          <w:tcPr>
            <w:tcW w:w="709" w:type="pct"/>
            <w:shd w:val="clear" w:color="000000" w:fill="D0CECE"/>
            <w:vAlign w:val="center"/>
          </w:tcPr>
          <w:p w14:paraId="73728A9F"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预估地价</w:t>
            </w:r>
          </w:p>
        </w:tc>
        <w:tc>
          <w:tcPr>
            <w:tcW w:w="597" w:type="pct"/>
            <w:vMerge w:val="restart"/>
            <w:shd w:val="clear" w:color="000000" w:fill="D0CECE"/>
            <w:vAlign w:val="center"/>
          </w:tcPr>
          <w:p w14:paraId="73728AA0"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土地性质</w:t>
            </w:r>
          </w:p>
        </w:tc>
        <w:tc>
          <w:tcPr>
            <w:tcW w:w="759" w:type="pct"/>
            <w:vMerge w:val="restart"/>
            <w:shd w:val="clear" w:color="000000" w:fill="D0CECE"/>
            <w:vAlign w:val="center"/>
          </w:tcPr>
          <w:p w14:paraId="73728AA1"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预计出让年限</w:t>
            </w:r>
          </w:p>
        </w:tc>
      </w:tr>
      <w:tr w:rsidR="00CD75AA" w14:paraId="73728AAA" w14:textId="77777777">
        <w:trPr>
          <w:trHeight w:val="170"/>
          <w:tblHeader/>
          <w:jc w:val="center"/>
        </w:trPr>
        <w:tc>
          <w:tcPr>
            <w:tcW w:w="341" w:type="pct"/>
            <w:vMerge/>
            <w:vAlign w:val="center"/>
          </w:tcPr>
          <w:p w14:paraId="73728AA3" w14:textId="77777777" w:rsidR="00CD75AA" w:rsidRDefault="00CD75AA">
            <w:pPr>
              <w:widowControl/>
              <w:jc w:val="left"/>
              <w:rPr>
                <w:rFonts w:ascii="宋体" w:eastAsia="宋体" w:hAnsi="宋体" w:cs="宋体" w:hint="eastAsia"/>
                <w:b/>
                <w:bCs/>
                <w:color w:val="000000"/>
                <w:kern w:val="0"/>
                <w:sz w:val="20"/>
                <w:szCs w:val="20"/>
                <w:lang w:val="en-GB"/>
              </w:rPr>
            </w:pPr>
          </w:p>
        </w:tc>
        <w:tc>
          <w:tcPr>
            <w:tcW w:w="1237" w:type="pct"/>
            <w:vMerge/>
            <w:vAlign w:val="center"/>
          </w:tcPr>
          <w:p w14:paraId="73728AA4" w14:textId="77777777" w:rsidR="00CD75AA" w:rsidRDefault="00CD75AA">
            <w:pPr>
              <w:widowControl/>
              <w:jc w:val="left"/>
              <w:rPr>
                <w:rFonts w:ascii="宋体" w:eastAsia="宋体" w:hAnsi="宋体" w:cs="宋体" w:hint="eastAsia"/>
                <w:b/>
                <w:bCs/>
                <w:color w:val="000000"/>
                <w:kern w:val="0"/>
                <w:sz w:val="20"/>
                <w:szCs w:val="20"/>
                <w:lang w:val="en-GB"/>
              </w:rPr>
            </w:pPr>
          </w:p>
        </w:tc>
        <w:tc>
          <w:tcPr>
            <w:tcW w:w="892" w:type="pct"/>
            <w:vMerge/>
            <w:vAlign w:val="center"/>
          </w:tcPr>
          <w:p w14:paraId="73728AA5" w14:textId="77777777" w:rsidR="00CD75AA" w:rsidRDefault="00CD75AA">
            <w:pPr>
              <w:widowControl/>
              <w:jc w:val="left"/>
              <w:rPr>
                <w:rFonts w:ascii="宋体" w:eastAsia="宋体" w:hAnsi="宋体" w:cs="宋体" w:hint="eastAsia"/>
                <w:b/>
                <w:bCs/>
                <w:color w:val="000000"/>
                <w:kern w:val="0"/>
                <w:sz w:val="20"/>
                <w:szCs w:val="20"/>
                <w:lang w:val="en-GB"/>
              </w:rPr>
            </w:pPr>
          </w:p>
        </w:tc>
        <w:tc>
          <w:tcPr>
            <w:tcW w:w="465" w:type="pct"/>
            <w:shd w:val="clear" w:color="000000" w:fill="D0CECE"/>
            <w:vAlign w:val="center"/>
          </w:tcPr>
          <w:p w14:paraId="73728AA6"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（亩）</w:t>
            </w:r>
          </w:p>
        </w:tc>
        <w:tc>
          <w:tcPr>
            <w:tcW w:w="709" w:type="pct"/>
            <w:shd w:val="clear" w:color="000000" w:fill="D0CECE"/>
            <w:vAlign w:val="center"/>
          </w:tcPr>
          <w:p w14:paraId="73728AA7" w14:textId="77777777" w:rsidR="00CD75AA" w:rsidRDefault="007D11AE">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（万元/亩）</w:t>
            </w:r>
          </w:p>
        </w:tc>
        <w:tc>
          <w:tcPr>
            <w:tcW w:w="597" w:type="pct"/>
            <w:vMerge/>
            <w:vAlign w:val="center"/>
          </w:tcPr>
          <w:p w14:paraId="73728AA8" w14:textId="77777777" w:rsidR="00CD75AA" w:rsidRDefault="00CD75AA">
            <w:pPr>
              <w:widowControl/>
              <w:jc w:val="left"/>
              <w:rPr>
                <w:rFonts w:ascii="宋体" w:eastAsia="宋体" w:hAnsi="宋体" w:cs="宋体" w:hint="eastAsia"/>
                <w:b/>
                <w:bCs/>
                <w:color w:val="000000"/>
                <w:kern w:val="0"/>
                <w:sz w:val="20"/>
                <w:szCs w:val="20"/>
                <w:lang w:val="en-GB"/>
              </w:rPr>
            </w:pPr>
          </w:p>
        </w:tc>
        <w:tc>
          <w:tcPr>
            <w:tcW w:w="759" w:type="pct"/>
            <w:vMerge/>
            <w:vAlign w:val="center"/>
          </w:tcPr>
          <w:p w14:paraId="73728AA9" w14:textId="77777777" w:rsidR="00CD75AA" w:rsidRDefault="00CD75AA">
            <w:pPr>
              <w:widowControl/>
              <w:jc w:val="left"/>
              <w:rPr>
                <w:rFonts w:ascii="宋体" w:eastAsia="宋体" w:hAnsi="宋体" w:cs="宋体" w:hint="eastAsia"/>
                <w:b/>
                <w:bCs/>
                <w:color w:val="000000"/>
                <w:kern w:val="0"/>
                <w:sz w:val="20"/>
                <w:szCs w:val="20"/>
                <w:lang w:val="en-GB"/>
              </w:rPr>
            </w:pPr>
          </w:p>
        </w:tc>
      </w:tr>
      <w:tr w:rsidR="00CD75AA" w14:paraId="73728AB2" w14:textId="77777777">
        <w:trPr>
          <w:trHeight w:val="170"/>
          <w:jc w:val="center"/>
        </w:trPr>
        <w:tc>
          <w:tcPr>
            <w:tcW w:w="341" w:type="pct"/>
            <w:shd w:val="clear" w:color="auto" w:fill="auto"/>
            <w:vAlign w:val="center"/>
          </w:tcPr>
          <w:p w14:paraId="73728AAB" w14:textId="77777777" w:rsidR="00CD75AA" w:rsidRDefault="007D11AE">
            <w:pPr>
              <w:widowControl/>
              <w:jc w:val="center"/>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1</w:t>
            </w:r>
          </w:p>
        </w:tc>
        <w:tc>
          <w:tcPr>
            <w:tcW w:w="1237" w:type="pct"/>
            <w:shd w:val="clear" w:color="auto" w:fill="auto"/>
            <w:noWrap/>
            <w:vAlign w:val="center"/>
          </w:tcPr>
          <w:p w14:paraId="73728AAC" w14:textId="77777777" w:rsidR="00CD75AA" w:rsidRDefault="007D11AE">
            <w:pPr>
              <w:widowControl/>
              <w:jc w:val="left"/>
              <w:rPr>
                <w:rFonts w:ascii="宋体" w:eastAsia="宋体" w:hAnsi="宋体" w:hint="eastAsia"/>
                <w:kern w:val="0"/>
                <w:sz w:val="20"/>
                <w:szCs w:val="20"/>
                <w:lang w:val="en-GB"/>
              </w:rPr>
            </w:pPr>
            <w:r>
              <w:rPr>
                <w:rFonts w:ascii="宋体" w:eastAsia="宋体" w:hAnsi="宋体" w:hint="eastAsia"/>
                <w:kern w:val="0"/>
                <w:sz w:val="20"/>
                <w:szCs w:val="20"/>
                <w:lang w:val="en-GB"/>
              </w:rPr>
              <w:t>鸿越路</w:t>
            </w:r>
          </w:p>
        </w:tc>
        <w:tc>
          <w:tcPr>
            <w:tcW w:w="892" w:type="pct"/>
            <w:shd w:val="clear" w:color="auto" w:fill="auto"/>
            <w:noWrap/>
            <w:vAlign w:val="center"/>
          </w:tcPr>
          <w:p w14:paraId="73728AAD" w14:textId="77777777" w:rsidR="00CD75AA" w:rsidRDefault="007D11AE">
            <w:pPr>
              <w:widowControl/>
              <w:jc w:val="center"/>
              <w:rPr>
                <w:rFonts w:ascii="宋体" w:eastAsia="宋体" w:hAnsi="宋体" w:hint="eastAsia"/>
                <w:kern w:val="0"/>
                <w:sz w:val="20"/>
                <w:szCs w:val="20"/>
                <w:lang w:val="en-GB"/>
              </w:rPr>
            </w:pPr>
            <w:r>
              <w:rPr>
                <w:rFonts w:ascii="宋体" w:eastAsia="宋体" w:hAnsi="宋体"/>
                <w:kern w:val="0"/>
                <w:sz w:val="20"/>
                <w:szCs w:val="20"/>
                <w:lang w:val="en-GB"/>
              </w:rPr>
              <w:t>JDZH-06-G08-04</w:t>
            </w:r>
          </w:p>
        </w:tc>
        <w:tc>
          <w:tcPr>
            <w:tcW w:w="465" w:type="pct"/>
            <w:shd w:val="clear" w:color="auto" w:fill="auto"/>
            <w:noWrap/>
            <w:vAlign w:val="center"/>
          </w:tcPr>
          <w:p w14:paraId="73728AAE" w14:textId="677894A5" w:rsidR="00CD75AA" w:rsidRDefault="00E63431">
            <w:pPr>
              <w:widowControl/>
              <w:jc w:val="center"/>
              <w:rPr>
                <w:rFonts w:ascii="宋体" w:eastAsia="宋体" w:hAnsi="宋体" w:hint="eastAsia"/>
                <w:kern w:val="0"/>
                <w:sz w:val="20"/>
                <w:szCs w:val="20"/>
                <w:lang w:val="en-GB"/>
              </w:rPr>
            </w:pPr>
            <w:r w:rsidRPr="00E63431">
              <w:rPr>
                <w:rFonts w:ascii="宋体" w:eastAsia="宋体" w:hAnsi="宋体" w:hint="eastAsia"/>
                <w:kern w:val="0"/>
                <w:sz w:val="20"/>
                <w:szCs w:val="20"/>
                <w:lang w:val="en-GB"/>
              </w:rPr>
              <w:t>9.40</w:t>
            </w:r>
          </w:p>
        </w:tc>
        <w:tc>
          <w:tcPr>
            <w:tcW w:w="709" w:type="pct"/>
            <w:shd w:val="clear" w:color="auto" w:fill="auto"/>
            <w:noWrap/>
            <w:vAlign w:val="center"/>
          </w:tcPr>
          <w:p w14:paraId="73728AAF" w14:textId="77777777" w:rsidR="00CD75AA" w:rsidRDefault="007D11AE">
            <w:pPr>
              <w:widowControl/>
              <w:jc w:val="center"/>
              <w:rPr>
                <w:rFonts w:ascii="宋体" w:eastAsia="宋体" w:hAnsi="宋体" w:hint="eastAsia"/>
                <w:kern w:val="0"/>
                <w:sz w:val="20"/>
                <w:szCs w:val="20"/>
                <w:lang w:val="en-GB"/>
              </w:rPr>
            </w:pPr>
            <w:r>
              <w:rPr>
                <w:rFonts w:ascii="宋体" w:eastAsia="宋体" w:hAnsi="宋体" w:cs="宋体"/>
                <w:color w:val="000000"/>
                <w:kern w:val="0"/>
                <w:sz w:val="20"/>
                <w:szCs w:val="20"/>
                <w:lang w:val="en-GB"/>
              </w:rPr>
              <w:t>1,500.00</w:t>
            </w:r>
          </w:p>
        </w:tc>
        <w:tc>
          <w:tcPr>
            <w:tcW w:w="597" w:type="pct"/>
            <w:shd w:val="clear" w:color="auto" w:fill="auto"/>
            <w:noWrap/>
            <w:vAlign w:val="center"/>
          </w:tcPr>
          <w:p w14:paraId="73728AB0" w14:textId="77777777" w:rsidR="00CD75AA" w:rsidRDefault="007D11AE">
            <w:pPr>
              <w:widowControl/>
              <w:jc w:val="center"/>
              <w:rPr>
                <w:rFonts w:ascii="宋体" w:eastAsia="宋体" w:hAnsi="宋体" w:hint="eastAsia"/>
                <w:kern w:val="0"/>
                <w:sz w:val="20"/>
                <w:szCs w:val="20"/>
                <w:lang w:val="en-GB"/>
              </w:rPr>
            </w:pPr>
            <w:r>
              <w:rPr>
                <w:rFonts w:ascii="宋体" w:eastAsia="宋体" w:hAnsi="宋体" w:cs="宋体" w:hint="eastAsia"/>
                <w:color w:val="000000"/>
                <w:kern w:val="0"/>
                <w:sz w:val="20"/>
                <w:szCs w:val="20"/>
                <w:lang w:val="en-GB"/>
              </w:rPr>
              <w:t>二类居住</w:t>
            </w:r>
          </w:p>
        </w:tc>
        <w:tc>
          <w:tcPr>
            <w:tcW w:w="759" w:type="pct"/>
            <w:shd w:val="clear" w:color="auto" w:fill="auto"/>
            <w:noWrap/>
            <w:vAlign w:val="center"/>
          </w:tcPr>
          <w:p w14:paraId="73728AB1" w14:textId="77777777" w:rsidR="00CD75AA" w:rsidRDefault="007D11AE">
            <w:pPr>
              <w:widowControl/>
              <w:jc w:val="center"/>
              <w:rPr>
                <w:rFonts w:ascii="宋体" w:eastAsia="宋体" w:hAnsi="宋体" w:hint="eastAsia"/>
                <w:kern w:val="0"/>
                <w:sz w:val="20"/>
                <w:szCs w:val="20"/>
                <w:lang w:val="en-GB"/>
              </w:rPr>
            </w:pPr>
            <w:r>
              <w:rPr>
                <w:rFonts w:ascii="宋体" w:eastAsia="宋体" w:hAnsi="宋体"/>
                <w:kern w:val="0"/>
                <w:sz w:val="20"/>
                <w:szCs w:val="20"/>
                <w:lang w:val="en-GB"/>
              </w:rPr>
              <w:t>2027-2035</w:t>
            </w:r>
          </w:p>
        </w:tc>
      </w:tr>
    </w:tbl>
    <w:p w14:paraId="73728AB3" w14:textId="77777777" w:rsidR="00CD75AA" w:rsidRDefault="007D11AE">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（2）广告牌出租收入预测</w:t>
      </w:r>
    </w:p>
    <w:p w14:paraId="73728AB4" w14:textId="4F1E58A6" w:rsidR="00CD75AA" w:rsidRDefault="007D11AE">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本项目预留50个广告牌，结合周边同区域、同水平、同档位的广告出租单价暂按5,000.00元/个/月计算，基于谨慎性原则，运营期出租率暂按90%考虑。</w:t>
      </w:r>
    </w:p>
    <w:p w14:paraId="73728AB5" w14:textId="77777777" w:rsidR="00CD75AA" w:rsidRDefault="007D11AE">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（3）停车位收入预测</w:t>
      </w:r>
    </w:p>
    <w:p w14:paraId="73728AB6" w14:textId="7D480065" w:rsidR="00CD75AA" w:rsidRDefault="007D11AE">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本项目预留100个停车位，结合周边同区域、同水平、同档位停车位出租收入单价暂按200.00元/个/月计算，基于谨慎性原则，运营期出租率暂按90%考虑。</w:t>
      </w:r>
    </w:p>
    <w:p w14:paraId="73728AB7" w14:textId="77777777" w:rsidR="00CD75AA" w:rsidRDefault="007D11AE">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31" w:name="_Toc200555361"/>
      <w:r>
        <w:rPr>
          <w:rFonts w:ascii="宋体" w:eastAsia="宋体" w:hAnsi="宋体"/>
          <w:b/>
          <w:bCs/>
          <w:color w:val="000000"/>
          <w:kern w:val="0"/>
          <w:sz w:val="24"/>
          <w:szCs w:val="24"/>
        </w:rPr>
        <w:t>2.</w:t>
      </w:r>
      <w:r>
        <w:rPr>
          <w:rFonts w:ascii="宋体" w:eastAsia="宋体" w:hAnsi="宋体" w:hint="eastAsia"/>
          <w:b/>
          <w:bCs/>
          <w:color w:val="000000"/>
          <w:kern w:val="0"/>
          <w:sz w:val="24"/>
          <w:szCs w:val="24"/>
        </w:rPr>
        <w:t>项目成本</w:t>
      </w:r>
      <w:bookmarkEnd w:id="31"/>
    </w:p>
    <w:p w14:paraId="73728AB8" w14:textId="77777777" w:rsidR="00CD75AA" w:rsidRDefault="007D11AE">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（1）土地出让成本</w:t>
      </w:r>
    </w:p>
    <w:p w14:paraId="73728AB9" w14:textId="77777777" w:rsidR="00CD75AA" w:rsidRDefault="007D11AE">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color w:val="000000"/>
          <w:kern w:val="0"/>
          <w:sz w:val="24"/>
          <w:szCs w:val="24"/>
          <w:lang w:val="en-GB"/>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w:t>
      </w:r>
      <w:r>
        <w:rPr>
          <w:rFonts w:ascii="宋体" w:eastAsia="宋体" w:hAnsi="宋体" w:cs="华文细黑" w:hint="eastAsia"/>
          <w:color w:val="000000"/>
          <w:kern w:val="0"/>
          <w:sz w:val="24"/>
          <w:szCs w:val="24"/>
          <w:lang w:val="en-GB"/>
        </w:rPr>
        <w:t>25</w:t>
      </w:r>
      <w:r>
        <w:rPr>
          <w:rFonts w:ascii="宋体" w:eastAsia="宋体" w:hAnsi="宋体" w:cs="华文细黑"/>
          <w:color w:val="000000"/>
          <w:kern w:val="0"/>
          <w:sz w:val="24"/>
          <w:szCs w:val="24"/>
          <w:lang w:val="en-GB"/>
        </w:rPr>
        <w:t>%计提。按照预估的土地出让单价、出让计划及成本费用在项目存续期间有稳定的政府性基金收入，可稳定覆盖债券存续期间各年利息及到期偿还本金的支出需求。</w:t>
      </w:r>
    </w:p>
    <w:p w14:paraId="73728ABA" w14:textId="77777777" w:rsidR="00CD75AA" w:rsidRDefault="007D11AE">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（2）运营成本</w:t>
      </w:r>
    </w:p>
    <w:p w14:paraId="73728ABB" w14:textId="77777777" w:rsidR="00CD75AA" w:rsidRDefault="007D11AE">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参考同类项目运营管理经验，运营成本一般按照项目运营收入的一定比例预估。参考同类项目运营成本占比数据，本项目运营成本暂按广告牌出租收入及停车位收入的20%测算。</w:t>
      </w:r>
    </w:p>
    <w:p w14:paraId="73728ABC" w14:textId="77777777" w:rsidR="00CD75AA" w:rsidRDefault="007D11AE">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（3）相关税费</w:t>
      </w:r>
    </w:p>
    <w:p w14:paraId="73728ABD" w14:textId="7CCB9DD9" w:rsidR="00CD75AA" w:rsidRDefault="007D11AE">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lastRenderedPageBreak/>
        <w:t>A．增值税：</w:t>
      </w:r>
      <w:r w:rsidR="001F2258" w:rsidRPr="001F2258">
        <w:rPr>
          <w:rFonts w:ascii="宋体" w:eastAsia="宋体" w:hAnsi="宋体" w:cs="华文细黑" w:hint="eastAsia"/>
          <w:color w:val="000000"/>
          <w:kern w:val="0"/>
          <w:sz w:val="24"/>
          <w:szCs w:val="24"/>
          <w:lang w:val="en-GB"/>
        </w:rPr>
        <w:t>根据《中华人民共和国增值税法》</w:t>
      </w:r>
      <w:r>
        <w:rPr>
          <w:rFonts w:ascii="宋体" w:eastAsia="宋体" w:hAnsi="宋体" w:cs="华文细黑" w:hint="eastAsia"/>
          <w:color w:val="000000"/>
          <w:kern w:val="0"/>
          <w:sz w:val="24"/>
          <w:szCs w:val="24"/>
          <w:lang w:val="en-GB"/>
        </w:rPr>
        <w:t>，广告牌出租收入、停车位收入增值税税率为9%。</w:t>
      </w:r>
    </w:p>
    <w:p w14:paraId="73728ABE" w14:textId="77777777" w:rsidR="00CD75AA" w:rsidRDefault="007D11AE">
      <w:pPr>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14:paraId="73728ABF" w14:textId="77777777" w:rsidR="00CD75AA" w:rsidRDefault="007D11AE">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C．企业所得税：根据《海南自由贸易港建设总体方案》，对注册在海南自贸港并实质性运营的企业（负面清单行业除外），减按15%征收企业所得税。</w:t>
      </w:r>
    </w:p>
    <w:p w14:paraId="73728AC0" w14:textId="77777777" w:rsidR="00CD75AA" w:rsidRDefault="007D11AE">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表9</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鸿越路收入成本</w:t>
      </w:r>
      <w:r>
        <w:rPr>
          <w:rFonts w:ascii="宋体" w:eastAsia="宋体" w:hAnsi="宋体"/>
          <w:b/>
          <w:kern w:val="0"/>
          <w:sz w:val="24"/>
          <w:szCs w:val="24"/>
          <w:lang w:val="en-GB"/>
        </w:rPr>
        <w:t>预测表</w:t>
      </w:r>
    </w:p>
    <w:p w14:paraId="73728AC1" w14:textId="77777777" w:rsidR="00CD75AA" w:rsidRDefault="007D11AE">
      <w:pPr>
        <w:widowControl/>
        <w:ind w:firstLineChars="200" w:firstLine="360"/>
        <w:jc w:val="right"/>
        <w:rPr>
          <w:rFonts w:ascii="宋体" w:eastAsia="宋体" w:hAnsi="宋体"/>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097"/>
        <w:gridCol w:w="1097"/>
        <w:gridCol w:w="1097"/>
        <w:gridCol w:w="1097"/>
        <w:gridCol w:w="1097"/>
      </w:tblGrid>
      <w:tr w:rsidR="0088598E" w:rsidRPr="0088598E" w14:paraId="0057B7B9" w14:textId="77777777" w:rsidTr="0088598E">
        <w:trPr>
          <w:trHeight w:val="20"/>
          <w:tblHeader/>
          <w:jc w:val="center"/>
        </w:trPr>
        <w:tc>
          <w:tcPr>
            <w:tcW w:w="1779" w:type="pct"/>
            <w:shd w:val="clear" w:color="auto" w:fill="D9D9D9"/>
            <w:vAlign w:val="center"/>
          </w:tcPr>
          <w:p w14:paraId="50839211" w14:textId="77777777" w:rsidR="0088598E" w:rsidRPr="0088598E" w:rsidRDefault="0088598E" w:rsidP="0088598E">
            <w:pPr>
              <w:widowControl/>
              <w:jc w:val="center"/>
              <w:rPr>
                <w:rFonts w:ascii="宋体" w:eastAsia="宋体" w:hAnsi="宋体" w:cs="等线 Light" w:hint="eastAsia"/>
                <w:b/>
                <w:color w:val="000000"/>
                <w:kern w:val="0"/>
                <w:sz w:val="20"/>
                <w:szCs w:val="20"/>
                <w:lang w:val="en-GB"/>
              </w:rPr>
            </w:pPr>
            <w:r w:rsidRPr="0088598E">
              <w:rPr>
                <w:rFonts w:ascii="宋体" w:eastAsia="宋体" w:hAnsi="宋体" w:cs="等线 Light" w:hint="eastAsia"/>
                <w:b/>
                <w:color w:val="000000"/>
                <w:kern w:val="0"/>
                <w:sz w:val="20"/>
                <w:szCs w:val="20"/>
                <w:lang w:val="en-GB" w:eastAsia="zh-TW"/>
              </w:rPr>
              <w:t>运营期</w:t>
            </w:r>
          </w:p>
        </w:tc>
        <w:tc>
          <w:tcPr>
            <w:tcW w:w="644" w:type="pct"/>
            <w:shd w:val="clear" w:color="auto" w:fill="D9D9D9"/>
            <w:vAlign w:val="center"/>
          </w:tcPr>
          <w:p w14:paraId="62878944" w14:textId="77777777" w:rsidR="0088598E" w:rsidRPr="0088598E" w:rsidRDefault="0088598E" w:rsidP="0088598E">
            <w:pPr>
              <w:widowControl/>
              <w:jc w:val="center"/>
              <w:rPr>
                <w:rFonts w:ascii="宋体" w:eastAsia="宋体" w:hAnsi="宋体" w:cs="Cambria Math" w:hint="eastAsia"/>
                <w:b/>
                <w:color w:val="000000"/>
                <w:kern w:val="0"/>
                <w:sz w:val="20"/>
                <w:szCs w:val="20"/>
                <w:lang w:val="en-GB" w:eastAsia="zh-TW"/>
              </w:rPr>
            </w:pPr>
            <w:r w:rsidRPr="0088598E">
              <w:rPr>
                <w:rFonts w:ascii="宋体" w:eastAsia="宋体" w:hAnsi="宋体" w:cs="等线 Light" w:hint="eastAsia"/>
                <w:b/>
                <w:kern w:val="0"/>
                <w:sz w:val="20"/>
                <w:szCs w:val="20"/>
                <w:lang w:val="en-GB"/>
              </w:rPr>
              <w:t>2027</w:t>
            </w:r>
          </w:p>
        </w:tc>
        <w:tc>
          <w:tcPr>
            <w:tcW w:w="644" w:type="pct"/>
            <w:shd w:val="clear" w:color="auto" w:fill="D9D9D9"/>
            <w:vAlign w:val="center"/>
          </w:tcPr>
          <w:p w14:paraId="04A9CF8C" w14:textId="77777777" w:rsidR="0088598E" w:rsidRPr="0088598E" w:rsidRDefault="0088598E" w:rsidP="0088598E">
            <w:pPr>
              <w:widowControl/>
              <w:jc w:val="center"/>
              <w:rPr>
                <w:rFonts w:ascii="宋体" w:eastAsia="宋体" w:hAnsi="宋体" w:cs="Cambria Math" w:hint="eastAsia"/>
                <w:b/>
                <w:color w:val="000000"/>
                <w:kern w:val="0"/>
                <w:sz w:val="20"/>
                <w:szCs w:val="20"/>
                <w:lang w:val="en-GB" w:eastAsia="zh-TW"/>
              </w:rPr>
            </w:pPr>
            <w:r w:rsidRPr="0088598E">
              <w:rPr>
                <w:rFonts w:ascii="宋体" w:eastAsia="宋体" w:hAnsi="宋体" w:cs="等线 Light" w:hint="eastAsia"/>
                <w:b/>
                <w:kern w:val="0"/>
                <w:sz w:val="20"/>
                <w:szCs w:val="20"/>
                <w:lang w:val="en-GB"/>
              </w:rPr>
              <w:t>2028</w:t>
            </w:r>
          </w:p>
        </w:tc>
        <w:tc>
          <w:tcPr>
            <w:tcW w:w="644" w:type="pct"/>
            <w:shd w:val="clear" w:color="auto" w:fill="D9D9D9"/>
            <w:vAlign w:val="center"/>
          </w:tcPr>
          <w:p w14:paraId="018BD92C" w14:textId="77777777" w:rsidR="0088598E" w:rsidRPr="0088598E" w:rsidRDefault="0088598E" w:rsidP="0088598E">
            <w:pPr>
              <w:widowControl/>
              <w:jc w:val="center"/>
              <w:rPr>
                <w:rFonts w:ascii="宋体" w:eastAsia="宋体" w:hAnsi="宋体" w:cs="Cambria Math" w:hint="eastAsia"/>
                <w:b/>
                <w:color w:val="000000"/>
                <w:kern w:val="0"/>
                <w:sz w:val="20"/>
                <w:szCs w:val="20"/>
                <w:lang w:val="en-GB" w:eastAsia="zh-TW"/>
              </w:rPr>
            </w:pPr>
            <w:r w:rsidRPr="0088598E">
              <w:rPr>
                <w:rFonts w:ascii="宋体" w:eastAsia="宋体" w:hAnsi="宋体" w:cs="等线 Light" w:hint="eastAsia"/>
                <w:b/>
                <w:kern w:val="0"/>
                <w:sz w:val="20"/>
                <w:szCs w:val="20"/>
                <w:lang w:val="en-GB"/>
              </w:rPr>
              <w:t>2</w:t>
            </w:r>
            <w:r w:rsidRPr="0088598E">
              <w:rPr>
                <w:rFonts w:ascii="宋体" w:eastAsia="宋体" w:hAnsi="宋体" w:cs="等线 Light"/>
                <w:b/>
                <w:kern w:val="0"/>
                <w:sz w:val="20"/>
                <w:szCs w:val="20"/>
                <w:lang w:val="en-GB"/>
              </w:rPr>
              <w:t>029</w:t>
            </w:r>
          </w:p>
        </w:tc>
        <w:tc>
          <w:tcPr>
            <w:tcW w:w="644" w:type="pct"/>
            <w:shd w:val="clear" w:color="auto" w:fill="D9D9D9"/>
          </w:tcPr>
          <w:p w14:paraId="6D172002" w14:textId="77777777" w:rsidR="0088598E" w:rsidRPr="0088598E" w:rsidRDefault="0088598E" w:rsidP="0088598E">
            <w:pPr>
              <w:widowControl/>
              <w:jc w:val="center"/>
              <w:rPr>
                <w:rFonts w:ascii="宋体" w:eastAsia="宋体" w:hAnsi="宋体" w:cs="等线 Light" w:hint="eastAsia"/>
                <w:b/>
                <w:kern w:val="0"/>
                <w:sz w:val="20"/>
                <w:szCs w:val="20"/>
                <w:lang w:val="en-GB"/>
              </w:rPr>
            </w:pPr>
            <w:r w:rsidRPr="0088598E">
              <w:rPr>
                <w:rFonts w:ascii="宋体" w:eastAsia="宋体" w:hAnsi="宋体" w:cs="等线 Light" w:hint="eastAsia"/>
                <w:b/>
                <w:kern w:val="0"/>
                <w:sz w:val="20"/>
                <w:szCs w:val="20"/>
                <w:lang w:val="en-GB"/>
              </w:rPr>
              <w:t>2</w:t>
            </w:r>
            <w:r w:rsidRPr="0088598E">
              <w:rPr>
                <w:rFonts w:ascii="宋体" w:eastAsia="宋体" w:hAnsi="宋体" w:cs="等线 Light"/>
                <w:b/>
                <w:kern w:val="0"/>
                <w:sz w:val="20"/>
                <w:szCs w:val="20"/>
                <w:lang w:val="en-GB"/>
              </w:rPr>
              <w:t>030</w:t>
            </w:r>
          </w:p>
        </w:tc>
        <w:tc>
          <w:tcPr>
            <w:tcW w:w="644" w:type="pct"/>
            <w:shd w:val="clear" w:color="auto" w:fill="D9D9D9"/>
            <w:vAlign w:val="center"/>
          </w:tcPr>
          <w:p w14:paraId="2B33E151" w14:textId="77777777" w:rsidR="0088598E" w:rsidRPr="0088598E" w:rsidRDefault="0088598E" w:rsidP="0088598E">
            <w:pPr>
              <w:widowControl/>
              <w:jc w:val="center"/>
              <w:rPr>
                <w:rFonts w:ascii="宋体" w:eastAsia="宋体" w:hAnsi="宋体" w:cs="等线 Light" w:hint="eastAsia"/>
                <w:b/>
                <w:kern w:val="0"/>
                <w:sz w:val="20"/>
                <w:szCs w:val="20"/>
                <w:lang w:val="en-GB"/>
              </w:rPr>
            </w:pPr>
            <w:r w:rsidRPr="0088598E">
              <w:rPr>
                <w:rFonts w:ascii="宋体" w:eastAsia="宋体" w:hAnsi="宋体" w:cs="Cambria Math" w:hint="eastAsia"/>
                <w:b/>
                <w:color w:val="000000"/>
                <w:kern w:val="0"/>
                <w:sz w:val="20"/>
                <w:szCs w:val="20"/>
                <w:lang w:val="en-GB" w:eastAsia="zh-TW"/>
              </w:rPr>
              <w:t>20</w:t>
            </w:r>
            <w:r w:rsidRPr="0088598E">
              <w:rPr>
                <w:rFonts w:ascii="宋体" w:eastAsia="宋体" w:hAnsi="宋体" w:cs="Cambria Math"/>
                <w:b/>
                <w:color w:val="000000"/>
                <w:kern w:val="0"/>
                <w:sz w:val="20"/>
                <w:szCs w:val="20"/>
                <w:lang w:val="en-GB" w:eastAsia="zh-TW"/>
              </w:rPr>
              <w:t>31</w:t>
            </w:r>
          </w:p>
        </w:tc>
      </w:tr>
      <w:tr w:rsidR="0088598E" w:rsidRPr="0088598E" w14:paraId="7A2A0071" w14:textId="77777777" w:rsidTr="004320BD">
        <w:trPr>
          <w:trHeight w:val="20"/>
          <w:jc w:val="center"/>
        </w:trPr>
        <w:tc>
          <w:tcPr>
            <w:tcW w:w="1779" w:type="pct"/>
            <w:shd w:val="clear" w:color="000000" w:fill="FFFFFF"/>
          </w:tcPr>
          <w:p w14:paraId="402FD8C6" w14:textId="77777777" w:rsidR="0088598E" w:rsidRPr="0088598E" w:rsidRDefault="0088598E" w:rsidP="0088598E">
            <w:pPr>
              <w:widowControl/>
              <w:jc w:val="left"/>
              <w:rPr>
                <w:rFonts w:ascii="宋体" w:eastAsia="宋体" w:hAnsi="宋体" w:cs="等线 Light" w:hint="eastAsia"/>
                <w:color w:val="000000"/>
                <w:kern w:val="0"/>
                <w:sz w:val="20"/>
                <w:szCs w:val="20"/>
                <w:lang w:val="en-GB" w:eastAsia="zh-TW"/>
              </w:rPr>
            </w:pPr>
            <w:r w:rsidRPr="0088598E">
              <w:rPr>
                <w:rFonts w:ascii="宋体" w:eastAsia="宋体" w:hAnsi="宋体" w:hint="eastAsia"/>
                <w:kern w:val="0"/>
                <w:sz w:val="20"/>
                <w:lang w:val="en-GB"/>
              </w:rPr>
              <w:t>土地出让收入</w:t>
            </w:r>
          </w:p>
        </w:tc>
        <w:tc>
          <w:tcPr>
            <w:tcW w:w="644" w:type="pct"/>
            <w:shd w:val="clear" w:color="000000" w:fill="FFFFFF"/>
            <w:vAlign w:val="center"/>
          </w:tcPr>
          <w:p w14:paraId="069BEFFD"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2,820.00</w:t>
            </w:r>
          </w:p>
        </w:tc>
        <w:tc>
          <w:tcPr>
            <w:tcW w:w="644" w:type="pct"/>
            <w:shd w:val="clear" w:color="000000" w:fill="FFFFFF"/>
            <w:vAlign w:val="center"/>
          </w:tcPr>
          <w:p w14:paraId="2752666C"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1,410.00</w:t>
            </w:r>
          </w:p>
        </w:tc>
        <w:tc>
          <w:tcPr>
            <w:tcW w:w="644" w:type="pct"/>
            <w:shd w:val="clear" w:color="000000" w:fill="FFFFFF"/>
            <w:vAlign w:val="center"/>
          </w:tcPr>
          <w:p w14:paraId="1F3008D7"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1,410.00</w:t>
            </w:r>
          </w:p>
        </w:tc>
        <w:tc>
          <w:tcPr>
            <w:tcW w:w="644" w:type="pct"/>
            <w:shd w:val="clear" w:color="000000" w:fill="FFFFFF"/>
            <w:vAlign w:val="center"/>
          </w:tcPr>
          <w:p w14:paraId="10CFDE26"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1,410.00</w:t>
            </w:r>
          </w:p>
        </w:tc>
        <w:tc>
          <w:tcPr>
            <w:tcW w:w="644" w:type="pct"/>
            <w:shd w:val="clear" w:color="000000" w:fill="FFFFFF"/>
            <w:vAlign w:val="center"/>
          </w:tcPr>
          <w:p w14:paraId="118A1A92"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1,410.00</w:t>
            </w:r>
          </w:p>
        </w:tc>
      </w:tr>
      <w:tr w:rsidR="0088598E" w:rsidRPr="0088598E" w14:paraId="45D5FE5E" w14:textId="77777777" w:rsidTr="004320BD">
        <w:trPr>
          <w:trHeight w:val="20"/>
          <w:jc w:val="center"/>
        </w:trPr>
        <w:tc>
          <w:tcPr>
            <w:tcW w:w="1779" w:type="pct"/>
            <w:shd w:val="clear" w:color="000000" w:fill="FFFFFF"/>
          </w:tcPr>
          <w:p w14:paraId="385FF21A" w14:textId="77777777" w:rsidR="0088598E" w:rsidRPr="0088598E" w:rsidRDefault="0088598E" w:rsidP="0088598E">
            <w:pPr>
              <w:widowControl/>
              <w:jc w:val="left"/>
              <w:rPr>
                <w:rFonts w:ascii="宋体" w:eastAsia="宋体" w:hAnsi="宋体" w:cs="等线 Light" w:hint="eastAsia"/>
                <w:color w:val="000000"/>
                <w:kern w:val="0"/>
                <w:sz w:val="20"/>
                <w:szCs w:val="20"/>
                <w:lang w:val="en-GB" w:eastAsia="zh-TW"/>
              </w:rPr>
            </w:pPr>
            <w:r w:rsidRPr="0088598E">
              <w:rPr>
                <w:rFonts w:ascii="宋体" w:eastAsia="宋体" w:hAnsi="宋体" w:hint="eastAsia"/>
                <w:kern w:val="0"/>
                <w:sz w:val="20"/>
                <w:lang w:val="en-GB"/>
              </w:rPr>
              <w:t>广告牌出租收入</w:t>
            </w:r>
          </w:p>
        </w:tc>
        <w:tc>
          <w:tcPr>
            <w:tcW w:w="644" w:type="pct"/>
            <w:shd w:val="clear" w:color="000000" w:fill="FFFFFF"/>
            <w:vAlign w:val="center"/>
          </w:tcPr>
          <w:p w14:paraId="53D79D72"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270.00</w:t>
            </w:r>
          </w:p>
        </w:tc>
        <w:tc>
          <w:tcPr>
            <w:tcW w:w="644" w:type="pct"/>
            <w:shd w:val="clear" w:color="000000" w:fill="FFFFFF"/>
            <w:vAlign w:val="center"/>
          </w:tcPr>
          <w:p w14:paraId="11BFFBA1"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270.00</w:t>
            </w:r>
          </w:p>
        </w:tc>
        <w:tc>
          <w:tcPr>
            <w:tcW w:w="644" w:type="pct"/>
            <w:shd w:val="clear" w:color="000000" w:fill="FFFFFF"/>
            <w:vAlign w:val="center"/>
          </w:tcPr>
          <w:p w14:paraId="0D250178"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270.00</w:t>
            </w:r>
          </w:p>
        </w:tc>
        <w:tc>
          <w:tcPr>
            <w:tcW w:w="644" w:type="pct"/>
            <w:shd w:val="clear" w:color="000000" w:fill="FFFFFF"/>
            <w:vAlign w:val="center"/>
          </w:tcPr>
          <w:p w14:paraId="5FB611FD"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270.00</w:t>
            </w:r>
          </w:p>
        </w:tc>
        <w:tc>
          <w:tcPr>
            <w:tcW w:w="644" w:type="pct"/>
            <w:shd w:val="clear" w:color="000000" w:fill="FFFFFF"/>
            <w:vAlign w:val="center"/>
          </w:tcPr>
          <w:p w14:paraId="66DCF5FE"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270.00</w:t>
            </w:r>
          </w:p>
        </w:tc>
      </w:tr>
      <w:tr w:rsidR="0088598E" w:rsidRPr="0088598E" w14:paraId="2647032D" w14:textId="77777777" w:rsidTr="004320BD">
        <w:trPr>
          <w:trHeight w:val="20"/>
          <w:jc w:val="center"/>
        </w:trPr>
        <w:tc>
          <w:tcPr>
            <w:tcW w:w="1779" w:type="pct"/>
            <w:shd w:val="clear" w:color="000000" w:fill="FFFFFF"/>
          </w:tcPr>
          <w:p w14:paraId="3D8C47F9" w14:textId="77777777" w:rsidR="0088598E" w:rsidRPr="0088598E" w:rsidRDefault="0088598E" w:rsidP="0088598E">
            <w:pPr>
              <w:widowControl/>
              <w:jc w:val="left"/>
              <w:rPr>
                <w:rFonts w:ascii="宋体" w:eastAsia="宋体" w:hAnsi="宋体" w:cs="等线 Light" w:hint="eastAsia"/>
                <w:color w:val="000000"/>
                <w:kern w:val="0"/>
                <w:sz w:val="20"/>
                <w:szCs w:val="20"/>
                <w:lang w:val="en-GB" w:eastAsia="zh-TW"/>
              </w:rPr>
            </w:pPr>
            <w:r w:rsidRPr="0088598E">
              <w:rPr>
                <w:rFonts w:ascii="宋体" w:eastAsia="宋体" w:hAnsi="宋体" w:hint="eastAsia"/>
                <w:kern w:val="0"/>
                <w:sz w:val="20"/>
                <w:lang w:val="en-GB"/>
              </w:rPr>
              <w:t>停车位收入</w:t>
            </w:r>
          </w:p>
        </w:tc>
        <w:tc>
          <w:tcPr>
            <w:tcW w:w="644" w:type="pct"/>
            <w:shd w:val="clear" w:color="000000" w:fill="FFFFFF"/>
            <w:vAlign w:val="center"/>
          </w:tcPr>
          <w:p w14:paraId="49B1DD8B"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21.60</w:t>
            </w:r>
          </w:p>
        </w:tc>
        <w:tc>
          <w:tcPr>
            <w:tcW w:w="644" w:type="pct"/>
            <w:shd w:val="clear" w:color="000000" w:fill="FFFFFF"/>
            <w:vAlign w:val="center"/>
          </w:tcPr>
          <w:p w14:paraId="478CFF47"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21.60</w:t>
            </w:r>
          </w:p>
        </w:tc>
        <w:tc>
          <w:tcPr>
            <w:tcW w:w="644" w:type="pct"/>
            <w:shd w:val="clear" w:color="000000" w:fill="FFFFFF"/>
            <w:vAlign w:val="center"/>
          </w:tcPr>
          <w:p w14:paraId="072A2236"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21.60</w:t>
            </w:r>
          </w:p>
        </w:tc>
        <w:tc>
          <w:tcPr>
            <w:tcW w:w="644" w:type="pct"/>
            <w:shd w:val="clear" w:color="000000" w:fill="FFFFFF"/>
            <w:vAlign w:val="center"/>
          </w:tcPr>
          <w:p w14:paraId="766F15CE"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21.60</w:t>
            </w:r>
          </w:p>
        </w:tc>
        <w:tc>
          <w:tcPr>
            <w:tcW w:w="644" w:type="pct"/>
            <w:shd w:val="clear" w:color="000000" w:fill="FFFFFF"/>
            <w:vAlign w:val="center"/>
          </w:tcPr>
          <w:p w14:paraId="1EA475C7"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21.60</w:t>
            </w:r>
          </w:p>
        </w:tc>
      </w:tr>
      <w:tr w:rsidR="0088598E" w:rsidRPr="0088598E" w14:paraId="456A1A42" w14:textId="77777777" w:rsidTr="004320BD">
        <w:trPr>
          <w:trHeight w:val="20"/>
          <w:jc w:val="center"/>
        </w:trPr>
        <w:tc>
          <w:tcPr>
            <w:tcW w:w="1779" w:type="pct"/>
            <w:shd w:val="clear" w:color="000000" w:fill="FFFFFF"/>
          </w:tcPr>
          <w:p w14:paraId="0D518B73" w14:textId="77777777" w:rsidR="0088598E" w:rsidRPr="0088598E" w:rsidRDefault="0088598E" w:rsidP="0088598E">
            <w:pPr>
              <w:widowControl/>
              <w:jc w:val="left"/>
              <w:rPr>
                <w:rFonts w:ascii="宋体" w:eastAsia="宋体" w:hAnsi="宋体" w:cs="等线 Light" w:hint="eastAsia"/>
                <w:b/>
                <w:bCs/>
                <w:color w:val="000000"/>
                <w:kern w:val="0"/>
                <w:sz w:val="20"/>
                <w:szCs w:val="20"/>
                <w:lang w:val="en-GB" w:eastAsia="zh-TW"/>
              </w:rPr>
            </w:pPr>
            <w:r w:rsidRPr="0088598E">
              <w:rPr>
                <w:rFonts w:ascii="宋体" w:eastAsia="宋体" w:hAnsi="宋体" w:hint="eastAsia"/>
                <w:b/>
                <w:bCs/>
                <w:kern w:val="0"/>
                <w:sz w:val="20"/>
                <w:lang w:val="en-GB"/>
              </w:rPr>
              <w:t>收入合计</w:t>
            </w:r>
          </w:p>
        </w:tc>
        <w:tc>
          <w:tcPr>
            <w:tcW w:w="644" w:type="pct"/>
            <w:shd w:val="clear" w:color="000000" w:fill="FFFFFF"/>
            <w:vAlign w:val="center"/>
          </w:tcPr>
          <w:p w14:paraId="0C5F73CD"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3,111.60</w:t>
            </w:r>
          </w:p>
        </w:tc>
        <w:tc>
          <w:tcPr>
            <w:tcW w:w="644" w:type="pct"/>
            <w:shd w:val="clear" w:color="000000" w:fill="FFFFFF"/>
            <w:vAlign w:val="center"/>
          </w:tcPr>
          <w:p w14:paraId="44EA3BB7"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1,701.60</w:t>
            </w:r>
          </w:p>
        </w:tc>
        <w:tc>
          <w:tcPr>
            <w:tcW w:w="644" w:type="pct"/>
            <w:shd w:val="clear" w:color="000000" w:fill="FFFFFF"/>
            <w:vAlign w:val="center"/>
          </w:tcPr>
          <w:p w14:paraId="6901B6D1"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1,701.60</w:t>
            </w:r>
          </w:p>
        </w:tc>
        <w:tc>
          <w:tcPr>
            <w:tcW w:w="644" w:type="pct"/>
            <w:shd w:val="clear" w:color="000000" w:fill="FFFFFF"/>
            <w:vAlign w:val="center"/>
          </w:tcPr>
          <w:p w14:paraId="01CF59E1"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1,701.60</w:t>
            </w:r>
          </w:p>
        </w:tc>
        <w:tc>
          <w:tcPr>
            <w:tcW w:w="644" w:type="pct"/>
            <w:shd w:val="clear" w:color="000000" w:fill="FFFFFF"/>
            <w:vAlign w:val="center"/>
          </w:tcPr>
          <w:p w14:paraId="0AB7BA13"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1,701.60</w:t>
            </w:r>
          </w:p>
        </w:tc>
      </w:tr>
      <w:tr w:rsidR="0088598E" w:rsidRPr="0088598E" w14:paraId="337FF1E7" w14:textId="77777777" w:rsidTr="004320BD">
        <w:trPr>
          <w:trHeight w:val="20"/>
          <w:jc w:val="center"/>
        </w:trPr>
        <w:tc>
          <w:tcPr>
            <w:tcW w:w="1779" w:type="pct"/>
            <w:shd w:val="clear" w:color="000000" w:fill="FFFFFF"/>
          </w:tcPr>
          <w:p w14:paraId="127E3F05" w14:textId="77777777" w:rsidR="0088598E" w:rsidRPr="0088598E" w:rsidRDefault="0088598E" w:rsidP="0088598E">
            <w:pPr>
              <w:widowControl/>
              <w:jc w:val="left"/>
              <w:rPr>
                <w:rFonts w:ascii="宋体" w:eastAsia="宋体" w:hAnsi="宋体" w:cs="等线 Light" w:hint="eastAsia"/>
                <w:color w:val="000000"/>
                <w:kern w:val="0"/>
                <w:sz w:val="20"/>
                <w:szCs w:val="20"/>
                <w:lang w:val="en-GB"/>
              </w:rPr>
            </w:pPr>
            <w:r w:rsidRPr="0088598E">
              <w:rPr>
                <w:rFonts w:ascii="宋体" w:eastAsia="宋体" w:hAnsi="宋体" w:hint="eastAsia"/>
                <w:kern w:val="0"/>
                <w:sz w:val="20"/>
                <w:lang w:val="en-GB"/>
              </w:rPr>
              <w:t>土地出让成本</w:t>
            </w:r>
          </w:p>
        </w:tc>
        <w:tc>
          <w:tcPr>
            <w:tcW w:w="644" w:type="pct"/>
            <w:shd w:val="clear" w:color="000000" w:fill="FFFFFF"/>
            <w:vAlign w:val="center"/>
          </w:tcPr>
          <w:p w14:paraId="10446056" w14:textId="77777777" w:rsidR="0088598E" w:rsidRPr="0088598E" w:rsidRDefault="0088598E" w:rsidP="0088598E">
            <w:pPr>
              <w:widowControl/>
              <w:jc w:val="right"/>
              <w:rPr>
                <w:rFonts w:ascii="宋体" w:eastAsia="宋体" w:hAnsi="宋体" w:hint="eastAsia"/>
                <w:kern w:val="0"/>
                <w:sz w:val="20"/>
                <w:szCs w:val="20"/>
                <w:lang w:val="en-GB"/>
              </w:rPr>
            </w:pPr>
            <w:r w:rsidRPr="0088598E">
              <w:rPr>
                <w:rFonts w:ascii="宋体" w:eastAsia="宋体" w:hAnsi="宋体" w:hint="eastAsia"/>
                <w:color w:val="000000"/>
                <w:kern w:val="0"/>
                <w:sz w:val="20"/>
                <w:szCs w:val="20"/>
                <w:lang w:val="en-GB"/>
              </w:rPr>
              <w:t>705.00</w:t>
            </w:r>
          </w:p>
        </w:tc>
        <w:tc>
          <w:tcPr>
            <w:tcW w:w="644" w:type="pct"/>
            <w:shd w:val="clear" w:color="000000" w:fill="FFFFFF"/>
            <w:vAlign w:val="center"/>
          </w:tcPr>
          <w:p w14:paraId="2A307B97" w14:textId="77777777" w:rsidR="0088598E" w:rsidRPr="0088598E" w:rsidRDefault="0088598E" w:rsidP="0088598E">
            <w:pPr>
              <w:widowControl/>
              <w:jc w:val="right"/>
              <w:rPr>
                <w:rFonts w:ascii="宋体" w:eastAsia="宋体" w:hAnsi="宋体" w:hint="eastAsia"/>
                <w:kern w:val="0"/>
                <w:sz w:val="20"/>
                <w:szCs w:val="20"/>
                <w:lang w:val="en-GB"/>
              </w:rPr>
            </w:pPr>
            <w:r w:rsidRPr="0088598E">
              <w:rPr>
                <w:rFonts w:ascii="宋体" w:eastAsia="宋体" w:hAnsi="宋体" w:hint="eastAsia"/>
                <w:color w:val="000000"/>
                <w:kern w:val="0"/>
                <w:sz w:val="20"/>
                <w:szCs w:val="20"/>
                <w:lang w:val="en-GB"/>
              </w:rPr>
              <w:t>352.50</w:t>
            </w:r>
          </w:p>
        </w:tc>
        <w:tc>
          <w:tcPr>
            <w:tcW w:w="644" w:type="pct"/>
            <w:shd w:val="clear" w:color="000000" w:fill="FFFFFF"/>
            <w:vAlign w:val="center"/>
          </w:tcPr>
          <w:p w14:paraId="21021A1D" w14:textId="77777777" w:rsidR="0088598E" w:rsidRPr="0088598E" w:rsidRDefault="0088598E" w:rsidP="0088598E">
            <w:pPr>
              <w:widowControl/>
              <w:jc w:val="right"/>
              <w:rPr>
                <w:rFonts w:ascii="宋体" w:eastAsia="宋体" w:hAnsi="宋体" w:hint="eastAsia"/>
                <w:kern w:val="0"/>
                <w:sz w:val="20"/>
                <w:szCs w:val="20"/>
                <w:lang w:val="en-GB"/>
              </w:rPr>
            </w:pPr>
            <w:r w:rsidRPr="0088598E">
              <w:rPr>
                <w:rFonts w:ascii="宋体" w:eastAsia="宋体" w:hAnsi="宋体" w:hint="eastAsia"/>
                <w:color w:val="000000"/>
                <w:kern w:val="0"/>
                <w:sz w:val="20"/>
                <w:szCs w:val="20"/>
                <w:lang w:val="en-GB"/>
              </w:rPr>
              <w:t>352.50</w:t>
            </w:r>
          </w:p>
        </w:tc>
        <w:tc>
          <w:tcPr>
            <w:tcW w:w="644" w:type="pct"/>
            <w:shd w:val="clear" w:color="000000" w:fill="FFFFFF"/>
            <w:vAlign w:val="center"/>
          </w:tcPr>
          <w:p w14:paraId="68B07E3C"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color w:val="000000"/>
                <w:kern w:val="0"/>
                <w:sz w:val="20"/>
                <w:szCs w:val="20"/>
                <w:lang w:val="en-GB"/>
              </w:rPr>
              <w:t>352.50</w:t>
            </w:r>
          </w:p>
        </w:tc>
        <w:tc>
          <w:tcPr>
            <w:tcW w:w="644" w:type="pct"/>
            <w:shd w:val="clear" w:color="000000" w:fill="FFFFFF"/>
            <w:vAlign w:val="center"/>
          </w:tcPr>
          <w:p w14:paraId="55E7AA5F"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352.50</w:t>
            </w:r>
          </w:p>
        </w:tc>
      </w:tr>
      <w:tr w:rsidR="0088598E" w:rsidRPr="0088598E" w14:paraId="1A120992" w14:textId="77777777" w:rsidTr="004320BD">
        <w:trPr>
          <w:trHeight w:val="20"/>
          <w:jc w:val="center"/>
        </w:trPr>
        <w:tc>
          <w:tcPr>
            <w:tcW w:w="1779" w:type="pct"/>
            <w:shd w:val="clear" w:color="000000" w:fill="FFFFFF"/>
          </w:tcPr>
          <w:p w14:paraId="4E6FFA44" w14:textId="77777777" w:rsidR="0088598E" w:rsidRPr="0088598E" w:rsidRDefault="0088598E" w:rsidP="0088598E">
            <w:pPr>
              <w:widowControl/>
              <w:jc w:val="left"/>
              <w:rPr>
                <w:rFonts w:ascii="宋体" w:eastAsia="宋体" w:hAnsi="宋体" w:cs="等线 Light" w:hint="eastAsia"/>
                <w:b/>
                <w:color w:val="000000"/>
                <w:kern w:val="0"/>
                <w:sz w:val="20"/>
                <w:szCs w:val="20"/>
                <w:lang w:val="en-GB"/>
              </w:rPr>
            </w:pPr>
            <w:r w:rsidRPr="0088598E">
              <w:rPr>
                <w:rFonts w:ascii="宋体" w:eastAsia="宋体" w:hAnsi="宋体" w:hint="eastAsia"/>
                <w:kern w:val="0"/>
                <w:sz w:val="20"/>
                <w:lang w:val="en-GB"/>
              </w:rPr>
              <w:t>运营成本</w:t>
            </w:r>
          </w:p>
        </w:tc>
        <w:tc>
          <w:tcPr>
            <w:tcW w:w="644" w:type="pct"/>
            <w:shd w:val="clear" w:color="000000" w:fill="FFFFFF"/>
            <w:vAlign w:val="center"/>
          </w:tcPr>
          <w:p w14:paraId="38E0EA41" w14:textId="77777777" w:rsidR="0088598E" w:rsidRPr="0088598E" w:rsidRDefault="0088598E" w:rsidP="0088598E">
            <w:pPr>
              <w:widowControl/>
              <w:jc w:val="right"/>
              <w:rPr>
                <w:rFonts w:ascii="宋体" w:eastAsia="宋体" w:hAnsi="宋体" w:hint="eastAsia"/>
                <w:b/>
                <w:kern w:val="0"/>
                <w:sz w:val="20"/>
                <w:szCs w:val="20"/>
                <w:lang w:val="en-GB"/>
              </w:rPr>
            </w:pPr>
            <w:r w:rsidRPr="0088598E">
              <w:rPr>
                <w:rFonts w:ascii="宋体" w:eastAsia="宋体" w:hAnsi="宋体" w:hint="eastAsia"/>
                <w:color w:val="000000"/>
                <w:kern w:val="0"/>
                <w:sz w:val="20"/>
                <w:szCs w:val="20"/>
                <w:lang w:val="en-GB"/>
              </w:rPr>
              <w:t>58.32</w:t>
            </w:r>
          </w:p>
        </w:tc>
        <w:tc>
          <w:tcPr>
            <w:tcW w:w="644" w:type="pct"/>
            <w:shd w:val="clear" w:color="000000" w:fill="FFFFFF"/>
            <w:vAlign w:val="center"/>
          </w:tcPr>
          <w:p w14:paraId="27879A81" w14:textId="77777777" w:rsidR="0088598E" w:rsidRPr="0088598E" w:rsidRDefault="0088598E" w:rsidP="0088598E">
            <w:pPr>
              <w:widowControl/>
              <w:jc w:val="right"/>
              <w:rPr>
                <w:rFonts w:ascii="宋体" w:eastAsia="宋体" w:hAnsi="宋体" w:hint="eastAsia"/>
                <w:b/>
                <w:kern w:val="0"/>
                <w:sz w:val="20"/>
                <w:szCs w:val="20"/>
                <w:lang w:val="en-GB"/>
              </w:rPr>
            </w:pPr>
            <w:r w:rsidRPr="0088598E">
              <w:rPr>
                <w:rFonts w:ascii="宋体" w:eastAsia="宋体" w:hAnsi="宋体" w:hint="eastAsia"/>
                <w:color w:val="000000"/>
                <w:kern w:val="0"/>
                <w:sz w:val="20"/>
                <w:szCs w:val="20"/>
                <w:lang w:val="en-GB"/>
              </w:rPr>
              <w:t>58.32</w:t>
            </w:r>
          </w:p>
        </w:tc>
        <w:tc>
          <w:tcPr>
            <w:tcW w:w="644" w:type="pct"/>
            <w:shd w:val="clear" w:color="000000" w:fill="FFFFFF"/>
            <w:vAlign w:val="center"/>
          </w:tcPr>
          <w:p w14:paraId="183F0701" w14:textId="77777777" w:rsidR="0088598E" w:rsidRPr="0088598E" w:rsidRDefault="0088598E" w:rsidP="0088598E">
            <w:pPr>
              <w:widowControl/>
              <w:jc w:val="right"/>
              <w:rPr>
                <w:rFonts w:ascii="宋体" w:eastAsia="宋体" w:hAnsi="宋体" w:hint="eastAsia"/>
                <w:b/>
                <w:kern w:val="0"/>
                <w:sz w:val="20"/>
                <w:szCs w:val="20"/>
                <w:lang w:val="en-GB"/>
              </w:rPr>
            </w:pPr>
            <w:r w:rsidRPr="0088598E">
              <w:rPr>
                <w:rFonts w:ascii="宋体" w:eastAsia="宋体" w:hAnsi="宋体" w:hint="eastAsia"/>
                <w:color w:val="000000"/>
                <w:kern w:val="0"/>
                <w:sz w:val="20"/>
                <w:szCs w:val="20"/>
                <w:lang w:val="en-GB"/>
              </w:rPr>
              <w:t>58.32</w:t>
            </w:r>
          </w:p>
        </w:tc>
        <w:tc>
          <w:tcPr>
            <w:tcW w:w="644" w:type="pct"/>
            <w:shd w:val="clear" w:color="000000" w:fill="FFFFFF"/>
            <w:vAlign w:val="center"/>
          </w:tcPr>
          <w:p w14:paraId="44FC776C" w14:textId="77777777" w:rsidR="0088598E" w:rsidRPr="0088598E" w:rsidRDefault="0088598E" w:rsidP="0088598E">
            <w:pPr>
              <w:widowControl/>
              <w:jc w:val="right"/>
              <w:rPr>
                <w:rFonts w:ascii="宋体" w:eastAsia="宋体" w:hAnsi="宋体" w:hint="eastAsia"/>
                <w:b/>
                <w:kern w:val="0"/>
                <w:sz w:val="20"/>
                <w:szCs w:val="20"/>
                <w:lang w:val="en-GB"/>
              </w:rPr>
            </w:pPr>
            <w:r w:rsidRPr="0088598E">
              <w:rPr>
                <w:rFonts w:ascii="宋体" w:eastAsia="宋体" w:hAnsi="宋体" w:hint="eastAsia"/>
                <w:color w:val="000000"/>
                <w:kern w:val="0"/>
                <w:sz w:val="20"/>
                <w:szCs w:val="20"/>
                <w:lang w:val="en-GB"/>
              </w:rPr>
              <w:t>58.32</w:t>
            </w:r>
          </w:p>
        </w:tc>
        <w:tc>
          <w:tcPr>
            <w:tcW w:w="644" w:type="pct"/>
            <w:shd w:val="clear" w:color="000000" w:fill="FFFFFF"/>
            <w:vAlign w:val="center"/>
          </w:tcPr>
          <w:p w14:paraId="247E3DB5"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color w:val="000000"/>
                <w:kern w:val="0"/>
                <w:sz w:val="20"/>
                <w:szCs w:val="20"/>
                <w:lang w:val="en-GB"/>
              </w:rPr>
              <w:t>58.32</w:t>
            </w:r>
          </w:p>
        </w:tc>
      </w:tr>
      <w:tr w:rsidR="0088598E" w:rsidRPr="0088598E" w14:paraId="4BA64FA2" w14:textId="77777777" w:rsidTr="004320BD">
        <w:trPr>
          <w:trHeight w:val="20"/>
          <w:jc w:val="center"/>
        </w:trPr>
        <w:tc>
          <w:tcPr>
            <w:tcW w:w="1779" w:type="pct"/>
            <w:shd w:val="clear" w:color="000000" w:fill="FFFFFF"/>
          </w:tcPr>
          <w:p w14:paraId="4105DE16" w14:textId="77777777" w:rsidR="0088598E" w:rsidRPr="0088598E" w:rsidRDefault="0088598E" w:rsidP="0088598E">
            <w:pPr>
              <w:widowControl/>
              <w:jc w:val="left"/>
              <w:rPr>
                <w:rFonts w:ascii="宋体" w:eastAsia="宋体" w:hAnsi="宋体" w:cs="等线 Light" w:hint="eastAsia"/>
                <w:color w:val="000000"/>
                <w:kern w:val="0"/>
                <w:sz w:val="20"/>
                <w:szCs w:val="20"/>
                <w:lang w:val="en-GB"/>
              </w:rPr>
            </w:pPr>
            <w:r w:rsidRPr="0088598E">
              <w:rPr>
                <w:rFonts w:ascii="宋体" w:eastAsia="宋体" w:hAnsi="宋体" w:hint="eastAsia"/>
                <w:kern w:val="0"/>
                <w:sz w:val="20"/>
                <w:lang w:val="en-GB"/>
              </w:rPr>
              <w:t>相关税费</w:t>
            </w:r>
          </w:p>
        </w:tc>
        <w:tc>
          <w:tcPr>
            <w:tcW w:w="644" w:type="pct"/>
            <w:shd w:val="clear" w:color="000000" w:fill="FFFFFF"/>
            <w:vAlign w:val="center"/>
          </w:tcPr>
          <w:p w14:paraId="1925C6BD" w14:textId="77777777" w:rsidR="0088598E" w:rsidRPr="0088598E" w:rsidRDefault="0088598E" w:rsidP="0088598E">
            <w:pPr>
              <w:widowControl/>
              <w:jc w:val="right"/>
              <w:rPr>
                <w:rFonts w:ascii="宋体" w:eastAsia="宋体" w:hAnsi="宋体" w:hint="eastAsia"/>
                <w:kern w:val="0"/>
                <w:sz w:val="20"/>
                <w:szCs w:val="20"/>
                <w:lang w:val="en-GB"/>
              </w:rPr>
            </w:pPr>
            <w:r w:rsidRPr="0088598E">
              <w:rPr>
                <w:rFonts w:ascii="宋体" w:eastAsia="宋体" w:hAnsi="宋体" w:hint="eastAsia"/>
                <w:color w:val="000000"/>
                <w:kern w:val="0"/>
                <w:sz w:val="20"/>
                <w:szCs w:val="20"/>
                <w:lang w:val="en-GB"/>
              </w:rPr>
              <w:t>23.26</w:t>
            </w:r>
          </w:p>
        </w:tc>
        <w:tc>
          <w:tcPr>
            <w:tcW w:w="644" w:type="pct"/>
            <w:shd w:val="clear" w:color="000000" w:fill="FFFFFF"/>
            <w:vAlign w:val="center"/>
          </w:tcPr>
          <w:p w14:paraId="594604D8" w14:textId="77777777" w:rsidR="0088598E" w:rsidRPr="0088598E" w:rsidRDefault="0088598E" w:rsidP="0088598E">
            <w:pPr>
              <w:widowControl/>
              <w:jc w:val="right"/>
              <w:rPr>
                <w:rFonts w:ascii="宋体" w:eastAsia="宋体" w:hAnsi="宋体" w:hint="eastAsia"/>
                <w:kern w:val="0"/>
                <w:sz w:val="20"/>
                <w:szCs w:val="20"/>
                <w:lang w:val="en-GB"/>
              </w:rPr>
            </w:pPr>
            <w:r w:rsidRPr="0088598E">
              <w:rPr>
                <w:rFonts w:ascii="宋体" w:eastAsia="宋体" w:hAnsi="宋体" w:hint="eastAsia"/>
                <w:color w:val="000000"/>
                <w:kern w:val="0"/>
                <w:sz w:val="20"/>
                <w:szCs w:val="20"/>
                <w:lang w:val="en-GB"/>
              </w:rPr>
              <w:t>23.26</w:t>
            </w:r>
          </w:p>
        </w:tc>
        <w:tc>
          <w:tcPr>
            <w:tcW w:w="644" w:type="pct"/>
            <w:shd w:val="clear" w:color="000000" w:fill="FFFFFF"/>
            <w:vAlign w:val="center"/>
          </w:tcPr>
          <w:p w14:paraId="6E34B78B" w14:textId="77777777" w:rsidR="0088598E" w:rsidRPr="0088598E" w:rsidRDefault="0088598E" w:rsidP="0088598E">
            <w:pPr>
              <w:widowControl/>
              <w:jc w:val="right"/>
              <w:rPr>
                <w:rFonts w:ascii="宋体" w:eastAsia="宋体" w:hAnsi="宋体" w:hint="eastAsia"/>
                <w:kern w:val="0"/>
                <w:sz w:val="20"/>
                <w:szCs w:val="20"/>
                <w:lang w:val="en-GB"/>
              </w:rPr>
            </w:pPr>
            <w:r w:rsidRPr="0088598E">
              <w:rPr>
                <w:rFonts w:ascii="宋体" w:eastAsia="宋体" w:hAnsi="宋体" w:hint="eastAsia"/>
                <w:color w:val="000000"/>
                <w:kern w:val="0"/>
                <w:sz w:val="20"/>
                <w:szCs w:val="20"/>
                <w:lang w:val="en-GB"/>
              </w:rPr>
              <w:t>23.26</w:t>
            </w:r>
          </w:p>
        </w:tc>
        <w:tc>
          <w:tcPr>
            <w:tcW w:w="644" w:type="pct"/>
            <w:shd w:val="clear" w:color="000000" w:fill="FFFFFF"/>
            <w:vAlign w:val="center"/>
          </w:tcPr>
          <w:p w14:paraId="777250F8"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color w:val="000000"/>
                <w:kern w:val="0"/>
                <w:sz w:val="20"/>
                <w:szCs w:val="20"/>
                <w:lang w:val="en-GB"/>
              </w:rPr>
              <w:t>23.26</w:t>
            </w:r>
          </w:p>
        </w:tc>
        <w:tc>
          <w:tcPr>
            <w:tcW w:w="644" w:type="pct"/>
            <w:shd w:val="clear" w:color="000000" w:fill="FFFFFF"/>
            <w:vAlign w:val="center"/>
          </w:tcPr>
          <w:p w14:paraId="7799357F"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23.26</w:t>
            </w:r>
          </w:p>
        </w:tc>
      </w:tr>
      <w:tr w:rsidR="0088598E" w:rsidRPr="0088598E" w14:paraId="15F2681C" w14:textId="77777777" w:rsidTr="004320BD">
        <w:trPr>
          <w:trHeight w:val="20"/>
          <w:jc w:val="center"/>
        </w:trPr>
        <w:tc>
          <w:tcPr>
            <w:tcW w:w="1779" w:type="pct"/>
            <w:shd w:val="clear" w:color="000000" w:fill="FFFFFF"/>
          </w:tcPr>
          <w:p w14:paraId="4649D57D" w14:textId="77777777" w:rsidR="0088598E" w:rsidRPr="0088598E" w:rsidRDefault="0088598E" w:rsidP="0088598E">
            <w:pPr>
              <w:widowControl/>
              <w:jc w:val="left"/>
              <w:rPr>
                <w:rFonts w:ascii="宋体" w:eastAsia="宋体" w:hAnsi="宋体" w:cs="等线 Light" w:hint="eastAsia"/>
                <w:b/>
                <w:bCs/>
                <w:color w:val="000000"/>
                <w:kern w:val="0"/>
                <w:sz w:val="20"/>
                <w:szCs w:val="20"/>
                <w:lang w:val="en-GB"/>
              </w:rPr>
            </w:pPr>
            <w:r w:rsidRPr="0088598E">
              <w:rPr>
                <w:rFonts w:ascii="宋体" w:eastAsia="宋体" w:hAnsi="宋体" w:hint="eastAsia"/>
                <w:b/>
                <w:bCs/>
                <w:kern w:val="0"/>
                <w:sz w:val="20"/>
                <w:lang w:val="en-GB"/>
              </w:rPr>
              <w:t>成本合计</w:t>
            </w:r>
          </w:p>
        </w:tc>
        <w:tc>
          <w:tcPr>
            <w:tcW w:w="644" w:type="pct"/>
            <w:shd w:val="clear" w:color="000000" w:fill="FFFFFF"/>
            <w:vAlign w:val="center"/>
          </w:tcPr>
          <w:p w14:paraId="198FFBDF"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b/>
                <w:bCs/>
                <w:color w:val="000000"/>
                <w:kern w:val="0"/>
                <w:sz w:val="20"/>
                <w:szCs w:val="20"/>
                <w:lang w:val="en-GB"/>
              </w:rPr>
              <w:t>786.58</w:t>
            </w:r>
          </w:p>
        </w:tc>
        <w:tc>
          <w:tcPr>
            <w:tcW w:w="644" w:type="pct"/>
            <w:shd w:val="clear" w:color="000000" w:fill="FFFFFF"/>
            <w:vAlign w:val="center"/>
          </w:tcPr>
          <w:p w14:paraId="43BE5D39"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b/>
                <w:bCs/>
                <w:color w:val="000000"/>
                <w:kern w:val="0"/>
                <w:sz w:val="20"/>
                <w:szCs w:val="20"/>
                <w:lang w:val="en-GB"/>
              </w:rPr>
              <w:t>434.08</w:t>
            </w:r>
          </w:p>
        </w:tc>
        <w:tc>
          <w:tcPr>
            <w:tcW w:w="644" w:type="pct"/>
            <w:shd w:val="clear" w:color="000000" w:fill="FFFFFF"/>
            <w:vAlign w:val="center"/>
          </w:tcPr>
          <w:p w14:paraId="790B2AEC"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b/>
                <w:bCs/>
                <w:color w:val="000000"/>
                <w:kern w:val="0"/>
                <w:sz w:val="20"/>
                <w:szCs w:val="20"/>
                <w:lang w:val="en-GB"/>
              </w:rPr>
              <w:t>434.08</w:t>
            </w:r>
          </w:p>
        </w:tc>
        <w:tc>
          <w:tcPr>
            <w:tcW w:w="644" w:type="pct"/>
            <w:shd w:val="clear" w:color="000000" w:fill="FFFFFF"/>
            <w:vAlign w:val="center"/>
          </w:tcPr>
          <w:p w14:paraId="3C7A8A0F"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b/>
                <w:bCs/>
                <w:color w:val="000000"/>
                <w:kern w:val="0"/>
                <w:sz w:val="20"/>
                <w:szCs w:val="20"/>
                <w:lang w:val="en-GB"/>
              </w:rPr>
              <w:t>434.08</w:t>
            </w:r>
          </w:p>
        </w:tc>
        <w:tc>
          <w:tcPr>
            <w:tcW w:w="644" w:type="pct"/>
            <w:shd w:val="clear" w:color="000000" w:fill="FFFFFF"/>
            <w:vAlign w:val="center"/>
          </w:tcPr>
          <w:p w14:paraId="440F31B3"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434.08</w:t>
            </w:r>
          </w:p>
        </w:tc>
      </w:tr>
    </w:tbl>
    <w:p w14:paraId="0F90C9F9" w14:textId="77777777" w:rsidR="0088598E" w:rsidRPr="0088598E" w:rsidRDefault="0088598E" w:rsidP="0088598E">
      <w:pPr>
        <w:widowControl/>
        <w:ind w:firstLineChars="200" w:firstLine="480"/>
        <w:jc w:val="left"/>
        <w:rPr>
          <w:rFonts w:ascii="宋体" w:eastAsia="宋体" w:hAnsi="宋体" w:hint="eastAsia"/>
          <w:kern w:val="0"/>
          <w:sz w:val="24"/>
          <w:szCs w:val="24"/>
          <w:lang w:val="en-GB"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1080"/>
        <w:gridCol w:w="1082"/>
        <w:gridCol w:w="1080"/>
        <w:gridCol w:w="1082"/>
        <w:gridCol w:w="1153"/>
      </w:tblGrid>
      <w:tr w:rsidR="0088598E" w:rsidRPr="0088598E" w14:paraId="796BE51F" w14:textId="77777777" w:rsidTr="0088598E">
        <w:trPr>
          <w:trHeight w:val="20"/>
          <w:tblHeader/>
          <w:jc w:val="center"/>
        </w:trPr>
        <w:tc>
          <w:tcPr>
            <w:tcW w:w="1785" w:type="pct"/>
            <w:shd w:val="clear" w:color="auto" w:fill="D0CECE"/>
            <w:vAlign w:val="center"/>
          </w:tcPr>
          <w:p w14:paraId="40A11A17" w14:textId="77777777" w:rsidR="0088598E" w:rsidRPr="0088598E" w:rsidRDefault="0088598E" w:rsidP="0088598E">
            <w:pPr>
              <w:widowControl/>
              <w:jc w:val="center"/>
              <w:rPr>
                <w:rFonts w:ascii="宋体" w:eastAsia="宋体" w:hAnsi="宋体" w:cs="等线 Light" w:hint="eastAsia"/>
                <w:b/>
                <w:color w:val="000000"/>
                <w:kern w:val="0"/>
                <w:sz w:val="20"/>
                <w:szCs w:val="20"/>
                <w:lang w:val="en-GB"/>
              </w:rPr>
            </w:pPr>
            <w:r w:rsidRPr="0088598E">
              <w:rPr>
                <w:rFonts w:ascii="宋体" w:eastAsia="宋体" w:hAnsi="宋体" w:cs="等线 Light" w:hint="eastAsia"/>
                <w:b/>
                <w:color w:val="000000"/>
                <w:kern w:val="0"/>
                <w:sz w:val="20"/>
                <w:szCs w:val="20"/>
                <w:lang w:val="en-GB" w:eastAsia="zh-TW"/>
              </w:rPr>
              <w:t>运营期</w:t>
            </w:r>
          </w:p>
        </w:tc>
        <w:tc>
          <w:tcPr>
            <w:tcW w:w="634" w:type="pct"/>
            <w:shd w:val="clear" w:color="auto" w:fill="D0CECE"/>
            <w:vAlign w:val="center"/>
          </w:tcPr>
          <w:p w14:paraId="7F72CCE0" w14:textId="77777777" w:rsidR="0088598E" w:rsidRPr="0088598E" w:rsidRDefault="0088598E" w:rsidP="0088598E">
            <w:pPr>
              <w:widowControl/>
              <w:jc w:val="center"/>
              <w:rPr>
                <w:rFonts w:ascii="宋体" w:eastAsia="宋体" w:hAnsi="宋体" w:cs="Cambria Math" w:hint="eastAsia"/>
                <w:b/>
                <w:color w:val="000000"/>
                <w:kern w:val="0"/>
                <w:sz w:val="20"/>
                <w:szCs w:val="20"/>
                <w:lang w:val="en-GB"/>
              </w:rPr>
            </w:pPr>
            <w:r w:rsidRPr="0088598E">
              <w:rPr>
                <w:rFonts w:ascii="宋体" w:eastAsia="宋体" w:hAnsi="宋体" w:cs="Cambria Math" w:hint="eastAsia"/>
                <w:b/>
                <w:color w:val="000000"/>
                <w:kern w:val="0"/>
                <w:sz w:val="20"/>
                <w:szCs w:val="20"/>
                <w:lang w:val="en-GB" w:eastAsia="zh-TW"/>
              </w:rPr>
              <w:t>20</w:t>
            </w:r>
            <w:r w:rsidRPr="0088598E">
              <w:rPr>
                <w:rFonts w:ascii="宋体" w:eastAsia="宋体" w:hAnsi="宋体" w:cs="Cambria Math"/>
                <w:b/>
                <w:color w:val="000000"/>
                <w:kern w:val="0"/>
                <w:sz w:val="20"/>
                <w:szCs w:val="20"/>
                <w:lang w:val="en-GB" w:eastAsia="zh-TW"/>
              </w:rPr>
              <w:t>32</w:t>
            </w:r>
          </w:p>
        </w:tc>
        <w:tc>
          <w:tcPr>
            <w:tcW w:w="635" w:type="pct"/>
            <w:shd w:val="clear" w:color="auto" w:fill="D0CECE"/>
            <w:vAlign w:val="center"/>
          </w:tcPr>
          <w:p w14:paraId="722ABC7C" w14:textId="77777777" w:rsidR="0088598E" w:rsidRPr="0088598E" w:rsidRDefault="0088598E" w:rsidP="0088598E">
            <w:pPr>
              <w:widowControl/>
              <w:jc w:val="center"/>
              <w:rPr>
                <w:rFonts w:ascii="宋体" w:eastAsia="宋体" w:hAnsi="宋体" w:cs="Cambria Math" w:hint="eastAsia"/>
                <w:b/>
                <w:color w:val="000000"/>
                <w:kern w:val="0"/>
                <w:sz w:val="20"/>
                <w:szCs w:val="20"/>
                <w:lang w:val="en-GB"/>
              </w:rPr>
            </w:pPr>
            <w:r w:rsidRPr="0088598E">
              <w:rPr>
                <w:rFonts w:ascii="宋体" w:eastAsia="宋体" w:hAnsi="宋体" w:cs="Cambria Math" w:hint="eastAsia"/>
                <w:b/>
                <w:color w:val="000000"/>
                <w:kern w:val="0"/>
                <w:sz w:val="20"/>
                <w:szCs w:val="20"/>
                <w:lang w:val="en-GB" w:eastAsia="zh-TW"/>
              </w:rPr>
              <w:t>20</w:t>
            </w:r>
            <w:r w:rsidRPr="0088598E">
              <w:rPr>
                <w:rFonts w:ascii="宋体" w:eastAsia="宋体" w:hAnsi="宋体" w:cs="Cambria Math"/>
                <w:b/>
                <w:color w:val="000000"/>
                <w:kern w:val="0"/>
                <w:sz w:val="20"/>
                <w:szCs w:val="20"/>
                <w:lang w:val="en-GB" w:eastAsia="zh-TW"/>
              </w:rPr>
              <w:t>33</w:t>
            </w:r>
          </w:p>
        </w:tc>
        <w:tc>
          <w:tcPr>
            <w:tcW w:w="634" w:type="pct"/>
            <w:shd w:val="clear" w:color="auto" w:fill="D0CECE"/>
            <w:vAlign w:val="center"/>
          </w:tcPr>
          <w:p w14:paraId="6C8DDED9" w14:textId="77777777" w:rsidR="0088598E" w:rsidRPr="0088598E" w:rsidRDefault="0088598E" w:rsidP="0088598E">
            <w:pPr>
              <w:widowControl/>
              <w:jc w:val="center"/>
              <w:rPr>
                <w:rFonts w:ascii="宋体" w:eastAsia="宋体" w:hAnsi="宋体" w:cs="Cambria Math" w:hint="eastAsia"/>
                <w:b/>
                <w:color w:val="000000"/>
                <w:kern w:val="0"/>
                <w:sz w:val="20"/>
                <w:szCs w:val="20"/>
                <w:lang w:val="en-GB" w:eastAsia="zh-TW"/>
              </w:rPr>
            </w:pPr>
            <w:r w:rsidRPr="0088598E">
              <w:rPr>
                <w:rFonts w:ascii="宋体" w:eastAsia="宋体" w:hAnsi="宋体" w:cs="等线 Light" w:hint="eastAsia"/>
                <w:b/>
                <w:kern w:val="0"/>
                <w:sz w:val="20"/>
                <w:szCs w:val="20"/>
                <w:lang w:val="en-GB"/>
              </w:rPr>
              <w:t>20</w:t>
            </w:r>
            <w:r w:rsidRPr="0088598E">
              <w:rPr>
                <w:rFonts w:ascii="宋体" w:eastAsia="宋体" w:hAnsi="宋体" w:cs="等线 Light"/>
                <w:b/>
                <w:kern w:val="0"/>
                <w:sz w:val="20"/>
                <w:szCs w:val="20"/>
                <w:lang w:val="en-GB"/>
              </w:rPr>
              <w:t>34</w:t>
            </w:r>
          </w:p>
        </w:tc>
        <w:tc>
          <w:tcPr>
            <w:tcW w:w="635" w:type="pct"/>
            <w:shd w:val="clear" w:color="auto" w:fill="D0CECE"/>
          </w:tcPr>
          <w:p w14:paraId="19AB2A23" w14:textId="77777777" w:rsidR="0088598E" w:rsidRPr="0088598E" w:rsidRDefault="0088598E" w:rsidP="0088598E">
            <w:pPr>
              <w:widowControl/>
              <w:jc w:val="center"/>
              <w:rPr>
                <w:rFonts w:ascii="宋体" w:eastAsia="宋体" w:hAnsi="宋体" w:cs="等线 Light" w:hint="eastAsia"/>
                <w:b/>
                <w:kern w:val="0"/>
                <w:sz w:val="20"/>
                <w:szCs w:val="20"/>
                <w:lang w:val="en-GB"/>
              </w:rPr>
            </w:pPr>
            <w:r w:rsidRPr="0088598E">
              <w:rPr>
                <w:rFonts w:ascii="宋体" w:eastAsia="宋体" w:hAnsi="宋体" w:cs="等线 Light" w:hint="eastAsia"/>
                <w:b/>
                <w:kern w:val="0"/>
                <w:sz w:val="20"/>
                <w:szCs w:val="20"/>
                <w:lang w:val="en-GB"/>
              </w:rPr>
              <w:t>2035</w:t>
            </w:r>
          </w:p>
        </w:tc>
        <w:tc>
          <w:tcPr>
            <w:tcW w:w="677" w:type="pct"/>
            <w:shd w:val="clear" w:color="auto" w:fill="D0CECE"/>
            <w:vAlign w:val="center"/>
          </w:tcPr>
          <w:p w14:paraId="567C4B91" w14:textId="77777777" w:rsidR="0088598E" w:rsidRPr="0088598E" w:rsidRDefault="0088598E" w:rsidP="0088598E">
            <w:pPr>
              <w:widowControl/>
              <w:jc w:val="center"/>
              <w:rPr>
                <w:rFonts w:ascii="宋体" w:eastAsia="宋体" w:hAnsi="宋体" w:cs="Cambria Math" w:hint="eastAsia"/>
                <w:b/>
                <w:color w:val="000000"/>
                <w:kern w:val="0"/>
                <w:sz w:val="20"/>
                <w:szCs w:val="20"/>
                <w:lang w:val="en-GB" w:eastAsia="zh-TW"/>
              </w:rPr>
            </w:pPr>
            <w:r w:rsidRPr="0088598E">
              <w:rPr>
                <w:rFonts w:ascii="宋体" w:eastAsia="宋体" w:hAnsi="宋体" w:cs="等线 Light" w:hint="eastAsia"/>
                <w:b/>
                <w:kern w:val="0"/>
                <w:sz w:val="20"/>
                <w:szCs w:val="20"/>
                <w:lang w:val="en-GB"/>
              </w:rPr>
              <w:t>合计</w:t>
            </w:r>
          </w:p>
        </w:tc>
      </w:tr>
      <w:tr w:rsidR="0088598E" w:rsidRPr="0088598E" w14:paraId="1A1EACF7" w14:textId="77777777" w:rsidTr="004320BD">
        <w:trPr>
          <w:trHeight w:val="20"/>
          <w:jc w:val="center"/>
        </w:trPr>
        <w:tc>
          <w:tcPr>
            <w:tcW w:w="1785" w:type="pct"/>
            <w:shd w:val="clear" w:color="000000" w:fill="FFFFFF"/>
          </w:tcPr>
          <w:p w14:paraId="3B41C23C" w14:textId="77777777" w:rsidR="0088598E" w:rsidRPr="0088598E" w:rsidRDefault="0088598E" w:rsidP="0088598E">
            <w:pPr>
              <w:widowControl/>
              <w:jc w:val="left"/>
              <w:rPr>
                <w:rFonts w:ascii="宋体" w:eastAsia="宋体" w:hAnsi="宋体" w:cs="等线 Light" w:hint="eastAsia"/>
                <w:color w:val="000000"/>
                <w:kern w:val="0"/>
                <w:sz w:val="20"/>
                <w:szCs w:val="20"/>
                <w:lang w:val="en-GB" w:eastAsia="zh-TW"/>
              </w:rPr>
            </w:pPr>
            <w:r w:rsidRPr="0088598E">
              <w:rPr>
                <w:rFonts w:ascii="宋体" w:eastAsia="宋体" w:hAnsi="宋体" w:hint="eastAsia"/>
                <w:kern w:val="0"/>
                <w:sz w:val="20"/>
                <w:lang w:val="en-GB"/>
              </w:rPr>
              <w:t>土地出让收入</w:t>
            </w:r>
          </w:p>
        </w:tc>
        <w:tc>
          <w:tcPr>
            <w:tcW w:w="634" w:type="pct"/>
            <w:shd w:val="clear" w:color="000000" w:fill="FFFFFF"/>
            <w:vAlign w:val="center"/>
          </w:tcPr>
          <w:p w14:paraId="64C547E5"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1,410.00</w:t>
            </w:r>
          </w:p>
        </w:tc>
        <w:tc>
          <w:tcPr>
            <w:tcW w:w="635" w:type="pct"/>
            <w:shd w:val="clear" w:color="000000" w:fill="FFFFFF"/>
            <w:vAlign w:val="center"/>
          </w:tcPr>
          <w:p w14:paraId="7F63FCB2"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1,410.00</w:t>
            </w:r>
          </w:p>
        </w:tc>
        <w:tc>
          <w:tcPr>
            <w:tcW w:w="634" w:type="pct"/>
            <w:shd w:val="clear" w:color="000000" w:fill="FFFFFF"/>
            <w:vAlign w:val="center"/>
          </w:tcPr>
          <w:p w14:paraId="39E23712"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1,410.00</w:t>
            </w:r>
          </w:p>
        </w:tc>
        <w:tc>
          <w:tcPr>
            <w:tcW w:w="635" w:type="pct"/>
            <w:shd w:val="clear" w:color="000000" w:fill="FFFFFF"/>
            <w:vAlign w:val="center"/>
          </w:tcPr>
          <w:p w14:paraId="36677180"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1,410.00</w:t>
            </w:r>
          </w:p>
        </w:tc>
        <w:tc>
          <w:tcPr>
            <w:tcW w:w="677" w:type="pct"/>
            <w:shd w:val="clear" w:color="000000" w:fill="FFFFFF"/>
            <w:vAlign w:val="center"/>
          </w:tcPr>
          <w:p w14:paraId="397A0BAD"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14,100.00</w:t>
            </w:r>
          </w:p>
        </w:tc>
      </w:tr>
      <w:tr w:rsidR="0088598E" w:rsidRPr="0088598E" w14:paraId="4342CC38" w14:textId="77777777" w:rsidTr="004320BD">
        <w:trPr>
          <w:trHeight w:val="20"/>
          <w:jc w:val="center"/>
        </w:trPr>
        <w:tc>
          <w:tcPr>
            <w:tcW w:w="1785" w:type="pct"/>
            <w:shd w:val="clear" w:color="000000" w:fill="FFFFFF"/>
          </w:tcPr>
          <w:p w14:paraId="25DE2D4A" w14:textId="77777777" w:rsidR="0088598E" w:rsidRPr="0088598E" w:rsidRDefault="0088598E" w:rsidP="0088598E">
            <w:pPr>
              <w:widowControl/>
              <w:jc w:val="left"/>
              <w:rPr>
                <w:rFonts w:ascii="宋体" w:eastAsia="宋体" w:hAnsi="宋体" w:cs="等线 Light" w:hint="eastAsia"/>
                <w:color w:val="000000"/>
                <w:kern w:val="0"/>
                <w:sz w:val="20"/>
                <w:szCs w:val="20"/>
                <w:lang w:val="en-GB" w:eastAsia="zh-TW"/>
              </w:rPr>
            </w:pPr>
            <w:r w:rsidRPr="0088598E">
              <w:rPr>
                <w:rFonts w:ascii="宋体" w:eastAsia="宋体" w:hAnsi="宋体" w:hint="eastAsia"/>
                <w:kern w:val="0"/>
                <w:sz w:val="20"/>
                <w:lang w:val="en-GB"/>
              </w:rPr>
              <w:t>广告牌出租收入</w:t>
            </w:r>
          </w:p>
        </w:tc>
        <w:tc>
          <w:tcPr>
            <w:tcW w:w="634" w:type="pct"/>
            <w:shd w:val="clear" w:color="000000" w:fill="FFFFFF"/>
            <w:vAlign w:val="center"/>
          </w:tcPr>
          <w:p w14:paraId="577C3424"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270.00</w:t>
            </w:r>
          </w:p>
        </w:tc>
        <w:tc>
          <w:tcPr>
            <w:tcW w:w="635" w:type="pct"/>
            <w:shd w:val="clear" w:color="000000" w:fill="FFFFFF"/>
            <w:vAlign w:val="center"/>
          </w:tcPr>
          <w:p w14:paraId="52E93520"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270.00</w:t>
            </w:r>
          </w:p>
        </w:tc>
        <w:tc>
          <w:tcPr>
            <w:tcW w:w="634" w:type="pct"/>
            <w:shd w:val="clear" w:color="000000" w:fill="FFFFFF"/>
            <w:vAlign w:val="center"/>
          </w:tcPr>
          <w:p w14:paraId="57A7E39E"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270.00</w:t>
            </w:r>
          </w:p>
        </w:tc>
        <w:tc>
          <w:tcPr>
            <w:tcW w:w="635" w:type="pct"/>
            <w:shd w:val="clear" w:color="000000" w:fill="FFFFFF"/>
            <w:vAlign w:val="center"/>
          </w:tcPr>
          <w:p w14:paraId="5ED3F9D1"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270.00</w:t>
            </w:r>
          </w:p>
        </w:tc>
        <w:tc>
          <w:tcPr>
            <w:tcW w:w="677" w:type="pct"/>
            <w:shd w:val="clear" w:color="000000" w:fill="FFFFFF"/>
            <w:vAlign w:val="center"/>
          </w:tcPr>
          <w:p w14:paraId="0523A377"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2,430.00</w:t>
            </w:r>
          </w:p>
        </w:tc>
      </w:tr>
      <w:tr w:rsidR="0088598E" w:rsidRPr="0088598E" w14:paraId="37DF5602" w14:textId="77777777" w:rsidTr="004320BD">
        <w:trPr>
          <w:trHeight w:val="20"/>
          <w:jc w:val="center"/>
        </w:trPr>
        <w:tc>
          <w:tcPr>
            <w:tcW w:w="1785" w:type="pct"/>
            <w:shd w:val="clear" w:color="000000" w:fill="FFFFFF"/>
          </w:tcPr>
          <w:p w14:paraId="74A15ED3" w14:textId="77777777" w:rsidR="0088598E" w:rsidRPr="0088598E" w:rsidRDefault="0088598E" w:rsidP="0088598E">
            <w:pPr>
              <w:widowControl/>
              <w:jc w:val="left"/>
              <w:rPr>
                <w:rFonts w:ascii="宋体" w:eastAsia="宋体" w:hAnsi="宋体" w:cs="等线 Light" w:hint="eastAsia"/>
                <w:color w:val="000000"/>
                <w:kern w:val="0"/>
                <w:sz w:val="20"/>
                <w:szCs w:val="20"/>
                <w:lang w:val="en-GB" w:eastAsia="zh-TW"/>
              </w:rPr>
            </w:pPr>
            <w:r w:rsidRPr="0088598E">
              <w:rPr>
                <w:rFonts w:ascii="宋体" w:eastAsia="宋体" w:hAnsi="宋体" w:hint="eastAsia"/>
                <w:kern w:val="0"/>
                <w:sz w:val="20"/>
                <w:lang w:val="en-GB"/>
              </w:rPr>
              <w:t>停车位收入</w:t>
            </w:r>
          </w:p>
        </w:tc>
        <w:tc>
          <w:tcPr>
            <w:tcW w:w="634" w:type="pct"/>
            <w:shd w:val="clear" w:color="000000" w:fill="FFFFFF"/>
            <w:vAlign w:val="center"/>
          </w:tcPr>
          <w:p w14:paraId="6DBFC6BA"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21.60</w:t>
            </w:r>
          </w:p>
        </w:tc>
        <w:tc>
          <w:tcPr>
            <w:tcW w:w="635" w:type="pct"/>
            <w:shd w:val="clear" w:color="000000" w:fill="FFFFFF"/>
            <w:vAlign w:val="center"/>
          </w:tcPr>
          <w:p w14:paraId="7137B3FF"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21.60</w:t>
            </w:r>
          </w:p>
        </w:tc>
        <w:tc>
          <w:tcPr>
            <w:tcW w:w="634" w:type="pct"/>
            <w:shd w:val="clear" w:color="000000" w:fill="FFFFFF"/>
            <w:vAlign w:val="center"/>
          </w:tcPr>
          <w:p w14:paraId="0101232B"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21.60</w:t>
            </w:r>
          </w:p>
        </w:tc>
        <w:tc>
          <w:tcPr>
            <w:tcW w:w="635" w:type="pct"/>
            <w:shd w:val="clear" w:color="000000" w:fill="FFFFFF"/>
            <w:vAlign w:val="center"/>
          </w:tcPr>
          <w:p w14:paraId="23AEE0E5" w14:textId="77777777" w:rsidR="0088598E" w:rsidRPr="0088598E" w:rsidRDefault="0088598E" w:rsidP="0088598E">
            <w:pPr>
              <w:widowControl/>
              <w:jc w:val="right"/>
              <w:rPr>
                <w:rFonts w:ascii="宋体" w:eastAsia="宋体" w:hAnsi="宋体" w:hint="eastAsia"/>
                <w:color w:val="000000"/>
                <w:kern w:val="0"/>
                <w:sz w:val="20"/>
                <w:szCs w:val="20"/>
                <w:lang w:val="en-GB"/>
              </w:rPr>
            </w:pPr>
            <w:r w:rsidRPr="0088598E">
              <w:rPr>
                <w:rFonts w:ascii="宋体" w:eastAsia="宋体" w:hAnsi="宋体" w:hint="eastAsia"/>
                <w:color w:val="000000"/>
                <w:kern w:val="0"/>
                <w:sz w:val="20"/>
                <w:szCs w:val="20"/>
                <w:lang w:val="en-GB"/>
              </w:rPr>
              <w:t>21.60</w:t>
            </w:r>
          </w:p>
        </w:tc>
        <w:tc>
          <w:tcPr>
            <w:tcW w:w="677" w:type="pct"/>
            <w:shd w:val="clear" w:color="000000" w:fill="FFFFFF"/>
            <w:vAlign w:val="center"/>
          </w:tcPr>
          <w:p w14:paraId="06F6747B"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194.40</w:t>
            </w:r>
          </w:p>
        </w:tc>
      </w:tr>
      <w:tr w:rsidR="0088598E" w:rsidRPr="0088598E" w14:paraId="1AA7D18E" w14:textId="77777777" w:rsidTr="004320BD">
        <w:trPr>
          <w:trHeight w:val="20"/>
          <w:jc w:val="center"/>
        </w:trPr>
        <w:tc>
          <w:tcPr>
            <w:tcW w:w="1785" w:type="pct"/>
            <w:shd w:val="clear" w:color="000000" w:fill="FFFFFF"/>
          </w:tcPr>
          <w:p w14:paraId="0DF35938" w14:textId="77777777" w:rsidR="0088598E" w:rsidRPr="0088598E" w:rsidRDefault="0088598E" w:rsidP="0088598E">
            <w:pPr>
              <w:widowControl/>
              <w:jc w:val="left"/>
              <w:rPr>
                <w:rFonts w:ascii="宋体" w:eastAsia="宋体" w:hAnsi="宋体" w:cs="等线 Light" w:hint="eastAsia"/>
                <w:b/>
                <w:bCs/>
                <w:color w:val="000000"/>
                <w:kern w:val="0"/>
                <w:sz w:val="20"/>
                <w:szCs w:val="20"/>
                <w:lang w:val="en-GB" w:eastAsia="zh-TW"/>
              </w:rPr>
            </w:pPr>
            <w:r w:rsidRPr="0088598E">
              <w:rPr>
                <w:rFonts w:ascii="宋体" w:eastAsia="宋体" w:hAnsi="宋体" w:hint="eastAsia"/>
                <w:b/>
                <w:bCs/>
                <w:kern w:val="0"/>
                <w:sz w:val="20"/>
                <w:lang w:val="en-GB"/>
              </w:rPr>
              <w:t>收入合计</w:t>
            </w:r>
          </w:p>
        </w:tc>
        <w:tc>
          <w:tcPr>
            <w:tcW w:w="634" w:type="pct"/>
            <w:shd w:val="clear" w:color="000000" w:fill="FFFFFF"/>
            <w:vAlign w:val="center"/>
          </w:tcPr>
          <w:p w14:paraId="4BB263E7"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1,701.60</w:t>
            </w:r>
          </w:p>
        </w:tc>
        <w:tc>
          <w:tcPr>
            <w:tcW w:w="635" w:type="pct"/>
            <w:shd w:val="clear" w:color="000000" w:fill="FFFFFF"/>
            <w:vAlign w:val="center"/>
          </w:tcPr>
          <w:p w14:paraId="15AF755B"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1,701.60</w:t>
            </w:r>
          </w:p>
        </w:tc>
        <w:tc>
          <w:tcPr>
            <w:tcW w:w="634" w:type="pct"/>
            <w:shd w:val="clear" w:color="000000" w:fill="FFFFFF"/>
            <w:vAlign w:val="center"/>
          </w:tcPr>
          <w:p w14:paraId="0735CEC6"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1,701.60</w:t>
            </w:r>
          </w:p>
        </w:tc>
        <w:tc>
          <w:tcPr>
            <w:tcW w:w="635" w:type="pct"/>
            <w:shd w:val="clear" w:color="000000" w:fill="FFFFFF"/>
            <w:vAlign w:val="center"/>
          </w:tcPr>
          <w:p w14:paraId="364A2393"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1,701.60</w:t>
            </w:r>
          </w:p>
        </w:tc>
        <w:tc>
          <w:tcPr>
            <w:tcW w:w="677" w:type="pct"/>
            <w:shd w:val="clear" w:color="000000" w:fill="FFFFFF"/>
            <w:vAlign w:val="center"/>
          </w:tcPr>
          <w:p w14:paraId="5543873B"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16,724.40</w:t>
            </w:r>
          </w:p>
        </w:tc>
      </w:tr>
      <w:tr w:rsidR="0088598E" w:rsidRPr="0088598E" w14:paraId="6B35CF0C" w14:textId="77777777" w:rsidTr="004320BD">
        <w:trPr>
          <w:trHeight w:val="20"/>
          <w:jc w:val="center"/>
        </w:trPr>
        <w:tc>
          <w:tcPr>
            <w:tcW w:w="1785" w:type="pct"/>
            <w:shd w:val="clear" w:color="000000" w:fill="FFFFFF"/>
          </w:tcPr>
          <w:p w14:paraId="331EF660" w14:textId="77777777" w:rsidR="0088598E" w:rsidRPr="0088598E" w:rsidRDefault="0088598E" w:rsidP="0088598E">
            <w:pPr>
              <w:widowControl/>
              <w:jc w:val="left"/>
              <w:rPr>
                <w:rFonts w:ascii="宋体" w:eastAsia="宋体" w:hAnsi="宋体" w:cs="等线 Light" w:hint="eastAsia"/>
                <w:color w:val="000000"/>
                <w:kern w:val="0"/>
                <w:sz w:val="20"/>
                <w:szCs w:val="20"/>
                <w:lang w:val="en-GB"/>
              </w:rPr>
            </w:pPr>
            <w:r w:rsidRPr="0088598E">
              <w:rPr>
                <w:rFonts w:ascii="宋体" w:eastAsia="宋体" w:hAnsi="宋体" w:hint="eastAsia"/>
                <w:kern w:val="0"/>
                <w:sz w:val="20"/>
                <w:lang w:val="en-GB"/>
              </w:rPr>
              <w:t>土地出让成本</w:t>
            </w:r>
          </w:p>
        </w:tc>
        <w:tc>
          <w:tcPr>
            <w:tcW w:w="634" w:type="pct"/>
            <w:shd w:val="clear" w:color="000000" w:fill="FFFFFF"/>
            <w:vAlign w:val="center"/>
          </w:tcPr>
          <w:p w14:paraId="45DE86C8" w14:textId="77777777" w:rsidR="0088598E" w:rsidRPr="0088598E" w:rsidRDefault="0088598E" w:rsidP="0088598E">
            <w:pPr>
              <w:widowControl/>
              <w:jc w:val="right"/>
              <w:rPr>
                <w:rFonts w:ascii="宋体" w:eastAsia="宋体" w:hAnsi="宋体" w:cs="等线 Light" w:hint="eastAsia"/>
                <w:kern w:val="0"/>
                <w:sz w:val="20"/>
                <w:szCs w:val="20"/>
                <w:lang w:val="en-GB"/>
              </w:rPr>
            </w:pPr>
            <w:r w:rsidRPr="0088598E">
              <w:rPr>
                <w:rFonts w:ascii="宋体" w:eastAsia="宋体" w:hAnsi="宋体" w:hint="eastAsia"/>
                <w:color w:val="000000"/>
                <w:kern w:val="0"/>
                <w:sz w:val="20"/>
                <w:szCs w:val="20"/>
                <w:lang w:val="en-GB"/>
              </w:rPr>
              <w:t>352.50</w:t>
            </w:r>
          </w:p>
        </w:tc>
        <w:tc>
          <w:tcPr>
            <w:tcW w:w="635" w:type="pct"/>
            <w:shd w:val="clear" w:color="000000" w:fill="FFFFFF"/>
            <w:vAlign w:val="center"/>
          </w:tcPr>
          <w:p w14:paraId="04E5928F" w14:textId="77777777" w:rsidR="0088598E" w:rsidRPr="0088598E" w:rsidRDefault="0088598E" w:rsidP="0088598E">
            <w:pPr>
              <w:widowControl/>
              <w:jc w:val="right"/>
              <w:rPr>
                <w:rFonts w:ascii="宋体" w:eastAsia="宋体" w:hAnsi="宋体" w:cs="等线 Light" w:hint="eastAsia"/>
                <w:kern w:val="0"/>
                <w:sz w:val="20"/>
                <w:szCs w:val="20"/>
                <w:lang w:val="en-GB"/>
              </w:rPr>
            </w:pPr>
            <w:r w:rsidRPr="0088598E">
              <w:rPr>
                <w:rFonts w:ascii="宋体" w:eastAsia="宋体" w:hAnsi="宋体" w:hint="eastAsia"/>
                <w:color w:val="000000"/>
                <w:kern w:val="0"/>
                <w:sz w:val="20"/>
                <w:szCs w:val="20"/>
                <w:lang w:val="en-GB"/>
              </w:rPr>
              <w:t>352.50</w:t>
            </w:r>
          </w:p>
        </w:tc>
        <w:tc>
          <w:tcPr>
            <w:tcW w:w="634" w:type="pct"/>
            <w:shd w:val="clear" w:color="000000" w:fill="FFFFFF"/>
            <w:vAlign w:val="center"/>
          </w:tcPr>
          <w:p w14:paraId="76341AA3" w14:textId="77777777" w:rsidR="0088598E" w:rsidRPr="0088598E" w:rsidRDefault="0088598E" w:rsidP="0088598E">
            <w:pPr>
              <w:widowControl/>
              <w:jc w:val="right"/>
              <w:rPr>
                <w:rFonts w:ascii="宋体" w:eastAsia="宋体" w:hAnsi="宋体" w:hint="eastAsia"/>
                <w:kern w:val="0"/>
                <w:sz w:val="20"/>
                <w:szCs w:val="20"/>
                <w:lang w:val="en-GB"/>
              </w:rPr>
            </w:pPr>
            <w:r w:rsidRPr="0088598E">
              <w:rPr>
                <w:rFonts w:ascii="宋体" w:eastAsia="宋体" w:hAnsi="宋体" w:hint="eastAsia"/>
                <w:color w:val="000000"/>
                <w:kern w:val="0"/>
                <w:sz w:val="20"/>
                <w:szCs w:val="20"/>
                <w:lang w:val="en-GB"/>
              </w:rPr>
              <w:t>352.50</w:t>
            </w:r>
          </w:p>
        </w:tc>
        <w:tc>
          <w:tcPr>
            <w:tcW w:w="635" w:type="pct"/>
            <w:shd w:val="clear" w:color="000000" w:fill="FFFFFF"/>
            <w:vAlign w:val="center"/>
          </w:tcPr>
          <w:p w14:paraId="47EEE33D"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color w:val="000000"/>
                <w:kern w:val="0"/>
                <w:sz w:val="20"/>
                <w:szCs w:val="20"/>
                <w:lang w:val="en-GB"/>
              </w:rPr>
              <w:t>352.50</w:t>
            </w:r>
          </w:p>
        </w:tc>
        <w:tc>
          <w:tcPr>
            <w:tcW w:w="677" w:type="pct"/>
            <w:shd w:val="clear" w:color="000000" w:fill="FFFFFF"/>
            <w:vAlign w:val="center"/>
          </w:tcPr>
          <w:p w14:paraId="32907719"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b/>
                <w:bCs/>
                <w:color w:val="000000"/>
                <w:kern w:val="0"/>
                <w:sz w:val="20"/>
                <w:szCs w:val="20"/>
                <w:lang w:val="en-GB"/>
              </w:rPr>
              <w:t>3,525.00</w:t>
            </w:r>
          </w:p>
        </w:tc>
      </w:tr>
      <w:tr w:rsidR="0088598E" w:rsidRPr="0088598E" w14:paraId="3D2BBEAC" w14:textId="77777777" w:rsidTr="004320BD">
        <w:trPr>
          <w:trHeight w:val="20"/>
          <w:jc w:val="center"/>
        </w:trPr>
        <w:tc>
          <w:tcPr>
            <w:tcW w:w="1785" w:type="pct"/>
            <w:shd w:val="clear" w:color="000000" w:fill="FFFFFF"/>
          </w:tcPr>
          <w:p w14:paraId="0A54FED1" w14:textId="77777777" w:rsidR="0088598E" w:rsidRPr="0088598E" w:rsidRDefault="0088598E" w:rsidP="0088598E">
            <w:pPr>
              <w:widowControl/>
              <w:jc w:val="left"/>
              <w:rPr>
                <w:rFonts w:ascii="宋体" w:eastAsia="宋体" w:hAnsi="宋体" w:cs="等线 Light" w:hint="eastAsia"/>
                <w:b/>
                <w:color w:val="000000"/>
                <w:kern w:val="0"/>
                <w:sz w:val="20"/>
                <w:szCs w:val="20"/>
                <w:lang w:val="en-GB"/>
              </w:rPr>
            </w:pPr>
            <w:r w:rsidRPr="0088598E">
              <w:rPr>
                <w:rFonts w:ascii="宋体" w:eastAsia="宋体" w:hAnsi="宋体" w:hint="eastAsia"/>
                <w:kern w:val="0"/>
                <w:sz w:val="20"/>
                <w:lang w:val="en-GB"/>
              </w:rPr>
              <w:t>运营成本</w:t>
            </w:r>
          </w:p>
        </w:tc>
        <w:tc>
          <w:tcPr>
            <w:tcW w:w="634" w:type="pct"/>
            <w:shd w:val="clear" w:color="000000" w:fill="FFFFFF"/>
            <w:vAlign w:val="center"/>
          </w:tcPr>
          <w:p w14:paraId="79C04A59" w14:textId="77777777" w:rsidR="0088598E" w:rsidRPr="0088598E" w:rsidRDefault="0088598E" w:rsidP="0088598E">
            <w:pPr>
              <w:widowControl/>
              <w:jc w:val="right"/>
              <w:rPr>
                <w:rFonts w:ascii="宋体" w:eastAsia="宋体" w:hAnsi="宋体" w:cs="等线 Light" w:hint="eastAsia"/>
                <w:b/>
                <w:kern w:val="0"/>
                <w:sz w:val="20"/>
                <w:szCs w:val="20"/>
                <w:lang w:val="en-GB"/>
              </w:rPr>
            </w:pPr>
            <w:r w:rsidRPr="0088598E">
              <w:rPr>
                <w:rFonts w:ascii="宋体" w:eastAsia="宋体" w:hAnsi="宋体" w:hint="eastAsia"/>
                <w:color w:val="000000"/>
                <w:kern w:val="0"/>
                <w:sz w:val="20"/>
                <w:szCs w:val="20"/>
                <w:lang w:val="en-GB"/>
              </w:rPr>
              <w:t>58.32</w:t>
            </w:r>
          </w:p>
        </w:tc>
        <w:tc>
          <w:tcPr>
            <w:tcW w:w="635" w:type="pct"/>
            <w:shd w:val="clear" w:color="000000" w:fill="FFFFFF"/>
            <w:vAlign w:val="center"/>
          </w:tcPr>
          <w:p w14:paraId="60F141E6" w14:textId="77777777" w:rsidR="0088598E" w:rsidRPr="0088598E" w:rsidRDefault="0088598E" w:rsidP="0088598E">
            <w:pPr>
              <w:widowControl/>
              <w:jc w:val="right"/>
              <w:rPr>
                <w:rFonts w:ascii="宋体" w:eastAsia="宋体" w:hAnsi="宋体" w:cs="等线 Light" w:hint="eastAsia"/>
                <w:b/>
                <w:kern w:val="0"/>
                <w:sz w:val="20"/>
                <w:szCs w:val="20"/>
                <w:lang w:val="en-GB"/>
              </w:rPr>
            </w:pPr>
            <w:r w:rsidRPr="0088598E">
              <w:rPr>
                <w:rFonts w:ascii="宋体" w:eastAsia="宋体" w:hAnsi="宋体" w:hint="eastAsia"/>
                <w:color w:val="000000"/>
                <w:kern w:val="0"/>
                <w:sz w:val="20"/>
                <w:szCs w:val="20"/>
                <w:lang w:val="en-GB"/>
              </w:rPr>
              <w:t>58.32</w:t>
            </w:r>
          </w:p>
        </w:tc>
        <w:tc>
          <w:tcPr>
            <w:tcW w:w="634" w:type="pct"/>
            <w:shd w:val="clear" w:color="000000" w:fill="FFFFFF"/>
            <w:vAlign w:val="center"/>
          </w:tcPr>
          <w:p w14:paraId="227A0147" w14:textId="77777777" w:rsidR="0088598E" w:rsidRPr="0088598E" w:rsidRDefault="0088598E" w:rsidP="0088598E">
            <w:pPr>
              <w:widowControl/>
              <w:jc w:val="right"/>
              <w:rPr>
                <w:rFonts w:ascii="宋体" w:eastAsia="宋体" w:hAnsi="宋体" w:hint="eastAsia"/>
                <w:b/>
                <w:kern w:val="0"/>
                <w:sz w:val="20"/>
                <w:szCs w:val="20"/>
                <w:lang w:val="en-GB"/>
              </w:rPr>
            </w:pPr>
            <w:r w:rsidRPr="0088598E">
              <w:rPr>
                <w:rFonts w:ascii="宋体" w:eastAsia="宋体" w:hAnsi="宋体" w:hint="eastAsia"/>
                <w:color w:val="000000"/>
                <w:kern w:val="0"/>
                <w:sz w:val="20"/>
                <w:szCs w:val="20"/>
                <w:lang w:val="en-GB"/>
              </w:rPr>
              <w:t>58.32</w:t>
            </w:r>
          </w:p>
        </w:tc>
        <w:tc>
          <w:tcPr>
            <w:tcW w:w="635" w:type="pct"/>
            <w:shd w:val="clear" w:color="000000" w:fill="FFFFFF"/>
            <w:vAlign w:val="center"/>
          </w:tcPr>
          <w:p w14:paraId="3D8FC9C6"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color w:val="000000"/>
                <w:kern w:val="0"/>
                <w:sz w:val="20"/>
                <w:szCs w:val="20"/>
                <w:lang w:val="en-GB"/>
              </w:rPr>
              <w:t>58.32</w:t>
            </w:r>
          </w:p>
        </w:tc>
        <w:tc>
          <w:tcPr>
            <w:tcW w:w="677" w:type="pct"/>
            <w:shd w:val="clear" w:color="000000" w:fill="FFFFFF"/>
            <w:vAlign w:val="center"/>
          </w:tcPr>
          <w:p w14:paraId="503C879F"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b/>
                <w:bCs/>
                <w:color w:val="000000"/>
                <w:kern w:val="0"/>
                <w:sz w:val="20"/>
                <w:szCs w:val="20"/>
                <w:lang w:val="en-GB"/>
              </w:rPr>
              <w:t>524.88</w:t>
            </w:r>
          </w:p>
        </w:tc>
      </w:tr>
      <w:tr w:rsidR="0088598E" w:rsidRPr="0088598E" w14:paraId="13738ED0" w14:textId="77777777" w:rsidTr="004320BD">
        <w:trPr>
          <w:trHeight w:val="20"/>
          <w:jc w:val="center"/>
        </w:trPr>
        <w:tc>
          <w:tcPr>
            <w:tcW w:w="1785" w:type="pct"/>
            <w:shd w:val="clear" w:color="000000" w:fill="FFFFFF"/>
          </w:tcPr>
          <w:p w14:paraId="523E9324" w14:textId="77777777" w:rsidR="0088598E" w:rsidRPr="0088598E" w:rsidRDefault="0088598E" w:rsidP="0088598E">
            <w:pPr>
              <w:widowControl/>
              <w:jc w:val="left"/>
              <w:rPr>
                <w:rFonts w:ascii="宋体" w:eastAsia="宋体" w:hAnsi="宋体" w:cs="等线 Light" w:hint="eastAsia"/>
                <w:color w:val="000000"/>
                <w:kern w:val="0"/>
                <w:sz w:val="20"/>
                <w:szCs w:val="20"/>
                <w:lang w:val="en-GB"/>
              </w:rPr>
            </w:pPr>
            <w:r w:rsidRPr="0088598E">
              <w:rPr>
                <w:rFonts w:ascii="宋体" w:eastAsia="宋体" w:hAnsi="宋体" w:hint="eastAsia"/>
                <w:kern w:val="0"/>
                <w:sz w:val="20"/>
                <w:lang w:val="en-GB"/>
              </w:rPr>
              <w:t>相关税费</w:t>
            </w:r>
          </w:p>
        </w:tc>
        <w:tc>
          <w:tcPr>
            <w:tcW w:w="634" w:type="pct"/>
            <w:shd w:val="clear" w:color="000000" w:fill="FFFFFF"/>
            <w:vAlign w:val="center"/>
          </w:tcPr>
          <w:p w14:paraId="459FB0EE" w14:textId="77777777" w:rsidR="0088598E" w:rsidRPr="0088598E" w:rsidRDefault="0088598E" w:rsidP="0088598E">
            <w:pPr>
              <w:widowControl/>
              <w:jc w:val="right"/>
              <w:rPr>
                <w:rFonts w:ascii="宋体" w:eastAsia="宋体" w:hAnsi="宋体" w:cs="等线 Light" w:hint="eastAsia"/>
                <w:kern w:val="0"/>
                <w:sz w:val="20"/>
                <w:szCs w:val="20"/>
                <w:lang w:val="en-GB"/>
              </w:rPr>
            </w:pPr>
            <w:r w:rsidRPr="0088598E">
              <w:rPr>
                <w:rFonts w:ascii="宋体" w:eastAsia="宋体" w:hAnsi="宋体" w:hint="eastAsia"/>
                <w:color w:val="000000"/>
                <w:kern w:val="0"/>
                <w:sz w:val="20"/>
                <w:szCs w:val="20"/>
                <w:lang w:val="en-GB"/>
              </w:rPr>
              <w:t>23.26</w:t>
            </w:r>
          </w:p>
        </w:tc>
        <w:tc>
          <w:tcPr>
            <w:tcW w:w="635" w:type="pct"/>
            <w:shd w:val="clear" w:color="000000" w:fill="FFFFFF"/>
            <w:vAlign w:val="center"/>
          </w:tcPr>
          <w:p w14:paraId="1A538709" w14:textId="77777777" w:rsidR="0088598E" w:rsidRPr="0088598E" w:rsidRDefault="0088598E" w:rsidP="0088598E">
            <w:pPr>
              <w:widowControl/>
              <w:jc w:val="right"/>
              <w:rPr>
                <w:rFonts w:ascii="宋体" w:eastAsia="宋体" w:hAnsi="宋体" w:cs="等线 Light" w:hint="eastAsia"/>
                <w:kern w:val="0"/>
                <w:sz w:val="20"/>
                <w:szCs w:val="20"/>
                <w:lang w:val="en-GB"/>
              </w:rPr>
            </w:pPr>
            <w:r w:rsidRPr="0088598E">
              <w:rPr>
                <w:rFonts w:ascii="宋体" w:eastAsia="宋体" w:hAnsi="宋体" w:hint="eastAsia"/>
                <w:color w:val="000000"/>
                <w:kern w:val="0"/>
                <w:sz w:val="20"/>
                <w:szCs w:val="20"/>
                <w:lang w:val="en-GB"/>
              </w:rPr>
              <w:t>23.26</w:t>
            </w:r>
          </w:p>
        </w:tc>
        <w:tc>
          <w:tcPr>
            <w:tcW w:w="634" w:type="pct"/>
            <w:shd w:val="clear" w:color="000000" w:fill="FFFFFF"/>
            <w:vAlign w:val="center"/>
          </w:tcPr>
          <w:p w14:paraId="11701F51" w14:textId="77777777" w:rsidR="0088598E" w:rsidRPr="0088598E" w:rsidRDefault="0088598E" w:rsidP="0088598E">
            <w:pPr>
              <w:widowControl/>
              <w:jc w:val="right"/>
              <w:rPr>
                <w:rFonts w:ascii="宋体" w:eastAsia="宋体" w:hAnsi="宋体" w:hint="eastAsia"/>
                <w:kern w:val="0"/>
                <w:sz w:val="20"/>
                <w:szCs w:val="20"/>
                <w:lang w:val="en-GB"/>
              </w:rPr>
            </w:pPr>
            <w:r w:rsidRPr="0088598E">
              <w:rPr>
                <w:rFonts w:ascii="宋体" w:eastAsia="宋体" w:hAnsi="宋体" w:hint="eastAsia"/>
                <w:color w:val="000000"/>
                <w:kern w:val="0"/>
                <w:sz w:val="20"/>
                <w:szCs w:val="20"/>
                <w:lang w:val="en-GB"/>
              </w:rPr>
              <w:t>23.26</w:t>
            </w:r>
          </w:p>
        </w:tc>
        <w:tc>
          <w:tcPr>
            <w:tcW w:w="635" w:type="pct"/>
            <w:shd w:val="clear" w:color="000000" w:fill="FFFFFF"/>
            <w:vAlign w:val="center"/>
          </w:tcPr>
          <w:p w14:paraId="156E1F00"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color w:val="000000"/>
                <w:kern w:val="0"/>
                <w:sz w:val="20"/>
                <w:szCs w:val="20"/>
                <w:lang w:val="en-GB"/>
              </w:rPr>
              <w:t>23.26</w:t>
            </w:r>
          </w:p>
        </w:tc>
        <w:tc>
          <w:tcPr>
            <w:tcW w:w="677" w:type="pct"/>
            <w:shd w:val="clear" w:color="000000" w:fill="FFFFFF"/>
            <w:vAlign w:val="center"/>
          </w:tcPr>
          <w:p w14:paraId="3CA7FBCC"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b/>
                <w:bCs/>
                <w:color w:val="000000"/>
                <w:kern w:val="0"/>
                <w:sz w:val="20"/>
                <w:szCs w:val="20"/>
                <w:lang w:val="en-GB"/>
              </w:rPr>
              <w:t>209.34</w:t>
            </w:r>
          </w:p>
        </w:tc>
      </w:tr>
      <w:tr w:rsidR="0088598E" w:rsidRPr="0088598E" w14:paraId="03D172E0" w14:textId="77777777" w:rsidTr="004320BD">
        <w:trPr>
          <w:trHeight w:val="20"/>
          <w:jc w:val="center"/>
        </w:trPr>
        <w:tc>
          <w:tcPr>
            <w:tcW w:w="1785" w:type="pct"/>
            <w:shd w:val="clear" w:color="000000" w:fill="FFFFFF"/>
          </w:tcPr>
          <w:p w14:paraId="533A82E6" w14:textId="77777777" w:rsidR="0088598E" w:rsidRPr="0088598E" w:rsidRDefault="0088598E" w:rsidP="0088598E">
            <w:pPr>
              <w:widowControl/>
              <w:jc w:val="left"/>
              <w:rPr>
                <w:rFonts w:ascii="宋体" w:eastAsia="宋体" w:hAnsi="宋体" w:cs="等线 Light" w:hint="eastAsia"/>
                <w:b/>
                <w:bCs/>
                <w:color w:val="000000"/>
                <w:kern w:val="0"/>
                <w:sz w:val="20"/>
                <w:szCs w:val="20"/>
                <w:lang w:val="en-GB"/>
              </w:rPr>
            </w:pPr>
            <w:r w:rsidRPr="0088598E">
              <w:rPr>
                <w:rFonts w:ascii="宋体" w:eastAsia="宋体" w:hAnsi="宋体" w:hint="eastAsia"/>
                <w:b/>
                <w:bCs/>
                <w:kern w:val="0"/>
                <w:sz w:val="20"/>
                <w:lang w:val="en-GB"/>
              </w:rPr>
              <w:t>成本合计</w:t>
            </w:r>
          </w:p>
        </w:tc>
        <w:tc>
          <w:tcPr>
            <w:tcW w:w="634" w:type="pct"/>
            <w:shd w:val="clear" w:color="000000" w:fill="FFFFFF"/>
            <w:vAlign w:val="center"/>
          </w:tcPr>
          <w:p w14:paraId="06BC9A62" w14:textId="77777777" w:rsidR="0088598E" w:rsidRPr="0088598E" w:rsidRDefault="0088598E" w:rsidP="0088598E">
            <w:pPr>
              <w:widowControl/>
              <w:jc w:val="right"/>
              <w:rPr>
                <w:rFonts w:ascii="宋体" w:eastAsia="宋体" w:hAnsi="宋体" w:cs="等线 Light" w:hint="eastAsia"/>
                <w:b/>
                <w:bCs/>
                <w:kern w:val="0"/>
                <w:sz w:val="20"/>
                <w:szCs w:val="20"/>
                <w:lang w:val="en-GB"/>
              </w:rPr>
            </w:pPr>
            <w:r w:rsidRPr="0088598E">
              <w:rPr>
                <w:rFonts w:ascii="宋体" w:eastAsia="宋体" w:hAnsi="宋体" w:hint="eastAsia"/>
                <w:b/>
                <w:bCs/>
                <w:color w:val="000000"/>
                <w:kern w:val="0"/>
                <w:sz w:val="20"/>
                <w:szCs w:val="20"/>
                <w:lang w:val="en-GB"/>
              </w:rPr>
              <w:t>434.08</w:t>
            </w:r>
          </w:p>
        </w:tc>
        <w:tc>
          <w:tcPr>
            <w:tcW w:w="635" w:type="pct"/>
            <w:shd w:val="clear" w:color="000000" w:fill="FFFFFF"/>
            <w:vAlign w:val="center"/>
          </w:tcPr>
          <w:p w14:paraId="0C7B5980" w14:textId="77777777" w:rsidR="0088598E" w:rsidRPr="0088598E" w:rsidRDefault="0088598E" w:rsidP="0088598E">
            <w:pPr>
              <w:widowControl/>
              <w:jc w:val="right"/>
              <w:rPr>
                <w:rFonts w:ascii="宋体" w:eastAsia="宋体" w:hAnsi="宋体" w:cs="等线 Light" w:hint="eastAsia"/>
                <w:b/>
                <w:bCs/>
                <w:kern w:val="0"/>
                <w:sz w:val="20"/>
                <w:szCs w:val="20"/>
                <w:lang w:val="en-GB"/>
              </w:rPr>
            </w:pPr>
            <w:r w:rsidRPr="0088598E">
              <w:rPr>
                <w:rFonts w:ascii="宋体" w:eastAsia="宋体" w:hAnsi="宋体" w:hint="eastAsia"/>
                <w:b/>
                <w:bCs/>
                <w:color w:val="000000"/>
                <w:kern w:val="0"/>
                <w:sz w:val="20"/>
                <w:szCs w:val="20"/>
                <w:lang w:val="en-GB"/>
              </w:rPr>
              <w:t>434.08</w:t>
            </w:r>
          </w:p>
        </w:tc>
        <w:tc>
          <w:tcPr>
            <w:tcW w:w="634" w:type="pct"/>
            <w:shd w:val="clear" w:color="000000" w:fill="FFFFFF"/>
            <w:vAlign w:val="center"/>
          </w:tcPr>
          <w:p w14:paraId="73254A4E"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b/>
                <w:bCs/>
                <w:color w:val="000000"/>
                <w:kern w:val="0"/>
                <w:sz w:val="20"/>
                <w:szCs w:val="20"/>
                <w:lang w:val="en-GB"/>
              </w:rPr>
              <w:t>434.08</w:t>
            </w:r>
          </w:p>
        </w:tc>
        <w:tc>
          <w:tcPr>
            <w:tcW w:w="635" w:type="pct"/>
            <w:shd w:val="clear" w:color="000000" w:fill="FFFFFF"/>
            <w:vAlign w:val="center"/>
          </w:tcPr>
          <w:p w14:paraId="78A0851F" w14:textId="77777777" w:rsidR="0088598E" w:rsidRPr="0088598E" w:rsidRDefault="0088598E" w:rsidP="0088598E">
            <w:pPr>
              <w:widowControl/>
              <w:jc w:val="right"/>
              <w:rPr>
                <w:rFonts w:ascii="宋体" w:eastAsia="宋体" w:hAnsi="宋体" w:hint="eastAsia"/>
                <w:b/>
                <w:bCs/>
                <w:color w:val="000000"/>
                <w:kern w:val="0"/>
                <w:sz w:val="20"/>
                <w:szCs w:val="20"/>
                <w:lang w:val="en-GB"/>
              </w:rPr>
            </w:pPr>
            <w:r w:rsidRPr="0088598E">
              <w:rPr>
                <w:rFonts w:ascii="宋体" w:eastAsia="宋体" w:hAnsi="宋体" w:hint="eastAsia"/>
                <w:b/>
                <w:bCs/>
                <w:color w:val="000000"/>
                <w:kern w:val="0"/>
                <w:sz w:val="20"/>
                <w:szCs w:val="20"/>
                <w:lang w:val="en-GB"/>
              </w:rPr>
              <w:t>434.08</w:t>
            </w:r>
          </w:p>
        </w:tc>
        <w:tc>
          <w:tcPr>
            <w:tcW w:w="677" w:type="pct"/>
            <w:shd w:val="clear" w:color="000000" w:fill="FFFFFF"/>
            <w:vAlign w:val="center"/>
          </w:tcPr>
          <w:p w14:paraId="412000F4" w14:textId="77777777" w:rsidR="0088598E" w:rsidRPr="0088598E" w:rsidRDefault="0088598E" w:rsidP="0088598E">
            <w:pPr>
              <w:widowControl/>
              <w:jc w:val="right"/>
              <w:rPr>
                <w:rFonts w:ascii="宋体" w:eastAsia="宋体" w:hAnsi="宋体" w:hint="eastAsia"/>
                <w:b/>
                <w:bCs/>
                <w:kern w:val="0"/>
                <w:sz w:val="20"/>
                <w:szCs w:val="20"/>
                <w:lang w:val="en-GB"/>
              </w:rPr>
            </w:pPr>
            <w:r w:rsidRPr="0088598E">
              <w:rPr>
                <w:rFonts w:ascii="宋体" w:eastAsia="宋体" w:hAnsi="宋体" w:hint="eastAsia"/>
                <w:b/>
                <w:bCs/>
                <w:color w:val="000000"/>
                <w:kern w:val="0"/>
                <w:sz w:val="20"/>
                <w:szCs w:val="20"/>
                <w:lang w:val="en-GB"/>
              </w:rPr>
              <w:t>4,259.22</w:t>
            </w:r>
          </w:p>
        </w:tc>
      </w:tr>
    </w:tbl>
    <w:p w14:paraId="705513D5" w14:textId="77777777" w:rsidR="0088598E" w:rsidRDefault="0088598E">
      <w:pPr>
        <w:widowControl/>
        <w:ind w:firstLineChars="200" w:firstLine="360"/>
        <w:jc w:val="right"/>
        <w:rPr>
          <w:rFonts w:ascii="宋体" w:eastAsia="宋体" w:hAnsi="宋体" w:hint="eastAsia"/>
          <w:kern w:val="0"/>
          <w:sz w:val="18"/>
          <w:szCs w:val="18"/>
          <w:lang w:val="en-GB"/>
        </w:rPr>
      </w:pPr>
    </w:p>
    <w:p w14:paraId="73728B41" w14:textId="77777777" w:rsidR="00CD75AA" w:rsidRDefault="007D11AE">
      <w:pPr>
        <w:widowControl/>
        <w:spacing w:before="120" w:after="120" w:line="360" w:lineRule="auto"/>
        <w:outlineLvl w:val="1"/>
        <w:rPr>
          <w:rFonts w:ascii="宋体" w:eastAsia="宋体" w:hAnsi="宋体" w:hint="eastAsia"/>
          <w:b/>
          <w:color w:val="000000"/>
          <w:kern w:val="0"/>
          <w:sz w:val="24"/>
          <w:szCs w:val="24"/>
        </w:rPr>
      </w:pPr>
      <w:bookmarkStart w:id="32" w:name="_Toc200555362"/>
      <w:r>
        <w:rPr>
          <w:rFonts w:ascii="宋体" w:eastAsia="宋体" w:hAnsi="宋体" w:hint="eastAsia"/>
          <w:b/>
          <w:color w:val="000000"/>
          <w:kern w:val="0"/>
          <w:sz w:val="24"/>
          <w:szCs w:val="24"/>
        </w:rPr>
        <w:t>（三）</w:t>
      </w:r>
      <w:r>
        <w:rPr>
          <w:rFonts w:ascii="宋体" w:eastAsia="宋体" w:hAnsi="宋体"/>
          <w:b/>
          <w:color w:val="000000"/>
          <w:kern w:val="0"/>
          <w:sz w:val="24"/>
          <w:szCs w:val="24"/>
        </w:rPr>
        <w:t>小结</w:t>
      </w:r>
      <w:bookmarkEnd w:id="27"/>
      <w:bookmarkEnd w:id="28"/>
      <w:bookmarkEnd w:id="32"/>
    </w:p>
    <w:p w14:paraId="73728B42" w14:textId="77777777" w:rsidR="00CD75AA" w:rsidRDefault="007D11AE">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综上，在本期政府专项债券存续期内，我们未发现本项目资金出现不能满足还本付息要求的情况。</w:t>
      </w:r>
    </w:p>
    <w:p w14:paraId="73728B43" w14:textId="77777777" w:rsidR="00CD75AA" w:rsidRDefault="007D11AE">
      <w:pPr>
        <w:widowControl/>
        <w:spacing w:before="120" w:after="120" w:line="360" w:lineRule="auto"/>
        <w:outlineLvl w:val="1"/>
        <w:rPr>
          <w:rFonts w:ascii="宋体" w:eastAsia="宋体" w:hAnsi="宋体" w:hint="eastAsia"/>
          <w:b/>
          <w:color w:val="000000"/>
          <w:kern w:val="0"/>
          <w:sz w:val="24"/>
          <w:szCs w:val="24"/>
        </w:rPr>
      </w:pPr>
      <w:bookmarkStart w:id="33" w:name="_Toc200555363"/>
      <w:bookmarkStart w:id="34" w:name="_Toc114818426"/>
      <w:bookmarkStart w:id="35" w:name="_Toc114818536"/>
      <w:r>
        <w:rPr>
          <w:rFonts w:ascii="宋体" w:eastAsia="宋体" w:hAnsi="宋体" w:hint="eastAsia"/>
          <w:b/>
          <w:color w:val="000000"/>
          <w:kern w:val="0"/>
          <w:sz w:val="24"/>
          <w:szCs w:val="24"/>
        </w:rPr>
        <w:t>（四）</w:t>
      </w:r>
      <w:r>
        <w:rPr>
          <w:rFonts w:ascii="宋体" w:eastAsia="宋体" w:hAnsi="宋体"/>
          <w:b/>
          <w:color w:val="000000"/>
          <w:kern w:val="0"/>
          <w:sz w:val="24"/>
          <w:szCs w:val="24"/>
        </w:rPr>
        <w:t>资金稳定性</w:t>
      </w:r>
      <w:bookmarkEnd w:id="33"/>
      <w:bookmarkEnd w:id="34"/>
      <w:bookmarkEnd w:id="35"/>
    </w:p>
    <w:p w14:paraId="73728B44" w14:textId="77777777" w:rsidR="00CD75AA" w:rsidRDefault="007D11AE">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lastRenderedPageBreak/>
        <w:t>鸿越路</w:t>
      </w:r>
      <w:r>
        <w:rPr>
          <w:rFonts w:ascii="宋体" w:eastAsia="宋体" w:hAnsi="宋体"/>
          <w:color w:val="000000"/>
          <w:kern w:val="0"/>
          <w:sz w:val="24"/>
          <w:szCs w:val="24"/>
        </w:rPr>
        <w:t>还本付息以</w:t>
      </w:r>
      <w:r>
        <w:rPr>
          <w:rFonts w:ascii="宋体" w:eastAsia="宋体" w:hAnsi="宋体" w:hint="eastAsia"/>
          <w:color w:val="000000"/>
          <w:kern w:val="0"/>
          <w:sz w:val="24"/>
          <w:szCs w:val="24"/>
        </w:rPr>
        <w:t>土地出让收入、广告牌出租收入、停车位收入</w:t>
      </w:r>
      <w:r>
        <w:rPr>
          <w:rFonts w:ascii="宋体" w:eastAsia="宋体" w:hAnsi="宋体"/>
          <w:color w:val="000000"/>
          <w:kern w:val="0"/>
          <w:sz w:val="24"/>
          <w:szCs w:val="24"/>
        </w:rPr>
        <w:t>为基础</w:t>
      </w:r>
      <w:r>
        <w:rPr>
          <w:rFonts w:ascii="宋体" w:eastAsia="宋体" w:hAnsi="宋体" w:hint="eastAsia"/>
          <w:color w:val="000000"/>
          <w:kern w:val="0"/>
          <w:sz w:val="24"/>
          <w:szCs w:val="24"/>
        </w:rPr>
        <w:t>，可稳定覆盖债券存续期间各年利息及到期偿还本金的支出需求。综上，针对本项目在本期专项债券存续期内还本付息资金的测算，我们未注意到可能对本项目资金稳定性产生重大影响的情况。本项目债券存续期内资金留存情况如下图所示</w:t>
      </w:r>
      <w:r>
        <w:rPr>
          <w:rFonts w:ascii="宋体" w:eastAsia="宋体" w:hAnsi="宋体"/>
          <w:color w:val="000000"/>
          <w:kern w:val="0"/>
          <w:sz w:val="24"/>
          <w:szCs w:val="24"/>
        </w:rPr>
        <w:t>。</w:t>
      </w:r>
    </w:p>
    <w:p w14:paraId="73728B45" w14:textId="219458B5" w:rsidR="00CD75AA" w:rsidRDefault="00E27AC2">
      <w:pPr>
        <w:widowControl/>
        <w:jc w:val="center"/>
        <w:rPr>
          <w:rFonts w:ascii="宋体" w:eastAsia="宋体" w:hAnsi="宋体" w:hint="eastAsia"/>
          <w:kern w:val="0"/>
          <w:sz w:val="18"/>
          <w:szCs w:val="18"/>
          <w:lang w:val="en-GB"/>
        </w:rPr>
      </w:pPr>
      <w:r w:rsidRPr="00580DEA">
        <w:rPr>
          <w:rFonts w:ascii="宋体" w:eastAsia="宋体" w:hAnsi="宋体"/>
          <w:b/>
          <w:noProof/>
          <w:sz w:val="24"/>
          <w:szCs w:val="24"/>
        </w:rPr>
        <w:drawing>
          <wp:inline distT="0" distB="0" distL="0" distR="0" wp14:anchorId="531BC9CE" wp14:editId="6C19CA8F">
            <wp:extent cx="4640580" cy="2403475"/>
            <wp:effectExtent l="0" t="0" r="7620" b="15875"/>
            <wp:docPr id="619947507" name="图表 61994750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3728B46" w14:textId="77777777" w:rsidR="00CD75AA" w:rsidRDefault="007D11AE">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图1</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债券存续期鸿越路</w:t>
      </w:r>
      <w:r>
        <w:rPr>
          <w:rFonts w:ascii="宋体" w:eastAsia="宋体" w:hAnsi="宋体"/>
          <w:b/>
          <w:kern w:val="0"/>
          <w:sz w:val="24"/>
          <w:szCs w:val="24"/>
          <w:lang w:val="en-GB"/>
        </w:rPr>
        <w:t>资金留存情况</w:t>
      </w:r>
    </w:p>
    <w:p w14:paraId="73728B47" w14:textId="77777777" w:rsidR="00CD75AA" w:rsidRDefault="007D11AE">
      <w:pPr>
        <w:spacing w:line="360" w:lineRule="auto"/>
        <w:ind w:firstLineChars="200" w:firstLine="482"/>
        <w:outlineLvl w:val="0"/>
        <w:rPr>
          <w:rFonts w:ascii="宋体" w:eastAsia="宋体" w:hAnsi="宋体" w:cs="宋体" w:hint="eastAsia"/>
          <w:b/>
          <w:bCs/>
          <w:sz w:val="24"/>
          <w:szCs w:val="24"/>
        </w:rPr>
      </w:pPr>
      <w:r>
        <w:rPr>
          <w:rFonts w:ascii="宋体" w:eastAsia="宋体" w:hAnsi="宋体" w:cs="宋体" w:hint="eastAsia"/>
          <w:b/>
          <w:bCs/>
          <w:sz w:val="24"/>
          <w:szCs w:val="24"/>
        </w:rPr>
        <w:t>五、压力测试情况</w:t>
      </w:r>
      <w:bookmarkEnd w:id="15"/>
    </w:p>
    <w:p w14:paraId="73728B48" w14:textId="77777777" w:rsidR="00CD75AA" w:rsidRDefault="007D11AE">
      <w:pPr>
        <w:widowControl/>
        <w:spacing w:before="120" w:after="120" w:line="360" w:lineRule="auto"/>
        <w:ind w:firstLineChars="200" w:firstLine="480"/>
        <w:rPr>
          <w:rFonts w:ascii="宋体" w:eastAsia="宋体" w:hAnsi="宋体" w:hint="eastAsia"/>
          <w:color w:val="000000"/>
          <w:kern w:val="0"/>
          <w:sz w:val="24"/>
          <w:szCs w:val="24"/>
        </w:rPr>
      </w:pPr>
      <w:bookmarkStart w:id="36" w:name="_Toc23928"/>
      <w:r>
        <w:rPr>
          <w:rFonts w:ascii="宋体" w:eastAsia="宋体" w:hAnsi="宋体"/>
          <w:color w:val="000000"/>
          <w:kern w:val="0"/>
          <w:sz w:val="24"/>
          <w:szCs w:val="24"/>
        </w:rPr>
        <w:t>根据本项目收益与融资自求平衡的压力测试结果，当</w:t>
      </w:r>
      <w:r>
        <w:rPr>
          <w:rFonts w:ascii="宋体" w:eastAsia="宋体" w:hAnsi="宋体" w:hint="eastAsia"/>
          <w:color w:val="000000"/>
          <w:kern w:val="0"/>
          <w:sz w:val="24"/>
          <w:szCs w:val="24"/>
        </w:rPr>
        <w:t>项目收益</w:t>
      </w:r>
      <w:r>
        <w:rPr>
          <w:rFonts w:ascii="宋体" w:eastAsia="宋体" w:hAnsi="宋体"/>
          <w:color w:val="000000"/>
          <w:kern w:val="0"/>
          <w:sz w:val="24"/>
          <w:szCs w:val="24"/>
        </w:rPr>
        <w:t>影响债券还本付息的因素在±</w:t>
      </w:r>
      <w:r>
        <w:rPr>
          <w:rFonts w:ascii="宋体" w:eastAsia="宋体" w:hAnsi="宋体" w:hint="eastAsia"/>
          <w:color w:val="000000"/>
          <w:kern w:val="0"/>
          <w:sz w:val="24"/>
          <w:szCs w:val="24"/>
        </w:rPr>
        <w:t>15</w:t>
      </w:r>
      <w:r>
        <w:rPr>
          <w:rFonts w:ascii="宋体" w:eastAsia="宋体" w:hAnsi="宋体"/>
          <w:color w:val="000000"/>
          <w:kern w:val="0"/>
          <w:sz w:val="24"/>
          <w:szCs w:val="24"/>
        </w:rPr>
        <w:t>%范围内变动的情况下，专项债券本息资金覆盖率仍然大于1，还本付息资金具有一定的风险抵抗能力。具体情况</w:t>
      </w:r>
      <w:r>
        <w:rPr>
          <w:rFonts w:ascii="宋体" w:eastAsia="宋体" w:hAnsi="宋体" w:hint="eastAsia"/>
          <w:color w:val="000000"/>
          <w:kern w:val="0"/>
          <w:sz w:val="24"/>
          <w:szCs w:val="24"/>
        </w:rPr>
        <w:t>详见</w:t>
      </w:r>
      <w:r>
        <w:rPr>
          <w:rFonts w:ascii="宋体" w:eastAsia="宋体" w:hAnsi="宋体"/>
          <w:color w:val="000000"/>
          <w:kern w:val="0"/>
          <w:sz w:val="24"/>
          <w:szCs w:val="24"/>
        </w:rPr>
        <w:t>表10：</w:t>
      </w:r>
    </w:p>
    <w:p w14:paraId="73728B49" w14:textId="77777777" w:rsidR="00CD75AA" w:rsidRDefault="007D11AE">
      <w:pPr>
        <w:widowControl/>
        <w:spacing w:before="120" w:after="120" w:line="360" w:lineRule="auto"/>
        <w:ind w:firstLine="454"/>
        <w:jc w:val="center"/>
        <w:rPr>
          <w:rFonts w:ascii="宋体" w:eastAsia="宋体" w:hAnsi="宋体" w:hint="eastAsia"/>
          <w:b/>
          <w:color w:val="000000"/>
          <w:kern w:val="0"/>
          <w:sz w:val="24"/>
          <w:szCs w:val="24"/>
        </w:rPr>
      </w:pPr>
      <w:r>
        <w:rPr>
          <w:rFonts w:ascii="宋体" w:eastAsia="宋体" w:hAnsi="宋体"/>
          <w:b/>
          <w:color w:val="000000"/>
          <w:kern w:val="0"/>
          <w:sz w:val="24"/>
          <w:szCs w:val="24"/>
        </w:rPr>
        <w:t>表</w:t>
      </w:r>
      <w:r>
        <w:rPr>
          <w:rFonts w:ascii="宋体" w:eastAsia="宋体" w:hAnsi="宋体" w:hint="eastAsia"/>
          <w:b/>
          <w:color w:val="000000"/>
          <w:kern w:val="0"/>
          <w:sz w:val="24"/>
          <w:szCs w:val="24"/>
        </w:rPr>
        <w:t>1</w:t>
      </w:r>
      <w:r>
        <w:rPr>
          <w:rFonts w:ascii="宋体" w:eastAsia="宋体" w:hAnsi="宋体"/>
          <w:b/>
          <w:color w:val="000000"/>
          <w:kern w:val="0"/>
          <w:sz w:val="24"/>
          <w:szCs w:val="24"/>
        </w:rPr>
        <w:t xml:space="preserve">0 </w:t>
      </w:r>
      <w:r>
        <w:rPr>
          <w:rFonts w:ascii="宋体" w:eastAsia="宋体" w:hAnsi="宋体" w:hint="eastAsia"/>
          <w:b/>
          <w:color w:val="000000"/>
          <w:kern w:val="0"/>
          <w:sz w:val="24"/>
          <w:szCs w:val="24"/>
        </w:rPr>
        <w:t>鸿越路项目</w:t>
      </w:r>
      <w:r>
        <w:rPr>
          <w:rFonts w:ascii="宋体" w:eastAsia="宋体" w:hAnsi="宋体"/>
          <w:b/>
          <w:color w:val="000000"/>
          <w:kern w:val="0"/>
          <w:sz w:val="24"/>
          <w:szCs w:val="24"/>
        </w:rPr>
        <w:t>压力测试表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869"/>
        <w:gridCol w:w="869"/>
        <w:gridCol w:w="732"/>
        <w:gridCol w:w="732"/>
        <w:gridCol w:w="732"/>
        <w:gridCol w:w="741"/>
        <w:gridCol w:w="741"/>
      </w:tblGrid>
      <w:tr w:rsidR="00CD75AA" w14:paraId="73728B53" w14:textId="77777777">
        <w:trPr>
          <w:trHeight w:val="312"/>
          <w:tblHeader/>
          <w:jc w:val="center"/>
        </w:trPr>
        <w:tc>
          <w:tcPr>
            <w:tcW w:w="1820" w:type="pct"/>
            <w:shd w:val="clear" w:color="auto" w:fill="D8D8D8"/>
            <w:noWrap/>
            <w:vAlign w:val="center"/>
          </w:tcPr>
          <w:p w14:paraId="73728B4A" w14:textId="77777777" w:rsidR="00CD75AA" w:rsidRDefault="007D11AE">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资金覆盖率</w:t>
            </w:r>
            <w:r>
              <w:rPr>
                <w:rFonts w:ascii="宋体" w:eastAsia="宋体" w:hAnsi="宋体" w:cs="仿宋"/>
                <w:b/>
                <w:color w:val="000000"/>
                <w:kern w:val="0"/>
                <w:sz w:val="22"/>
                <w:szCs w:val="18"/>
                <w:lang w:val="en-GB"/>
              </w:rPr>
              <w:t>-</w:t>
            </w:r>
            <w:r>
              <w:rPr>
                <w:rFonts w:ascii="宋体" w:eastAsia="宋体" w:hAnsi="宋体" w:cs="仿宋" w:hint="eastAsia"/>
                <w:b/>
                <w:color w:val="000000"/>
                <w:kern w:val="0"/>
                <w:sz w:val="22"/>
                <w:szCs w:val="18"/>
                <w:lang w:val="en-GB"/>
              </w:rPr>
              <w:t>压力测试</w:t>
            </w:r>
          </w:p>
          <w:p w14:paraId="73728B4B" w14:textId="77777777" w:rsidR="00CD75AA" w:rsidRDefault="007D11AE">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（单因素敏感性分析）</w:t>
            </w:r>
          </w:p>
        </w:tc>
        <w:tc>
          <w:tcPr>
            <w:tcW w:w="510" w:type="pct"/>
            <w:shd w:val="clear" w:color="auto" w:fill="D8D8D8"/>
            <w:noWrap/>
            <w:vAlign w:val="center"/>
          </w:tcPr>
          <w:p w14:paraId="73728B4C" w14:textId="77777777" w:rsidR="00CD75AA" w:rsidRDefault="007D11AE">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c>
          <w:tcPr>
            <w:tcW w:w="510" w:type="pct"/>
            <w:shd w:val="clear" w:color="auto" w:fill="D8D8D8"/>
            <w:noWrap/>
            <w:vAlign w:val="center"/>
          </w:tcPr>
          <w:p w14:paraId="73728B4D" w14:textId="77777777" w:rsidR="00CD75AA" w:rsidRDefault="007D11AE">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0" w:type="pct"/>
            <w:shd w:val="clear" w:color="auto" w:fill="D8D8D8"/>
            <w:noWrap/>
            <w:vAlign w:val="center"/>
          </w:tcPr>
          <w:p w14:paraId="73728B4E" w14:textId="77777777" w:rsidR="00CD75AA" w:rsidRDefault="007D11AE">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0" w:type="pct"/>
            <w:shd w:val="clear" w:color="auto" w:fill="D8D8D8"/>
            <w:noWrap/>
            <w:vAlign w:val="center"/>
          </w:tcPr>
          <w:p w14:paraId="73728B4F" w14:textId="77777777" w:rsidR="00CD75AA" w:rsidRDefault="007D11AE">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0%</w:t>
            </w:r>
          </w:p>
        </w:tc>
        <w:tc>
          <w:tcPr>
            <w:tcW w:w="430" w:type="pct"/>
            <w:shd w:val="clear" w:color="auto" w:fill="D8D8D8"/>
            <w:noWrap/>
            <w:vAlign w:val="center"/>
          </w:tcPr>
          <w:p w14:paraId="73728B50" w14:textId="77777777" w:rsidR="00CD75AA" w:rsidRDefault="007D11AE">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5" w:type="pct"/>
            <w:shd w:val="clear" w:color="auto" w:fill="D8D8D8"/>
            <w:noWrap/>
            <w:vAlign w:val="center"/>
          </w:tcPr>
          <w:p w14:paraId="73728B51" w14:textId="77777777" w:rsidR="00CD75AA" w:rsidRDefault="007D11AE">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5" w:type="pct"/>
            <w:shd w:val="clear" w:color="auto" w:fill="D8D8D8"/>
            <w:noWrap/>
            <w:vAlign w:val="center"/>
          </w:tcPr>
          <w:p w14:paraId="73728B52" w14:textId="77777777" w:rsidR="00CD75AA" w:rsidRDefault="007D11AE">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r>
      <w:tr w:rsidR="00CD75AA" w14:paraId="73728B5C" w14:textId="77777777">
        <w:trPr>
          <w:trHeight w:val="312"/>
          <w:jc w:val="center"/>
        </w:trPr>
        <w:tc>
          <w:tcPr>
            <w:tcW w:w="1820" w:type="pct"/>
            <w:shd w:val="clear" w:color="auto" w:fill="auto"/>
            <w:noWrap/>
            <w:vAlign w:val="center"/>
          </w:tcPr>
          <w:p w14:paraId="73728B54" w14:textId="77777777" w:rsidR="00CD75AA" w:rsidRDefault="007D11AE">
            <w:pPr>
              <w:widowControl/>
              <w:spacing w:line="256" w:lineRule="auto"/>
              <w:jc w:val="left"/>
              <w:rPr>
                <w:rFonts w:ascii="宋体" w:eastAsia="宋体" w:hAnsi="宋体" w:hint="eastAsia"/>
                <w:color w:val="000000"/>
                <w:kern w:val="0"/>
                <w:sz w:val="20"/>
                <w:szCs w:val="20"/>
              </w:rPr>
            </w:pPr>
            <w:r>
              <w:rPr>
                <w:rFonts w:ascii="宋体" w:eastAsia="宋体" w:hAnsi="宋体" w:hint="eastAsia"/>
                <w:b/>
                <w:bCs/>
                <w:color w:val="000000"/>
                <w:kern w:val="0"/>
                <w:sz w:val="20"/>
                <w:szCs w:val="20"/>
              </w:rPr>
              <w:t>收益变动情况敏感性分析</w:t>
            </w:r>
          </w:p>
        </w:tc>
        <w:tc>
          <w:tcPr>
            <w:tcW w:w="510" w:type="pct"/>
            <w:shd w:val="clear" w:color="auto" w:fill="auto"/>
            <w:noWrap/>
            <w:vAlign w:val="center"/>
          </w:tcPr>
          <w:p w14:paraId="73728B55" w14:textId="77777777" w:rsidR="00CD75AA" w:rsidRDefault="00CD75AA">
            <w:pPr>
              <w:widowControl/>
              <w:jc w:val="right"/>
              <w:rPr>
                <w:rFonts w:ascii="宋体" w:eastAsia="宋体" w:hAnsi="宋体" w:cs="Arial" w:hint="eastAsia"/>
                <w:color w:val="000000"/>
                <w:kern w:val="0"/>
                <w:sz w:val="20"/>
                <w:szCs w:val="20"/>
                <w:lang w:val="en-GB"/>
              </w:rPr>
            </w:pPr>
          </w:p>
        </w:tc>
        <w:tc>
          <w:tcPr>
            <w:tcW w:w="510" w:type="pct"/>
            <w:shd w:val="clear" w:color="auto" w:fill="auto"/>
            <w:noWrap/>
            <w:vAlign w:val="center"/>
          </w:tcPr>
          <w:p w14:paraId="73728B56" w14:textId="77777777" w:rsidR="00CD75AA" w:rsidRDefault="00CD75AA">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73728B57" w14:textId="77777777" w:rsidR="00CD75AA" w:rsidRDefault="00CD75AA">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73728B58" w14:textId="77777777" w:rsidR="00CD75AA" w:rsidRDefault="00CD75AA">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73728B59" w14:textId="77777777" w:rsidR="00CD75AA" w:rsidRDefault="00CD75AA">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73728B5A" w14:textId="77777777" w:rsidR="00CD75AA" w:rsidRDefault="00CD75AA">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73728B5B" w14:textId="77777777" w:rsidR="00CD75AA" w:rsidRDefault="00CD75AA">
            <w:pPr>
              <w:widowControl/>
              <w:jc w:val="right"/>
              <w:rPr>
                <w:rFonts w:ascii="宋体" w:eastAsia="宋体" w:hAnsi="宋体" w:cs="Arial" w:hint="eastAsia"/>
                <w:color w:val="000000"/>
                <w:kern w:val="0"/>
                <w:sz w:val="20"/>
                <w:szCs w:val="20"/>
                <w:lang w:val="en-GB"/>
              </w:rPr>
            </w:pPr>
          </w:p>
        </w:tc>
      </w:tr>
      <w:tr w:rsidR="00C7718C" w14:paraId="73728B65" w14:textId="77777777">
        <w:trPr>
          <w:trHeight w:val="312"/>
          <w:jc w:val="center"/>
        </w:trPr>
        <w:tc>
          <w:tcPr>
            <w:tcW w:w="1820" w:type="pct"/>
            <w:shd w:val="clear" w:color="auto" w:fill="auto"/>
            <w:noWrap/>
            <w:vAlign w:val="center"/>
          </w:tcPr>
          <w:p w14:paraId="73728B5D" w14:textId="77777777" w:rsidR="00C7718C" w:rsidRDefault="00C7718C" w:rsidP="00C7718C">
            <w:pPr>
              <w:widowControl/>
              <w:spacing w:line="256" w:lineRule="auto"/>
              <w:jc w:val="left"/>
              <w:rPr>
                <w:rFonts w:ascii="宋体" w:eastAsia="宋体" w:hAnsi="宋体" w:hint="eastAsia"/>
                <w:color w:val="000000"/>
                <w:kern w:val="0"/>
                <w:sz w:val="20"/>
                <w:szCs w:val="20"/>
              </w:rPr>
            </w:pPr>
            <w:r>
              <w:rPr>
                <w:rFonts w:ascii="宋体" w:eastAsia="宋体" w:hAnsi="宋体" w:hint="eastAsia"/>
                <w:color w:val="000000"/>
                <w:kern w:val="0"/>
                <w:sz w:val="20"/>
                <w:szCs w:val="20"/>
              </w:rPr>
              <w:t>债券本息覆盖率</w:t>
            </w:r>
          </w:p>
        </w:tc>
        <w:tc>
          <w:tcPr>
            <w:tcW w:w="510" w:type="pct"/>
            <w:shd w:val="clear" w:color="auto" w:fill="auto"/>
            <w:noWrap/>
            <w:vAlign w:val="center"/>
          </w:tcPr>
          <w:p w14:paraId="73728B5E" w14:textId="4B5B2A81" w:rsidR="00C7718C" w:rsidRDefault="00C7718C" w:rsidP="00C7718C">
            <w:pPr>
              <w:widowControl/>
              <w:jc w:val="center"/>
              <w:rPr>
                <w:rFonts w:ascii="宋体" w:eastAsia="宋体" w:hAnsi="宋体" w:cs="Arial" w:hint="eastAsia"/>
                <w:color w:val="000000"/>
                <w:kern w:val="0"/>
                <w:sz w:val="20"/>
                <w:szCs w:val="20"/>
              </w:rPr>
            </w:pPr>
            <w:r w:rsidRPr="001B57C6">
              <w:rPr>
                <w:rFonts w:ascii="宋体" w:eastAsia="宋体" w:hAnsi="宋体" w:hint="eastAsia"/>
                <w:color w:val="000000"/>
                <w:szCs w:val="20"/>
              </w:rPr>
              <w:t>1.13</w:t>
            </w:r>
          </w:p>
        </w:tc>
        <w:tc>
          <w:tcPr>
            <w:tcW w:w="510" w:type="pct"/>
            <w:shd w:val="clear" w:color="auto" w:fill="auto"/>
            <w:noWrap/>
            <w:vAlign w:val="center"/>
          </w:tcPr>
          <w:p w14:paraId="73728B5F" w14:textId="0B147D23" w:rsidR="00C7718C" w:rsidRDefault="00C7718C" w:rsidP="00C7718C">
            <w:pPr>
              <w:widowControl/>
              <w:jc w:val="center"/>
              <w:rPr>
                <w:rFonts w:ascii="宋体" w:eastAsia="宋体" w:hAnsi="宋体" w:cs="Arial" w:hint="eastAsia"/>
                <w:color w:val="000000"/>
                <w:kern w:val="0"/>
                <w:sz w:val="20"/>
                <w:szCs w:val="20"/>
              </w:rPr>
            </w:pPr>
            <w:r w:rsidRPr="001B57C6">
              <w:rPr>
                <w:rFonts w:ascii="宋体" w:eastAsia="宋体" w:hAnsi="宋体" w:hint="eastAsia"/>
                <w:color w:val="000000"/>
                <w:szCs w:val="20"/>
              </w:rPr>
              <w:t>1.20</w:t>
            </w:r>
          </w:p>
        </w:tc>
        <w:tc>
          <w:tcPr>
            <w:tcW w:w="430" w:type="pct"/>
            <w:shd w:val="clear" w:color="auto" w:fill="auto"/>
            <w:noWrap/>
            <w:vAlign w:val="center"/>
          </w:tcPr>
          <w:p w14:paraId="73728B60" w14:textId="2F350BDF" w:rsidR="00C7718C" w:rsidRDefault="00C7718C" w:rsidP="00C7718C">
            <w:pPr>
              <w:widowControl/>
              <w:jc w:val="center"/>
              <w:rPr>
                <w:rFonts w:ascii="宋体" w:eastAsia="宋体" w:hAnsi="宋体" w:cs="Arial" w:hint="eastAsia"/>
                <w:color w:val="000000"/>
                <w:kern w:val="0"/>
                <w:sz w:val="20"/>
                <w:szCs w:val="20"/>
              </w:rPr>
            </w:pPr>
            <w:r w:rsidRPr="001B57C6">
              <w:rPr>
                <w:rFonts w:ascii="宋体" w:eastAsia="宋体" w:hAnsi="宋体" w:hint="eastAsia"/>
                <w:color w:val="000000"/>
                <w:szCs w:val="20"/>
              </w:rPr>
              <w:t>1.27</w:t>
            </w:r>
          </w:p>
        </w:tc>
        <w:tc>
          <w:tcPr>
            <w:tcW w:w="430" w:type="pct"/>
            <w:shd w:val="clear" w:color="auto" w:fill="auto"/>
            <w:noWrap/>
            <w:vAlign w:val="center"/>
          </w:tcPr>
          <w:p w14:paraId="73728B61" w14:textId="486E4D24" w:rsidR="00C7718C" w:rsidRDefault="00C7718C" w:rsidP="00C7718C">
            <w:pPr>
              <w:widowControl/>
              <w:jc w:val="center"/>
              <w:rPr>
                <w:rFonts w:ascii="宋体" w:eastAsia="宋体" w:hAnsi="宋体" w:cs="Arial" w:hint="eastAsia"/>
                <w:color w:val="000000"/>
                <w:kern w:val="0"/>
                <w:sz w:val="20"/>
                <w:szCs w:val="20"/>
              </w:rPr>
            </w:pPr>
            <w:r w:rsidRPr="001B57C6">
              <w:rPr>
                <w:rFonts w:ascii="宋体" w:eastAsia="宋体" w:hAnsi="宋体" w:hint="eastAsia"/>
                <w:color w:val="000000"/>
                <w:szCs w:val="20"/>
              </w:rPr>
              <w:t>1.33</w:t>
            </w:r>
          </w:p>
        </w:tc>
        <w:tc>
          <w:tcPr>
            <w:tcW w:w="430" w:type="pct"/>
            <w:shd w:val="clear" w:color="auto" w:fill="auto"/>
            <w:noWrap/>
            <w:vAlign w:val="center"/>
          </w:tcPr>
          <w:p w14:paraId="73728B62" w14:textId="68C82966" w:rsidR="00C7718C" w:rsidRDefault="00C7718C" w:rsidP="00C7718C">
            <w:pPr>
              <w:widowControl/>
              <w:jc w:val="center"/>
              <w:rPr>
                <w:rFonts w:ascii="宋体" w:eastAsia="宋体" w:hAnsi="宋体" w:cs="Arial" w:hint="eastAsia"/>
                <w:color w:val="000000"/>
                <w:kern w:val="0"/>
                <w:sz w:val="20"/>
                <w:szCs w:val="20"/>
              </w:rPr>
            </w:pPr>
            <w:r w:rsidRPr="001B57C6">
              <w:rPr>
                <w:rFonts w:ascii="宋体" w:eastAsia="宋体" w:hAnsi="宋体" w:hint="eastAsia"/>
                <w:color w:val="000000"/>
                <w:szCs w:val="20"/>
              </w:rPr>
              <w:t>1.40</w:t>
            </w:r>
          </w:p>
        </w:tc>
        <w:tc>
          <w:tcPr>
            <w:tcW w:w="435" w:type="pct"/>
            <w:shd w:val="clear" w:color="auto" w:fill="auto"/>
            <w:noWrap/>
            <w:vAlign w:val="center"/>
          </w:tcPr>
          <w:p w14:paraId="73728B63" w14:textId="48D174F6" w:rsidR="00C7718C" w:rsidRDefault="00C7718C" w:rsidP="00C7718C">
            <w:pPr>
              <w:widowControl/>
              <w:jc w:val="center"/>
              <w:rPr>
                <w:rFonts w:ascii="宋体" w:eastAsia="宋体" w:hAnsi="宋体" w:cs="Arial" w:hint="eastAsia"/>
                <w:color w:val="000000"/>
                <w:kern w:val="0"/>
                <w:sz w:val="20"/>
                <w:szCs w:val="20"/>
              </w:rPr>
            </w:pPr>
            <w:r w:rsidRPr="001B57C6">
              <w:rPr>
                <w:rFonts w:ascii="宋体" w:eastAsia="宋体" w:hAnsi="宋体" w:hint="eastAsia"/>
                <w:color w:val="000000"/>
                <w:szCs w:val="20"/>
              </w:rPr>
              <w:t>1.46</w:t>
            </w:r>
          </w:p>
        </w:tc>
        <w:tc>
          <w:tcPr>
            <w:tcW w:w="435" w:type="pct"/>
            <w:shd w:val="clear" w:color="auto" w:fill="auto"/>
            <w:noWrap/>
            <w:vAlign w:val="center"/>
          </w:tcPr>
          <w:p w14:paraId="73728B64" w14:textId="36CE244A" w:rsidR="00C7718C" w:rsidRDefault="00C7718C" w:rsidP="00C7718C">
            <w:pPr>
              <w:widowControl/>
              <w:jc w:val="center"/>
              <w:rPr>
                <w:rFonts w:ascii="宋体" w:eastAsia="宋体" w:hAnsi="宋体" w:cs="Arial" w:hint="eastAsia"/>
                <w:color w:val="000000"/>
                <w:kern w:val="0"/>
                <w:sz w:val="20"/>
                <w:szCs w:val="20"/>
              </w:rPr>
            </w:pPr>
            <w:r w:rsidRPr="001B57C6">
              <w:rPr>
                <w:rFonts w:ascii="宋体" w:eastAsia="宋体" w:hAnsi="宋体" w:hint="eastAsia"/>
                <w:color w:val="000000"/>
                <w:szCs w:val="20"/>
              </w:rPr>
              <w:t>1.53</w:t>
            </w:r>
          </w:p>
        </w:tc>
      </w:tr>
      <w:tr w:rsidR="00C7718C" w14:paraId="73728B6E" w14:textId="77777777">
        <w:trPr>
          <w:trHeight w:val="312"/>
          <w:jc w:val="center"/>
        </w:trPr>
        <w:tc>
          <w:tcPr>
            <w:tcW w:w="1820" w:type="pct"/>
            <w:shd w:val="clear" w:color="auto" w:fill="auto"/>
            <w:noWrap/>
            <w:vAlign w:val="center"/>
          </w:tcPr>
          <w:p w14:paraId="73728B66" w14:textId="77777777" w:rsidR="00C7718C" w:rsidRDefault="00C7718C" w:rsidP="00C7718C">
            <w:pPr>
              <w:widowControl/>
              <w:spacing w:line="256" w:lineRule="auto"/>
              <w:jc w:val="left"/>
              <w:rPr>
                <w:rFonts w:ascii="宋体" w:eastAsia="宋体" w:hAnsi="宋体" w:hint="eastAsia"/>
                <w:color w:val="000000"/>
                <w:kern w:val="0"/>
                <w:sz w:val="20"/>
                <w:szCs w:val="20"/>
              </w:rPr>
            </w:pPr>
            <w:r>
              <w:rPr>
                <w:rFonts w:ascii="宋体" w:eastAsia="宋体" w:hAnsi="宋体"/>
                <w:color w:val="000000"/>
                <w:kern w:val="0"/>
                <w:sz w:val="20"/>
                <w:szCs w:val="20"/>
              </w:rPr>
              <w:t>债券</w:t>
            </w:r>
            <w:r>
              <w:rPr>
                <w:rFonts w:ascii="宋体" w:eastAsia="宋体" w:hAnsi="宋体" w:hint="eastAsia"/>
                <w:color w:val="000000"/>
                <w:kern w:val="0"/>
                <w:sz w:val="20"/>
                <w:szCs w:val="20"/>
              </w:rPr>
              <w:t>本息覆盖倍数</w:t>
            </w:r>
          </w:p>
        </w:tc>
        <w:tc>
          <w:tcPr>
            <w:tcW w:w="510" w:type="pct"/>
            <w:shd w:val="clear" w:color="auto" w:fill="auto"/>
            <w:noWrap/>
            <w:vAlign w:val="center"/>
          </w:tcPr>
          <w:p w14:paraId="73728B67" w14:textId="164D6ED8" w:rsidR="00C7718C" w:rsidRDefault="00C7718C" w:rsidP="00C7718C">
            <w:pPr>
              <w:widowControl/>
              <w:jc w:val="center"/>
              <w:rPr>
                <w:rFonts w:ascii="宋体" w:eastAsia="宋体" w:hAnsi="宋体" w:cs="Arial" w:hint="eastAsia"/>
                <w:color w:val="000000"/>
                <w:kern w:val="0"/>
                <w:sz w:val="20"/>
                <w:szCs w:val="20"/>
                <w:lang w:val="en-GB"/>
              </w:rPr>
            </w:pPr>
            <w:r w:rsidRPr="001B57C6">
              <w:rPr>
                <w:rFonts w:ascii="宋体" w:eastAsia="宋体" w:hAnsi="宋体" w:hint="eastAsia"/>
                <w:color w:val="000000"/>
                <w:szCs w:val="20"/>
              </w:rPr>
              <w:t>1.11</w:t>
            </w:r>
          </w:p>
        </w:tc>
        <w:tc>
          <w:tcPr>
            <w:tcW w:w="510" w:type="pct"/>
            <w:shd w:val="clear" w:color="auto" w:fill="auto"/>
            <w:noWrap/>
            <w:vAlign w:val="center"/>
          </w:tcPr>
          <w:p w14:paraId="73728B68" w14:textId="6DEEB45B" w:rsidR="00C7718C" w:rsidRDefault="00C7718C" w:rsidP="00C7718C">
            <w:pPr>
              <w:widowControl/>
              <w:jc w:val="center"/>
              <w:rPr>
                <w:rFonts w:ascii="宋体" w:eastAsia="宋体" w:hAnsi="宋体" w:cs="Arial" w:hint="eastAsia"/>
                <w:color w:val="000000"/>
                <w:kern w:val="0"/>
                <w:sz w:val="20"/>
                <w:szCs w:val="20"/>
                <w:lang w:val="en-GB"/>
              </w:rPr>
            </w:pPr>
            <w:r w:rsidRPr="001B57C6">
              <w:rPr>
                <w:rFonts w:ascii="宋体" w:eastAsia="宋体" w:hAnsi="宋体" w:hint="eastAsia"/>
                <w:color w:val="000000"/>
                <w:szCs w:val="20"/>
              </w:rPr>
              <w:t>1.18</w:t>
            </w:r>
          </w:p>
        </w:tc>
        <w:tc>
          <w:tcPr>
            <w:tcW w:w="430" w:type="pct"/>
            <w:shd w:val="clear" w:color="auto" w:fill="auto"/>
            <w:noWrap/>
            <w:vAlign w:val="center"/>
          </w:tcPr>
          <w:p w14:paraId="73728B69" w14:textId="3AF598C0" w:rsidR="00C7718C" w:rsidRDefault="00C7718C" w:rsidP="00C7718C">
            <w:pPr>
              <w:widowControl/>
              <w:jc w:val="center"/>
              <w:rPr>
                <w:rFonts w:ascii="宋体" w:eastAsia="宋体" w:hAnsi="宋体" w:cs="Arial" w:hint="eastAsia"/>
                <w:color w:val="000000"/>
                <w:kern w:val="0"/>
                <w:sz w:val="20"/>
                <w:szCs w:val="20"/>
                <w:lang w:val="en-GB"/>
              </w:rPr>
            </w:pPr>
            <w:r w:rsidRPr="001B57C6">
              <w:rPr>
                <w:rFonts w:ascii="宋体" w:eastAsia="宋体" w:hAnsi="宋体" w:hint="eastAsia"/>
                <w:color w:val="000000"/>
                <w:szCs w:val="20"/>
              </w:rPr>
              <w:t>1.24</w:t>
            </w:r>
          </w:p>
        </w:tc>
        <w:tc>
          <w:tcPr>
            <w:tcW w:w="430" w:type="pct"/>
            <w:shd w:val="clear" w:color="auto" w:fill="auto"/>
            <w:noWrap/>
            <w:vAlign w:val="center"/>
          </w:tcPr>
          <w:p w14:paraId="73728B6A" w14:textId="2795B3CF" w:rsidR="00C7718C" w:rsidRDefault="00C7718C" w:rsidP="00C7718C">
            <w:pPr>
              <w:widowControl/>
              <w:jc w:val="center"/>
              <w:rPr>
                <w:rFonts w:ascii="宋体" w:eastAsia="宋体" w:hAnsi="宋体" w:cs="Arial" w:hint="eastAsia"/>
                <w:color w:val="000000"/>
                <w:kern w:val="0"/>
                <w:sz w:val="20"/>
                <w:szCs w:val="20"/>
                <w:lang w:val="en-GB"/>
              </w:rPr>
            </w:pPr>
            <w:r w:rsidRPr="001B57C6">
              <w:rPr>
                <w:rFonts w:ascii="宋体" w:eastAsia="宋体" w:hAnsi="宋体" w:hint="eastAsia"/>
                <w:color w:val="000000"/>
                <w:szCs w:val="20"/>
              </w:rPr>
              <w:t>1.31</w:t>
            </w:r>
          </w:p>
        </w:tc>
        <w:tc>
          <w:tcPr>
            <w:tcW w:w="430" w:type="pct"/>
            <w:shd w:val="clear" w:color="auto" w:fill="auto"/>
            <w:noWrap/>
            <w:vAlign w:val="center"/>
          </w:tcPr>
          <w:p w14:paraId="73728B6B" w14:textId="22926D46" w:rsidR="00C7718C" w:rsidRDefault="00C7718C" w:rsidP="00C7718C">
            <w:pPr>
              <w:widowControl/>
              <w:jc w:val="center"/>
              <w:rPr>
                <w:rFonts w:ascii="宋体" w:eastAsia="宋体" w:hAnsi="宋体" w:cs="Arial" w:hint="eastAsia"/>
                <w:color w:val="000000"/>
                <w:kern w:val="0"/>
                <w:sz w:val="20"/>
                <w:szCs w:val="20"/>
                <w:lang w:val="en-GB"/>
              </w:rPr>
            </w:pPr>
            <w:r w:rsidRPr="001B57C6">
              <w:rPr>
                <w:rFonts w:ascii="宋体" w:eastAsia="宋体" w:hAnsi="宋体" w:hint="eastAsia"/>
                <w:color w:val="000000"/>
                <w:szCs w:val="20"/>
              </w:rPr>
              <w:t>1.37</w:t>
            </w:r>
          </w:p>
        </w:tc>
        <w:tc>
          <w:tcPr>
            <w:tcW w:w="435" w:type="pct"/>
            <w:shd w:val="clear" w:color="auto" w:fill="auto"/>
            <w:noWrap/>
            <w:vAlign w:val="center"/>
          </w:tcPr>
          <w:p w14:paraId="73728B6C" w14:textId="7990B3E5" w:rsidR="00C7718C" w:rsidRDefault="00C7718C" w:rsidP="00C7718C">
            <w:pPr>
              <w:widowControl/>
              <w:jc w:val="center"/>
              <w:rPr>
                <w:rFonts w:ascii="宋体" w:eastAsia="宋体" w:hAnsi="宋体" w:cs="Arial" w:hint="eastAsia"/>
                <w:color w:val="000000"/>
                <w:kern w:val="0"/>
                <w:sz w:val="20"/>
                <w:szCs w:val="20"/>
                <w:lang w:val="en-GB"/>
              </w:rPr>
            </w:pPr>
            <w:r w:rsidRPr="001B57C6">
              <w:rPr>
                <w:rFonts w:ascii="宋体" w:eastAsia="宋体" w:hAnsi="宋体" w:hint="eastAsia"/>
                <w:color w:val="000000"/>
                <w:szCs w:val="20"/>
              </w:rPr>
              <w:t>1.44</w:t>
            </w:r>
          </w:p>
        </w:tc>
        <w:tc>
          <w:tcPr>
            <w:tcW w:w="435" w:type="pct"/>
            <w:shd w:val="clear" w:color="auto" w:fill="auto"/>
            <w:noWrap/>
            <w:vAlign w:val="center"/>
          </w:tcPr>
          <w:p w14:paraId="73728B6D" w14:textId="527B0A71" w:rsidR="00C7718C" w:rsidRDefault="00C7718C" w:rsidP="00C7718C">
            <w:pPr>
              <w:widowControl/>
              <w:jc w:val="center"/>
              <w:rPr>
                <w:rFonts w:ascii="宋体" w:eastAsia="宋体" w:hAnsi="宋体" w:cs="Arial" w:hint="eastAsia"/>
                <w:color w:val="000000"/>
                <w:kern w:val="0"/>
                <w:sz w:val="20"/>
                <w:szCs w:val="20"/>
                <w:lang w:val="en-GB"/>
              </w:rPr>
            </w:pPr>
            <w:r w:rsidRPr="001B57C6">
              <w:rPr>
                <w:rFonts w:ascii="宋体" w:eastAsia="宋体" w:hAnsi="宋体" w:hint="eastAsia"/>
                <w:color w:val="000000"/>
                <w:szCs w:val="20"/>
              </w:rPr>
              <w:t>1.50</w:t>
            </w:r>
          </w:p>
        </w:tc>
      </w:tr>
    </w:tbl>
    <w:p w14:paraId="73728B6F" w14:textId="77777777" w:rsidR="00CD75AA" w:rsidRDefault="007D11AE">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总体而言，本项目预计</w:t>
      </w:r>
      <w:r>
        <w:rPr>
          <w:rFonts w:ascii="宋体" w:eastAsia="宋体" w:hAnsi="宋体" w:hint="eastAsia"/>
          <w:color w:val="000000"/>
          <w:kern w:val="0"/>
          <w:sz w:val="24"/>
          <w:szCs w:val="24"/>
        </w:rPr>
        <w:t>土地出让收入、广告牌出租收入、停车位收入</w:t>
      </w:r>
      <w:r>
        <w:rPr>
          <w:rFonts w:ascii="宋体" w:eastAsia="宋体" w:hAnsi="宋体"/>
          <w:color w:val="000000"/>
          <w:kern w:val="0"/>
          <w:sz w:val="24"/>
          <w:szCs w:val="24"/>
        </w:rPr>
        <w:t>对其拟使用的募集资金保障程度较高。</w:t>
      </w:r>
      <w:r>
        <w:rPr>
          <w:rFonts w:ascii="宋体" w:eastAsia="宋体" w:hAnsi="宋体" w:hint="eastAsia"/>
          <w:color w:val="000000"/>
          <w:kern w:val="0"/>
          <w:sz w:val="24"/>
          <w:szCs w:val="24"/>
        </w:rPr>
        <w:t>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73728B70" w14:textId="77777777" w:rsidR="00CD75AA" w:rsidRDefault="007D11AE">
      <w:pPr>
        <w:spacing w:line="360" w:lineRule="auto"/>
        <w:ind w:firstLineChars="200" w:firstLine="482"/>
        <w:outlineLvl w:val="0"/>
        <w:rPr>
          <w:rFonts w:ascii="宋体" w:eastAsia="宋体" w:hAnsi="宋体" w:cs="宋体" w:hint="eastAsia"/>
          <w:b/>
          <w:bCs/>
          <w:sz w:val="24"/>
          <w:szCs w:val="24"/>
        </w:rPr>
      </w:pPr>
      <w:r>
        <w:rPr>
          <w:rFonts w:ascii="宋体" w:eastAsia="宋体" w:hAnsi="宋体" w:cs="宋体" w:hint="eastAsia"/>
          <w:b/>
          <w:bCs/>
          <w:sz w:val="24"/>
          <w:szCs w:val="24"/>
        </w:rPr>
        <w:lastRenderedPageBreak/>
        <w:t>六、潜在风险评估</w:t>
      </w:r>
      <w:bookmarkEnd w:id="36"/>
    </w:p>
    <w:p w14:paraId="73728B71" w14:textId="77777777" w:rsidR="00CD75AA" w:rsidRDefault="007D11AE">
      <w:pPr>
        <w:spacing w:line="360" w:lineRule="auto"/>
        <w:ind w:firstLineChars="200" w:firstLine="482"/>
        <w:outlineLvl w:val="0"/>
        <w:rPr>
          <w:rFonts w:ascii="宋体" w:eastAsia="宋体" w:hAnsi="宋体" w:cs="宋体" w:hint="eastAsia"/>
          <w:b/>
          <w:bCs/>
          <w:sz w:val="24"/>
          <w:szCs w:val="24"/>
        </w:rPr>
      </w:pPr>
      <w:bookmarkStart w:id="37" w:name="_Toc8637"/>
      <w:bookmarkStart w:id="38" w:name="_Toc498385095"/>
      <w:bookmarkStart w:id="39" w:name="_Toc498385763"/>
      <w:bookmarkStart w:id="40" w:name="_Toc498551274"/>
      <w:bookmarkStart w:id="41" w:name="_Toc16405"/>
      <w:bookmarkStart w:id="42" w:name="_Toc20908"/>
      <w:r>
        <w:rPr>
          <w:rFonts w:ascii="宋体" w:eastAsia="宋体" w:hAnsi="宋体" w:cs="宋体" w:hint="eastAsia"/>
          <w:b/>
          <w:bCs/>
          <w:sz w:val="24"/>
          <w:szCs w:val="24"/>
        </w:rPr>
        <w:t>（一）影响项目施工进度或正常运营的风险及控制措施</w:t>
      </w:r>
      <w:bookmarkEnd w:id="37"/>
      <w:bookmarkEnd w:id="38"/>
      <w:bookmarkEnd w:id="39"/>
      <w:bookmarkEnd w:id="40"/>
      <w:bookmarkEnd w:id="41"/>
      <w:bookmarkEnd w:id="42"/>
    </w:p>
    <w:p w14:paraId="73728B72" w14:textId="77777777" w:rsidR="00CD75AA" w:rsidRDefault="007D11AE">
      <w:pPr>
        <w:spacing w:line="360" w:lineRule="auto"/>
        <w:ind w:firstLineChars="200" w:firstLine="480"/>
        <w:outlineLvl w:val="2"/>
        <w:rPr>
          <w:rFonts w:ascii="宋体" w:eastAsia="宋体" w:hAnsi="宋体" w:cs="宋体" w:hint="eastAsia"/>
          <w:sz w:val="24"/>
          <w:szCs w:val="24"/>
        </w:rPr>
      </w:pPr>
      <w:bookmarkStart w:id="43" w:name="_Toc498385096"/>
      <w:bookmarkStart w:id="44" w:name="_Toc498385764"/>
      <w:bookmarkStart w:id="45" w:name="_Toc498551275"/>
      <w:bookmarkStart w:id="46" w:name="_Toc23168"/>
      <w:r>
        <w:rPr>
          <w:rFonts w:ascii="宋体" w:eastAsia="宋体" w:hAnsi="宋体" w:cs="宋体" w:hint="eastAsia"/>
          <w:sz w:val="24"/>
          <w:szCs w:val="24"/>
        </w:rPr>
        <w:t>1</w:t>
      </w:r>
      <w:bookmarkEnd w:id="43"/>
      <w:bookmarkEnd w:id="44"/>
      <w:bookmarkEnd w:id="45"/>
      <w:r>
        <w:rPr>
          <w:rFonts w:ascii="宋体" w:eastAsia="宋体" w:hAnsi="宋体" w:cs="宋体" w:hint="eastAsia"/>
          <w:sz w:val="24"/>
          <w:szCs w:val="24"/>
        </w:rPr>
        <w:t>、政策风险</w:t>
      </w:r>
      <w:bookmarkEnd w:id="46"/>
    </w:p>
    <w:p w14:paraId="73728B73"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73728B74" w14:textId="77777777" w:rsidR="00CD75AA" w:rsidRDefault="007D11AE">
      <w:pPr>
        <w:spacing w:line="360" w:lineRule="auto"/>
        <w:ind w:firstLineChars="200" w:firstLine="480"/>
        <w:outlineLvl w:val="2"/>
        <w:rPr>
          <w:rFonts w:ascii="宋体" w:eastAsia="宋体" w:hAnsi="宋体" w:cs="宋体" w:hint="eastAsia"/>
          <w:sz w:val="24"/>
          <w:szCs w:val="24"/>
        </w:rPr>
      </w:pPr>
      <w:bookmarkStart w:id="47" w:name="_Toc498385097"/>
      <w:bookmarkStart w:id="48" w:name="_Toc498385765"/>
      <w:bookmarkStart w:id="49" w:name="_Toc498551276"/>
      <w:bookmarkStart w:id="50" w:name="_Toc26505"/>
      <w:r>
        <w:rPr>
          <w:rFonts w:ascii="宋体" w:eastAsia="宋体" w:hAnsi="宋体" w:cs="宋体" w:hint="eastAsia"/>
          <w:sz w:val="24"/>
          <w:szCs w:val="24"/>
        </w:rPr>
        <w:t>2</w:t>
      </w:r>
      <w:bookmarkEnd w:id="47"/>
      <w:bookmarkEnd w:id="48"/>
      <w:bookmarkEnd w:id="49"/>
      <w:r>
        <w:rPr>
          <w:rFonts w:ascii="宋体" w:eastAsia="宋体" w:hAnsi="宋体" w:cs="宋体" w:hint="eastAsia"/>
          <w:sz w:val="24"/>
          <w:szCs w:val="24"/>
        </w:rPr>
        <w:t>、项目实施与管理风险</w:t>
      </w:r>
      <w:bookmarkEnd w:id="50"/>
    </w:p>
    <w:p w14:paraId="73728B75"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项目建设期间严格执行文明施工标准，确保项目对民众生活的影响降至最低。</w:t>
      </w:r>
    </w:p>
    <w:p w14:paraId="73728B76" w14:textId="77777777" w:rsidR="00CD75AA" w:rsidRDefault="007D11AE">
      <w:pPr>
        <w:spacing w:line="360" w:lineRule="auto"/>
        <w:ind w:firstLineChars="200" w:firstLine="480"/>
        <w:outlineLvl w:val="2"/>
        <w:rPr>
          <w:rFonts w:ascii="宋体" w:eastAsia="宋体" w:hAnsi="宋体" w:cs="宋体" w:hint="eastAsia"/>
          <w:sz w:val="24"/>
          <w:szCs w:val="24"/>
        </w:rPr>
      </w:pPr>
      <w:bookmarkStart w:id="51" w:name="_Toc22995"/>
      <w:r>
        <w:rPr>
          <w:rFonts w:ascii="宋体" w:eastAsia="宋体" w:hAnsi="宋体" w:cs="宋体" w:hint="eastAsia"/>
          <w:sz w:val="24"/>
          <w:szCs w:val="24"/>
        </w:rPr>
        <w:t>3、财务风险</w:t>
      </w:r>
      <w:bookmarkEnd w:id="51"/>
    </w:p>
    <w:p w14:paraId="73728B77"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73728B78" w14:textId="77777777" w:rsidR="00CD75AA" w:rsidRDefault="007D11AE">
      <w:pPr>
        <w:spacing w:line="360" w:lineRule="auto"/>
        <w:ind w:firstLineChars="200" w:firstLine="480"/>
        <w:outlineLvl w:val="2"/>
        <w:rPr>
          <w:rFonts w:ascii="宋体" w:eastAsia="宋体" w:hAnsi="宋体" w:cs="宋体" w:hint="eastAsia"/>
          <w:sz w:val="24"/>
          <w:szCs w:val="24"/>
        </w:rPr>
      </w:pPr>
      <w:bookmarkStart w:id="52" w:name="_Toc18164"/>
      <w:r>
        <w:rPr>
          <w:rFonts w:ascii="宋体" w:eastAsia="宋体" w:hAnsi="宋体" w:cs="宋体" w:hint="eastAsia"/>
          <w:sz w:val="24"/>
          <w:szCs w:val="24"/>
        </w:rPr>
        <w:t>4.社会风险</w:t>
      </w:r>
      <w:bookmarkEnd w:id="52"/>
    </w:p>
    <w:p w14:paraId="73728B79"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73728B7A" w14:textId="77777777" w:rsidR="00CD75AA" w:rsidRDefault="007D11AE">
      <w:pPr>
        <w:spacing w:line="360" w:lineRule="auto"/>
        <w:ind w:firstLineChars="200" w:firstLine="482"/>
        <w:outlineLvl w:val="0"/>
        <w:rPr>
          <w:rFonts w:ascii="宋体" w:eastAsia="宋体" w:hAnsi="宋体" w:cs="宋体" w:hint="eastAsia"/>
          <w:b/>
          <w:bCs/>
          <w:sz w:val="24"/>
          <w:szCs w:val="24"/>
        </w:rPr>
      </w:pPr>
      <w:bookmarkStart w:id="53" w:name="_Toc498385766"/>
      <w:bookmarkStart w:id="54" w:name="_Toc22980"/>
      <w:bookmarkStart w:id="55" w:name="_Toc17161"/>
      <w:bookmarkStart w:id="56" w:name="_Toc498385098"/>
      <w:bookmarkStart w:id="57" w:name="_Toc4601"/>
      <w:bookmarkStart w:id="58" w:name="_Toc498551277"/>
      <w:r>
        <w:rPr>
          <w:rFonts w:ascii="宋体" w:eastAsia="宋体" w:hAnsi="宋体" w:cs="宋体" w:hint="eastAsia"/>
          <w:b/>
          <w:bCs/>
          <w:sz w:val="24"/>
          <w:szCs w:val="24"/>
        </w:rPr>
        <w:t>（二）影响项目收益的风险及控制措施</w:t>
      </w:r>
      <w:bookmarkEnd w:id="53"/>
      <w:bookmarkEnd w:id="54"/>
      <w:bookmarkEnd w:id="55"/>
      <w:bookmarkEnd w:id="56"/>
      <w:bookmarkEnd w:id="57"/>
      <w:bookmarkEnd w:id="58"/>
    </w:p>
    <w:p w14:paraId="73728B7B" w14:textId="77777777" w:rsidR="00CD75AA" w:rsidRDefault="007D11AE">
      <w:pPr>
        <w:spacing w:line="360" w:lineRule="auto"/>
        <w:ind w:firstLineChars="200" w:firstLine="480"/>
        <w:rPr>
          <w:rFonts w:ascii="宋体" w:eastAsia="宋体" w:hAnsi="宋体" w:cs="宋体" w:hint="eastAsia"/>
          <w:sz w:val="24"/>
          <w:szCs w:val="24"/>
        </w:rPr>
      </w:pPr>
      <w:bookmarkStart w:id="59" w:name="_Toc498385099"/>
      <w:bookmarkStart w:id="60" w:name="_Toc498385767"/>
      <w:bookmarkStart w:id="61" w:name="_Toc498551279"/>
      <w:r>
        <w:rPr>
          <w:rFonts w:ascii="宋体" w:eastAsia="宋体" w:hAnsi="宋体" w:cs="宋体" w:hint="eastAsia"/>
          <w:sz w:val="24"/>
          <w:szCs w:val="24"/>
        </w:rPr>
        <w:t>工程可行性研究报告中的总投资额与实际造价成本可能会发生偏差，影响资金项目资金投入和发债计划安排。</w:t>
      </w:r>
    </w:p>
    <w:p w14:paraId="73728B7C"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风险控制措施：按照市政府主管部门的批复结果及时调整项目资金投入计划，保障项目顺利实施。</w:t>
      </w:r>
    </w:p>
    <w:p w14:paraId="73728B7D" w14:textId="77777777" w:rsidR="00CD75AA" w:rsidRDefault="007D11AE">
      <w:pPr>
        <w:spacing w:line="360" w:lineRule="auto"/>
        <w:ind w:firstLineChars="200" w:firstLine="482"/>
        <w:outlineLvl w:val="0"/>
        <w:rPr>
          <w:rFonts w:ascii="宋体" w:eastAsia="宋体" w:hAnsi="宋体" w:cs="宋体" w:hint="eastAsia"/>
          <w:b/>
          <w:bCs/>
          <w:sz w:val="24"/>
          <w:szCs w:val="24"/>
        </w:rPr>
      </w:pPr>
      <w:bookmarkStart w:id="62" w:name="_Toc21473"/>
      <w:bookmarkStart w:id="63" w:name="_Toc30358"/>
      <w:bookmarkStart w:id="64" w:name="_Toc498551286"/>
      <w:bookmarkStart w:id="65" w:name="_Toc498385773"/>
      <w:bookmarkStart w:id="66" w:name="_Toc7640"/>
      <w:bookmarkStart w:id="67" w:name="_Toc498385105"/>
      <w:bookmarkEnd w:id="59"/>
      <w:bookmarkEnd w:id="60"/>
      <w:bookmarkEnd w:id="61"/>
      <w:r>
        <w:rPr>
          <w:rFonts w:ascii="宋体" w:eastAsia="宋体" w:hAnsi="宋体" w:cs="宋体" w:hint="eastAsia"/>
          <w:b/>
          <w:bCs/>
          <w:sz w:val="24"/>
          <w:szCs w:val="24"/>
        </w:rPr>
        <w:t>（三）影响融资平衡结果的风险及控制措施</w:t>
      </w:r>
      <w:bookmarkEnd w:id="62"/>
      <w:bookmarkEnd w:id="63"/>
      <w:bookmarkEnd w:id="64"/>
      <w:bookmarkEnd w:id="65"/>
      <w:bookmarkEnd w:id="66"/>
      <w:bookmarkEnd w:id="67"/>
    </w:p>
    <w:p w14:paraId="73728B7E" w14:textId="77777777" w:rsidR="00CD75AA" w:rsidRDefault="007D11AE">
      <w:pPr>
        <w:spacing w:line="360" w:lineRule="auto"/>
        <w:ind w:firstLineChars="200" w:firstLine="480"/>
        <w:outlineLvl w:val="2"/>
        <w:rPr>
          <w:rFonts w:ascii="宋体" w:eastAsia="宋体" w:hAnsi="宋体" w:cs="宋体" w:hint="eastAsia"/>
          <w:sz w:val="24"/>
          <w:szCs w:val="24"/>
        </w:rPr>
      </w:pPr>
      <w:bookmarkStart w:id="68" w:name="_Toc498551287"/>
      <w:bookmarkStart w:id="69" w:name="_Toc498385106"/>
      <w:bookmarkStart w:id="70" w:name="_Toc498385774"/>
      <w:bookmarkStart w:id="71" w:name="_Toc7555"/>
      <w:r>
        <w:rPr>
          <w:rFonts w:ascii="宋体" w:eastAsia="宋体" w:hAnsi="宋体" w:cs="宋体" w:hint="eastAsia"/>
          <w:sz w:val="24"/>
          <w:szCs w:val="24"/>
        </w:rPr>
        <w:t>1、投资测算不准确风险</w:t>
      </w:r>
      <w:bookmarkEnd w:id="68"/>
      <w:bookmarkEnd w:id="69"/>
      <w:bookmarkEnd w:id="70"/>
      <w:bookmarkEnd w:id="71"/>
    </w:p>
    <w:p w14:paraId="73728B7F"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73728B80"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风险控制措施：债券内所含项目的可行性研究报告均聘请了国内知名研究院经过大量分析论证工作后得出，分析结果较为可靠。</w:t>
      </w:r>
    </w:p>
    <w:p w14:paraId="73728B81"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14:paraId="73728B82" w14:textId="77777777" w:rsidR="00CD75AA" w:rsidRDefault="007D11AE">
      <w:pPr>
        <w:spacing w:line="360" w:lineRule="auto"/>
        <w:ind w:firstLineChars="200" w:firstLine="480"/>
        <w:outlineLvl w:val="2"/>
        <w:rPr>
          <w:rFonts w:ascii="宋体" w:eastAsia="宋体" w:hAnsi="宋体" w:cs="宋体" w:hint="eastAsia"/>
          <w:sz w:val="24"/>
          <w:szCs w:val="24"/>
        </w:rPr>
      </w:pPr>
      <w:bookmarkStart w:id="72" w:name="_Toc3687"/>
      <w:r>
        <w:rPr>
          <w:rFonts w:ascii="宋体" w:eastAsia="宋体" w:hAnsi="宋体" w:cs="宋体" w:hint="eastAsia"/>
          <w:sz w:val="24"/>
          <w:szCs w:val="24"/>
        </w:rPr>
        <w:t>2、利率波动风险</w:t>
      </w:r>
      <w:bookmarkEnd w:id="72"/>
    </w:p>
    <w:p w14:paraId="73728B83"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73728B84"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73728B85" w14:textId="77777777" w:rsidR="00CD75AA" w:rsidRDefault="007D11AE">
      <w:pPr>
        <w:spacing w:line="360" w:lineRule="auto"/>
        <w:ind w:firstLineChars="200" w:firstLine="480"/>
        <w:outlineLvl w:val="2"/>
        <w:rPr>
          <w:rFonts w:ascii="宋体" w:eastAsia="宋体" w:hAnsi="宋体" w:cs="宋体" w:hint="eastAsia"/>
          <w:sz w:val="24"/>
          <w:szCs w:val="24"/>
        </w:rPr>
      </w:pPr>
      <w:bookmarkStart w:id="73" w:name="_Toc498551289"/>
      <w:bookmarkStart w:id="74" w:name="_Toc25085"/>
      <w:r>
        <w:rPr>
          <w:rFonts w:ascii="宋体" w:eastAsia="宋体" w:hAnsi="宋体" w:cs="宋体" w:hint="eastAsia"/>
          <w:sz w:val="24"/>
          <w:szCs w:val="24"/>
        </w:rPr>
        <w:t>3、存续债券置换不畅风险</w:t>
      </w:r>
      <w:bookmarkEnd w:id="73"/>
      <w:bookmarkEnd w:id="74"/>
    </w:p>
    <w:p w14:paraId="73728B86"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73728B87"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73728B88" w14:textId="77777777" w:rsidR="00CD75AA" w:rsidRDefault="007D11AE">
      <w:pPr>
        <w:spacing w:beforeLines="50" w:before="159" w:line="360" w:lineRule="auto"/>
        <w:ind w:firstLineChars="200" w:firstLine="482"/>
        <w:outlineLvl w:val="0"/>
        <w:rPr>
          <w:rFonts w:ascii="宋体" w:eastAsia="宋体" w:hAnsi="宋体" w:cs="宋体" w:hint="eastAsia"/>
          <w:b/>
          <w:sz w:val="24"/>
          <w:szCs w:val="24"/>
        </w:rPr>
      </w:pPr>
      <w:bookmarkStart w:id="75" w:name="_Toc3051"/>
      <w:bookmarkStart w:id="76" w:name="_Toc24199"/>
      <w:bookmarkStart w:id="77" w:name="_Toc20734"/>
      <w:bookmarkStart w:id="78" w:name="_Toc8534"/>
      <w:bookmarkStart w:id="79" w:name="_Toc23808"/>
      <w:bookmarkStart w:id="80" w:name="_Toc10210"/>
      <w:bookmarkStart w:id="81" w:name="_Toc32327"/>
      <w:bookmarkStart w:id="82" w:name="_Toc23636"/>
      <w:bookmarkStart w:id="83" w:name="_Toc16334"/>
      <w:bookmarkStart w:id="84" w:name="_Toc9496"/>
      <w:bookmarkStart w:id="85" w:name="_Toc6349"/>
      <w:bookmarkStart w:id="86" w:name="_Toc1725"/>
      <w:bookmarkStart w:id="87" w:name="_Toc2036"/>
      <w:bookmarkStart w:id="88" w:name="_Toc4735"/>
      <w:bookmarkStart w:id="89" w:name="_Toc24781"/>
      <w:bookmarkStart w:id="90" w:name="_Toc11499"/>
      <w:bookmarkStart w:id="91" w:name="_Toc32395"/>
      <w:bookmarkStart w:id="92" w:name="_Toc4935"/>
      <w:bookmarkStart w:id="93" w:name="_Toc15942"/>
      <w:bookmarkStart w:id="94" w:name="_Toc1287"/>
      <w:bookmarkStart w:id="95" w:name="_Toc5637"/>
      <w:bookmarkStart w:id="96" w:name="_Toc22531"/>
      <w:bookmarkStart w:id="97" w:name="_Toc11488"/>
      <w:bookmarkStart w:id="98" w:name="_Toc13008"/>
      <w:bookmarkStart w:id="99" w:name="_Toc5009"/>
      <w:bookmarkStart w:id="100" w:name="_Toc9133"/>
      <w:bookmarkStart w:id="101" w:name="_Toc17939"/>
      <w:bookmarkStart w:id="102" w:name="_Toc5677"/>
      <w:r>
        <w:rPr>
          <w:rFonts w:ascii="宋体" w:eastAsia="宋体" w:hAnsi="宋体" w:cs="宋体" w:hint="eastAsia"/>
          <w:b/>
          <w:sz w:val="24"/>
          <w:szCs w:val="24"/>
        </w:rPr>
        <w:t>七、还款保障措施</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728B89"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w:t>
      </w:r>
      <w:r>
        <w:rPr>
          <w:rFonts w:ascii="宋体" w:eastAsia="宋体" w:hAnsi="宋体" w:cs="宋体" w:hint="eastAsia"/>
          <w:sz w:val="24"/>
          <w:szCs w:val="24"/>
        </w:rPr>
        <w:lastRenderedPageBreak/>
        <w:t>项债务利息通过对应的政府性基金收入、专项收入偿还，不通过发行专项债券偿还。专项债务收支按照对应的政府性基金收入、专项收入实现项目收支平衡。</w:t>
      </w:r>
    </w:p>
    <w:p w14:paraId="73728B8A" w14:textId="77777777" w:rsidR="00CD75AA" w:rsidRDefault="007D11A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3728B8B" w14:textId="77777777" w:rsidR="00CD75AA" w:rsidRDefault="00CD75AA">
      <w:pPr>
        <w:spacing w:line="360" w:lineRule="auto"/>
        <w:ind w:firstLineChars="200" w:firstLine="480"/>
        <w:rPr>
          <w:rFonts w:ascii="宋体" w:eastAsia="宋体" w:hAnsi="宋体" w:cs="宋体" w:hint="eastAsia"/>
          <w:sz w:val="24"/>
          <w:szCs w:val="24"/>
        </w:rPr>
      </w:pPr>
    </w:p>
    <w:p w14:paraId="73728B8C" w14:textId="77777777" w:rsidR="00CD75AA" w:rsidRDefault="00CD75AA">
      <w:pPr>
        <w:spacing w:line="360" w:lineRule="auto"/>
        <w:ind w:firstLineChars="200" w:firstLine="480"/>
        <w:rPr>
          <w:rFonts w:ascii="宋体" w:eastAsia="宋体" w:hAnsi="宋体" w:cs="宋体" w:hint="eastAsia"/>
          <w:sz w:val="24"/>
          <w:szCs w:val="24"/>
        </w:rPr>
      </w:pPr>
    </w:p>
    <w:p w14:paraId="73728B8D" w14:textId="77777777" w:rsidR="00CD75AA" w:rsidRDefault="007D11AE">
      <w:pPr>
        <w:spacing w:line="360" w:lineRule="auto"/>
        <w:ind w:firstLineChars="200" w:firstLine="480"/>
        <w:jc w:val="right"/>
        <w:rPr>
          <w:rFonts w:ascii="宋体" w:eastAsia="宋体" w:hAnsi="宋体" w:cs="宋体" w:hint="eastAsia"/>
          <w:sz w:val="24"/>
          <w:szCs w:val="24"/>
        </w:rPr>
      </w:pPr>
      <w:r>
        <w:rPr>
          <w:rFonts w:ascii="宋体" w:eastAsia="宋体" w:hAnsi="宋体" w:cs="宋体" w:hint="eastAsia"/>
          <w:sz w:val="24"/>
          <w:szCs w:val="24"/>
        </w:rPr>
        <w:t>海口市恒慧基础建设有限公司</w:t>
      </w:r>
    </w:p>
    <w:p w14:paraId="73728B8E" w14:textId="77777777" w:rsidR="00CD75AA" w:rsidRDefault="007D11AE">
      <w:pPr>
        <w:spacing w:line="360" w:lineRule="auto"/>
        <w:ind w:firstLineChars="200" w:firstLine="480"/>
        <w:jc w:val="right"/>
        <w:rPr>
          <w:rFonts w:ascii="宋体" w:eastAsia="宋体" w:hAnsi="宋体" w:cs="宋体" w:hint="eastAsia"/>
          <w:color w:val="000000"/>
          <w:kern w:val="0"/>
          <w:sz w:val="24"/>
          <w:szCs w:val="24"/>
        </w:rPr>
      </w:pPr>
      <w:r>
        <w:rPr>
          <w:rFonts w:ascii="宋体" w:eastAsia="宋体" w:hAnsi="宋体" w:cs="宋体" w:hint="eastAsia"/>
          <w:sz w:val="24"/>
          <w:szCs w:val="24"/>
        </w:rPr>
        <w:t>2025年6月</w:t>
      </w:r>
      <w:r>
        <w:rPr>
          <w:rFonts w:ascii="宋体" w:eastAsia="宋体" w:hAnsi="宋体" w:cs="宋体" w:hint="eastAsia"/>
          <w:color w:val="000000"/>
          <w:kern w:val="0"/>
          <w:sz w:val="24"/>
          <w:szCs w:val="24"/>
        </w:rPr>
        <w:t>15日</w:t>
      </w:r>
    </w:p>
    <w:sectPr w:rsidR="00CD75AA" w:rsidSect="007D11AE">
      <w:headerReference w:type="default" r:id="rId9"/>
      <w:footerReference w:type="default" r:id="rId10"/>
      <w:pgSz w:w="11906" w:h="16838"/>
      <w:pgMar w:top="1440" w:right="1803" w:bottom="1440" w:left="1803" w:header="851" w:footer="992" w:gutter="0"/>
      <w:pgNumType w:start="1"/>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28B9B" w14:textId="77777777" w:rsidR="007D11AE" w:rsidRDefault="007D11AE">
      <w:pPr>
        <w:rPr>
          <w:rFonts w:hint="eastAsia"/>
        </w:rPr>
      </w:pPr>
      <w:r>
        <w:separator/>
      </w:r>
    </w:p>
  </w:endnote>
  <w:endnote w:type="continuationSeparator" w:id="0">
    <w:p w14:paraId="73728B9D" w14:textId="77777777" w:rsidR="007D11AE" w:rsidRDefault="007D11A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LF_Kai">
    <w:altName w:val="宋体"/>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8B92" w14:textId="77777777" w:rsidR="00CD75AA" w:rsidRDefault="00CD75AA">
    <w:pPr>
      <w:pStyle w:val="aa"/>
      <w:jc w:val="center"/>
      <w:rPr>
        <w:rFonts w:hint="eastAsia"/>
      </w:rPr>
    </w:pPr>
  </w:p>
  <w:p w14:paraId="73728B93" w14:textId="77777777" w:rsidR="00CD75AA" w:rsidRDefault="00CD75AA">
    <w:pPr>
      <w:pStyle w:val="a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238946"/>
    </w:sdtPr>
    <w:sdtEndPr/>
    <w:sdtContent>
      <w:p w14:paraId="73728B95" w14:textId="77777777" w:rsidR="00CD75AA" w:rsidRDefault="007D11AE">
        <w:pPr>
          <w:pStyle w:val="aa"/>
          <w:jc w:val="center"/>
          <w:rPr>
            <w:rFonts w:hint="eastAsia"/>
          </w:rPr>
        </w:pPr>
        <w:r>
          <w:fldChar w:fldCharType="begin"/>
        </w:r>
        <w:r>
          <w:instrText>PAGE   \* MERGEFORMAT</w:instrText>
        </w:r>
        <w:r>
          <w:fldChar w:fldCharType="separate"/>
        </w:r>
        <w:r>
          <w:rPr>
            <w:lang w:val="zh-CN"/>
          </w:rPr>
          <w:t>2</w:t>
        </w:r>
        <w:r>
          <w:fldChar w:fldCharType="end"/>
        </w:r>
      </w:p>
    </w:sdtContent>
  </w:sdt>
  <w:p w14:paraId="73728B96" w14:textId="77777777" w:rsidR="00CD75AA" w:rsidRDefault="00CD75AA">
    <w:pPr>
      <w:pStyle w:val="a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28B97" w14:textId="77777777" w:rsidR="007D11AE" w:rsidRDefault="007D11AE">
      <w:pPr>
        <w:rPr>
          <w:rFonts w:hint="eastAsia"/>
        </w:rPr>
      </w:pPr>
      <w:r>
        <w:separator/>
      </w:r>
    </w:p>
  </w:footnote>
  <w:footnote w:type="continuationSeparator" w:id="0">
    <w:p w14:paraId="73728B99" w14:textId="77777777" w:rsidR="007D11AE" w:rsidRDefault="007D11A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8B91" w14:textId="77777777" w:rsidR="00CD75AA" w:rsidRDefault="007D11AE">
    <w:pPr>
      <w:pStyle w:val="ac"/>
      <w:pBdr>
        <w:bottom w:val="none" w:sz="0" w:space="1" w:color="auto"/>
      </w:pBdr>
      <w:tabs>
        <w:tab w:val="clear" w:pos="8306"/>
        <w:tab w:val="left" w:pos="6178"/>
      </w:tabs>
      <w:rPr>
        <w:rFonts w:hint="eastAsia"/>
      </w:rPr>
    </w:pPr>
    <w:r>
      <w:rPr>
        <w:rFonts w:eastAsiaTheme="minorEastAsia"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8B94" w14:textId="77777777" w:rsidR="00CD75AA" w:rsidRDefault="007D11AE">
    <w:pPr>
      <w:pStyle w:val="ac"/>
      <w:pBdr>
        <w:bottom w:val="none" w:sz="0" w:space="1" w:color="auto"/>
      </w:pBdr>
      <w:tabs>
        <w:tab w:val="clear" w:pos="8306"/>
        <w:tab w:val="left" w:pos="6178"/>
      </w:tabs>
      <w:rPr>
        <w:rFonts w:hint="eastAsia"/>
      </w:rPr>
    </w:pPr>
    <w:r>
      <w:rPr>
        <w:rFonts w:eastAsiaTheme="minorEastAsia"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420"/>
  <w:drawingGridHorizontalSpacing w:val="105"/>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EzODQyZjk5ZDEyOGUxZmY0ODk1YjYxYjNlN2Q2MzEifQ=="/>
  </w:docVars>
  <w:rsids>
    <w:rsidRoot w:val="00B271AC"/>
    <w:rsid w:val="B97FB961"/>
    <w:rsid w:val="DE6D2DE6"/>
    <w:rsid w:val="DFEA32A3"/>
    <w:rsid w:val="F6BED998"/>
    <w:rsid w:val="FB561B91"/>
    <w:rsid w:val="FEDD063A"/>
    <w:rsid w:val="FFF92FD9"/>
    <w:rsid w:val="000007E4"/>
    <w:rsid w:val="000015A0"/>
    <w:rsid w:val="00002D01"/>
    <w:rsid w:val="00004E30"/>
    <w:rsid w:val="0001472F"/>
    <w:rsid w:val="000178C8"/>
    <w:rsid w:val="000218B0"/>
    <w:rsid w:val="00037152"/>
    <w:rsid w:val="00040E2E"/>
    <w:rsid w:val="00041492"/>
    <w:rsid w:val="00045482"/>
    <w:rsid w:val="0004663A"/>
    <w:rsid w:val="00046784"/>
    <w:rsid w:val="00046C6C"/>
    <w:rsid w:val="000507C1"/>
    <w:rsid w:val="00050C72"/>
    <w:rsid w:val="0005306A"/>
    <w:rsid w:val="0005585E"/>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FBF"/>
    <w:rsid w:val="000F76FD"/>
    <w:rsid w:val="00100A4A"/>
    <w:rsid w:val="00104E92"/>
    <w:rsid w:val="00107E7D"/>
    <w:rsid w:val="00110490"/>
    <w:rsid w:val="0011671E"/>
    <w:rsid w:val="00124FA3"/>
    <w:rsid w:val="001267AA"/>
    <w:rsid w:val="0013649A"/>
    <w:rsid w:val="001375C0"/>
    <w:rsid w:val="001402B8"/>
    <w:rsid w:val="00141A89"/>
    <w:rsid w:val="001420D3"/>
    <w:rsid w:val="00144B23"/>
    <w:rsid w:val="0015056D"/>
    <w:rsid w:val="001521DB"/>
    <w:rsid w:val="00153AB8"/>
    <w:rsid w:val="00162879"/>
    <w:rsid w:val="001745B6"/>
    <w:rsid w:val="001749C6"/>
    <w:rsid w:val="00177535"/>
    <w:rsid w:val="0018403A"/>
    <w:rsid w:val="00187349"/>
    <w:rsid w:val="00191B0F"/>
    <w:rsid w:val="001922F6"/>
    <w:rsid w:val="001A21B6"/>
    <w:rsid w:val="001A2F9D"/>
    <w:rsid w:val="001B2140"/>
    <w:rsid w:val="001B5627"/>
    <w:rsid w:val="001C1869"/>
    <w:rsid w:val="001C4326"/>
    <w:rsid w:val="001D5718"/>
    <w:rsid w:val="001E4180"/>
    <w:rsid w:val="001E4AB3"/>
    <w:rsid w:val="001E4C7D"/>
    <w:rsid w:val="001E5A74"/>
    <w:rsid w:val="001E5F76"/>
    <w:rsid w:val="001F2258"/>
    <w:rsid w:val="001F2A32"/>
    <w:rsid w:val="001F3BBC"/>
    <w:rsid w:val="002044BA"/>
    <w:rsid w:val="00205E7F"/>
    <w:rsid w:val="00207730"/>
    <w:rsid w:val="0021057C"/>
    <w:rsid w:val="0021138B"/>
    <w:rsid w:val="00211F30"/>
    <w:rsid w:val="0021539B"/>
    <w:rsid w:val="002206AE"/>
    <w:rsid w:val="0022728A"/>
    <w:rsid w:val="00237397"/>
    <w:rsid w:val="00237772"/>
    <w:rsid w:val="00240A63"/>
    <w:rsid w:val="002627AF"/>
    <w:rsid w:val="002652A4"/>
    <w:rsid w:val="00270D54"/>
    <w:rsid w:val="00275D06"/>
    <w:rsid w:val="00281A0E"/>
    <w:rsid w:val="00286583"/>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4883"/>
    <w:rsid w:val="00314A4E"/>
    <w:rsid w:val="0033130B"/>
    <w:rsid w:val="003318D7"/>
    <w:rsid w:val="003364A7"/>
    <w:rsid w:val="00336D70"/>
    <w:rsid w:val="0034540E"/>
    <w:rsid w:val="00350977"/>
    <w:rsid w:val="003516FE"/>
    <w:rsid w:val="003532B9"/>
    <w:rsid w:val="00361B96"/>
    <w:rsid w:val="00364A2A"/>
    <w:rsid w:val="00364E0D"/>
    <w:rsid w:val="00365B0B"/>
    <w:rsid w:val="003723CB"/>
    <w:rsid w:val="00373B85"/>
    <w:rsid w:val="00373BBF"/>
    <w:rsid w:val="003813C1"/>
    <w:rsid w:val="0038764A"/>
    <w:rsid w:val="003910CA"/>
    <w:rsid w:val="003921CE"/>
    <w:rsid w:val="00397048"/>
    <w:rsid w:val="003A1B56"/>
    <w:rsid w:val="003A4B33"/>
    <w:rsid w:val="003A5AF8"/>
    <w:rsid w:val="003B00B8"/>
    <w:rsid w:val="003B1257"/>
    <w:rsid w:val="003B1ADE"/>
    <w:rsid w:val="003C3A95"/>
    <w:rsid w:val="003C70A8"/>
    <w:rsid w:val="003C7D5D"/>
    <w:rsid w:val="003E2680"/>
    <w:rsid w:val="003E682C"/>
    <w:rsid w:val="00400EC9"/>
    <w:rsid w:val="00401CB2"/>
    <w:rsid w:val="0040537D"/>
    <w:rsid w:val="00406495"/>
    <w:rsid w:val="00410201"/>
    <w:rsid w:val="004132B2"/>
    <w:rsid w:val="00413724"/>
    <w:rsid w:val="004178E8"/>
    <w:rsid w:val="00422A22"/>
    <w:rsid w:val="0042642C"/>
    <w:rsid w:val="004379B4"/>
    <w:rsid w:val="0044064F"/>
    <w:rsid w:val="00440791"/>
    <w:rsid w:val="00440A9C"/>
    <w:rsid w:val="00447095"/>
    <w:rsid w:val="004552B2"/>
    <w:rsid w:val="00455C6B"/>
    <w:rsid w:val="00462D3D"/>
    <w:rsid w:val="00462F50"/>
    <w:rsid w:val="0047195D"/>
    <w:rsid w:val="0047477F"/>
    <w:rsid w:val="00475A41"/>
    <w:rsid w:val="00494E1B"/>
    <w:rsid w:val="004A32ED"/>
    <w:rsid w:val="004A615E"/>
    <w:rsid w:val="004A7362"/>
    <w:rsid w:val="004B022D"/>
    <w:rsid w:val="004B0E7E"/>
    <w:rsid w:val="004B6771"/>
    <w:rsid w:val="004C008F"/>
    <w:rsid w:val="004C3C82"/>
    <w:rsid w:val="004D71E1"/>
    <w:rsid w:val="004E194B"/>
    <w:rsid w:val="004F413D"/>
    <w:rsid w:val="004F4E8F"/>
    <w:rsid w:val="004F7346"/>
    <w:rsid w:val="00500418"/>
    <w:rsid w:val="005031E8"/>
    <w:rsid w:val="00504286"/>
    <w:rsid w:val="00504EE7"/>
    <w:rsid w:val="00505357"/>
    <w:rsid w:val="00505DA4"/>
    <w:rsid w:val="00505DB3"/>
    <w:rsid w:val="00510276"/>
    <w:rsid w:val="00515111"/>
    <w:rsid w:val="00515B4E"/>
    <w:rsid w:val="00517A1B"/>
    <w:rsid w:val="00522EF4"/>
    <w:rsid w:val="00527F34"/>
    <w:rsid w:val="00536A6A"/>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985"/>
    <w:rsid w:val="005B6D0E"/>
    <w:rsid w:val="005C24DD"/>
    <w:rsid w:val="005D10B0"/>
    <w:rsid w:val="005D2044"/>
    <w:rsid w:val="005D765F"/>
    <w:rsid w:val="005D78AD"/>
    <w:rsid w:val="005E25FD"/>
    <w:rsid w:val="005E2F31"/>
    <w:rsid w:val="005E4333"/>
    <w:rsid w:val="005F0EA3"/>
    <w:rsid w:val="00600697"/>
    <w:rsid w:val="006101C0"/>
    <w:rsid w:val="00610A56"/>
    <w:rsid w:val="006210A8"/>
    <w:rsid w:val="0062259B"/>
    <w:rsid w:val="00624C5F"/>
    <w:rsid w:val="00625AD8"/>
    <w:rsid w:val="00634E69"/>
    <w:rsid w:val="00635D45"/>
    <w:rsid w:val="0064064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84F79"/>
    <w:rsid w:val="00691003"/>
    <w:rsid w:val="00693644"/>
    <w:rsid w:val="0069439F"/>
    <w:rsid w:val="0069494F"/>
    <w:rsid w:val="006B162C"/>
    <w:rsid w:val="006B50DF"/>
    <w:rsid w:val="006B612F"/>
    <w:rsid w:val="006C1DA2"/>
    <w:rsid w:val="006C4809"/>
    <w:rsid w:val="006C53F5"/>
    <w:rsid w:val="006C753A"/>
    <w:rsid w:val="006D4716"/>
    <w:rsid w:val="006D79AA"/>
    <w:rsid w:val="006E53FE"/>
    <w:rsid w:val="006E6F5B"/>
    <w:rsid w:val="006E72DA"/>
    <w:rsid w:val="006F24DA"/>
    <w:rsid w:val="006F6BB0"/>
    <w:rsid w:val="00706119"/>
    <w:rsid w:val="00715096"/>
    <w:rsid w:val="00715A29"/>
    <w:rsid w:val="00716152"/>
    <w:rsid w:val="00716753"/>
    <w:rsid w:val="00723C9D"/>
    <w:rsid w:val="00725FF9"/>
    <w:rsid w:val="0073210A"/>
    <w:rsid w:val="00736E52"/>
    <w:rsid w:val="00743A16"/>
    <w:rsid w:val="00751462"/>
    <w:rsid w:val="00751FA3"/>
    <w:rsid w:val="007540EA"/>
    <w:rsid w:val="00757D4B"/>
    <w:rsid w:val="00760548"/>
    <w:rsid w:val="007613CD"/>
    <w:rsid w:val="00763F07"/>
    <w:rsid w:val="00767299"/>
    <w:rsid w:val="00775EAB"/>
    <w:rsid w:val="00776D0E"/>
    <w:rsid w:val="00782037"/>
    <w:rsid w:val="00784292"/>
    <w:rsid w:val="00791469"/>
    <w:rsid w:val="007930BE"/>
    <w:rsid w:val="0079353D"/>
    <w:rsid w:val="00796119"/>
    <w:rsid w:val="007A30EB"/>
    <w:rsid w:val="007A6802"/>
    <w:rsid w:val="007A6B9A"/>
    <w:rsid w:val="007B0928"/>
    <w:rsid w:val="007B2D91"/>
    <w:rsid w:val="007B69B8"/>
    <w:rsid w:val="007C2C68"/>
    <w:rsid w:val="007C336B"/>
    <w:rsid w:val="007C33FB"/>
    <w:rsid w:val="007C453F"/>
    <w:rsid w:val="007C7F6C"/>
    <w:rsid w:val="007D11AE"/>
    <w:rsid w:val="007E025E"/>
    <w:rsid w:val="007E1788"/>
    <w:rsid w:val="007E2441"/>
    <w:rsid w:val="007E31FA"/>
    <w:rsid w:val="007E76E8"/>
    <w:rsid w:val="007F1160"/>
    <w:rsid w:val="00801034"/>
    <w:rsid w:val="00807BC8"/>
    <w:rsid w:val="00811655"/>
    <w:rsid w:val="00813732"/>
    <w:rsid w:val="00823C9F"/>
    <w:rsid w:val="00823D77"/>
    <w:rsid w:val="00824B2B"/>
    <w:rsid w:val="008261EA"/>
    <w:rsid w:val="00835AB2"/>
    <w:rsid w:val="0083703A"/>
    <w:rsid w:val="00856623"/>
    <w:rsid w:val="00856FB3"/>
    <w:rsid w:val="00857C28"/>
    <w:rsid w:val="008608DB"/>
    <w:rsid w:val="008621D4"/>
    <w:rsid w:val="00864A6E"/>
    <w:rsid w:val="0087674B"/>
    <w:rsid w:val="0087704F"/>
    <w:rsid w:val="00877DC8"/>
    <w:rsid w:val="00881E00"/>
    <w:rsid w:val="0088598E"/>
    <w:rsid w:val="0088756E"/>
    <w:rsid w:val="00890F91"/>
    <w:rsid w:val="00893616"/>
    <w:rsid w:val="00895705"/>
    <w:rsid w:val="008A29B3"/>
    <w:rsid w:val="008A3CE4"/>
    <w:rsid w:val="008A5F60"/>
    <w:rsid w:val="008B687B"/>
    <w:rsid w:val="008B70C0"/>
    <w:rsid w:val="008C71F6"/>
    <w:rsid w:val="008D138C"/>
    <w:rsid w:val="008D3D8E"/>
    <w:rsid w:val="008D4307"/>
    <w:rsid w:val="008D5144"/>
    <w:rsid w:val="008E0156"/>
    <w:rsid w:val="008E04A6"/>
    <w:rsid w:val="008E2BD4"/>
    <w:rsid w:val="008E5437"/>
    <w:rsid w:val="008F08EF"/>
    <w:rsid w:val="008F11EF"/>
    <w:rsid w:val="008F3882"/>
    <w:rsid w:val="00900CC6"/>
    <w:rsid w:val="00902D88"/>
    <w:rsid w:val="009128AE"/>
    <w:rsid w:val="00916B0C"/>
    <w:rsid w:val="0092037A"/>
    <w:rsid w:val="00924683"/>
    <w:rsid w:val="0093061B"/>
    <w:rsid w:val="00933909"/>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B7F58"/>
    <w:rsid w:val="009C0C56"/>
    <w:rsid w:val="009D22CF"/>
    <w:rsid w:val="009D2F99"/>
    <w:rsid w:val="009D4E0F"/>
    <w:rsid w:val="009D6AE8"/>
    <w:rsid w:val="009D7BBB"/>
    <w:rsid w:val="009E1186"/>
    <w:rsid w:val="009E44E3"/>
    <w:rsid w:val="009F08EA"/>
    <w:rsid w:val="009F4029"/>
    <w:rsid w:val="009F5E6D"/>
    <w:rsid w:val="00A005BA"/>
    <w:rsid w:val="00A024C7"/>
    <w:rsid w:val="00A053BF"/>
    <w:rsid w:val="00A065F7"/>
    <w:rsid w:val="00A245D2"/>
    <w:rsid w:val="00A31D86"/>
    <w:rsid w:val="00A34932"/>
    <w:rsid w:val="00A37C6D"/>
    <w:rsid w:val="00A43923"/>
    <w:rsid w:val="00A46BE2"/>
    <w:rsid w:val="00A53981"/>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44A19"/>
    <w:rsid w:val="00B458AE"/>
    <w:rsid w:val="00B520B4"/>
    <w:rsid w:val="00B55B34"/>
    <w:rsid w:val="00B60DC6"/>
    <w:rsid w:val="00B6299C"/>
    <w:rsid w:val="00B63E63"/>
    <w:rsid w:val="00B81B19"/>
    <w:rsid w:val="00B81C11"/>
    <w:rsid w:val="00B81DA2"/>
    <w:rsid w:val="00B85E32"/>
    <w:rsid w:val="00B87D8A"/>
    <w:rsid w:val="00B929B9"/>
    <w:rsid w:val="00BA3A26"/>
    <w:rsid w:val="00BA6EBD"/>
    <w:rsid w:val="00BB1041"/>
    <w:rsid w:val="00BB5B76"/>
    <w:rsid w:val="00BC506C"/>
    <w:rsid w:val="00BD16CA"/>
    <w:rsid w:val="00BD1F51"/>
    <w:rsid w:val="00BD52D1"/>
    <w:rsid w:val="00BD7F4C"/>
    <w:rsid w:val="00BE1A5E"/>
    <w:rsid w:val="00BF00FF"/>
    <w:rsid w:val="00BF30DC"/>
    <w:rsid w:val="00BF4017"/>
    <w:rsid w:val="00BF5F26"/>
    <w:rsid w:val="00BF63BD"/>
    <w:rsid w:val="00C00DC0"/>
    <w:rsid w:val="00C0392B"/>
    <w:rsid w:val="00C05AF0"/>
    <w:rsid w:val="00C05F9D"/>
    <w:rsid w:val="00C0726C"/>
    <w:rsid w:val="00C105B9"/>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2D89"/>
    <w:rsid w:val="00C75088"/>
    <w:rsid w:val="00C7718C"/>
    <w:rsid w:val="00C8278F"/>
    <w:rsid w:val="00C84CDB"/>
    <w:rsid w:val="00C92F11"/>
    <w:rsid w:val="00C943A0"/>
    <w:rsid w:val="00C94828"/>
    <w:rsid w:val="00C96DE6"/>
    <w:rsid w:val="00CA3B31"/>
    <w:rsid w:val="00CA74C3"/>
    <w:rsid w:val="00CC0F68"/>
    <w:rsid w:val="00CC71B9"/>
    <w:rsid w:val="00CD0BF7"/>
    <w:rsid w:val="00CD344A"/>
    <w:rsid w:val="00CD75AA"/>
    <w:rsid w:val="00CE424B"/>
    <w:rsid w:val="00CE4B6D"/>
    <w:rsid w:val="00CE56B1"/>
    <w:rsid w:val="00CF10A7"/>
    <w:rsid w:val="00D0344C"/>
    <w:rsid w:val="00D06A29"/>
    <w:rsid w:val="00D11E0E"/>
    <w:rsid w:val="00D13610"/>
    <w:rsid w:val="00D20B4D"/>
    <w:rsid w:val="00D22C93"/>
    <w:rsid w:val="00D25045"/>
    <w:rsid w:val="00D31FA9"/>
    <w:rsid w:val="00D33EFE"/>
    <w:rsid w:val="00D34117"/>
    <w:rsid w:val="00D369F9"/>
    <w:rsid w:val="00D414C1"/>
    <w:rsid w:val="00D459A4"/>
    <w:rsid w:val="00D476D4"/>
    <w:rsid w:val="00D5030A"/>
    <w:rsid w:val="00D52AF2"/>
    <w:rsid w:val="00D56B82"/>
    <w:rsid w:val="00D70F41"/>
    <w:rsid w:val="00D91749"/>
    <w:rsid w:val="00D95DB8"/>
    <w:rsid w:val="00D9762A"/>
    <w:rsid w:val="00DA39E8"/>
    <w:rsid w:val="00DA6AB1"/>
    <w:rsid w:val="00DA6CCE"/>
    <w:rsid w:val="00DB496C"/>
    <w:rsid w:val="00DC176D"/>
    <w:rsid w:val="00DC52E1"/>
    <w:rsid w:val="00DC5C9F"/>
    <w:rsid w:val="00DC671E"/>
    <w:rsid w:val="00DD2D88"/>
    <w:rsid w:val="00DD2DD6"/>
    <w:rsid w:val="00DD46B5"/>
    <w:rsid w:val="00DD4D14"/>
    <w:rsid w:val="00DD67B0"/>
    <w:rsid w:val="00DE3458"/>
    <w:rsid w:val="00DF1B1F"/>
    <w:rsid w:val="00DF1F42"/>
    <w:rsid w:val="00DF552F"/>
    <w:rsid w:val="00E01BCA"/>
    <w:rsid w:val="00E072AF"/>
    <w:rsid w:val="00E1064E"/>
    <w:rsid w:val="00E13038"/>
    <w:rsid w:val="00E15EBB"/>
    <w:rsid w:val="00E27AC2"/>
    <w:rsid w:val="00E333F4"/>
    <w:rsid w:val="00E33A8E"/>
    <w:rsid w:val="00E365A4"/>
    <w:rsid w:val="00E4365F"/>
    <w:rsid w:val="00E43EA1"/>
    <w:rsid w:val="00E46FF9"/>
    <w:rsid w:val="00E514C7"/>
    <w:rsid w:val="00E56DB0"/>
    <w:rsid w:val="00E60601"/>
    <w:rsid w:val="00E6226F"/>
    <w:rsid w:val="00E63431"/>
    <w:rsid w:val="00E70076"/>
    <w:rsid w:val="00E70165"/>
    <w:rsid w:val="00E7213A"/>
    <w:rsid w:val="00E722C6"/>
    <w:rsid w:val="00E7256E"/>
    <w:rsid w:val="00E74318"/>
    <w:rsid w:val="00E7622E"/>
    <w:rsid w:val="00E80678"/>
    <w:rsid w:val="00E81949"/>
    <w:rsid w:val="00E9455C"/>
    <w:rsid w:val="00EA2674"/>
    <w:rsid w:val="00EA4852"/>
    <w:rsid w:val="00EB218D"/>
    <w:rsid w:val="00EB2E85"/>
    <w:rsid w:val="00EB46E3"/>
    <w:rsid w:val="00EC2BE1"/>
    <w:rsid w:val="00EC7BA1"/>
    <w:rsid w:val="00ED03B8"/>
    <w:rsid w:val="00ED2683"/>
    <w:rsid w:val="00ED27B0"/>
    <w:rsid w:val="00ED6D8E"/>
    <w:rsid w:val="00ED7231"/>
    <w:rsid w:val="00ED73D5"/>
    <w:rsid w:val="00EE219E"/>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71940"/>
    <w:rsid w:val="00F72ACB"/>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6260F0D"/>
    <w:rsid w:val="097B1ADC"/>
    <w:rsid w:val="09BF341F"/>
    <w:rsid w:val="0C7930E7"/>
    <w:rsid w:val="0E5E4941"/>
    <w:rsid w:val="11E64292"/>
    <w:rsid w:val="12103504"/>
    <w:rsid w:val="154E2F47"/>
    <w:rsid w:val="16A914DF"/>
    <w:rsid w:val="171B4FA5"/>
    <w:rsid w:val="175759BD"/>
    <w:rsid w:val="180778BA"/>
    <w:rsid w:val="182C395A"/>
    <w:rsid w:val="18D94137"/>
    <w:rsid w:val="19152F02"/>
    <w:rsid w:val="1921046B"/>
    <w:rsid w:val="19257F5C"/>
    <w:rsid w:val="1B57327A"/>
    <w:rsid w:val="1BF20BAA"/>
    <w:rsid w:val="20A774A8"/>
    <w:rsid w:val="21E4166A"/>
    <w:rsid w:val="22D8647E"/>
    <w:rsid w:val="232224CD"/>
    <w:rsid w:val="249F6523"/>
    <w:rsid w:val="26452677"/>
    <w:rsid w:val="29A01B46"/>
    <w:rsid w:val="2C464749"/>
    <w:rsid w:val="2D0F1E53"/>
    <w:rsid w:val="2E127B70"/>
    <w:rsid w:val="2ED326F7"/>
    <w:rsid w:val="2F4C4997"/>
    <w:rsid w:val="2FB2417E"/>
    <w:rsid w:val="31392E76"/>
    <w:rsid w:val="32472749"/>
    <w:rsid w:val="32E4458C"/>
    <w:rsid w:val="331344B7"/>
    <w:rsid w:val="33704A15"/>
    <w:rsid w:val="351D1FD7"/>
    <w:rsid w:val="36564909"/>
    <w:rsid w:val="3848042D"/>
    <w:rsid w:val="3A103DEB"/>
    <w:rsid w:val="3A1322EE"/>
    <w:rsid w:val="3A3A7499"/>
    <w:rsid w:val="3BBD3DE9"/>
    <w:rsid w:val="3BC9365E"/>
    <w:rsid w:val="3C95003D"/>
    <w:rsid w:val="3D152BBC"/>
    <w:rsid w:val="3DA3692C"/>
    <w:rsid w:val="3E384FAC"/>
    <w:rsid w:val="3E3E1245"/>
    <w:rsid w:val="3EDC504D"/>
    <w:rsid w:val="3FE62FFD"/>
    <w:rsid w:val="3FEA361E"/>
    <w:rsid w:val="41850CE8"/>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5485616"/>
    <w:rsid w:val="560D77BF"/>
    <w:rsid w:val="56D70DC4"/>
    <w:rsid w:val="58FE1D5D"/>
    <w:rsid w:val="5AA61FA3"/>
    <w:rsid w:val="5AD27F22"/>
    <w:rsid w:val="5C390BF5"/>
    <w:rsid w:val="5CCE357C"/>
    <w:rsid w:val="5DC82230"/>
    <w:rsid w:val="5F907DB5"/>
    <w:rsid w:val="5FF7115F"/>
    <w:rsid w:val="604B0929"/>
    <w:rsid w:val="62E31E6F"/>
    <w:rsid w:val="63342979"/>
    <w:rsid w:val="64C5741F"/>
    <w:rsid w:val="65586590"/>
    <w:rsid w:val="658978B4"/>
    <w:rsid w:val="65F26A47"/>
    <w:rsid w:val="67750D56"/>
    <w:rsid w:val="68152516"/>
    <w:rsid w:val="68C50F0B"/>
    <w:rsid w:val="69644D24"/>
    <w:rsid w:val="69871FE2"/>
    <w:rsid w:val="69C64B5A"/>
    <w:rsid w:val="6BC04225"/>
    <w:rsid w:val="6C1C19CB"/>
    <w:rsid w:val="6C8044AD"/>
    <w:rsid w:val="6DC956BA"/>
    <w:rsid w:val="6DF02BE9"/>
    <w:rsid w:val="6EA6211A"/>
    <w:rsid w:val="6F253303"/>
    <w:rsid w:val="71242D64"/>
    <w:rsid w:val="72892D90"/>
    <w:rsid w:val="72AA7CFF"/>
    <w:rsid w:val="72C05517"/>
    <w:rsid w:val="73C63B14"/>
    <w:rsid w:val="74343D24"/>
    <w:rsid w:val="745F1A7B"/>
    <w:rsid w:val="74CF60EB"/>
    <w:rsid w:val="753D136B"/>
    <w:rsid w:val="756338A7"/>
    <w:rsid w:val="7755557F"/>
    <w:rsid w:val="78396CD3"/>
    <w:rsid w:val="798B2638"/>
    <w:rsid w:val="79F71A7C"/>
    <w:rsid w:val="7AF64006"/>
    <w:rsid w:val="7AFDAB09"/>
    <w:rsid w:val="7D9D7924"/>
    <w:rsid w:val="7DDECC4F"/>
    <w:rsid w:val="7E6D055E"/>
    <w:rsid w:val="7F5B3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287BA"/>
  <w15:docId w15:val="{98895164-08BE-4E5B-9AE9-93D7CB308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iPriority="99" w:unhideWhenUsed="1" w:qFormat="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line="300" w:lineRule="auto"/>
      <w:ind w:firstLineChars="200" w:firstLine="1446"/>
      <w:jc w:val="left"/>
      <w:outlineLvl w:val="1"/>
    </w:pPr>
    <w:rPr>
      <w:rFonts w:asciiTheme="majorHAnsi" w:hAnsiTheme="majorHAnsi" w:cstheme="majorBidi"/>
      <w:b/>
      <w:bCs/>
      <w:sz w:val="24"/>
      <w:szCs w:val="32"/>
    </w:rPr>
  </w:style>
  <w:style w:type="paragraph" w:styleId="3">
    <w:name w:val="heading 3"/>
    <w:basedOn w:val="a"/>
    <w:next w:val="a"/>
    <w:qFormat/>
    <w:pPr>
      <w:keepNext/>
      <w:keepLines/>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420"/>
    </w:pPr>
  </w:style>
  <w:style w:type="paragraph" w:styleId="a4">
    <w:name w:val="annotation text"/>
    <w:basedOn w:val="a"/>
    <w:link w:val="a5"/>
    <w:autoRedefine/>
    <w:semiHidden/>
    <w:unhideWhenUsed/>
    <w:qFormat/>
    <w:pPr>
      <w:jc w:val="left"/>
    </w:pPr>
  </w:style>
  <w:style w:type="paragraph" w:styleId="a6">
    <w:name w:val="Body Text"/>
    <w:basedOn w:val="a"/>
    <w:qFormat/>
    <w:pPr>
      <w:adjustRightInd w:val="0"/>
      <w:snapToGrid w:val="0"/>
      <w:spacing w:before="150" w:after="150" w:line="264" w:lineRule="auto"/>
      <w:ind w:firstLine="567"/>
    </w:pPr>
    <w:rPr>
      <w:rFonts w:ascii="华文楷体" w:eastAsia="LF_Kai" w:hAnsi="华文楷体"/>
      <w:szCs w:val="20"/>
    </w:rPr>
  </w:style>
  <w:style w:type="paragraph" w:styleId="a7">
    <w:name w:val="Body Text Indent"/>
    <w:basedOn w:val="a"/>
    <w:autoRedefine/>
    <w:qFormat/>
    <w:pPr>
      <w:ind w:left="105" w:hanging="105"/>
    </w:pPr>
    <w:rPr>
      <w:sz w:val="32"/>
      <w:szCs w:val="32"/>
    </w:rPr>
  </w:style>
  <w:style w:type="paragraph" w:styleId="a8">
    <w:name w:val="Balloon Text"/>
    <w:basedOn w:val="a"/>
    <w:link w:val="a9"/>
    <w:uiPriority w:val="99"/>
    <w:unhideWhenUsed/>
    <w:qFormat/>
    <w:rPr>
      <w:sz w:val="18"/>
      <w:szCs w:val="18"/>
    </w:rPr>
  </w:style>
  <w:style w:type="paragraph" w:styleId="aa">
    <w:name w:val="footer"/>
    <w:basedOn w:val="a"/>
    <w:next w:val="a"/>
    <w:link w:val="ab"/>
    <w:autoRedefine/>
    <w:uiPriority w:val="99"/>
    <w:unhideWhenUsed/>
    <w:qFormat/>
    <w:pPr>
      <w:tabs>
        <w:tab w:val="center" w:pos="4153"/>
        <w:tab w:val="right" w:pos="8306"/>
      </w:tabs>
      <w:snapToGrid w:val="0"/>
      <w:jc w:val="left"/>
    </w:pPr>
    <w:rPr>
      <w:sz w:val="18"/>
      <w:szCs w:val="18"/>
    </w:rPr>
  </w:style>
  <w:style w:type="paragraph" w:styleId="ac">
    <w:name w:val="header"/>
    <w:basedOn w:val="a"/>
    <w:link w:val="ad"/>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e">
    <w:name w:val="footnote text"/>
    <w:basedOn w:val="a"/>
    <w:autoRedefine/>
    <w:uiPriority w:val="99"/>
    <w:semiHidden/>
    <w:unhideWhenUsed/>
    <w:qFormat/>
    <w:rPr>
      <w:szCs w:val="20"/>
    </w:rPr>
  </w:style>
  <w:style w:type="paragraph" w:styleId="30">
    <w:name w:val="Body Text Indent 3"/>
    <w:basedOn w:val="a"/>
    <w:link w:val="31"/>
    <w:qFormat/>
    <w:pPr>
      <w:spacing w:after="120"/>
      <w:ind w:leftChars="200" w:left="420"/>
    </w:pPr>
    <w:rPr>
      <w:rFonts w:ascii="Times New Roman" w:eastAsia="宋体" w:hAnsi="Times New Roman"/>
      <w:sz w:val="16"/>
      <w:szCs w:val="20"/>
    </w:rPr>
  </w:style>
  <w:style w:type="paragraph" w:styleId="af">
    <w:name w:val="Normal (Web)"/>
    <w:basedOn w:val="a"/>
    <w:qFormat/>
    <w:pPr>
      <w:spacing w:beforeAutospacing="1" w:afterAutospacing="1"/>
      <w:jc w:val="left"/>
    </w:pPr>
    <w:rPr>
      <w:kern w:val="0"/>
      <w:sz w:val="24"/>
    </w:rPr>
  </w:style>
  <w:style w:type="paragraph" w:styleId="af0">
    <w:name w:val="annotation subject"/>
    <w:basedOn w:val="a4"/>
    <w:next w:val="a4"/>
    <w:link w:val="af1"/>
    <w:autoRedefine/>
    <w:semiHidden/>
    <w:unhideWhenUsed/>
    <w:qFormat/>
    <w:rPr>
      <w:b/>
      <w:bCs/>
    </w:rPr>
  </w:style>
  <w:style w:type="paragraph" w:styleId="af2">
    <w:name w:val="Body Text First Indent"/>
    <w:basedOn w:val="a6"/>
    <w:uiPriority w:val="99"/>
    <w:semiHidden/>
    <w:unhideWhenUsed/>
    <w:qFormat/>
    <w:pPr>
      <w:adjustRightInd/>
      <w:snapToGrid/>
      <w:spacing w:before="0" w:after="120" w:line="240" w:lineRule="auto"/>
      <w:ind w:firstLineChars="100" w:firstLine="420"/>
    </w:pPr>
    <w:rPr>
      <w:rFonts w:ascii="Calibri" w:eastAsia="宋体" w:hAnsi="Calibri"/>
    </w:rPr>
  </w:style>
  <w:style w:type="paragraph" w:styleId="20">
    <w:name w:val="Body Text First Indent 2"/>
    <w:basedOn w:val="a7"/>
    <w:next w:val="af2"/>
    <w:uiPriority w:val="99"/>
    <w:unhideWhenUsed/>
    <w:qFormat/>
    <w:pPr>
      <w:ind w:firstLineChars="200" w:firstLine="420"/>
    </w:pPr>
  </w:style>
  <w:style w:type="table" w:styleId="af3">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semiHidden/>
    <w:unhideWhenUsed/>
    <w:qFormat/>
    <w:rPr>
      <w:sz w:val="21"/>
      <w:szCs w:val="21"/>
    </w:rPr>
  </w:style>
  <w:style w:type="character" w:styleId="af5">
    <w:name w:val="footnote reference"/>
    <w:basedOn w:val="a0"/>
    <w:uiPriority w:val="99"/>
    <w:unhideWhenUsed/>
    <w:qFormat/>
    <w:rPr>
      <w:vertAlign w:val="superscript"/>
    </w:rPr>
  </w:style>
  <w:style w:type="character" w:customStyle="1" w:styleId="a5">
    <w:name w:val="批注文字 字符"/>
    <w:link w:val="a4"/>
    <w:semiHidden/>
    <w:qFormat/>
    <w:rPr>
      <w:rFonts w:ascii="等线" w:eastAsia="等线" w:hAnsi="等线"/>
      <w:kern w:val="2"/>
      <w:sz w:val="21"/>
      <w:szCs w:val="22"/>
    </w:rPr>
  </w:style>
  <w:style w:type="character" w:customStyle="1" w:styleId="a9">
    <w:name w:val="批注框文本 字符"/>
    <w:link w:val="a8"/>
    <w:uiPriority w:val="99"/>
    <w:semiHidden/>
    <w:qFormat/>
    <w:rPr>
      <w:sz w:val="18"/>
      <w:szCs w:val="18"/>
    </w:rPr>
  </w:style>
  <w:style w:type="character" w:customStyle="1" w:styleId="ab">
    <w:name w:val="页脚 字符"/>
    <w:link w:val="aa"/>
    <w:uiPriority w:val="99"/>
    <w:qFormat/>
    <w:rPr>
      <w:sz w:val="18"/>
      <w:szCs w:val="18"/>
    </w:rPr>
  </w:style>
  <w:style w:type="character" w:customStyle="1" w:styleId="ad">
    <w:name w:val="页眉 字符"/>
    <w:link w:val="ac"/>
    <w:autoRedefine/>
    <w:uiPriority w:val="99"/>
    <w:qFormat/>
    <w:rPr>
      <w:sz w:val="18"/>
      <w:szCs w:val="18"/>
    </w:rPr>
  </w:style>
  <w:style w:type="character" w:customStyle="1" w:styleId="af1">
    <w:name w:val="批注主题 字符"/>
    <w:link w:val="af0"/>
    <w:semiHidden/>
    <w:qFormat/>
    <w:rPr>
      <w:rFonts w:ascii="等线" w:eastAsia="等线" w:hAnsi="等线"/>
      <w:b/>
      <w:bCs/>
      <w:kern w:val="2"/>
      <w:sz w:val="21"/>
      <w:szCs w:val="22"/>
    </w:rPr>
  </w:style>
  <w:style w:type="paragraph" w:customStyle="1" w:styleId="10">
    <w:name w:val="列出段落1"/>
    <w:basedOn w:val="a"/>
    <w:uiPriority w:val="34"/>
    <w:qFormat/>
    <w:pPr>
      <w:ind w:firstLineChars="200" w:firstLine="420"/>
    </w:pPr>
  </w:style>
  <w:style w:type="paragraph" w:customStyle="1" w:styleId="CharCharCharCharCharCharChar">
    <w:name w:val="Char Char Char Char Char Char Char"/>
    <w:basedOn w:val="a"/>
    <w:qFormat/>
    <w:pPr>
      <w:spacing w:line="480" w:lineRule="auto"/>
    </w:pPr>
    <w:rPr>
      <w:rFonts w:ascii="Times New Roman" w:eastAsia="宋体" w:hAnsi="Times New Roman"/>
      <w:szCs w:val="21"/>
    </w:rPr>
  </w:style>
  <w:style w:type="paragraph" w:styleId="af6">
    <w:name w:val="List Paragraph"/>
    <w:basedOn w:val="a"/>
    <w:autoRedefine/>
    <w:uiPriority w:val="99"/>
    <w:unhideWhenUsed/>
    <w:qFormat/>
    <w:pPr>
      <w:ind w:firstLineChars="200" w:firstLine="420"/>
    </w:pPr>
  </w:style>
  <w:style w:type="character" w:customStyle="1" w:styleId="31">
    <w:name w:val="正文文本缩进 3 字符"/>
    <w:basedOn w:val="a0"/>
    <w:link w:val="30"/>
    <w:autoRedefine/>
    <w:qFormat/>
    <w:rPr>
      <w:kern w:val="2"/>
      <w:sz w:val="16"/>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WPSOffice1">
    <w:name w:val="WPSOffice手动目录 1"/>
    <w:qFormat/>
  </w:style>
  <w:style w:type="paragraph" w:customStyle="1" w:styleId="Default">
    <w:name w:val="Default"/>
    <w:autoRedefine/>
    <w:qFormat/>
    <w:pPr>
      <w:widowControl w:val="0"/>
      <w:autoSpaceDE w:val="0"/>
      <w:autoSpaceDN w:val="0"/>
      <w:adjustRightInd w:val="0"/>
    </w:pPr>
    <w:rPr>
      <w:rFonts w:ascii="仿宋_GB2312" w:eastAsia="仿宋_GB2312" w:cs="仿宋_GB2312"/>
      <w:color w:val="000000"/>
      <w:sz w:val="24"/>
      <w:szCs w:val="24"/>
    </w:rPr>
  </w:style>
  <w:style w:type="paragraph" w:customStyle="1" w:styleId="200">
    <w:name w:val="样式 行距: 固定值 20 磅"/>
    <w:autoRedefine/>
    <w:qFormat/>
    <w:pPr>
      <w:ind w:firstLine="480"/>
    </w:pPr>
    <w:rPr>
      <w:rFonts w:eastAsia="Times New Roman" w:cs="宋体"/>
      <w:sz w:val="24"/>
      <w:szCs w:val="24"/>
    </w:rPr>
  </w:style>
  <w:style w:type="character" w:customStyle="1" w:styleId="font91">
    <w:name w:val="font91"/>
    <w:basedOn w:val="a0"/>
    <w:qFormat/>
    <w:rPr>
      <w:rFonts w:ascii="宋体" w:eastAsia="宋体" w:hAnsi="宋体" w:cs="宋体" w:hint="eastAsia"/>
      <w:b/>
      <w:bCs/>
      <w:color w:val="000000"/>
      <w:sz w:val="21"/>
      <w:szCs w:val="21"/>
      <w:u w:val="none"/>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61">
    <w:name w:val="font61"/>
    <w:basedOn w:val="a0"/>
    <w:qFormat/>
    <w:rPr>
      <w:rFonts w:ascii="Times New Roman" w:hAnsi="Times New Roman" w:cs="Times New Roman" w:hint="default"/>
      <w:color w:val="000000"/>
      <w:sz w:val="21"/>
      <w:szCs w:val="21"/>
      <w:u w:val="none"/>
    </w:rPr>
  </w:style>
  <w:style w:type="character" w:customStyle="1" w:styleId="font71">
    <w:name w:val="font71"/>
    <w:basedOn w:val="a0"/>
    <w:qFormat/>
    <w:rPr>
      <w:rFonts w:ascii="仿宋" w:eastAsia="仿宋" w:hAnsi="仿宋" w:cs="仿宋"/>
      <w:color w:val="000000"/>
      <w:sz w:val="21"/>
      <w:szCs w:val="21"/>
      <w:u w:val="none"/>
    </w:rPr>
  </w:style>
  <w:style w:type="character" w:customStyle="1" w:styleId="font81">
    <w:name w:val="font81"/>
    <w:basedOn w:val="a0"/>
    <w:qFormat/>
    <w:rPr>
      <w:rFonts w:ascii="仿宋" w:eastAsia="仿宋" w:hAnsi="仿宋" w:cs="仿宋" w:hint="eastAsia"/>
      <w:color w:val="000000"/>
      <w:sz w:val="12"/>
      <w:szCs w:val="12"/>
      <w:u w:val="none"/>
    </w:rPr>
  </w:style>
  <w:style w:type="character" w:customStyle="1" w:styleId="font101">
    <w:name w:val="font101"/>
    <w:basedOn w:val="a0"/>
    <w:qFormat/>
    <w:rPr>
      <w:rFonts w:ascii="仿宋" w:eastAsia="仿宋" w:hAnsi="仿宋" w:cs="仿宋" w:hint="eastAsia"/>
      <w:color w:val="000000"/>
      <w:sz w:val="16"/>
      <w:szCs w:val="16"/>
      <w:u w:val="none"/>
    </w:rPr>
  </w:style>
  <w:style w:type="paragraph" w:customStyle="1" w:styleId="zxh">
    <w:name w:val="zxh正文"/>
    <w:basedOn w:val="a"/>
    <w:qFormat/>
    <w:pPr>
      <w:ind w:firstLineChars="200" w:firstLine="480"/>
    </w:pPr>
    <w:rPr>
      <w:rFonts w:ascii="Times New Roman" w:hAnsi="Times New Roman"/>
      <w:kern w:val="0"/>
    </w:rPr>
  </w:style>
  <w:style w:type="paragraph" w:customStyle="1" w:styleId="11">
    <w:name w:val="脚注文本1"/>
    <w:basedOn w:val="a"/>
    <w:next w:val="ae"/>
    <w:link w:val="af7"/>
    <w:uiPriority w:val="99"/>
    <w:unhideWhenUsed/>
    <w:qFormat/>
    <w:pPr>
      <w:widowControl/>
      <w:jc w:val="left"/>
    </w:pPr>
    <w:rPr>
      <w:rFonts w:asciiTheme="minorHAnsi" w:eastAsiaTheme="minorEastAsia" w:hAnsiTheme="minorHAnsi" w:cstheme="minorBidi"/>
      <w:kern w:val="0"/>
      <w:sz w:val="22"/>
      <w:lang w:val="en-GB"/>
    </w:rPr>
  </w:style>
  <w:style w:type="character" w:customStyle="1" w:styleId="af7">
    <w:name w:val="脚注文本 字符"/>
    <w:basedOn w:val="a0"/>
    <w:link w:val="11"/>
    <w:uiPriority w:val="99"/>
    <w:qFormat/>
    <w:rPr>
      <w:rFonts w:asciiTheme="minorHAnsi" w:eastAsiaTheme="minorEastAsia"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Sheet1!$A$2:$A$15</c:f>
              <c:numCache>
                <c:formatCode>General</c:formatCode>
                <c:ptCount val="14"/>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numCache>
            </c:numRef>
          </c:cat>
          <c:val>
            <c:numRef>
              <c:f>Sheet1!$B$2:$B$15</c:f>
              <c:numCache>
                <c:formatCode>_(* #,##0.00_);_(* \(#,##0.00\);_(* "-"??_);_(@_)</c:formatCode>
                <c:ptCount val="14"/>
                <c:pt idx="0">
                  <c:v>0</c:v>
                </c:pt>
                <c:pt idx="1">
                  <c:v>0</c:v>
                </c:pt>
                <c:pt idx="2">
                  <c:v>0</c:v>
                </c:pt>
                <c:pt idx="3">
                  <c:v>0</c:v>
                </c:pt>
                <c:pt idx="4">
                  <c:v>0</c:v>
                </c:pt>
                <c:pt idx="5">
                  <c:v>2182.46</c:v>
                </c:pt>
                <c:pt idx="6">
                  <c:v>3307.42</c:v>
                </c:pt>
                <c:pt idx="7">
                  <c:v>4432.38</c:v>
                </c:pt>
                <c:pt idx="8">
                  <c:v>5557.34</c:v>
                </c:pt>
                <c:pt idx="9">
                  <c:v>6682.3</c:v>
                </c:pt>
                <c:pt idx="10">
                  <c:v>7807.26</c:v>
                </c:pt>
                <c:pt idx="11">
                  <c:v>8932.2200000000012</c:v>
                </c:pt>
                <c:pt idx="12">
                  <c:v>10057.18</c:v>
                </c:pt>
                <c:pt idx="13">
                  <c:v>3153.42</c:v>
                </c:pt>
              </c:numCache>
            </c:numRef>
          </c:val>
          <c:extLst>
            <c:ext xmlns:c16="http://schemas.microsoft.com/office/drawing/2014/chart" uri="{C3380CC4-5D6E-409C-BE32-E72D297353CC}">
              <c16:uniqueId val="{00000000-1349-4B9E-B1D8-F4F53915D448}"/>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1e460b61-0a1a-4466-8b7f-10d5ebfd68ea}"/>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1914</Words>
  <Characters>10911</Characters>
  <Application>Microsoft Office Word</Application>
  <DocSecurity>0</DocSecurity>
  <Lines>90</Lines>
  <Paragraphs>25</Paragraphs>
  <ScaleCrop>false</ScaleCrop>
  <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2019年儋州市兰洋特色小镇项目专项债券（二期)</dc:title>
  <dc:creator>xtzj</dc:creator>
  <cp:lastModifiedBy>EY</cp:lastModifiedBy>
  <cp:revision>320</cp:revision>
  <dcterms:created xsi:type="dcterms:W3CDTF">2019-07-27T14:03:00Z</dcterms:created>
  <dcterms:modified xsi:type="dcterms:W3CDTF">2025-06-19T02:05:00Z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