
<file path=[Content_Types].xml><?xml version="1.0" encoding="utf-8"?>
<Types xmlns="http://schemas.openxmlformats.org/package/2006/content-types">
  <Default Extension="xml" ContentType="application/xml"/>
  <Default Extension="xlsx" ContentType="application/vnd.openxmlformats-officedocument.spreadsheetml.sheet"/>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0" w:line="360" w:lineRule="auto"/>
        <w:ind w:left="-708" w:leftChars="-337" w:right="-584" w:rightChars="-278"/>
        <w:jc w:val="center"/>
        <w:rPr>
          <w:rFonts w:hint="eastAsia" w:ascii="仿宋" w:hAnsi="仿宋" w:eastAsia="仿宋" w:cs="楷体"/>
          <w:b/>
          <w:color w:val="000000" w:themeColor="text1"/>
          <w:kern w:val="0"/>
          <w:sz w:val="40"/>
          <w:szCs w:val="44"/>
          <w14:textFill>
            <w14:solidFill>
              <w14:schemeClr w14:val="tx1"/>
            </w14:solidFill>
          </w14:textFill>
        </w:rPr>
      </w:pPr>
    </w:p>
    <w:p>
      <w:pPr>
        <w:spacing w:after="0" w:line="360" w:lineRule="auto"/>
        <w:ind w:left="-708" w:leftChars="-337" w:right="-584" w:rightChars="-278"/>
        <w:jc w:val="center"/>
        <w:rPr>
          <w:rFonts w:hint="eastAsia" w:ascii="仿宋" w:hAnsi="仿宋" w:eastAsia="仿宋" w:cs="楷体"/>
          <w:b/>
          <w:color w:val="000000" w:themeColor="text1"/>
          <w:kern w:val="0"/>
          <w:sz w:val="40"/>
          <w:szCs w:val="44"/>
          <w14:textFill>
            <w14:solidFill>
              <w14:schemeClr w14:val="tx1"/>
            </w14:solidFill>
          </w14:textFill>
        </w:rPr>
      </w:pPr>
    </w:p>
    <w:p>
      <w:pPr>
        <w:spacing w:after="0" w:line="360" w:lineRule="auto"/>
        <w:ind w:left="-708" w:leftChars="-337" w:right="-584" w:rightChars="-278"/>
        <w:jc w:val="center"/>
        <w:rPr>
          <w:rFonts w:hint="eastAsia" w:ascii="仿宋" w:hAnsi="仿宋" w:eastAsia="仿宋" w:cs="楷体"/>
          <w:b/>
          <w:color w:val="000000" w:themeColor="text1"/>
          <w:kern w:val="0"/>
          <w:sz w:val="40"/>
          <w:szCs w:val="44"/>
          <w14:textFill>
            <w14:solidFill>
              <w14:schemeClr w14:val="tx1"/>
            </w14:solidFill>
          </w14:textFill>
        </w:rPr>
      </w:pPr>
    </w:p>
    <w:p>
      <w:pPr>
        <w:spacing w:after="0" w:line="360" w:lineRule="auto"/>
        <w:ind w:left="-708" w:leftChars="-337" w:right="-584" w:rightChars="-278"/>
        <w:jc w:val="center"/>
        <w:rPr>
          <w:rFonts w:hint="eastAsia" w:ascii="仿宋" w:hAnsi="仿宋" w:eastAsia="仿宋" w:cs="楷体"/>
          <w:b/>
          <w:color w:val="000000" w:themeColor="text1"/>
          <w:kern w:val="0"/>
          <w:sz w:val="40"/>
          <w:szCs w:val="44"/>
          <w14:textFill>
            <w14:solidFill>
              <w14:schemeClr w14:val="tx1"/>
            </w14:solidFill>
          </w14:textFill>
        </w:rPr>
      </w:pPr>
    </w:p>
    <w:p>
      <w:pPr>
        <w:spacing w:after="0" w:line="360" w:lineRule="auto"/>
        <w:ind w:left="-708" w:leftChars="-337" w:right="-584" w:rightChars="-278"/>
        <w:jc w:val="center"/>
        <w:rPr>
          <w:rFonts w:hint="eastAsia" w:ascii="仿宋" w:hAnsi="仿宋" w:eastAsia="仿宋" w:cs="楷体"/>
          <w:b/>
          <w:color w:val="000000" w:themeColor="text1"/>
          <w:kern w:val="0"/>
          <w:sz w:val="40"/>
          <w:szCs w:val="44"/>
          <w14:textFill>
            <w14:solidFill>
              <w14:schemeClr w14:val="tx1"/>
            </w14:solidFill>
          </w14:textFill>
        </w:rPr>
      </w:pPr>
      <w:r>
        <w:rPr>
          <w:rFonts w:hint="eastAsia" w:ascii="仿宋" w:hAnsi="仿宋" w:eastAsia="仿宋" w:cs="楷体"/>
          <w:b/>
          <w:color w:val="000000" w:themeColor="text1"/>
          <w:kern w:val="0"/>
          <w:sz w:val="40"/>
          <w:szCs w:val="44"/>
          <w14:textFill>
            <w14:solidFill>
              <w14:schemeClr w14:val="tx1"/>
            </w14:solidFill>
          </w14:textFill>
        </w:rPr>
        <w:t>2025年海南省政府专项债券（一期）</w:t>
      </w:r>
    </w:p>
    <w:p>
      <w:pPr>
        <w:spacing w:after="0" w:line="360" w:lineRule="auto"/>
        <w:ind w:left="-708" w:leftChars="-337" w:right="-584" w:rightChars="-278"/>
        <w:jc w:val="center"/>
        <w:rPr>
          <w:rFonts w:hint="eastAsia" w:ascii="仿宋" w:hAnsi="仿宋" w:eastAsia="仿宋" w:cs="楷体"/>
          <w:b/>
          <w:color w:val="000000" w:themeColor="text1"/>
          <w:kern w:val="0"/>
          <w:sz w:val="40"/>
          <w:szCs w:val="44"/>
          <w14:textFill>
            <w14:solidFill>
              <w14:schemeClr w14:val="tx1"/>
            </w14:solidFill>
          </w14:textFill>
        </w:rPr>
      </w:pPr>
      <w:r>
        <w:rPr>
          <w:rFonts w:hint="eastAsia" w:ascii="仿宋" w:hAnsi="仿宋" w:eastAsia="仿宋" w:cs="楷体"/>
          <w:b/>
          <w:color w:val="000000" w:themeColor="text1"/>
          <w:kern w:val="0"/>
          <w:sz w:val="40"/>
          <w:szCs w:val="44"/>
          <w14:textFill>
            <w14:solidFill>
              <w14:schemeClr w14:val="tx1"/>
            </w14:solidFill>
          </w14:textFill>
        </w:rPr>
        <w:t>海口江东新区城市地下管网完善工程（一期）</w:t>
      </w:r>
    </w:p>
    <w:p>
      <w:pPr>
        <w:spacing w:after="0" w:line="360" w:lineRule="auto"/>
        <w:ind w:left="-708" w:leftChars="-337" w:right="-584" w:rightChars="-278"/>
        <w:jc w:val="center"/>
        <w:rPr>
          <w:rFonts w:hint="eastAsia" w:ascii="仿宋" w:hAnsi="仿宋" w:eastAsia="仿宋" w:cs="楷体"/>
          <w:b/>
          <w:color w:val="000000" w:themeColor="text1"/>
          <w:kern w:val="0"/>
          <w:sz w:val="40"/>
          <w:szCs w:val="44"/>
          <w14:textFill>
            <w14:solidFill>
              <w14:schemeClr w14:val="tx1"/>
            </w14:solidFill>
          </w14:textFill>
        </w:rPr>
      </w:pPr>
      <w:r>
        <w:rPr>
          <w:rFonts w:hint="eastAsia" w:ascii="仿宋" w:hAnsi="仿宋" w:eastAsia="仿宋" w:cs="楷体"/>
          <w:b/>
          <w:color w:val="000000" w:themeColor="text1"/>
          <w:kern w:val="0"/>
          <w:sz w:val="40"/>
          <w:szCs w:val="44"/>
          <w14:textFill>
            <w14:solidFill>
              <w14:schemeClr w14:val="tx1"/>
            </w14:solidFill>
          </w14:textFill>
        </w:rPr>
        <w:t>专项债券收益与融资自求平衡调整方案</w:t>
      </w:r>
    </w:p>
    <w:p>
      <w:pPr>
        <w:spacing w:after="0" w:line="360" w:lineRule="auto"/>
        <w:ind w:right="-584" w:rightChars="-278"/>
        <w:jc w:val="both"/>
        <w:rPr>
          <w:rFonts w:hint="eastAsia" w:ascii="仿宋" w:hAnsi="仿宋" w:eastAsia="仿宋" w:cs="楷体"/>
          <w:b/>
          <w:color w:val="000000" w:themeColor="text1"/>
          <w:kern w:val="0"/>
          <w:sz w:val="40"/>
          <w:szCs w:val="44"/>
          <w14:textFill>
            <w14:solidFill>
              <w14:schemeClr w14:val="tx1"/>
            </w14:solidFill>
          </w14:textFill>
        </w:rPr>
      </w:pPr>
    </w:p>
    <w:p>
      <w:pPr>
        <w:spacing w:after="0" w:line="360" w:lineRule="auto"/>
        <w:ind w:left="-708" w:leftChars="-337" w:right="-584" w:rightChars="-278"/>
        <w:jc w:val="center"/>
        <w:rPr>
          <w:rFonts w:hint="eastAsia" w:ascii="仿宋" w:hAnsi="仿宋" w:eastAsia="仿宋" w:cs="楷体"/>
          <w:b/>
          <w:color w:val="000000" w:themeColor="text1"/>
          <w:kern w:val="0"/>
          <w:sz w:val="40"/>
          <w:szCs w:val="44"/>
          <w14:textFill>
            <w14:solidFill>
              <w14:schemeClr w14:val="tx1"/>
            </w14:solidFill>
          </w14:textFill>
        </w:rPr>
      </w:pPr>
    </w:p>
    <w:p>
      <w:pPr>
        <w:ind w:left="567" w:leftChars="270"/>
        <w:jc w:val="left"/>
        <w:rPr>
          <w:rFonts w:hint="eastAsia" w:ascii="仿宋" w:hAnsi="仿宋" w:eastAsia="仿宋"/>
          <w:b/>
          <w:sz w:val="30"/>
          <w:szCs w:val="30"/>
        </w:rPr>
      </w:pPr>
      <w:r>
        <w:rPr>
          <w:rFonts w:hint="eastAsia" w:ascii="仿宋" w:hAnsi="仿宋" w:eastAsia="仿宋"/>
          <w:b/>
          <w:sz w:val="30"/>
          <w:szCs w:val="30"/>
        </w:rPr>
        <w:t>财政部门：海口市财政局</w:t>
      </w:r>
    </w:p>
    <w:p>
      <w:pPr>
        <w:ind w:left="567" w:leftChars="270"/>
        <w:jc w:val="left"/>
        <w:rPr>
          <w:rFonts w:hint="eastAsia" w:ascii="仿宋" w:hAnsi="仿宋" w:eastAsia="仿宋"/>
          <w:b/>
          <w:sz w:val="30"/>
          <w:szCs w:val="30"/>
        </w:rPr>
      </w:pPr>
    </w:p>
    <w:p>
      <w:pPr>
        <w:ind w:left="567" w:leftChars="270"/>
        <w:jc w:val="left"/>
        <w:rPr>
          <w:rFonts w:hint="eastAsia" w:ascii="仿宋" w:hAnsi="仿宋" w:eastAsia="仿宋"/>
          <w:b/>
          <w:sz w:val="30"/>
          <w:szCs w:val="30"/>
        </w:rPr>
      </w:pPr>
      <w:r>
        <w:rPr>
          <w:rFonts w:hint="eastAsia" w:ascii="仿宋" w:hAnsi="仿宋" w:eastAsia="仿宋"/>
          <w:b/>
          <w:sz w:val="30"/>
          <w:szCs w:val="30"/>
        </w:rPr>
        <w:t>主管部门：海口江东新区管理局</w:t>
      </w:r>
    </w:p>
    <w:p>
      <w:pPr>
        <w:ind w:left="567" w:leftChars="270"/>
        <w:jc w:val="left"/>
        <w:rPr>
          <w:rFonts w:hint="eastAsia" w:ascii="仿宋" w:hAnsi="仿宋" w:eastAsia="仿宋"/>
          <w:b/>
          <w:sz w:val="30"/>
          <w:szCs w:val="30"/>
          <w:lang w:eastAsia="zh-CN"/>
        </w:rPr>
      </w:pPr>
    </w:p>
    <w:p>
      <w:pPr>
        <w:ind w:left="567" w:leftChars="270"/>
        <w:jc w:val="left"/>
        <w:rPr>
          <w:rFonts w:hint="eastAsia" w:ascii="仿宋" w:hAnsi="仿宋" w:eastAsia="仿宋"/>
          <w:b/>
          <w:sz w:val="30"/>
          <w:szCs w:val="30"/>
        </w:rPr>
      </w:pPr>
      <w:r>
        <w:rPr>
          <w:rFonts w:hint="eastAsia" w:ascii="仿宋" w:hAnsi="仿宋" w:eastAsia="仿宋"/>
          <w:b/>
          <w:sz w:val="30"/>
          <w:szCs w:val="30"/>
        </w:rPr>
        <w:t>项目单位：海口市路桥建设投资有限公司</w:t>
      </w:r>
    </w:p>
    <w:p>
      <w:pPr>
        <w:ind w:left="567" w:leftChars="270"/>
        <w:jc w:val="left"/>
        <w:rPr>
          <w:rFonts w:hint="eastAsia" w:ascii="仿宋" w:hAnsi="仿宋" w:eastAsia="仿宋"/>
          <w:b/>
          <w:sz w:val="30"/>
          <w:szCs w:val="30"/>
        </w:rPr>
      </w:pPr>
    </w:p>
    <w:p>
      <w:pPr>
        <w:ind w:left="567" w:leftChars="270"/>
        <w:jc w:val="left"/>
        <w:rPr>
          <w:rFonts w:hint="eastAsia" w:ascii="仿宋" w:hAnsi="仿宋" w:eastAsia="仿宋"/>
          <w:b/>
          <w:sz w:val="30"/>
          <w:szCs w:val="30"/>
        </w:rPr>
      </w:pPr>
    </w:p>
    <w:p>
      <w:pPr>
        <w:spacing w:line="400" w:lineRule="exact"/>
        <w:jc w:val="center"/>
        <w:rPr>
          <w:rFonts w:hint="eastAsia" w:ascii="仿宋" w:hAnsi="仿宋" w:eastAsia="仿宋"/>
          <w:b/>
          <w:sz w:val="36"/>
          <w:szCs w:val="36"/>
        </w:rPr>
      </w:pPr>
    </w:p>
    <w:p>
      <w:pPr>
        <w:spacing w:line="400" w:lineRule="exact"/>
        <w:jc w:val="center"/>
        <w:rPr>
          <w:rFonts w:hint="eastAsia" w:ascii="仿宋" w:hAnsi="仿宋" w:eastAsia="仿宋"/>
          <w:b/>
          <w:sz w:val="32"/>
          <w:szCs w:val="32"/>
        </w:rPr>
      </w:pPr>
      <w:r>
        <w:rPr>
          <w:rFonts w:hint="eastAsia" w:ascii="仿宋" w:hAnsi="仿宋" w:eastAsia="仿宋"/>
          <w:b/>
          <w:sz w:val="32"/>
          <w:szCs w:val="32"/>
        </w:rPr>
        <w:t>二〇二五年六月</w:t>
      </w:r>
    </w:p>
    <w:p>
      <w:pPr>
        <w:spacing w:after="0" w:line="240" w:lineRule="auto"/>
        <w:jc w:val="center"/>
        <w:rPr>
          <w:rFonts w:hint="eastAsia" w:ascii="仿宋" w:hAnsi="仿宋" w:eastAsia="仿宋" w:cs="楷体"/>
          <w:b/>
          <w:color w:val="000000" w:themeColor="text1"/>
          <w:kern w:val="0"/>
          <w:sz w:val="32"/>
          <w:szCs w:val="36"/>
          <w14:textFill>
            <w14:solidFill>
              <w14:schemeClr w14:val="tx1"/>
            </w14:solidFill>
          </w14:textFill>
        </w:rPr>
      </w:pPr>
      <w:r>
        <w:rPr>
          <w:rFonts w:hint="eastAsia" w:ascii="仿宋" w:hAnsi="仿宋" w:eastAsia="仿宋" w:cs="楷体"/>
          <w:b/>
          <w:color w:val="000000" w:themeColor="text1"/>
          <w:kern w:val="0"/>
          <w:sz w:val="32"/>
          <w:szCs w:val="36"/>
          <w14:textFill>
            <w14:solidFill>
              <w14:schemeClr w14:val="tx1"/>
            </w14:solidFill>
          </w14:textFill>
        </w:rPr>
        <w:br w:type="page"/>
      </w:r>
    </w:p>
    <w:p>
      <w:pPr>
        <w:spacing w:after="0" w:line="240" w:lineRule="auto"/>
        <w:ind w:left="-708" w:leftChars="-337" w:right="-584" w:rightChars="-278"/>
        <w:rPr>
          <w:rFonts w:hint="eastAsia" w:ascii="仿宋" w:hAnsi="仿宋" w:eastAsia="仿宋" w:cs="楷体"/>
          <w:bCs/>
          <w:color w:val="000000" w:themeColor="text1"/>
          <w:kern w:val="0"/>
          <w:sz w:val="32"/>
          <w:szCs w:val="36"/>
          <w14:textFill>
            <w14:solidFill>
              <w14:schemeClr w14:val="tx1"/>
            </w14:solidFill>
          </w14:textFill>
        </w:rPr>
      </w:pPr>
      <w:bookmarkStart w:id="55" w:name="_GoBack"/>
      <w:bookmarkEnd w:id="55"/>
    </w:p>
    <w:p>
      <w:pPr>
        <w:spacing w:after="0" w:line="360" w:lineRule="auto"/>
        <w:ind w:left="-708" w:leftChars="-337" w:right="-584" w:rightChars="-278"/>
        <w:jc w:val="center"/>
        <w:rPr>
          <w:rFonts w:hint="eastAsia" w:ascii="仿宋" w:hAnsi="仿宋" w:eastAsia="仿宋" w:cs="楷体"/>
          <w:b/>
          <w:color w:val="000000" w:themeColor="text1"/>
          <w:kern w:val="0"/>
          <w:sz w:val="32"/>
          <w:szCs w:val="36"/>
          <w14:textFill>
            <w14:solidFill>
              <w14:schemeClr w14:val="tx1"/>
            </w14:solidFill>
          </w14:textFill>
        </w:rPr>
      </w:pPr>
    </w:p>
    <w:p>
      <w:pPr>
        <w:spacing w:after="0" w:line="360" w:lineRule="auto"/>
        <w:ind w:left="-708" w:leftChars="-337" w:right="-584" w:rightChars="-278"/>
        <w:jc w:val="center"/>
        <w:rPr>
          <w:rFonts w:hint="eastAsia" w:ascii="仿宋" w:hAnsi="仿宋" w:eastAsia="仿宋" w:cs="楷体"/>
          <w:b/>
          <w:color w:val="000000" w:themeColor="text1"/>
          <w:kern w:val="0"/>
          <w:sz w:val="32"/>
          <w:szCs w:val="36"/>
          <w14:textFill>
            <w14:solidFill>
              <w14:schemeClr w14:val="tx1"/>
            </w14:solidFill>
          </w14:textFill>
        </w:rPr>
        <w:sectPr>
          <w:footerReference r:id="rId5" w:type="default"/>
          <w:pgSz w:w="12240" w:h="15840"/>
          <w:pgMar w:top="1276" w:right="1797" w:bottom="1276" w:left="1797" w:header="709" w:footer="851" w:gutter="0"/>
          <w:cols w:space="708" w:num="1"/>
          <w:docGrid w:linePitch="360" w:charSpace="0"/>
        </w:sectPr>
      </w:pPr>
    </w:p>
    <w:p>
      <w:pPr>
        <w:pStyle w:val="3"/>
        <w:spacing w:before="120" w:after="0" w:line="360" w:lineRule="auto"/>
        <w:ind w:firstLine="562" w:firstLineChars="200"/>
        <w:rPr>
          <w:rFonts w:hint="eastAsia" w:ascii="仿宋" w:hAnsi="仿宋" w:eastAsia="仿宋" w:cs="楷体"/>
          <w:color w:val="000000" w:themeColor="text1"/>
          <w:kern w:val="0"/>
          <w:sz w:val="28"/>
          <w:szCs w:val="28"/>
          <w14:textFill>
            <w14:solidFill>
              <w14:schemeClr w14:val="tx1"/>
            </w14:solidFill>
          </w14:textFill>
        </w:rPr>
      </w:pPr>
      <w:bookmarkStart w:id="0" w:name="_Toc200721999"/>
      <w:r>
        <w:rPr>
          <w:rFonts w:hint="eastAsia" w:ascii="仿宋" w:hAnsi="仿宋" w:eastAsia="仿宋" w:cs="楷体"/>
          <w:color w:val="000000" w:themeColor="text1"/>
          <w:kern w:val="0"/>
          <w:sz w:val="28"/>
          <w:szCs w:val="28"/>
          <w14:textFill>
            <w14:solidFill>
              <w14:schemeClr w14:val="tx1"/>
            </w14:solidFill>
          </w14:textFill>
        </w:rPr>
        <w:t>一、债券情况</w:t>
      </w:r>
      <w:bookmarkEnd w:id="0"/>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根据财政部有关文件要求，经批准，拟对2025年海南省政府专项债券（一期）中海南省中医院新院区（含省职业病医院）周边配套路网项目的专项债券资金额度进行调整，并将调整出来的资金分配至海口江东新区城市地下管网完善工程（一期）使用。债券品种为记账式固定利率附息债券，期限为10年期</w:t>
      </w:r>
      <w:r>
        <w:rPr>
          <w:rFonts w:ascii="仿宋" w:hAnsi="仿宋" w:eastAsia="仿宋" w:cs="楷体"/>
          <w:color w:val="000000" w:themeColor="text1"/>
          <w:kern w:val="0"/>
          <w:sz w:val="28"/>
          <w:szCs w:val="28"/>
          <w:lang w:val="en-GB"/>
          <w14:textFill>
            <w14:solidFill>
              <w14:schemeClr w14:val="tx1"/>
            </w14:solidFill>
          </w14:textFill>
        </w:rPr>
        <w:t>。</w:t>
      </w:r>
      <w:r>
        <w:rPr>
          <w:rFonts w:hint="eastAsia" w:ascii="仿宋" w:hAnsi="仿宋" w:eastAsia="仿宋" w:cs="楷体"/>
          <w:color w:val="000000" w:themeColor="text1"/>
          <w:kern w:val="0"/>
          <w:sz w:val="28"/>
          <w:szCs w:val="28"/>
          <w:lang w:val="en-GB"/>
          <w14:textFill>
            <w14:solidFill>
              <w14:schemeClr w14:val="tx1"/>
            </w14:solidFill>
          </w14:textFill>
        </w:rPr>
        <w:t>付息方式为：利息按半年支付，最后一次利息随本金一起支付。</w:t>
      </w:r>
    </w:p>
    <w:tbl>
      <w:tblPr>
        <w:tblStyle w:val="24"/>
        <w:tblW w:w="506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0" w:type="dxa"/>
          <w:left w:w="108" w:type="dxa"/>
          <w:bottom w:w="0" w:type="dxa"/>
          <w:right w:w="108" w:type="dxa"/>
        </w:tblCellMar>
      </w:tblPr>
      <w:tblGrid>
        <w:gridCol w:w="1615"/>
        <w:gridCol w:w="73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457" w:hRule="atLeast"/>
        </w:trPr>
        <w:tc>
          <w:tcPr>
            <w:tcW w:w="899" w:type="pct"/>
            <w:shd w:val="clear" w:color="auto" w:fill="FFFFFF" w:themeFill="background1"/>
            <w:vAlign w:val="center"/>
          </w:tcPr>
          <w:p>
            <w:pPr>
              <w:spacing w:after="0" w:line="240" w:lineRule="auto"/>
              <w:jc w:val="center"/>
              <w:rPr>
                <w:rFonts w:hint="eastAsia" w:ascii="仿宋" w:hAnsi="仿宋" w:eastAsia="仿宋" w:cs="Calibri"/>
                <w:b/>
                <w:bCs/>
                <w:sz w:val="20"/>
                <w:szCs w:val="20"/>
              </w:rPr>
            </w:pPr>
            <w:r>
              <w:rPr>
                <w:rFonts w:hint="eastAsia" w:ascii="仿宋" w:hAnsi="仿宋" w:eastAsia="仿宋" w:cs="楷体"/>
                <w:b/>
                <w:color w:val="000000" w:themeColor="text1"/>
                <w:kern w:val="0"/>
                <w:sz w:val="20"/>
                <w:szCs w:val="20"/>
                <w:lang w:val="en-GB"/>
                <w14:textFill>
                  <w14:solidFill>
                    <w14:schemeClr w14:val="tx1"/>
                  </w14:solidFill>
                </w14:textFill>
              </w:rPr>
              <w:t>债券名称</w:t>
            </w:r>
          </w:p>
        </w:tc>
        <w:tc>
          <w:tcPr>
            <w:tcW w:w="4101" w:type="pct"/>
            <w:shd w:val="clear" w:color="auto" w:fill="FFFFFF" w:themeFill="background1"/>
            <w:vAlign w:val="center"/>
          </w:tcPr>
          <w:p>
            <w:pPr>
              <w:spacing w:after="0" w:line="240" w:lineRule="auto"/>
              <w:jc w:val="center"/>
              <w:rPr>
                <w:rFonts w:hint="eastAsia" w:ascii="仿宋" w:hAnsi="仿宋" w:eastAsia="仿宋"/>
              </w:rPr>
            </w:pPr>
            <w:r>
              <w:rPr>
                <w:rFonts w:hint="eastAsia" w:ascii="仿宋" w:hAnsi="仿宋" w:eastAsia="仿宋" w:cs="楷体"/>
                <w:color w:val="000000" w:themeColor="text1"/>
                <w:kern w:val="0"/>
                <w:sz w:val="20"/>
                <w:szCs w:val="20"/>
                <w14:textFill>
                  <w14:solidFill>
                    <w14:schemeClr w14:val="tx1"/>
                  </w14:solidFill>
                </w14:textFill>
              </w:rPr>
              <w:t>2025年海南省政府专项债券（一期）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457" w:hRule="atLeast"/>
        </w:trPr>
        <w:tc>
          <w:tcPr>
            <w:tcW w:w="899" w:type="pct"/>
            <w:shd w:val="clear" w:color="auto" w:fill="FFFFFF" w:themeFill="background1"/>
            <w:vAlign w:val="center"/>
          </w:tcPr>
          <w:p>
            <w:pPr>
              <w:spacing w:after="0" w:line="240" w:lineRule="auto"/>
              <w:jc w:val="center"/>
              <w:rPr>
                <w:rFonts w:hint="eastAsia" w:ascii="仿宋" w:hAnsi="仿宋" w:eastAsia="仿宋" w:cs="Calibri"/>
                <w:sz w:val="20"/>
                <w:szCs w:val="20"/>
              </w:rPr>
            </w:pPr>
            <w:r>
              <w:rPr>
                <w:rFonts w:hint="eastAsia" w:ascii="仿宋" w:hAnsi="仿宋" w:eastAsia="仿宋" w:cs="楷体"/>
                <w:b/>
                <w:color w:val="000000" w:themeColor="text1"/>
                <w:kern w:val="0"/>
                <w:sz w:val="20"/>
                <w:szCs w:val="20"/>
                <w:lang w:val="en-GB"/>
                <w14:textFill>
                  <w14:solidFill>
                    <w14:schemeClr w14:val="tx1"/>
                  </w14:solidFill>
                </w14:textFill>
              </w:rPr>
              <w:t>发行规模</w:t>
            </w:r>
          </w:p>
        </w:tc>
        <w:tc>
          <w:tcPr>
            <w:tcW w:w="4101" w:type="pct"/>
            <w:shd w:val="clear" w:color="auto" w:fill="FFFFFF" w:themeFill="background1"/>
            <w:vAlign w:val="center"/>
          </w:tcPr>
          <w:p>
            <w:pPr>
              <w:spacing w:after="0" w:line="240" w:lineRule="auto"/>
              <w:jc w:val="center"/>
              <w:rPr>
                <w:rFonts w:hint="eastAsia" w:ascii="仿宋" w:hAnsi="仿宋" w:eastAsia="仿宋" w:cs="楷体"/>
                <w:color w:val="000000" w:themeColor="text1"/>
                <w:kern w:val="0"/>
                <w:sz w:val="20"/>
                <w:szCs w:val="20"/>
                <w14:textFill>
                  <w14:solidFill>
                    <w14:schemeClr w14:val="tx1"/>
                  </w14:solidFill>
                </w14:textFill>
              </w:rPr>
            </w:pPr>
            <w:r>
              <w:rPr>
                <w:rFonts w:ascii="仿宋" w:hAnsi="仿宋" w:eastAsia="仿宋" w:cs="楷体"/>
                <w:color w:val="000000" w:themeColor="text1"/>
                <w:kern w:val="0"/>
                <w:sz w:val="20"/>
                <w:szCs w:val="20"/>
                <w14:textFill>
                  <w14:solidFill>
                    <w14:schemeClr w14:val="tx1"/>
                  </w14:solidFill>
                </w14:textFill>
              </w:rPr>
              <w:t>1,000</w:t>
            </w:r>
            <w:r>
              <w:rPr>
                <w:rFonts w:hint="eastAsia" w:ascii="仿宋" w:hAnsi="仿宋" w:eastAsia="仿宋" w:cs="楷体"/>
                <w:color w:val="000000" w:themeColor="text1"/>
                <w:kern w:val="0"/>
                <w:sz w:val="20"/>
                <w:szCs w:val="20"/>
                <w14:textFill>
                  <w14:solidFill>
                    <w14:schemeClr w14:val="tx1"/>
                  </w14:solidFill>
                </w14:textFill>
              </w:rPr>
              <w:t>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899" w:type="pct"/>
            <w:shd w:val="clear" w:color="auto" w:fill="FFFFFF" w:themeFill="background1"/>
            <w:vAlign w:val="center"/>
          </w:tcPr>
          <w:p>
            <w:pPr>
              <w:spacing w:after="0" w:line="240" w:lineRule="auto"/>
              <w:jc w:val="center"/>
              <w:rPr>
                <w:rFonts w:hint="eastAsia" w:ascii="仿宋" w:hAnsi="仿宋" w:eastAsia="仿宋" w:cs="Calibri"/>
                <w:sz w:val="20"/>
                <w:szCs w:val="20"/>
              </w:rPr>
            </w:pPr>
            <w:r>
              <w:rPr>
                <w:rFonts w:hint="eastAsia" w:ascii="仿宋" w:hAnsi="仿宋" w:eastAsia="仿宋" w:cs="楷体"/>
                <w:b/>
                <w:color w:val="000000" w:themeColor="text1"/>
                <w:kern w:val="0"/>
                <w:sz w:val="20"/>
                <w:szCs w:val="20"/>
                <w:lang w:val="en-GB"/>
                <w14:textFill>
                  <w14:solidFill>
                    <w14:schemeClr w14:val="tx1"/>
                  </w14:solidFill>
                </w14:textFill>
              </w:rPr>
              <w:t>债券期限</w:t>
            </w:r>
          </w:p>
        </w:tc>
        <w:tc>
          <w:tcPr>
            <w:tcW w:w="4101" w:type="pct"/>
            <w:shd w:val="clear" w:color="auto" w:fill="FFFFFF" w:themeFill="background1"/>
            <w:vAlign w:val="center"/>
          </w:tcPr>
          <w:p>
            <w:pPr>
              <w:spacing w:after="0" w:line="240" w:lineRule="auto"/>
              <w:jc w:val="center"/>
              <w:rPr>
                <w:rFonts w:hint="eastAsia" w:ascii="仿宋" w:hAnsi="仿宋" w:eastAsia="仿宋" w:cs="楷体"/>
                <w:color w:val="000000" w:themeColor="text1"/>
                <w:kern w:val="0"/>
                <w:sz w:val="20"/>
                <w:szCs w:val="20"/>
                <w14:textFill>
                  <w14:solidFill>
                    <w14:schemeClr w14:val="tx1"/>
                  </w14:solidFill>
                </w14:textFill>
              </w:rPr>
            </w:pPr>
            <w:r>
              <w:rPr>
                <w:rFonts w:hint="eastAsia" w:ascii="仿宋" w:hAnsi="仿宋" w:eastAsia="仿宋" w:cs="楷体"/>
                <w:color w:val="000000" w:themeColor="text1"/>
                <w:kern w:val="0"/>
                <w:sz w:val="20"/>
                <w:szCs w:val="20"/>
                <w14:textFill>
                  <w14:solidFill>
                    <w14:schemeClr w14:val="tx1"/>
                  </w14:solidFill>
                </w14:textFill>
              </w:rPr>
              <w:t>10年期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899" w:type="pct"/>
            <w:shd w:val="clear" w:color="auto" w:fill="FFFFFF" w:themeFill="background1"/>
            <w:vAlign w:val="center"/>
          </w:tcPr>
          <w:p>
            <w:pPr>
              <w:spacing w:after="0" w:line="240" w:lineRule="auto"/>
              <w:jc w:val="center"/>
              <w:rPr>
                <w:rFonts w:hint="eastAsia" w:ascii="仿宋" w:hAnsi="仿宋" w:eastAsia="仿宋" w:cs="Calibri"/>
                <w:sz w:val="20"/>
                <w:szCs w:val="20"/>
              </w:rPr>
            </w:pPr>
            <w:r>
              <w:rPr>
                <w:rFonts w:hint="eastAsia" w:ascii="仿宋" w:hAnsi="仿宋" w:eastAsia="仿宋" w:cs="楷体"/>
                <w:b/>
                <w:color w:val="000000" w:themeColor="text1"/>
                <w:kern w:val="0"/>
                <w:sz w:val="20"/>
                <w:szCs w:val="20"/>
                <w:lang w:val="en-GB"/>
                <w14:textFill>
                  <w14:solidFill>
                    <w14:schemeClr w14:val="tx1"/>
                  </w14:solidFill>
                </w14:textFill>
              </w:rPr>
              <w:t>债券利率</w:t>
            </w:r>
          </w:p>
        </w:tc>
        <w:tc>
          <w:tcPr>
            <w:tcW w:w="4101" w:type="pct"/>
            <w:shd w:val="clear" w:color="auto" w:fill="FFFFFF" w:themeFill="background1"/>
            <w:vAlign w:val="center"/>
          </w:tcPr>
          <w:p>
            <w:pPr>
              <w:spacing w:after="0" w:line="240" w:lineRule="auto"/>
              <w:jc w:val="center"/>
              <w:rPr>
                <w:rFonts w:hint="eastAsia" w:ascii="仿宋" w:hAnsi="仿宋" w:eastAsia="仿宋" w:cs="楷体"/>
                <w:color w:val="000000" w:themeColor="text1"/>
                <w:kern w:val="0"/>
                <w:sz w:val="20"/>
                <w:szCs w:val="20"/>
                <w:lang w:val="en-GB"/>
                <w14:textFill>
                  <w14:solidFill>
                    <w14:schemeClr w14:val="tx1"/>
                  </w14:solidFill>
                </w14:textFill>
              </w:rPr>
            </w:pPr>
            <w:r>
              <w:rPr>
                <w:rFonts w:hint="eastAsia" w:ascii="仿宋" w:hAnsi="仿宋" w:eastAsia="仿宋" w:cs="楷体"/>
                <w:color w:val="000000" w:themeColor="text1"/>
                <w:kern w:val="0"/>
                <w:sz w:val="20"/>
                <w:szCs w:val="20"/>
                <w:lang w:val="en-GB"/>
                <w14:textFill>
                  <w14:solidFill>
                    <w14:schemeClr w14:val="tx1"/>
                  </w14:solidFill>
                </w14:textFill>
              </w:rPr>
              <w:t>固定利率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899" w:type="pct"/>
            <w:shd w:val="clear" w:color="auto" w:fill="FFFFFF" w:themeFill="background1"/>
            <w:vAlign w:val="center"/>
          </w:tcPr>
          <w:p>
            <w:pPr>
              <w:spacing w:after="0" w:line="240" w:lineRule="auto"/>
              <w:jc w:val="center"/>
              <w:rPr>
                <w:rFonts w:hint="eastAsia" w:ascii="仿宋" w:hAnsi="仿宋" w:eastAsia="仿宋" w:cs="Calibri"/>
                <w:sz w:val="20"/>
                <w:szCs w:val="20"/>
              </w:rPr>
            </w:pPr>
            <w:r>
              <w:rPr>
                <w:rFonts w:hint="eastAsia" w:ascii="仿宋" w:hAnsi="仿宋" w:eastAsia="仿宋" w:cs="楷体"/>
                <w:b/>
                <w:color w:val="000000" w:themeColor="text1"/>
                <w:kern w:val="0"/>
                <w:sz w:val="20"/>
                <w:szCs w:val="20"/>
                <w:lang w:val="en-GB"/>
                <w14:textFill>
                  <w14:solidFill>
                    <w14:schemeClr w14:val="tx1"/>
                  </w14:solidFill>
                </w14:textFill>
              </w:rPr>
              <w:t>付息方式</w:t>
            </w:r>
          </w:p>
        </w:tc>
        <w:tc>
          <w:tcPr>
            <w:tcW w:w="4101" w:type="pct"/>
            <w:shd w:val="clear" w:color="auto" w:fill="FFFFFF" w:themeFill="background1"/>
            <w:vAlign w:val="center"/>
          </w:tcPr>
          <w:p>
            <w:pPr>
              <w:spacing w:after="0" w:line="240" w:lineRule="auto"/>
              <w:jc w:val="center"/>
              <w:rPr>
                <w:rFonts w:hint="eastAsia" w:ascii="仿宋" w:hAnsi="仿宋" w:eastAsia="仿宋" w:cs="楷体"/>
                <w:color w:val="000000" w:themeColor="text1"/>
                <w:kern w:val="0"/>
                <w:sz w:val="20"/>
                <w:szCs w:val="20"/>
                <w14:textFill>
                  <w14:solidFill>
                    <w14:schemeClr w14:val="tx1"/>
                  </w14:solidFill>
                </w14:textFill>
              </w:rPr>
            </w:pPr>
            <w:r>
              <w:rPr>
                <w:rFonts w:hint="eastAsia" w:ascii="仿宋" w:hAnsi="仿宋" w:eastAsia="仿宋" w:cs="楷体"/>
                <w:color w:val="000000" w:themeColor="text1"/>
                <w:kern w:val="0"/>
                <w:sz w:val="20"/>
                <w:szCs w:val="20"/>
                <w14:textFill>
                  <w14:solidFill>
                    <w14:schemeClr w14:val="tx1"/>
                  </w14:solidFill>
                </w14:textFill>
              </w:rPr>
              <w:t>利息按半年支付，最后一次利息随本金一起支付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899" w:type="pct"/>
            <w:shd w:val="clear" w:color="auto" w:fill="FFFFFF" w:themeFill="background1"/>
            <w:vAlign w:val="center"/>
          </w:tcPr>
          <w:p>
            <w:pPr>
              <w:spacing w:after="0" w:line="240" w:lineRule="auto"/>
              <w:jc w:val="center"/>
              <w:rPr>
                <w:rFonts w:hint="eastAsia" w:ascii="仿宋" w:hAnsi="仿宋" w:eastAsia="仿宋" w:cs="楷体"/>
                <w:b/>
                <w:color w:val="000000" w:themeColor="text1"/>
                <w:kern w:val="0"/>
                <w:sz w:val="20"/>
                <w:szCs w:val="20"/>
                <w:lang w:val="en-GB"/>
                <w14:textFill>
                  <w14:solidFill>
                    <w14:schemeClr w14:val="tx1"/>
                  </w14:solidFill>
                </w14:textFill>
              </w:rPr>
            </w:pPr>
            <w:r>
              <w:rPr>
                <w:rFonts w:hint="eastAsia" w:ascii="仿宋" w:hAnsi="仿宋" w:eastAsia="仿宋" w:cs="楷体"/>
                <w:b/>
                <w:color w:val="000000" w:themeColor="text1"/>
                <w:kern w:val="0"/>
                <w:sz w:val="20"/>
                <w:szCs w:val="20"/>
                <w:lang w:val="en-GB"/>
                <w14:textFill>
                  <w14:solidFill>
                    <w14:schemeClr w14:val="tx1"/>
                  </w14:solidFill>
                </w14:textFill>
              </w:rPr>
              <w:t>上市流通安排</w:t>
            </w:r>
          </w:p>
        </w:tc>
        <w:tc>
          <w:tcPr>
            <w:tcW w:w="4101" w:type="pct"/>
            <w:shd w:val="clear" w:color="auto" w:fill="FFFFFF" w:themeFill="background1"/>
            <w:vAlign w:val="center"/>
          </w:tcPr>
          <w:p>
            <w:pPr>
              <w:spacing w:after="0" w:line="240" w:lineRule="auto"/>
              <w:jc w:val="center"/>
              <w:rPr>
                <w:rFonts w:hint="eastAsia" w:ascii="仿宋" w:hAnsi="仿宋" w:eastAsia="仿宋" w:cs="楷体"/>
                <w:color w:val="000000" w:themeColor="text1"/>
                <w:kern w:val="0"/>
                <w:sz w:val="20"/>
                <w:szCs w:val="20"/>
                <w14:textFill>
                  <w14:solidFill>
                    <w14:schemeClr w14:val="tx1"/>
                  </w14:solidFill>
                </w14:textFill>
              </w:rPr>
            </w:pPr>
            <w:r>
              <w:rPr>
                <w:rFonts w:hint="eastAsia" w:ascii="仿宋" w:hAnsi="仿宋" w:eastAsia="仿宋" w:cs="楷体"/>
                <w:color w:val="000000" w:themeColor="text1"/>
                <w:kern w:val="0"/>
                <w:sz w:val="20"/>
                <w:szCs w:val="20"/>
                <w14:textFill>
                  <w14:solidFill>
                    <w14:schemeClr w14:val="tx1"/>
                  </w14:solidFill>
                </w14:textFill>
              </w:rPr>
              <w:t>于上市日（即招标日后第</w:t>
            </w:r>
            <w:r>
              <w:rPr>
                <w:rFonts w:ascii="仿宋" w:hAnsi="仿宋" w:eastAsia="仿宋" w:cs="楷体"/>
                <w:color w:val="000000" w:themeColor="text1"/>
                <w:kern w:val="0"/>
                <w:sz w:val="20"/>
                <w:szCs w:val="20"/>
                <w14:textFill>
                  <w14:solidFill>
                    <w14:schemeClr w14:val="tx1"/>
                  </w14:solidFill>
                </w14:textFill>
              </w:rPr>
              <w:t>3个工作日）起，按规定在交易场所上市流通</w:t>
            </w:r>
          </w:p>
        </w:tc>
      </w:tr>
    </w:tbl>
    <w:p>
      <w:pPr>
        <w:pStyle w:val="3"/>
        <w:spacing w:before="120" w:after="0" w:line="360" w:lineRule="auto"/>
        <w:ind w:firstLine="562" w:firstLineChars="200"/>
        <w:rPr>
          <w:rFonts w:hint="eastAsia" w:ascii="仿宋" w:hAnsi="仿宋" w:eastAsia="仿宋" w:cs="楷体"/>
          <w:color w:val="000000" w:themeColor="text1"/>
          <w:kern w:val="0"/>
          <w:sz w:val="28"/>
          <w:szCs w:val="28"/>
          <w14:textFill>
            <w14:solidFill>
              <w14:schemeClr w14:val="tx1"/>
            </w14:solidFill>
          </w14:textFill>
        </w:rPr>
      </w:pPr>
      <w:bookmarkStart w:id="1" w:name="_Toc200722000"/>
      <w:r>
        <w:rPr>
          <w:rFonts w:hint="eastAsia" w:ascii="仿宋" w:hAnsi="仿宋" w:eastAsia="仿宋" w:cs="楷体"/>
          <w:color w:val="000000" w:themeColor="text1"/>
          <w:kern w:val="0"/>
          <w:sz w:val="28"/>
          <w:szCs w:val="28"/>
          <w14:textFill>
            <w14:solidFill>
              <w14:schemeClr w14:val="tx1"/>
            </w14:solidFill>
          </w14:textFill>
        </w:rPr>
        <w:t>二、地区区位、经济概况</w:t>
      </w:r>
      <w:bookmarkEnd w:id="1"/>
    </w:p>
    <w:p>
      <w:pPr>
        <w:pStyle w:val="3"/>
        <w:spacing w:before="0" w:after="0" w:line="360" w:lineRule="auto"/>
        <w:ind w:firstLine="562" w:firstLineChars="200"/>
        <w:rPr>
          <w:rFonts w:hint="eastAsia" w:ascii="仿宋" w:hAnsi="仿宋" w:eastAsia="仿宋" w:cs="楷体"/>
          <w:color w:val="000000" w:themeColor="text1"/>
          <w:kern w:val="0"/>
          <w:sz w:val="28"/>
          <w:szCs w:val="28"/>
          <w:lang w:val="en-GB"/>
          <w14:textFill>
            <w14:solidFill>
              <w14:schemeClr w14:val="tx1"/>
            </w14:solidFill>
          </w14:textFill>
        </w:rPr>
      </w:pPr>
      <w:bookmarkStart w:id="2" w:name="_Toc200722001"/>
      <w:r>
        <w:rPr>
          <w:rFonts w:hint="eastAsia" w:ascii="仿宋" w:hAnsi="仿宋" w:eastAsia="仿宋" w:cs="楷体"/>
          <w:color w:val="000000" w:themeColor="text1"/>
          <w:kern w:val="0"/>
          <w:sz w:val="28"/>
          <w:szCs w:val="28"/>
          <w:lang w:val="en-GB"/>
          <w14:textFill>
            <w14:solidFill>
              <w14:schemeClr w14:val="tx1"/>
            </w14:solidFill>
          </w14:textFill>
        </w:rPr>
        <w:t>（一）项目区位情况</w:t>
      </w:r>
      <w:bookmarkEnd w:id="2"/>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海南省，简称“琼”，是中华人民共和国最南端的省级行政区，省会海口，是中国的经济特区、自由贸易试验区；地处中国华南地区，北以琼州海峡与广东划界，西临北部湾与广西、越南相对，东濒南海与台湾对望，东南和南部在南海与菲律宾、文莱、马来西亚为邻。海南省陆地总面积3.54万平方公里，其中海南岛3.39万平方公里，海域面积约200万平方公里。</w:t>
      </w:r>
    </w:p>
    <w:p>
      <w:pPr>
        <w:widowControl/>
        <w:spacing w:after="0" w:line="240" w:lineRule="auto"/>
        <w:jc w:val="left"/>
        <w:rPr>
          <w:rFonts w:hint="eastAsia"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br w:type="page"/>
      </w:r>
    </w:p>
    <w:p>
      <w:pPr>
        <w:pStyle w:val="3"/>
        <w:spacing w:before="0" w:after="0" w:line="360" w:lineRule="auto"/>
        <w:ind w:firstLine="562" w:firstLineChars="200"/>
        <w:rPr>
          <w:rFonts w:hint="eastAsia" w:ascii="仿宋" w:hAnsi="仿宋" w:eastAsia="仿宋" w:cs="楷体"/>
          <w:color w:val="000000" w:themeColor="text1"/>
          <w:kern w:val="0"/>
          <w:sz w:val="28"/>
          <w:szCs w:val="28"/>
          <w:lang w:val="en-GB"/>
          <w14:textFill>
            <w14:solidFill>
              <w14:schemeClr w14:val="tx1"/>
            </w14:solidFill>
          </w14:textFill>
        </w:rPr>
      </w:pPr>
      <w:bookmarkStart w:id="3" w:name="_Toc200722002"/>
      <w:r>
        <w:rPr>
          <w:rFonts w:hint="eastAsia" w:ascii="仿宋" w:hAnsi="仿宋" w:eastAsia="仿宋" w:cs="楷体"/>
          <w:color w:val="000000" w:themeColor="text1"/>
          <w:kern w:val="0"/>
          <w:sz w:val="28"/>
          <w:szCs w:val="28"/>
          <w:lang w:val="en-GB"/>
          <w14:textFill>
            <w14:solidFill>
              <w14:schemeClr w14:val="tx1"/>
            </w14:solidFill>
          </w14:textFill>
        </w:rPr>
        <w:t>（二）地区经济情况</w:t>
      </w:r>
      <w:bookmarkEnd w:id="3"/>
    </w:p>
    <w:p>
      <w:pPr>
        <w:autoSpaceDE w:val="0"/>
        <w:autoSpaceDN w:val="0"/>
        <w:adjustRightInd w:val="0"/>
        <w:spacing w:after="0" w:line="240" w:lineRule="auto"/>
        <w:ind w:firstLine="562" w:firstLineChars="200"/>
        <w:jc w:val="center"/>
        <w:rPr>
          <w:rFonts w:hint="eastAsia" w:ascii="仿宋" w:hAnsi="仿宋" w:eastAsia="仿宋" w:cs="楷体"/>
          <w:b/>
          <w:bCs/>
          <w:color w:val="000000" w:themeColor="text1"/>
          <w:kern w:val="0"/>
          <w:sz w:val="28"/>
          <w:szCs w:val="28"/>
          <w:lang w:val="en-GB"/>
          <w14:textFill>
            <w14:solidFill>
              <w14:schemeClr w14:val="tx1"/>
            </w14:solidFill>
          </w14:textFill>
        </w:rPr>
      </w:pPr>
      <w:bookmarkStart w:id="4" w:name="_Toc4762883"/>
      <w:bookmarkStart w:id="5" w:name="_Toc4763009"/>
      <w:r>
        <w:rPr>
          <w:rFonts w:hint="eastAsia" w:ascii="仿宋" w:hAnsi="仿宋" w:eastAsia="仿宋" w:cs="楷体"/>
          <w:b/>
          <w:bCs/>
          <w:color w:val="000000" w:themeColor="text1"/>
          <w:kern w:val="0"/>
          <w:sz w:val="28"/>
          <w:szCs w:val="28"/>
          <w:lang w:val="en-GB"/>
          <w14:textFill>
            <w14:solidFill>
              <w14:schemeClr w14:val="tx1"/>
            </w14:solidFill>
          </w14:textFill>
        </w:rPr>
        <w:t>海口市2022—2024年财政经济数据</w:t>
      </w:r>
    </w:p>
    <w:p>
      <w:pPr>
        <w:spacing w:after="0" w:line="240" w:lineRule="auto"/>
        <w:jc w:val="right"/>
        <w:rPr>
          <w:rFonts w:hint="eastAsia" w:ascii="仿宋" w:hAnsi="仿宋" w:eastAsia="仿宋"/>
          <w:color w:val="000000"/>
          <w:sz w:val="20"/>
          <w:szCs w:val="20"/>
        </w:rPr>
      </w:pPr>
      <w:r>
        <w:rPr>
          <w:rFonts w:hint="eastAsia" w:ascii="仿宋" w:hAnsi="仿宋" w:eastAsia="仿宋"/>
          <w:color w:val="000000"/>
          <w:sz w:val="20"/>
          <w:szCs w:val="20"/>
        </w:rPr>
        <w:t>单位：人民币亿元</w:t>
      </w:r>
    </w:p>
    <w:tbl>
      <w:tblPr>
        <w:tblStyle w:val="24"/>
        <w:tblW w:w="0" w:type="auto"/>
        <w:jc w:val="center"/>
        <w:tblBorders>
          <w:top w:val="single" w:color="auto" w:sz="12" w:space="0"/>
          <w:left w:val="none" w:color="auto" w:sz="0" w:space="0"/>
          <w:bottom w:val="single" w:color="auto" w:sz="12" w:space="0"/>
          <w:right w:val="none" w:color="auto" w:sz="0" w:space="0"/>
          <w:insideH w:val="none" w:color="auto" w:sz="0" w:space="0"/>
          <w:insideV w:val="single" w:color="auto" w:sz="4" w:space="0"/>
        </w:tblBorders>
        <w:tblLayout w:type="fixed"/>
        <w:tblCellMar>
          <w:top w:w="0" w:type="dxa"/>
          <w:left w:w="108" w:type="dxa"/>
          <w:bottom w:w="0" w:type="dxa"/>
          <w:right w:w="108" w:type="dxa"/>
        </w:tblCellMar>
      </w:tblPr>
      <w:tblGrid>
        <w:gridCol w:w="3972"/>
        <w:gridCol w:w="1558"/>
        <w:gridCol w:w="1558"/>
        <w:gridCol w:w="1558"/>
      </w:tblGrid>
      <w:tr>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tblHeader/>
          <w:jc w:val="center"/>
        </w:trPr>
        <w:tc>
          <w:tcPr>
            <w:tcW w:w="3972" w:type="dxa"/>
            <w:tcBorders>
              <w:top w:val="single" w:color="auto" w:sz="12" w:space="0"/>
              <w:bottom w:val="single" w:color="auto" w:sz="4" w:space="0"/>
            </w:tcBorders>
            <w:vAlign w:val="center"/>
          </w:tcPr>
          <w:p>
            <w:pPr>
              <w:spacing w:after="0" w:line="240" w:lineRule="auto"/>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项目</w:t>
            </w:r>
          </w:p>
        </w:tc>
        <w:tc>
          <w:tcPr>
            <w:tcW w:w="1558" w:type="dxa"/>
            <w:tcBorders>
              <w:top w:val="single" w:color="auto" w:sz="12" w:space="0"/>
              <w:bottom w:val="single" w:color="auto" w:sz="4" w:space="0"/>
            </w:tcBorders>
            <w:vAlign w:val="center"/>
          </w:tcPr>
          <w:p>
            <w:pPr>
              <w:spacing w:after="0" w:line="240" w:lineRule="auto"/>
              <w:jc w:val="center"/>
              <w:rPr>
                <w:rFonts w:hint="eastAsia" w:ascii="仿宋" w:hAnsi="仿宋" w:eastAsia="仿宋" w:cs="宋体"/>
                <w:color w:val="000000"/>
                <w:kern w:val="0"/>
                <w:sz w:val="20"/>
                <w:szCs w:val="20"/>
              </w:rPr>
            </w:pPr>
            <w:r>
              <w:rPr>
                <w:rFonts w:ascii="仿宋" w:hAnsi="仿宋" w:eastAsia="仿宋"/>
                <w:kern w:val="0"/>
                <w:sz w:val="20"/>
                <w:szCs w:val="20"/>
              </w:rPr>
              <w:t>202</w:t>
            </w:r>
            <w:r>
              <w:rPr>
                <w:rFonts w:hint="eastAsia" w:ascii="仿宋" w:hAnsi="仿宋" w:eastAsia="仿宋"/>
                <w:kern w:val="0"/>
                <w:sz w:val="20"/>
                <w:szCs w:val="20"/>
              </w:rPr>
              <w:t>2</w:t>
            </w:r>
            <w:r>
              <w:rPr>
                <w:rFonts w:hint="eastAsia" w:ascii="仿宋" w:hAnsi="仿宋" w:eastAsia="仿宋" w:cs="宋体"/>
                <w:kern w:val="0"/>
                <w:sz w:val="20"/>
                <w:szCs w:val="20"/>
              </w:rPr>
              <w:t>年</w:t>
            </w:r>
          </w:p>
        </w:tc>
        <w:tc>
          <w:tcPr>
            <w:tcW w:w="1558" w:type="dxa"/>
            <w:tcBorders>
              <w:top w:val="single" w:color="auto" w:sz="12" w:space="0"/>
              <w:bottom w:val="single" w:color="auto" w:sz="4" w:space="0"/>
            </w:tcBorders>
            <w:vAlign w:val="center"/>
          </w:tcPr>
          <w:p>
            <w:pPr>
              <w:spacing w:after="0" w:line="240" w:lineRule="auto"/>
              <w:jc w:val="center"/>
              <w:rPr>
                <w:rFonts w:hint="eastAsia" w:ascii="仿宋" w:hAnsi="仿宋" w:eastAsia="仿宋" w:cs="宋体"/>
                <w:color w:val="000000"/>
                <w:kern w:val="0"/>
                <w:sz w:val="20"/>
                <w:szCs w:val="20"/>
              </w:rPr>
            </w:pPr>
            <w:r>
              <w:rPr>
                <w:rFonts w:ascii="仿宋" w:hAnsi="仿宋" w:eastAsia="仿宋"/>
                <w:kern w:val="0"/>
                <w:sz w:val="20"/>
                <w:szCs w:val="20"/>
              </w:rPr>
              <w:t>202</w:t>
            </w:r>
            <w:r>
              <w:rPr>
                <w:rFonts w:hint="eastAsia" w:ascii="仿宋" w:hAnsi="仿宋" w:eastAsia="仿宋"/>
                <w:kern w:val="0"/>
                <w:sz w:val="20"/>
                <w:szCs w:val="20"/>
              </w:rPr>
              <w:t>3</w:t>
            </w:r>
            <w:r>
              <w:rPr>
                <w:rFonts w:hint="eastAsia" w:ascii="仿宋" w:hAnsi="仿宋" w:eastAsia="仿宋" w:cs="宋体"/>
                <w:kern w:val="0"/>
                <w:sz w:val="20"/>
                <w:szCs w:val="20"/>
              </w:rPr>
              <w:t>年</w:t>
            </w:r>
          </w:p>
        </w:tc>
        <w:tc>
          <w:tcPr>
            <w:tcW w:w="1558" w:type="dxa"/>
            <w:tcBorders>
              <w:top w:val="single" w:color="auto" w:sz="12" w:space="0"/>
              <w:bottom w:val="single" w:color="auto" w:sz="4" w:space="0"/>
            </w:tcBorders>
            <w:vAlign w:val="center"/>
          </w:tcPr>
          <w:p>
            <w:pPr>
              <w:spacing w:after="0" w:line="240" w:lineRule="auto"/>
              <w:jc w:val="center"/>
              <w:rPr>
                <w:rFonts w:hint="eastAsia" w:ascii="仿宋" w:hAnsi="仿宋" w:eastAsia="仿宋" w:cs="宋体"/>
                <w:color w:val="000000"/>
                <w:kern w:val="0"/>
                <w:sz w:val="20"/>
                <w:szCs w:val="20"/>
              </w:rPr>
            </w:pPr>
            <w:r>
              <w:rPr>
                <w:rFonts w:ascii="仿宋" w:hAnsi="仿宋" w:eastAsia="仿宋" w:cs="宋体"/>
                <w:color w:val="000000"/>
                <w:kern w:val="0"/>
                <w:sz w:val="20"/>
                <w:szCs w:val="20"/>
              </w:rPr>
              <w:t>202</w:t>
            </w:r>
            <w:r>
              <w:rPr>
                <w:rFonts w:hint="eastAsia" w:ascii="仿宋" w:hAnsi="仿宋" w:eastAsia="仿宋" w:cs="宋体"/>
                <w:color w:val="000000"/>
                <w:kern w:val="0"/>
                <w:sz w:val="20"/>
                <w:szCs w:val="20"/>
              </w:rPr>
              <w:t>4年</w:t>
            </w:r>
          </w:p>
        </w:tc>
      </w:tr>
      <w:tr>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3972" w:type="dxa"/>
            <w:tcBorders>
              <w:top w:val="single" w:color="auto" w:sz="4" w:space="0"/>
            </w:tcBorders>
            <w:vAlign w:val="center"/>
          </w:tcPr>
          <w:p>
            <w:pPr>
              <w:spacing w:after="0" w:line="240" w:lineRule="auto"/>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lang w:bidi="ar"/>
              </w:rPr>
              <w:t>地区生产总值</w:t>
            </w:r>
          </w:p>
        </w:tc>
        <w:tc>
          <w:tcPr>
            <w:tcW w:w="1558" w:type="dxa"/>
            <w:tcBorders>
              <w:top w:val="single" w:color="auto" w:sz="4" w:space="0"/>
            </w:tcBorders>
            <w:vAlign w:val="center"/>
          </w:tcPr>
          <w:p>
            <w:pPr>
              <w:spacing w:after="0" w:line="240" w:lineRule="auto"/>
              <w:jc w:val="center"/>
              <w:rPr>
                <w:rFonts w:hint="eastAsia" w:ascii="仿宋" w:hAnsi="仿宋" w:eastAsia="仿宋" w:cs="宋体"/>
                <w:color w:val="000000"/>
                <w:kern w:val="0"/>
                <w:sz w:val="20"/>
                <w:szCs w:val="20"/>
                <w:shd w:val="clear" w:color="auto" w:fill="FFFFFF"/>
              </w:rPr>
            </w:pPr>
            <w:r>
              <w:rPr>
                <w:rFonts w:ascii="仿宋" w:hAnsi="仿宋" w:eastAsia="仿宋"/>
                <w:color w:val="000000"/>
                <w:kern w:val="0"/>
                <w:sz w:val="20"/>
                <w:szCs w:val="20"/>
                <w:lang w:val="en-GB"/>
              </w:rPr>
              <w:t>2,134.80</w:t>
            </w:r>
          </w:p>
        </w:tc>
        <w:tc>
          <w:tcPr>
            <w:tcW w:w="1558" w:type="dxa"/>
            <w:tcBorders>
              <w:top w:val="single" w:color="auto" w:sz="4" w:space="0"/>
            </w:tcBorders>
            <w:vAlign w:val="center"/>
          </w:tcPr>
          <w:p>
            <w:pPr>
              <w:spacing w:after="0" w:line="240" w:lineRule="auto"/>
              <w:jc w:val="center"/>
              <w:rPr>
                <w:rFonts w:hint="eastAsia" w:ascii="仿宋" w:hAnsi="仿宋" w:eastAsia="仿宋" w:cs="宋体"/>
                <w:color w:val="000000"/>
                <w:kern w:val="0"/>
                <w:sz w:val="20"/>
                <w:szCs w:val="20"/>
              </w:rPr>
            </w:pPr>
            <w:r>
              <w:rPr>
                <w:rFonts w:ascii="仿宋" w:hAnsi="仿宋" w:eastAsia="仿宋"/>
                <w:color w:val="000000"/>
                <w:kern w:val="0"/>
                <w:sz w:val="20"/>
                <w:szCs w:val="20"/>
                <w:lang w:val="en-GB"/>
              </w:rPr>
              <w:t>2,358.44</w:t>
            </w:r>
          </w:p>
        </w:tc>
        <w:tc>
          <w:tcPr>
            <w:tcW w:w="1558" w:type="dxa"/>
            <w:tcBorders>
              <w:top w:val="single" w:color="auto" w:sz="4" w:space="0"/>
            </w:tcBorders>
            <w:vAlign w:val="center"/>
          </w:tcPr>
          <w:p>
            <w:pPr>
              <w:spacing w:after="0" w:line="240" w:lineRule="auto"/>
              <w:jc w:val="center"/>
              <w:rPr>
                <w:rFonts w:hint="eastAsia" w:ascii="仿宋" w:hAnsi="仿宋" w:eastAsia="仿宋" w:cs="宋体"/>
                <w:color w:val="000000"/>
                <w:kern w:val="0"/>
                <w:sz w:val="20"/>
                <w:szCs w:val="20"/>
              </w:rPr>
            </w:pPr>
            <w:r>
              <w:rPr>
                <w:rFonts w:ascii="仿宋" w:hAnsi="仿宋" w:eastAsia="仿宋"/>
                <w:color w:val="000000"/>
                <w:kern w:val="0"/>
                <w:sz w:val="20"/>
                <w:szCs w:val="20"/>
              </w:rPr>
              <w:t>2470.63</w:t>
            </w:r>
          </w:p>
        </w:tc>
      </w:tr>
      <w:tr>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3972" w:type="dxa"/>
            <w:vAlign w:val="center"/>
          </w:tcPr>
          <w:p>
            <w:pPr>
              <w:spacing w:after="0" w:line="240" w:lineRule="auto"/>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lang w:bidi="ar"/>
              </w:rPr>
              <w:t>一般预算收入（一般公共预算收入）</w:t>
            </w:r>
          </w:p>
        </w:tc>
        <w:tc>
          <w:tcPr>
            <w:tcW w:w="1558" w:type="dxa"/>
            <w:vAlign w:val="center"/>
          </w:tcPr>
          <w:p>
            <w:pPr>
              <w:spacing w:after="0" w:line="240" w:lineRule="auto"/>
              <w:jc w:val="center"/>
              <w:rPr>
                <w:rFonts w:hint="eastAsia" w:ascii="仿宋" w:hAnsi="仿宋" w:eastAsia="仿宋" w:cs="宋体"/>
                <w:color w:val="000000"/>
                <w:kern w:val="0"/>
                <w:sz w:val="20"/>
                <w:szCs w:val="20"/>
                <w:shd w:val="clear" w:color="auto" w:fill="FFFFFF"/>
              </w:rPr>
            </w:pPr>
            <w:r>
              <w:rPr>
                <w:rFonts w:ascii="仿宋" w:hAnsi="仿宋" w:eastAsia="仿宋"/>
                <w:color w:val="000000"/>
                <w:kern w:val="0"/>
                <w:sz w:val="20"/>
                <w:szCs w:val="20"/>
                <w:lang w:val="en-GB"/>
              </w:rPr>
              <w:t>204.82</w:t>
            </w:r>
          </w:p>
        </w:tc>
        <w:tc>
          <w:tcPr>
            <w:tcW w:w="1558" w:type="dxa"/>
            <w:vAlign w:val="center"/>
          </w:tcPr>
          <w:p>
            <w:pPr>
              <w:spacing w:after="0" w:line="240" w:lineRule="auto"/>
              <w:jc w:val="center"/>
              <w:rPr>
                <w:rFonts w:hint="eastAsia" w:ascii="仿宋" w:hAnsi="仿宋" w:eastAsia="仿宋" w:cs="宋体"/>
                <w:color w:val="000000"/>
                <w:kern w:val="0"/>
                <w:sz w:val="20"/>
                <w:szCs w:val="20"/>
              </w:rPr>
            </w:pPr>
            <w:r>
              <w:rPr>
                <w:rFonts w:ascii="仿宋" w:hAnsi="仿宋" w:eastAsia="仿宋"/>
                <w:color w:val="000000"/>
                <w:kern w:val="0"/>
                <w:sz w:val="20"/>
                <w:szCs w:val="20"/>
                <w:lang w:val="en-GB"/>
              </w:rPr>
              <w:t>266.87</w:t>
            </w:r>
          </w:p>
        </w:tc>
        <w:tc>
          <w:tcPr>
            <w:tcW w:w="1558" w:type="dxa"/>
            <w:vAlign w:val="center"/>
          </w:tcPr>
          <w:p>
            <w:pPr>
              <w:spacing w:after="0" w:line="240" w:lineRule="auto"/>
              <w:jc w:val="center"/>
              <w:rPr>
                <w:rFonts w:hint="eastAsia" w:ascii="仿宋" w:hAnsi="仿宋" w:eastAsia="仿宋" w:cs="宋体"/>
                <w:color w:val="000000"/>
                <w:kern w:val="0"/>
                <w:sz w:val="20"/>
                <w:szCs w:val="20"/>
              </w:rPr>
            </w:pPr>
            <w:r>
              <w:rPr>
                <w:rFonts w:ascii="仿宋" w:hAnsi="仿宋" w:eastAsia="仿宋"/>
                <w:color w:val="000000"/>
                <w:kern w:val="0"/>
                <w:sz w:val="20"/>
                <w:szCs w:val="20"/>
              </w:rPr>
              <w:t>258.26</w:t>
            </w:r>
          </w:p>
        </w:tc>
      </w:tr>
      <w:tr>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3972" w:type="dxa"/>
            <w:vAlign w:val="center"/>
          </w:tcPr>
          <w:p>
            <w:pPr>
              <w:spacing w:after="0" w:line="240" w:lineRule="auto"/>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lang w:bidi="ar"/>
              </w:rPr>
              <w:t>一般预算收入（一般公共预算总收入）</w:t>
            </w:r>
          </w:p>
        </w:tc>
        <w:tc>
          <w:tcPr>
            <w:tcW w:w="1558" w:type="dxa"/>
            <w:vAlign w:val="center"/>
          </w:tcPr>
          <w:p>
            <w:pPr>
              <w:spacing w:after="0" w:line="240" w:lineRule="auto"/>
              <w:jc w:val="center"/>
              <w:rPr>
                <w:rFonts w:hint="eastAsia" w:ascii="仿宋" w:hAnsi="仿宋" w:eastAsia="仿宋" w:cs="宋体"/>
                <w:color w:val="000000"/>
                <w:kern w:val="0"/>
                <w:sz w:val="20"/>
                <w:szCs w:val="20"/>
                <w:shd w:val="clear" w:color="auto" w:fill="FFFFFF"/>
              </w:rPr>
            </w:pPr>
            <w:r>
              <w:rPr>
                <w:rFonts w:ascii="仿宋" w:hAnsi="仿宋" w:eastAsia="仿宋"/>
                <w:color w:val="000000"/>
                <w:kern w:val="0"/>
                <w:sz w:val="20"/>
                <w:szCs w:val="20"/>
                <w:lang w:val="en-GB"/>
              </w:rPr>
              <w:t>518.12</w:t>
            </w:r>
          </w:p>
        </w:tc>
        <w:tc>
          <w:tcPr>
            <w:tcW w:w="1558" w:type="dxa"/>
            <w:vAlign w:val="center"/>
          </w:tcPr>
          <w:p>
            <w:pPr>
              <w:spacing w:after="0" w:line="240" w:lineRule="auto"/>
              <w:jc w:val="center"/>
              <w:rPr>
                <w:rFonts w:hint="eastAsia" w:ascii="仿宋" w:hAnsi="仿宋" w:eastAsia="仿宋" w:cs="宋体"/>
                <w:color w:val="000000"/>
                <w:kern w:val="0"/>
                <w:sz w:val="20"/>
                <w:szCs w:val="20"/>
              </w:rPr>
            </w:pPr>
            <w:r>
              <w:rPr>
                <w:rFonts w:ascii="仿宋" w:hAnsi="仿宋" w:eastAsia="仿宋"/>
                <w:color w:val="000000"/>
                <w:kern w:val="0"/>
                <w:sz w:val="20"/>
                <w:szCs w:val="20"/>
                <w:lang w:val="en-GB"/>
              </w:rPr>
              <w:t>578.08</w:t>
            </w:r>
          </w:p>
        </w:tc>
        <w:tc>
          <w:tcPr>
            <w:tcW w:w="1558" w:type="dxa"/>
            <w:vAlign w:val="center"/>
          </w:tcPr>
          <w:p>
            <w:pPr>
              <w:spacing w:after="0" w:line="240" w:lineRule="auto"/>
              <w:jc w:val="center"/>
              <w:rPr>
                <w:rFonts w:hint="eastAsia" w:ascii="仿宋" w:hAnsi="仿宋" w:eastAsia="仿宋" w:cs="宋体"/>
                <w:color w:val="000000"/>
                <w:kern w:val="0"/>
                <w:sz w:val="20"/>
                <w:szCs w:val="20"/>
              </w:rPr>
            </w:pPr>
            <w:r>
              <w:rPr>
                <w:rFonts w:ascii="仿宋" w:hAnsi="仿宋" w:eastAsia="仿宋"/>
                <w:color w:val="000000"/>
                <w:kern w:val="0"/>
                <w:sz w:val="20"/>
                <w:szCs w:val="20"/>
              </w:rPr>
              <w:t>597.76</w:t>
            </w:r>
          </w:p>
        </w:tc>
      </w:tr>
      <w:tr>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3972" w:type="dxa"/>
            <w:vAlign w:val="center"/>
          </w:tcPr>
          <w:p>
            <w:pPr>
              <w:spacing w:after="0" w:line="240" w:lineRule="auto"/>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lang w:bidi="ar"/>
              </w:rPr>
              <w:t>政府性基金收入</w:t>
            </w:r>
          </w:p>
        </w:tc>
        <w:tc>
          <w:tcPr>
            <w:tcW w:w="1558" w:type="dxa"/>
            <w:vAlign w:val="center"/>
          </w:tcPr>
          <w:p>
            <w:pPr>
              <w:spacing w:after="0" w:line="240" w:lineRule="auto"/>
              <w:jc w:val="center"/>
              <w:rPr>
                <w:rFonts w:hint="eastAsia" w:ascii="仿宋" w:hAnsi="仿宋" w:eastAsia="仿宋" w:cs="宋体"/>
                <w:color w:val="000000"/>
                <w:kern w:val="0"/>
                <w:sz w:val="20"/>
                <w:szCs w:val="20"/>
                <w:shd w:val="clear" w:color="auto" w:fill="FFFFFF"/>
              </w:rPr>
            </w:pPr>
            <w:r>
              <w:rPr>
                <w:rFonts w:ascii="仿宋" w:hAnsi="仿宋" w:eastAsia="仿宋"/>
                <w:color w:val="000000"/>
                <w:kern w:val="0"/>
                <w:sz w:val="20"/>
                <w:szCs w:val="20"/>
                <w:lang w:val="en-GB"/>
              </w:rPr>
              <w:t>192.34</w:t>
            </w:r>
          </w:p>
        </w:tc>
        <w:tc>
          <w:tcPr>
            <w:tcW w:w="1558" w:type="dxa"/>
            <w:vAlign w:val="center"/>
          </w:tcPr>
          <w:p>
            <w:pPr>
              <w:spacing w:after="0" w:line="240" w:lineRule="auto"/>
              <w:jc w:val="center"/>
              <w:rPr>
                <w:rFonts w:hint="eastAsia" w:ascii="仿宋" w:hAnsi="仿宋" w:eastAsia="仿宋" w:cs="宋体"/>
                <w:color w:val="000000"/>
                <w:kern w:val="0"/>
                <w:sz w:val="20"/>
                <w:szCs w:val="20"/>
              </w:rPr>
            </w:pPr>
            <w:r>
              <w:rPr>
                <w:rFonts w:ascii="仿宋" w:hAnsi="仿宋" w:eastAsia="仿宋"/>
                <w:color w:val="000000"/>
                <w:kern w:val="0"/>
                <w:sz w:val="20"/>
                <w:szCs w:val="20"/>
                <w:lang w:val="en-GB"/>
              </w:rPr>
              <w:t>140.39</w:t>
            </w:r>
          </w:p>
        </w:tc>
        <w:tc>
          <w:tcPr>
            <w:tcW w:w="1558" w:type="dxa"/>
            <w:vAlign w:val="center"/>
          </w:tcPr>
          <w:p>
            <w:pPr>
              <w:spacing w:after="0" w:line="240" w:lineRule="auto"/>
              <w:jc w:val="center"/>
              <w:rPr>
                <w:rFonts w:hint="eastAsia" w:ascii="仿宋" w:hAnsi="仿宋" w:eastAsia="仿宋" w:cs="宋体"/>
                <w:color w:val="000000"/>
                <w:kern w:val="0"/>
                <w:sz w:val="20"/>
                <w:szCs w:val="20"/>
              </w:rPr>
            </w:pPr>
            <w:r>
              <w:rPr>
                <w:rFonts w:ascii="仿宋" w:hAnsi="仿宋" w:eastAsia="仿宋"/>
                <w:color w:val="000000"/>
                <w:kern w:val="0"/>
                <w:sz w:val="20"/>
                <w:szCs w:val="20"/>
              </w:rPr>
              <w:t>120.43</w:t>
            </w:r>
          </w:p>
        </w:tc>
      </w:tr>
      <w:tr>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3972" w:type="dxa"/>
            <w:vAlign w:val="center"/>
          </w:tcPr>
          <w:p>
            <w:pPr>
              <w:spacing w:after="0" w:line="240" w:lineRule="auto"/>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lang w:bidi="ar"/>
              </w:rPr>
              <w:t>其中：国有土地出让收入</w:t>
            </w:r>
          </w:p>
        </w:tc>
        <w:tc>
          <w:tcPr>
            <w:tcW w:w="1558" w:type="dxa"/>
            <w:vAlign w:val="center"/>
          </w:tcPr>
          <w:p>
            <w:pPr>
              <w:spacing w:after="0" w:line="240" w:lineRule="auto"/>
              <w:jc w:val="center"/>
              <w:rPr>
                <w:rFonts w:hint="eastAsia" w:ascii="仿宋" w:hAnsi="仿宋" w:eastAsia="仿宋" w:cs="宋体"/>
                <w:color w:val="000000"/>
                <w:kern w:val="0"/>
                <w:sz w:val="20"/>
                <w:szCs w:val="20"/>
                <w:shd w:val="clear" w:color="auto" w:fill="FFFFFF"/>
              </w:rPr>
            </w:pPr>
            <w:r>
              <w:rPr>
                <w:rFonts w:ascii="仿宋" w:hAnsi="仿宋" w:eastAsia="仿宋"/>
                <w:color w:val="000000"/>
                <w:kern w:val="0"/>
                <w:sz w:val="20"/>
                <w:szCs w:val="20"/>
                <w:lang w:val="en-GB"/>
              </w:rPr>
              <w:t>176.60</w:t>
            </w:r>
          </w:p>
        </w:tc>
        <w:tc>
          <w:tcPr>
            <w:tcW w:w="1558" w:type="dxa"/>
            <w:vAlign w:val="center"/>
          </w:tcPr>
          <w:p>
            <w:pPr>
              <w:spacing w:after="0" w:line="240" w:lineRule="auto"/>
              <w:jc w:val="center"/>
              <w:rPr>
                <w:rFonts w:hint="eastAsia" w:ascii="仿宋" w:hAnsi="仿宋" w:eastAsia="仿宋" w:cs="宋体"/>
                <w:color w:val="000000"/>
                <w:kern w:val="0"/>
                <w:sz w:val="20"/>
                <w:szCs w:val="20"/>
              </w:rPr>
            </w:pPr>
            <w:r>
              <w:rPr>
                <w:rFonts w:ascii="仿宋" w:hAnsi="仿宋" w:eastAsia="仿宋"/>
                <w:color w:val="000000"/>
                <w:kern w:val="0"/>
                <w:sz w:val="20"/>
                <w:szCs w:val="20"/>
                <w:lang w:val="en-GB"/>
              </w:rPr>
              <w:t>124.67</w:t>
            </w:r>
          </w:p>
        </w:tc>
        <w:tc>
          <w:tcPr>
            <w:tcW w:w="1558" w:type="dxa"/>
            <w:vAlign w:val="center"/>
          </w:tcPr>
          <w:p>
            <w:pPr>
              <w:spacing w:after="0" w:line="240" w:lineRule="auto"/>
              <w:jc w:val="center"/>
              <w:rPr>
                <w:rFonts w:hint="eastAsia" w:ascii="仿宋" w:hAnsi="仿宋" w:eastAsia="仿宋" w:cs="宋体"/>
                <w:color w:val="000000"/>
                <w:kern w:val="0"/>
                <w:sz w:val="20"/>
                <w:szCs w:val="20"/>
              </w:rPr>
            </w:pPr>
            <w:r>
              <w:rPr>
                <w:rFonts w:ascii="仿宋" w:hAnsi="仿宋" w:eastAsia="仿宋"/>
                <w:color w:val="000000"/>
                <w:kern w:val="0"/>
                <w:sz w:val="20"/>
                <w:szCs w:val="20"/>
              </w:rPr>
              <w:t>108.59</w:t>
            </w:r>
          </w:p>
        </w:tc>
      </w:tr>
      <w:tr>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3972" w:type="dxa"/>
            <w:vAlign w:val="center"/>
          </w:tcPr>
          <w:p>
            <w:pPr>
              <w:spacing w:after="0" w:line="240" w:lineRule="auto"/>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lang w:bidi="ar"/>
              </w:rPr>
              <w:t>政府性基金支出</w:t>
            </w:r>
          </w:p>
        </w:tc>
        <w:tc>
          <w:tcPr>
            <w:tcW w:w="1558" w:type="dxa"/>
            <w:vAlign w:val="center"/>
          </w:tcPr>
          <w:p>
            <w:pPr>
              <w:spacing w:after="0" w:line="240" w:lineRule="auto"/>
              <w:jc w:val="center"/>
              <w:rPr>
                <w:rFonts w:hint="eastAsia" w:ascii="仿宋" w:hAnsi="仿宋" w:eastAsia="仿宋" w:cs="宋体"/>
                <w:color w:val="000000"/>
                <w:kern w:val="0"/>
                <w:sz w:val="20"/>
                <w:szCs w:val="20"/>
                <w:shd w:val="clear" w:color="auto" w:fill="FFFFFF"/>
              </w:rPr>
            </w:pPr>
            <w:r>
              <w:rPr>
                <w:rFonts w:ascii="仿宋" w:hAnsi="仿宋" w:eastAsia="仿宋"/>
                <w:color w:val="000000"/>
                <w:kern w:val="0"/>
                <w:sz w:val="20"/>
                <w:szCs w:val="20"/>
                <w:lang w:val="en-GB"/>
              </w:rPr>
              <w:t>310.21</w:t>
            </w:r>
          </w:p>
        </w:tc>
        <w:tc>
          <w:tcPr>
            <w:tcW w:w="1558" w:type="dxa"/>
            <w:vAlign w:val="center"/>
          </w:tcPr>
          <w:p>
            <w:pPr>
              <w:spacing w:after="0" w:line="240" w:lineRule="auto"/>
              <w:jc w:val="center"/>
              <w:rPr>
                <w:rFonts w:hint="eastAsia" w:ascii="仿宋" w:hAnsi="仿宋" w:eastAsia="仿宋" w:cs="宋体"/>
                <w:color w:val="000000"/>
                <w:kern w:val="0"/>
                <w:sz w:val="20"/>
                <w:szCs w:val="20"/>
              </w:rPr>
            </w:pPr>
            <w:r>
              <w:rPr>
                <w:rFonts w:ascii="仿宋" w:hAnsi="仿宋" w:eastAsia="仿宋"/>
                <w:color w:val="000000"/>
                <w:kern w:val="0"/>
                <w:sz w:val="20"/>
                <w:szCs w:val="20"/>
                <w:lang w:val="en-GB"/>
              </w:rPr>
              <w:t>264.76</w:t>
            </w:r>
          </w:p>
        </w:tc>
        <w:tc>
          <w:tcPr>
            <w:tcW w:w="1558" w:type="dxa"/>
            <w:vAlign w:val="center"/>
          </w:tcPr>
          <w:p>
            <w:pPr>
              <w:spacing w:after="0" w:line="240" w:lineRule="auto"/>
              <w:jc w:val="center"/>
              <w:rPr>
                <w:rFonts w:hint="eastAsia" w:ascii="仿宋" w:hAnsi="仿宋" w:eastAsia="仿宋" w:cs="宋体"/>
                <w:color w:val="000000"/>
                <w:kern w:val="0"/>
                <w:sz w:val="20"/>
                <w:szCs w:val="20"/>
              </w:rPr>
            </w:pPr>
            <w:r>
              <w:rPr>
                <w:rFonts w:ascii="仿宋" w:hAnsi="仿宋" w:eastAsia="仿宋"/>
                <w:color w:val="000000"/>
                <w:kern w:val="0"/>
                <w:sz w:val="20"/>
                <w:szCs w:val="20"/>
              </w:rPr>
              <w:t>294.07</w:t>
            </w:r>
          </w:p>
        </w:tc>
      </w:tr>
      <w:tr>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3972" w:type="dxa"/>
            <w:vAlign w:val="center"/>
          </w:tcPr>
          <w:p>
            <w:pPr>
              <w:spacing w:after="0" w:line="240" w:lineRule="auto"/>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lang w:bidi="ar"/>
              </w:rPr>
              <w:t>其中：国有土地出让支出</w:t>
            </w:r>
          </w:p>
        </w:tc>
        <w:tc>
          <w:tcPr>
            <w:tcW w:w="1558" w:type="dxa"/>
            <w:vAlign w:val="center"/>
          </w:tcPr>
          <w:p>
            <w:pPr>
              <w:spacing w:after="0" w:line="240" w:lineRule="auto"/>
              <w:jc w:val="center"/>
              <w:rPr>
                <w:rFonts w:hint="eastAsia" w:ascii="仿宋" w:hAnsi="仿宋" w:eastAsia="仿宋" w:cs="宋体"/>
                <w:color w:val="000000"/>
                <w:kern w:val="0"/>
                <w:sz w:val="20"/>
                <w:szCs w:val="20"/>
                <w:shd w:val="clear" w:color="auto" w:fill="FFFFFF"/>
              </w:rPr>
            </w:pPr>
            <w:r>
              <w:rPr>
                <w:rFonts w:ascii="仿宋" w:hAnsi="仿宋" w:eastAsia="仿宋"/>
                <w:color w:val="000000"/>
                <w:kern w:val="0"/>
                <w:sz w:val="20"/>
                <w:szCs w:val="20"/>
                <w:lang w:val="en-GB"/>
              </w:rPr>
              <w:t>147.61</w:t>
            </w:r>
          </w:p>
        </w:tc>
        <w:tc>
          <w:tcPr>
            <w:tcW w:w="1558" w:type="dxa"/>
            <w:vAlign w:val="center"/>
          </w:tcPr>
          <w:p>
            <w:pPr>
              <w:spacing w:after="0" w:line="240" w:lineRule="auto"/>
              <w:jc w:val="center"/>
              <w:rPr>
                <w:rFonts w:hint="eastAsia" w:ascii="仿宋" w:hAnsi="仿宋" w:eastAsia="仿宋" w:cs="宋体"/>
                <w:color w:val="000000"/>
                <w:kern w:val="0"/>
                <w:sz w:val="20"/>
                <w:szCs w:val="20"/>
              </w:rPr>
            </w:pPr>
            <w:r>
              <w:rPr>
                <w:rFonts w:ascii="仿宋" w:hAnsi="仿宋" w:eastAsia="仿宋"/>
                <w:color w:val="000000"/>
                <w:kern w:val="0"/>
                <w:sz w:val="20"/>
                <w:szCs w:val="20"/>
                <w:lang w:val="en-GB"/>
              </w:rPr>
              <w:t>109.46</w:t>
            </w:r>
          </w:p>
        </w:tc>
        <w:tc>
          <w:tcPr>
            <w:tcW w:w="1558" w:type="dxa"/>
            <w:vAlign w:val="center"/>
          </w:tcPr>
          <w:p>
            <w:pPr>
              <w:spacing w:after="0" w:line="240" w:lineRule="auto"/>
              <w:jc w:val="center"/>
              <w:rPr>
                <w:rFonts w:hint="eastAsia" w:ascii="仿宋" w:hAnsi="仿宋" w:eastAsia="仿宋" w:cs="宋体"/>
                <w:color w:val="000000"/>
                <w:kern w:val="0"/>
                <w:sz w:val="20"/>
                <w:szCs w:val="20"/>
              </w:rPr>
            </w:pPr>
            <w:r>
              <w:rPr>
                <w:rFonts w:ascii="仿宋" w:hAnsi="仿宋" w:eastAsia="仿宋"/>
                <w:color w:val="000000"/>
                <w:kern w:val="0"/>
                <w:sz w:val="20"/>
                <w:szCs w:val="20"/>
              </w:rPr>
              <w:t>72.02</w:t>
            </w:r>
          </w:p>
        </w:tc>
      </w:tr>
      <w:tr>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3972" w:type="dxa"/>
            <w:vAlign w:val="center"/>
          </w:tcPr>
          <w:p>
            <w:pPr>
              <w:spacing w:after="0" w:line="240" w:lineRule="auto"/>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lang w:bidi="ar"/>
              </w:rPr>
              <w:t>地方债务限额</w:t>
            </w:r>
          </w:p>
        </w:tc>
        <w:tc>
          <w:tcPr>
            <w:tcW w:w="1558" w:type="dxa"/>
            <w:vAlign w:val="center"/>
          </w:tcPr>
          <w:p>
            <w:pPr>
              <w:spacing w:after="0" w:line="240" w:lineRule="auto"/>
              <w:jc w:val="center"/>
              <w:rPr>
                <w:rFonts w:hint="eastAsia" w:ascii="仿宋" w:hAnsi="仿宋" w:eastAsia="仿宋" w:cs="宋体"/>
                <w:color w:val="000000"/>
                <w:kern w:val="0"/>
                <w:sz w:val="20"/>
                <w:szCs w:val="20"/>
                <w:shd w:val="clear" w:color="auto" w:fill="FFFFFF"/>
              </w:rPr>
            </w:pPr>
            <w:r>
              <w:rPr>
                <w:rFonts w:ascii="仿宋" w:hAnsi="仿宋" w:eastAsia="仿宋"/>
                <w:color w:val="000000"/>
                <w:kern w:val="0"/>
                <w:sz w:val="20"/>
                <w:szCs w:val="20"/>
                <w:lang w:val="en-GB"/>
              </w:rPr>
              <w:t>752.70</w:t>
            </w:r>
          </w:p>
        </w:tc>
        <w:tc>
          <w:tcPr>
            <w:tcW w:w="1558" w:type="dxa"/>
            <w:vAlign w:val="center"/>
          </w:tcPr>
          <w:p>
            <w:pPr>
              <w:spacing w:after="0" w:line="240" w:lineRule="auto"/>
              <w:jc w:val="center"/>
              <w:rPr>
                <w:rFonts w:hint="eastAsia" w:ascii="仿宋" w:hAnsi="仿宋" w:eastAsia="仿宋" w:cs="宋体"/>
                <w:color w:val="000000"/>
                <w:kern w:val="0"/>
                <w:sz w:val="20"/>
                <w:szCs w:val="20"/>
              </w:rPr>
            </w:pPr>
            <w:r>
              <w:rPr>
                <w:rFonts w:ascii="仿宋" w:hAnsi="仿宋" w:eastAsia="仿宋"/>
                <w:color w:val="000000"/>
                <w:kern w:val="0"/>
                <w:sz w:val="20"/>
                <w:szCs w:val="20"/>
                <w:lang w:val="en-GB"/>
              </w:rPr>
              <w:t>892.40</w:t>
            </w:r>
          </w:p>
        </w:tc>
        <w:tc>
          <w:tcPr>
            <w:tcW w:w="1558" w:type="dxa"/>
            <w:vAlign w:val="center"/>
          </w:tcPr>
          <w:p>
            <w:pPr>
              <w:spacing w:after="0" w:line="240" w:lineRule="auto"/>
              <w:jc w:val="center"/>
              <w:rPr>
                <w:rFonts w:hint="eastAsia" w:ascii="仿宋" w:hAnsi="仿宋" w:eastAsia="仿宋" w:cs="宋体"/>
                <w:color w:val="000000"/>
                <w:kern w:val="0"/>
                <w:sz w:val="20"/>
                <w:szCs w:val="20"/>
              </w:rPr>
            </w:pPr>
            <w:r>
              <w:rPr>
                <w:rFonts w:ascii="仿宋" w:hAnsi="仿宋" w:eastAsia="仿宋"/>
                <w:color w:val="000000"/>
                <w:kern w:val="0"/>
                <w:sz w:val="20"/>
                <w:szCs w:val="20"/>
              </w:rPr>
              <w:t>1161.30</w:t>
            </w:r>
          </w:p>
        </w:tc>
      </w:tr>
      <w:tr>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3972" w:type="dxa"/>
            <w:vAlign w:val="center"/>
          </w:tcPr>
          <w:p>
            <w:pPr>
              <w:spacing w:after="0" w:line="240" w:lineRule="auto"/>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lang w:bidi="ar"/>
              </w:rPr>
              <w:t>其中：一般债务限额</w:t>
            </w:r>
          </w:p>
        </w:tc>
        <w:tc>
          <w:tcPr>
            <w:tcW w:w="1558" w:type="dxa"/>
            <w:vAlign w:val="center"/>
          </w:tcPr>
          <w:p>
            <w:pPr>
              <w:spacing w:after="0" w:line="240" w:lineRule="auto"/>
              <w:jc w:val="center"/>
              <w:rPr>
                <w:rFonts w:hint="eastAsia" w:ascii="仿宋" w:hAnsi="仿宋" w:eastAsia="仿宋" w:cs="宋体"/>
                <w:color w:val="000000"/>
                <w:kern w:val="0"/>
                <w:sz w:val="20"/>
                <w:szCs w:val="20"/>
                <w:shd w:val="clear" w:color="auto" w:fill="FFFFFF"/>
              </w:rPr>
            </w:pPr>
            <w:r>
              <w:rPr>
                <w:rFonts w:ascii="仿宋" w:hAnsi="仿宋" w:eastAsia="仿宋"/>
                <w:color w:val="000000"/>
                <w:kern w:val="0"/>
                <w:sz w:val="20"/>
                <w:szCs w:val="20"/>
                <w:lang w:val="en-GB"/>
              </w:rPr>
              <w:t>219.77</w:t>
            </w:r>
          </w:p>
        </w:tc>
        <w:tc>
          <w:tcPr>
            <w:tcW w:w="1558" w:type="dxa"/>
            <w:vAlign w:val="center"/>
          </w:tcPr>
          <w:p>
            <w:pPr>
              <w:spacing w:after="0" w:line="240" w:lineRule="auto"/>
              <w:jc w:val="center"/>
              <w:rPr>
                <w:rFonts w:hint="eastAsia" w:ascii="仿宋" w:hAnsi="仿宋" w:eastAsia="仿宋" w:cs="宋体"/>
                <w:color w:val="000000"/>
                <w:kern w:val="0"/>
                <w:sz w:val="20"/>
                <w:szCs w:val="20"/>
              </w:rPr>
            </w:pPr>
            <w:r>
              <w:rPr>
                <w:rFonts w:ascii="仿宋" w:hAnsi="仿宋" w:eastAsia="仿宋"/>
                <w:color w:val="000000"/>
                <w:kern w:val="0"/>
                <w:sz w:val="20"/>
                <w:szCs w:val="20"/>
                <w:lang w:val="en-GB"/>
              </w:rPr>
              <w:t>230.47</w:t>
            </w:r>
          </w:p>
        </w:tc>
        <w:tc>
          <w:tcPr>
            <w:tcW w:w="1558" w:type="dxa"/>
            <w:vAlign w:val="center"/>
          </w:tcPr>
          <w:p>
            <w:pPr>
              <w:spacing w:after="0" w:line="240" w:lineRule="auto"/>
              <w:jc w:val="center"/>
              <w:rPr>
                <w:rFonts w:hint="eastAsia" w:ascii="仿宋" w:hAnsi="仿宋" w:eastAsia="仿宋" w:cs="宋体"/>
                <w:color w:val="000000"/>
                <w:kern w:val="0"/>
                <w:sz w:val="20"/>
                <w:szCs w:val="20"/>
              </w:rPr>
            </w:pPr>
            <w:r>
              <w:rPr>
                <w:rFonts w:ascii="仿宋" w:hAnsi="仿宋" w:eastAsia="仿宋"/>
                <w:color w:val="000000"/>
                <w:kern w:val="0"/>
                <w:sz w:val="20"/>
                <w:szCs w:val="20"/>
              </w:rPr>
              <w:t>235.24</w:t>
            </w:r>
          </w:p>
        </w:tc>
      </w:tr>
      <w:tr>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3972" w:type="dxa"/>
            <w:vAlign w:val="center"/>
          </w:tcPr>
          <w:p>
            <w:pPr>
              <w:spacing w:after="0" w:line="240" w:lineRule="auto"/>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lang w:bidi="ar"/>
              </w:rPr>
              <w:t>专项债务限额</w:t>
            </w:r>
          </w:p>
        </w:tc>
        <w:tc>
          <w:tcPr>
            <w:tcW w:w="1558" w:type="dxa"/>
            <w:vAlign w:val="center"/>
          </w:tcPr>
          <w:p>
            <w:pPr>
              <w:spacing w:after="0" w:line="240" w:lineRule="auto"/>
              <w:jc w:val="center"/>
              <w:rPr>
                <w:rFonts w:hint="eastAsia" w:ascii="仿宋" w:hAnsi="仿宋" w:eastAsia="仿宋" w:cs="宋体"/>
                <w:color w:val="000000"/>
                <w:kern w:val="0"/>
                <w:sz w:val="20"/>
                <w:szCs w:val="20"/>
                <w:shd w:val="clear" w:color="auto" w:fill="FFFFFF"/>
              </w:rPr>
            </w:pPr>
            <w:r>
              <w:rPr>
                <w:rFonts w:ascii="仿宋" w:hAnsi="仿宋" w:eastAsia="仿宋"/>
                <w:color w:val="000000"/>
                <w:kern w:val="0"/>
                <w:sz w:val="20"/>
                <w:szCs w:val="20"/>
                <w:lang w:val="en-GB"/>
              </w:rPr>
              <w:t>532.93</w:t>
            </w:r>
          </w:p>
        </w:tc>
        <w:tc>
          <w:tcPr>
            <w:tcW w:w="1558" w:type="dxa"/>
            <w:vAlign w:val="center"/>
          </w:tcPr>
          <w:p>
            <w:pPr>
              <w:spacing w:after="0" w:line="240" w:lineRule="auto"/>
              <w:jc w:val="center"/>
              <w:rPr>
                <w:rFonts w:hint="eastAsia" w:ascii="仿宋" w:hAnsi="仿宋" w:eastAsia="仿宋" w:cs="宋体"/>
                <w:color w:val="000000"/>
                <w:kern w:val="0"/>
                <w:sz w:val="20"/>
                <w:szCs w:val="20"/>
              </w:rPr>
            </w:pPr>
            <w:r>
              <w:rPr>
                <w:rFonts w:ascii="仿宋" w:hAnsi="仿宋" w:eastAsia="仿宋"/>
                <w:color w:val="000000"/>
                <w:kern w:val="0"/>
                <w:sz w:val="20"/>
                <w:szCs w:val="20"/>
                <w:lang w:val="en-GB"/>
              </w:rPr>
              <w:t>661.93</w:t>
            </w:r>
          </w:p>
        </w:tc>
        <w:tc>
          <w:tcPr>
            <w:tcW w:w="1558" w:type="dxa"/>
            <w:vAlign w:val="center"/>
          </w:tcPr>
          <w:p>
            <w:pPr>
              <w:spacing w:after="0" w:line="240" w:lineRule="auto"/>
              <w:jc w:val="center"/>
              <w:rPr>
                <w:rFonts w:hint="eastAsia" w:ascii="仿宋" w:hAnsi="仿宋" w:eastAsia="仿宋" w:cs="宋体"/>
                <w:color w:val="000000"/>
                <w:kern w:val="0"/>
                <w:sz w:val="20"/>
                <w:szCs w:val="20"/>
              </w:rPr>
            </w:pPr>
            <w:r>
              <w:rPr>
                <w:rFonts w:ascii="仿宋" w:hAnsi="仿宋" w:eastAsia="仿宋"/>
                <w:color w:val="000000"/>
                <w:kern w:val="0"/>
                <w:sz w:val="20"/>
                <w:szCs w:val="20"/>
              </w:rPr>
              <w:t>926.07</w:t>
            </w:r>
          </w:p>
        </w:tc>
      </w:tr>
      <w:tr>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3972" w:type="dxa"/>
            <w:vAlign w:val="center"/>
          </w:tcPr>
          <w:p>
            <w:pPr>
              <w:spacing w:after="0" w:line="240" w:lineRule="auto"/>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lang w:bidi="ar"/>
              </w:rPr>
              <w:t>地方债务余额</w:t>
            </w:r>
          </w:p>
        </w:tc>
        <w:tc>
          <w:tcPr>
            <w:tcW w:w="1558" w:type="dxa"/>
            <w:vAlign w:val="center"/>
          </w:tcPr>
          <w:p>
            <w:pPr>
              <w:spacing w:after="0" w:line="240" w:lineRule="auto"/>
              <w:jc w:val="center"/>
              <w:rPr>
                <w:rFonts w:hint="eastAsia" w:ascii="仿宋" w:hAnsi="仿宋" w:eastAsia="仿宋" w:cs="宋体"/>
                <w:color w:val="000000"/>
                <w:kern w:val="0"/>
                <w:sz w:val="20"/>
                <w:szCs w:val="20"/>
                <w:shd w:val="clear" w:color="auto" w:fill="FFFFFF"/>
              </w:rPr>
            </w:pPr>
            <w:r>
              <w:rPr>
                <w:rFonts w:ascii="仿宋" w:hAnsi="仿宋" w:eastAsia="仿宋"/>
                <w:color w:val="000000"/>
                <w:kern w:val="0"/>
                <w:sz w:val="20"/>
                <w:szCs w:val="20"/>
                <w:lang w:val="en-GB"/>
              </w:rPr>
              <w:t>752.70</w:t>
            </w:r>
          </w:p>
        </w:tc>
        <w:tc>
          <w:tcPr>
            <w:tcW w:w="1558" w:type="dxa"/>
            <w:vAlign w:val="center"/>
          </w:tcPr>
          <w:p>
            <w:pPr>
              <w:spacing w:after="0" w:line="240" w:lineRule="auto"/>
              <w:jc w:val="center"/>
              <w:rPr>
                <w:rFonts w:hint="eastAsia" w:ascii="仿宋" w:hAnsi="仿宋" w:eastAsia="仿宋" w:cs="宋体"/>
                <w:color w:val="000000"/>
                <w:kern w:val="0"/>
                <w:sz w:val="20"/>
                <w:szCs w:val="20"/>
              </w:rPr>
            </w:pPr>
            <w:r>
              <w:rPr>
                <w:rFonts w:ascii="仿宋" w:hAnsi="仿宋" w:eastAsia="仿宋"/>
                <w:color w:val="000000"/>
                <w:kern w:val="0"/>
                <w:sz w:val="20"/>
                <w:szCs w:val="20"/>
                <w:lang w:val="en-GB"/>
              </w:rPr>
              <w:t>889.45</w:t>
            </w:r>
          </w:p>
        </w:tc>
        <w:tc>
          <w:tcPr>
            <w:tcW w:w="1558" w:type="dxa"/>
            <w:vAlign w:val="center"/>
          </w:tcPr>
          <w:p>
            <w:pPr>
              <w:spacing w:after="0" w:line="240" w:lineRule="auto"/>
              <w:jc w:val="center"/>
              <w:rPr>
                <w:rFonts w:hint="eastAsia" w:ascii="仿宋" w:hAnsi="仿宋" w:eastAsia="仿宋" w:cs="宋体"/>
                <w:color w:val="000000"/>
                <w:kern w:val="0"/>
                <w:sz w:val="20"/>
                <w:szCs w:val="20"/>
              </w:rPr>
            </w:pPr>
            <w:r>
              <w:rPr>
                <w:rFonts w:ascii="仿宋" w:hAnsi="仿宋" w:eastAsia="仿宋"/>
                <w:color w:val="000000"/>
                <w:kern w:val="0"/>
                <w:sz w:val="20"/>
                <w:szCs w:val="20"/>
              </w:rPr>
              <w:t>1141.70</w:t>
            </w:r>
          </w:p>
        </w:tc>
      </w:tr>
      <w:tr>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3972" w:type="dxa"/>
            <w:vAlign w:val="center"/>
          </w:tcPr>
          <w:p>
            <w:pPr>
              <w:spacing w:after="0" w:line="240" w:lineRule="auto"/>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lang w:bidi="ar"/>
              </w:rPr>
              <w:t>其中：一般债务余额</w:t>
            </w:r>
          </w:p>
        </w:tc>
        <w:tc>
          <w:tcPr>
            <w:tcW w:w="1558" w:type="dxa"/>
            <w:vAlign w:val="center"/>
          </w:tcPr>
          <w:p>
            <w:pPr>
              <w:spacing w:after="0" w:line="240" w:lineRule="auto"/>
              <w:jc w:val="center"/>
              <w:rPr>
                <w:rFonts w:hint="eastAsia" w:ascii="仿宋" w:hAnsi="仿宋" w:eastAsia="仿宋" w:cs="宋体"/>
                <w:color w:val="000000"/>
                <w:kern w:val="0"/>
                <w:sz w:val="20"/>
                <w:szCs w:val="20"/>
                <w:shd w:val="clear" w:color="auto" w:fill="FFFFFF"/>
              </w:rPr>
            </w:pPr>
            <w:r>
              <w:rPr>
                <w:rFonts w:ascii="仿宋" w:hAnsi="仿宋" w:eastAsia="仿宋"/>
                <w:color w:val="000000"/>
                <w:kern w:val="0"/>
                <w:sz w:val="20"/>
                <w:szCs w:val="20"/>
                <w:lang w:val="en-GB"/>
              </w:rPr>
              <w:t>219.77</w:t>
            </w:r>
          </w:p>
        </w:tc>
        <w:tc>
          <w:tcPr>
            <w:tcW w:w="1558" w:type="dxa"/>
            <w:vAlign w:val="center"/>
          </w:tcPr>
          <w:p>
            <w:pPr>
              <w:spacing w:after="0" w:line="240" w:lineRule="auto"/>
              <w:jc w:val="center"/>
              <w:rPr>
                <w:rFonts w:hint="eastAsia" w:ascii="仿宋" w:hAnsi="仿宋" w:eastAsia="仿宋" w:cs="宋体"/>
                <w:color w:val="000000"/>
                <w:kern w:val="0"/>
                <w:sz w:val="20"/>
                <w:szCs w:val="20"/>
              </w:rPr>
            </w:pPr>
            <w:r>
              <w:rPr>
                <w:rFonts w:ascii="仿宋" w:hAnsi="仿宋" w:eastAsia="仿宋"/>
                <w:color w:val="000000"/>
                <w:kern w:val="0"/>
                <w:sz w:val="20"/>
                <w:szCs w:val="20"/>
                <w:lang w:val="en-GB"/>
              </w:rPr>
              <w:t>228.11</w:t>
            </w:r>
          </w:p>
        </w:tc>
        <w:tc>
          <w:tcPr>
            <w:tcW w:w="1558" w:type="dxa"/>
            <w:vAlign w:val="center"/>
          </w:tcPr>
          <w:p>
            <w:pPr>
              <w:spacing w:after="0" w:line="240" w:lineRule="auto"/>
              <w:jc w:val="center"/>
              <w:rPr>
                <w:rFonts w:hint="eastAsia" w:ascii="仿宋" w:hAnsi="仿宋" w:eastAsia="仿宋" w:cs="宋体"/>
                <w:color w:val="000000"/>
                <w:kern w:val="0"/>
                <w:sz w:val="20"/>
                <w:szCs w:val="20"/>
              </w:rPr>
            </w:pPr>
            <w:r>
              <w:rPr>
                <w:rFonts w:ascii="仿宋" w:hAnsi="仿宋" w:eastAsia="仿宋"/>
                <w:color w:val="000000"/>
                <w:kern w:val="0"/>
                <w:sz w:val="20"/>
                <w:szCs w:val="20"/>
              </w:rPr>
              <w:t>227.33</w:t>
            </w:r>
          </w:p>
        </w:tc>
      </w:tr>
      <w:tr>
        <w:tblPrEx>
          <w:tblBorders>
            <w:top w:val="single" w:color="auto" w:sz="12" w:space="0"/>
            <w:left w:val="none" w:color="auto" w:sz="0" w:space="0"/>
            <w:bottom w:val="single" w:color="auto" w:sz="12"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20" w:hRule="atLeast"/>
          <w:jc w:val="center"/>
        </w:trPr>
        <w:tc>
          <w:tcPr>
            <w:tcW w:w="3972" w:type="dxa"/>
            <w:vAlign w:val="center"/>
          </w:tcPr>
          <w:p>
            <w:pPr>
              <w:spacing w:after="0" w:line="240" w:lineRule="auto"/>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lang w:bidi="ar"/>
              </w:rPr>
              <w:t>专项债务余额</w:t>
            </w:r>
          </w:p>
        </w:tc>
        <w:tc>
          <w:tcPr>
            <w:tcW w:w="1558" w:type="dxa"/>
            <w:vAlign w:val="center"/>
          </w:tcPr>
          <w:p>
            <w:pPr>
              <w:spacing w:after="0" w:line="240" w:lineRule="auto"/>
              <w:jc w:val="center"/>
              <w:rPr>
                <w:rFonts w:hint="eastAsia" w:ascii="仿宋" w:hAnsi="仿宋" w:eastAsia="仿宋" w:cs="宋体"/>
                <w:color w:val="000000"/>
                <w:kern w:val="0"/>
                <w:sz w:val="20"/>
                <w:szCs w:val="20"/>
                <w:shd w:val="clear" w:color="auto" w:fill="FFFFFF"/>
              </w:rPr>
            </w:pPr>
            <w:r>
              <w:rPr>
                <w:rFonts w:ascii="仿宋" w:hAnsi="仿宋" w:eastAsia="仿宋"/>
                <w:color w:val="000000"/>
                <w:kern w:val="0"/>
                <w:sz w:val="20"/>
                <w:szCs w:val="20"/>
                <w:lang w:val="en-GB"/>
              </w:rPr>
              <w:t>532.93</w:t>
            </w:r>
          </w:p>
        </w:tc>
        <w:tc>
          <w:tcPr>
            <w:tcW w:w="1558" w:type="dxa"/>
            <w:vAlign w:val="center"/>
          </w:tcPr>
          <w:p>
            <w:pPr>
              <w:spacing w:after="0" w:line="240" w:lineRule="auto"/>
              <w:jc w:val="center"/>
              <w:rPr>
                <w:rFonts w:hint="eastAsia" w:ascii="仿宋" w:hAnsi="仿宋" w:eastAsia="仿宋" w:cs="宋体"/>
                <w:color w:val="000000"/>
                <w:kern w:val="0"/>
                <w:sz w:val="20"/>
                <w:szCs w:val="20"/>
              </w:rPr>
            </w:pPr>
            <w:r>
              <w:rPr>
                <w:rFonts w:ascii="仿宋" w:hAnsi="仿宋" w:eastAsia="仿宋"/>
                <w:color w:val="000000"/>
                <w:kern w:val="0"/>
                <w:sz w:val="20"/>
                <w:szCs w:val="20"/>
                <w:lang w:val="en-GB"/>
              </w:rPr>
              <w:t>661.34</w:t>
            </w:r>
          </w:p>
        </w:tc>
        <w:tc>
          <w:tcPr>
            <w:tcW w:w="1558" w:type="dxa"/>
            <w:vAlign w:val="center"/>
          </w:tcPr>
          <w:p>
            <w:pPr>
              <w:spacing w:after="0" w:line="240" w:lineRule="auto"/>
              <w:jc w:val="center"/>
              <w:rPr>
                <w:rFonts w:hint="eastAsia" w:ascii="仿宋" w:hAnsi="仿宋" w:eastAsia="仿宋" w:cs="宋体"/>
                <w:color w:val="000000"/>
                <w:kern w:val="0"/>
                <w:sz w:val="20"/>
                <w:szCs w:val="20"/>
              </w:rPr>
            </w:pPr>
            <w:r>
              <w:rPr>
                <w:rFonts w:ascii="仿宋" w:hAnsi="仿宋" w:eastAsia="仿宋"/>
                <w:color w:val="000000"/>
                <w:kern w:val="0"/>
                <w:sz w:val="20"/>
                <w:szCs w:val="20"/>
              </w:rPr>
              <w:t>914.37</w:t>
            </w:r>
          </w:p>
        </w:tc>
      </w:tr>
    </w:tbl>
    <w:p>
      <w:pPr>
        <w:spacing w:after="0" w:line="240" w:lineRule="auto"/>
        <w:rPr>
          <w:rFonts w:hint="eastAsia" w:ascii="仿宋" w:hAnsi="仿宋" w:eastAsia="仿宋"/>
          <w:color w:val="000000"/>
          <w:sz w:val="20"/>
          <w:szCs w:val="20"/>
          <w:shd w:val="clear" w:color="auto" w:fill="FFFFFF"/>
        </w:rPr>
      </w:pPr>
      <w:r>
        <w:rPr>
          <w:rFonts w:hint="eastAsia" w:ascii="仿宋" w:hAnsi="仿宋" w:eastAsia="仿宋"/>
          <w:color w:val="000000"/>
          <w:sz w:val="20"/>
          <w:szCs w:val="20"/>
          <w:shd w:val="clear" w:color="auto" w:fill="FFFFFF"/>
        </w:rPr>
        <w:t>注：以上数据来源于海口市财政局。</w:t>
      </w:r>
    </w:p>
    <w:bookmarkEnd w:id="4"/>
    <w:bookmarkEnd w:id="5"/>
    <w:p>
      <w:pPr>
        <w:pStyle w:val="3"/>
        <w:spacing w:before="120" w:after="0" w:line="360" w:lineRule="auto"/>
        <w:ind w:firstLine="562" w:firstLineChars="200"/>
        <w:rPr>
          <w:rFonts w:hint="eastAsia" w:ascii="仿宋" w:hAnsi="仿宋" w:eastAsia="仿宋" w:cs="楷体"/>
          <w:color w:val="000000" w:themeColor="text1"/>
          <w:kern w:val="0"/>
          <w:sz w:val="28"/>
          <w:szCs w:val="28"/>
          <w14:textFill>
            <w14:solidFill>
              <w14:schemeClr w14:val="tx1"/>
            </w14:solidFill>
          </w14:textFill>
        </w:rPr>
      </w:pPr>
      <w:bookmarkStart w:id="6" w:name="_Toc200722003"/>
      <w:r>
        <w:rPr>
          <w:rFonts w:hint="eastAsia" w:ascii="仿宋" w:hAnsi="仿宋" w:eastAsia="仿宋" w:cs="楷体"/>
          <w:color w:val="000000" w:themeColor="text1"/>
          <w:kern w:val="0"/>
          <w:sz w:val="28"/>
          <w:szCs w:val="28"/>
          <w14:textFill>
            <w14:solidFill>
              <w14:schemeClr w14:val="tx1"/>
            </w14:solidFill>
          </w14:textFill>
        </w:rPr>
        <w:t>三、项目概述</w:t>
      </w:r>
      <w:bookmarkEnd w:id="6"/>
    </w:p>
    <w:p>
      <w:pPr>
        <w:pStyle w:val="3"/>
        <w:spacing w:before="0" w:after="0" w:line="360" w:lineRule="auto"/>
        <w:ind w:firstLine="562" w:firstLineChars="200"/>
        <w:rPr>
          <w:rFonts w:hint="eastAsia" w:ascii="仿宋" w:hAnsi="仿宋" w:eastAsia="仿宋" w:cs="楷体"/>
          <w:color w:val="000000" w:themeColor="text1"/>
          <w:kern w:val="0"/>
          <w:sz w:val="28"/>
          <w:szCs w:val="28"/>
          <w:lang w:val="en-GB"/>
          <w14:textFill>
            <w14:solidFill>
              <w14:schemeClr w14:val="tx1"/>
            </w14:solidFill>
          </w14:textFill>
        </w:rPr>
      </w:pPr>
      <w:bookmarkStart w:id="7" w:name="_Toc200722004"/>
      <w:r>
        <w:rPr>
          <w:rFonts w:hint="eastAsia" w:ascii="仿宋" w:hAnsi="仿宋" w:eastAsia="仿宋" w:cs="楷体"/>
          <w:color w:val="000000" w:themeColor="text1"/>
          <w:kern w:val="0"/>
          <w:sz w:val="28"/>
          <w:szCs w:val="28"/>
          <w:lang w:val="en-GB"/>
          <w14:textFill>
            <w14:solidFill>
              <w14:schemeClr w14:val="tx1"/>
            </w14:solidFill>
          </w14:textFill>
        </w:rPr>
        <w:t>（一）项目背景</w:t>
      </w:r>
      <w:bookmarkEnd w:id="7"/>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海口市，别称“椰城”，海南省省会，国家“一带一路”战略支点城市，中国（海南）自由贸易试验区（港）核心城市，地处海南岛北部，东邻文昌，西接澄迈，南毗定安，北濒琼州海峡，是海南省政治、经济、科技、文化中心和最大的交通枢纽。海口拥有“中国魅力城市”、“中国最具幸福感城市”、“中国最具投资潜力城市”、“中国优秀旅游城市”、“国家环境保护模范城市”、“国家卫生城市”、“国家园林城市”、“ 国家历史文化名城”、“ 全国文明城市”、“全国双拥模范城市”等荣誉称号，荣获由住建部颁发的年度“中国人居环境奖”，2018年被联合国国际湿地公约组织评定为全球首批“国际湿地城市”</w:t>
      </w:r>
      <w:r>
        <w:rPr>
          <w:rFonts w:ascii="仿宋" w:hAnsi="仿宋" w:eastAsia="仿宋" w:cs="楷体"/>
          <w:color w:val="000000" w:themeColor="text1"/>
          <w:kern w:val="0"/>
          <w:sz w:val="28"/>
          <w:szCs w:val="28"/>
          <w:lang w:val="en-GB"/>
          <w14:textFill>
            <w14:solidFill>
              <w14:schemeClr w14:val="tx1"/>
            </w14:solidFill>
          </w14:textFill>
        </w:rPr>
        <w:t>。</w:t>
      </w:r>
    </w:p>
    <w:p>
      <w:pPr>
        <w:pStyle w:val="3"/>
        <w:spacing w:before="0" w:after="0" w:line="360" w:lineRule="auto"/>
        <w:ind w:firstLine="562" w:firstLineChars="200"/>
        <w:rPr>
          <w:rFonts w:hint="eastAsia" w:ascii="仿宋" w:hAnsi="仿宋" w:eastAsia="仿宋" w:cs="楷体"/>
          <w:color w:val="000000" w:themeColor="text1"/>
          <w:kern w:val="0"/>
          <w:sz w:val="28"/>
          <w:szCs w:val="28"/>
          <w:lang w:val="en-GB"/>
          <w14:textFill>
            <w14:solidFill>
              <w14:schemeClr w14:val="tx1"/>
            </w14:solidFill>
          </w14:textFill>
        </w:rPr>
      </w:pPr>
      <w:bookmarkStart w:id="8" w:name="_Toc200722005"/>
      <w:r>
        <w:rPr>
          <w:rFonts w:hint="eastAsia" w:ascii="仿宋" w:hAnsi="仿宋" w:eastAsia="仿宋" w:cs="楷体"/>
          <w:color w:val="000000" w:themeColor="text1"/>
          <w:kern w:val="0"/>
          <w:sz w:val="28"/>
          <w:szCs w:val="28"/>
          <w:lang w:val="en-GB"/>
          <w14:textFill>
            <w14:solidFill>
              <w14:schemeClr w14:val="tx1"/>
            </w14:solidFill>
          </w14:textFill>
        </w:rPr>
        <w:t>（二）项目概况</w:t>
      </w:r>
      <w:bookmarkEnd w:id="8"/>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lang w:val="en-GB"/>
          <w14:textFill>
            <w14:solidFill>
              <w14:schemeClr w14:val="tx1"/>
            </w14:solidFill>
          </w14:textFill>
        </w:rPr>
      </w:pPr>
      <w:bookmarkStart w:id="9" w:name="_Hlk149833842"/>
      <w:r>
        <w:rPr>
          <w:rFonts w:hint="eastAsia" w:ascii="仿宋" w:hAnsi="仿宋" w:eastAsia="仿宋" w:cs="楷体"/>
          <w:color w:val="000000" w:themeColor="text1"/>
          <w:kern w:val="0"/>
          <w:sz w:val="28"/>
          <w:szCs w:val="28"/>
          <w:lang w:val="en-GB"/>
          <w14:textFill>
            <w14:solidFill>
              <w14:schemeClr w14:val="tx1"/>
            </w14:solidFill>
          </w14:textFill>
        </w:rPr>
        <w:t>根据《关于印发&lt;地方政府专项债券用途调整操作指引&gt;的通知》（财预〔2021〕110号）、《地方政府专项债券用途调整操作指引》第五条“专项债券资金已安排的项目，可以申请调整的具体情形包括：（一）项目实施过程中发生重大变化，确无专项债券资金需求或需求少于预期的”，为了提高债券资金使用效率，经批准，拟对2025年海南省政府专项债券（一期）中海南省中医院新院区（含省职业病医院）周边配套路网项目的专项债券资金额度进行调整，并将调整出来的资金分配至海口江东新区城市地下管网完善工程（一期）（以下简称“本项目”）项目，调整项目基本情况如下：</w:t>
      </w:r>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项目名称：海口江东新区城市地下管网完善工程（一期）</w:t>
      </w:r>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项目业主：海口市路桥建设投资有限公司</w:t>
      </w:r>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行业主管部门：海口江东新区管理局</w:t>
      </w:r>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建设期：2025年2月-2026年12月</w:t>
      </w:r>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项目内容：该项目位于海口江东新区范围，包括耀江路、南排巷、纵六路、振海五路、空港变电站进场路五条道路，总长约2.039千米；其中耀江路和纵六路两条路为城市次干路，设计速度40千米/小时，红线宽度24米；南排巷、振海五路、进场路三条路为城市支路，设计速度20千米/小时，红线宽度12米。建设内容包括道路、交通、桥梁、给排水、电气（含合杆）、线缆型管廊等工程。</w:t>
      </w:r>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项目建设进展情况：项目已完成施工许可证办理。</w:t>
      </w:r>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本次拟调减债券额度明细如下：</w:t>
      </w:r>
    </w:p>
    <w:p>
      <w:pPr>
        <w:widowControl/>
        <w:spacing w:after="0"/>
        <w:jc w:val="center"/>
        <w:rPr>
          <w:rFonts w:hint="eastAsia" w:ascii="仿宋" w:hAnsi="仿宋" w:eastAsia="仿宋"/>
          <w:b/>
          <w:color w:val="000000"/>
          <w:kern w:val="0"/>
          <w:sz w:val="24"/>
          <w:szCs w:val="24"/>
        </w:rPr>
      </w:pPr>
      <w:r>
        <w:rPr>
          <w:rFonts w:hint="eastAsia" w:ascii="仿宋" w:hAnsi="仿宋" w:eastAsia="仿宋"/>
          <w:b/>
          <w:color w:val="000000"/>
          <w:kern w:val="0"/>
          <w:sz w:val="24"/>
          <w:szCs w:val="24"/>
        </w:rPr>
        <w:t>表</w:t>
      </w:r>
      <w:r>
        <w:rPr>
          <w:rFonts w:ascii="仿宋" w:hAnsi="仿宋" w:eastAsia="仿宋"/>
          <w:b/>
          <w:color w:val="000000"/>
          <w:kern w:val="0"/>
          <w:sz w:val="24"/>
          <w:szCs w:val="24"/>
        </w:rPr>
        <w:t>1</w:t>
      </w:r>
      <w:r>
        <w:rPr>
          <w:rFonts w:hint="eastAsia" w:ascii="仿宋" w:hAnsi="仿宋" w:eastAsia="仿宋"/>
          <w:b/>
          <w:color w:val="000000"/>
          <w:kern w:val="0"/>
          <w:sz w:val="24"/>
          <w:szCs w:val="24"/>
        </w:rPr>
        <w:t>本次债券额度调整情况表</w:t>
      </w:r>
      <w:r>
        <w:rPr>
          <w:rFonts w:ascii="仿宋" w:hAnsi="仿宋" w:eastAsia="仿宋"/>
          <w:b/>
          <w:color w:val="000000"/>
          <w:kern w:val="0"/>
          <w:sz w:val="24"/>
          <w:szCs w:val="24"/>
          <w:vertAlign w:val="superscript"/>
        </w:rPr>
        <w:footnoteReference w:id="0"/>
      </w:r>
    </w:p>
    <w:p>
      <w:pPr>
        <w:widowControl/>
        <w:spacing w:after="0" w:line="240" w:lineRule="auto"/>
        <w:ind w:left="868" w:right="-424" w:rightChars="-202"/>
        <w:jc w:val="right"/>
        <w:rPr>
          <w:rFonts w:hint="eastAsia" w:ascii="仿宋" w:hAnsi="仿宋" w:eastAsia="仿宋" w:cs="Arial"/>
          <w:kern w:val="0"/>
          <w:sz w:val="20"/>
          <w:szCs w:val="20"/>
        </w:rPr>
      </w:pPr>
      <w:r>
        <w:rPr>
          <w:rFonts w:hint="eastAsia" w:ascii="仿宋" w:hAnsi="仿宋" w:eastAsia="仿宋" w:cs="Arial"/>
          <w:kern w:val="0"/>
          <w:sz w:val="20"/>
          <w:szCs w:val="20"/>
        </w:rPr>
        <w:t>单位：人民币万元</w:t>
      </w:r>
    </w:p>
    <w:tbl>
      <w:tblPr>
        <w:tblStyle w:val="24"/>
        <w:tblW w:w="583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0"/>
        <w:gridCol w:w="1600"/>
        <w:gridCol w:w="3063"/>
        <w:gridCol w:w="1596"/>
        <w:gridCol w:w="1747"/>
        <w:gridCol w:w="16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tblHeader/>
          <w:jc w:val="center"/>
        </w:trPr>
        <w:tc>
          <w:tcPr>
            <w:tcW w:w="353" w:type="pct"/>
            <w:vMerge w:val="restart"/>
            <w:shd w:val="clear" w:color="auto" w:fill="auto"/>
            <w:vAlign w:val="center"/>
          </w:tcPr>
          <w:p>
            <w:pPr>
              <w:widowControl/>
              <w:spacing w:after="0" w:line="240" w:lineRule="auto"/>
              <w:jc w:val="center"/>
              <w:rPr>
                <w:rFonts w:hint="eastAsia" w:ascii="仿宋" w:hAnsi="仿宋" w:eastAsia="仿宋" w:cs="Calibri"/>
                <w:b/>
                <w:bCs/>
                <w:color w:val="000000" w:themeColor="text1"/>
                <w:kern w:val="0"/>
                <w:sz w:val="20"/>
                <w:szCs w:val="20"/>
                <w14:textFill>
                  <w14:solidFill>
                    <w14:schemeClr w14:val="tx1"/>
                  </w14:solidFill>
                </w14:textFill>
              </w:rPr>
            </w:pPr>
            <w:bookmarkStart w:id="10" w:name="_Hlk183549502"/>
            <w:r>
              <w:rPr>
                <w:rFonts w:hint="eastAsia" w:ascii="仿宋" w:hAnsi="仿宋" w:eastAsia="仿宋" w:cs="Calibri"/>
                <w:b/>
                <w:bCs/>
                <w:color w:val="000000" w:themeColor="text1"/>
                <w:kern w:val="0"/>
                <w:sz w:val="20"/>
                <w:szCs w:val="20"/>
                <w14:textFill>
                  <w14:solidFill>
                    <w14:schemeClr w14:val="tx1"/>
                  </w14:solidFill>
                </w14:textFill>
              </w:rPr>
              <w:t>序号</w:t>
            </w:r>
          </w:p>
        </w:tc>
        <w:tc>
          <w:tcPr>
            <w:tcW w:w="774" w:type="pct"/>
            <w:vMerge w:val="restart"/>
            <w:shd w:val="clear" w:color="auto" w:fill="auto"/>
            <w:vAlign w:val="center"/>
          </w:tcPr>
          <w:p>
            <w:pPr>
              <w:widowControl/>
              <w:spacing w:after="0" w:line="240" w:lineRule="auto"/>
              <w:rPr>
                <w:rFonts w:hint="eastAsia" w:ascii="仿宋" w:hAnsi="仿宋" w:eastAsia="仿宋" w:cs="Calibri"/>
                <w:b/>
                <w:bCs/>
                <w:color w:val="000000" w:themeColor="text1"/>
                <w:kern w:val="0"/>
                <w:sz w:val="20"/>
                <w:szCs w:val="20"/>
                <w14:textFill>
                  <w14:solidFill>
                    <w14:schemeClr w14:val="tx1"/>
                  </w14:solidFill>
                </w14:textFill>
              </w:rPr>
            </w:pPr>
            <w:r>
              <w:rPr>
                <w:rFonts w:hint="eastAsia" w:ascii="仿宋" w:hAnsi="仿宋" w:eastAsia="仿宋" w:cs="Calibri"/>
                <w:b/>
                <w:bCs/>
                <w:color w:val="000000" w:themeColor="text1"/>
                <w:kern w:val="0"/>
                <w:sz w:val="20"/>
                <w:szCs w:val="20"/>
                <w14:textFill>
                  <w14:solidFill>
                    <w14:schemeClr w14:val="tx1"/>
                  </w14:solidFill>
                </w14:textFill>
              </w:rPr>
              <w:t>债券调整批次</w:t>
            </w:r>
          </w:p>
        </w:tc>
        <w:tc>
          <w:tcPr>
            <w:tcW w:w="2254" w:type="pct"/>
            <w:gridSpan w:val="2"/>
            <w:shd w:val="clear" w:color="auto" w:fill="auto"/>
            <w:vAlign w:val="center"/>
          </w:tcPr>
          <w:p>
            <w:pPr>
              <w:widowControl/>
              <w:spacing w:after="0" w:line="240" w:lineRule="auto"/>
              <w:jc w:val="center"/>
              <w:rPr>
                <w:rFonts w:hint="eastAsia" w:ascii="仿宋" w:hAnsi="仿宋" w:eastAsia="仿宋" w:cs="Calibri"/>
                <w:b/>
                <w:bCs/>
                <w:color w:val="000000" w:themeColor="text1"/>
                <w:kern w:val="0"/>
                <w:sz w:val="20"/>
                <w:szCs w:val="20"/>
                <w14:textFill>
                  <w14:solidFill>
                    <w14:schemeClr w14:val="tx1"/>
                  </w14:solidFill>
                </w14:textFill>
              </w:rPr>
            </w:pPr>
            <w:r>
              <w:rPr>
                <w:rFonts w:hint="eastAsia" w:ascii="仿宋" w:hAnsi="仿宋" w:eastAsia="仿宋" w:cs="Calibri"/>
                <w:b/>
                <w:bCs/>
                <w:color w:val="000000" w:themeColor="text1"/>
                <w:kern w:val="0"/>
                <w:sz w:val="20"/>
                <w:szCs w:val="20"/>
                <w14:textFill>
                  <w14:solidFill>
                    <w14:schemeClr w14:val="tx1"/>
                  </w14:solidFill>
                </w14:textFill>
              </w:rPr>
              <w:t>调减债券额度项目</w:t>
            </w:r>
          </w:p>
        </w:tc>
        <w:tc>
          <w:tcPr>
            <w:tcW w:w="1619" w:type="pct"/>
            <w:gridSpan w:val="2"/>
            <w:shd w:val="clear" w:color="auto" w:fill="auto"/>
          </w:tcPr>
          <w:p>
            <w:pPr>
              <w:widowControl/>
              <w:spacing w:after="0" w:line="240" w:lineRule="auto"/>
              <w:jc w:val="center"/>
              <w:rPr>
                <w:rFonts w:hint="eastAsia" w:ascii="仿宋" w:hAnsi="仿宋" w:eastAsia="仿宋" w:cs="Calibri"/>
                <w:b/>
                <w:bCs/>
                <w:color w:val="000000" w:themeColor="text1"/>
                <w:kern w:val="0"/>
                <w:sz w:val="20"/>
                <w:szCs w:val="20"/>
                <w14:textFill>
                  <w14:solidFill>
                    <w14:schemeClr w14:val="tx1"/>
                  </w14:solidFill>
                </w14:textFill>
              </w:rPr>
            </w:pPr>
            <w:r>
              <w:rPr>
                <w:rFonts w:hint="eastAsia" w:ascii="仿宋" w:hAnsi="仿宋" w:eastAsia="仿宋" w:cs="Calibri"/>
                <w:b/>
                <w:bCs/>
                <w:color w:val="000000" w:themeColor="text1"/>
                <w:kern w:val="0"/>
                <w:sz w:val="20"/>
                <w:szCs w:val="20"/>
                <w14:textFill>
                  <w14:solidFill>
                    <w14:schemeClr w14:val="tx1"/>
                  </w14:solidFill>
                </w14:textFill>
              </w:rPr>
              <w:t>调增债券额度项目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tblHeader/>
          <w:jc w:val="center"/>
        </w:trPr>
        <w:tc>
          <w:tcPr>
            <w:tcW w:w="353" w:type="pct"/>
            <w:vMerge w:val="continue"/>
            <w:shd w:val="clear" w:color="auto" w:fill="auto"/>
            <w:vAlign w:val="center"/>
          </w:tcPr>
          <w:p>
            <w:pPr>
              <w:widowControl/>
              <w:spacing w:after="0" w:line="240" w:lineRule="auto"/>
              <w:jc w:val="center"/>
              <w:rPr>
                <w:rFonts w:hint="eastAsia" w:ascii="仿宋" w:hAnsi="仿宋" w:eastAsia="仿宋" w:cs="Calibri"/>
                <w:b/>
                <w:bCs/>
                <w:color w:val="000000" w:themeColor="text1"/>
                <w:kern w:val="0"/>
                <w:sz w:val="20"/>
                <w:szCs w:val="20"/>
                <w14:textFill>
                  <w14:solidFill>
                    <w14:schemeClr w14:val="tx1"/>
                  </w14:solidFill>
                </w14:textFill>
              </w:rPr>
            </w:pPr>
          </w:p>
        </w:tc>
        <w:tc>
          <w:tcPr>
            <w:tcW w:w="774" w:type="pct"/>
            <w:vMerge w:val="continue"/>
            <w:shd w:val="clear" w:color="auto" w:fill="auto"/>
            <w:vAlign w:val="center"/>
          </w:tcPr>
          <w:p>
            <w:pPr>
              <w:widowControl/>
              <w:spacing w:after="0" w:line="240" w:lineRule="auto"/>
              <w:rPr>
                <w:rFonts w:hint="eastAsia" w:ascii="仿宋" w:hAnsi="仿宋" w:eastAsia="仿宋" w:cs="Calibri"/>
                <w:b/>
                <w:bCs/>
                <w:color w:val="000000" w:themeColor="text1"/>
                <w:kern w:val="0"/>
                <w:sz w:val="20"/>
                <w:szCs w:val="20"/>
                <w14:textFill>
                  <w14:solidFill>
                    <w14:schemeClr w14:val="tx1"/>
                  </w14:solidFill>
                </w14:textFill>
              </w:rPr>
            </w:pPr>
          </w:p>
        </w:tc>
        <w:tc>
          <w:tcPr>
            <w:tcW w:w="1482" w:type="pct"/>
            <w:shd w:val="clear" w:color="auto" w:fill="auto"/>
            <w:vAlign w:val="center"/>
          </w:tcPr>
          <w:p>
            <w:pPr>
              <w:widowControl/>
              <w:spacing w:after="0" w:line="240" w:lineRule="auto"/>
              <w:jc w:val="center"/>
              <w:rPr>
                <w:rFonts w:hint="eastAsia" w:ascii="仿宋" w:hAnsi="仿宋" w:eastAsia="仿宋" w:cs="Calibri"/>
                <w:b/>
                <w:bCs/>
                <w:color w:val="000000" w:themeColor="text1"/>
                <w:kern w:val="0"/>
                <w:sz w:val="20"/>
                <w:szCs w:val="20"/>
                <w14:textFill>
                  <w14:solidFill>
                    <w14:schemeClr w14:val="tx1"/>
                  </w14:solidFill>
                </w14:textFill>
              </w:rPr>
            </w:pPr>
            <w:r>
              <w:rPr>
                <w:rFonts w:hint="eastAsia" w:ascii="仿宋" w:hAnsi="仿宋" w:eastAsia="仿宋" w:cs="Calibri"/>
                <w:b/>
                <w:bCs/>
                <w:color w:val="000000" w:themeColor="text1"/>
                <w:kern w:val="0"/>
                <w:sz w:val="20"/>
                <w:szCs w:val="20"/>
                <w14:textFill>
                  <w14:solidFill>
                    <w14:schemeClr w14:val="tx1"/>
                  </w14:solidFill>
                </w14:textFill>
              </w:rPr>
              <w:t>项目名称</w:t>
            </w:r>
          </w:p>
        </w:tc>
        <w:tc>
          <w:tcPr>
            <w:tcW w:w="772" w:type="pct"/>
            <w:shd w:val="clear" w:color="auto" w:fill="auto"/>
            <w:vAlign w:val="center"/>
          </w:tcPr>
          <w:p>
            <w:pPr>
              <w:widowControl/>
              <w:spacing w:after="0" w:line="240" w:lineRule="auto"/>
              <w:jc w:val="center"/>
              <w:rPr>
                <w:rFonts w:hint="eastAsia" w:ascii="仿宋" w:hAnsi="仿宋" w:eastAsia="仿宋" w:cs="Calibri"/>
                <w:b/>
                <w:bCs/>
                <w:color w:val="000000" w:themeColor="text1"/>
                <w:kern w:val="0"/>
                <w:sz w:val="20"/>
                <w:szCs w:val="20"/>
                <w14:textFill>
                  <w14:solidFill>
                    <w14:schemeClr w14:val="tx1"/>
                  </w14:solidFill>
                </w14:textFill>
              </w:rPr>
            </w:pPr>
            <w:r>
              <w:rPr>
                <w:rFonts w:hint="eastAsia" w:ascii="仿宋" w:hAnsi="仿宋" w:eastAsia="仿宋" w:cs="Calibri"/>
                <w:b/>
                <w:bCs/>
                <w:color w:val="000000" w:themeColor="text1"/>
                <w:kern w:val="0"/>
                <w:sz w:val="20"/>
                <w:szCs w:val="20"/>
                <w14:textFill>
                  <w14:solidFill>
                    <w14:schemeClr w14:val="tx1"/>
                  </w14:solidFill>
                </w14:textFill>
              </w:rPr>
              <w:t>本次调减金额</w:t>
            </w:r>
          </w:p>
        </w:tc>
        <w:tc>
          <w:tcPr>
            <w:tcW w:w="845" w:type="pct"/>
            <w:shd w:val="clear" w:color="auto" w:fill="auto"/>
            <w:vAlign w:val="center"/>
          </w:tcPr>
          <w:p>
            <w:pPr>
              <w:widowControl/>
              <w:spacing w:after="0" w:line="240" w:lineRule="auto"/>
              <w:jc w:val="center"/>
              <w:rPr>
                <w:rFonts w:hint="eastAsia" w:ascii="仿宋" w:hAnsi="仿宋" w:eastAsia="仿宋" w:cs="Calibri"/>
                <w:b/>
                <w:bCs/>
                <w:color w:val="000000" w:themeColor="text1"/>
                <w:kern w:val="0"/>
                <w:sz w:val="20"/>
                <w:szCs w:val="20"/>
                <w14:textFill>
                  <w14:solidFill>
                    <w14:schemeClr w14:val="tx1"/>
                  </w14:solidFill>
                </w14:textFill>
              </w:rPr>
            </w:pPr>
            <w:r>
              <w:rPr>
                <w:rFonts w:hint="eastAsia" w:ascii="仿宋" w:hAnsi="仿宋" w:eastAsia="仿宋" w:cs="Calibri"/>
                <w:b/>
                <w:bCs/>
                <w:color w:val="000000" w:themeColor="text1"/>
                <w:kern w:val="0"/>
                <w:sz w:val="20"/>
                <w:szCs w:val="20"/>
                <w14:textFill>
                  <w14:solidFill>
                    <w14:schemeClr w14:val="tx1"/>
                  </w14:solidFill>
                </w14:textFill>
              </w:rPr>
              <w:t>项目名称</w:t>
            </w:r>
          </w:p>
        </w:tc>
        <w:tc>
          <w:tcPr>
            <w:tcW w:w="774" w:type="pct"/>
            <w:shd w:val="clear" w:color="auto" w:fill="auto"/>
            <w:vAlign w:val="center"/>
          </w:tcPr>
          <w:p>
            <w:pPr>
              <w:widowControl/>
              <w:spacing w:after="0" w:line="240" w:lineRule="auto"/>
              <w:jc w:val="center"/>
              <w:rPr>
                <w:rFonts w:hint="eastAsia" w:ascii="仿宋" w:hAnsi="仿宋" w:eastAsia="仿宋" w:cs="Calibri"/>
                <w:b/>
                <w:bCs/>
                <w:color w:val="000000" w:themeColor="text1"/>
                <w:kern w:val="0"/>
                <w:sz w:val="20"/>
                <w:szCs w:val="20"/>
                <w14:textFill>
                  <w14:solidFill>
                    <w14:schemeClr w14:val="tx1"/>
                  </w14:solidFill>
                </w14:textFill>
              </w:rPr>
            </w:pPr>
            <w:r>
              <w:rPr>
                <w:rFonts w:hint="eastAsia" w:ascii="仿宋" w:hAnsi="仿宋" w:eastAsia="仿宋" w:cs="Calibri"/>
                <w:b/>
                <w:bCs/>
                <w:color w:val="000000" w:themeColor="text1"/>
                <w:kern w:val="0"/>
                <w:sz w:val="20"/>
                <w:szCs w:val="20"/>
                <w14:textFill>
                  <w14:solidFill>
                    <w14:schemeClr w14:val="tx1"/>
                  </w14:solidFill>
                </w14:textFill>
              </w:rPr>
              <w:t>本次调增额度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353" w:type="pct"/>
            <w:shd w:val="clear" w:color="auto" w:fill="auto"/>
            <w:vAlign w:val="center"/>
          </w:tcPr>
          <w:p>
            <w:pPr>
              <w:widowControl/>
              <w:spacing w:after="0" w:line="240" w:lineRule="auto"/>
              <w:jc w:val="center"/>
              <w:rPr>
                <w:rFonts w:hint="eastAsia" w:ascii="仿宋" w:hAnsi="仿宋" w:eastAsia="仿宋" w:cs="Calibri"/>
                <w:color w:val="000000" w:themeColor="text1"/>
                <w:kern w:val="0"/>
                <w:sz w:val="20"/>
                <w:szCs w:val="20"/>
                <w:lang w:val="en-GB"/>
                <w14:textFill>
                  <w14:solidFill>
                    <w14:schemeClr w14:val="tx1"/>
                  </w14:solidFill>
                </w14:textFill>
              </w:rPr>
            </w:pPr>
            <w:r>
              <w:rPr>
                <w:rFonts w:ascii="仿宋" w:hAnsi="仿宋" w:eastAsia="仿宋"/>
                <w:color w:val="000000" w:themeColor="text1"/>
                <w:kern w:val="0"/>
                <w:sz w:val="20"/>
                <w:szCs w:val="20"/>
                <w14:textFill>
                  <w14:solidFill>
                    <w14:schemeClr w14:val="tx1"/>
                  </w14:solidFill>
                </w14:textFill>
              </w:rPr>
              <w:t>1</w:t>
            </w:r>
          </w:p>
        </w:tc>
        <w:tc>
          <w:tcPr>
            <w:tcW w:w="774" w:type="pct"/>
            <w:shd w:val="clear" w:color="auto" w:fill="auto"/>
            <w:vAlign w:val="center"/>
          </w:tcPr>
          <w:p>
            <w:pPr>
              <w:widowControl/>
              <w:spacing w:after="0" w:line="240" w:lineRule="auto"/>
              <w:rPr>
                <w:rFonts w:hint="eastAsia" w:ascii="仿宋" w:hAnsi="仿宋" w:eastAsia="仿宋" w:cs="Calibri"/>
                <w:color w:val="000000" w:themeColor="text1"/>
                <w:kern w:val="0"/>
                <w:sz w:val="20"/>
                <w:szCs w:val="20"/>
                <w:lang w:val="en-GB"/>
                <w14:textFill>
                  <w14:solidFill>
                    <w14:schemeClr w14:val="tx1"/>
                  </w14:solidFill>
                </w14:textFill>
              </w:rPr>
            </w:pPr>
            <w:r>
              <w:rPr>
                <w:rFonts w:ascii="仿宋" w:hAnsi="仿宋" w:eastAsia="仿宋"/>
                <w:color w:val="000000" w:themeColor="text1"/>
                <w:kern w:val="0"/>
                <w:sz w:val="20"/>
                <w:szCs w:val="20"/>
                <w14:textFill>
                  <w14:solidFill>
                    <w14:schemeClr w14:val="tx1"/>
                  </w14:solidFill>
                </w14:textFill>
              </w:rPr>
              <w:t>2025</w:t>
            </w:r>
            <w:r>
              <w:rPr>
                <w:rFonts w:hint="eastAsia" w:ascii="仿宋" w:hAnsi="仿宋" w:eastAsia="仿宋" w:cs="宋体"/>
                <w:color w:val="000000" w:themeColor="text1"/>
                <w:kern w:val="0"/>
                <w:sz w:val="20"/>
                <w:szCs w:val="20"/>
                <w14:textFill>
                  <w14:solidFill>
                    <w14:schemeClr w14:val="tx1"/>
                  </w14:solidFill>
                </w14:textFill>
              </w:rPr>
              <w:t>年海南省政府专项债券（一期）</w:t>
            </w:r>
          </w:p>
        </w:tc>
        <w:tc>
          <w:tcPr>
            <w:tcW w:w="1482" w:type="pct"/>
            <w:shd w:val="clear" w:color="auto" w:fill="auto"/>
            <w:vAlign w:val="center"/>
          </w:tcPr>
          <w:p>
            <w:pPr>
              <w:widowControl/>
              <w:spacing w:after="0" w:line="240" w:lineRule="auto"/>
              <w:rPr>
                <w:rFonts w:hint="eastAsia" w:ascii="仿宋" w:hAnsi="仿宋" w:eastAsia="仿宋"/>
                <w:color w:val="000000" w:themeColor="text1"/>
                <w:kern w:val="0"/>
                <w:sz w:val="20"/>
                <w:szCs w:val="20"/>
                <w:lang w:val="en-GB"/>
                <w14:textFill>
                  <w14:solidFill>
                    <w14:schemeClr w14:val="tx1"/>
                  </w14:solidFill>
                </w14:textFill>
              </w:rPr>
            </w:pPr>
            <w:r>
              <w:rPr>
                <w:rFonts w:hint="eastAsia" w:ascii="仿宋" w:hAnsi="仿宋" w:eastAsia="仿宋"/>
                <w:color w:val="000000" w:themeColor="text1"/>
                <w:kern w:val="0"/>
                <w:sz w:val="20"/>
                <w:szCs w:val="20"/>
                <w:lang w:val="en-GB"/>
                <w14:textFill>
                  <w14:solidFill>
                    <w14:schemeClr w14:val="tx1"/>
                  </w14:solidFill>
                </w14:textFill>
              </w:rPr>
              <w:t>海南省中医院新院区（含省职业病医院）周边配套路网项目</w:t>
            </w:r>
          </w:p>
        </w:tc>
        <w:tc>
          <w:tcPr>
            <w:tcW w:w="772" w:type="pct"/>
            <w:shd w:val="clear" w:color="auto" w:fill="auto"/>
            <w:vAlign w:val="center"/>
          </w:tcPr>
          <w:p>
            <w:pPr>
              <w:widowControl/>
              <w:spacing w:after="0" w:line="240" w:lineRule="auto"/>
              <w:jc w:val="center"/>
              <w:rPr>
                <w:rFonts w:hint="eastAsia" w:ascii="仿宋" w:hAnsi="仿宋" w:eastAsia="仿宋"/>
                <w:color w:val="000000" w:themeColor="text1"/>
                <w:kern w:val="0"/>
                <w:sz w:val="20"/>
                <w:szCs w:val="20"/>
                <w:lang w:val="en-GB"/>
                <w14:textFill>
                  <w14:solidFill>
                    <w14:schemeClr w14:val="tx1"/>
                  </w14:solidFill>
                </w14:textFill>
              </w:rPr>
            </w:pPr>
            <w:r>
              <w:rPr>
                <w:rFonts w:hint="eastAsia" w:ascii="仿宋" w:hAnsi="仿宋" w:eastAsia="仿宋"/>
                <w:sz w:val="20"/>
                <w:szCs w:val="20"/>
                <w:lang w:val="en-GB"/>
              </w:rPr>
              <w:t>1</w:t>
            </w:r>
            <w:r>
              <w:rPr>
                <w:rFonts w:ascii="仿宋" w:hAnsi="仿宋" w:eastAsia="仿宋"/>
                <w:sz w:val="20"/>
                <w:szCs w:val="20"/>
                <w:lang w:val="en-GB"/>
              </w:rPr>
              <w:t>,000</w:t>
            </w:r>
          </w:p>
        </w:tc>
        <w:tc>
          <w:tcPr>
            <w:tcW w:w="845" w:type="pct"/>
            <w:shd w:val="clear" w:color="auto" w:fill="auto"/>
            <w:vAlign w:val="center"/>
          </w:tcPr>
          <w:p>
            <w:pPr>
              <w:widowControl/>
              <w:spacing w:after="0" w:line="240" w:lineRule="auto"/>
              <w:jc w:val="center"/>
              <w:rPr>
                <w:rFonts w:hint="eastAsia" w:ascii="仿宋" w:hAnsi="仿宋" w:eastAsia="仿宋"/>
                <w:color w:val="000000" w:themeColor="text1"/>
                <w:kern w:val="0"/>
                <w:sz w:val="20"/>
                <w:szCs w:val="20"/>
                <w:lang w:val="en-GB"/>
                <w14:textFill>
                  <w14:solidFill>
                    <w14:schemeClr w14:val="tx1"/>
                  </w14:solidFill>
                </w14:textFill>
              </w:rPr>
            </w:pPr>
            <w:r>
              <w:rPr>
                <w:rFonts w:hint="eastAsia" w:ascii="仿宋" w:hAnsi="仿宋" w:eastAsia="仿宋"/>
                <w:sz w:val="20"/>
                <w:szCs w:val="20"/>
                <w:lang w:val="en-GB"/>
              </w:rPr>
              <w:t>海口江东新区城市地下管网完善工程（一期）</w:t>
            </w:r>
          </w:p>
        </w:tc>
        <w:tc>
          <w:tcPr>
            <w:tcW w:w="774" w:type="pct"/>
            <w:shd w:val="clear" w:color="auto" w:fill="auto"/>
            <w:vAlign w:val="center"/>
          </w:tcPr>
          <w:p>
            <w:pPr>
              <w:widowControl/>
              <w:spacing w:after="0" w:line="240" w:lineRule="auto"/>
              <w:jc w:val="center"/>
              <w:rPr>
                <w:rFonts w:hint="eastAsia" w:ascii="仿宋" w:hAnsi="仿宋" w:eastAsia="仿宋"/>
                <w:color w:val="000000" w:themeColor="text1"/>
                <w:kern w:val="0"/>
                <w:sz w:val="20"/>
                <w:szCs w:val="20"/>
                <w:lang w:val="en-GB"/>
                <w14:textFill>
                  <w14:solidFill>
                    <w14:schemeClr w14:val="tx1"/>
                  </w14:solidFill>
                </w14:textFill>
              </w:rPr>
            </w:pPr>
            <w:r>
              <w:rPr>
                <w:rFonts w:hint="eastAsia" w:ascii="仿宋" w:hAnsi="仿宋" w:eastAsia="仿宋"/>
                <w:sz w:val="20"/>
                <w:szCs w:val="20"/>
                <w:lang w:val="en-GB"/>
              </w:rPr>
              <w:t>1</w:t>
            </w:r>
            <w:r>
              <w:rPr>
                <w:rFonts w:ascii="仿宋" w:hAnsi="仿宋" w:eastAsia="仿宋"/>
                <w:sz w:val="20"/>
                <w:szCs w:val="20"/>
                <w:lang w:val="en-GB"/>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2609" w:type="pct"/>
            <w:gridSpan w:val="3"/>
            <w:shd w:val="clear" w:color="auto" w:fill="auto"/>
            <w:vAlign w:val="center"/>
          </w:tcPr>
          <w:p>
            <w:pPr>
              <w:widowControl/>
              <w:spacing w:after="0" w:line="240" w:lineRule="auto"/>
              <w:jc w:val="center"/>
              <w:rPr>
                <w:rFonts w:hint="eastAsia" w:ascii="仿宋" w:hAnsi="仿宋" w:eastAsia="仿宋" w:cs="Calibri"/>
                <w:b/>
                <w:bCs/>
                <w:color w:val="000000" w:themeColor="text1"/>
                <w:kern w:val="0"/>
                <w:sz w:val="20"/>
                <w:szCs w:val="20"/>
                <w:lang w:val="en-GB"/>
                <w14:textFill>
                  <w14:solidFill>
                    <w14:schemeClr w14:val="tx1"/>
                  </w14:solidFill>
                </w14:textFill>
              </w:rPr>
            </w:pPr>
            <w:r>
              <w:rPr>
                <w:rFonts w:hint="eastAsia" w:ascii="仿宋" w:hAnsi="仿宋" w:eastAsia="仿宋" w:cs="Calibri"/>
                <w:b/>
                <w:bCs/>
                <w:color w:val="000000" w:themeColor="text1"/>
                <w:kern w:val="0"/>
                <w:sz w:val="20"/>
                <w:szCs w:val="20"/>
                <w:lang w:val="en-GB"/>
                <w14:textFill>
                  <w14:solidFill>
                    <w14:schemeClr w14:val="tx1"/>
                  </w14:solidFill>
                </w14:textFill>
              </w:rPr>
              <w:t>合计</w:t>
            </w:r>
          </w:p>
        </w:tc>
        <w:tc>
          <w:tcPr>
            <w:tcW w:w="772" w:type="pct"/>
            <w:shd w:val="clear" w:color="auto" w:fill="auto"/>
            <w:vAlign w:val="center"/>
          </w:tcPr>
          <w:p>
            <w:pPr>
              <w:widowControl/>
              <w:spacing w:after="0" w:line="240" w:lineRule="auto"/>
              <w:jc w:val="center"/>
              <w:rPr>
                <w:rFonts w:hint="eastAsia" w:ascii="仿宋" w:hAnsi="仿宋" w:eastAsia="仿宋"/>
                <w:b/>
                <w:bCs/>
                <w:color w:val="000000" w:themeColor="text1"/>
                <w:kern w:val="0"/>
                <w:sz w:val="20"/>
                <w:szCs w:val="20"/>
                <w:lang w:val="en-GB"/>
                <w14:textFill>
                  <w14:solidFill>
                    <w14:schemeClr w14:val="tx1"/>
                  </w14:solidFill>
                </w14:textFill>
              </w:rPr>
            </w:pPr>
            <w:r>
              <w:rPr>
                <w:rFonts w:ascii="仿宋" w:hAnsi="仿宋" w:eastAsia="仿宋"/>
                <w:b/>
                <w:bCs/>
                <w:sz w:val="20"/>
                <w:szCs w:val="20"/>
                <w:lang w:val="en-GB"/>
              </w:rPr>
              <w:t>1,000</w:t>
            </w:r>
          </w:p>
        </w:tc>
        <w:tc>
          <w:tcPr>
            <w:tcW w:w="845" w:type="pct"/>
            <w:shd w:val="clear" w:color="auto" w:fill="auto"/>
            <w:vAlign w:val="center"/>
          </w:tcPr>
          <w:p>
            <w:pPr>
              <w:widowControl/>
              <w:spacing w:after="0" w:line="240" w:lineRule="auto"/>
              <w:jc w:val="center"/>
              <w:rPr>
                <w:rFonts w:hint="eastAsia" w:ascii="仿宋" w:hAnsi="仿宋" w:eastAsia="仿宋"/>
                <w:color w:val="000000" w:themeColor="text1"/>
                <w:kern w:val="0"/>
                <w:sz w:val="20"/>
                <w:szCs w:val="20"/>
                <w:lang w:val="en-GB"/>
                <w14:textFill>
                  <w14:solidFill>
                    <w14:schemeClr w14:val="tx1"/>
                  </w14:solidFill>
                </w14:textFill>
              </w:rPr>
            </w:pPr>
          </w:p>
        </w:tc>
        <w:tc>
          <w:tcPr>
            <w:tcW w:w="774" w:type="pct"/>
            <w:shd w:val="clear" w:color="auto" w:fill="auto"/>
            <w:vAlign w:val="center"/>
          </w:tcPr>
          <w:p>
            <w:pPr>
              <w:widowControl/>
              <w:spacing w:after="0" w:line="240" w:lineRule="auto"/>
              <w:jc w:val="center"/>
              <w:rPr>
                <w:rFonts w:hint="eastAsia" w:ascii="仿宋" w:hAnsi="仿宋" w:eastAsia="仿宋"/>
                <w:b/>
                <w:bCs/>
                <w:color w:val="000000" w:themeColor="text1"/>
                <w:kern w:val="0"/>
                <w:sz w:val="20"/>
                <w:szCs w:val="20"/>
                <w:lang w:val="en-GB"/>
                <w14:textFill>
                  <w14:solidFill>
                    <w14:schemeClr w14:val="tx1"/>
                  </w14:solidFill>
                </w14:textFill>
              </w:rPr>
            </w:pPr>
            <w:r>
              <w:rPr>
                <w:rFonts w:ascii="仿宋" w:hAnsi="仿宋" w:eastAsia="仿宋"/>
                <w:b/>
                <w:bCs/>
                <w:sz w:val="20"/>
                <w:szCs w:val="20"/>
                <w:lang w:val="en-GB"/>
              </w:rPr>
              <w:t>1,000</w:t>
            </w:r>
          </w:p>
        </w:tc>
      </w:tr>
      <w:bookmarkEnd w:id="9"/>
      <w:bookmarkEnd w:id="10"/>
    </w:tbl>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为保障本项目合理融资需求，按照《中华人民共和国预算法》(2018修正)、《国务院关于加强地方政府性债务管理的意见》（国发〔2014〕43号）、《关于做好2018年地方政府债券发行工作的意见》（财库〔2018〕61号）等文件精神，结合本项目建设计划和海口市2025年发债计划，海口市政府决定通过发行地方政府专项债券实施本项目，以满足海口市基础设施建设的融资需求。</w:t>
      </w:r>
    </w:p>
    <w:p>
      <w:pPr>
        <w:pStyle w:val="3"/>
        <w:spacing w:before="0" w:after="0" w:line="360" w:lineRule="auto"/>
        <w:ind w:firstLine="562" w:firstLineChars="200"/>
        <w:rPr>
          <w:rFonts w:hint="eastAsia" w:ascii="仿宋" w:hAnsi="仿宋" w:eastAsia="仿宋" w:cs="楷体"/>
          <w:color w:val="000000" w:themeColor="text1"/>
          <w:kern w:val="0"/>
          <w:sz w:val="28"/>
          <w:szCs w:val="28"/>
          <w:lang w:val="en-GB"/>
          <w14:textFill>
            <w14:solidFill>
              <w14:schemeClr w14:val="tx1"/>
            </w14:solidFill>
          </w14:textFill>
        </w:rPr>
      </w:pPr>
      <w:bookmarkStart w:id="11" w:name="_Toc200722006"/>
      <w:r>
        <w:rPr>
          <w:rFonts w:hint="eastAsia" w:ascii="仿宋" w:hAnsi="仿宋" w:eastAsia="仿宋" w:cs="楷体"/>
          <w:color w:val="000000" w:themeColor="text1"/>
          <w:kern w:val="0"/>
          <w:sz w:val="28"/>
          <w:szCs w:val="28"/>
          <w:lang w:val="en-GB"/>
          <w14:textFill>
            <w14:solidFill>
              <w14:schemeClr w14:val="tx1"/>
            </w14:solidFill>
          </w14:textFill>
        </w:rPr>
        <w:t>（三）经济社会效益</w:t>
      </w:r>
      <w:bookmarkEnd w:id="11"/>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本项目的建设能极大的改善临空经济区道路交通条件。同时为沿线的土地开发创造出有利条件。另外，投资环境的改善，能进一步吸引外部资金，投入到园区的经济建设当中。分析表明本项目具有较好的国民经济效益，是可行的。特别是项目建成之后，其效益及功能立刻得以显示。因此，通过道路的建设，必将对的国民经济带来积极的影响。</w:t>
      </w:r>
    </w:p>
    <w:p>
      <w:pPr>
        <w:pStyle w:val="3"/>
        <w:spacing w:before="0" w:after="0" w:line="360" w:lineRule="auto"/>
        <w:ind w:firstLine="562" w:firstLineChars="200"/>
        <w:rPr>
          <w:rFonts w:hint="eastAsia" w:ascii="仿宋" w:hAnsi="仿宋" w:eastAsia="仿宋" w:cs="楷体"/>
          <w:color w:val="000000" w:themeColor="text1"/>
          <w:kern w:val="0"/>
          <w:sz w:val="28"/>
          <w:szCs w:val="28"/>
          <w14:textFill>
            <w14:solidFill>
              <w14:schemeClr w14:val="tx1"/>
            </w14:solidFill>
          </w14:textFill>
        </w:rPr>
      </w:pPr>
      <w:bookmarkStart w:id="12" w:name="_Toc200722007"/>
      <w:r>
        <w:rPr>
          <w:rFonts w:hint="eastAsia" w:ascii="仿宋" w:hAnsi="仿宋" w:eastAsia="仿宋" w:cs="楷体"/>
          <w:color w:val="000000" w:themeColor="text1"/>
          <w:kern w:val="0"/>
          <w:sz w:val="28"/>
          <w:szCs w:val="28"/>
          <w:lang w:val="en-GB"/>
          <w14:textFill>
            <w14:solidFill>
              <w14:schemeClr w14:val="tx1"/>
            </w14:solidFill>
          </w14:textFill>
        </w:rPr>
        <w:t>（</w:t>
      </w:r>
      <w:r>
        <w:rPr>
          <w:rFonts w:hint="eastAsia" w:ascii="仿宋" w:hAnsi="仿宋" w:eastAsia="仿宋" w:cs="楷体"/>
          <w:color w:val="000000" w:themeColor="text1"/>
          <w:kern w:val="0"/>
          <w:sz w:val="28"/>
          <w:szCs w:val="28"/>
          <w14:textFill>
            <w14:solidFill>
              <w14:schemeClr w14:val="tx1"/>
            </w14:solidFill>
          </w14:textFill>
        </w:rPr>
        <w:t>四</w:t>
      </w:r>
      <w:r>
        <w:rPr>
          <w:rFonts w:hint="eastAsia" w:ascii="仿宋" w:hAnsi="仿宋" w:eastAsia="仿宋" w:cs="楷体"/>
          <w:color w:val="000000" w:themeColor="text1"/>
          <w:kern w:val="0"/>
          <w:sz w:val="28"/>
          <w:szCs w:val="28"/>
          <w:lang w:val="en-GB"/>
          <w14:textFill>
            <w14:solidFill>
              <w14:schemeClr w14:val="tx1"/>
            </w14:solidFill>
          </w14:textFill>
        </w:rPr>
        <w:t>）项目立项情况或实施依据</w:t>
      </w:r>
      <w:bookmarkEnd w:id="12"/>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14:textFill>
            <w14:solidFill>
              <w14:schemeClr w14:val="tx1"/>
            </w14:solidFill>
          </w14:textFill>
        </w:rPr>
      </w:pPr>
      <w:r>
        <w:rPr>
          <w:rFonts w:hint="eastAsia" w:ascii="仿宋" w:hAnsi="仿宋" w:eastAsia="仿宋" w:cs="楷体"/>
          <w:color w:val="000000" w:themeColor="text1"/>
          <w:kern w:val="0"/>
          <w:sz w:val="28"/>
          <w:szCs w:val="28"/>
          <w14:textFill>
            <w14:solidFill>
              <w14:schemeClr w14:val="tx1"/>
            </w14:solidFill>
          </w14:textFill>
        </w:rPr>
        <w:t>项目拟通过项目运营期收益作为专项债券还本付息的资金来源，实现项目收益与融资自求平衡。</w:t>
      </w:r>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14:textFill>
            <w14:solidFill>
              <w14:schemeClr w14:val="tx1"/>
            </w14:solidFill>
          </w14:textFill>
        </w:rPr>
      </w:pPr>
      <w:r>
        <w:rPr>
          <w:rFonts w:hint="eastAsia" w:ascii="仿宋" w:hAnsi="仿宋" w:eastAsia="仿宋" w:cs="楷体"/>
          <w:color w:val="000000" w:themeColor="text1"/>
          <w:kern w:val="0"/>
          <w:sz w:val="28"/>
          <w:szCs w:val="28"/>
          <w14:textFill>
            <w14:solidFill>
              <w14:schemeClr w14:val="tx1"/>
            </w14:solidFill>
          </w14:textFill>
        </w:rPr>
        <w:t>项目已取得的相关批复如下：</w:t>
      </w:r>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14:textFill>
            <w14:solidFill>
              <w14:schemeClr w14:val="tx1"/>
            </w14:solidFill>
          </w14:textFill>
        </w:rPr>
      </w:pPr>
      <w:r>
        <w:rPr>
          <w:rFonts w:hint="eastAsia" w:ascii="仿宋" w:hAnsi="仿宋" w:eastAsia="仿宋" w:cs="楷体"/>
          <w:color w:val="000000" w:themeColor="text1"/>
          <w:kern w:val="0"/>
          <w:sz w:val="28"/>
          <w:szCs w:val="28"/>
          <w14:textFill>
            <w14:solidFill>
              <w14:schemeClr w14:val="tx1"/>
            </w14:solidFill>
          </w14:textFill>
        </w:rPr>
        <w:t>1.投资审批类</w:t>
      </w:r>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14:textFill>
            <w14:solidFill>
              <w14:schemeClr w14:val="tx1"/>
            </w14:solidFill>
          </w14:textFill>
        </w:rPr>
      </w:pPr>
      <w:r>
        <w:rPr>
          <w:rFonts w:hint="eastAsia" w:ascii="仿宋" w:hAnsi="仿宋" w:eastAsia="仿宋" w:cs="楷体"/>
          <w:color w:val="000000" w:themeColor="text1"/>
          <w:kern w:val="0"/>
          <w:sz w:val="28"/>
          <w:szCs w:val="28"/>
          <w14:textFill>
            <w14:solidFill>
              <w14:schemeClr w14:val="tx1"/>
            </w14:solidFill>
          </w14:textFill>
        </w:rPr>
        <w:t>2024年5月24日，海口江东新区管理局作出《关于同意海口江东新区城市地下管网完善工程（一期）可行性研究报告的复函》（海江东审〔2024〕49号）。</w:t>
      </w:r>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14:textFill>
            <w14:solidFill>
              <w14:schemeClr w14:val="tx1"/>
            </w14:solidFill>
          </w14:textFill>
        </w:rPr>
      </w:pPr>
      <w:r>
        <w:rPr>
          <w:rFonts w:hint="eastAsia" w:ascii="仿宋" w:hAnsi="仿宋" w:eastAsia="仿宋" w:cs="楷体"/>
          <w:color w:val="000000" w:themeColor="text1"/>
          <w:kern w:val="0"/>
          <w:sz w:val="28"/>
          <w:szCs w:val="28"/>
          <w14:textFill>
            <w14:solidFill>
              <w14:schemeClr w14:val="tx1"/>
            </w14:solidFill>
          </w14:textFill>
        </w:rPr>
        <w:t>2024年11月13日，海口江东新区管理局作出《关于同意海口江东新区城市地下管网完善工程（一期）初步设计及概算的函》（海江东审〔2024〕114号）</w:t>
      </w:r>
      <w:r>
        <w:rPr>
          <w:rStyle w:val="32"/>
          <w:rFonts w:ascii="仿宋_GB2312" w:hAnsi="楷体" w:eastAsia="仿宋_GB2312" w:cs="楷体"/>
          <w:color w:val="000000" w:themeColor="text1"/>
          <w:kern w:val="0"/>
          <w:sz w:val="28"/>
          <w:szCs w:val="28"/>
          <w14:textFill>
            <w14:solidFill>
              <w14:schemeClr w14:val="tx1"/>
            </w14:solidFill>
          </w14:textFill>
        </w:rPr>
        <w:footnoteReference w:id="1"/>
      </w:r>
      <w:r>
        <w:rPr>
          <w:rFonts w:hint="eastAsia" w:ascii="仿宋" w:hAnsi="仿宋" w:eastAsia="仿宋" w:cs="楷体"/>
          <w:color w:val="000000" w:themeColor="text1"/>
          <w:kern w:val="0"/>
          <w:sz w:val="28"/>
          <w:szCs w:val="28"/>
          <w14:textFill>
            <w14:solidFill>
              <w14:schemeClr w14:val="tx1"/>
            </w14:solidFill>
          </w14:textFill>
        </w:rPr>
        <w:t>。</w:t>
      </w:r>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14:textFill>
            <w14:solidFill>
              <w14:schemeClr w14:val="tx1"/>
            </w14:solidFill>
          </w14:textFill>
        </w:rPr>
      </w:pPr>
      <w:r>
        <w:rPr>
          <w:rFonts w:hint="eastAsia" w:ascii="仿宋" w:hAnsi="仿宋" w:eastAsia="仿宋" w:cs="楷体"/>
          <w:color w:val="000000" w:themeColor="text1"/>
          <w:kern w:val="0"/>
          <w:sz w:val="28"/>
          <w:szCs w:val="28"/>
          <w14:textFill>
            <w14:solidFill>
              <w14:schemeClr w14:val="tx1"/>
            </w14:solidFill>
          </w14:textFill>
        </w:rPr>
        <w:t>2.用地与规划类</w:t>
      </w:r>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14:textFill>
            <w14:solidFill>
              <w14:schemeClr w14:val="tx1"/>
            </w14:solidFill>
          </w14:textFill>
        </w:rPr>
      </w:pPr>
      <w:r>
        <w:rPr>
          <w:rFonts w:hint="eastAsia" w:ascii="仿宋" w:hAnsi="仿宋" w:eastAsia="仿宋" w:cs="楷体"/>
          <w:color w:val="000000" w:themeColor="text1"/>
          <w:kern w:val="0"/>
          <w:sz w:val="28"/>
          <w:szCs w:val="28"/>
          <w14:textFill>
            <w14:solidFill>
              <w14:schemeClr w14:val="tx1"/>
            </w14:solidFill>
          </w14:textFill>
        </w:rPr>
        <w:t>2024年9月27日，海口江东新区管理局颁发《建设用地规划许可证》（地字第</w:t>
      </w:r>
      <w:r>
        <w:rPr>
          <w:rFonts w:ascii="仿宋" w:hAnsi="仿宋" w:eastAsia="仿宋" w:cs="楷体"/>
          <w:color w:val="000000" w:themeColor="text1"/>
          <w:kern w:val="0"/>
          <w:sz w:val="28"/>
          <w:szCs w:val="28"/>
          <w14:textFill>
            <w14:solidFill>
              <w14:schemeClr w14:val="tx1"/>
            </w14:solidFill>
          </w14:textFill>
        </w:rPr>
        <w:t>4601002024YG0053415</w:t>
      </w:r>
      <w:r>
        <w:rPr>
          <w:rFonts w:hint="eastAsia" w:ascii="仿宋" w:hAnsi="仿宋" w:eastAsia="仿宋" w:cs="楷体"/>
          <w:color w:val="000000" w:themeColor="text1"/>
          <w:kern w:val="0"/>
          <w:sz w:val="28"/>
          <w:szCs w:val="28"/>
          <w14:textFill>
            <w14:solidFill>
              <w14:schemeClr w14:val="tx1"/>
            </w14:solidFill>
          </w14:textFill>
        </w:rPr>
        <w:t>号）。</w:t>
      </w:r>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14:textFill>
            <w14:solidFill>
              <w14:schemeClr w14:val="tx1"/>
            </w14:solidFill>
          </w14:textFill>
        </w:rPr>
      </w:pPr>
      <w:r>
        <w:rPr>
          <w:rFonts w:hint="eastAsia" w:ascii="仿宋" w:hAnsi="仿宋" w:eastAsia="仿宋" w:cs="楷体"/>
          <w:color w:val="000000" w:themeColor="text1"/>
          <w:kern w:val="0"/>
          <w:sz w:val="28"/>
          <w:szCs w:val="28"/>
          <w14:textFill>
            <w14:solidFill>
              <w14:schemeClr w14:val="tx1"/>
            </w14:solidFill>
          </w14:textFill>
        </w:rPr>
        <w:t>2024年12月30日，海口江东新区管理局颁发《建设工程规划许可证》（建字第</w:t>
      </w:r>
      <w:r>
        <w:rPr>
          <w:rFonts w:ascii="仿宋" w:hAnsi="仿宋" w:eastAsia="仿宋" w:cs="楷体"/>
          <w:color w:val="000000" w:themeColor="text1"/>
          <w:kern w:val="0"/>
          <w:sz w:val="28"/>
          <w:szCs w:val="28"/>
          <w14:textFill>
            <w14:solidFill>
              <w14:schemeClr w14:val="tx1"/>
            </w14:solidFill>
          </w14:textFill>
        </w:rPr>
        <w:t>465102202410055</w:t>
      </w:r>
      <w:r>
        <w:rPr>
          <w:rFonts w:hint="eastAsia" w:ascii="仿宋" w:hAnsi="仿宋" w:eastAsia="仿宋" w:cs="楷体"/>
          <w:color w:val="000000" w:themeColor="text1"/>
          <w:kern w:val="0"/>
          <w:sz w:val="28"/>
          <w:szCs w:val="28"/>
          <w14:textFill>
            <w14:solidFill>
              <w14:schemeClr w14:val="tx1"/>
            </w14:solidFill>
          </w14:textFill>
        </w:rPr>
        <w:t>号）。</w:t>
      </w:r>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14:textFill>
            <w14:solidFill>
              <w14:schemeClr w14:val="tx1"/>
            </w14:solidFill>
          </w14:textFill>
        </w:rPr>
      </w:pPr>
      <w:r>
        <w:rPr>
          <w:rFonts w:hint="eastAsia" w:ascii="仿宋" w:hAnsi="仿宋" w:eastAsia="仿宋" w:cs="楷体"/>
          <w:color w:val="000000" w:themeColor="text1"/>
          <w:kern w:val="0"/>
          <w:sz w:val="28"/>
          <w:szCs w:val="28"/>
          <w14:textFill>
            <w14:solidFill>
              <w14:schemeClr w14:val="tx1"/>
            </w14:solidFill>
          </w14:textFill>
        </w:rPr>
        <w:t>本项目立项依据充分，前期手续完备，项目整体成熟，在债券资金到位的情况下，项目可按计划竣工。</w:t>
      </w:r>
    </w:p>
    <w:p>
      <w:pPr>
        <w:pStyle w:val="3"/>
        <w:spacing w:before="120" w:after="0" w:line="360" w:lineRule="auto"/>
        <w:ind w:firstLine="562" w:firstLineChars="200"/>
        <w:rPr>
          <w:rFonts w:hint="eastAsia" w:ascii="仿宋" w:hAnsi="仿宋" w:eastAsia="仿宋" w:cs="楷体"/>
          <w:color w:val="000000" w:themeColor="text1"/>
          <w:kern w:val="0"/>
          <w:sz w:val="28"/>
          <w:szCs w:val="28"/>
          <w14:textFill>
            <w14:solidFill>
              <w14:schemeClr w14:val="tx1"/>
            </w14:solidFill>
          </w14:textFill>
        </w:rPr>
      </w:pPr>
      <w:bookmarkStart w:id="13" w:name="_Toc200722008"/>
      <w:r>
        <w:rPr>
          <w:rFonts w:hint="eastAsia" w:ascii="仿宋" w:hAnsi="仿宋" w:eastAsia="仿宋" w:cs="楷体"/>
          <w:color w:val="000000" w:themeColor="text1"/>
          <w:kern w:val="0"/>
          <w:sz w:val="28"/>
          <w:szCs w:val="28"/>
          <w14:textFill>
            <w14:solidFill>
              <w14:schemeClr w14:val="tx1"/>
            </w14:solidFill>
          </w14:textFill>
        </w:rPr>
        <w:t>四、项目预测收益与融资平衡情况</w:t>
      </w:r>
      <w:bookmarkEnd w:id="13"/>
    </w:p>
    <w:p>
      <w:pPr>
        <w:pStyle w:val="3"/>
        <w:spacing w:before="0" w:after="0" w:line="360" w:lineRule="auto"/>
        <w:ind w:firstLine="562" w:firstLineChars="200"/>
        <w:rPr>
          <w:rFonts w:hint="eastAsia" w:ascii="仿宋" w:hAnsi="仿宋" w:eastAsia="仿宋" w:cs="楷体"/>
          <w:color w:val="000000" w:themeColor="text1"/>
          <w:kern w:val="0"/>
          <w:sz w:val="28"/>
          <w:szCs w:val="28"/>
          <w:lang w:val="en-GB"/>
          <w14:textFill>
            <w14:solidFill>
              <w14:schemeClr w14:val="tx1"/>
            </w14:solidFill>
          </w14:textFill>
        </w:rPr>
      </w:pPr>
      <w:bookmarkStart w:id="14" w:name="_Toc200722009"/>
      <w:r>
        <w:rPr>
          <w:rFonts w:hint="eastAsia" w:ascii="仿宋" w:hAnsi="仿宋" w:eastAsia="仿宋" w:cs="楷体"/>
          <w:color w:val="000000" w:themeColor="text1"/>
          <w:kern w:val="0"/>
          <w:sz w:val="28"/>
          <w:szCs w:val="28"/>
          <w:lang w:val="en-GB"/>
          <w14:textFill>
            <w14:solidFill>
              <w14:schemeClr w14:val="tx1"/>
            </w14:solidFill>
          </w14:textFill>
        </w:rPr>
        <w:t>（一）资金充足性</w:t>
      </w:r>
      <w:bookmarkEnd w:id="14"/>
    </w:p>
    <w:p>
      <w:pPr>
        <w:widowControl/>
        <w:spacing w:after="0" w:line="360" w:lineRule="auto"/>
        <w:ind w:left="567"/>
        <w:outlineLvl w:val="2"/>
        <w:rPr>
          <w:rFonts w:hint="eastAsia" w:ascii="仿宋" w:hAnsi="仿宋" w:eastAsia="仿宋"/>
          <w:b/>
          <w:color w:val="000000" w:themeColor="text1"/>
          <w:kern w:val="0"/>
          <w:sz w:val="28"/>
          <w:szCs w:val="28"/>
          <w14:textFill>
            <w14:solidFill>
              <w14:schemeClr w14:val="tx1"/>
            </w14:solidFill>
          </w14:textFill>
        </w:rPr>
      </w:pPr>
      <w:r>
        <w:rPr>
          <w:rFonts w:hint="eastAsia" w:ascii="仿宋" w:hAnsi="仿宋" w:eastAsia="仿宋"/>
          <w:b/>
          <w:color w:val="000000" w:themeColor="text1"/>
          <w:kern w:val="0"/>
          <w:sz w:val="28"/>
          <w:szCs w:val="28"/>
          <w14:textFill>
            <w14:solidFill>
              <w14:schemeClr w14:val="tx1"/>
            </w14:solidFill>
          </w14:textFill>
        </w:rPr>
        <w:t>1．投资估算</w:t>
      </w:r>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14:textFill>
            <w14:solidFill>
              <w14:schemeClr w14:val="tx1"/>
            </w14:solidFill>
          </w14:textFill>
        </w:rPr>
      </w:pPr>
      <w:r>
        <w:rPr>
          <w:rFonts w:hint="eastAsia" w:ascii="仿宋" w:hAnsi="仿宋" w:eastAsia="仿宋" w:cs="楷体"/>
          <w:color w:val="000000" w:themeColor="text1"/>
          <w:kern w:val="0"/>
          <w:sz w:val="28"/>
          <w:szCs w:val="28"/>
          <w14:textFill>
            <w14:solidFill>
              <w14:schemeClr w14:val="tx1"/>
            </w14:solidFill>
          </w14:textFill>
        </w:rPr>
        <w:t>本次对2025年海南省政府专项债券（一期）中</w:t>
      </w:r>
      <w:r>
        <w:rPr>
          <w:rFonts w:hint="eastAsia" w:ascii="仿宋" w:hAnsi="仿宋" w:eastAsia="仿宋" w:cs="楷体"/>
          <w:color w:val="000000" w:themeColor="text1"/>
          <w:kern w:val="0"/>
          <w:sz w:val="28"/>
          <w:szCs w:val="28"/>
          <w:lang w:val="en-GB"/>
          <w14:textFill>
            <w14:solidFill>
              <w14:schemeClr w14:val="tx1"/>
            </w14:solidFill>
          </w14:textFill>
        </w:rPr>
        <w:t>海南省中医院新院区（含省职业病医院）周边配套路网项目</w:t>
      </w:r>
      <w:r>
        <w:rPr>
          <w:rFonts w:hint="eastAsia" w:ascii="仿宋" w:hAnsi="仿宋" w:eastAsia="仿宋" w:cs="楷体"/>
          <w:color w:val="000000" w:themeColor="text1"/>
          <w:kern w:val="0"/>
          <w:sz w:val="28"/>
          <w:szCs w:val="28"/>
          <w14:textFill>
            <w14:solidFill>
              <w14:schemeClr w14:val="tx1"/>
            </w14:solidFill>
          </w14:textFill>
        </w:rPr>
        <w:t>发行的1,000万元的债券额度进行调整，将调整后的额度分配至海口江东新区城市地下管网完善工程（一期）使用。</w:t>
      </w:r>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14:textFill>
            <w14:solidFill>
              <w14:schemeClr w14:val="tx1"/>
            </w14:solidFill>
          </w14:textFill>
        </w:rPr>
      </w:pPr>
      <w:r>
        <w:rPr>
          <w:rFonts w:hint="eastAsia" w:ascii="仿宋" w:hAnsi="仿宋" w:eastAsia="仿宋" w:cs="楷体"/>
          <w:color w:val="000000" w:themeColor="text1"/>
          <w:kern w:val="0"/>
          <w:sz w:val="28"/>
          <w:szCs w:val="28"/>
          <w14:textFill>
            <w14:solidFill>
              <w14:schemeClr w14:val="tx1"/>
            </w14:solidFill>
          </w14:textFill>
        </w:rPr>
        <w:t>本次债券所涉及的海口江东新区城市地下管网完善工程（一期）预计使用专项债券共计1,000万元，其中，本期调增专项债券1,000万元。项目本息覆盖率可达到</w:t>
      </w:r>
      <w:r>
        <w:rPr>
          <w:rFonts w:ascii="仿宋" w:hAnsi="仿宋" w:eastAsia="仿宋" w:cs="楷体"/>
          <w:color w:val="000000" w:themeColor="text1"/>
          <w:kern w:val="0"/>
          <w:sz w:val="28"/>
          <w:szCs w:val="28"/>
          <w14:textFill>
            <w14:solidFill>
              <w14:schemeClr w14:val="tx1"/>
            </w14:solidFill>
          </w14:textFill>
        </w:rPr>
        <w:t>1.29</w:t>
      </w:r>
      <w:r>
        <w:rPr>
          <w:rFonts w:hint="eastAsia" w:ascii="仿宋" w:hAnsi="仿宋" w:eastAsia="仿宋" w:cs="楷体"/>
          <w:color w:val="000000" w:themeColor="text1"/>
          <w:kern w:val="0"/>
          <w:sz w:val="28"/>
          <w:szCs w:val="28"/>
          <w14:textFill>
            <w14:solidFill>
              <w14:schemeClr w14:val="tx1"/>
            </w14:solidFill>
          </w14:textFill>
        </w:rPr>
        <w:t>，根据项目收益与融资平衡分析结果显示，本项目在债券存续期内还本付息资金充足。</w:t>
      </w:r>
      <w:r>
        <w:rPr>
          <w:rFonts w:hint="eastAsia" w:ascii="仿宋" w:hAnsi="仿宋" w:eastAsia="仿宋" w:cs="楷体"/>
          <w:color w:val="000000" w:themeColor="text1"/>
          <w:kern w:val="0"/>
          <w:sz w:val="28"/>
          <w:szCs w:val="28"/>
          <w:lang w:val="en-GB"/>
          <w14:textFill>
            <w14:solidFill>
              <w14:schemeClr w14:val="tx1"/>
            </w14:solidFill>
          </w14:textFill>
        </w:rPr>
        <w:t>详见下表2：</w:t>
      </w:r>
    </w:p>
    <w:p>
      <w:pPr>
        <w:spacing w:after="0" w:line="240" w:lineRule="auto"/>
        <w:jc w:val="center"/>
        <w:rPr>
          <w:rFonts w:hint="eastAsia" w:ascii="仿宋" w:hAnsi="仿宋" w:eastAsia="仿宋" w:cs="楷体"/>
          <w:b/>
          <w:bCs/>
          <w:kern w:val="0"/>
          <w:sz w:val="24"/>
          <w:szCs w:val="24"/>
          <w:vertAlign w:val="superscript"/>
        </w:rPr>
      </w:pPr>
      <w:r>
        <w:rPr>
          <w:rFonts w:ascii="仿宋" w:hAnsi="仿宋" w:eastAsia="仿宋" w:cs="楷体"/>
          <w:b/>
          <w:bCs/>
          <w:kern w:val="0"/>
          <w:sz w:val="24"/>
          <w:szCs w:val="24"/>
        </w:rPr>
        <w:t>表</w:t>
      </w:r>
      <w:r>
        <w:rPr>
          <w:rFonts w:hint="eastAsia" w:ascii="仿宋" w:hAnsi="仿宋" w:eastAsia="仿宋" w:cs="楷体"/>
          <w:b/>
          <w:bCs/>
          <w:kern w:val="0"/>
          <w:sz w:val="24"/>
          <w:szCs w:val="24"/>
        </w:rPr>
        <w:t>2</w:t>
      </w:r>
      <w:r>
        <w:rPr>
          <w:rFonts w:ascii="仿宋" w:hAnsi="仿宋" w:eastAsia="仿宋" w:cs="楷体"/>
          <w:b/>
          <w:bCs/>
          <w:kern w:val="0"/>
          <w:sz w:val="24"/>
          <w:szCs w:val="24"/>
        </w:rPr>
        <w:t xml:space="preserve"> </w:t>
      </w:r>
      <w:r>
        <w:rPr>
          <w:rFonts w:hint="eastAsia" w:ascii="仿宋" w:hAnsi="仿宋" w:eastAsia="仿宋" w:cs="楷体"/>
          <w:b/>
          <w:bCs/>
          <w:kern w:val="0"/>
          <w:sz w:val="24"/>
          <w:szCs w:val="24"/>
        </w:rPr>
        <w:t>海口江东新区城市地下管网完善工程（一期）</w:t>
      </w:r>
      <w:r>
        <w:rPr>
          <w:rFonts w:ascii="仿宋" w:hAnsi="仿宋" w:eastAsia="仿宋" w:cs="楷体"/>
          <w:b/>
          <w:bCs/>
          <w:kern w:val="0"/>
          <w:sz w:val="24"/>
          <w:szCs w:val="24"/>
        </w:rPr>
        <w:t>本息覆盖率表</w:t>
      </w:r>
      <w:r>
        <w:rPr>
          <w:rFonts w:ascii="仿宋" w:hAnsi="仿宋" w:eastAsia="仿宋" w:cs="楷体"/>
          <w:bCs/>
          <w:kern w:val="0"/>
          <w:sz w:val="24"/>
          <w:szCs w:val="24"/>
          <w:vertAlign w:val="superscript"/>
        </w:rPr>
        <w:footnoteReference w:id="2"/>
      </w:r>
    </w:p>
    <w:p>
      <w:pPr>
        <w:spacing w:before="120" w:beforeLines="50" w:after="0" w:line="240" w:lineRule="auto"/>
        <w:jc w:val="right"/>
        <w:rPr>
          <w:rFonts w:hint="eastAsia" w:ascii="仿宋" w:hAnsi="仿宋" w:eastAsia="仿宋"/>
          <w:color w:val="000000"/>
          <w:sz w:val="20"/>
          <w:szCs w:val="20"/>
        </w:rPr>
      </w:pPr>
      <w:r>
        <w:rPr>
          <w:rFonts w:ascii="仿宋" w:hAnsi="仿宋" w:eastAsia="仿宋"/>
          <w:color w:val="000000"/>
          <w:sz w:val="20"/>
          <w:szCs w:val="20"/>
        </w:rPr>
        <w:t>单位：人民币万元</w:t>
      </w:r>
    </w:p>
    <w:tbl>
      <w:tblPr>
        <w:tblStyle w:val="24"/>
        <w:tblW w:w="51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45"/>
        <w:gridCol w:w="1165"/>
        <w:gridCol w:w="1165"/>
        <w:gridCol w:w="1018"/>
        <w:gridCol w:w="1047"/>
        <w:gridCol w:w="1099"/>
        <w:gridCol w:w="911"/>
        <w:gridCol w:w="8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2" w:hRule="atLeast"/>
          <w:tblHeader/>
          <w:jc w:val="center"/>
        </w:trPr>
        <w:tc>
          <w:tcPr>
            <w:tcW w:w="965" w:type="pct"/>
            <w:shd w:val="clear" w:color="auto" w:fill="auto"/>
            <w:noWrap/>
            <w:vAlign w:val="center"/>
          </w:tcPr>
          <w:p>
            <w:pPr>
              <w:widowControl/>
              <w:spacing w:after="0" w:line="240" w:lineRule="auto"/>
              <w:jc w:val="center"/>
              <w:rPr>
                <w:rFonts w:hint="eastAsia" w:ascii="仿宋" w:hAnsi="仿宋" w:eastAsia="仿宋" w:cs="Arial"/>
                <w:b/>
                <w:bCs/>
                <w:kern w:val="0"/>
                <w:sz w:val="20"/>
                <w:szCs w:val="20"/>
              </w:rPr>
            </w:pPr>
            <w:r>
              <w:rPr>
                <w:rFonts w:hint="eastAsia" w:ascii="仿宋" w:hAnsi="仿宋" w:eastAsia="仿宋" w:cs="微软雅黑"/>
                <w:b/>
                <w:bCs/>
                <w:kern w:val="0"/>
                <w:sz w:val="20"/>
                <w:szCs w:val="20"/>
              </w:rPr>
              <w:t>项目</w:t>
            </w:r>
          </w:p>
        </w:tc>
        <w:tc>
          <w:tcPr>
            <w:tcW w:w="644" w:type="pct"/>
            <w:shd w:val="clear" w:color="auto" w:fill="auto"/>
            <w:noWrap/>
            <w:vAlign w:val="center"/>
          </w:tcPr>
          <w:p>
            <w:pPr>
              <w:widowControl/>
              <w:spacing w:after="0" w:line="240" w:lineRule="auto"/>
              <w:jc w:val="center"/>
              <w:rPr>
                <w:rFonts w:hint="eastAsia" w:ascii="仿宋" w:hAnsi="仿宋" w:eastAsia="仿宋" w:cs="Arial"/>
                <w:b/>
                <w:bCs/>
                <w:kern w:val="0"/>
                <w:sz w:val="20"/>
                <w:szCs w:val="20"/>
              </w:rPr>
            </w:pPr>
            <w:r>
              <w:rPr>
                <w:rFonts w:hint="eastAsia" w:ascii="仿宋" w:hAnsi="仿宋" w:eastAsia="仿宋" w:cs="微软雅黑"/>
                <w:b/>
                <w:bCs/>
                <w:kern w:val="0"/>
                <w:sz w:val="20"/>
                <w:szCs w:val="20"/>
              </w:rPr>
              <w:t>调整后项目总投资</w:t>
            </w:r>
          </w:p>
        </w:tc>
        <w:tc>
          <w:tcPr>
            <w:tcW w:w="644" w:type="pct"/>
            <w:shd w:val="clear" w:color="auto" w:fill="auto"/>
            <w:noWrap/>
            <w:vAlign w:val="center"/>
          </w:tcPr>
          <w:p>
            <w:pPr>
              <w:widowControl/>
              <w:spacing w:after="0" w:line="240" w:lineRule="auto"/>
              <w:jc w:val="center"/>
              <w:rPr>
                <w:rFonts w:hint="eastAsia" w:ascii="仿宋" w:hAnsi="仿宋" w:eastAsia="仿宋" w:cs="微软雅黑"/>
                <w:b/>
                <w:bCs/>
                <w:kern w:val="0"/>
                <w:sz w:val="20"/>
                <w:szCs w:val="20"/>
              </w:rPr>
            </w:pPr>
            <w:r>
              <w:rPr>
                <w:rFonts w:hint="eastAsia" w:ascii="仿宋" w:hAnsi="仿宋" w:eastAsia="仿宋" w:cs="微软雅黑"/>
                <w:b/>
                <w:bCs/>
                <w:kern w:val="0"/>
                <w:sz w:val="20"/>
                <w:szCs w:val="20"/>
              </w:rPr>
              <w:t>用于资金平衡的项目收益</w:t>
            </w:r>
            <w:r>
              <w:rPr>
                <w:rFonts w:ascii="仿宋" w:hAnsi="仿宋" w:eastAsia="仿宋" w:cs="微软雅黑"/>
                <w:b/>
                <w:bCs/>
                <w:kern w:val="0"/>
                <w:sz w:val="20"/>
                <w:szCs w:val="20"/>
                <w:vertAlign w:val="superscript"/>
              </w:rPr>
              <w:footnoteReference w:id="3"/>
            </w:r>
          </w:p>
        </w:tc>
        <w:tc>
          <w:tcPr>
            <w:tcW w:w="563" w:type="pct"/>
            <w:shd w:val="clear" w:color="auto" w:fill="auto"/>
            <w:vAlign w:val="center"/>
          </w:tcPr>
          <w:p>
            <w:pPr>
              <w:widowControl/>
              <w:spacing w:after="0" w:line="240" w:lineRule="auto"/>
              <w:jc w:val="center"/>
              <w:rPr>
                <w:rFonts w:hint="eastAsia" w:ascii="仿宋" w:hAnsi="仿宋" w:eastAsia="仿宋" w:cs="Calibri"/>
                <w:b/>
                <w:bCs/>
                <w:kern w:val="0"/>
                <w:sz w:val="20"/>
                <w:szCs w:val="20"/>
              </w:rPr>
            </w:pPr>
            <w:r>
              <w:rPr>
                <w:rFonts w:hint="eastAsia" w:ascii="仿宋" w:hAnsi="仿宋" w:eastAsia="仿宋" w:cs="Calibri"/>
                <w:b/>
                <w:bCs/>
                <w:kern w:val="0"/>
                <w:sz w:val="20"/>
                <w:szCs w:val="20"/>
              </w:rPr>
              <w:t>期末项目累计现金结存额</w:t>
            </w:r>
          </w:p>
        </w:tc>
        <w:tc>
          <w:tcPr>
            <w:tcW w:w="579" w:type="pct"/>
            <w:shd w:val="clear" w:color="auto" w:fill="auto"/>
            <w:vAlign w:val="center"/>
          </w:tcPr>
          <w:p>
            <w:pPr>
              <w:widowControl/>
              <w:spacing w:after="0" w:line="240" w:lineRule="auto"/>
              <w:jc w:val="center"/>
              <w:rPr>
                <w:rFonts w:hint="eastAsia" w:ascii="仿宋" w:hAnsi="仿宋" w:eastAsia="仿宋" w:cs="Calibri"/>
                <w:b/>
                <w:bCs/>
                <w:kern w:val="0"/>
                <w:sz w:val="20"/>
                <w:szCs w:val="20"/>
              </w:rPr>
            </w:pPr>
            <w:r>
              <w:rPr>
                <w:rFonts w:hint="eastAsia" w:ascii="仿宋" w:hAnsi="仿宋" w:eastAsia="仿宋" w:cs="微软雅黑"/>
                <w:b/>
                <w:bCs/>
                <w:kern w:val="0"/>
                <w:sz w:val="20"/>
                <w:szCs w:val="20"/>
              </w:rPr>
              <w:t>调整后发行额度</w:t>
            </w:r>
          </w:p>
        </w:tc>
        <w:tc>
          <w:tcPr>
            <w:tcW w:w="608" w:type="pct"/>
            <w:shd w:val="clear" w:color="auto" w:fill="auto"/>
            <w:noWrap/>
            <w:vAlign w:val="center"/>
          </w:tcPr>
          <w:p>
            <w:pPr>
              <w:widowControl/>
              <w:spacing w:after="0" w:line="240" w:lineRule="auto"/>
              <w:jc w:val="center"/>
              <w:rPr>
                <w:rFonts w:hint="eastAsia" w:ascii="仿宋" w:hAnsi="仿宋" w:eastAsia="仿宋" w:cs="Arial"/>
                <w:b/>
                <w:bCs/>
                <w:kern w:val="0"/>
                <w:sz w:val="20"/>
                <w:szCs w:val="20"/>
              </w:rPr>
            </w:pPr>
            <w:r>
              <w:rPr>
                <w:rFonts w:hint="eastAsia" w:ascii="仿宋" w:hAnsi="仿宋" w:eastAsia="仿宋" w:cs="微软雅黑"/>
                <w:b/>
                <w:bCs/>
                <w:kern w:val="0"/>
                <w:sz w:val="20"/>
                <w:szCs w:val="20"/>
              </w:rPr>
              <w:t>预计债券本息合计</w:t>
            </w:r>
          </w:p>
        </w:tc>
        <w:tc>
          <w:tcPr>
            <w:tcW w:w="504" w:type="pct"/>
            <w:shd w:val="clear" w:color="auto" w:fill="auto"/>
            <w:noWrap/>
            <w:vAlign w:val="center"/>
          </w:tcPr>
          <w:p>
            <w:pPr>
              <w:widowControl/>
              <w:spacing w:after="0" w:line="240" w:lineRule="auto"/>
              <w:jc w:val="center"/>
              <w:rPr>
                <w:rFonts w:hint="eastAsia" w:ascii="仿宋" w:hAnsi="仿宋" w:eastAsia="仿宋" w:cs="Arial"/>
                <w:b/>
                <w:bCs/>
                <w:kern w:val="0"/>
                <w:sz w:val="20"/>
                <w:szCs w:val="20"/>
              </w:rPr>
            </w:pPr>
            <w:r>
              <w:rPr>
                <w:rFonts w:hint="eastAsia" w:ascii="仿宋" w:hAnsi="仿宋" w:eastAsia="仿宋" w:cs="微软雅黑"/>
                <w:b/>
                <w:bCs/>
                <w:kern w:val="0"/>
                <w:sz w:val="20"/>
                <w:szCs w:val="20"/>
              </w:rPr>
              <w:t>本息覆盖率</w:t>
            </w:r>
            <w:r>
              <w:rPr>
                <w:rFonts w:ascii="仿宋" w:hAnsi="仿宋" w:eastAsia="仿宋" w:cs="微软雅黑"/>
                <w:b/>
                <w:bCs/>
                <w:kern w:val="0"/>
                <w:sz w:val="20"/>
                <w:szCs w:val="20"/>
                <w:vertAlign w:val="superscript"/>
              </w:rPr>
              <w:footnoteReference w:id="4"/>
            </w:r>
          </w:p>
        </w:tc>
        <w:tc>
          <w:tcPr>
            <w:tcW w:w="492" w:type="pct"/>
            <w:shd w:val="clear" w:color="auto" w:fill="auto"/>
            <w:vAlign w:val="center"/>
          </w:tcPr>
          <w:p>
            <w:pPr>
              <w:widowControl/>
              <w:spacing w:after="0" w:line="240" w:lineRule="auto"/>
              <w:jc w:val="center"/>
              <w:rPr>
                <w:rFonts w:hint="eastAsia" w:ascii="仿宋" w:hAnsi="仿宋" w:eastAsia="仿宋" w:cs="微软雅黑"/>
                <w:b/>
                <w:bCs/>
                <w:kern w:val="0"/>
                <w:sz w:val="20"/>
                <w:szCs w:val="20"/>
              </w:rPr>
            </w:pPr>
            <w:r>
              <w:rPr>
                <w:rFonts w:hint="eastAsia" w:ascii="仿宋" w:hAnsi="仿宋" w:eastAsia="仿宋" w:cs="微软雅黑"/>
                <w:b/>
                <w:bCs/>
                <w:kern w:val="0"/>
                <w:sz w:val="20"/>
                <w:szCs w:val="20"/>
              </w:rPr>
              <w:t>本息覆盖倍数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3" w:hRule="atLeast"/>
          <w:jc w:val="center"/>
        </w:trPr>
        <w:tc>
          <w:tcPr>
            <w:tcW w:w="965" w:type="pct"/>
            <w:shd w:val="clear" w:color="auto" w:fill="auto"/>
            <w:noWrap/>
            <w:vAlign w:val="center"/>
          </w:tcPr>
          <w:p>
            <w:pPr>
              <w:widowControl/>
              <w:spacing w:after="0" w:line="240" w:lineRule="auto"/>
              <w:rPr>
                <w:rFonts w:hint="eastAsia" w:ascii="仿宋" w:hAnsi="仿宋" w:eastAsia="仿宋" w:cs="微软雅黑"/>
                <w:color w:val="000000"/>
                <w:kern w:val="0"/>
                <w:sz w:val="20"/>
                <w:szCs w:val="20"/>
              </w:rPr>
            </w:pPr>
            <w:r>
              <w:rPr>
                <w:rFonts w:hint="eastAsia" w:ascii="仿宋" w:hAnsi="仿宋" w:eastAsia="仿宋"/>
                <w:kern w:val="0"/>
                <w:sz w:val="20"/>
                <w:szCs w:val="20"/>
              </w:rPr>
              <w:t>海口江东新区城市地下管网完善工程（一期）</w:t>
            </w:r>
          </w:p>
        </w:tc>
        <w:tc>
          <w:tcPr>
            <w:tcW w:w="644" w:type="pct"/>
            <w:shd w:val="clear" w:color="auto" w:fill="auto"/>
            <w:noWrap/>
            <w:vAlign w:val="center"/>
          </w:tcPr>
          <w:p>
            <w:pPr>
              <w:widowControl/>
              <w:spacing w:after="0" w:line="240" w:lineRule="auto"/>
              <w:jc w:val="right"/>
              <w:rPr>
                <w:rFonts w:hint="eastAsia" w:ascii="仿宋" w:hAnsi="仿宋" w:eastAsia="仿宋" w:cs="Calibri"/>
                <w:color w:val="000000"/>
                <w:kern w:val="0"/>
                <w:sz w:val="20"/>
                <w:szCs w:val="20"/>
              </w:rPr>
            </w:pPr>
            <w:r>
              <w:rPr>
                <w:rFonts w:ascii="仿宋" w:hAnsi="仿宋" w:eastAsia="仿宋" w:cs="Calibri"/>
                <w:color w:val="000000"/>
                <w:sz w:val="20"/>
                <w:szCs w:val="20"/>
              </w:rPr>
              <w:t>12,851</w:t>
            </w:r>
          </w:p>
        </w:tc>
        <w:tc>
          <w:tcPr>
            <w:tcW w:w="644" w:type="pct"/>
            <w:shd w:val="clear" w:color="auto" w:fill="auto"/>
            <w:noWrap/>
            <w:vAlign w:val="center"/>
          </w:tcPr>
          <w:p>
            <w:pPr>
              <w:widowControl/>
              <w:spacing w:after="0" w:line="240" w:lineRule="auto"/>
              <w:jc w:val="right"/>
              <w:rPr>
                <w:rFonts w:hint="eastAsia" w:ascii="仿宋" w:hAnsi="仿宋" w:eastAsia="仿宋" w:cs="Calibri"/>
                <w:color w:val="000000"/>
                <w:kern w:val="0"/>
                <w:sz w:val="20"/>
                <w:szCs w:val="20"/>
              </w:rPr>
            </w:pPr>
            <w:r>
              <w:rPr>
                <w:rFonts w:ascii="仿宋" w:hAnsi="仿宋" w:eastAsia="仿宋" w:cs="Calibri"/>
                <w:color w:val="000000"/>
                <w:sz w:val="20"/>
                <w:szCs w:val="20"/>
              </w:rPr>
              <w:t>1,492</w:t>
            </w:r>
          </w:p>
        </w:tc>
        <w:tc>
          <w:tcPr>
            <w:tcW w:w="563" w:type="pct"/>
            <w:vAlign w:val="center"/>
          </w:tcPr>
          <w:p>
            <w:pPr>
              <w:widowControl/>
              <w:spacing w:after="0" w:line="240" w:lineRule="auto"/>
              <w:jc w:val="right"/>
              <w:rPr>
                <w:rFonts w:hint="eastAsia" w:ascii="仿宋" w:hAnsi="仿宋" w:eastAsia="仿宋" w:cs="Calibri"/>
                <w:color w:val="000000"/>
                <w:kern w:val="0"/>
                <w:sz w:val="20"/>
                <w:szCs w:val="20"/>
              </w:rPr>
            </w:pPr>
            <w:r>
              <w:rPr>
                <w:rFonts w:ascii="仿宋" w:hAnsi="仿宋" w:eastAsia="仿宋" w:cs="Calibri"/>
                <w:color w:val="000000"/>
                <w:sz w:val="20"/>
                <w:szCs w:val="20"/>
              </w:rPr>
              <w:t>342</w:t>
            </w:r>
          </w:p>
        </w:tc>
        <w:tc>
          <w:tcPr>
            <w:tcW w:w="579" w:type="pct"/>
            <w:vAlign w:val="center"/>
          </w:tcPr>
          <w:p>
            <w:pPr>
              <w:widowControl/>
              <w:spacing w:after="0" w:line="240" w:lineRule="auto"/>
              <w:jc w:val="right"/>
              <w:rPr>
                <w:rFonts w:hint="eastAsia" w:ascii="仿宋" w:hAnsi="仿宋" w:eastAsia="仿宋" w:cs="Calibri"/>
                <w:color w:val="000000"/>
                <w:kern w:val="0"/>
                <w:sz w:val="20"/>
                <w:szCs w:val="20"/>
              </w:rPr>
            </w:pPr>
            <w:r>
              <w:rPr>
                <w:rFonts w:ascii="仿宋" w:hAnsi="仿宋" w:eastAsia="仿宋" w:cs="Calibri"/>
                <w:color w:val="000000"/>
                <w:sz w:val="20"/>
                <w:szCs w:val="20"/>
              </w:rPr>
              <w:t>1,000</w:t>
            </w:r>
          </w:p>
        </w:tc>
        <w:tc>
          <w:tcPr>
            <w:tcW w:w="608" w:type="pct"/>
            <w:shd w:val="clear" w:color="auto" w:fill="auto"/>
            <w:noWrap/>
            <w:vAlign w:val="center"/>
          </w:tcPr>
          <w:p>
            <w:pPr>
              <w:widowControl/>
              <w:spacing w:after="0" w:line="240" w:lineRule="auto"/>
              <w:jc w:val="right"/>
              <w:rPr>
                <w:rFonts w:hint="eastAsia" w:ascii="仿宋" w:hAnsi="仿宋" w:eastAsia="仿宋" w:cs="Calibri"/>
                <w:color w:val="000000"/>
                <w:kern w:val="0"/>
                <w:sz w:val="20"/>
                <w:szCs w:val="20"/>
              </w:rPr>
            </w:pPr>
            <w:r>
              <w:rPr>
                <w:rFonts w:ascii="仿宋" w:hAnsi="仿宋" w:eastAsia="仿宋" w:cs="Calibri"/>
                <w:color w:val="000000"/>
                <w:sz w:val="20"/>
                <w:szCs w:val="20"/>
              </w:rPr>
              <w:t>1,176</w:t>
            </w:r>
          </w:p>
        </w:tc>
        <w:tc>
          <w:tcPr>
            <w:tcW w:w="504" w:type="pct"/>
            <w:shd w:val="clear" w:color="auto" w:fill="auto"/>
            <w:noWrap/>
            <w:vAlign w:val="center"/>
          </w:tcPr>
          <w:p>
            <w:pPr>
              <w:widowControl/>
              <w:spacing w:after="0" w:line="240" w:lineRule="auto"/>
              <w:jc w:val="right"/>
              <w:rPr>
                <w:rFonts w:hint="eastAsia" w:ascii="仿宋" w:hAnsi="仿宋" w:eastAsia="仿宋" w:cs="Calibri"/>
                <w:color w:val="000000"/>
                <w:sz w:val="20"/>
                <w:szCs w:val="20"/>
              </w:rPr>
            </w:pPr>
            <w:r>
              <w:rPr>
                <w:rFonts w:ascii="仿宋" w:hAnsi="仿宋" w:eastAsia="仿宋" w:cs="Calibri"/>
                <w:color w:val="000000"/>
                <w:sz w:val="20"/>
                <w:szCs w:val="20"/>
              </w:rPr>
              <w:t>1.29</w:t>
            </w:r>
          </w:p>
        </w:tc>
        <w:tc>
          <w:tcPr>
            <w:tcW w:w="492" w:type="pct"/>
            <w:vAlign w:val="center"/>
          </w:tcPr>
          <w:p>
            <w:pPr>
              <w:widowControl/>
              <w:spacing w:after="0" w:line="240" w:lineRule="auto"/>
              <w:jc w:val="right"/>
              <w:rPr>
                <w:rFonts w:hint="eastAsia" w:ascii="仿宋" w:hAnsi="仿宋" w:eastAsia="仿宋" w:cs="Calibri"/>
                <w:color w:val="000000"/>
                <w:sz w:val="20"/>
                <w:szCs w:val="20"/>
              </w:rPr>
            </w:pPr>
            <w:r>
              <w:rPr>
                <w:rFonts w:ascii="仿宋" w:hAnsi="仿宋" w:eastAsia="仿宋" w:cs="Calibri"/>
                <w:color w:val="000000"/>
                <w:sz w:val="20"/>
                <w:szCs w:val="20"/>
              </w:rPr>
              <w:t>1.27</w:t>
            </w:r>
          </w:p>
        </w:tc>
      </w:tr>
    </w:tbl>
    <w:p>
      <w:pPr>
        <w:autoSpaceDE w:val="0"/>
        <w:autoSpaceDN w:val="0"/>
        <w:adjustRightInd w:val="0"/>
        <w:spacing w:before="120" w:after="0" w:line="360" w:lineRule="auto"/>
        <w:ind w:firstLine="560" w:firstLineChars="200"/>
        <w:rPr>
          <w:rFonts w:hint="eastAsia"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对此，我们从投资估算、债券发行和还本付息、发债项目盈利能力、偿债能力和可持续性等方面分析如下：</w:t>
      </w:r>
      <w:bookmarkStart w:id="15" w:name="_Hlk137048186"/>
      <w:bookmarkStart w:id="16" w:name="_Hlk128733677"/>
      <w:bookmarkStart w:id="17" w:name="_Hlk140847931"/>
      <w:bookmarkStart w:id="18" w:name="_Hlk135746641"/>
    </w:p>
    <w:bookmarkEnd w:id="15"/>
    <w:bookmarkEnd w:id="16"/>
    <w:bookmarkEnd w:id="17"/>
    <w:bookmarkEnd w:id="18"/>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本项目本次调增的2025年海南省政府专项债券（一期）的债券发行利率为1.76%。发行费率暂取0.10%。据此估算海口江东新区城市地下管网完善工程（一期）总投资为12,851万元，详见表3</w:t>
      </w:r>
      <w:r>
        <w:rPr>
          <w:rFonts w:ascii="仿宋" w:hAnsi="仿宋" w:eastAsia="仿宋" w:cs="楷体"/>
          <w:color w:val="000000" w:themeColor="text1"/>
          <w:kern w:val="0"/>
          <w:sz w:val="28"/>
          <w:szCs w:val="28"/>
          <w:lang w:val="en-GB"/>
          <w14:textFill>
            <w14:solidFill>
              <w14:schemeClr w14:val="tx1"/>
            </w14:solidFill>
          </w14:textFill>
        </w:rPr>
        <w:t>：</w:t>
      </w:r>
    </w:p>
    <w:p>
      <w:pPr>
        <w:spacing w:after="0" w:line="240" w:lineRule="auto"/>
        <w:jc w:val="center"/>
        <w:rPr>
          <w:rFonts w:hint="eastAsia" w:ascii="仿宋" w:hAnsi="仿宋" w:eastAsia="仿宋" w:cs="楷体"/>
          <w:b/>
          <w:bCs/>
          <w:kern w:val="0"/>
          <w:sz w:val="24"/>
          <w:szCs w:val="24"/>
        </w:rPr>
      </w:pPr>
      <w:r>
        <w:rPr>
          <w:rFonts w:ascii="仿宋" w:hAnsi="仿宋" w:eastAsia="仿宋" w:cs="楷体"/>
          <w:b/>
          <w:bCs/>
          <w:kern w:val="0"/>
          <w:sz w:val="24"/>
          <w:szCs w:val="24"/>
        </w:rPr>
        <w:t xml:space="preserve">表3 </w:t>
      </w:r>
      <w:r>
        <w:rPr>
          <w:rFonts w:hint="eastAsia" w:ascii="仿宋" w:hAnsi="仿宋" w:eastAsia="仿宋" w:cs="楷体"/>
          <w:b/>
          <w:bCs/>
          <w:kern w:val="0"/>
          <w:sz w:val="24"/>
          <w:szCs w:val="24"/>
        </w:rPr>
        <w:t>海口江东新区城市地下管网完善工程（一期）总投资估算表</w:t>
      </w:r>
    </w:p>
    <w:p>
      <w:pPr>
        <w:spacing w:before="120" w:beforeLines="50" w:after="0" w:line="240" w:lineRule="auto"/>
        <w:jc w:val="right"/>
        <w:rPr>
          <w:rFonts w:hint="eastAsia" w:ascii="仿宋" w:hAnsi="仿宋" w:eastAsia="仿宋"/>
          <w:color w:val="000000"/>
          <w:sz w:val="20"/>
          <w:szCs w:val="20"/>
        </w:rPr>
      </w:pPr>
      <w:r>
        <w:rPr>
          <w:rFonts w:ascii="仿宋" w:hAnsi="仿宋" w:eastAsia="仿宋"/>
          <w:color w:val="000000"/>
          <w:sz w:val="20"/>
          <w:szCs w:val="20"/>
        </w:rPr>
        <w:t>单位：人民币万元</w:t>
      </w:r>
    </w:p>
    <w:tbl>
      <w:tblPr>
        <w:tblStyle w:val="24"/>
        <w:tblW w:w="5000" w:type="pct"/>
        <w:tblInd w:w="0" w:type="dxa"/>
        <w:tblLayout w:type="autofit"/>
        <w:tblCellMar>
          <w:top w:w="0" w:type="dxa"/>
          <w:left w:w="108" w:type="dxa"/>
          <w:bottom w:w="0" w:type="dxa"/>
          <w:right w:w="108" w:type="dxa"/>
        </w:tblCellMar>
      </w:tblPr>
      <w:tblGrid>
        <w:gridCol w:w="1325"/>
        <w:gridCol w:w="2884"/>
        <w:gridCol w:w="1496"/>
        <w:gridCol w:w="1496"/>
        <w:gridCol w:w="1661"/>
      </w:tblGrid>
      <w:tr>
        <w:tblPrEx>
          <w:tblCellMar>
            <w:top w:w="0" w:type="dxa"/>
            <w:left w:w="108" w:type="dxa"/>
            <w:bottom w:w="0" w:type="dxa"/>
            <w:right w:w="108" w:type="dxa"/>
          </w:tblCellMar>
        </w:tblPrEx>
        <w:trPr>
          <w:trHeight w:val="276" w:hRule="atLeast"/>
        </w:trPr>
        <w:tc>
          <w:tcPr>
            <w:tcW w:w="748"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after="0" w:line="240" w:lineRule="auto"/>
              <w:jc w:val="center"/>
              <w:rPr>
                <w:rFonts w:hint="eastAsia" w:ascii="仿宋" w:hAnsi="仿宋" w:eastAsia="仿宋" w:cs="宋体"/>
                <w:b/>
                <w:bCs/>
                <w:color w:val="000000" w:themeColor="text1"/>
                <w:kern w:val="0"/>
                <w:sz w:val="20"/>
                <w:szCs w:val="20"/>
                <w14:textFill>
                  <w14:solidFill>
                    <w14:schemeClr w14:val="tx1"/>
                  </w14:solidFill>
                </w14:textFill>
              </w:rPr>
            </w:pPr>
            <w:r>
              <w:rPr>
                <w:rFonts w:hint="eastAsia" w:ascii="仿宋" w:hAnsi="仿宋" w:eastAsia="仿宋" w:cs="宋体"/>
                <w:b/>
                <w:bCs/>
                <w:color w:val="000000" w:themeColor="text1"/>
                <w:kern w:val="0"/>
                <w:sz w:val="20"/>
                <w:szCs w:val="20"/>
                <w14:textFill>
                  <w14:solidFill>
                    <w14:schemeClr w14:val="tx1"/>
                  </w14:solidFill>
                </w14:textFill>
              </w:rPr>
              <w:t>序号</w:t>
            </w:r>
          </w:p>
        </w:tc>
        <w:tc>
          <w:tcPr>
            <w:tcW w:w="1627" w:type="pct"/>
            <w:tcBorders>
              <w:top w:val="single" w:color="auto" w:sz="4" w:space="0"/>
              <w:left w:val="nil"/>
              <w:bottom w:val="single" w:color="auto" w:sz="4" w:space="0"/>
              <w:right w:val="single" w:color="auto" w:sz="4" w:space="0"/>
            </w:tcBorders>
            <w:shd w:val="clear" w:color="auto" w:fill="auto"/>
            <w:noWrap/>
            <w:vAlign w:val="center"/>
          </w:tcPr>
          <w:p>
            <w:pPr>
              <w:widowControl/>
              <w:spacing w:after="0" w:line="240" w:lineRule="auto"/>
              <w:jc w:val="center"/>
              <w:rPr>
                <w:rFonts w:hint="eastAsia" w:ascii="仿宋" w:hAnsi="仿宋" w:eastAsia="仿宋" w:cs="宋体"/>
                <w:b/>
                <w:bCs/>
                <w:color w:val="000000" w:themeColor="text1"/>
                <w:kern w:val="0"/>
                <w:sz w:val="20"/>
                <w:szCs w:val="20"/>
                <w14:textFill>
                  <w14:solidFill>
                    <w14:schemeClr w14:val="tx1"/>
                  </w14:solidFill>
                </w14:textFill>
              </w:rPr>
            </w:pPr>
            <w:r>
              <w:rPr>
                <w:rFonts w:hint="eastAsia" w:ascii="仿宋" w:hAnsi="仿宋" w:eastAsia="仿宋" w:cs="宋体"/>
                <w:b/>
                <w:bCs/>
                <w:color w:val="000000" w:themeColor="text1"/>
                <w:kern w:val="0"/>
                <w:sz w:val="20"/>
                <w:szCs w:val="20"/>
                <w14:textFill>
                  <w14:solidFill>
                    <w14:schemeClr w14:val="tx1"/>
                  </w14:solidFill>
                </w14:textFill>
              </w:rPr>
              <w:t>名称</w:t>
            </w:r>
          </w:p>
        </w:tc>
        <w:tc>
          <w:tcPr>
            <w:tcW w:w="844" w:type="pct"/>
            <w:tcBorders>
              <w:top w:val="single" w:color="auto" w:sz="4" w:space="0"/>
              <w:left w:val="nil"/>
              <w:bottom w:val="single" w:color="auto" w:sz="4" w:space="0"/>
              <w:right w:val="single" w:color="auto" w:sz="4" w:space="0"/>
            </w:tcBorders>
            <w:shd w:val="clear" w:color="auto" w:fill="auto"/>
            <w:noWrap/>
            <w:vAlign w:val="center"/>
          </w:tcPr>
          <w:p>
            <w:pPr>
              <w:widowControl/>
              <w:spacing w:after="0" w:line="240" w:lineRule="auto"/>
              <w:jc w:val="center"/>
              <w:rPr>
                <w:rFonts w:hint="eastAsia" w:ascii="仿宋" w:hAnsi="仿宋" w:eastAsia="仿宋" w:cs="宋体"/>
                <w:b/>
                <w:bCs/>
                <w:color w:val="000000" w:themeColor="text1"/>
                <w:kern w:val="0"/>
                <w:sz w:val="20"/>
                <w:szCs w:val="20"/>
                <w14:textFill>
                  <w14:solidFill>
                    <w14:schemeClr w14:val="tx1"/>
                  </w14:solidFill>
                </w14:textFill>
              </w:rPr>
            </w:pPr>
            <w:r>
              <w:rPr>
                <w:rFonts w:ascii="仿宋" w:hAnsi="仿宋" w:eastAsia="仿宋" w:cs="宋体"/>
                <w:b/>
                <w:bCs/>
                <w:color w:val="000000" w:themeColor="text1"/>
                <w:kern w:val="0"/>
                <w:sz w:val="20"/>
                <w:szCs w:val="20"/>
                <w14:textFill>
                  <w14:solidFill>
                    <w14:schemeClr w14:val="tx1"/>
                  </w14:solidFill>
                </w14:textFill>
              </w:rPr>
              <w:t>202</w:t>
            </w:r>
            <w:r>
              <w:rPr>
                <w:rFonts w:hint="eastAsia" w:ascii="仿宋" w:hAnsi="仿宋" w:eastAsia="仿宋" w:cs="宋体"/>
                <w:b/>
                <w:bCs/>
                <w:color w:val="000000" w:themeColor="text1"/>
                <w:kern w:val="0"/>
                <w:sz w:val="20"/>
                <w:szCs w:val="20"/>
                <w14:textFill>
                  <w14:solidFill>
                    <w14:schemeClr w14:val="tx1"/>
                  </w14:solidFill>
                </w14:textFill>
              </w:rPr>
              <w:t>5</w:t>
            </w:r>
          </w:p>
        </w:tc>
        <w:tc>
          <w:tcPr>
            <w:tcW w:w="844" w:type="pct"/>
            <w:tcBorders>
              <w:top w:val="single" w:color="auto" w:sz="4" w:space="0"/>
              <w:left w:val="nil"/>
              <w:bottom w:val="single" w:color="auto" w:sz="4" w:space="0"/>
              <w:right w:val="single" w:color="auto" w:sz="4" w:space="0"/>
            </w:tcBorders>
            <w:shd w:val="clear" w:color="auto" w:fill="auto"/>
            <w:noWrap/>
            <w:vAlign w:val="center"/>
          </w:tcPr>
          <w:p>
            <w:pPr>
              <w:widowControl/>
              <w:spacing w:after="0" w:line="240" w:lineRule="auto"/>
              <w:jc w:val="center"/>
              <w:rPr>
                <w:rFonts w:hint="eastAsia" w:ascii="仿宋" w:hAnsi="仿宋" w:eastAsia="仿宋" w:cs="宋体"/>
                <w:b/>
                <w:bCs/>
                <w:color w:val="000000" w:themeColor="text1"/>
                <w:kern w:val="0"/>
                <w:sz w:val="20"/>
                <w:szCs w:val="20"/>
                <w14:textFill>
                  <w14:solidFill>
                    <w14:schemeClr w14:val="tx1"/>
                  </w14:solidFill>
                </w14:textFill>
              </w:rPr>
            </w:pPr>
            <w:r>
              <w:rPr>
                <w:rFonts w:ascii="仿宋" w:hAnsi="仿宋" w:eastAsia="仿宋" w:cs="宋体"/>
                <w:b/>
                <w:bCs/>
                <w:color w:val="000000" w:themeColor="text1"/>
                <w:kern w:val="0"/>
                <w:sz w:val="20"/>
                <w:szCs w:val="20"/>
                <w14:textFill>
                  <w14:solidFill>
                    <w14:schemeClr w14:val="tx1"/>
                  </w14:solidFill>
                </w14:textFill>
              </w:rPr>
              <w:t>202</w:t>
            </w:r>
            <w:r>
              <w:rPr>
                <w:rFonts w:hint="eastAsia" w:ascii="仿宋" w:hAnsi="仿宋" w:eastAsia="仿宋" w:cs="宋体"/>
                <w:b/>
                <w:bCs/>
                <w:color w:val="000000" w:themeColor="text1"/>
                <w:kern w:val="0"/>
                <w:sz w:val="20"/>
                <w:szCs w:val="20"/>
                <w14:textFill>
                  <w14:solidFill>
                    <w14:schemeClr w14:val="tx1"/>
                  </w14:solidFill>
                </w14:textFill>
              </w:rPr>
              <w:t>6</w:t>
            </w:r>
          </w:p>
        </w:tc>
        <w:tc>
          <w:tcPr>
            <w:tcW w:w="937" w:type="pct"/>
            <w:tcBorders>
              <w:top w:val="single" w:color="auto" w:sz="4" w:space="0"/>
              <w:left w:val="nil"/>
              <w:bottom w:val="single" w:color="auto" w:sz="4" w:space="0"/>
              <w:right w:val="single" w:color="auto" w:sz="4" w:space="0"/>
            </w:tcBorders>
            <w:shd w:val="clear" w:color="auto" w:fill="auto"/>
            <w:noWrap/>
            <w:vAlign w:val="center"/>
          </w:tcPr>
          <w:p>
            <w:pPr>
              <w:widowControl/>
              <w:spacing w:after="0" w:line="240" w:lineRule="auto"/>
              <w:jc w:val="center"/>
              <w:rPr>
                <w:rFonts w:hint="eastAsia" w:ascii="仿宋" w:hAnsi="仿宋" w:eastAsia="仿宋" w:cs="宋体"/>
                <w:b/>
                <w:bCs/>
                <w:color w:val="000000" w:themeColor="text1"/>
                <w:kern w:val="0"/>
                <w:sz w:val="20"/>
                <w:szCs w:val="20"/>
                <w14:textFill>
                  <w14:solidFill>
                    <w14:schemeClr w14:val="tx1"/>
                  </w14:solidFill>
                </w14:textFill>
              </w:rPr>
            </w:pPr>
            <w:r>
              <w:rPr>
                <w:rFonts w:hint="eastAsia" w:ascii="仿宋" w:hAnsi="仿宋" w:eastAsia="仿宋" w:cs="宋体"/>
                <w:b/>
                <w:bCs/>
                <w:color w:val="000000" w:themeColor="text1"/>
                <w:kern w:val="0"/>
                <w:sz w:val="20"/>
                <w:szCs w:val="20"/>
                <w14:textFill>
                  <w14:solidFill>
                    <w14:schemeClr w14:val="tx1"/>
                  </w14:solidFill>
                </w14:textFill>
              </w:rPr>
              <w:t>合计</w:t>
            </w:r>
          </w:p>
        </w:tc>
      </w:tr>
      <w:tr>
        <w:tblPrEx>
          <w:tblCellMar>
            <w:top w:w="0" w:type="dxa"/>
            <w:left w:w="108" w:type="dxa"/>
            <w:bottom w:w="0" w:type="dxa"/>
            <w:right w:w="108" w:type="dxa"/>
          </w:tblCellMar>
        </w:tblPrEx>
        <w:trPr>
          <w:trHeight w:val="276" w:hRule="atLeast"/>
        </w:trPr>
        <w:tc>
          <w:tcPr>
            <w:tcW w:w="748" w:type="pct"/>
            <w:tcBorders>
              <w:top w:val="nil"/>
              <w:left w:val="single" w:color="auto" w:sz="4" w:space="0"/>
              <w:bottom w:val="single" w:color="auto" w:sz="4" w:space="0"/>
              <w:right w:val="single" w:color="auto" w:sz="4" w:space="0"/>
            </w:tcBorders>
            <w:shd w:val="clear" w:color="auto" w:fill="auto"/>
            <w:noWrap/>
            <w:vAlign w:val="center"/>
          </w:tcPr>
          <w:p>
            <w:pPr>
              <w:widowControl/>
              <w:spacing w:after="0" w:line="240" w:lineRule="auto"/>
              <w:jc w:val="center"/>
              <w:rPr>
                <w:rFonts w:hint="eastAsia" w:ascii="仿宋" w:hAnsi="仿宋" w:eastAsia="仿宋" w:cs="宋体"/>
                <w:color w:val="000000" w:themeColor="text1"/>
                <w:kern w:val="0"/>
                <w:sz w:val="20"/>
                <w:szCs w:val="20"/>
                <w14:textFill>
                  <w14:solidFill>
                    <w14:schemeClr w14:val="tx1"/>
                  </w14:solidFill>
                </w14:textFill>
              </w:rPr>
            </w:pPr>
            <w:r>
              <w:rPr>
                <w:rFonts w:ascii="仿宋" w:hAnsi="仿宋" w:eastAsia="仿宋" w:cs="宋体"/>
                <w:color w:val="000000" w:themeColor="text1"/>
                <w:kern w:val="0"/>
                <w:sz w:val="20"/>
                <w:szCs w:val="20"/>
                <w14:textFill>
                  <w14:solidFill>
                    <w14:schemeClr w14:val="tx1"/>
                  </w14:solidFill>
                </w14:textFill>
              </w:rPr>
              <w:t>1</w:t>
            </w:r>
          </w:p>
        </w:tc>
        <w:tc>
          <w:tcPr>
            <w:tcW w:w="1627" w:type="pct"/>
            <w:tcBorders>
              <w:top w:val="nil"/>
              <w:left w:val="nil"/>
              <w:bottom w:val="single" w:color="auto" w:sz="4" w:space="0"/>
              <w:right w:val="single" w:color="auto" w:sz="4" w:space="0"/>
            </w:tcBorders>
            <w:shd w:val="clear" w:color="auto" w:fill="auto"/>
            <w:noWrap/>
            <w:vAlign w:val="center"/>
          </w:tcPr>
          <w:p>
            <w:pPr>
              <w:widowControl/>
              <w:spacing w:after="0" w:line="240" w:lineRule="auto"/>
              <w:rPr>
                <w:rFonts w:hint="eastAsia" w:ascii="仿宋" w:hAnsi="仿宋" w:eastAsia="仿宋" w:cs="宋体"/>
                <w:color w:val="000000" w:themeColor="text1"/>
                <w:kern w:val="0"/>
                <w:sz w:val="20"/>
                <w:szCs w:val="20"/>
                <w14:textFill>
                  <w14:solidFill>
                    <w14:schemeClr w14:val="tx1"/>
                  </w14:solidFill>
                </w14:textFill>
              </w:rPr>
            </w:pPr>
            <w:r>
              <w:rPr>
                <w:rFonts w:hint="eastAsia" w:ascii="仿宋" w:hAnsi="仿宋" w:eastAsia="仿宋" w:cs="宋体"/>
                <w:color w:val="000000" w:themeColor="text1"/>
                <w:kern w:val="0"/>
                <w:sz w:val="20"/>
                <w:szCs w:val="20"/>
                <w14:textFill>
                  <w14:solidFill>
                    <w14:schemeClr w14:val="tx1"/>
                  </w14:solidFill>
                </w14:textFill>
              </w:rPr>
              <w:t>工程费用</w:t>
            </w:r>
          </w:p>
        </w:tc>
        <w:tc>
          <w:tcPr>
            <w:tcW w:w="844" w:type="pct"/>
            <w:tcBorders>
              <w:top w:val="nil"/>
              <w:left w:val="nil"/>
              <w:bottom w:val="single" w:color="auto" w:sz="4" w:space="0"/>
              <w:right w:val="single" w:color="auto" w:sz="4" w:space="0"/>
            </w:tcBorders>
            <w:shd w:val="clear" w:color="auto" w:fill="auto"/>
            <w:noWrap/>
            <w:vAlign w:val="center"/>
          </w:tcPr>
          <w:p>
            <w:pPr>
              <w:widowControl/>
              <w:spacing w:after="0" w:line="240" w:lineRule="auto"/>
              <w:jc w:val="right"/>
              <w:rPr>
                <w:rFonts w:hint="eastAsia" w:ascii="仿宋" w:hAnsi="仿宋" w:eastAsia="仿宋" w:cs="宋体"/>
                <w:color w:val="000000" w:themeColor="text1"/>
                <w:kern w:val="0"/>
                <w:sz w:val="18"/>
                <w:szCs w:val="18"/>
                <w14:textFill>
                  <w14:solidFill>
                    <w14:schemeClr w14:val="tx1"/>
                  </w14:solidFill>
                </w14:textFill>
              </w:rPr>
            </w:pPr>
            <w:r>
              <w:rPr>
                <w:rFonts w:hint="eastAsia" w:ascii="仿宋" w:hAnsi="仿宋" w:eastAsia="仿宋"/>
                <w:color w:val="000000" w:themeColor="text1"/>
                <w:kern w:val="0"/>
                <w:sz w:val="20"/>
                <w:szCs w:val="20"/>
                <w14:textFill>
                  <w14:solidFill>
                    <w14:schemeClr w14:val="tx1"/>
                  </w14:solidFill>
                </w14:textFill>
              </w:rPr>
              <w:t>5,504</w:t>
            </w:r>
          </w:p>
        </w:tc>
        <w:tc>
          <w:tcPr>
            <w:tcW w:w="844" w:type="pct"/>
            <w:tcBorders>
              <w:top w:val="nil"/>
              <w:left w:val="nil"/>
              <w:bottom w:val="single" w:color="auto" w:sz="4" w:space="0"/>
              <w:right w:val="single" w:color="auto" w:sz="4" w:space="0"/>
            </w:tcBorders>
            <w:shd w:val="clear" w:color="auto" w:fill="auto"/>
            <w:noWrap/>
            <w:vAlign w:val="center"/>
          </w:tcPr>
          <w:p>
            <w:pPr>
              <w:widowControl/>
              <w:spacing w:after="0" w:line="240" w:lineRule="auto"/>
              <w:jc w:val="right"/>
              <w:rPr>
                <w:rFonts w:hint="eastAsia" w:ascii="仿宋" w:hAnsi="仿宋" w:eastAsia="仿宋" w:cs="宋体"/>
                <w:color w:val="000000" w:themeColor="text1"/>
                <w:kern w:val="0"/>
                <w:sz w:val="18"/>
                <w:szCs w:val="18"/>
                <w14:textFill>
                  <w14:solidFill>
                    <w14:schemeClr w14:val="tx1"/>
                  </w14:solidFill>
                </w14:textFill>
              </w:rPr>
            </w:pPr>
            <w:r>
              <w:rPr>
                <w:rFonts w:hint="eastAsia" w:ascii="仿宋" w:hAnsi="仿宋" w:eastAsia="仿宋"/>
                <w:color w:val="000000" w:themeColor="text1"/>
                <w:kern w:val="0"/>
                <w:sz w:val="20"/>
                <w:szCs w:val="20"/>
                <w14:textFill>
                  <w14:solidFill>
                    <w14:schemeClr w14:val="tx1"/>
                  </w14:solidFill>
                </w14:textFill>
              </w:rPr>
              <w:t>3,613</w:t>
            </w:r>
          </w:p>
        </w:tc>
        <w:tc>
          <w:tcPr>
            <w:tcW w:w="937" w:type="pct"/>
            <w:tcBorders>
              <w:top w:val="nil"/>
              <w:left w:val="nil"/>
              <w:bottom w:val="single" w:color="auto" w:sz="4" w:space="0"/>
              <w:right w:val="single" w:color="auto" w:sz="4" w:space="0"/>
            </w:tcBorders>
            <w:shd w:val="clear" w:color="auto" w:fill="auto"/>
            <w:noWrap/>
            <w:vAlign w:val="center"/>
          </w:tcPr>
          <w:p>
            <w:pPr>
              <w:widowControl/>
              <w:spacing w:after="0" w:line="240" w:lineRule="auto"/>
              <w:jc w:val="right"/>
              <w:rPr>
                <w:rFonts w:hint="eastAsia" w:ascii="仿宋" w:hAnsi="仿宋" w:eastAsia="仿宋" w:cs="宋体"/>
                <w:b/>
                <w:bCs/>
                <w:color w:val="000000" w:themeColor="text1"/>
                <w:kern w:val="0"/>
                <w:sz w:val="18"/>
                <w:szCs w:val="18"/>
                <w14:textFill>
                  <w14:solidFill>
                    <w14:schemeClr w14:val="tx1"/>
                  </w14:solidFill>
                </w14:textFill>
              </w:rPr>
            </w:pPr>
            <w:r>
              <w:rPr>
                <w:rFonts w:ascii="仿宋" w:hAnsi="仿宋" w:eastAsia="仿宋" w:cs="Arial"/>
                <w:b/>
                <w:bCs/>
                <w:color w:val="000000" w:themeColor="text1"/>
                <w:kern w:val="0"/>
                <w:sz w:val="20"/>
                <w:szCs w:val="20"/>
                <w14:textFill>
                  <w14:solidFill>
                    <w14:schemeClr w14:val="tx1"/>
                  </w14:solidFill>
                </w14:textFill>
              </w:rPr>
              <w:t>9,118</w:t>
            </w:r>
          </w:p>
        </w:tc>
      </w:tr>
      <w:tr>
        <w:tblPrEx>
          <w:tblCellMar>
            <w:top w:w="0" w:type="dxa"/>
            <w:left w:w="108" w:type="dxa"/>
            <w:bottom w:w="0" w:type="dxa"/>
            <w:right w:w="108" w:type="dxa"/>
          </w:tblCellMar>
        </w:tblPrEx>
        <w:trPr>
          <w:trHeight w:val="276" w:hRule="atLeast"/>
        </w:trPr>
        <w:tc>
          <w:tcPr>
            <w:tcW w:w="748" w:type="pct"/>
            <w:tcBorders>
              <w:top w:val="nil"/>
              <w:left w:val="single" w:color="auto" w:sz="4" w:space="0"/>
              <w:bottom w:val="single" w:color="auto" w:sz="4" w:space="0"/>
              <w:right w:val="single" w:color="auto" w:sz="4" w:space="0"/>
            </w:tcBorders>
            <w:shd w:val="clear" w:color="auto" w:fill="auto"/>
            <w:noWrap/>
            <w:vAlign w:val="center"/>
          </w:tcPr>
          <w:p>
            <w:pPr>
              <w:widowControl/>
              <w:spacing w:after="0" w:line="240" w:lineRule="auto"/>
              <w:jc w:val="center"/>
              <w:rPr>
                <w:rFonts w:hint="eastAsia" w:ascii="仿宋" w:hAnsi="仿宋" w:eastAsia="仿宋" w:cs="宋体"/>
                <w:color w:val="000000" w:themeColor="text1"/>
                <w:kern w:val="0"/>
                <w:sz w:val="20"/>
                <w:szCs w:val="20"/>
                <w14:textFill>
                  <w14:solidFill>
                    <w14:schemeClr w14:val="tx1"/>
                  </w14:solidFill>
                </w14:textFill>
              </w:rPr>
            </w:pPr>
            <w:r>
              <w:rPr>
                <w:rFonts w:ascii="仿宋" w:hAnsi="仿宋" w:eastAsia="仿宋" w:cs="宋体"/>
                <w:color w:val="000000" w:themeColor="text1"/>
                <w:kern w:val="0"/>
                <w:sz w:val="20"/>
                <w:szCs w:val="20"/>
                <w14:textFill>
                  <w14:solidFill>
                    <w14:schemeClr w14:val="tx1"/>
                  </w14:solidFill>
                </w14:textFill>
              </w:rPr>
              <w:t>2</w:t>
            </w:r>
          </w:p>
        </w:tc>
        <w:tc>
          <w:tcPr>
            <w:tcW w:w="1627" w:type="pct"/>
            <w:tcBorders>
              <w:top w:val="nil"/>
              <w:left w:val="nil"/>
              <w:bottom w:val="single" w:color="auto" w:sz="4" w:space="0"/>
              <w:right w:val="single" w:color="auto" w:sz="4" w:space="0"/>
            </w:tcBorders>
            <w:shd w:val="clear" w:color="auto" w:fill="auto"/>
            <w:noWrap/>
            <w:vAlign w:val="center"/>
          </w:tcPr>
          <w:p>
            <w:pPr>
              <w:widowControl/>
              <w:spacing w:after="0" w:line="240" w:lineRule="auto"/>
              <w:rPr>
                <w:rFonts w:hint="eastAsia" w:ascii="仿宋" w:hAnsi="仿宋" w:eastAsia="仿宋" w:cs="宋体"/>
                <w:color w:val="000000" w:themeColor="text1"/>
                <w:kern w:val="0"/>
                <w:sz w:val="20"/>
                <w:szCs w:val="20"/>
                <w14:textFill>
                  <w14:solidFill>
                    <w14:schemeClr w14:val="tx1"/>
                  </w14:solidFill>
                </w14:textFill>
              </w:rPr>
            </w:pPr>
            <w:r>
              <w:rPr>
                <w:rFonts w:hint="eastAsia" w:ascii="仿宋" w:hAnsi="仿宋" w:eastAsia="仿宋" w:cs="宋体"/>
                <w:color w:val="000000" w:themeColor="text1"/>
                <w:kern w:val="0"/>
                <w:sz w:val="20"/>
                <w:szCs w:val="20"/>
                <w14:textFill>
                  <w14:solidFill>
                    <w14:schemeClr w14:val="tx1"/>
                  </w14:solidFill>
                </w14:textFill>
              </w:rPr>
              <w:t>工程建设其他费用</w:t>
            </w:r>
          </w:p>
        </w:tc>
        <w:tc>
          <w:tcPr>
            <w:tcW w:w="844" w:type="pct"/>
            <w:tcBorders>
              <w:top w:val="nil"/>
              <w:left w:val="nil"/>
              <w:bottom w:val="single" w:color="auto" w:sz="4" w:space="0"/>
              <w:right w:val="single" w:color="auto" w:sz="4" w:space="0"/>
            </w:tcBorders>
            <w:shd w:val="clear" w:color="auto" w:fill="auto"/>
            <w:noWrap/>
            <w:vAlign w:val="center"/>
          </w:tcPr>
          <w:p>
            <w:pPr>
              <w:widowControl/>
              <w:spacing w:after="0" w:line="240" w:lineRule="auto"/>
              <w:jc w:val="right"/>
              <w:rPr>
                <w:rFonts w:hint="eastAsia" w:ascii="仿宋" w:hAnsi="仿宋" w:eastAsia="仿宋" w:cs="宋体"/>
                <w:color w:val="000000" w:themeColor="text1"/>
                <w:kern w:val="0"/>
                <w:sz w:val="18"/>
                <w:szCs w:val="18"/>
                <w14:textFill>
                  <w14:solidFill>
                    <w14:schemeClr w14:val="tx1"/>
                  </w14:solidFill>
                </w14:textFill>
              </w:rPr>
            </w:pPr>
            <w:r>
              <w:rPr>
                <w:rFonts w:hint="eastAsia" w:ascii="仿宋" w:hAnsi="仿宋" w:eastAsia="仿宋"/>
                <w:color w:val="000000" w:themeColor="text1"/>
                <w:kern w:val="0"/>
                <w:sz w:val="20"/>
                <w:szCs w:val="20"/>
                <w14:textFill>
                  <w14:solidFill>
                    <w14:schemeClr w14:val="tx1"/>
                  </w14:solidFill>
                </w14:textFill>
              </w:rPr>
              <w:t>1,850</w:t>
            </w:r>
          </w:p>
        </w:tc>
        <w:tc>
          <w:tcPr>
            <w:tcW w:w="844" w:type="pct"/>
            <w:tcBorders>
              <w:top w:val="nil"/>
              <w:left w:val="nil"/>
              <w:bottom w:val="single" w:color="auto" w:sz="4" w:space="0"/>
              <w:right w:val="single" w:color="auto" w:sz="4" w:space="0"/>
            </w:tcBorders>
            <w:shd w:val="clear" w:color="auto" w:fill="auto"/>
            <w:noWrap/>
            <w:vAlign w:val="center"/>
          </w:tcPr>
          <w:p>
            <w:pPr>
              <w:widowControl/>
              <w:spacing w:after="0" w:line="240" w:lineRule="auto"/>
              <w:jc w:val="right"/>
              <w:rPr>
                <w:rFonts w:hint="eastAsia" w:ascii="仿宋" w:hAnsi="仿宋" w:eastAsia="仿宋" w:cs="宋体"/>
                <w:color w:val="000000" w:themeColor="text1"/>
                <w:kern w:val="0"/>
                <w:sz w:val="18"/>
                <w:szCs w:val="18"/>
                <w14:textFill>
                  <w14:solidFill>
                    <w14:schemeClr w14:val="tx1"/>
                  </w14:solidFill>
                </w14:textFill>
              </w:rPr>
            </w:pPr>
            <w:r>
              <w:rPr>
                <w:rFonts w:hint="eastAsia" w:ascii="仿宋" w:hAnsi="仿宋" w:eastAsia="仿宋"/>
                <w:color w:val="000000" w:themeColor="text1"/>
                <w:kern w:val="0"/>
                <w:sz w:val="20"/>
                <w:szCs w:val="20"/>
                <w14:textFill>
                  <w14:solidFill>
                    <w14:schemeClr w14:val="tx1"/>
                  </w14:solidFill>
                </w14:textFill>
              </w:rPr>
              <w:t>1,214</w:t>
            </w:r>
          </w:p>
        </w:tc>
        <w:tc>
          <w:tcPr>
            <w:tcW w:w="937" w:type="pct"/>
            <w:tcBorders>
              <w:top w:val="nil"/>
              <w:left w:val="nil"/>
              <w:bottom w:val="single" w:color="auto" w:sz="4" w:space="0"/>
              <w:right w:val="single" w:color="auto" w:sz="4" w:space="0"/>
            </w:tcBorders>
            <w:shd w:val="clear" w:color="auto" w:fill="auto"/>
            <w:noWrap/>
            <w:vAlign w:val="center"/>
          </w:tcPr>
          <w:p>
            <w:pPr>
              <w:widowControl/>
              <w:spacing w:after="0" w:line="240" w:lineRule="auto"/>
              <w:jc w:val="right"/>
              <w:rPr>
                <w:rFonts w:hint="eastAsia" w:ascii="仿宋" w:hAnsi="仿宋" w:eastAsia="仿宋" w:cs="宋体"/>
                <w:b/>
                <w:bCs/>
                <w:color w:val="000000" w:themeColor="text1"/>
                <w:kern w:val="0"/>
                <w:sz w:val="18"/>
                <w:szCs w:val="18"/>
                <w14:textFill>
                  <w14:solidFill>
                    <w14:schemeClr w14:val="tx1"/>
                  </w14:solidFill>
                </w14:textFill>
              </w:rPr>
            </w:pPr>
            <w:r>
              <w:rPr>
                <w:rFonts w:ascii="仿宋" w:hAnsi="仿宋" w:eastAsia="仿宋" w:cs="Arial"/>
                <w:b/>
                <w:bCs/>
                <w:color w:val="000000" w:themeColor="text1"/>
                <w:kern w:val="0"/>
                <w:sz w:val="20"/>
                <w:szCs w:val="20"/>
                <w14:textFill>
                  <w14:solidFill>
                    <w14:schemeClr w14:val="tx1"/>
                  </w14:solidFill>
                </w14:textFill>
              </w:rPr>
              <w:t>3,064</w:t>
            </w:r>
          </w:p>
        </w:tc>
      </w:tr>
      <w:tr>
        <w:tblPrEx>
          <w:tblCellMar>
            <w:top w:w="0" w:type="dxa"/>
            <w:left w:w="108" w:type="dxa"/>
            <w:bottom w:w="0" w:type="dxa"/>
            <w:right w:w="108" w:type="dxa"/>
          </w:tblCellMar>
        </w:tblPrEx>
        <w:trPr>
          <w:trHeight w:val="276" w:hRule="atLeast"/>
        </w:trPr>
        <w:tc>
          <w:tcPr>
            <w:tcW w:w="748" w:type="pct"/>
            <w:tcBorders>
              <w:top w:val="nil"/>
              <w:left w:val="single" w:color="auto" w:sz="4" w:space="0"/>
              <w:bottom w:val="single" w:color="auto" w:sz="4" w:space="0"/>
              <w:right w:val="single" w:color="auto" w:sz="4" w:space="0"/>
            </w:tcBorders>
            <w:shd w:val="clear" w:color="auto" w:fill="auto"/>
            <w:noWrap/>
            <w:vAlign w:val="center"/>
          </w:tcPr>
          <w:p>
            <w:pPr>
              <w:widowControl/>
              <w:spacing w:after="0" w:line="240" w:lineRule="auto"/>
              <w:jc w:val="center"/>
              <w:rPr>
                <w:rFonts w:hint="eastAsia" w:ascii="仿宋" w:hAnsi="仿宋" w:eastAsia="仿宋" w:cs="宋体"/>
                <w:color w:val="000000" w:themeColor="text1"/>
                <w:kern w:val="0"/>
                <w:sz w:val="20"/>
                <w:szCs w:val="20"/>
                <w14:textFill>
                  <w14:solidFill>
                    <w14:schemeClr w14:val="tx1"/>
                  </w14:solidFill>
                </w14:textFill>
              </w:rPr>
            </w:pPr>
            <w:r>
              <w:rPr>
                <w:rFonts w:ascii="仿宋" w:hAnsi="仿宋" w:eastAsia="仿宋" w:cs="宋体"/>
                <w:color w:val="000000" w:themeColor="text1"/>
                <w:kern w:val="0"/>
                <w:sz w:val="20"/>
                <w:szCs w:val="20"/>
                <w14:textFill>
                  <w14:solidFill>
                    <w14:schemeClr w14:val="tx1"/>
                  </w14:solidFill>
                </w14:textFill>
              </w:rPr>
              <w:t>3</w:t>
            </w:r>
          </w:p>
        </w:tc>
        <w:tc>
          <w:tcPr>
            <w:tcW w:w="1627" w:type="pct"/>
            <w:tcBorders>
              <w:top w:val="nil"/>
              <w:left w:val="nil"/>
              <w:bottom w:val="single" w:color="auto" w:sz="4" w:space="0"/>
              <w:right w:val="single" w:color="auto" w:sz="4" w:space="0"/>
            </w:tcBorders>
            <w:shd w:val="clear" w:color="auto" w:fill="auto"/>
            <w:noWrap/>
            <w:vAlign w:val="center"/>
          </w:tcPr>
          <w:p>
            <w:pPr>
              <w:widowControl/>
              <w:spacing w:after="0" w:line="240" w:lineRule="auto"/>
              <w:rPr>
                <w:rFonts w:hint="eastAsia" w:ascii="仿宋" w:hAnsi="仿宋" w:eastAsia="仿宋" w:cs="宋体"/>
                <w:color w:val="000000" w:themeColor="text1"/>
                <w:kern w:val="0"/>
                <w:sz w:val="20"/>
                <w:szCs w:val="20"/>
                <w14:textFill>
                  <w14:solidFill>
                    <w14:schemeClr w14:val="tx1"/>
                  </w14:solidFill>
                </w14:textFill>
              </w:rPr>
            </w:pPr>
            <w:r>
              <w:rPr>
                <w:rFonts w:hint="eastAsia" w:ascii="仿宋" w:hAnsi="仿宋" w:eastAsia="仿宋" w:cs="宋体"/>
                <w:color w:val="000000" w:themeColor="text1"/>
                <w:kern w:val="0"/>
                <w:sz w:val="20"/>
                <w:szCs w:val="20"/>
                <w14:textFill>
                  <w14:solidFill>
                    <w14:schemeClr w14:val="tx1"/>
                  </w14:solidFill>
                </w14:textFill>
              </w:rPr>
              <w:t>预备费用</w:t>
            </w:r>
          </w:p>
        </w:tc>
        <w:tc>
          <w:tcPr>
            <w:tcW w:w="844" w:type="pct"/>
            <w:tcBorders>
              <w:top w:val="nil"/>
              <w:left w:val="nil"/>
              <w:bottom w:val="single" w:color="auto" w:sz="4" w:space="0"/>
              <w:right w:val="single" w:color="auto" w:sz="4" w:space="0"/>
            </w:tcBorders>
            <w:shd w:val="clear" w:color="auto" w:fill="auto"/>
            <w:noWrap/>
            <w:vAlign w:val="center"/>
          </w:tcPr>
          <w:p>
            <w:pPr>
              <w:widowControl/>
              <w:spacing w:after="0" w:line="240" w:lineRule="auto"/>
              <w:jc w:val="right"/>
              <w:rPr>
                <w:rFonts w:hint="eastAsia" w:ascii="仿宋" w:hAnsi="仿宋" w:eastAsia="仿宋" w:cs="宋体"/>
                <w:color w:val="000000" w:themeColor="text1"/>
                <w:kern w:val="0"/>
                <w:sz w:val="18"/>
                <w:szCs w:val="18"/>
                <w14:textFill>
                  <w14:solidFill>
                    <w14:schemeClr w14:val="tx1"/>
                  </w14:solidFill>
                </w14:textFill>
              </w:rPr>
            </w:pPr>
            <w:r>
              <w:rPr>
                <w:rFonts w:hint="eastAsia" w:ascii="仿宋" w:hAnsi="仿宋" w:eastAsia="仿宋"/>
                <w:color w:val="000000" w:themeColor="text1"/>
                <w:kern w:val="0"/>
                <w:sz w:val="20"/>
                <w:szCs w:val="20"/>
                <w14:textFill>
                  <w14:solidFill>
                    <w14:schemeClr w14:val="tx1"/>
                  </w14:solidFill>
                </w14:textFill>
              </w:rPr>
              <w:t>300</w:t>
            </w:r>
          </w:p>
        </w:tc>
        <w:tc>
          <w:tcPr>
            <w:tcW w:w="844" w:type="pct"/>
            <w:tcBorders>
              <w:top w:val="nil"/>
              <w:left w:val="nil"/>
              <w:bottom w:val="single" w:color="auto" w:sz="4" w:space="0"/>
              <w:right w:val="single" w:color="auto" w:sz="4" w:space="0"/>
            </w:tcBorders>
            <w:shd w:val="clear" w:color="auto" w:fill="auto"/>
            <w:noWrap/>
            <w:vAlign w:val="center"/>
          </w:tcPr>
          <w:p>
            <w:pPr>
              <w:widowControl/>
              <w:spacing w:after="0" w:line="240" w:lineRule="auto"/>
              <w:jc w:val="right"/>
              <w:rPr>
                <w:rFonts w:hint="eastAsia" w:ascii="仿宋" w:hAnsi="仿宋" w:eastAsia="仿宋" w:cs="宋体"/>
                <w:color w:val="000000" w:themeColor="text1"/>
                <w:kern w:val="0"/>
                <w:sz w:val="18"/>
                <w:szCs w:val="18"/>
                <w14:textFill>
                  <w14:solidFill>
                    <w14:schemeClr w14:val="tx1"/>
                  </w14:solidFill>
                </w14:textFill>
              </w:rPr>
            </w:pPr>
            <w:r>
              <w:rPr>
                <w:rFonts w:hint="eastAsia" w:ascii="仿宋" w:hAnsi="仿宋" w:eastAsia="仿宋"/>
                <w:color w:val="000000" w:themeColor="text1"/>
                <w:kern w:val="0"/>
                <w:sz w:val="20"/>
                <w:szCs w:val="20"/>
                <w14:textFill>
                  <w14:solidFill>
                    <w14:schemeClr w14:val="tx1"/>
                  </w14:solidFill>
                </w14:textFill>
              </w:rPr>
              <w:t>197</w:t>
            </w:r>
          </w:p>
        </w:tc>
        <w:tc>
          <w:tcPr>
            <w:tcW w:w="937" w:type="pct"/>
            <w:tcBorders>
              <w:top w:val="nil"/>
              <w:left w:val="nil"/>
              <w:bottom w:val="single" w:color="auto" w:sz="4" w:space="0"/>
              <w:right w:val="single" w:color="auto" w:sz="4" w:space="0"/>
            </w:tcBorders>
            <w:shd w:val="clear" w:color="auto" w:fill="auto"/>
            <w:noWrap/>
            <w:vAlign w:val="center"/>
          </w:tcPr>
          <w:p>
            <w:pPr>
              <w:widowControl/>
              <w:spacing w:after="0" w:line="240" w:lineRule="auto"/>
              <w:jc w:val="right"/>
              <w:rPr>
                <w:rFonts w:hint="eastAsia" w:ascii="仿宋" w:hAnsi="仿宋" w:eastAsia="仿宋" w:cs="宋体"/>
                <w:b/>
                <w:bCs/>
                <w:color w:val="000000" w:themeColor="text1"/>
                <w:kern w:val="0"/>
                <w:sz w:val="18"/>
                <w:szCs w:val="18"/>
                <w14:textFill>
                  <w14:solidFill>
                    <w14:schemeClr w14:val="tx1"/>
                  </w14:solidFill>
                </w14:textFill>
              </w:rPr>
            </w:pPr>
            <w:r>
              <w:rPr>
                <w:rFonts w:ascii="仿宋" w:hAnsi="仿宋" w:eastAsia="仿宋" w:cs="Arial"/>
                <w:b/>
                <w:bCs/>
                <w:color w:val="000000" w:themeColor="text1"/>
                <w:kern w:val="0"/>
                <w:sz w:val="20"/>
                <w:szCs w:val="20"/>
                <w14:textFill>
                  <w14:solidFill>
                    <w14:schemeClr w14:val="tx1"/>
                  </w14:solidFill>
                </w14:textFill>
              </w:rPr>
              <w:t>497</w:t>
            </w:r>
          </w:p>
        </w:tc>
      </w:tr>
      <w:tr>
        <w:tblPrEx>
          <w:tblCellMar>
            <w:top w:w="0" w:type="dxa"/>
            <w:left w:w="108" w:type="dxa"/>
            <w:bottom w:w="0" w:type="dxa"/>
            <w:right w:w="108" w:type="dxa"/>
          </w:tblCellMar>
        </w:tblPrEx>
        <w:trPr>
          <w:trHeight w:val="276" w:hRule="atLeast"/>
        </w:trPr>
        <w:tc>
          <w:tcPr>
            <w:tcW w:w="748" w:type="pct"/>
            <w:tcBorders>
              <w:top w:val="nil"/>
              <w:left w:val="single" w:color="auto" w:sz="4" w:space="0"/>
              <w:bottom w:val="single" w:color="auto" w:sz="4" w:space="0"/>
              <w:right w:val="single" w:color="auto" w:sz="4" w:space="0"/>
            </w:tcBorders>
            <w:shd w:val="clear" w:color="auto" w:fill="auto"/>
            <w:noWrap/>
            <w:vAlign w:val="center"/>
          </w:tcPr>
          <w:p>
            <w:pPr>
              <w:widowControl/>
              <w:spacing w:after="0" w:line="240" w:lineRule="auto"/>
              <w:jc w:val="center"/>
              <w:rPr>
                <w:rFonts w:hint="eastAsia" w:ascii="仿宋" w:hAnsi="仿宋" w:eastAsia="仿宋" w:cs="宋体"/>
                <w:color w:val="000000" w:themeColor="text1"/>
                <w:kern w:val="0"/>
                <w:sz w:val="20"/>
                <w:szCs w:val="20"/>
                <w14:textFill>
                  <w14:solidFill>
                    <w14:schemeClr w14:val="tx1"/>
                  </w14:solidFill>
                </w14:textFill>
              </w:rPr>
            </w:pPr>
            <w:r>
              <w:rPr>
                <w:rFonts w:ascii="仿宋" w:hAnsi="仿宋" w:eastAsia="仿宋" w:cs="宋体"/>
                <w:color w:val="000000" w:themeColor="text1"/>
                <w:kern w:val="0"/>
                <w:sz w:val="20"/>
                <w:szCs w:val="20"/>
                <w14:textFill>
                  <w14:solidFill>
                    <w14:schemeClr w14:val="tx1"/>
                  </w14:solidFill>
                </w14:textFill>
              </w:rPr>
              <w:t>4</w:t>
            </w:r>
          </w:p>
        </w:tc>
        <w:tc>
          <w:tcPr>
            <w:tcW w:w="1627" w:type="pct"/>
            <w:tcBorders>
              <w:top w:val="nil"/>
              <w:left w:val="nil"/>
              <w:bottom w:val="single" w:color="auto" w:sz="4" w:space="0"/>
              <w:right w:val="single" w:color="auto" w:sz="4" w:space="0"/>
            </w:tcBorders>
            <w:shd w:val="clear" w:color="auto" w:fill="auto"/>
            <w:noWrap/>
            <w:vAlign w:val="center"/>
          </w:tcPr>
          <w:p>
            <w:pPr>
              <w:widowControl/>
              <w:spacing w:after="0" w:line="240" w:lineRule="auto"/>
              <w:rPr>
                <w:rFonts w:hint="eastAsia" w:ascii="仿宋" w:hAnsi="仿宋" w:eastAsia="仿宋" w:cs="宋体"/>
                <w:color w:val="000000" w:themeColor="text1"/>
                <w:kern w:val="0"/>
                <w:sz w:val="20"/>
                <w:szCs w:val="20"/>
                <w14:textFill>
                  <w14:solidFill>
                    <w14:schemeClr w14:val="tx1"/>
                  </w14:solidFill>
                </w14:textFill>
              </w:rPr>
            </w:pPr>
            <w:r>
              <w:rPr>
                <w:rFonts w:hint="eastAsia" w:ascii="仿宋" w:hAnsi="仿宋" w:eastAsia="仿宋" w:cs="宋体"/>
                <w:color w:val="000000" w:themeColor="text1"/>
                <w:kern w:val="0"/>
                <w:sz w:val="20"/>
                <w:szCs w:val="20"/>
                <w14:textFill>
                  <w14:solidFill>
                    <w14:schemeClr w14:val="tx1"/>
                  </w14:solidFill>
                </w14:textFill>
              </w:rPr>
              <w:t>管理费用</w:t>
            </w:r>
          </w:p>
        </w:tc>
        <w:tc>
          <w:tcPr>
            <w:tcW w:w="844" w:type="pct"/>
            <w:tcBorders>
              <w:top w:val="nil"/>
              <w:left w:val="nil"/>
              <w:bottom w:val="single" w:color="auto" w:sz="4" w:space="0"/>
              <w:right w:val="single" w:color="auto" w:sz="4" w:space="0"/>
            </w:tcBorders>
            <w:shd w:val="clear" w:color="auto" w:fill="auto"/>
            <w:noWrap/>
            <w:vAlign w:val="center"/>
          </w:tcPr>
          <w:p>
            <w:pPr>
              <w:widowControl/>
              <w:spacing w:after="0" w:line="240" w:lineRule="auto"/>
              <w:jc w:val="right"/>
              <w:rPr>
                <w:rFonts w:hint="eastAsia" w:ascii="仿宋" w:hAnsi="仿宋" w:eastAsia="仿宋" w:cs="宋体"/>
                <w:color w:val="000000" w:themeColor="text1"/>
                <w:kern w:val="0"/>
                <w:sz w:val="18"/>
                <w:szCs w:val="18"/>
                <w14:textFill>
                  <w14:solidFill>
                    <w14:schemeClr w14:val="tx1"/>
                  </w14:solidFill>
                </w14:textFill>
              </w:rPr>
            </w:pPr>
            <w:r>
              <w:rPr>
                <w:rFonts w:hint="eastAsia" w:ascii="仿宋" w:hAnsi="仿宋" w:eastAsia="仿宋"/>
                <w:color w:val="000000" w:themeColor="text1"/>
                <w:kern w:val="0"/>
                <w:sz w:val="20"/>
                <w:szCs w:val="20"/>
                <w14:textFill>
                  <w14:solidFill>
                    <w14:schemeClr w14:val="tx1"/>
                  </w14:solidFill>
                </w14:textFill>
              </w:rPr>
              <w:t>87</w:t>
            </w:r>
          </w:p>
        </w:tc>
        <w:tc>
          <w:tcPr>
            <w:tcW w:w="844" w:type="pct"/>
            <w:tcBorders>
              <w:top w:val="nil"/>
              <w:left w:val="nil"/>
              <w:bottom w:val="single" w:color="auto" w:sz="4" w:space="0"/>
              <w:right w:val="single" w:color="auto" w:sz="4" w:space="0"/>
            </w:tcBorders>
            <w:shd w:val="clear" w:color="auto" w:fill="auto"/>
            <w:noWrap/>
            <w:vAlign w:val="center"/>
          </w:tcPr>
          <w:p>
            <w:pPr>
              <w:widowControl/>
              <w:spacing w:after="0" w:line="240" w:lineRule="auto"/>
              <w:jc w:val="right"/>
              <w:rPr>
                <w:rFonts w:hint="eastAsia" w:ascii="仿宋" w:hAnsi="仿宋" w:eastAsia="仿宋" w:cs="宋体"/>
                <w:color w:val="000000" w:themeColor="text1"/>
                <w:kern w:val="0"/>
                <w:sz w:val="18"/>
                <w:szCs w:val="18"/>
                <w14:textFill>
                  <w14:solidFill>
                    <w14:schemeClr w14:val="tx1"/>
                  </w14:solidFill>
                </w14:textFill>
              </w:rPr>
            </w:pPr>
            <w:r>
              <w:rPr>
                <w:rFonts w:hint="eastAsia" w:ascii="仿宋" w:hAnsi="仿宋" w:eastAsia="仿宋"/>
                <w:color w:val="000000" w:themeColor="text1"/>
                <w:kern w:val="0"/>
                <w:sz w:val="20"/>
                <w:szCs w:val="20"/>
                <w14:textFill>
                  <w14:solidFill>
                    <w14:schemeClr w14:val="tx1"/>
                  </w14:solidFill>
                </w14:textFill>
              </w:rPr>
              <w:t>57</w:t>
            </w:r>
          </w:p>
        </w:tc>
        <w:tc>
          <w:tcPr>
            <w:tcW w:w="937" w:type="pct"/>
            <w:tcBorders>
              <w:top w:val="nil"/>
              <w:left w:val="nil"/>
              <w:bottom w:val="single" w:color="auto" w:sz="4" w:space="0"/>
              <w:right w:val="single" w:color="auto" w:sz="4" w:space="0"/>
            </w:tcBorders>
            <w:shd w:val="clear" w:color="auto" w:fill="auto"/>
            <w:noWrap/>
            <w:vAlign w:val="center"/>
          </w:tcPr>
          <w:p>
            <w:pPr>
              <w:widowControl/>
              <w:spacing w:after="0" w:line="240" w:lineRule="auto"/>
              <w:jc w:val="right"/>
              <w:rPr>
                <w:rFonts w:hint="eastAsia" w:ascii="仿宋" w:hAnsi="仿宋" w:eastAsia="仿宋" w:cs="宋体"/>
                <w:b/>
                <w:bCs/>
                <w:color w:val="000000" w:themeColor="text1"/>
                <w:kern w:val="0"/>
                <w:sz w:val="18"/>
                <w:szCs w:val="18"/>
                <w14:textFill>
                  <w14:solidFill>
                    <w14:schemeClr w14:val="tx1"/>
                  </w14:solidFill>
                </w14:textFill>
              </w:rPr>
            </w:pPr>
            <w:r>
              <w:rPr>
                <w:rFonts w:ascii="仿宋" w:hAnsi="仿宋" w:eastAsia="仿宋" w:cs="Arial"/>
                <w:b/>
                <w:bCs/>
                <w:color w:val="000000" w:themeColor="text1"/>
                <w:kern w:val="0"/>
                <w:sz w:val="20"/>
                <w:szCs w:val="20"/>
                <w14:textFill>
                  <w14:solidFill>
                    <w14:schemeClr w14:val="tx1"/>
                  </w14:solidFill>
                </w14:textFill>
              </w:rPr>
              <w:t>144</w:t>
            </w:r>
          </w:p>
        </w:tc>
      </w:tr>
      <w:tr>
        <w:tblPrEx>
          <w:tblCellMar>
            <w:top w:w="0" w:type="dxa"/>
            <w:left w:w="108" w:type="dxa"/>
            <w:bottom w:w="0" w:type="dxa"/>
            <w:right w:w="108" w:type="dxa"/>
          </w:tblCellMar>
        </w:tblPrEx>
        <w:trPr>
          <w:trHeight w:val="276" w:hRule="atLeast"/>
        </w:trPr>
        <w:tc>
          <w:tcPr>
            <w:tcW w:w="748" w:type="pct"/>
            <w:tcBorders>
              <w:top w:val="nil"/>
              <w:left w:val="single" w:color="auto" w:sz="4" w:space="0"/>
              <w:bottom w:val="single" w:color="auto" w:sz="4" w:space="0"/>
              <w:right w:val="single" w:color="auto" w:sz="4" w:space="0"/>
            </w:tcBorders>
            <w:shd w:val="clear" w:color="auto" w:fill="auto"/>
            <w:noWrap/>
            <w:vAlign w:val="center"/>
          </w:tcPr>
          <w:p>
            <w:pPr>
              <w:widowControl/>
              <w:spacing w:after="0" w:line="240" w:lineRule="auto"/>
              <w:jc w:val="center"/>
              <w:rPr>
                <w:rFonts w:hint="eastAsia" w:ascii="仿宋" w:hAnsi="仿宋" w:eastAsia="仿宋" w:cs="宋体"/>
                <w:color w:val="000000" w:themeColor="text1"/>
                <w:kern w:val="0"/>
                <w:sz w:val="20"/>
                <w:szCs w:val="20"/>
                <w14:textFill>
                  <w14:solidFill>
                    <w14:schemeClr w14:val="tx1"/>
                  </w14:solidFill>
                </w14:textFill>
              </w:rPr>
            </w:pPr>
            <w:r>
              <w:rPr>
                <w:rFonts w:ascii="仿宋" w:hAnsi="仿宋" w:eastAsia="仿宋" w:cs="宋体"/>
                <w:color w:val="000000" w:themeColor="text1"/>
                <w:kern w:val="0"/>
                <w:sz w:val="20"/>
                <w:szCs w:val="20"/>
                <w14:textFill>
                  <w14:solidFill>
                    <w14:schemeClr w14:val="tx1"/>
                  </w14:solidFill>
                </w14:textFill>
              </w:rPr>
              <w:t>5</w:t>
            </w:r>
          </w:p>
        </w:tc>
        <w:tc>
          <w:tcPr>
            <w:tcW w:w="1627" w:type="pct"/>
            <w:tcBorders>
              <w:top w:val="nil"/>
              <w:left w:val="nil"/>
              <w:bottom w:val="single" w:color="auto" w:sz="4" w:space="0"/>
              <w:right w:val="single" w:color="auto" w:sz="4" w:space="0"/>
            </w:tcBorders>
            <w:shd w:val="clear" w:color="auto" w:fill="auto"/>
            <w:noWrap/>
            <w:vAlign w:val="center"/>
          </w:tcPr>
          <w:p>
            <w:pPr>
              <w:widowControl/>
              <w:spacing w:after="0" w:line="240" w:lineRule="auto"/>
              <w:rPr>
                <w:rFonts w:hint="eastAsia" w:ascii="仿宋" w:hAnsi="仿宋" w:eastAsia="仿宋" w:cs="宋体"/>
                <w:color w:val="000000" w:themeColor="text1"/>
                <w:kern w:val="0"/>
                <w:sz w:val="20"/>
                <w:szCs w:val="20"/>
                <w14:textFill>
                  <w14:solidFill>
                    <w14:schemeClr w14:val="tx1"/>
                  </w14:solidFill>
                </w14:textFill>
              </w:rPr>
            </w:pPr>
            <w:r>
              <w:rPr>
                <w:rFonts w:hint="eastAsia" w:ascii="仿宋" w:hAnsi="仿宋" w:eastAsia="仿宋" w:cs="宋体"/>
                <w:color w:val="000000" w:themeColor="text1"/>
                <w:kern w:val="0"/>
                <w:sz w:val="20"/>
                <w:szCs w:val="20"/>
                <w14:textFill>
                  <w14:solidFill>
                    <w14:schemeClr w14:val="tx1"/>
                  </w14:solidFill>
                </w14:textFill>
              </w:rPr>
              <w:t>专项费用</w:t>
            </w:r>
          </w:p>
        </w:tc>
        <w:tc>
          <w:tcPr>
            <w:tcW w:w="844" w:type="pct"/>
            <w:tcBorders>
              <w:top w:val="nil"/>
              <w:left w:val="nil"/>
              <w:bottom w:val="single" w:color="auto" w:sz="4" w:space="0"/>
              <w:right w:val="single" w:color="auto" w:sz="4" w:space="0"/>
            </w:tcBorders>
            <w:shd w:val="clear" w:color="auto" w:fill="auto"/>
            <w:noWrap/>
            <w:vAlign w:val="center"/>
          </w:tcPr>
          <w:p>
            <w:pPr>
              <w:widowControl/>
              <w:spacing w:after="0" w:line="240" w:lineRule="auto"/>
              <w:jc w:val="right"/>
              <w:rPr>
                <w:rFonts w:hint="eastAsia" w:ascii="仿宋" w:hAnsi="仿宋" w:eastAsia="仿宋" w:cs="宋体"/>
                <w:color w:val="000000" w:themeColor="text1"/>
                <w:kern w:val="0"/>
                <w:sz w:val="18"/>
                <w:szCs w:val="18"/>
                <w14:textFill>
                  <w14:solidFill>
                    <w14:schemeClr w14:val="tx1"/>
                  </w14:solidFill>
                </w14:textFill>
              </w:rPr>
            </w:pPr>
            <w:r>
              <w:rPr>
                <w:rFonts w:ascii="仿宋" w:hAnsi="仿宋" w:eastAsia="仿宋" w:cs="Arial"/>
                <w:color w:val="000000" w:themeColor="text1"/>
                <w:kern w:val="0"/>
                <w:sz w:val="20"/>
                <w:szCs w:val="20"/>
                <w14:textFill>
                  <w14:solidFill>
                    <w14:schemeClr w14:val="tx1"/>
                  </w14:solidFill>
                </w14:textFill>
              </w:rPr>
              <w:t>10</w:t>
            </w:r>
          </w:p>
        </w:tc>
        <w:tc>
          <w:tcPr>
            <w:tcW w:w="844" w:type="pct"/>
            <w:tcBorders>
              <w:top w:val="nil"/>
              <w:left w:val="nil"/>
              <w:bottom w:val="single" w:color="auto" w:sz="4" w:space="0"/>
              <w:right w:val="single" w:color="auto" w:sz="4" w:space="0"/>
            </w:tcBorders>
            <w:shd w:val="clear" w:color="auto" w:fill="auto"/>
            <w:noWrap/>
            <w:vAlign w:val="center"/>
          </w:tcPr>
          <w:p>
            <w:pPr>
              <w:widowControl/>
              <w:spacing w:after="0" w:line="240" w:lineRule="auto"/>
              <w:jc w:val="right"/>
              <w:rPr>
                <w:rFonts w:hint="eastAsia" w:ascii="仿宋" w:hAnsi="仿宋" w:eastAsia="仿宋" w:cs="宋体"/>
                <w:color w:val="000000" w:themeColor="text1"/>
                <w:kern w:val="0"/>
                <w:sz w:val="18"/>
                <w:szCs w:val="18"/>
                <w14:textFill>
                  <w14:solidFill>
                    <w14:schemeClr w14:val="tx1"/>
                  </w14:solidFill>
                </w14:textFill>
              </w:rPr>
            </w:pPr>
            <w:r>
              <w:rPr>
                <w:rFonts w:ascii="仿宋" w:hAnsi="仿宋" w:eastAsia="仿宋" w:cs="Arial"/>
                <w:color w:val="000000" w:themeColor="text1"/>
                <w:kern w:val="0"/>
                <w:sz w:val="20"/>
                <w:szCs w:val="20"/>
                <w14:textFill>
                  <w14:solidFill>
                    <w14:schemeClr w14:val="tx1"/>
                  </w14:solidFill>
                </w14:textFill>
              </w:rPr>
              <w:t>18</w:t>
            </w:r>
          </w:p>
        </w:tc>
        <w:tc>
          <w:tcPr>
            <w:tcW w:w="937" w:type="pct"/>
            <w:tcBorders>
              <w:top w:val="nil"/>
              <w:left w:val="nil"/>
              <w:bottom w:val="single" w:color="auto" w:sz="4" w:space="0"/>
              <w:right w:val="single" w:color="auto" w:sz="4" w:space="0"/>
            </w:tcBorders>
            <w:shd w:val="clear" w:color="auto" w:fill="auto"/>
            <w:noWrap/>
            <w:vAlign w:val="center"/>
          </w:tcPr>
          <w:p>
            <w:pPr>
              <w:widowControl/>
              <w:spacing w:after="0" w:line="240" w:lineRule="auto"/>
              <w:jc w:val="right"/>
              <w:rPr>
                <w:rFonts w:hint="eastAsia" w:ascii="仿宋" w:hAnsi="仿宋" w:eastAsia="仿宋"/>
                <w:b/>
                <w:bCs/>
                <w:color w:val="000000" w:themeColor="text1"/>
                <w:kern w:val="0"/>
                <w:sz w:val="18"/>
                <w:szCs w:val="18"/>
                <w14:textFill>
                  <w14:solidFill>
                    <w14:schemeClr w14:val="tx1"/>
                  </w14:solidFill>
                </w14:textFill>
              </w:rPr>
            </w:pPr>
            <w:r>
              <w:rPr>
                <w:rFonts w:ascii="仿宋" w:hAnsi="仿宋" w:eastAsia="仿宋" w:cs="Arial"/>
                <w:b/>
                <w:bCs/>
                <w:color w:val="000000" w:themeColor="text1"/>
                <w:kern w:val="0"/>
                <w:sz w:val="20"/>
                <w:szCs w:val="20"/>
                <w14:textFill>
                  <w14:solidFill>
                    <w14:schemeClr w14:val="tx1"/>
                  </w14:solidFill>
                </w14:textFill>
              </w:rPr>
              <w:t>27</w:t>
            </w:r>
          </w:p>
        </w:tc>
      </w:tr>
      <w:tr>
        <w:tblPrEx>
          <w:tblCellMar>
            <w:top w:w="0" w:type="dxa"/>
            <w:left w:w="108" w:type="dxa"/>
            <w:bottom w:w="0" w:type="dxa"/>
            <w:right w:w="108" w:type="dxa"/>
          </w:tblCellMar>
        </w:tblPrEx>
        <w:trPr>
          <w:trHeight w:val="276" w:hRule="atLeast"/>
        </w:trPr>
        <w:tc>
          <w:tcPr>
            <w:tcW w:w="748" w:type="pct"/>
            <w:tcBorders>
              <w:top w:val="nil"/>
              <w:left w:val="single" w:color="auto" w:sz="4" w:space="0"/>
              <w:bottom w:val="single" w:color="auto" w:sz="4" w:space="0"/>
              <w:right w:val="single" w:color="auto" w:sz="4" w:space="0"/>
            </w:tcBorders>
            <w:shd w:val="clear" w:color="auto" w:fill="auto"/>
            <w:noWrap/>
            <w:vAlign w:val="center"/>
          </w:tcPr>
          <w:p>
            <w:pPr>
              <w:widowControl/>
              <w:spacing w:after="0" w:line="240" w:lineRule="auto"/>
              <w:jc w:val="center"/>
              <w:rPr>
                <w:rFonts w:hint="eastAsia" w:ascii="仿宋" w:hAnsi="仿宋" w:eastAsia="仿宋" w:cs="宋体"/>
                <w:color w:val="000000" w:themeColor="text1"/>
                <w:kern w:val="0"/>
                <w:sz w:val="20"/>
                <w:szCs w:val="20"/>
                <w14:textFill>
                  <w14:solidFill>
                    <w14:schemeClr w14:val="tx1"/>
                  </w14:solidFill>
                </w14:textFill>
              </w:rPr>
            </w:pPr>
            <w:r>
              <w:rPr>
                <w:rFonts w:ascii="仿宋" w:hAnsi="仿宋" w:eastAsia="仿宋" w:cs="宋体"/>
                <w:color w:val="000000" w:themeColor="text1"/>
                <w:kern w:val="0"/>
                <w:sz w:val="20"/>
                <w:szCs w:val="20"/>
                <w14:textFill>
                  <w14:solidFill>
                    <w14:schemeClr w14:val="tx1"/>
                  </w14:solidFill>
                </w14:textFill>
              </w:rPr>
              <w:t>5.1</w:t>
            </w:r>
          </w:p>
        </w:tc>
        <w:tc>
          <w:tcPr>
            <w:tcW w:w="1627" w:type="pct"/>
            <w:tcBorders>
              <w:top w:val="nil"/>
              <w:left w:val="nil"/>
              <w:bottom w:val="single" w:color="auto" w:sz="4" w:space="0"/>
              <w:right w:val="single" w:color="auto" w:sz="4" w:space="0"/>
            </w:tcBorders>
            <w:shd w:val="clear" w:color="auto" w:fill="auto"/>
            <w:noWrap/>
            <w:vAlign w:val="center"/>
          </w:tcPr>
          <w:p>
            <w:pPr>
              <w:widowControl/>
              <w:spacing w:after="0" w:line="240" w:lineRule="auto"/>
              <w:rPr>
                <w:rFonts w:hint="eastAsia" w:ascii="仿宋" w:hAnsi="仿宋" w:eastAsia="仿宋" w:cs="宋体"/>
                <w:color w:val="000000" w:themeColor="text1"/>
                <w:kern w:val="0"/>
                <w:sz w:val="20"/>
                <w:szCs w:val="20"/>
                <w14:textFill>
                  <w14:solidFill>
                    <w14:schemeClr w14:val="tx1"/>
                  </w14:solidFill>
                </w14:textFill>
              </w:rPr>
            </w:pPr>
            <w:r>
              <w:rPr>
                <w:rFonts w:hint="eastAsia" w:ascii="仿宋" w:hAnsi="仿宋" w:eastAsia="仿宋" w:cs="宋体"/>
                <w:color w:val="000000" w:themeColor="text1"/>
                <w:kern w:val="0"/>
                <w:sz w:val="20"/>
                <w:szCs w:val="20"/>
                <w14:textFill>
                  <w14:solidFill>
                    <w14:schemeClr w14:val="tx1"/>
                  </w14:solidFill>
                </w14:textFill>
              </w:rPr>
              <w:t>债券发行费用</w:t>
            </w:r>
          </w:p>
        </w:tc>
        <w:tc>
          <w:tcPr>
            <w:tcW w:w="844" w:type="pct"/>
            <w:tcBorders>
              <w:top w:val="nil"/>
              <w:left w:val="nil"/>
              <w:bottom w:val="single" w:color="auto" w:sz="4" w:space="0"/>
              <w:right w:val="single" w:color="auto" w:sz="4" w:space="0"/>
            </w:tcBorders>
            <w:shd w:val="clear" w:color="auto" w:fill="auto"/>
            <w:noWrap/>
            <w:vAlign w:val="center"/>
          </w:tcPr>
          <w:p>
            <w:pPr>
              <w:widowControl/>
              <w:spacing w:after="0" w:line="240" w:lineRule="auto"/>
              <w:jc w:val="right"/>
              <w:rPr>
                <w:rFonts w:hint="eastAsia" w:ascii="仿宋" w:hAnsi="仿宋" w:eastAsia="仿宋" w:cs="宋体"/>
                <w:color w:val="000000" w:themeColor="text1"/>
                <w:kern w:val="0"/>
                <w:sz w:val="18"/>
                <w:szCs w:val="18"/>
                <w14:textFill>
                  <w14:solidFill>
                    <w14:schemeClr w14:val="tx1"/>
                  </w14:solidFill>
                </w14:textFill>
              </w:rPr>
            </w:pPr>
            <w:r>
              <w:rPr>
                <w:rFonts w:hint="eastAsia" w:ascii="仿宋" w:hAnsi="仿宋" w:eastAsia="仿宋"/>
                <w:color w:val="000000" w:themeColor="text1"/>
                <w:kern w:val="0"/>
                <w:sz w:val="20"/>
                <w:szCs w:val="20"/>
                <w14:textFill>
                  <w14:solidFill>
                    <w14:schemeClr w14:val="tx1"/>
                  </w14:solidFill>
                </w14:textFill>
              </w:rPr>
              <w:t>1</w:t>
            </w:r>
          </w:p>
        </w:tc>
        <w:tc>
          <w:tcPr>
            <w:tcW w:w="844" w:type="pct"/>
            <w:tcBorders>
              <w:top w:val="nil"/>
              <w:left w:val="nil"/>
              <w:bottom w:val="single" w:color="auto" w:sz="4" w:space="0"/>
              <w:right w:val="single" w:color="auto" w:sz="4" w:space="0"/>
            </w:tcBorders>
            <w:shd w:val="clear" w:color="auto" w:fill="auto"/>
            <w:noWrap/>
            <w:vAlign w:val="center"/>
          </w:tcPr>
          <w:p>
            <w:pPr>
              <w:widowControl/>
              <w:spacing w:after="0" w:line="240" w:lineRule="auto"/>
              <w:jc w:val="right"/>
              <w:rPr>
                <w:rFonts w:hint="eastAsia" w:ascii="仿宋" w:hAnsi="仿宋" w:eastAsia="仿宋" w:cs="宋体"/>
                <w:color w:val="000000" w:themeColor="text1"/>
                <w:kern w:val="0"/>
                <w:sz w:val="18"/>
                <w:szCs w:val="18"/>
                <w14:textFill>
                  <w14:solidFill>
                    <w14:schemeClr w14:val="tx1"/>
                  </w14:solidFill>
                </w14:textFill>
              </w:rPr>
            </w:pPr>
            <w:r>
              <w:rPr>
                <w:rFonts w:hint="eastAsia" w:ascii="仿宋" w:hAnsi="仿宋" w:eastAsia="仿宋"/>
                <w:color w:val="000000" w:themeColor="text1"/>
                <w:kern w:val="0"/>
                <w:sz w:val="20"/>
                <w:szCs w:val="20"/>
                <w14:textFill>
                  <w14:solidFill>
                    <w14:schemeClr w14:val="tx1"/>
                  </w14:solidFill>
                </w14:textFill>
              </w:rPr>
              <w:t>-</w:t>
            </w:r>
          </w:p>
        </w:tc>
        <w:tc>
          <w:tcPr>
            <w:tcW w:w="937" w:type="pct"/>
            <w:tcBorders>
              <w:top w:val="nil"/>
              <w:left w:val="nil"/>
              <w:bottom w:val="single" w:color="auto" w:sz="4" w:space="0"/>
              <w:right w:val="single" w:color="auto" w:sz="4" w:space="0"/>
            </w:tcBorders>
            <w:shd w:val="clear" w:color="auto" w:fill="auto"/>
            <w:noWrap/>
            <w:vAlign w:val="center"/>
          </w:tcPr>
          <w:p>
            <w:pPr>
              <w:widowControl/>
              <w:spacing w:after="0" w:line="240" w:lineRule="auto"/>
              <w:jc w:val="right"/>
              <w:rPr>
                <w:rFonts w:hint="eastAsia" w:ascii="仿宋" w:hAnsi="仿宋" w:eastAsia="仿宋"/>
                <w:b/>
                <w:bCs/>
                <w:color w:val="000000" w:themeColor="text1"/>
                <w:kern w:val="0"/>
                <w:sz w:val="18"/>
                <w:szCs w:val="18"/>
                <w14:textFill>
                  <w14:solidFill>
                    <w14:schemeClr w14:val="tx1"/>
                  </w14:solidFill>
                </w14:textFill>
              </w:rPr>
            </w:pPr>
            <w:r>
              <w:rPr>
                <w:rFonts w:ascii="仿宋" w:hAnsi="仿宋" w:eastAsia="仿宋" w:cs="Arial"/>
                <w:b/>
                <w:bCs/>
                <w:color w:val="000000" w:themeColor="text1"/>
                <w:kern w:val="0"/>
                <w:sz w:val="20"/>
                <w:szCs w:val="20"/>
                <w14:textFill>
                  <w14:solidFill>
                    <w14:schemeClr w14:val="tx1"/>
                  </w14:solidFill>
                </w14:textFill>
              </w:rPr>
              <w:t>1</w:t>
            </w:r>
          </w:p>
        </w:tc>
      </w:tr>
      <w:tr>
        <w:tblPrEx>
          <w:tblCellMar>
            <w:top w:w="0" w:type="dxa"/>
            <w:left w:w="108" w:type="dxa"/>
            <w:bottom w:w="0" w:type="dxa"/>
            <w:right w:w="108" w:type="dxa"/>
          </w:tblCellMar>
        </w:tblPrEx>
        <w:trPr>
          <w:trHeight w:val="276" w:hRule="atLeast"/>
        </w:trPr>
        <w:tc>
          <w:tcPr>
            <w:tcW w:w="748" w:type="pct"/>
            <w:tcBorders>
              <w:top w:val="nil"/>
              <w:left w:val="single" w:color="auto" w:sz="4" w:space="0"/>
              <w:bottom w:val="single" w:color="auto" w:sz="4" w:space="0"/>
              <w:right w:val="single" w:color="auto" w:sz="4" w:space="0"/>
            </w:tcBorders>
            <w:shd w:val="clear" w:color="auto" w:fill="auto"/>
            <w:noWrap/>
            <w:vAlign w:val="center"/>
          </w:tcPr>
          <w:p>
            <w:pPr>
              <w:widowControl/>
              <w:spacing w:after="0" w:line="240" w:lineRule="auto"/>
              <w:jc w:val="center"/>
              <w:rPr>
                <w:rFonts w:hint="eastAsia" w:ascii="仿宋" w:hAnsi="仿宋" w:eastAsia="仿宋" w:cs="宋体"/>
                <w:color w:val="000000" w:themeColor="text1"/>
                <w:kern w:val="0"/>
                <w:sz w:val="20"/>
                <w:szCs w:val="20"/>
                <w14:textFill>
                  <w14:solidFill>
                    <w14:schemeClr w14:val="tx1"/>
                  </w14:solidFill>
                </w14:textFill>
              </w:rPr>
            </w:pPr>
            <w:r>
              <w:rPr>
                <w:rFonts w:ascii="仿宋" w:hAnsi="仿宋" w:eastAsia="仿宋" w:cs="宋体"/>
                <w:color w:val="000000" w:themeColor="text1"/>
                <w:kern w:val="0"/>
                <w:sz w:val="20"/>
                <w:szCs w:val="20"/>
                <w14:textFill>
                  <w14:solidFill>
                    <w14:schemeClr w14:val="tx1"/>
                  </w14:solidFill>
                </w14:textFill>
              </w:rPr>
              <w:t>5.2</w:t>
            </w:r>
          </w:p>
        </w:tc>
        <w:tc>
          <w:tcPr>
            <w:tcW w:w="1627" w:type="pct"/>
            <w:tcBorders>
              <w:top w:val="nil"/>
              <w:left w:val="nil"/>
              <w:bottom w:val="single" w:color="auto" w:sz="4" w:space="0"/>
              <w:right w:val="single" w:color="auto" w:sz="4" w:space="0"/>
            </w:tcBorders>
            <w:shd w:val="clear" w:color="auto" w:fill="auto"/>
            <w:noWrap/>
            <w:vAlign w:val="center"/>
          </w:tcPr>
          <w:p>
            <w:pPr>
              <w:widowControl/>
              <w:spacing w:after="0" w:line="240" w:lineRule="auto"/>
              <w:rPr>
                <w:rFonts w:hint="eastAsia" w:ascii="仿宋" w:hAnsi="仿宋" w:eastAsia="仿宋" w:cs="宋体"/>
                <w:color w:val="000000" w:themeColor="text1"/>
                <w:kern w:val="0"/>
                <w:sz w:val="20"/>
                <w:szCs w:val="20"/>
                <w14:textFill>
                  <w14:solidFill>
                    <w14:schemeClr w14:val="tx1"/>
                  </w14:solidFill>
                </w14:textFill>
              </w:rPr>
            </w:pPr>
            <w:r>
              <w:rPr>
                <w:rFonts w:hint="eastAsia" w:ascii="仿宋" w:hAnsi="仿宋" w:eastAsia="仿宋" w:cs="宋体"/>
                <w:color w:val="000000" w:themeColor="text1"/>
                <w:kern w:val="0"/>
                <w:sz w:val="20"/>
                <w:szCs w:val="20"/>
                <w14:textFill>
                  <w14:solidFill>
                    <w14:schemeClr w14:val="tx1"/>
                  </w14:solidFill>
                </w14:textFill>
              </w:rPr>
              <w:t>建设期利息</w:t>
            </w:r>
          </w:p>
        </w:tc>
        <w:tc>
          <w:tcPr>
            <w:tcW w:w="844" w:type="pct"/>
            <w:tcBorders>
              <w:top w:val="nil"/>
              <w:left w:val="nil"/>
              <w:bottom w:val="single" w:color="auto" w:sz="4" w:space="0"/>
              <w:right w:val="single" w:color="auto" w:sz="4" w:space="0"/>
            </w:tcBorders>
            <w:shd w:val="clear" w:color="auto" w:fill="auto"/>
            <w:noWrap/>
            <w:vAlign w:val="center"/>
          </w:tcPr>
          <w:p>
            <w:pPr>
              <w:widowControl/>
              <w:spacing w:after="0" w:line="240" w:lineRule="auto"/>
              <w:jc w:val="right"/>
              <w:rPr>
                <w:rFonts w:hint="eastAsia" w:ascii="仿宋" w:hAnsi="仿宋" w:eastAsia="仿宋" w:cs="宋体"/>
                <w:color w:val="000000" w:themeColor="text1"/>
                <w:kern w:val="0"/>
                <w:sz w:val="18"/>
                <w:szCs w:val="18"/>
                <w14:textFill>
                  <w14:solidFill>
                    <w14:schemeClr w14:val="tx1"/>
                  </w14:solidFill>
                </w14:textFill>
              </w:rPr>
            </w:pPr>
            <w:r>
              <w:rPr>
                <w:rFonts w:hint="eastAsia" w:ascii="仿宋" w:hAnsi="仿宋" w:eastAsia="仿宋"/>
                <w:color w:val="000000" w:themeColor="text1"/>
                <w:kern w:val="0"/>
                <w:sz w:val="20"/>
                <w:szCs w:val="20"/>
                <w14:textFill>
                  <w14:solidFill>
                    <w14:schemeClr w14:val="tx1"/>
                  </w14:solidFill>
                </w14:textFill>
              </w:rPr>
              <w:t>9</w:t>
            </w:r>
          </w:p>
        </w:tc>
        <w:tc>
          <w:tcPr>
            <w:tcW w:w="844" w:type="pct"/>
            <w:tcBorders>
              <w:top w:val="nil"/>
              <w:left w:val="nil"/>
              <w:bottom w:val="single" w:color="auto" w:sz="4" w:space="0"/>
              <w:right w:val="single" w:color="auto" w:sz="4" w:space="0"/>
            </w:tcBorders>
            <w:shd w:val="clear" w:color="auto" w:fill="auto"/>
            <w:noWrap/>
            <w:vAlign w:val="center"/>
          </w:tcPr>
          <w:p>
            <w:pPr>
              <w:widowControl/>
              <w:spacing w:after="0" w:line="240" w:lineRule="auto"/>
              <w:jc w:val="right"/>
              <w:rPr>
                <w:rFonts w:hint="eastAsia" w:ascii="仿宋" w:hAnsi="仿宋" w:eastAsia="仿宋" w:cs="宋体"/>
                <w:color w:val="000000" w:themeColor="text1"/>
                <w:kern w:val="0"/>
                <w:sz w:val="18"/>
                <w:szCs w:val="18"/>
                <w14:textFill>
                  <w14:solidFill>
                    <w14:schemeClr w14:val="tx1"/>
                  </w14:solidFill>
                </w14:textFill>
              </w:rPr>
            </w:pPr>
            <w:r>
              <w:rPr>
                <w:rFonts w:hint="eastAsia" w:ascii="仿宋" w:hAnsi="仿宋" w:eastAsia="仿宋"/>
                <w:color w:val="000000" w:themeColor="text1"/>
                <w:kern w:val="0"/>
                <w:sz w:val="20"/>
                <w:szCs w:val="20"/>
                <w14:textFill>
                  <w14:solidFill>
                    <w14:schemeClr w14:val="tx1"/>
                  </w14:solidFill>
                </w14:textFill>
              </w:rPr>
              <w:t>18</w:t>
            </w:r>
          </w:p>
        </w:tc>
        <w:tc>
          <w:tcPr>
            <w:tcW w:w="937" w:type="pct"/>
            <w:tcBorders>
              <w:top w:val="nil"/>
              <w:left w:val="nil"/>
              <w:bottom w:val="single" w:color="auto" w:sz="4" w:space="0"/>
              <w:right w:val="single" w:color="auto" w:sz="4" w:space="0"/>
            </w:tcBorders>
            <w:shd w:val="clear" w:color="auto" w:fill="auto"/>
            <w:noWrap/>
            <w:vAlign w:val="center"/>
          </w:tcPr>
          <w:p>
            <w:pPr>
              <w:widowControl/>
              <w:spacing w:after="0" w:line="240" w:lineRule="auto"/>
              <w:jc w:val="right"/>
              <w:rPr>
                <w:rFonts w:hint="eastAsia" w:ascii="仿宋" w:hAnsi="仿宋" w:eastAsia="仿宋"/>
                <w:b/>
                <w:bCs/>
                <w:color w:val="000000" w:themeColor="text1"/>
                <w:kern w:val="0"/>
                <w:sz w:val="18"/>
                <w:szCs w:val="18"/>
                <w14:textFill>
                  <w14:solidFill>
                    <w14:schemeClr w14:val="tx1"/>
                  </w14:solidFill>
                </w14:textFill>
              </w:rPr>
            </w:pPr>
            <w:r>
              <w:rPr>
                <w:rFonts w:ascii="仿宋" w:hAnsi="仿宋" w:eastAsia="仿宋" w:cs="Arial"/>
                <w:b/>
                <w:bCs/>
                <w:color w:val="000000" w:themeColor="text1"/>
                <w:kern w:val="0"/>
                <w:sz w:val="20"/>
                <w:szCs w:val="20"/>
                <w14:textFill>
                  <w14:solidFill>
                    <w14:schemeClr w14:val="tx1"/>
                  </w14:solidFill>
                </w14:textFill>
              </w:rPr>
              <w:t>26</w:t>
            </w:r>
          </w:p>
        </w:tc>
      </w:tr>
      <w:tr>
        <w:tblPrEx>
          <w:tblCellMar>
            <w:top w:w="0" w:type="dxa"/>
            <w:left w:w="108" w:type="dxa"/>
            <w:bottom w:w="0" w:type="dxa"/>
            <w:right w:w="108" w:type="dxa"/>
          </w:tblCellMar>
        </w:tblPrEx>
        <w:trPr>
          <w:trHeight w:val="276" w:hRule="atLeast"/>
        </w:trPr>
        <w:tc>
          <w:tcPr>
            <w:tcW w:w="748" w:type="pct"/>
            <w:tcBorders>
              <w:top w:val="nil"/>
              <w:left w:val="single" w:color="auto" w:sz="4" w:space="0"/>
              <w:bottom w:val="single" w:color="auto" w:sz="4" w:space="0"/>
              <w:right w:val="single" w:color="auto" w:sz="4" w:space="0"/>
            </w:tcBorders>
            <w:shd w:val="clear" w:color="auto" w:fill="auto"/>
            <w:noWrap/>
            <w:vAlign w:val="center"/>
          </w:tcPr>
          <w:p>
            <w:pPr>
              <w:widowControl/>
              <w:spacing w:after="0" w:line="240" w:lineRule="auto"/>
              <w:jc w:val="center"/>
              <w:rPr>
                <w:rFonts w:hint="eastAsia" w:ascii="仿宋" w:hAnsi="仿宋" w:eastAsia="仿宋" w:cs="宋体"/>
                <w:color w:val="000000" w:themeColor="text1"/>
                <w:kern w:val="0"/>
                <w:sz w:val="20"/>
                <w:szCs w:val="20"/>
                <w14:textFill>
                  <w14:solidFill>
                    <w14:schemeClr w14:val="tx1"/>
                  </w14:solidFill>
                </w14:textFill>
              </w:rPr>
            </w:pPr>
          </w:p>
        </w:tc>
        <w:tc>
          <w:tcPr>
            <w:tcW w:w="1627" w:type="pct"/>
            <w:tcBorders>
              <w:top w:val="nil"/>
              <w:left w:val="nil"/>
              <w:bottom w:val="single" w:color="auto" w:sz="4" w:space="0"/>
              <w:right w:val="single" w:color="auto" w:sz="4" w:space="0"/>
            </w:tcBorders>
            <w:shd w:val="clear" w:color="auto" w:fill="auto"/>
            <w:noWrap/>
            <w:vAlign w:val="center"/>
          </w:tcPr>
          <w:p>
            <w:pPr>
              <w:widowControl/>
              <w:spacing w:after="0" w:line="240" w:lineRule="auto"/>
              <w:rPr>
                <w:rFonts w:hint="eastAsia" w:ascii="仿宋" w:hAnsi="仿宋" w:eastAsia="仿宋" w:cs="宋体"/>
                <w:b/>
                <w:bCs/>
                <w:color w:val="000000" w:themeColor="text1"/>
                <w:kern w:val="0"/>
                <w:sz w:val="20"/>
                <w:szCs w:val="20"/>
                <w14:textFill>
                  <w14:solidFill>
                    <w14:schemeClr w14:val="tx1"/>
                  </w14:solidFill>
                </w14:textFill>
              </w:rPr>
            </w:pPr>
            <w:r>
              <w:rPr>
                <w:rFonts w:hint="eastAsia" w:ascii="仿宋" w:hAnsi="仿宋" w:eastAsia="仿宋" w:cs="宋体"/>
                <w:b/>
                <w:bCs/>
                <w:color w:val="000000" w:themeColor="text1"/>
                <w:kern w:val="0"/>
                <w:sz w:val="20"/>
                <w:szCs w:val="20"/>
                <w14:textFill>
                  <w14:solidFill>
                    <w14:schemeClr w14:val="tx1"/>
                  </w14:solidFill>
                </w14:textFill>
              </w:rPr>
              <w:t>合计</w:t>
            </w:r>
          </w:p>
        </w:tc>
        <w:tc>
          <w:tcPr>
            <w:tcW w:w="844" w:type="pct"/>
            <w:tcBorders>
              <w:top w:val="nil"/>
              <w:left w:val="nil"/>
              <w:bottom w:val="single" w:color="auto" w:sz="4" w:space="0"/>
              <w:right w:val="single" w:color="auto" w:sz="4" w:space="0"/>
            </w:tcBorders>
            <w:shd w:val="clear" w:color="auto" w:fill="auto"/>
            <w:noWrap/>
            <w:vAlign w:val="center"/>
          </w:tcPr>
          <w:p>
            <w:pPr>
              <w:widowControl/>
              <w:spacing w:after="0" w:line="240" w:lineRule="auto"/>
              <w:jc w:val="right"/>
              <w:rPr>
                <w:rFonts w:hint="eastAsia" w:ascii="仿宋" w:hAnsi="仿宋" w:eastAsia="仿宋" w:cs="宋体"/>
                <w:b/>
                <w:bCs/>
                <w:color w:val="000000" w:themeColor="text1"/>
                <w:kern w:val="0"/>
                <w:sz w:val="18"/>
                <w:szCs w:val="18"/>
                <w14:textFill>
                  <w14:solidFill>
                    <w14:schemeClr w14:val="tx1"/>
                  </w14:solidFill>
                </w14:textFill>
              </w:rPr>
            </w:pPr>
            <w:r>
              <w:rPr>
                <w:rFonts w:hint="eastAsia" w:ascii="仿宋" w:hAnsi="仿宋" w:eastAsia="仿宋"/>
                <w:b/>
                <w:bCs/>
                <w:color w:val="000000" w:themeColor="text1"/>
                <w:kern w:val="0"/>
                <w:sz w:val="20"/>
                <w:szCs w:val="20"/>
                <w14:textFill>
                  <w14:solidFill>
                    <w14:schemeClr w14:val="tx1"/>
                  </w14:solidFill>
                </w14:textFill>
              </w:rPr>
              <w:t>7,752</w:t>
            </w:r>
          </w:p>
        </w:tc>
        <w:tc>
          <w:tcPr>
            <w:tcW w:w="844" w:type="pct"/>
            <w:tcBorders>
              <w:top w:val="nil"/>
              <w:left w:val="nil"/>
              <w:bottom w:val="single" w:color="auto" w:sz="4" w:space="0"/>
              <w:right w:val="single" w:color="auto" w:sz="4" w:space="0"/>
            </w:tcBorders>
            <w:shd w:val="clear" w:color="auto" w:fill="auto"/>
            <w:noWrap/>
            <w:vAlign w:val="center"/>
          </w:tcPr>
          <w:p>
            <w:pPr>
              <w:widowControl/>
              <w:spacing w:after="0" w:line="240" w:lineRule="auto"/>
              <w:jc w:val="right"/>
              <w:rPr>
                <w:rFonts w:hint="eastAsia" w:ascii="仿宋" w:hAnsi="仿宋" w:eastAsia="仿宋" w:cs="宋体"/>
                <w:b/>
                <w:bCs/>
                <w:color w:val="000000" w:themeColor="text1"/>
                <w:kern w:val="0"/>
                <w:sz w:val="18"/>
                <w:szCs w:val="18"/>
                <w14:textFill>
                  <w14:solidFill>
                    <w14:schemeClr w14:val="tx1"/>
                  </w14:solidFill>
                </w14:textFill>
              </w:rPr>
            </w:pPr>
            <w:r>
              <w:rPr>
                <w:rFonts w:hint="eastAsia" w:ascii="仿宋" w:hAnsi="仿宋" w:eastAsia="仿宋"/>
                <w:b/>
                <w:bCs/>
                <w:color w:val="000000" w:themeColor="text1"/>
                <w:kern w:val="0"/>
                <w:sz w:val="20"/>
                <w:szCs w:val="20"/>
                <w14:textFill>
                  <w14:solidFill>
                    <w14:schemeClr w14:val="tx1"/>
                  </w14:solidFill>
                </w14:textFill>
              </w:rPr>
              <w:t>5,100</w:t>
            </w:r>
          </w:p>
        </w:tc>
        <w:tc>
          <w:tcPr>
            <w:tcW w:w="937" w:type="pct"/>
            <w:tcBorders>
              <w:top w:val="nil"/>
              <w:left w:val="nil"/>
              <w:bottom w:val="single" w:color="auto" w:sz="4" w:space="0"/>
              <w:right w:val="single" w:color="auto" w:sz="4" w:space="0"/>
            </w:tcBorders>
            <w:shd w:val="clear" w:color="auto" w:fill="auto"/>
            <w:noWrap/>
            <w:vAlign w:val="center"/>
          </w:tcPr>
          <w:p>
            <w:pPr>
              <w:widowControl/>
              <w:spacing w:after="0" w:line="240" w:lineRule="auto"/>
              <w:jc w:val="right"/>
              <w:rPr>
                <w:rFonts w:hint="eastAsia" w:ascii="仿宋" w:hAnsi="仿宋" w:eastAsia="仿宋"/>
                <w:b/>
                <w:bCs/>
                <w:color w:val="000000" w:themeColor="text1"/>
                <w:kern w:val="0"/>
                <w:sz w:val="18"/>
                <w:szCs w:val="18"/>
                <w14:textFill>
                  <w14:solidFill>
                    <w14:schemeClr w14:val="tx1"/>
                  </w14:solidFill>
                </w14:textFill>
              </w:rPr>
            </w:pPr>
            <w:r>
              <w:rPr>
                <w:rFonts w:ascii="仿宋" w:hAnsi="仿宋" w:eastAsia="仿宋" w:cs="Arial"/>
                <w:b/>
                <w:bCs/>
                <w:color w:val="000000" w:themeColor="text1"/>
                <w:kern w:val="0"/>
                <w:sz w:val="20"/>
                <w:szCs w:val="20"/>
                <w14:textFill>
                  <w14:solidFill>
                    <w14:schemeClr w14:val="tx1"/>
                  </w14:solidFill>
                </w14:textFill>
              </w:rPr>
              <w:t>12,851</w:t>
            </w:r>
          </w:p>
        </w:tc>
      </w:tr>
    </w:tbl>
    <w:p>
      <w:pPr>
        <w:widowControl/>
        <w:spacing w:before="240" w:after="0" w:line="360" w:lineRule="auto"/>
        <w:ind w:left="567"/>
        <w:outlineLvl w:val="2"/>
        <w:rPr>
          <w:rFonts w:hint="eastAsia" w:ascii="仿宋" w:hAnsi="仿宋" w:eastAsia="仿宋"/>
          <w:b/>
          <w:color w:val="000000" w:themeColor="text1"/>
          <w:kern w:val="0"/>
          <w:sz w:val="28"/>
          <w:szCs w:val="28"/>
          <w14:textFill>
            <w14:solidFill>
              <w14:schemeClr w14:val="tx1"/>
            </w14:solidFill>
          </w14:textFill>
        </w:rPr>
      </w:pPr>
      <w:r>
        <w:rPr>
          <w:rFonts w:hint="eastAsia" w:ascii="仿宋" w:hAnsi="仿宋" w:eastAsia="仿宋"/>
          <w:b/>
          <w:color w:val="000000" w:themeColor="text1"/>
          <w:kern w:val="0"/>
          <w:sz w:val="28"/>
          <w:szCs w:val="28"/>
          <w14:textFill>
            <w14:solidFill>
              <w14:schemeClr w14:val="tx1"/>
            </w14:solidFill>
          </w14:textFill>
        </w:rPr>
        <w:t>2．债券发行和还本付息</w:t>
      </w:r>
    </w:p>
    <w:p>
      <w:pPr>
        <w:autoSpaceDE w:val="0"/>
        <w:autoSpaceDN w:val="0"/>
        <w:adjustRightInd w:val="0"/>
        <w:spacing w:after="0" w:line="360" w:lineRule="auto"/>
        <w:ind w:firstLine="560" w:firstLineChars="200"/>
        <w:rPr>
          <w:rFonts w:hint="eastAsia" w:ascii="仿宋" w:hAnsi="仿宋" w:eastAsia="仿宋" w:cs="楷体"/>
          <w:b/>
          <w:bCs/>
          <w:kern w:val="0"/>
          <w:sz w:val="24"/>
          <w:szCs w:val="24"/>
        </w:rPr>
      </w:pPr>
      <w:r>
        <w:rPr>
          <w:rFonts w:hint="eastAsia" w:ascii="仿宋" w:hAnsi="仿宋" w:eastAsia="仿宋" w:cs="楷体"/>
          <w:color w:val="000000" w:themeColor="text1"/>
          <w:kern w:val="0"/>
          <w:sz w:val="28"/>
          <w:szCs w:val="28"/>
          <w:lang w:val="en-GB"/>
          <w14:textFill>
            <w14:solidFill>
              <w14:schemeClr w14:val="tx1"/>
            </w14:solidFill>
          </w14:textFill>
        </w:rPr>
        <w:t>本次债券发行所涉及项目的还本付息方式为利息按半年支付，最后一次利息随本金一起支付。本项目债券本息合计</w:t>
      </w:r>
      <w:r>
        <w:rPr>
          <w:rFonts w:ascii="仿宋" w:hAnsi="仿宋" w:eastAsia="仿宋" w:cs="楷体"/>
          <w:color w:val="000000" w:themeColor="text1"/>
          <w:kern w:val="0"/>
          <w:sz w:val="28"/>
          <w:szCs w:val="28"/>
          <w:lang w:val="en-GB"/>
          <w14:textFill>
            <w14:solidFill>
              <w14:schemeClr w14:val="tx1"/>
            </w14:solidFill>
          </w14:textFill>
        </w:rPr>
        <w:t>1,176</w:t>
      </w:r>
      <w:r>
        <w:rPr>
          <w:rFonts w:hint="eastAsia" w:ascii="仿宋" w:hAnsi="仿宋" w:eastAsia="仿宋" w:cs="楷体"/>
          <w:color w:val="000000" w:themeColor="text1"/>
          <w:kern w:val="0"/>
          <w:sz w:val="28"/>
          <w:szCs w:val="28"/>
          <w:lang w:val="en-GB"/>
          <w14:textFill>
            <w14:solidFill>
              <w14:schemeClr w14:val="tx1"/>
            </w14:solidFill>
          </w14:textFill>
        </w:rPr>
        <w:t>万元。债券存续期还本付息情况详见下表4</w:t>
      </w:r>
      <w:r>
        <w:rPr>
          <w:rFonts w:ascii="仿宋" w:hAnsi="仿宋" w:eastAsia="仿宋" w:cs="楷体"/>
          <w:color w:val="000000" w:themeColor="text1"/>
          <w:kern w:val="0"/>
          <w:sz w:val="28"/>
          <w:szCs w:val="28"/>
          <w:lang w:val="en-GB"/>
          <w14:textFill>
            <w14:solidFill>
              <w14:schemeClr w14:val="tx1"/>
            </w14:solidFill>
          </w14:textFill>
        </w:rPr>
        <w:t>：</w:t>
      </w:r>
    </w:p>
    <w:p>
      <w:pPr>
        <w:spacing w:after="0" w:line="240" w:lineRule="auto"/>
        <w:jc w:val="center"/>
        <w:rPr>
          <w:rFonts w:hint="eastAsia" w:ascii="仿宋" w:hAnsi="仿宋" w:eastAsia="仿宋" w:cs="楷体"/>
          <w:b/>
          <w:bCs/>
          <w:kern w:val="0"/>
          <w:sz w:val="24"/>
          <w:szCs w:val="24"/>
        </w:rPr>
      </w:pPr>
      <w:r>
        <w:rPr>
          <w:rFonts w:ascii="仿宋" w:hAnsi="仿宋" w:eastAsia="仿宋" w:cs="楷体"/>
          <w:b/>
          <w:bCs/>
          <w:kern w:val="0"/>
          <w:sz w:val="24"/>
          <w:szCs w:val="24"/>
        </w:rPr>
        <w:t>表</w:t>
      </w:r>
      <w:r>
        <w:rPr>
          <w:rFonts w:hint="eastAsia" w:ascii="仿宋" w:hAnsi="仿宋" w:eastAsia="仿宋" w:cs="楷体"/>
          <w:b/>
          <w:bCs/>
          <w:kern w:val="0"/>
          <w:sz w:val="24"/>
          <w:szCs w:val="24"/>
        </w:rPr>
        <w:t>4</w:t>
      </w:r>
      <w:r>
        <w:rPr>
          <w:rFonts w:ascii="仿宋" w:hAnsi="仿宋" w:eastAsia="仿宋" w:cs="楷体"/>
          <w:b/>
          <w:bCs/>
          <w:kern w:val="0"/>
          <w:sz w:val="24"/>
          <w:szCs w:val="24"/>
        </w:rPr>
        <w:t xml:space="preserve"> </w:t>
      </w:r>
      <w:r>
        <w:rPr>
          <w:rFonts w:hint="eastAsia" w:ascii="仿宋" w:hAnsi="仿宋" w:eastAsia="仿宋" w:cs="楷体"/>
          <w:b/>
          <w:bCs/>
          <w:kern w:val="0"/>
          <w:sz w:val="24"/>
          <w:szCs w:val="24"/>
        </w:rPr>
        <w:t>海口江东新区城市地下管网完善工程（一期）</w:t>
      </w:r>
      <w:r>
        <w:rPr>
          <w:rFonts w:ascii="仿宋" w:hAnsi="仿宋" w:eastAsia="仿宋" w:cs="楷体"/>
          <w:b/>
          <w:bCs/>
          <w:kern w:val="0"/>
          <w:sz w:val="24"/>
          <w:szCs w:val="24"/>
        </w:rPr>
        <w:t>债券还本付息表</w:t>
      </w:r>
    </w:p>
    <w:p>
      <w:pPr>
        <w:spacing w:before="120" w:beforeLines="50" w:after="0" w:line="240" w:lineRule="auto"/>
        <w:jc w:val="right"/>
        <w:rPr>
          <w:rFonts w:hint="eastAsia" w:ascii="仿宋" w:hAnsi="仿宋" w:eastAsia="仿宋"/>
          <w:color w:val="000000"/>
          <w:sz w:val="20"/>
          <w:szCs w:val="20"/>
        </w:rPr>
      </w:pPr>
      <w:r>
        <w:rPr>
          <w:rFonts w:hint="eastAsia" w:ascii="仿宋" w:hAnsi="仿宋" w:eastAsia="仿宋"/>
          <w:color w:val="000000"/>
          <w:sz w:val="20"/>
          <w:szCs w:val="20"/>
        </w:rPr>
        <w:t>单位：人民币万元</w:t>
      </w:r>
    </w:p>
    <w:tbl>
      <w:tblPr>
        <w:tblStyle w:val="24"/>
        <w:tblW w:w="103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413"/>
        <w:gridCol w:w="747"/>
        <w:gridCol w:w="747"/>
        <w:gridCol w:w="747"/>
        <w:gridCol w:w="747"/>
        <w:gridCol w:w="747"/>
        <w:gridCol w:w="747"/>
        <w:gridCol w:w="747"/>
        <w:gridCol w:w="747"/>
        <w:gridCol w:w="747"/>
        <w:gridCol w:w="747"/>
        <w:gridCol w:w="748"/>
        <w:gridCol w:w="7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0" w:hRule="atLeast"/>
          <w:jc w:val="center"/>
        </w:trPr>
        <w:tc>
          <w:tcPr>
            <w:tcW w:w="1413" w:type="dxa"/>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项目</w:t>
            </w:r>
            <w:r>
              <w:rPr>
                <w:rFonts w:ascii="仿宋" w:hAnsi="仿宋" w:eastAsia="仿宋" w:cs="Segoe UI"/>
                <w:b/>
                <w:bCs/>
                <w:color w:val="000000" w:themeColor="text1"/>
                <w:kern w:val="0"/>
                <w:sz w:val="20"/>
                <w:szCs w:val="20"/>
                <w14:textFill>
                  <w14:solidFill>
                    <w14:schemeClr w14:val="tx1"/>
                  </w14:solidFill>
                </w14:textFill>
              </w:rPr>
              <w:t>/</w:t>
            </w:r>
            <w:r>
              <w:rPr>
                <w:rFonts w:hint="eastAsia" w:ascii="仿宋" w:hAnsi="仿宋" w:eastAsia="仿宋" w:cs="Segoe UI"/>
                <w:b/>
                <w:bCs/>
                <w:color w:val="000000" w:themeColor="text1"/>
                <w:kern w:val="0"/>
                <w:sz w:val="20"/>
                <w:szCs w:val="20"/>
                <w14:textFill>
                  <w14:solidFill>
                    <w14:schemeClr w14:val="tx1"/>
                  </w14:solidFill>
                </w14:textFill>
              </w:rPr>
              <w:t>年度</w:t>
            </w:r>
          </w:p>
        </w:tc>
        <w:tc>
          <w:tcPr>
            <w:tcW w:w="747" w:type="dxa"/>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2025</w:t>
            </w:r>
          </w:p>
        </w:tc>
        <w:tc>
          <w:tcPr>
            <w:tcW w:w="747" w:type="dxa"/>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2026</w:t>
            </w:r>
          </w:p>
        </w:tc>
        <w:tc>
          <w:tcPr>
            <w:tcW w:w="747" w:type="dxa"/>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2027</w:t>
            </w:r>
          </w:p>
        </w:tc>
        <w:tc>
          <w:tcPr>
            <w:tcW w:w="747" w:type="dxa"/>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2028</w:t>
            </w:r>
          </w:p>
        </w:tc>
        <w:tc>
          <w:tcPr>
            <w:tcW w:w="747" w:type="dxa"/>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2029</w:t>
            </w:r>
          </w:p>
        </w:tc>
        <w:tc>
          <w:tcPr>
            <w:tcW w:w="747" w:type="dxa"/>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2030</w:t>
            </w:r>
          </w:p>
        </w:tc>
        <w:tc>
          <w:tcPr>
            <w:tcW w:w="747" w:type="dxa"/>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2031</w:t>
            </w:r>
          </w:p>
        </w:tc>
        <w:tc>
          <w:tcPr>
            <w:tcW w:w="747" w:type="dxa"/>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2032</w:t>
            </w:r>
          </w:p>
        </w:tc>
        <w:tc>
          <w:tcPr>
            <w:tcW w:w="747" w:type="dxa"/>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2033</w:t>
            </w:r>
          </w:p>
        </w:tc>
        <w:tc>
          <w:tcPr>
            <w:tcW w:w="747" w:type="dxa"/>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2034</w:t>
            </w:r>
          </w:p>
        </w:tc>
        <w:tc>
          <w:tcPr>
            <w:tcW w:w="748" w:type="dxa"/>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2035</w:t>
            </w:r>
          </w:p>
        </w:tc>
        <w:tc>
          <w:tcPr>
            <w:tcW w:w="748" w:type="dxa"/>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1413" w:type="dxa"/>
            <w:shd w:val="clear" w:color="auto" w:fill="auto"/>
            <w:vAlign w:val="center"/>
          </w:tcPr>
          <w:p>
            <w:pPr>
              <w:widowControl/>
              <w:spacing w:after="0" w:line="240" w:lineRule="auto"/>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宋体"/>
                <w:color w:val="000000" w:themeColor="text1"/>
                <w:kern w:val="0"/>
                <w:sz w:val="20"/>
                <w:szCs w:val="20"/>
                <w14:textFill>
                  <w14:solidFill>
                    <w14:schemeClr w14:val="tx1"/>
                  </w14:solidFill>
                </w14:textFill>
              </w:rPr>
              <w:t>债券期初余额</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1,000</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1,000</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1,000</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1,000</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1,000</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1,000</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1,000</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1,000</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1,000</w:t>
            </w:r>
          </w:p>
        </w:tc>
        <w:tc>
          <w:tcPr>
            <w:tcW w:w="748"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1,000</w:t>
            </w:r>
          </w:p>
        </w:tc>
        <w:tc>
          <w:tcPr>
            <w:tcW w:w="748"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1413" w:type="dxa"/>
            <w:shd w:val="clear" w:color="auto" w:fill="auto"/>
            <w:vAlign w:val="center"/>
          </w:tcPr>
          <w:p>
            <w:pPr>
              <w:widowControl/>
              <w:spacing w:after="0" w:line="240" w:lineRule="auto"/>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宋体"/>
                <w:color w:val="000000" w:themeColor="text1"/>
                <w:kern w:val="0"/>
                <w:sz w:val="20"/>
                <w:szCs w:val="20"/>
                <w14:textFill>
                  <w14:solidFill>
                    <w14:schemeClr w14:val="tx1"/>
                  </w14:solidFill>
                </w14:textFill>
              </w:rPr>
              <w:t>本期发行</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1,000</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w:t>
            </w:r>
          </w:p>
        </w:tc>
        <w:tc>
          <w:tcPr>
            <w:tcW w:w="748"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w:t>
            </w:r>
          </w:p>
        </w:tc>
        <w:tc>
          <w:tcPr>
            <w:tcW w:w="748" w:type="dxa"/>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1413" w:type="dxa"/>
            <w:shd w:val="clear" w:color="auto" w:fill="auto"/>
            <w:vAlign w:val="center"/>
          </w:tcPr>
          <w:p>
            <w:pPr>
              <w:widowControl/>
              <w:spacing w:after="0" w:line="240" w:lineRule="auto"/>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宋体"/>
                <w:color w:val="000000" w:themeColor="text1"/>
                <w:kern w:val="0"/>
                <w:sz w:val="20"/>
                <w:szCs w:val="20"/>
                <w14:textFill>
                  <w14:solidFill>
                    <w14:schemeClr w14:val="tx1"/>
                  </w14:solidFill>
                </w14:textFill>
              </w:rPr>
              <w:t>利息支出</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9</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18</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18</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18</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18</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18</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18</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18</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18</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18</w:t>
            </w:r>
          </w:p>
        </w:tc>
        <w:tc>
          <w:tcPr>
            <w:tcW w:w="748"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9</w:t>
            </w:r>
          </w:p>
        </w:tc>
        <w:tc>
          <w:tcPr>
            <w:tcW w:w="748" w:type="dxa"/>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176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1413" w:type="dxa"/>
            <w:shd w:val="clear" w:color="auto" w:fill="auto"/>
            <w:vAlign w:val="center"/>
          </w:tcPr>
          <w:p>
            <w:pPr>
              <w:widowControl/>
              <w:spacing w:after="0" w:line="240" w:lineRule="auto"/>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宋体"/>
                <w:color w:val="000000" w:themeColor="text1"/>
                <w:kern w:val="0"/>
                <w:sz w:val="20"/>
                <w:szCs w:val="20"/>
                <w14:textFill>
                  <w14:solidFill>
                    <w14:schemeClr w14:val="tx1"/>
                  </w14:solidFill>
                </w14:textFill>
              </w:rPr>
              <w:t>本期还款</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9</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18</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18</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18</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18</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18</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18</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18</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18</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18</w:t>
            </w:r>
          </w:p>
        </w:tc>
        <w:tc>
          <w:tcPr>
            <w:tcW w:w="748"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1,009</w:t>
            </w:r>
          </w:p>
        </w:tc>
        <w:tc>
          <w:tcPr>
            <w:tcW w:w="748" w:type="dxa"/>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1,176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1413" w:type="dxa"/>
            <w:shd w:val="clear" w:color="auto" w:fill="auto"/>
            <w:vAlign w:val="center"/>
          </w:tcPr>
          <w:p>
            <w:pPr>
              <w:widowControl/>
              <w:spacing w:after="0" w:line="240" w:lineRule="auto"/>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宋体"/>
                <w:color w:val="000000" w:themeColor="text1"/>
                <w:kern w:val="0"/>
                <w:sz w:val="20"/>
                <w:szCs w:val="20"/>
                <w14:textFill>
                  <w14:solidFill>
                    <w14:schemeClr w14:val="tx1"/>
                  </w14:solidFill>
                </w14:textFill>
              </w:rPr>
              <w:t>其中：本金偿还</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w:t>
            </w:r>
          </w:p>
        </w:tc>
        <w:tc>
          <w:tcPr>
            <w:tcW w:w="748"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1,000</w:t>
            </w:r>
          </w:p>
        </w:tc>
        <w:tc>
          <w:tcPr>
            <w:tcW w:w="748" w:type="dxa"/>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1413" w:type="dxa"/>
            <w:shd w:val="clear" w:color="auto" w:fill="auto"/>
            <w:vAlign w:val="center"/>
          </w:tcPr>
          <w:p>
            <w:pPr>
              <w:widowControl/>
              <w:spacing w:after="0" w:line="240" w:lineRule="auto"/>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宋体"/>
                <w:color w:val="000000" w:themeColor="text1"/>
                <w:kern w:val="0"/>
                <w:sz w:val="20"/>
                <w:szCs w:val="20"/>
                <w14:textFill>
                  <w14:solidFill>
                    <w14:schemeClr w14:val="tx1"/>
                  </w14:solidFill>
                </w14:textFill>
              </w:rPr>
              <w:t>其中：付息</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9</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18</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18</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18</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18</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18</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18</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18</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18</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18</w:t>
            </w:r>
          </w:p>
        </w:tc>
        <w:tc>
          <w:tcPr>
            <w:tcW w:w="748"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9</w:t>
            </w:r>
          </w:p>
        </w:tc>
        <w:tc>
          <w:tcPr>
            <w:tcW w:w="748" w:type="dxa"/>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176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1413" w:type="dxa"/>
            <w:shd w:val="clear" w:color="auto" w:fill="auto"/>
            <w:vAlign w:val="center"/>
          </w:tcPr>
          <w:p>
            <w:pPr>
              <w:widowControl/>
              <w:spacing w:after="0" w:line="240" w:lineRule="auto"/>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宋体"/>
                <w:color w:val="000000" w:themeColor="text1"/>
                <w:kern w:val="0"/>
                <w:sz w:val="20"/>
                <w:szCs w:val="20"/>
                <w14:textFill>
                  <w14:solidFill>
                    <w14:schemeClr w14:val="tx1"/>
                  </w14:solidFill>
                </w14:textFill>
              </w:rPr>
              <w:t>债券期末余额</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1,000</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1,000</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1,000</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1,000</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1,000</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1,000</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1,000</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1,000</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1,000</w:t>
            </w:r>
          </w:p>
        </w:tc>
        <w:tc>
          <w:tcPr>
            <w:tcW w:w="747"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1,000</w:t>
            </w:r>
          </w:p>
        </w:tc>
        <w:tc>
          <w:tcPr>
            <w:tcW w:w="748"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w:t>
            </w:r>
          </w:p>
        </w:tc>
        <w:tc>
          <w:tcPr>
            <w:tcW w:w="748"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p>
        </w:tc>
      </w:tr>
    </w:tbl>
    <w:p>
      <w:pPr>
        <w:widowControl/>
        <w:spacing w:before="240" w:after="0" w:line="360" w:lineRule="auto"/>
        <w:ind w:left="567"/>
        <w:outlineLvl w:val="2"/>
        <w:rPr>
          <w:rFonts w:hint="eastAsia" w:ascii="仿宋" w:hAnsi="仿宋" w:eastAsia="仿宋"/>
          <w:b/>
          <w:color w:val="000000" w:themeColor="text1"/>
          <w:kern w:val="0"/>
          <w:sz w:val="28"/>
          <w:szCs w:val="28"/>
          <w14:textFill>
            <w14:solidFill>
              <w14:schemeClr w14:val="tx1"/>
            </w14:solidFill>
          </w14:textFill>
        </w:rPr>
      </w:pPr>
      <w:r>
        <w:rPr>
          <w:rFonts w:hint="eastAsia" w:ascii="仿宋" w:hAnsi="仿宋" w:eastAsia="仿宋"/>
          <w:b/>
          <w:color w:val="000000" w:themeColor="text1"/>
          <w:kern w:val="0"/>
          <w:sz w:val="28"/>
          <w:szCs w:val="28"/>
          <w14:textFill>
            <w14:solidFill>
              <w14:schemeClr w14:val="tx1"/>
            </w14:solidFill>
          </w14:textFill>
        </w:rPr>
        <w:t>3．</w:t>
      </w:r>
      <w:r>
        <w:rPr>
          <w:rFonts w:ascii="仿宋" w:hAnsi="仿宋" w:eastAsia="仿宋"/>
          <w:b/>
          <w:color w:val="000000" w:themeColor="text1"/>
          <w:kern w:val="0"/>
          <w:sz w:val="28"/>
          <w:szCs w:val="28"/>
          <w14:textFill>
            <w14:solidFill>
              <w14:schemeClr w14:val="tx1"/>
            </w14:solidFill>
          </w14:textFill>
        </w:rPr>
        <w:t>发债项目盈利能力、偿债能力和可持续性</w:t>
      </w:r>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lang w:val="en-GB"/>
          <w14:textFill>
            <w14:solidFill>
              <w14:schemeClr w14:val="tx1"/>
            </w14:solidFill>
          </w14:textFill>
        </w:rPr>
      </w:pPr>
      <w:bookmarkStart w:id="19" w:name="_Hlk158034097"/>
      <w:bookmarkStart w:id="20" w:name="_Hlk104503917"/>
      <w:r>
        <w:rPr>
          <w:rFonts w:hint="eastAsia" w:ascii="仿宋" w:hAnsi="仿宋" w:eastAsia="仿宋" w:cs="楷体"/>
          <w:color w:val="000000" w:themeColor="text1"/>
          <w:kern w:val="0"/>
          <w:sz w:val="28"/>
          <w:szCs w:val="28"/>
          <w:lang w:val="en-GB"/>
          <w14:textFill>
            <w14:solidFill>
              <w14:schemeClr w14:val="tx1"/>
            </w14:solidFill>
          </w14:textFill>
        </w:rPr>
        <w:t>海口江东新区城市地下管网完善工程（一期）累计资金筹措总额12,851万元，其中，自筹资金11,851万元，通过发行专项债券筹集资金1,000万元。本项目的自筹资金由政府通过财政资金统筹安排。本项目</w:t>
      </w:r>
      <w:r>
        <w:rPr>
          <w:rFonts w:ascii="仿宋" w:hAnsi="仿宋" w:eastAsia="仿宋" w:cs="楷体"/>
          <w:color w:val="000000" w:themeColor="text1"/>
          <w:kern w:val="0"/>
          <w:sz w:val="28"/>
          <w:szCs w:val="28"/>
          <w:lang w:val="en-GB"/>
          <w14:textFill>
            <w14:solidFill>
              <w14:schemeClr w14:val="tx1"/>
            </w14:solidFill>
          </w14:textFill>
        </w:rPr>
        <w:t>年度投资计划及资金筹措方案详见</w:t>
      </w:r>
      <w:r>
        <w:rPr>
          <w:rFonts w:hint="eastAsia" w:ascii="仿宋" w:hAnsi="仿宋" w:eastAsia="仿宋" w:cs="楷体"/>
          <w:color w:val="000000" w:themeColor="text1"/>
          <w:kern w:val="0"/>
          <w:sz w:val="28"/>
          <w:szCs w:val="28"/>
          <w:lang w:val="en-GB"/>
          <w14:textFill>
            <w14:solidFill>
              <w14:schemeClr w14:val="tx1"/>
            </w14:solidFill>
          </w14:textFill>
        </w:rPr>
        <w:t>下</w:t>
      </w:r>
      <w:r>
        <w:rPr>
          <w:rFonts w:ascii="仿宋" w:hAnsi="仿宋" w:eastAsia="仿宋" w:cs="楷体"/>
          <w:color w:val="000000" w:themeColor="text1"/>
          <w:kern w:val="0"/>
          <w:sz w:val="28"/>
          <w:szCs w:val="28"/>
          <w:lang w:val="en-GB"/>
          <w14:textFill>
            <w14:solidFill>
              <w14:schemeClr w14:val="tx1"/>
            </w14:solidFill>
          </w14:textFill>
        </w:rPr>
        <w:t>表</w:t>
      </w:r>
      <w:r>
        <w:rPr>
          <w:rFonts w:hint="eastAsia" w:ascii="仿宋" w:hAnsi="仿宋" w:eastAsia="仿宋" w:cs="楷体"/>
          <w:color w:val="000000" w:themeColor="text1"/>
          <w:kern w:val="0"/>
          <w:sz w:val="28"/>
          <w:szCs w:val="28"/>
          <w:lang w:val="en-GB"/>
          <w14:textFill>
            <w14:solidFill>
              <w14:schemeClr w14:val="tx1"/>
            </w14:solidFill>
          </w14:textFill>
        </w:rPr>
        <w:t>5</w:t>
      </w:r>
      <w:r>
        <w:rPr>
          <w:rFonts w:ascii="仿宋" w:hAnsi="仿宋" w:eastAsia="仿宋" w:cs="楷体"/>
          <w:color w:val="000000" w:themeColor="text1"/>
          <w:kern w:val="0"/>
          <w:sz w:val="28"/>
          <w:szCs w:val="28"/>
          <w:lang w:val="en-GB"/>
          <w14:textFill>
            <w14:solidFill>
              <w14:schemeClr w14:val="tx1"/>
            </w14:solidFill>
          </w14:textFill>
        </w:rPr>
        <w:t>，项目</w:t>
      </w:r>
      <w:r>
        <w:rPr>
          <w:rFonts w:hint="eastAsia" w:ascii="仿宋" w:hAnsi="仿宋" w:eastAsia="仿宋" w:cs="楷体"/>
          <w:color w:val="000000" w:themeColor="text1"/>
          <w:kern w:val="0"/>
          <w:sz w:val="28"/>
          <w:szCs w:val="28"/>
          <w:lang w:val="en-GB"/>
          <w14:textFill>
            <w14:solidFill>
              <w14:schemeClr w14:val="tx1"/>
            </w14:solidFill>
          </w14:textFill>
        </w:rPr>
        <w:t>现金流模拟测算表</w:t>
      </w:r>
      <w:r>
        <w:rPr>
          <w:rFonts w:ascii="仿宋" w:hAnsi="仿宋" w:eastAsia="仿宋" w:cs="楷体"/>
          <w:color w:val="000000" w:themeColor="text1"/>
          <w:kern w:val="0"/>
          <w:sz w:val="28"/>
          <w:szCs w:val="28"/>
          <w:lang w:val="en-GB"/>
          <w14:textFill>
            <w14:solidFill>
              <w14:schemeClr w14:val="tx1"/>
            </w14:solidFill>
          </w14:textFill>
        </w:rPr>
        <w:t>详见</w:t>
      </w:r>
      <w:r>
        <w:rPr>
          <w:rFonts w:hint="eastAsia" w:ascii="仿宋" w:hAnsi="仿宋" w:eastAsia="仿宋" w:cs="楷体"/>
          <w:color w:val="000000" w:themeColor="text1"/>
          <w:kern w:val="0"/>
          <w:sz w:val="28"/>
          <w:szCs w:val="28"/>
          <w:lang w:val="en-GB"/>
          <w14:textFill>
            <w14:solidFill>
              <w14:schemeClr w14:val="tx1"/>
            </w14:solidFill>
          </w14:textFill>
        </w:rPr>
        <w:t>下</w:t>
      </w:r>
      <w:r>
        <w:rPr>
          <w:rFonts w:ascii="仿宋" w:hAnsi="仿宋" w:eastAsia="仿宋" w:cs="楷体"/>
          <w:color w:val="000000" w:themeColor="text1"/>
          <w:kern w:val="0"/>
          <w:sz w:val="28"/>
          <w:szCs w:val="28"/>
          <w:lang w:val="en-GB"/>
          <w14:textFill>
            <w14:solidFill>
              <w14:schemeClr w14:val="tx1"/>
            </w14:solidFill>
          </w14:textFill>
        </w:rPr>
        <w:t>表</w:t>
      </w:r>
      <w:r>
        <w:rPr>
          <w:rFonts w:hint="eastAsia" w:ascii="仿宋" w:hAnsi="仿宋" w:eastAsia="仿宋" w:cs="楷体"/>
          <w:color w:val="000000" w:themeColor="text1"/>
          <w:kern w:val="0"/>
          <w:sz w:val="28"/>
          <w:szCs w:val="28"/>
          <w:lang w:val="en-GB"/>
          <w14:textFill>
            <w14:solidFill>
              <w14:schemeClr w14:val="tx1"/>
            </w14:solidFill>
          </w14:textFill>
        </w:rPr>
        <w:t>6</w:t>
      </w:r>
      <w:r>
        <w:rPr>
          <w:rFonts w:ascii="仿宋" w:hAnsi="仿宋" w:eastAsia="仿宋" w:cs="楷体"/>
          <w:color w:val="000000" w:themeColor="text1"/>
          <w:kern w:val="0"/>
          <w:sz w:val="28"/>
          <w:szCs w:val="28"/>
          <w:lang w:val="en-GB"/>
          <w14:textFill>
            <w14:solidFill>
              <w14:schemeClr w14:val="tx1"/>
            </w14:solidFill>
          </w14:textFill>
        </w:rPr>
        <w:t>：</w:t>
      </w:r>
    </w:p>
    <w:bookmarkEnd w:id="19"/>
    <w:p>
      <w:pPr>
        <w:spacing w:after="0" w:line="240" w:lineRule="auto"/>
        <w:jc w:val="center"/>
        <w:rPr>
          <w:rFonts w:hint="eastAsia" w:ascii="仿宋" w:hAnsi="仿宋" w:eastAsia="仿宋"/>
          <w:b/>
          <w:sz w:val="24"/>
          <w:szCs w:val="24"/>
        </w:rPr>
      </w:pPr>
      <w:r>
        <w:rPr>
          <w:rFonts w:ascii="仿宋" w:hAnsi="仿宋" w:eastAsia="仿宋"/>
          <w:b/>
          <w:sz w:val="24"/>
          <w:szCs w:val="24"/>
        </w:rPr>
        <w:t>表</w:t>
      </w:r>
      <w:r>
        <w:rPr>
          <w:rFonts w:hint="eastAsia" w:ascii="仿宋" w:hAnsi="仿宋" w:eastAsia="仿宋"/>
          <w:b/>
          <w:sz w:val="24"/>
          <w:szCs w:val="24"/>
        </w:rPr>
        <w:t>5</w:t>
      </w:r>
      <w:r>
        <w:rPr>
          <w:rFonts w:ascii="仿宋" w:hAnsi="仿宋" w:eastAsia="仿宋"/>
          <w:b/>
          <w:sz w:val="24"/>
          <w:szCs w:val="24"/>
        </w:rPr>
        <w:t xml:space="preserve"> </w:t>
      </w:r>
      <w:r>
        <w:rPr>
          <w:rFonts w:hint="eastAsia" w:ascii="仿宋" w:hAnsi="仿宋" w:eastAsia="仿宋"/>
          <w:b/>
          <w:sz w:val="24"/>
          <w:szCs w:val="24"/>
        </w:rPr>
        <w:t>海口江东新区城市地下管网完善工程（一期）</w:t>
      </w:r>
      <w:r>
        <w:rPr>
          <w:rFonts w:ascii="仿宋" w:hAnsi="仿宋" w:eastAsia="仿宋"/>
          <w:b/>
          <w:sz w:val="24"/>
          <w:szCs w:val="24"/>
        </w:rPr>
        <w:t>投资计划及资金筹措表</w:t>
      </w:r>
    </w:p>
    <w:p>
      <w:pPr>
        <w:spacing w:before="120" w:beforeLines="50" w:after="0" w:line="240" w:lineRule="auto"/>
        <w:jc w:val="right"/>
        <w:rPr>
          <w:rFonts w:hint="eastAsia" w:ascii="仿宋" w:hAnsi="仿宋" w:eastAsia="仿宋"/>
          <w:color w:val="000000"/>
          <w:sz w:val="20"/>
          <w:szCs w:val="20"/>
        </w:rPr>
      </w:pPr>
      <w:r>
        <w:rPr>
          <w:rFonts w:ascii="仿宋" w:hAnsi="仿宋" w:eastAsia="仿宋"/>
          <w:sz w:val="20"/>
          <w:szCs w:val="20"/>
        </w:rPr>
        <w:t>单</w:t>
      </w:r>
      <w:r>
        <w:rPr>
          <w:rFonts w:ascii="仿宋" w:hAnsi="仿宋" w:eastAsia="仿宋"/>
          <w:color w:val="000000"/>
          <w:sz w:val="20"/>
          <w:szCs w:val="20"/>
        </w:rPr>
        <w:t>位：人民币万元</w:t>
      </w:r>
    </w:p>
    <w:bookmarkEnd w:id="20"/>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795"/>
        <w:gridCol w:w="2763"/>
        <w:gridCol w:w="1700"/>
        <w:gridCol w:w="1700"/>
        <w:gridCol w:w="16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5" w:hRule="atLeast"/>
        </w:trPr>
        <w:tc>
          <w:tcPr>
            <w:tcW w:w="459" w:type="pct"/>
            <w:shd w:val="clear" w:color="auto" w:fill="auto"/>
            <w:vAlign w:val="center"/>
          </w:tcPr>
          <w:p>
            <w:pPr>
              <w:widowControl/>
              <w:spacing w:after="0" w:line="240" w:lineRule="auto"/>
              <w:jc w:val="center"/>
              <w:textAlignment w:val="baseline"/>
              <w:rPr>
                <w:rFonts w:hint="eastAsia" w:ascii="仿宋" w:hAnsi="仿宋" w:eastAsia="仿宋" w:cs="Segoe UI"/>
                <w:color w:val="000000" w:themeColor="text1"/>
                <w:kern w:val="0"/>
                <w:sz w:val="18"/>
                <w:szCs w:val="18"/>
                <w14:textFill>
                  <w14:solidFill>
                    <w14:schemeClr w14:val="tx1"/>
                  </w14:solidFill>
                </w14:textFill>
              </w:rPr>
            </w:pPr>
            <w:bookmarkStart w:id="21" w:name="_Hlk134620579"/>
            <w:r>
              <w:rPr>
                <w:rFonts w:hint="eastAsia" w:ascii="仿宋" w:hAnsi="仿宋" w:eastAsia="仿宋" w:cs="Segoe UI"/>
                <w:b/>
                <w:bCs/>
                <w:color w:val="000000" w:themeColor="text1"/>
                <w:kern w:val="0"/>
                <w:sz w:val="20"/>
                <w:szCs w:val="20"/>
                <w14:textFill>
                  <w14:solidFill>
                    <w14:schemeClr w14:val="tx1"/>
                  </w14:solidFill>
                </w14:textFill>
              </w:rPr>
              <w:t>序号</w:t>
            </w:r>
          </w:p>
        </w:tc>
        <w:tc>
          <w:tcPr>
            <w:tcW w:w="1596" w:type="pct"/>
            <w:shd w:val="clear" w:color="auto" w:fill="auto"/>
            <w:vAlign w:val="center"/>
          </w:tcPr>
          <w:p>
            <w:pPr>
              <w:widowControl/>
              <w:spacing w:after="0" w:line="240" w:lineRule="auto"/>
              <w:jc w:val="center"/>
              <w:textAlignment w:val="baseline"/>
              <w:rPr>
                <w:rFonts w:hint="eastAsia" w:ascii="仿宋" w:hAnsi="仿宋" w:eastAsia="仿宋" w:cs="Segoe UI"/>
                <w:color w:val="000000" w:themeColor="text1"/>
                <w:kern w:val="0"/>
                <w:sz w:val="18"/>
                <w:szCs w:val="18"/>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名称</w:t>
            </w:r>
          </w:p>
        </w:tc>
        <w:tc>
          <w:tcPr>
            <w:tcW w:w="982" w:type="pct"/>
            <w:shd w:val="clear" w:color="auto" w:fill="auto"/>
            <w:vAlign w:val="center"/>
          </w:tcPr>
          <w:p>
            <w:pPr>
              <w:widowControl/>
              <w:spacing w:after="0" w:line="240" w:lineRule="auto"/>
              <w:jc w:val="center"/>
              <w:textAlignment w:val="baseline"/>
              <w:rPr>
                <w:rFonts w:hint="eastAsia" w:ascii="仿宋" w:hAnsi="仿宋" w:eastAsia="仿宋" w:cs="Segoe UI"/>
                <w:color w:val="000000" w:themeColor="text1"/>
                <w:kern w:val="0"/>
                <w:sz w:val="18"/>
                <w:szCs w:val="18"/>
                <w14:textFill>
                  <w14:solidFill>
                    <w14:schemeClr w14:val="tx1"/>
                  </w14:solidFill>
                </w14:textFill>
              </w:rPr>
            </w:pPr>
            <w:r>
              <w:rPr>
                <w:rFonts w:ascii="仿宋" w:hAnsi="仿宋" w:eastAsia="仿宋" w:cs="Segoe UI"/>
                <w:b/>
                <w:bCs/>
                <w:color w:val="000000" w:themeColor="text1"/>
                <w:kern w:val="0"/>
                <w:sz w:val="20"/>
                <w:szCs w:val="20"/>
                <w14:textFill>
                  <w14:solidFill>
                    <w14:schemeClr w14:val="tx1"/>
                  </w14:solidFill>
                </w14:textFill>
              </w:rPr>
              <w:t>202</w:t>
            </w:r>
            <w:r>
              <w:rPr>
                <w:rFonts w:hint="eastAsia" w:ascii="仿宋" w:hAnsi="仿宋" w:eastAsia="仿宋" w:cs="Segoe UI"/>
                <w:b/>
                <w:bCs/>
                <w:color w:val="000000" w:themeColor="text1"/>
                <w:kern w:val="0"/>
                <w:sz w:val="20"/>
                <w:szCs w:val="20"/>
                <w14:textFill>
                  <w14:solidFill>
                    <w14:schemeClr w14:val="tx1"/>
                  </w14:solidFill>
                </w14:textFill>
              </w:rPr>
              <w:t>5</w:t>
            </w:r>
          </w:p>
        </w:tc>
        <w:tc>
          <w:tcPr>
            <w:tcW w:w="982" w:type="pct"/>
            <w:shd w:val="clear" w:color="auto" w:fill="auto"/>
            <w:vAlign w:val="center"/>
          </w:tcPr>
          <w:p>
            <w:pPr>
              <w:widowControl/>
              <w:spacing w:after="0" w:line="240" w:lineRule="auto"/>
              <w:jc w:val="center"/>
              <w:textAlignment w:val="baseline"/>
              <w:rPr>
                <w:rFonts w:hint="eastAsia" w:ascii="仿宋" w:hAnsi="仿宋" w:eastAsia="仿宋" w:cs="Segoe UI"/>
                <w:color w:val="000000" w:themeColor="text1"/>
                <w:kern w:val="0"/>
                <w:sz w:val="18"/>
                <w:szCs w:val="18"/>
                <w14:textFill>
                  <w14:solidFill>
                    <w14:schemeClr w14:val="tx1"/>
                  </w14:solidFill>
                </w14:textFill>
              </w:rPr>
            </w:pPr>
            <w:r>
              <w:rPr>
                <w:rFonts w:ascii="仿宋" w:hAnsi="仿宋" w:eastAsia="仿宋" w:cs="Segoe UI"/>
                <w:b/>
                <w:bCs/>
                <w:color w:val="000000" w:themeColor="text1"/>
                <w:kern w:val="0"/>
                <w:sz w:val="20"/>
                <w:szCs w:val="20"/>
                <w14:textFill>
                  <w14:solidFill>
                    <w14:schemeClr w14:val="tx1"/>
                  </w14:solidFill>
                </w14:textFill>
              </w:rPr>
              <w:t>202</w:t>
            </w:r>
            <w:r>
              <w:rPr>
                <w:rFonts w:hint="eastAsia" w:ascii="仿宋" w:hAnsi="仿宋" w:eastAsia="仿宋" w:cs="Segoe UI"/>
                <w:b/>
                <w:bCs/>
                <w:color w:val="000000" w:themeColor="text1"/>
                <w:kern w:val="0"/>
                <w:sz w:val="20"/>
                <w:szCs w:val="20"/>
                <w14:textFill>
                  <w14:solidFill>
                    <w14:schemeClr w14:val="tx1"/>
                  </w14:solidFill>
                </w14:textFill>
              </w:rPr>
              <w:t>6</w:t>
            </w:r>
          </w:p>
        </w:tc>
        <w:tc>
          <w:tcPr>
            <w:tcW w:w="982" w:type="pct"/>
            <w:shd w:val="clear" w:color="auto" w:fill="auto"/>
            <w:vAlign w:val="center"/>
          </w:tcPr>
          <w:p>
            <w:pPr>
              <w:widowControl/>
              <w:spacing w:after="0" w:line="240" w:lineRule="auto"/>
              <w:jc w:val="center"/>
              <w:textAlignment w:val="baseline"/>
              <w:rPr>
                <w:rFonts w:hint="eastAsia" w:ascii="仿宋" w:hAnsi="仿宋" w:eastAsia="仿宋" w:cs="Segoe UI"/>
                <w:color w:val="000000" w:themeColor="text1"/>
                <w:kern w:val="0"/>
                <w:sz w:val="18"/>
                <w:szCs w:val="18"/>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5" w:hRule="atLeast"/>
        </w:trPr>
        <w:tc>
          <w:tcPr>
            <w:tcW w:w="459" w:type="pct"/>
            <w:shd w:val="clear" w:color="auto" w:fill="auto"/>
            <w:vAlign w:val="center"/>
          </w:tcPr>
          <w:p>
            <w:pPr>
              <w:widowControl/>
              <w:spacing w:after="0" w:line="240" w:lineRule="auto"/>
              <w:jc w:val="center"/>
              <w:textAlignment w:val="baseline"/>
              <w:rPr>
                <w:rFonts w:hint="eastAsia" w:ascii="仿宋" w:hAnsi="仿宋" w:eastAsia="仿宋" w:cs="Segoe UI"/>
                <w:color w:val="000000" w:themeColor="text1"/>
                <w:kern w:val="0"/>
                <w:sz w:val="18"/>
                <w:szCs w:val="18"/>
                <w14:textFill>
                  <w14:solidFill>
                    <w14:schemeClr w14:val="tx1"/>
                  </w14:solidFill>
                </w14:textFill>
              </w:rPr>
            </w:pPr>
            <w:r>
              <w:rPr>
                <w:rFonts w:ascii="仿宋" w:hAnsi="仿宋" w:eastAsia="仿宋" w:cs="Segoe UI"/>
                <w:color w:val="000000" w:themeColor="text1"/>
                <w:kern w:val="0"/>
                <w:sz w:val="20"/>
                <w:szCs w:val="20"/>
                <w14:textFill>
                  <w14:solidFill>
                    <w14:schemeClr w14:val="tx1"/>
                  </w14:solidFill>
                </w14:textFill>
              </w:rPr>
              <w:t>1</w:t>
            </w:r>
          </w:p>
        </w:tc>
        <w:tc>
          <w:tcPr>
            <w:tcW w:w="1596" w:type="pct"/>
            <w:shd w:val="clear" w:color="auto" w:fill="auto"/>
            <w:vAlign w:val="center"/>
          </w:tcPr>
          <w:p>
            <w:pPr>
              <w:widowControl/>
              <w:spacing w:after="0" w:line="240" w:lineRule="auto"/>
              <w:jc w:val="left"/>
              <w:textAlignment w:val="baseline"/>
              <w:rPr>
                <w:rFonts w:hint="eastAsia" w:ascii="仿宋" w:hAnsi="仿宋" w:eastAsia="仿宋" w:cs="Segoe UI"/>
                <w:color w:val="000000" w:themeColor="text1"/>
                <w:kern w:val="0"/>
                <w:sz w:val="18"/>
                <w:szCs w:val="18"/>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自筹资</w:t>
            </w:r>
            <w:r>
              <w:rPr>
                <w:rFonts w:hint="eastAsia" w:ascii="仿宋" w:hAnsi="仿宋" w:eastAsia="仿宋" w:cs="Calibri Light"/>
                <w:color w:val="000000" w:themeColor="text1"/>
                <w:kern w:val="0"/>
                <w:sz w:val="20"/>
                <w:szCs w:val="20"/>
                <w14:textFill>
                  <w14:solidFill>
                    <w14:schemeClr w14:val="tx1"/>
                  </w14:solidFill>
                </w14:textFill>
              </w:rPr>
              <w:t>金</w:t>
            </w:r>
          </w:p>
        </w:tc>
        <w:tc>
          <w:tcPr>
            <w:tcW w:w="982"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18"/>
                <w:szCs w:val="18"/>
                <w14:textFill>
                  <w14:solidFill>
                    <w14:schemeClr w14:val="tx1"/>
                  </w14:solidFill>
                </w14:textFill>
              </w:rPr>
            </w:pPr>
            <w:r>
              <w:rPr>
                <w:rFonts w:ascii="仿宋" w:hAnsi="仿宋" w:eastAsia="仿宋" w:cs="Arial"/>
                <w:color w:val="000000" w:themeColor="text1"/>
                <w:kern w:val="0"/>
                <w:sz w:val="20"/>
                <w:szCs w:val="20"/>
                <w14:textFill>
                  <w14:solidFill>
                    <w14:schemeClr w14:val="tx1"/>
                  </w14:solidFill>
                </w14:textFill>
              </w:rPr>
              <w:t>6,752</w:t>
            </w:r>
          </w:p>
        </w:tc>
        <w:tc>
          <w:tcPr>
            <w:tcW w:w="982"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s="Arial"/>
                <w:color w:val="000000" w:themeColor="text1"/>
                <w:kern w:val="0"/>
                <w:sz w:val="20"/>
                <w:szCs w:val="20"/>
                <w14:textFill>
                  <w14:solidFill>
                    <w14:schemeClr w14:val="tx1"/>
                  </w14:solidFill>
                </w14:textFill>
              </w:rPr>
              <w:t>5,100</w:t>
            </w:r>
          </w:p>
        </w:tc>
        <w:tc>
          <w:tcPr>
            <w:tcW w:w="98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Arial"/>
                <w:b/>
                <w:bCs/>
                <w:color w:val="000000" w:themeColor="text1"/>
                <w:kern w:val="0"/>
                <w:sz w:val="20"/>
                <w:szCs w:val="20"/>
                <w14:textFill>
                  <w14:solidFill>
                    <w14:schemeClr w14:val="tx1"/>
                  </w14:solidFill>
                </w14:textFill>
              </w:rPr>
              <w:t>11,851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5" w:hRule="atLeast"/>
        </w:trPr>
        <w:tc>
          <w:tcPr>
            <w:tcW w:w="459" w:type="pct"/>
            <w:shd w:val="clear" w:color="auto" w:fill="auto"/>
            <w:vAlign w:val="center"/>
          </w:tcPr>
          <w:p>
            <w:pPr>
              <w:widowControl/>
              <w:spacing w:after="0" w:line="240" w:lineRule="auto"/>
              <w:jc w:val="center"/>
              <w:textAlignment w:val="baseline"/>
              <w:rPr>
                <w:rFonts w:hint="eastAsia" w:ascii="仿宋" w:hAnsi="仿宋" w:eastAsia="仿宋" w:cs="Segoe UI"/>
                <w:color w:val="000000" w:themeColor="text1"/>
                <w:kern w:val="0"/>
                <w:sz w:val="18"/>
                <w:szCs w:val="18"/>
                <w14:textFill>
                  <w14:solidFill>
                    <w14:schemeClr w14:val="tx1"/>
                  </w14:solidFill>
                </w14:textFill>
              </w:rPr>
            </w:pPr>
            <w:r>
              <w:rPr>
                <w:rFonts w:ascii="仿宋" w:hAnsi="仿宋" w:eastAsia="仿宋" w:cs="Segoe UI"/>
                <w:color w:val="000000" w:themeColor="text1"/>
                <w:kern w:val="0"/>
                <w:sz w:val="20"/>
                <w:szCs w:val="20"/>
                <w14:textFill>
                  <w14:solidFill>
                    <w14:schemeClr w14:val="tx1"/>
                  </w14:solidFill>
                </w14:textFill>
              </w:rPr>
              <w:t>2</w:t>
            </w:r>
          </w:p>
        </w:tc>
        <w:tc>
          <w:tcPr>
            <w:tcW w:w="1596" w:type="pct"/>
            <w:shd w:val="clear" w:color="auto" w:fill="auto"/>
            <w:vAlign w:val="center"/>
          </w:tcPr>
          <w:p>
            <w:pPr>
              <w:widowControl/>
              <w:spacing w:after="0" w:line="240" w:lineRule="auto"/>
              <w:jc w:val="left"/>
              <w:textAlignment w:val="baseline"/>
              <w:rPr>
                <w:rFonts w:hint="eastAsia" w:ascii="仿宋" w:hAnsi="仿宋" w:eastAsia="仿宋" w:cs="Segoe UI"/>
                <w:color w:val="000000" w:themeColor="text1"/>
                <w:kern w:val="0"/>
                <w:sz w:val="18"/>
                <w:szCs w:val="18"/>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债券发行</w:t>
            </w:r>
          </w:p>
        </w:tc>
        <w:tc>
          <w:tcPr>
            <w:tcW w:w="982"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18"/>
                <w:szCs w:val="18"/>
                <w14:textFill>
                  <w14:solidFill>
                    <w14:schemeClr w14:val="tx1"/>
                  </w14:solidFill>
                </w14:textFill>
              </w:rPr>
            </w:pPr>
            <w:r>
              <w:rPr>
                <w:rFonts w:ascii="仿宋" w:hAnsi="仿宋" w:eastAsia="仿宋" w:cs="Arial"/>
                <w:color w:val="000000" w:themeColor="text1"/>
                <w:kern w:val="0"/>
                <w:sz w:val="20"/>
                <w:szCs w:val="20"/>
                <w14:textFill>
                  <w14:solidFill>
                    <w14:schemeClr w14:val="tx1"/>
                  </w14:solidFill>
                </w14:textFill>
              </w:rPr>
              <w:t>1,000</w:t>
            </w:r>
          </w:p>
        </w:tc>
        <w:tc>
          <w:tcPr>
            <w:tcW w:w="982"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s="Arial"/>
                <w:color w:val="000000" w:themeColor="text1"/>
                <w:kern w:val="0"/>
                <w:sz w:val="20"/>
                <w:szCs w:val="20"/>
                <w14:textFill>
                  <w14:solidFill>
                    <w14:schemeClr w14:val="tx1"/>
                  </w14:solidFill>
                </w14:textFill>
              </w:rPr>
              <w:t>-</w:t>
            </w:r>
          </w:p>
        </w:tc>
        <w:tc>
          <w:tcPr>
            <w:tcW w:w="98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Arial"/>
                <w:b/>
                <w:bCs/>
                <w:color w:val="000000" w:themeColor="text1"/>
                <w:kern w:val="0"/>
                <w:sz w:val="20"/>
                <w:szCs w:val="20"/>
                <w14:textFill>
                  <w14:solidFill>
                    <w14:schemeClr w14:val="tx1"/>
                  </w14:solidFill>
                </w14:textFill>
              </w:rPr>
              <w:t>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5" w:hRule="atLeast"/>
        </w:trPr>
        <w:tc>
          <w:tcPr>
            <w:tcW w:w="459" w:type="pct"/>
            <w:shd w:val="clear" w:color="auto" w:fill="auto"/>
            <w:vAlign w:val="center"/>
          </w:tcPr>
          <w:p>
            <w:pPr>
              <w:widowControl/>
              <w:spacing w:after="0" w:line="240" w:lineRule="auto"/>
              <w:jc w:val="center"/>
              <w:textAlignment w:val="baseline"/>
              <w:rPr>
                <w:rFonts w:hint="eastAsia" w:ascii="仿宋" w:hAnsi="仿宋" w:eastAsia="仿宋" w:cs="Segoe UI"/>
                <w:color w:val="000000" w:themeColor="text1"/>
                <w:kern w:val="0"/>
                <w:sz w:val="18"/>
                <w:szCs w:val="18"/>
                <w14:textFill>
                  <w14:solidFill>
                    <w14:schemeClr w14:val="tx1"/>
                  </w14:solidFill>
                </w14:textFill>
              </w:rPr>
            </w:pPr>
            <w:r>
              <w:rPr>
                <w:rFonts w:ascii="仿宋" w:hAnsi="仿宋" w:eastAsia="仿宋" w:cs="Segoe UI"/>
                <w:b/>
                <w:bCs/>
                <w:color w:val="000000" w:themeColor="text1"/>
                <w:kern w:val="0"/>
                <w:sz w:val="20"/>
                <w:szCs w:val="20"/>
                <w14:textFill>
                  <w14:solidFill>
                    <w14:schemeClr w14:val="tx1"/>
                  </w14:solidFill>
                </w14:textFill>
              </w:rPr>
              <w:t>3</w:t>
            </w:r>
          </w:p>
        </w:tc>
        <w:tc>
          <w:tcPr>
            <w:tcW w:w="1596" w:type="pct"/>
            <w:shd w:val="clear" w:color="auto" w:fill="auto"/>
            <w:vAlign w:val="center"/>
          </w:tcPr>
          <w:p>
            <w:pPr>
              <w:widowControl/>
              <w:spacing w:after="0" w:line="240" w:lineRule="auto"/>
              <w:jc w:val="left"/>
              <w:textAlignment w:val="baseline"/>
              <w:rPr>
                <w:rFonts w:hint="eastAsia" w:ascii="仿宋" w:hAnsi="仿宋" w:eastAsia="仿宋" w:cs="Segoe UI"/>
                <w:color w:val="000000" w:themeColor="text1"/>
                <w:kern w:val="0"/>
                <w:sz w:val="18"/>
                <w:szCs w:val="18"/>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合计</w:t>
            </w:r>
          </w:p>
        </w:tc>
        <w:tc>
          <w:tcPr>
            <w:tcW w:w="982"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18"/>
                <w:szCs w:val="18"/>
                <w14:textFill>
                  <w14:solidFill>
                    <w14:schemeClr w14:val="tx1"/>
                  </w14:solidFill>
                </w14:textFill>
              </w:rPr>
            </w:pPr>
            <w:r>
              <w:rPr>
                <w:rFonts w:ascii="仿宋" w:hAnsi="仿宋" w:eastAsia="仿宋" w:cs="Arial"/>
                <w:b/>
                <w:bCs/>
                <w:color w:val="000000" w:themeColor="text1"/>
                <w:kern w:val="0"/>
                <w:sz w:val="20"/>
                <w:szCs w:val="20"/>
                <w14:textFill>
                  <w14:solidFill>
                    <w14:schemeClr w14:val="tx1"/>
                  </w14:solidFill>
                </w14:textFill>
              </w:rPr>
              <w:t>7,752</w:t>
            </w:r>
          </w:p>
        </w:tc>
        <w:tc>
          <w:tcPr>
            <w:tcW w:w="98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Arial"/>
                <w:b/>
                <w:bCs/>
                <w:color w:val="000000" w:themeColor="text1"/>
                <w:kern w:val="0"/>
                <w:sz w:val="20"/>
                <w:szCs w:val="20"/>
                <w14:textFill>
                  <w14:solidFill>
                    <w14:schemeClr w14:val="tx1"/>
                  </w14:solidFill>
                </w14:textFill>
              </w:rPr>
              <w:t>5,100</w:t>
            </w:r>
          </w:p>
        </w:tc>
        <w:tc>
          <w:tcPr>
            <w:tcW w:w="98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Arial"/>
                <w:b/>
                <w:bCs/>
                <w:color w:val="000000" w:themeColor="text1"/>
                <w:kern w:val="0"/>
                <w:sz w:val="20"/>
                <w:szCs w:val="20"/>
                <w14:textFill>
                  <w14:solidFill>
                    <w14:schemeClr w14:val="tx1"/>
                  </w14:solidFill>
                </w14:textFill>
              </w:rPr>
              <w:t>12,851</w:t>
            </w:r>
          </w:p>
        </w:tc>
      </w:tr>
    </w:tbl>
    <w:p>
      <w:pPr>
        <w:spacing w:before="240" w:beforeLines="100" w:after="0" w:line="240" w:lineRule="auto"/>
        <w:jc w:val="center"/>
        <w:rPr>
          <w:rFonts w:hint="eastAsia" w:ascii="仿宋" w:hAnsi="仿宋" w:eastAsia="仿宋"/>
          <w:b/>
          <w:sz w:val="24"/>
          <w:szCs w:val="24"/>
        </w:rPr>
      </w:pPr>
    </w:p>
    <w:p>
      <w:pPr>
        <w:widowControl/>
        <w:spacing w:after="0" w:line="240" w:lineRule="auto"/>
        <w:jc w:val="left"/>
        <w:rPr>
          <w:rFonts w:hint="eastAsia" w:ascii="仿宋" w:hAnsi="仿宋" w:eastAsia="仿宋"/>
          <w:b/>
          <w:sz w:val="24"/>
          <w:szCs w:val="24"/>
        </w:rPr>
      </w:pPr>
      <w:r>
        <w:rPr>
          <w:rFonts w:ascii="仿宋" w:hAnsi="仿宋" w:eastAsia="仿宋"/>
          <w:b/>
          <w:sz w:val="24"/>
          <w:szCs w:val="24"/>
        </w:rPr>
        <w:br w:type="page"/>
      </w:r>
    </w:p>
    <w:p>
      <w:pPr>
        <w:spacing w:before="240" w:beforeLines="100" w:after="0" w:line="240" w:lineRule="auto"/>
        <w:jc w:val="center"/>
        <w:rPr>
          <w:rFonts w:hint="eastAsia" w:ascii="仿宋" w:hAnsi="仿宋" w:eastAsia="仿宋"/>
          <w:b/>
          <w:sz w:val="24"/>
          <w:szCs w:val="24"/>
        </w:rPr>
      </w:pPr>
      <w:r>
        <w:rPr>
          <w:rFonts w:ascii="仿宋" w:hAnsi="仿宋" w:eastAsia="仿宋"/>
          <w:b/>
          <w:sz w:val="24"/>
          <w:szCs w:val="24"/>
        </w:rPr>
        <w:t>表6</w:t>
      </w:r>
      <w:r>
        <w:rPr>
          <w:rFonts w:hint="eastAsia" w:ascii="仿宋" w:hAnsi="仿宋" w:eastAsia="仿宋"/>
          <w:b/>
          <w:sz w:val="24"/>
          <w:szCs w:val="24"/>
        </w:rPr>
        <w:t>海口江东新区城市地下管网完善工程（一期）现金流模拟测算表</w:t>
      </w:r>
    </w:p>
    <w:p>
      <w:pPr>
        <w:spacing w:before="120" w:beforeLines="50" w:after="0" w:line="240" w:lineRule="auto"/>
        <w:jc w:val="right"/>
        <w:rPr>
          <w:rFonts w:hint="eastAsia" w:ascii="仿宋" w:hAnsi="仿宋" w:eastAsia="仿宋"/>
          <w:sz w:val="20"/>
          <w:szCs w:val="20"/>
        </w:rPr>
      </w:pPr>
      <w:r>
        <w:rPr>
          <w:rFonts w:hint="eastAsia" w:ascii="仿宋" w:hAnsi="仿宋" w:eastAsia="仿宋"/>
          <w:sz w:val="20"/>
          <w:szCs w:val="20"/>
        </w:rPr>
        <w:t>单位：人民币万元</w:t>
      </w: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284"/>
        <w:gridCol w:w="968"/>
        <w:gridCol w:w="968"/>
        <w:gridCol w:w="859"/>
        <w:gridCol w:w="859"/>
        <w:gridCol w:w="859"/>
        <w:gridCol w:w="8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tblHeader/>
        </w:trPr>
        <w:tc>
          <w:tcPr>
            <w:tcW w:w="1897" w:type="pct"/>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年份</w:t>
            </w:r>
          </w:p>
        </w:tc>
        <w:tc>
          <w:tcPr>
            <w:tcW w:w="559" w:type="pct"/>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color w:val="000000" w:themeColor="text1"/>
                <w:kern w:val="0"/>
                <w:sz w:val="20"/>
                <w:szCs w:val="20"/>
                <w14:textFill>
                  <w14:solidFill>
                    <w14:schemeClr w14:val="tx1"/>
                  </w14:solidFill>
                </w14:textFill>
              </w:rPr>
              <w:t>2025</w:t>
            </w:r>
          </w:p>
        </w:tc>
        <w:tc>
          <w:tcPr>
            <w:tcW w:w="559" w:type="pct"/>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color w:val="000000" w:themeColor="text1"/>
                <w:kern w:val="0"/>
                <w:sz w:val="20"/>
                <w:szCs w:val="20"/>
                <w14:textFill>
                  <w14:solidFill>
                    <w14:schemeClr w14:val="tx1"/>
                  </w14:solidFill>
                </w14:textFill>
              </w:rPr>
              <w:t>2026</w:t>
            </w:r>
          </w:p>
        </w:tc>
        <w:tc>
          <w:tcPr>
            <w:tcW w:w="496" w:type="pct"/>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color w:val="000000" w:themeColor="text1"/>
                <w:kern w:val="0"/>
                <w:sz w:val="20"/>
                <w:szCs w:val="20"/>
                <w14:textFill>
                  <w14:solidFill>
                    <w14:schemeClr w14:val="tx1"/>
                  </w14:solidFill>
                </w14:textFill>
              </w:rPr>
              <w:t>2027</w:t>
            </w:r>
          </w:p>
        </w:tc>
        <w:tc>
          <w:tcPr>
            <w:tcW w:w="496" w:type="pct"/>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color w:val="000000" w:themeColor="text1"/>
                <w:kern w:val="0"/>
                <w:sz w:val="20"/>
                <w:szCs w:val="20"/>
                <w14:textFill>
                  <w14:solidFill>
                    <w14:schemeClr w14:val="tx1"/>
                  </w14:solidFill>
                </w14:textFill>
              </w:rPr>
              <w:t>2028</w:t>
            </w:r>
          </w:p>
        </w:tc>
        <w:tc>
          <w:tcPr>
            <w:tcW w:w="496" w:type="pct"/>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color w:val="000000" w:themeColor="text1"/>
                <w:kern w:val="0"/>
                <w:sz w:val="20"/>
                <w:szCs w:val="20"/>
                <w14:textFill>
                  <w14:solidFill>
                    <w14:schemeClr w14:val="tx1"/>
                  </w14:solidFill>
                </w14:textFill>
              </w:rPr>
              <w:t>2029</w:t>
            </w:r>
          </w:p>
        </w:tc>
        <w:tc>
          <w:tcPr>
            <w:tcW w:w="496" w:type="pct"/>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color w:val="000000" w:themeColor="text1"/>
                <w:kern w:val="0"/>
                <w:sz w:val="20"/>
                <w:szCs w:val="20"/>
                <w14:textFill>
                  <w14:solidFill>
                    <w14:schemeClr w14:val="tx1"/>
                  </w14:solidFill>
                </w14:textFill>
              </w:rPr>
              <w:t>2030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trPr>
        <w:tc>
          <w:tcPr>
            <w:tcW w:w="1897" w:type="pct"/>
            <w:shd w:val="clear" w:color="auto" w:fill="auto"/>
            <w:vAlign w:val="center"/>
          </w:tcPr>
          <w:p>
            <w:pPr>
              <w:widowControl/>
              <w:spacing w:after="0" w:line="240" w:lineRule="auto"/>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现金流入</w:t>
            </w:r>
          </w:p>
        </w:tc>
        <w:tc>
          <w:tcPr>
            <w:tcW w:w="559"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p>
        </w:tc>
        <w:tc>
          <w:tcPr>
            <w:tcW w:w="559"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trPr>
        <w:tc>
          <w:tcPr>
            <w:tcW w:w="1897" w:type="pct"/>
            <w:shd w:val="clear" w:color="auto" w:fill="auto"/>
            <w:vAlign w:val="center"/>
          </w:tcPr>
          <w:p>
            <w:pPr>
              <w:widowControl/>
              <w:spacing w:after="0" w:line="240" w:lineRule="auto"/>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自筹资金流入</w:t>
            </w:r>
          </w:p>
        </w:tc>
        <w:tc>
          <w:tcPr>
            <w:tcW w:w="559"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6,752 </w:t>
            </w:r>
          </w:p>
        </w:tc>
        <w:tc>
          <w:tcPr>
            <w:tcW w:w="559"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5,100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trPr>
        <w:tc>
          <w:tcPr>
            <w:tcW w:w="1897" w:type="pct"/>
            <w:shd w:val="clear" w:color="auto" w:fill="auto"/>
            <w:vAlign w:val="center"/>
          </w:tcPr>
          <w:p>
            <w:pPr>
              <w:widowControl/>
              <w:spacing w:after="0" w:line="240" w:lineRule="auto"/>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债券资金流入</w:t>
            </w:r>
          </w:p>
        </w:tc>
        <w:tc>
          <w:tcPr>
            <w:tcW w:w="559"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1,000 </w:t>
            </w:r>
          </w:p>
        </w:tc>
        <w:tc>
          <w:tcPr>
            <w:tcW w:w="559"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trPr>
        <w:tc>
          <w:tcPr>
            <w:tcW w:w="1897" w:type="pct"/>
            <w:shd w:val="clear" w:color="auto" w:fill="auto"/>
            <w:vAlign w:val="center"/>
          </w:tcPr>
          <w:p>
            <w:pPr>
              <w:widowControl/>
              <w:spacing w:after="0" w:line="240" w:lineRule="auto"/>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运营期现金流入</w:t>
            </w:r>
          </w:p>
        </w:tc>
        <w:tc>
          <w:tcPr>
            <w:tcW w:w="559"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559"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208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162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162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162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trPr>
        <w:tc>
          <w:tcPr>
            <w:tcW w:w="1897" w:type="pct"/>
            <w:shd w:val="clear" w:color="auto" w:fill="auto"/>
            <w:vAlign w:val="center"/>
          </w:tcPr>
          <w:p>
            <w:pPr>
              <w:widowControl/>
              <w:spacing w:after="0" w:line="240" w:lineRule="auto"/>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现金流入总额</w:t>
            </w:r>
          </w:p>
        </w:tc>
        <w:tc>
          <w:tcPr>
            <w:tcW w:w="559"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7,752 </w:t>
            </w:r>
          </w:p>
        </w:tc>
        <w:tc>
          <w:tcPr>
            <w:tcW w:w="559"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5,100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208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162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162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162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trPr>
        <w:tc>
          <w:tcPr>
            <w:tcW w:w="1897" w:type="pct"/>
            <w:shd w:val="clear" w:color="auto" w:fill="auto"/>
            <w:vAlign w:val="center"/>
          </w:tcPr>
          <w:p>
            <w:pPr>
              <w:widowControl/>
              <w:spacing w:after="0" w:line="240" w:lineRule="auto"/>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现金流出</w:t>
            </w:r>
          </w:p>
        </w:tc>
        <w:tc>
          <w:tcPr>
            <w:tcW w:w="559"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p>
        </w:tc>
        <w:tc>
          <w:tcPr>
            <w:tcW w:w="559"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trPr>
        <w:tc>
          <w:tcPr>
            <w:tcW w:w="1897" w:type="pct"/>
            <w:shd w:val="clear" w:color="auto" w:fill="auto"/>
            <w:vAlign w:val="center"/>
          </w:tcPr>
          <w:p>
            <w:pPr>
              <w:widowControl/>
              <w:spacing w:after="0" w:line="240" w:lineRule="auto"/>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建设期资金流出</w:t>
            </w:r>
          </w:p>
        </w:tc>
        <w:tc>
          <w:tcPr>
            <w:tcW w:w="559"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7,742 </w:t>
            </w:r>
          </w:p>
        </w:tc>
        <w:tc>
          <w:tcPr>
            <w:tcW w:w="559"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5,082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trPr>
        <w:tc>
          <w:tcPr>
            <w:tcW w:w="1897" w:type="pct"/>
            <w:shd w:val="clear" w:color="auto" w:fill="auto"/>
            <w:vAlign w:val="center"/>
          </w:tcPr>
          <w:p>
            <w:pPr>
              <w:widowControl/>
              <w:spacing w:after="0" w:line="240" w:lineRule="auto"/>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运营期现金流出</w:t>
            </w:r>
          </w:p>
        </w:tc>
        <w:tc>
          <w:tcPr>
            <w:tcW w:w="559"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559"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7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0.34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0.34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0.34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trPr>
        <w:tc>
          <w:tcPr>
            <w:tcW w:w="1897" w:type="pct"/>
            <w:shd w:val="clear" w:color="auto" w:fill="auto"/>
            <w:vAlign w:val="center"/>
          </w:tcPr>
          <w:p>
            <w:pPr>
              <w:widowControl/>
              <w:spacing w:after="0" w:line="240" w:lineRule="auto"/>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债券还本付息</w:t>
            </w:r>
          </w:p>
        </w:tc>
        <w:tc>
          <w:tcPr>
            <w:tcW w:w="559"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9 </w:t>
            </w:r>
          </w:p>
        </w:tc>
        <w:tc>
          <w:tcPr>
            <w:tcW w:w="559"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18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18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18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18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18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trPr>
        <w:tc>
          <w:tcPr>
            <w:tcW w:w="1897" w:type="pct"/>
            <w:shd w:val="clear" w:color="auto" w:fill="auto"/>
            <w:vAlign w:val="center"/>
          </w:tcPr>
          <w:p>
            <w:pPr>
              <w:widowControl/>
              <w:spacing w:after="0" w:line="240" w:lineRule="auto"/>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债券发行费用</w:t>
            </w:r>
          </w:p>
        </w:tc>
        <w:tc>
          <w:tcPr>
            <w:tcW w:w="559"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1 </w:t>
            </w:r>
          </w:p>
        </w:tc>
        <w:tc>
          <w:tcPr>
            <w:tcW w:w="559"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trPr>
        <w:tc>
          <w:tcPr>
            <w:tcW w:w="1897" w:type="pct"/>
            <w:shd w:val="clear" w:color="auto" w:fill="auto"/>
            <w:vAlign w:val="center"/>
          </w:tcPr>
          <w:p>
            <w:pPr>
              <w:widowControl/>
              <w:spacing w:after="0" w:line="240" w:lineRule="auto"/>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现金流出总额</w:t>
            </w:r>
          </w:p>
        </w:tc>
        <w:tc>
          <w:tcPr>
            <w:tcW w:w="559"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7,752 </w:t>
            </w:r>
          </w:p>
        </w:tc>
        <w:tc>
          <w:tcPr>
            <w:tcW w:w="559"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5,100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24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18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18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trPr>
        <w:tc>
          <w:tcPr>
            <w:tcW w:w="1897" w:type="pct"/>
            <w:shd w:val="clear" w:color="auto" w:fill="auto"/>
            <w:vAlign w:val="center"/>
          </w:tcPr>
          <w:p>
            <w:pPr>
              <w:widowControl/>
              <w:spacing w:after="0" w:line="240" w:lineRule="auto"/>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现金净流量</w:t>
            </w:r>
          </w:p>
        </w:tc>
        <w:tc>
          <w:tcPr>
            <w:tcW w:w="559"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p>
        </w:tc>
        <w:tc>
          <w:tcPr>
            <w:tcW w:w="559"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trPr>
        <w:tc>
          <w:tcPr>
            <w:tcW w:w="1897" w:type="pct"/>
            <w:shd w:val="clear" w:color="auto" w:fill="auto"/>
            <w:vAlign w:val="center"/>
          </w:tcPr>
          <w:p>
            <w:pPr>
              <w:widowControl/>
              <w:spacing w:after="0" w:line="240" w:lineRule="auto"/>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当年项目现金净流入</w:t>
            </w:r>
          </w:p>
        </w:tc>
        <w:tc>
          <w:tcPr>
            <w:tcW w:w="559"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   </w:t>
            </w:r>
          </w:p>
        </w:tc>
        <w:tc>
          <w:tcPr>
            <w:tcW w:w="559"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183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144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144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144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trPr>
        <w:tc>
          <w:tcPr>
            <w:tcW w:w="1897" w:type="pct"/>
            <w:shd w:val="clear" w:color="auto" w:fill="auto"/>
            <w:vAlign w:val="center"/>
          </w:tcPr>
          <w:p>
            <w:pPr>
              <w:widowControl/>
              <w:spacing w:after="0" w:line="240" w:lineRule="auto"/>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期末项目累计现金结存额</w:t>
            </w:r>
          </w:p>
        </w:tc>
        <w:tc>
          <w:tcPr>
            <w:tcW w:w="559"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   </w:t>
            </w:r>
          </w:p>
        </w:tc>
        <w:tc>
          <w:tcPr>
            <w:tcW w:w="559"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183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328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472 </w:t>
            </w:r>
          </w:p>
        </w:tc>
        <w:tc>
          <w:tcPr>
            <w:tcW w:w="496"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616 </w:t>
            </w:r>
          </w:p>
        </w:tc>
      </w:tr>
    </w:tbl>
    <w:p>
      <w:pPr>
        <w:spacing w:before="120" w:beforeLines="50" w:after="0" w:line="240" w:lineRule="auto"/>
        <w:jc w:val="right"/>
        <w:rPr>
          <w:rFonts w:hint="eastAsia" w:ascii="仿宋" w:hAnsi="仿宋" w:eastAsia="仿宋"/>
          <w:sz w:val="20"/>
          <w:szCs w:val="20"/>
        </w:rPr>
      </w:pPr>
    </w:p>
    <w:p>
      <w:pPr>
        <w:spacing w:after="0" w:line="240" w:lineRule="auto"/>
        <w:jc w:val="center"/>
        <w:rPr>
          <w:rFonts w:hint="eastAsia" w:ascii="仿宋" w:hAnsi="仿宋" w:eastAsia="仿宋"/>
          <w:b/>
          <w:bCs/>
          <w:sz w:val="20"/>
          <w:szCs w:val="20"/>
        </w:rPr>
      </w:pPr>
    </w:p>
    <w:p>
      <w:pPr>
        <w:spacing w:after="0" w:line="240" w:lineRule="auto"/>
        <w:jc w:val="center"/>
        <w:rPr>
          <w:rFonts w:hint="eastAsia" w:ascii="仿宋" w:hAnsi="仿宋" w:eastAsia="仿宋"/>
          <w:b/>
          <w:sz w:val="24"/>
          <w:szCs w:val="24"/>
        </w:rPr>
      </w:pPr>
      <w:r>
        <w:rPr>
          <w:rFonts w:hint="eastAsia" w:ascii="仿宋" w:hAnsi="仿宋" w:eastAsia="仿宋"/>
          <w:b/>
          <w:sz w:val="24"/>
          <w:szCs w:val="24"/>
        </w:rPr>
        <w:t>表6海口江东新区城市地下管网完善工程（一期）现金流模拟测算表（续表）</w:t>
      </w:r>
    </w:p>
    <w:p>
      <w:pPr>
        <w:widowControl/>
        <w:spacing w:after="0"/>
        <w:ind w:right="-51"/>
        <w:jc w:val="right"/>
        <w:rPr>
          <w:rFonts w:hint="eastAsia" w:ascii="仿宋" w:hAnsi="仿宋" w:eastAsia="仿宋"/>
          <w:sz w:val="20"/>
          <w:szCs w:val="20"/>
        </w:rPr>
      </w:pPr>
      <w:r>
        <w:rPr>
          <w:rFonts w:hint="eastAsia" w:ascii="仿宋" w:hAnsi="仿宋" w:eastAsia="仿宋"/>
          <w:sz w:val="20"/>
          <w:szCs w:val="20"/>
        </w:rPr>
        <w:t>单位：人民币万元</w:t>
      </w: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205"/>
        <w:gridCol w:w="839"/>
        <w:gridCol w:w="840"/>
        <w:gridCol w:w="944"/>
        <w:gridCol w:w="944"/>
        <w:gridCol w:w="944"/>
        <w:gridCol w:w="9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trPr>
        <w:tc>
          <w:tcPr>
            <w:tcW w:w="1852" w:type="pct"/>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年份</w:t>
            </w:r>
          </w:p>
        </w:tc>
        <w:tc>
          <w:tcPr>
            <w:tcW w:w="485" w:type="pct"/>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color w:val="000000" w:themeColor="text1"/>
                <w:kern w:val="0"/>
                <w:sz w:val="20"/>
                <w:szCs w:val="20"/>
                <w14:textFill>
                  <w14:solidFill>
                    <w14:schemeClr w14:val="tx1"/>
                  </w14:solidFill>
                </w14:textFill>
              </w:rPr>
              <w:t>2031</w:t>
            </w:r>
          </w:p>
        </w:tc>
        <w:tc>
          <w:tcPr>
            <w:tcW w:w="485" w:type="pct"/>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color w:val="000000" w:themeColor="text1"/>
                <w:kern w:val="0"/>
                <w:sz w:val="20"/>
                <w:szCs w:val="20"/>
                <w14:textFill>
                  <w14:solidFill>
                    <w14:schemeClr w14:val="tx1"/>
                  </w14:solidFill>
                </w14:textFill>
              </w:rPr>
              <w:t>2032</w:t>
            </w:r>
          </w:p>
        </w:tc>
        <w:tc>
          <w:tcPr>
            <w:tcW w:w="545" w:type="pct"/>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color w:val="000000" w:themeColor="text1"/>
                <w:kern w:val="0"/>
                <w:sz w:val="20"/>
                <w:szCs w:val="20"/>
                <w14:textFill>
                  <w14:solidFill>
                    <w14:schemeClr w14:val="tx1"/>
                  </w14:solidFill>
                </w14:textFill>
              </w:rPr>
              <w:t>2033</w:t>
            </w:r>
          </w:p>
        </w:tc>
        <w:tc>
          <w:tcPr>
            <w:tcW w:w="545" w:type="pct"/>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color w:val="000000" w:themeColor="text1"/>
                <w:kern w:val="0"/>
                <w:sz w:val="20"/>
                <w:szCs w:val="20"/>
                <w14:textFill>
                  <w14:solidFill>
                    <w14:schemeClr w14:val="tx1"/>
                  </w14:solidFill>
                </w14:textFill>
              </w:rPr>
              <w:t>2034</w:t>
            </w:r>
          </w:p>
        </w:tc>
        <w:tc>
          <w:tcPr>
            <w:tcW w:w="545" w:type="pct"/>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color w:val="000000" w:themeColor="text1"/>
                <w:kern w:val="0"/>
                <w:sz w:val="20"/>
                <w:szCs w:val="20"/>
                <w14:textFill>
                  <w14:solidFill>
                    <w14:schemeClr w14:val="tx1"/>
                  </w14:solidFill>
                </w14:textFill>
              </w:rPr>
              <w:t>2035</w:t>
            </w:r>
          </w:p>
        </w:tc>
        <w:tc>
          <w:tcPr>
            <w:tcW w:w="543" w:type="pct"/>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color w:val="000000" w:themeColor="text1"/>
                <w:kern w:val="0"/>
                <w:sz w:val="20"/>
                <w:szCs w:val="20"/>
                <w14:textFill>
                  <w14:solidFill>
                    <w14:schemeClr w14:val="tx1"/>
                  </w14:solidFill>
                </w14:textFill>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trPr>
        <w:tc>
          <w:tcPr>
            <w:tcW w:w="1852" w:type="pct"/>
            <w:shd w:val="clear" w:color="auto" w:fill="auto"/>
            <w:vAlign w:val="center"/>
          </w:tcPr>
          <w:p>
            <w:pPr>
              <w:widowControl/>
              <w:spacing w:after="0" w:line="240" w:lineRule="auto"/>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现金流入</w:t>
            </w:r>
          </w:p>
        </w:tc>
        <w:tc>
          <w:tcPr>
            <w:tcW w:w="48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p>
        </w:tc>
        <w:tc>
          <w:tcPr>
            <w:tcW w:w="48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p>
        </w:tc>
        <w:tc>
          <w:tcPr>
            <w:tcW w:w="545" w:type="pct"/>
            <w:shd w:val="clear" w:color="auto" w:fill="auto"/>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p>
        </w:tc>
        <w:tc>
          <w:tcPr>
            <w:tcW w:w="545" w:type="pct"/>
            <w:shd w:val="clear" w:color="auto" w:fill="auto"/>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p>
        </w:tc>
        <w:tc>
          <w:tcPr>
            <w:tcW w:w="545" w:type="pct"/>
            <w:shd w:val="clear" w:color="auto" w:fill="auto"/>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p>
        </w:tc>
        <w:tc>
          <w:tcPr>
            <w:tcW w:w="543" w:type="pct"/>
            <w:shd w:val="clear" w:color="auto" w:fill="auto"/>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trPr>
        <w:tc>
          <w:tcPr>
            <w:tcW w:w="1852" w:type="pct"/>
            <w:shd w:val="clear" w:color="auto" w:fill="auto"/>
            <w:vAlign w:val="center"/>
          </w:tcPr>
          <w:p>
            <w:pPr>
              <w:widowControl/>
              <w:spacing w:after="0" w:line="240" w:lineRule="auto"/>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自筹资金流入</w:t>
            </w:r>
          </w:p>
        </w:tc>
        <w:tc>
          <w:tcPr>
            <w:tcW w:w="48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48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543"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11,851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trPr>
        <w:tc>
          <w:tcPr>
            <w:tcW w:w="1852" w:type="pct"/>
            <w:shd w:val="clear" w:color="auto" w:fill="auto"/>
            <w:vAlign w:val="center"/>
          </w:tcPr>
          <w:p>
            <w:pPr>
              <w:widowControl/>
              <w:spacing w:after="0" w:line="240" w:lineRule="auto"/>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债券资金流入</w:t>
            </w:r>
          </w:p>
        </w:tc>
        <w:tc>
          <w:tcPr>
            <w:tcW w:w="48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48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543"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1,000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trPr>
        <w:tc>
          <w:tcPr>
            <w:tcW w:w="1852" w:type="pct"/>
            <w:shd w:val="clear" w:color="auto" w:fill="auto"/>
            <w:vAlign w:val="center"/>
          </w:tcPr>
          <w:p>
            <w:pPr>
              <w:widowControl/>
              <w:spacing w:after="0" w:line="240" w:lineRule="auto"/>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运营期现金流入</w:t>
            </w:r>
          </w:p>
        </w:tc>
        <w:tc>
          <w:tcPr>
            <w:tcW w:w="48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162 </w:t>
            </w:r>
          </w:p>
        </w:tc>
        <w:tc>
          <w:tcPr>
            <w:tcW w:w="48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162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162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162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159 </w:t>
            </w:r>
          </w:p>
        </w:tc>
        <w:tc>
          <w:tcPr>
            <w:tcW w:w="543"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1,501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trPr>
        <w:tc>
          <w:tcPr>
            <w:tcW w:w="1852" w:type="pct"/>
            <w:shd w:val="clear" w:color="auto" w:fill="auto"/>
            <w:vAlign w:val="center"/>
          </w:tcPr>
          <w:p>
            <w:pPr>
              <w:widowControl/>
              <w:spacing w:after="0" w:line="240" w:lineRule="auto"/>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现金流入总额</w:t>
            </w:r>
          </w:p>
        </w:tc>
        <w:tc>
          <w:tcPr>
            <w:tcW w:w="485"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162 </w:t>
            </w:r>
          </w:p>
        </w:tc>
        <w:tc>
          <w:tcPr>
            <w:tcW w:w="485"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162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162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162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159 </w:t>
            </w:r>
          </w:p>
        </w:tc>
        <w:tc>
          <w:tcPr>
            <w:tcW w:w="543"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14,352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trPr>
        <w:tc>
          <w:tcPr>
            <w:tcW w:w="1852" w:type="pct"/>
            <w:shd w:val="clear" w:color="auto" w:fill="auto"/>
            <w:vAlign w:val="center"/>
          </w:tcPr>
          <w:p>
            <w:pPr>
              <w:widowControl/>
              <w:spacing w:after="0" w:line="240" w:lineRule="auto"/>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现金流出</w:t>
            </w:r>
          </w:p>
        </w:tc>
        <w:tc>
          <w:tcPr>
            <w:tcW w:w="48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p>
        </w:tc>
        <w:tc>
          <w:tcPr>
            <w:tcW w:w="48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p>
        </w:tc>
        <w:tc>
          <w:tcPr>
            <w:tcW w:w="543"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trPr>
        <w:tc>
          <w:tcPr>
            <w:tcW w:w="1852" w:type="pct"/>
            <w:shd w:val="clear" w:color="auto" w:fill="auto"/>
            <w:vAlign w:val="center"/>
          </w:tcPr>
          <w:p>
            <w:pPr>
              <w:widowControl/>
              <w:spacing w:after="0" w:line="240" w:lineRule="auto"/>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建设期资金流出</w:t>
            </w:r>
          </w:p>
        </w:tc>
        <w:tc>
          <w:tcPr>
            <w:tcW w:w="48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48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543"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12,824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trPr>
        <w:tc>
          <w:tcPr>
            <w:tcW w:w="1852" w:type="pct"/>
            <w:shd w:val="clear" w:color="auto" w:fill="auto"/>
            <w:vAlign w:val="center"/>
          </w:tcPr>
          <w:p>
            <w:pPr>
              <w:widowControl/>
              <w:spacing w:after="0" w:line="240" w:lineRule="auto"/>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运营期现金流出</w:t>
            </w:r>
          </w:p>
        </w:tc>
        <w:tc>
          <w:tcPr>
            <w:tcW w:w="48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0.34 </w:t>
            </w:r>
          </w:p>
        </w:tc>
        <w:tc>
          <w:tcPr>
            <w:tcW w:w="48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0.34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0.34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0.34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0.03 </w:t>
            </w:r>
          </w:p>
        </w:tc>
        <w:tc>
          <w:tcPr>
            <w:tcW w:w="543"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9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trPr>
        <w:tc>
          <w:tcPr>
            <w:tcW w:w="1852" w:type="pct"/>
            <w:shd w:val="clear" w:color="auto" w:fill="auto"/>
            <w:vAlign w:val="center"/>
          </w:tcPr>
          <w:p>
            <w:pPr>
              <w:widowControl/>
              <w:spacing w:after="0" w:line="240" w:lineRule="auto"/>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债券还本付息</w:t>
            </w:r>
          </w:p>
        </w:tc>
        <w:tc>
          <w:tcPr>
            <w:tcW w:w="48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18 </w:t>
            </w:r>
          </w:p>
        </w:tc>
        <w:tc>
          <w:tcPr>
            <w:tcW w:w="48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18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18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18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1,009 </w:t>
            </w:r>
          </w:p>
        </w:tc>
        <w:tc>
          <w:tcPr>
            <w:tcW w:w="543"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1,176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trPr>
        <w:tc>
          <w:tcPr>
            <w:tcW w:w="1852" w:type="pct"/>
            <w:shd w:val="clear" w:color="auto" w:fill="auto"/>
            <w:vAlign w:val="center"/>
          </w:tcPr>
          <w:p>
            <w:pPr>
              <w:widowControl/>
              <w:spacing w:after="0" w:line="240" w:lineRule="auto"/>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债券发行费用</w:t>
            </w:r>
          </w:p>
        </w:tc>
        <w:tc>
          <w:tcPr>
            <w:tcW w:w="48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48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sz w:val="20"/>
                <w:szCs w:val="20"/>
              </w:rPr>
              <w:t xml:space="preserve">-   </w:t>
            </w:r>
          </w:p>
        </w:tc>
        <w:tc>
          <w:tcPr>
            <w:tcW w:w="543"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trPr>
        <w:tc>
          <w:tcPr>
            <w:tcW w:w="1852" w:type="pct"/>
            <w:shd w:val="clear" w:color="auto" w:fill="auto"/>
            <w:vAlign w:val="center"/>
          </w:tcPr>
          <w:p>
            <w:pPr>
              <w:widowControl/>
              <w:spacing w:after="0" w:line="240" w:lineRule="auto"/>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现金流出总额</w:t>
            </w:r>
          </w:p>
        </w:tc>
        <w:tc>
          <w:tcPr>
            <w:tcW w:w="485"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18 </w:t>
            </w:r>
          </w:p>
        </w:tc>
        <w:tc>
          <w:tcPr>
            <w:tcW w:w="485"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18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18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18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1,009 </w:t>
            </w:r>
          </w:p>
        </w:tc>
        <w:tc>
          <w:tcPr>
            <w:tcW w:w="543"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14,010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trPr>
        <w:tc>
          <w:tcPr>
            <w:tcW w:w="1852" w:type="pct"/>
            <w:shd w:val="clear" w:color="auto" w:fill="auto"/>
            <w:vAlign w:val="center"/>
          </w:tcPr>
          <w:p>
            <w:pPr>
              <w:widowControl/>
              <w:spacing w:after="0" w:line="240" w:lineRule="auto"/>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现金净流量</w:t>
            </w:r>
          </w:p>
        </w:tc>
        <w:tc>
          <w:tcPr>
            <w:tcW w:w="485"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p>
        </w:tc>
        <w:tc>
          <w:tcPr>
            <w:tcW w:w="485"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p>
        </w:tc>
        <w:tc>
          <w:tcPr>
            <w:tcW w:w="543"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trPr>
        <w:tc>
          <w:tcPr>
            <w:tcW w:w="1852" w:type="pct"/>
            <w:shd w:val="clear" w:color="auto" w:fill="auto"/>
            <w:vAlign w:val="center"/>
          </w:tcPr>
          <w:p>
            <w:pPr>
              <w:widowControl/>
              <w:spacing w:after="0" w:line="240" w:lineRule="auto"/>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当年项目现金净流入</w:t>
            </w:r>
          </w:p>
        </w:tc>
        <w:tc>
          <w:tcPr>
            <w:tcW w:w="485"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144 </w:t>
            </w:r>
          </w:p>
        </w:tc>
        <w:tc>
          <w:tcPr>
            <w:tcW w:w="485"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144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144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144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-850 </w:t>
            </w:r>
          </w:p>
        </w:tc>
        <w:tc>
          <w:tcPr>
            <w:tcW w:w="543"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trPr>
        <w:tc>
          <w:tcPr>
            <w:tcW w:w="1852" w:type="pct"/>
            <w:shd w:val="clear" w:color="auto" w:fill="auto"/>
            <w:vAlign w:val="center"/>
          </w:tcPr>
          <w:p>
            <w:pPr>
              <w:widowControl/>
              <w:spacing w:after="0" w:line="240" w:lineRule="auto"/>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期末项目累计现金结存额</w:t>
            </w:r>
          </w:p>
        </w:tc>
        <w:tc>
          <w:tcPr>
            <w:tcW w:w="485"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760 </w:t>
            </w:r>
          </w:p>
        </w:tc>
        <w:tc>
          <w:tcPr>
            <w:tcW w:w="485"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904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1,048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1,192 </w:t>
            </w:r>
          </w:p>
        </w:tc>
        <w:tc>
          <w:tcPr>
            <w:tcW w:w="545"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b/>
                <w:bCs/>
                <w:color w:val="000000"/>
                <w:sz w:val="20"/>
                <w:szCs w:val="20"/>
              </w:rPr>
              <w:t xml:space="preserve">342 </w:t>
            </w:r>
          </w:p>
        </w:tc>
        <w:tc>
          <w:tcPr>
            <w:tcW w:w="543"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p>
        </w:tc>
      </w:tr>
      <w:bookmarkEnd w:id="21"/>
    </w:tbl>
    <w:p>
      <w:pPr>
        <w:autoSpaceDE w:val="0"/>
        <w:autoSpaceDN w:val="0"/>
        <w:adjustRightInd w:val="0"/>
        <w:spacing w:before="120" w:after="0" w:line="360" w:lineRule="auto"/>
        <w:ind w:firstLine="560" w:firstLineChars="200"/>
        <w:rPr>
          <w:rFonts w:hint="eastAsia"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基于以上投资计划、资金筹措安排，我们未发现建设期内所需建设资金存在缺口的情况，且项目每年资金余额为正值，满足项目自身收益还本付息的前提下，仍有富余资金，显示项目具备一定的盈利能力、偿债能力和可持续性。</w:t>
      </w:r>
    </w:p>
    <w:p>
      <w:pPr>
        <w:pStyle w:val="3"/>
        <w:spacing w:before="0" w:after="0" w:line="360" w:lineRule="auto"/>
        <w:ind w:firstLine="562" w:firstLineChars="200"/>
        <w:rPr>
          <w:rFonts w:hint="eastAsia" w:ascii="仿宋" w:hAnsi="仿宋" w:eastAsia="仿宋" w:cs="楷体"/>
          <w:color w:val="000000" w:themeColor="text1"/>
          <w:kern w:val="0"/>
          <w:sz w:val="28"/>
          <w:szCs w:val="28"/>
          <w:lang w:val="en-GB"/>
          <w14:textFill>
            <w14:solidFill>
              <w14:schemeClr w14:val="tx1"/>
            </w14:solidFill>
          </w14:textFill>
        </w:rPr>
      </w:pPr>
      <w:bookmarkStart w:id="22" w:name="_Toc200722010"/>
      <w:r>
        <w:rPr>
          <w:rFonts w:hint="eastAsia" w:ascii="仿宋" w:hAnsi="仿宋" w:eastAsia="仿宋" w:cs="楷体"/>
          <w:color w:val="000000" w:themeColor="text1"/>
          <w:kern w:val="0"/>
          <w:sz w:val="28"/>
          <w:szCs w:val="28"/>
          <w:lang w:val="en-GB"/>
          <w14:textFill>
            <w14:solidFill>
              <w14:schemeClr w14:val="tx1"/>
            </w14:solidFill>
          </w14:textFill>
        </w:rPr>
        <w:t>（二）</w:t>
      </w:r>
      <w:r>
        <w:rPr>
          <w:rFonts w:ascii="仿宋" w:hAnsi="仿宋" w:eastAsia="仿宋" w:cs="楷体"/>
          <w:color w:val="000000" w:themeColor="text1"/>
          <w:kern w:val="0"/>
          <w:sz w:val="28"/>
          <w:szCs w:val="28"/>
          <w:lang w:val="en-GB"/>
          <w14:textFill>
            <w14:solidFill>
              <w14:schemeClr w14:val="tx1"/>
            </w14:solidFill>
          </w14:textFill>
        </w:rPr>
        <w:t>资金稳定性</w:t>
      </w:r>
      <w:bookmarkEnd w:id="22"/>
    </w:p>
    <w:p>
      <w:pPr>
        <w:widowControl/>
        <w:spacing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bookmarkStart w:id="23" w:name="_Hlk143793486"/>
      <w:r>
        <w:rPr>
          <w:rFonts w:hint="eastAsia" w:ascii="仿宋" w:hAnsi="仿宋" w:eastAsia="仿宋"/>
          <w:color w:val="000000" w:themeColor="text1"/>
          <w:kern w:val="0"/>
          <w:sz w:val="28"/>
          <w:szCs w:val="28"/>
          <w14:textFill>
            <w14:solidFill>
              <w14:schemeClr w14:val="tx1"/>
            </w14:solidFill>
          </w14:textFill>
        </w:rPr>
        <w:t>海口江东新区城市地下管网完善工程（一期）以项目运营收入和国有土地出让收入作为偿债收益来源。债券存续期（</w:t>
      </w:r>
      <w:r>
        <w:rPr>
          <w:rFonts w:ascii="仿宋" w:hAnsi="仿宋" w:eastAsia="仿宋"/>
          <w:color w:val="000000" w:themeColor="text1"/>
          <w:kern w:val="0"/>
          <w:sz w:val="28"/>
          <w:szCs w:val="28"/>
          <w14:textFill>
            <w14:solidFill>
              <w14:schemeClr w14:val="tx1"/>
            </w14:solidFill>
          </w14:textFill>
        </w:rPr>
        <w:t>202</w:t>
      </w:r>
      <w:r>
        <w:rPr>
          <w:rFonts w:hint="eastAsia" w:ascii="仿宋" w:hAnsi="仿宋" w:eastAsia="仿宋"/>
          <w:color w:val="000000" w:themeColor="text1"/>
          <w:kern w:val="0"/>
          <w:sz w:val="28"/>
          <w:szCs w:val="28"/>
          <w14:textFill>
            <w14:solidFill>
              <w14:schemeClr w14:val="tx1"/>
            </w14:solidFill>
          </w14:textFill>
        </w:rPr>
        <w:t>5</w:t>
      </w:r>
      <w:r>
        <w:rPr>
          <w:rFonts w:ascii="仿宋" w:hAnsi="仿宋" w:eastAsia="仿宋"/>
          <w:color w:val="000000" w:themeColor="text1"/>
          <w:kern w:val="0"/>
          <w:sz w:val="28"/>
          <w:szCs w:val="28"/>
          <w14:textFill>
            <w14:solidFill>
              <w14:schemeClr w14:val="tx1"/>
            </w14:solidFill>
          </w14:textFill>
        </w:rPr>
        <w:t>-20</w:t>
      </w:r>
      <w:r>
        <w:rPr>
          <w:rFonts w:hint="eastAsia" w:ascii="仿宋" w:hAnsi="仿宋" w:eastAsia="仿宋"/>
          <w:color w:val="000000" w:themeColor="text1"/>
          <w:kern w:val="0"/>
          <w:sz w:val="28"/>
          <w:szCs w:val="28"/>
          <w14:textFill>
            <w14:solidFill>
              <w14:schemeClr w14:val="tx1"/>
            </w14:solidFill>
          </w14:textFill>
        </w:rPr>
        <w:t>35</w:t>
      </w:r>
      <w:r>
        <w:rPr>
          <w:rFonts w:ascii="仿宋" w:hAnsi="仿宋" w:eastAsia="仿宋"/>
          <w:color w:val="000000" w:themeColor="text1"/>
          <w:kern w:val="0"/>
          <w:sz w:val="28"/>
          <w:szCs w:val="28"/>
          <w14:textFill>
            <w14:solidFill>
              <w14:schemeClr w14:val="tx1"/>
            </w14:solidFill>
          </w14:textFill>
        </w:rPr>
        <w:t>年）</w:t>
      </w:r>
      <w:r>
        <w:rPr>
          <w:rFonts w:hint="eastAsia" w:ascii="仿宋" w:hAnsi="仿宋" w:eastAsia="仿宋"/>
          <w:color w:val="000000" w:themeColor="text1"/>
          <w:kern w:val="0"/>
          <w:sz w:val="28"/>
          <w:szCs w:val="28"/>
          <w14:textFill>
            <w14:solidFill>
              <w14:schemeClr w14:val="tx1"/>
            </w14:solidFill>
          </w14:textFill>
        </w:rPr>
        <w:t>内各年现金净流量可覆盖债券存续期间各年利息及到期偿还本金的支出需求；专项债券存续期到期时，在偿还当年到期的债券本息后，仍有</w:t>
      </w:r>
      <w:r>
        <w:rPr>
          <w:rFonts w:ascii="仿宋" w:hAnsi="仿宋" w:eastAsia="仿宋"/>
          <w:color w:val="000000" w:themeColor="text1"/>
          <w:kern w:val="0"/>
          <w:sz w:val="28"/>
          <w:szCs w:val="28"/>
          <w14:textFill>
            <w14:solidFill>
              <w14:schemeClr w14:val="tx1"/>
            </w14:solidFill>
          </w14:textFill>
        </w:rPr>
        <w:t>342</w:t>
      </w:r>
      <w:r>
        <w:rPr>
          <w:rFonts w:hint="eastAsia" w:ascii="仿宋" w:hAnsi="仿宋" w:eastAsia="仿宋"/>
          <w:color w:val="000000" w:themeColor="text1"/>
          <w:kern w:val="0"/>
          <w:sz w:val="28"/>
          <w:szCs w:val="28"/>
          <w14:textFill>
            <w14:solidFill>
              <w14:schemeClr w14:val="tx1"/>
            </w14:solidFill>
          </w14:textFill>
        </w:rPr>
        <w:t>万元的累计现金结余，综合本息覆盖倍数为</w:t>
      </w:r>
      <w:r>
        <w:rPr>
          <w:rFonts w:ascii="仿宋" w:hAnsi="仿宋" w:eastAsia="仿宋"/>
          <w:color w:val="000000" w:themeColor="text1"/>
          <w:kern w:val="0"/>
          <w:sz w:val="28"/>
          <w:szCs w:val="28"/>
          <w14:textFill>
            <w14:solidFill>
              <w14:schemeClr w14:val="tx1"/>
            </w14:solidFill>
          </w14:textFill>
        </w:rPr>
        <w:t>1.27</w:t>
      </w:r>
      <w:r>
        <w:rPr>
          <w:rFonts w:hint="eastAsia" w:ascii="仿宋" w:hAnsi="仿宋" w:eastAsia="仿宋"/>
          <w:color w:val="000000" w:themeColor="text1"/>
          <w:kern w:val="0"/>
          <w:sz w:val="28"/>
          <w:szCs w:val="28"/>
          <w14:textFill>
            <w14:solidFill>
              <w14:schemeClr w14:val="tx1"/>
            </w14:solidFill>
          </w14:textFill>
        </w:rPr>
        <w:t>。</w:t>
      </w:r>
      <w:r>
        <w:rPr>
          <w:rFonts w:ascii="仿宋" w:hAnsi="仿宋" w:eastAsia="仿宋" w:cs="楷体"/>
          <w:color w:val="000000" w:themeColor="text1"/>
          <w:kern w:val="0"/>
          <w:sz w:val="28"/>
          <w:szCs w:val="28"/>
          <w:lang w:val="en-GB"/>
          <w14:textFill>
            <w14:solidFill>
              <w14:schemeClr w14:val="tx1"/>
            </w14:solidFill>
          </w14:textFill>
        </w:rPr>
        <w:t>因此，</w:t>
      </w:r>
      <w:r>
        <w:rPr>
          <w:rFonts w:hint="eastAsia" w:ascii="仿宋" w:hAnsi="仿宋" w:eastAsia="仿宋" w:cs="楷体"/>
          <w:color w:val="000000" w:themeColor="text1"/>
          <w:kern w:val="0"/>
          <w:sz w:val="28"/>
          <w:szCs w:val="28"/>
          <w:lang w:val="en-GB"/>
          <w14:textFill>
            <w14:solidFill>
              <w14:schemeClr w14:val="tx1"/>
            </w14:solidFill>
          </w14:textFill>
        </w:rPr>
        <w:t>本</w:t>
      </w:r>
      <w:r>
        <w:rPr>
          <w:rFonts w:ascii="仿宋" w:hAnsi="仿宋" w:eastAsia="仿宋" w:cs="楷体"/>
          <w:color w:val="000000" w:themeColor="text1"/>
          <w:kern w:val="0"/>
          <w:sz w:val="28"/>
          <w:szCs w:val="28"/>
          <w:lang w:val="en-GB"/>
          <w14:textFill>
            <w14:solidFill>
              <w14:schemeClr w14:val="tx1"/>
            </w14:solidFill>
          </w14:textFill>
        </w:rPr>
        <w:t>项目资金稳定性较可靠。</w:t>
      </w:r>
      <w:r>
        <w:rPr>
          <w:rFonts w:hint="eastAsia" w:ascii="仿宋" w:hAnsi="仿宋" w:eastAsia="仿宋" w:cs="楷体"/>
          <w:color w:val="000000" w:themeColor="text1"/>
          <w:kern w:val="0"/>
          <w:sz w:val="28"/>
          <w:szCs w:val="28"/>
          <w:lang w:val="en-GB"/>
          <w14:textFill>
            <w14:solidFill>
              <w14:schemeClr w14:val="tx1"/>
            </w14:solidFill>
          </w14:textFill>
        </w:rPr>
        <w:t>本</w:t>
      </w:r>
      <w:r>
        <w:rPr>
          <w:rFonts w:ascii="仿宋" w:hAnsi="仿宋" w:eastAsia="仿宋" w:cs="楷体"/>
          <w:color w:val="000000" w:themeColor="text1"/>
          <w:kern w:val="0"/>
          <w:sz w:val="28"/>
          <w:szCs w:val="28"/>
          <w:lang w:val="en-GB"/>
          <w14:textFill>
            <w14:solidFill>
              <w14:schemeClr w14:val="tx1"/>
            </w14:solidFill>
          </w14:textFill>
        </w:rPr>
        <w:t>项目债券存续期内资金留存情况如</w:t>
      </w:r>
      <w:r>
        <w:rPr>
          <w:rFonts w:hint="eastAsia" w:ascii="仿宋" w:hAnsi="仿宋" w:eastAsia="仿宋" w:cs="楷体"/>
          <w:color w:val="000000" w:themeColor="text1"/>
          <w:kern w:val="0"/>
          <w:sz w:val="28"/>
          <w:szCs w:val="28"/>
          <w:lang w:val="en-GB"/>
          <w14:textFill>
            <w14:solidFill>
              <w14:schemeClr w14:val="tx1"/>
            </w14:solidFill>
          </w14:textFill>
        </w:rPr>
        <w:t>下图</w:t>
      </w:r>
      <w:r>
        <w:rPr>
          <w:rFonts w:ascii="仿宋" w:hAnsi="仿宋" w:eastAsia="仿宋" w:cs="楷体"/>
          <w:color w:val="000000" w:themeColor="text1"/>
          <w:kern w:val="0"/>
          <w:sz w:val="28"/>
          <w:szCs w:val="28"/>
          <w:lang w:val="en-GB"/>
          <w14:textFill>
            <w14:solidFill>
              <w14:schemeClr w14:val="tx1"/>
            </w14:solidFill>
          </w14:textFill>
        </w:rPr>
        <w:t>所示。</w:t>
      </w:r>
    </w:p>
    <w:bookmarkEnd w:id="23"/>
    <w:p>
      <w:pPr>
        <w:widowControl/>
        <w:spacing w:before="120" w:after="120" w:line="240" w:lineRule="auto"/>
        <w:ind w:left="425" w:hanging="425"/>
        <w:jc w:val="center"/>
        <w:rPr>
          <w:rFonts w:hint="eastAsia" w:ascii="仿宋" w:hAnsi="仿宋" w:eastAsia="仿宋"/>
          <w:b/>
          <w:color w:val="000000" w:themeColor="text1"/>
          <w:kern w:val="0"/>
          <w:sz w:val="24"/>
          <w:szCs w:val="24"/>
          <w14:textFill>
            <w14:solidFill>
              <w14:schemeClr w14:val="tx1"/>
            </w14:solidFill>
          </w14:textFill>
        </w:rPr>
      </w:pPr>
      <w:r>
        <w:rPr>
          <w:rFonts w:ascii="仿宋" w:hAnsi="仿宋" w:eastAsia="仿宋"/>
          <w:b/>
          <w:color w:val="000000" w:themeColor="text1"/>
          <w:kern w:val="0"/>
          <w:sz w:val="24"/>
          <w:szCs w:val="24"/>
          <w14:textFill>
            <w14:solidFill>
              <w14:schemeClr w14:val="tx1"/>
            </w14:solidFill>
          </w14:textFill>
        </w:rPr>
        <w:t>图1债券存续期内项目累计资金留存情况</w:t>
      </w:r>
    </w:p>
    <w:p>
      <w:pPr>
        <w:widowControl/>
        <w:spacing w:before="120" w:after="120" w:line="240" w:lineRule="auto"/>
        <w:ind w:left="425" w:hanging="425"/>
        <w:jc w:val="center"/>
        <w:rPr>
          <w:rFonts w:hint="eastAsia" w:ascii="仿宋" w:hAnsi="仿宋" w:eastAsia="仿宋"/>
          <w:b/>
          <w:color w:val="000000" w:themeColor="text1"/>
          <w:kern w:val="0"/>
          <w:sz w:val="24"/>
          <w:szCs w:val="24"/>
          <w14:textFill>
            <w14:solidFill>
              <w14:schemeClr w14:val="tx1"/>
            </w14:solidFill>
          </w14:textFill>
        </w:rPr>
      </w:pPr>
      <w:r>
        <w:rPr>
          <w:rFonts w:ascii="Verdana" w:hAnsi="Verdana" w:eastAsia="华文细黑"/>
        </w:rPr>
        <w:drawing>
          <wp:inline distT="0" distB="0" distL="0" distR="0">
            <wp:extent cx="5181600" cy="3238500"/>
            <wp:effectExtent l="0" t="0" r="0" b="0"/>
            <wp:docPr id="464203992"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pPr>
        <w:widowControl/>
        <w:spacing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r>
        <w:rPr>
          <w:rFonts w:ascii="仿宋" w:hAnsi="仿宋" w:eastAsia="仿宋"/>
          <w:color w:val="000000" w:themeColor="text1"/>
          <w:kern w:val="0"/>
          <w:sz w:val="28"/>
          <w:szCs w:val="28"/>
          <w14:textFill>
            <w14:solidFill>
              <w14:schemeClr w14:val="tx1"/>
            </w14:solidFill>
          </w14:textFill>
        </w:rPr>
        <w:t>综上，</w:t>
      </w:r>
      <w:r>
        <w:rPr>
          <w:rFonts w:hint="eastAsia" w:ascii="仿宋" w:hAnsi="仿宋" w:eastAsia="仿宋"/>
          <w:color w:val="000000" w:themeColor="text1"/>
          <w:kern w:val="0"/>
          <w:sz w:val="28"/>
          <w:szCs w:val="28"/>
          <w14:textFill>
            <w14:solidFill>
              <w14:schemeClr w14:val="tx1"/>
            </w14:solidFill>
          </w14:textFill>
        </w:rPr>
        <w:t>针对本项目在调增后存续期内还本付息资金的测算，我们未注意到可能对本项目资金稳定性产生重大影响的情况。</w:t>
      </w:r>
    </w:p>
    <w:p>
      <w:pPr>
        <w:pStyle w:val="3"/>
        <w:spacing w:before="0" w:after="0" w:line="360" w:lineRule="auto"/>
        <w:ind w:firstLine="562" w:firstLineChars="200"/>
        <w:rPr>
          <w:rFonts w:hint="eastAsia" w:ascii="仿宋" w:hAnsi="仿宋" w:eastAsia="仿宋" w:cs="楷体"/>
          <w:color w:val="000000" w:themeColor="text1"/>
          <w:kern w:val="0"/>
          <w:sz w:val="28"/>
          <w:szCs w:val="28"/>
          <w:lang w:val="en-GB"/>
          <w14:textFill>
            <w14:solidFill>
              <w14:schemeClr w14:val="tx1"/>
            </w14:solidFill>
          </w14:textFill>
        </w:rPr>
      </w:pPr>
      <w:bookmarkStart w:id="24" w:name="_Toc200722011"/>
      <w:r>
        <w:rPr>
          <w:rFonts w:hint="eastAsia" w:ascii="仿宋" w:hAnsi="仿宋" w:eastAsia="仿宋" w:cs="楷体"/>
          <w:color w:val="000000" w:themeColor="text1"/>
          <w:kern w:val="0"/>
          <w:sz w:val="28"/>
          <w:szCs w:val="28"/>
          <w:lang w:val="en-GB"/>
          <w14:textFill>
            <w14:solidFill>
              <w14:schemeClr w14:val="tx1"/>
            </w14:solidFill>
          </w14:textFill>
        </w:rPr>
        <w:t>（三）</w:t>
      </w:r>
      <w:r>
        <w:rPr>
          <w:rFonts w:ascii="仿宋" w:hAnsi="仿宋" w:eastAsia="仿宋" w:cs="楷体"/>
          <w:color w:val="000000" w:themeColor="text1"/>
          <w:kern w:val="0"/>
          <w:sz w:val="28"/>
          <w:szCs w:val="28"/>
          <w:lang w:val="en-GB"/>
          <w14:textFill>
            <w14:solidFill>
              <w14:schemeClr w14:val="tx1"/>
            </w14:solidFill>
          </w14:textFill>
        </w:rPr>
        <w:t>风险分析</w:t>
      </w:r>
      <w:bookmarkEnd w:id="24"/>
    </w:p>
    <w:p>
      <w:pPr>
        <w:widowControl/>
        <w:spacing w:after="0" w:line="360" w:lineRule="auto"/>
        <w:ind w:firstLine="560" w:firstLineChars="200"/>
        <w:rPr>
          <w:rFonts w:hint="eastAsia" w:ascii="仿宋" w:hAnsi="仿宋" w:eastAsia="仿宋"/>
          <w:b/>
          <w:color w:val="000000" w:themeColor="text1"/>
          <w:kern w:val="0"/>
          <w:sz w:val="24"/>
          <w:szCs w:val="24"/>
          <w14:textFill>
            <w14:solidFill>
              <w14:schemeClr w14:val="tx1"/>
            </w14:solidFill>
          </w14:textFill>
        </w:rPr>
      </w:pPr>
      <w:r>
        <w:rPr>
          <w:rFonts w:ascii="仿宋" w:hAnsi="仿宋" w:eastAsia="仿宋"/>
          <w:color w:val="000000" w:themeColor="text1"/>
          <w:kern w:val="0"/>
          <w:sz w:val="28"/>
          <w:szCs w:val="28"/>
          <w14:textFill>
            <w14:solidFill>
              <w14:schemeClr w14:val="tx1"/>
            </w14:solidFill>
          </w14:textFill>
        </w:rPr>
        <w:t>根据</w:t>
      </w:r>
      <w:r>
        <w:rPr>
          <w:rFonts w:hint="eastAsia" w:ascii="仿宋" w:hAnsi="仿宋" w:eastAsia="仿宋"/>
          <w:color w:val="000000" w:themeColor="text1"/>
          <w:kern w:val="0"/>
          <w:sz w:val="28"/>
          <w:szCs w:val="28"/>
          <w14:textFill>
            <w14:solidFill>
              <w14:schemeClr w14:val="tx1"/>
            </w14:solidFill>
          </w14:textFill>
        </w:rPr>
        <w:t>本</w:t>
      </w:r>
      <w:r>
        <w:rPr>
          <w:rFonts w:ascii="仿宋" w:hAnsi="仿宋" w:eastAsia="仿宋"/>
          <w:color w:val="000000" w:themeColor="text1"/>
          <w:kern w:val="0"/>
          <w:sz w:val="28"/>
          <w:szCs w:val="28"/>
          <w14:textFill>
            <w14:solidFill>
              <w14:schemeClr w14:val="tx1"/>
            </w14:solidFill>
          </w14:textFill>
        </w:rPr>
        <w:t>项目收益与融资平衡的压力测试结果，当</w:t>
      </w:r>
      <w:r>
        <w:rPr>
          <w:rFonts w:hint="eastAsia" w:ascii="仿宋" w:hAnsi="仿宋" w:eastAsia="仿宋"/>
          <w:color w:val="000000" w:themeColor="text1"/>
          <w:kern w:val="0"/>
          <w:sz w:val="28"/>
          <w:szCs w:val="28"/>
          <w14:textFill>
            <w14:solidFill>
              <w14:schemeClr w14:val="tx1"/>
            </w14:solidFill>
          </w14:textFill>
        </w:rPr>
        <w:t>项目收入</w:t>
      </w:r>
      <w:r>
        <w:rPr>
          <w:rFonts w:ascii="仿宋" w:hAnsi="仿宋" w:eastAsia="仿宋"/>
          <w:color w:val="000000" w:themeColor="text1"/>
          <w:kern w:val="0"/>
          <w:sz w:val="28"/>
          <w:szCs w:val="28"/>
          <w14:textFill>
            <w14:solidFill>
              <w14:schemeClr w14:val="tx1"/>
            </w14:solidFill>
          </w14:textFill>
        </w:rPr>
        <w:t>下降</w:t>
      </w:r>
      <w:r>
        <w:rPr>
          <w:rFonts w:hint="eastAsia" w:ascii="仿宋" w:hAnsi="仿宋" w:eastAsia="仿宋"/>
          <w:color w:val="000000" w:themeColor="text1"/>
          <w:kern w:val="0"/>
          <w:sz w:val="28"/>
          <w:szCs w:val="28"/>
          <w14:textFill>
            <w14:solidFill>
              <w14:schemeClr w14:val="tx1"/>
            </w14:solidFill>
          </w14:textFill>
        </w:rPr>
        <w:t>20</w:t>
      </w:r>
      <w:r>
        <w:rPr>
          <w:rFonts w:ascii="仿宋" w:hAnsi="仿宋" w:eastAsia="仿宋"/>
          <w:color w:val="000000" w:themeColor="text1"/>
          <w:kern w:val="0"/>
          <w:sz w:val="28"/>
          <w:szCs w:val="28"/>
          <w14:textFill>
            <w14:solidFill>
              <w14:schemeClr w14:val="tx1"/>
            </w14:solidFill>
          </w14:textFill>
        </w:rPr>
        <w:t>%的情况下，项目的债券本息覆盖率仍然＞1。因此，</w:t>
      </w:r>
      <w:r>
        <w:rPr>
          <w:rFonts w:hint="eastAsia" w:ascii="仿宋" w:hAnsi="仿宋" w:eastAsia="仿宋"/>
          <w:color w:val="000000" w:themeColor="text1"/>
          <w:kern w:val="0"/>
          <w:sz w:val="28"/>
          <w:szCs w:val="28"/>
          <w14:textFill>
            <w14:solidFill>
              <w14:schemeClr w14:val="tx1"/>
            </w14:solidFill>
          </w14:textFill>
        </w:rPr>
        <w:t>本</w:t>
      </w:r>
      <w:r>
        <w:rPr>
          <w:rFonts w:ascii="仿宋" w:hAnsi="仿宋" w:eastAsia="仿宋"/>
          <w:color w:val="000000" w:themeColor="text1"/>
          <w:kern w:val="0"/>
          <w:sz w:val="28"/>
          <w:szCs w:val="28"/>
          <w14:textFill>
            <w14:solidFill>
              <w14:schemeClr w14:val="tx1"/>
            </w14:solidFill>
          </w14:textFill>
        </w:rPr>
        <w:t>项目的收益对债券还本付息保障性较高，可通过压力测试，还本付息资金具有一定的稳定性与风险抵抗能力。</w:t>
      </w:r>
      <w:r>
        <w:rPr>
          <w:rFonts w:hint="eastAsia" w:ascii="仿宋" w:hAnsi="仿宋" w:eastAsia="仿宋"/>
          <w:color w:val="000000" w:themeColor="text1"/>
          <w:kern w:val="0"/>
          <w:sz w:val="28"/>
          <w:szCs w:val="28"/>
          <w14:textFill>
            <w14:solidFill>
              <w14:schemeClr w14:val="tx1"/>
            </w14:solidFill>
          </w14:textFill>
        </w:rPr>
        <w:t>本</w:t>
      </w:r>
      <w:r>
        <w:rPr>
          <w:rFonts w:ascii="仿宋" w:hAnsi="仿宋" w:eastAsia="仿宋"/>
          <w:color w:val="000000" w:themeColor="text1"/>
          <w:kern w:val="0"/>
          <w:sz w:val="28"/>
          <w:szCs w:val="28"/>
          <w14:textFill>
            <w14:solidFill>
              <w14:schemeClr w14:val="tx1"/>
            </w14:solidFill>
          </w14:textFill>
        </w:rPr>
        <w:t>项目的压力测试情况详见下表</w:t>
      </w:r>
      <w:r>
        <w:rPr>
          <w:rFonts w:hint="eastAsia" w:ascii="仿宋" w:hAnsi="仿宋" w:eastAsia="仿宋"/>
          <w:color w:val="000000" w:themeColor="text1"/>
          <w:kern w:val="0"/>
          <w:sz w:val="28"/>
          <w:szCs w:val="28"/>
          <w14:textFill>
            <w14:solidFill>
              <w14:schemeClr w14:val="tx1"/>
            </w14:solidFill>
          </w14:textFill>
        </w:rPr>
        <w:t>7</w:t>
      </w:r>
      <w:r>
        <w:rPr>
          <w:rFonts w:ascii="仿宋" w:hAnsi="仿宋" w:eastAsia="仿宋"/>
          <w:color w:val="000000" w:themeColor="text1"/>
          <w:kern w:val="0"/>
          <w:sz w:val="28"/>
          <w:szCs w:val="28"/>
          <w14:textFill>
            <w14:solidFill>
              <w14:schemeClr w14:val="tx1"/>
            </w14:solidFill>
          </w14:textFill>
        </w:rPr>
        <w:t>：</w:t>
      </w:r>
    </w:p>
    <w:p>
      <w:pPr>
        <w:widowControl/>
        <w:spacing w:after="0" w:line="360" w:lineRule="auto"/>
        <w:jc w:val="center"/>
        <w:rPr>
          <w:rFonts w:hint="eastAsia" w:ascii="仿宋" w:hAnsi="仿宋" w:eastAsia="仿宋"/>
          <w:b/>
          <w:color w:val="000000" w:themeColor="text1"/>
          <w:kern w:val="0"/>
          <w:sz w:val="24"/>
          <w:szCs w:val="24"/>
          <w14:textFill>
            <w14:solidFill>
              <w14:schemeClr w14:val="tx1"/>
            </w14:solidFill>
          </w14:textFill>
        </w:rPr>
      </w:pPr>
      <w:r>
        <w:rPr>
          <w:rFonts w:hint="eastAsia" w:ascii="仿宋" w:hAnsi="仿宋" w:eastAsia="仿宋"/>
          <w:b/>
          <w:color w:val="000000" w:themeColor="text1"/>
          <w:kern w:val="0"/>
          <w:sz w:val="24"/>
          <w:szCs w:val="24"/>
          <w14:textFill>
            <w14:solidFill>
              <w14:schemeClr w14:val="tx1"/>
            </w14:solidFill>
          </w14:textFill>
        </w:rPr>
        <w:t>表7海口江东新区城市地下管网完善工程（一期）压力测试表</w:t>
      </w:r>
    </w:p>
    <w:tbl>
      <w:tblPr>
        <w:tblStyle w:val="24"/>
        <w:tblW w:w="610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53"/>
        <w:gridCol w:w="898"/>
        <w:gridCol w:w="898"/>
        <w:gridCol w:w="898"/>
        <w:gridCol w:w="898"/>
        <w:gridCol w:w="896"/>
        <w:gridCol w:w="896"/>
        <w:gridCol w:w="896"/>
        <w:gridCol w:w="894"/>
        <w:gridCol w:w="8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273" w:type="pct"/>
            <w:shd w:val="clear" w:color="auto" w:fill="auto"/>
            <w:noWrap/>
            <w:vAlign w:val="center"/>
          </w:tcPr>
          <w:p>
            <w:pPr>
              <w:widowControl/>
              <w:spacing w:after="0" w:line="240" w:lineRule="auto"/>
              <w:jc w:val="center"/>
              <w:rPr>
                <w:rFonts w:ascii="仿宋" w:hAnsi="仿宋" w:eastAsia="仿宋"/>
                <w:b/>
                <w:bCs/>
                <w:kern w:val="0"/>
                <w:sz w:val="20"/>
                <w:szCs w:val="20"/>
              </w:rPr>
            </w:pPr>
            <w:r>
              <w:rPr>
                <w:rFonts w:hint="eastAsia" w:ascii="仿宋" w:hAnsi="仿宋" w:eastAsia="仿宋"/>
                <w:b/>
                <w:bCs/>
                <w:kern w:val="0"/>
                <w:sz w:val="20"/>
                <w:szCs w:val="20"/>
              </w:rPr>
              <w:t>资金覆盖率</w:t>
            </w:r>
            <w:r>
              <w:rPr>
                <w:rFonts w:ascii="仿宋" w:hAnsi="仿宋" w:eastAsia="仿宋"/>
                <w:b/>
                <w:bCs/>
                <w:kern w:val="0"/>
                <w:sz w:val="20"/>
                <w:szCs w:val="20"/>
              </w:rPr>
              <w:t>-</w:t>
            </w:r>
            <w:r>
              <w:rPr>
                <w:rFonts w:hint="eastAsia" w:ascii="仿宋" w:hAnsi="仿宋" w:eastAsia="仿宋"/>
                <w:b/>
                <w:bCs/>
                <w:kern w:val="0"/>
                <w:sz w:val="20"/>
                <w:szCs w:val="20"/>
              </w:rPr>
              <w:t>压力测试</w:t>
            </w:r>
          </w:p>
          <w:p>
            <w:pPr>
              <w:widowControl/>
              <w:spacing w:after="0" w:line="240" w:lineRule="auto"/>
              <w:jc w:val="center"/>
              <w:rPr>
                <w:rFonts w:ascii="仿宋" w:hAnsi="仿宋" w:eastAsia="仿宋"/>
                <w:b/>
                <w:bCs/>
                <w:kern w:val="0"/>
                <w:sz w:val="20"/>
                <w:szCs w:val="20"/>
              </w:rPr>
            </w:pPr>
            <w:r>
              <w:rPr>
                <w:rFonts w:hint="eastAsia" w:ascii="仿宋" w:hAnsi="仿宋" w:eastAsia="仿宋"/>
                <w:b/>
                <w:bCs/>
                <w:kern w:val="0"/>
                <w:sz w:val="20"/>
                <w:szCs w:val="20"/>
              </w:rPr>
              <w:t>（单因素敏感性分析）</w:t>
            </w:r>
          </w:p>
        </w:tc>
        <w:tc>
          <w:tcPr>
            <w:tcW w:w="415" w:type="pct"/>
            <w:shd w:val="clear" w:color="auto" w:fill="auto"/>
            <w:vAlign w:val="center"/>
          </w:tcPr>
          <w:p>
            <w:pPr>
              <w:widowControl/>
              <w:spacing w:after="0" w:line="240" w:lineRule="auto"/>
              <w:jc w:val="center"/>
              <w:rPr>
                <w:rFonts w:ascii="仿宋" w:hAnsi="仿宋" w:eastAsia="仿宋"/>
                <w:b/>
                <w:bCs/>
                <w:kern w:val="0"/>
                <w:sz w:val="20"/>
                <w:szCs w:val="20"/>
              </w:rPr>
            </w:pPr>
            <w:r>
              <w:rPr>
                <w:rFonts w:ascii="仿宋" w:hAnsi="仿宋" w:eastAsia="仿宋"/>
                <w:b/>
                <w:bCs/>
                <w:kern w:val="0"/>
                <w:sz w:val="20"/>
                <w:szCs w:val="20"/>
              </w:rPr>
              <w:t>-20%</w:t>
            </w:r>
          </w:p>
        </w:tc>
        <w:tc>
          <w:tcPr>
            <w:tcW w:w="415" w:type="pct"/>
            <w:shd w:val="clear" w:color="auto" w:fill="auto"/>
            <w:vAlign w:val="center"/>
          </w:tcPr>
          <w:p>
            <w:pPr>
              <w:widowControl/>
              <w:spacing w:after="0" w:line="240" w:lineRule="auto"/>
              <w:jc w:val="center"/>
              <w:rPr>
                <w:rFonts w:ascii="仿宋" w:hAnsi="仿宋" w:eastAsia="仿宋"/>
                <w:b/>
                <w:bCs/>
                <w:kern w:val="0"/>
                <w:sz w:val="20"/>
                <w:szCs w:val="20"/>
              </w:rPr>
            </w:pPr>
            <w:r>
              <w:rPr>
                <w:rFonts w:ascii="仿宋" w:hAnsi="仿宋" w:eastAsia="仿宋"/>
                <w:b/>
                <w:bCs/>
                <w:kern w:val="0"/>
                <w:sz w:val="20"/>
                <w:szCs w:val="20"/>
              </w:rPr>
              <w:t>-15%</w:t>
            </w:r>
          </w:p>
        </w:tc>
        <w:tc>
          <w:tcPr>
            <w:tcW w:w="415" w:type="pct"/>
            <w:shd w:val="clear" w:color="auto" w:fill="auto"/>
            <w:noWrap/>
            <w:vAlign w:val="center"/>
          </w:tcPr>
          <w:p>
            <w:pPr>
              <w:widowControl/>
              <w:spacing w:after="0" w:line="240" w:lineRule="auto"/>
              <w:jc w:val="center"/>
              <w:rPr>
                <w:rFonts w:ascii="仿宋" w:hAnsi="仿宋" w:eastAsia="仿宋"/>
                <w:b/>
                <w:bCs/>
                <w:kern w:val="0"/>
                <w:sz w:val="20"/>
                <w:szCs w:val="20"/>
              </w:rPr>
            </w:pPr>
            <w:r>
              <w:rPr>
                <w:rFonts w:ascii="仿宋" w:hAnsi="仿宋" w:eastAsia="仿宋"/>
                <w:b/>
                <w:bCs/>
                <w:kern w:val="0"/>
                <w:sz w:val="20"/>
                <w:szCs w:val="20"/>
              </w:rPr>
              <w:t>-10%</w:t>
            </w:r>
          </w:p>
        </w:tc>
        <w:tc>
          <w:tcPr>
            <w:tcW w:w="415" w:type="pct"/>
            <w:shd w:val="clear" w:color="auto" w:fill="auto"/>
            <w:noWrap/>
            <w:vAlign w:val="center"/>
          </w:tcPr>
          <w:p>
            <w:pPr>
              <w:widowControl/>
              <w:spacing w:after="0" w:line="240" w:lineRule="auto"/>
              <w:jc w:val="center"/>
              <w:rPr>
                <w:rFonts w:ascii="仿宋" w:hAnsi="仿宋" w:eastAsia="仿宋"/>
                <w:b/>
                <w:bCs/>
                <w:kern w:val="0"/>
                <w:sz w:val="20"/>
                <w:szCs w:val="20"/>
              </w:rPr>
            </w:pPr>
            <w:r>
              <w:rPr>
                <w:rFonts w:ascii="仿宋" w:hAnsi="仿宋" w:eastAsia="仿宋"/>
                <w:b/>
                <w:bCs/>
                <w:kern w:val="0"/>
                <w:sz w:val="20"/>
                <w:szCs w:val="20"/>
              </w:rPr>
              <w:t>-5%</w:t>
            </w:r>
          </w:p>
        </w:tc>
        <w:tc>
          <w:tcPr>
            <w:tcW w:w="414" w:type="pct"/>
            <w:shd w:val="clear" w:color="auto" w:fill="auto"/>
            <w:noWrap/>
            <w:vAlign w:val="center"/>
          </w:tcPr>
          <w:p>
            <w:pPr>
              <w:widowControl/>
              <w:spacing w:after="0" w:line="240" w:lineRule="auto"/>
              <w:jc w:val="center"/>
              <w:rPr>
                <w:rFonts w:ascii="仿宋" w:hAnsi="仿宋" w:eastAsia="仿宋"/>
                <w:b/>
                <w:bCs/>
                <w:kern w:val="0"/>
                <w:sz w:val="20"/>
                <w:szCs w:val="20"/>
              </w:rPr>
            </w:pPr>
            <w:r>
              <w:rPr>
                <w:rFonts w:ascii="仿宋" w:hAnsi="仿宋" w:eastAsia="仿宋"/>
                <w:b/>
                <w:bCs/>
                <w:kern w:val="0"/>
                <w:sz w:val="20"/>
                <w:szCs w:val="20"/>
              </w:rPr>
              <w:t>0%</w:t>
            </w:r>
          </w:p>
        </w:tc>
        <w:tc>
          <w:tcPr>
            <w:tcW w:w="414" w:type="pct"/>
            <w:shd w:val="clear" w:color="auto" w:fill="auto"/>
            <w:noWrap/>
            <w:vAlign w:val="center"/>
          </w:tcPr>
          <w:p>
            <w:pPr>
              <w:widowControl/>
              <w:spacing w:after="0" w:line="240" w:lineRule="auto"/>
              <w:jc w:val="center"/>
              <w:rPr>
                <w:rFonts w:ascii="仿宋" w:hAnsi="仿宋" w:eastAsia="仿宋"/>
                <w:b/>
                <w:bCs/>
                <w:kern w:val="0"/>
                <w:sz w:val="20"/>
                <w:szCs w:val="20"/>
              </w:rPr>
            </w:pPr>
            <w:r>
              <w:rPr>
                <w:rFonts w:ascii="仿宋" w:hAnsi="仿宋" w:eastAsia="仿宋"/>
                <w:b/>
                <w:bCs/>
                <w:kern w:val="0"/>
                <w:sz w:val="20"/>
                <w:szCs w:val="20"/>
              </w:rPr>
              <w:t>5%</w:t>
            </w:r>
          </w:p>
        </w:tc>
        <w:tc>
          <w:tcPr>
            <w:tcW w:w="414" w:type="pct"/>
            <w:shd w:val="clear" w:color="auto" w:fill="auto"/>
            <w:noWrap/>
            <w:vAlign w:val="center"/>
          </w:tcPr>
          <w:p>
            <w:pPr>
              <w:widowControl/>
              <w:spacing w:after="0" w:line="240" w:lineRule="auto"/>
              <w:jc w:val="center"/>
              <w:rPr>
                <w:rFonts w:ascii="仿宋" w:hAnsi="仿宋" w:eastAsia="仿宋"/>
                <w:b/>
                <w:bCs/>
                <w:kern w:val="0"/>
                <w:sz w:val="20"/>
                <w:szCs w:val="20"/>
              </w:rPr>
            </w:pPr>
            <w:r>
              <w:rPr>
                <w:rFonts w:ascii="仿宋" w:hAnsi="仿宋" w:eastAsia="仿宋"/>
                <w:b/>
                <w:bCs/>
                <w:kern w:val="0"/>
                <w:sz w:val="20"/>
                <w:szCs w:val="20"/>
              </w:rPr>
              <w:t>10%</w:t>
            </w:r>
          </w:p>
        </w:tc>
        <w:tc>
          <w:tcPr>
            <w:tcW w:w="413" w:type="pct"/>
            <w:shd w:val="clear" w:color="auto" w:fill="auto"/>
            <w:vAlign w:val="center"/>
          </w:tcPr>
          <w:p>
            <w:pPr>
              <w:widowControl/>
              <w:spacing w:after="0" w:line="240" w:lineRule="auto"/>
              <w:jc w:val="center"/>
              <w:rPr>
                <w:rFonts w:ascii="仿宋" w:hAnsi="仿宋" w:eastAsia="仿宋"/>
                <w:b/>
                <w:bCs/>
                <w:kern w:val="0"/>
                <w:sz w:val="20"/>
                <w:szCs w:val="20"/>
              </w:rPr>
            </w:pPr>
            <w:r>
              <w:rPr>
                <w:rFonts w:ascii="仿宋" w:hAnsi="仿宋" w:eastAsia="仿宋"/>
                <w:b/>
                <w:bCs/>
                <w:kern w:val="0"/>
                <w:sz w:val="20"/>
                <w:szCs w:val="20"/>
              </w:rPr>
              <w:t>15%</w:t>
            </w:r>
          </w:p>
        </w:tc>
        <w:tc>
          <w:tcPr>
            <w:tcW w:w="411" w:type="pct"/>
            <w:shd w:val="clear" w:color="auto" w:fill="auto"/>
            <w:vAlign w:val="center"/>
          </w:tcPr>
          <w:p>
            <w:pPr>
              <w:widowControl/>
              <w:spacing w:after="0" w:line="240" w:lineRule="auto"/>
              <w:jc w:val="center"/>
              <w:rPr>
                <w:rFonts w:ascii="仿宋" w:hAnsi="仿宋" w:eastAsia="仿宋"/>
                <w:b/>
                <w:bCs/>
                <w:kern w:val="0"/>
                <w:sz w:val="20"/>
                <w:szCs w:val="20"/>
              </w:rPr>
            </w:pPr>
            <w:r>
              <w:rPr>
                <w:rFonts w:ascii="仿宋" w:hAnsi="仿宋" w:eastAsia="仿宋"/>
                <w:b/>
                <w:bCs/>
                <w:kern w:val="0"/>
                <w:sz w:val="20"/>
                <w:szCs w:val="20"/>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73" w:type="pct"/>
            <w:shd w:val="clear" w:color="auto" w:fill="auto"/>
            <w:noWrap/>
            <w:vAlign w:val="center"/>
          </w:tcPr>
          <w:p>
            <w:pPr>
              <w:widowControl/>
              <w:spacing w:after="0" w:line="240" w:lineRule="auto"/>
              <w:jc w:val="left"/>
              <w:rPr>
                <w:rFonts w:ascii="仿宋" w:hAnsi="仿宋" w:eastAsia="仿宋"/>
                <w:b/>
                <w:bCs/>
                <w:kern w:val="0"/>
                <w:sz w:val="20"/>
                <w:szCs w:val="20"/>
              </w:rPr>
            </w:pPr>
            <w:r>
              <w:rPr>
                <w:rFonts w:hint="eastAsia" w:ascii="仿宋" w:hAnsi="仿宋" w:eastAsia="仿宋"/>
                <w:b/>
                <w:bCs/>
                <w:kern w:val="0"/>
                <w:sz w:val="20"/>
                <w:szCs w:val="20"/>
              </w:rPr>
              <w:t>收入变动情况敏感性分析</w:t>
            </w:r>
          </w:p>
        </w:tc>
        <w:tc>
          <w:tcPr>
            <w:tcW w:w="415" w:type="pct"/>
            <w:shd w:val="clear" w:color="auto" w:fill="auto"/>
          </w:tcPr>
          <w:p>
            <w:pPr>
              <w:widowControl/>
              <w:spacing w:after="0" w:line="240" w:lineRule="auto"/>
              <w:jc w:val="right"/>
              <w:rPr>
                <w:rFonts w:ascii="仿宋" w:hAnsi="仿宋" w:eastAsia="仿宋"/>
                <w:kern w:val="0"/>
                <w:sz w:val="20"/>
                <w:szCs w:val="20"/>
              </w:rPr>
            </w:pPr>
          </w:p>
        </w:tc>
        <w:tc>
          <w:tcPr>
            <w:tcW w:w="415" w:type="pct"/>
            <w:shd w:val="clear" w:color="auto" w:fill="auto"/>
            <w:vAlign w:val="center"/>
          </w:tcPr>
          <w:p>
            <w:pPr>
              <w:widowControl/>
              <w:spacing w:after="0" w:line="240" w:lineRule="auto"/>
              <w:jc w:val="right"/>
              <w:rPr>
                <w:rFonts w:ascii="仿宋" w:hAnsi="仿宋" w:eastAsia="仿宋"/>
                <w:kern w:val="0"/>
                <w:sz w:val="20"/>
                <w:szCs w:val="20"/>
              </w:rPr>
            </w:pPr>
          </w:p>
        </w:tc>
        <w:tc>
          <w:tcPr>
            <w:tcW w:w="415" w:type="pct"/>
            <w:shd w:val="clear" w:color="auto" w:fill="auto"/>
            <w:noWrap/>
            <w:vAlign w:val="center"/>
          </w:tcPr>
          <w:p>
            <w:pPr>
              <w:widowControl/>
              <w:spacing w:after="0" w:line="240" w:lineRule="auto"/>
              <w:jc w:val="right"/>
              <w:rPr>
                <w:rFonts w:ascii="仿宋" w:hAnsi="仿宋" w:eastAsia="仿宋"/>
                <w:kern w:val="0"/>
                <w:sz w:val="20"/>
                <w:szCs w:val="20"/>
              </w:rPr>
            </w:pPr>
          </w:p>
        </w:tc>
        <w:tc>
          <w:tcPr>
            <w:tcW w:w="415" w:type="pct"/>
            <w:shd w:val="clear" w:color="auto" w:fill="auto"/>
            <w:noWrap/>
            <w:vAlign w:val="center"/>
          </w:tcPr>
          <w:p>
            <w:pPr>
              <w:widowControl/>
              <w:spacing w:after="0" w:line="240" w:lineRule="auto"/>
              <w:jc w:val="right"/>
              <w:rPr>
                <w:rFonts w:ascii="仿宋" w:hAnsi="仿宋" w:eastAsia="仿宋"/>
                <w:kern w:val="0"/>
                <w:sz w:val="20"/>
                <w:szCs w:val="20"/>
              </w:rPr>
            </w:pPr>
          </w:p>
        </w:tc>
        <w:tc>
          <w:tcPr>
            <w:tcW w:w="414" w:type="pct"/>
            <w:shd w:val="clear" w:color="auto" w:fill="auto"/>
            <w:noWrap/>
            <w:vAlign w:val="center"/>
          </w:tcPr>
          <w:p>
            <w:pPr>
              <w:widowControl/>
              <w:spacing w:after="0" w:line="240" w:lineRule="auto"/>
              <w:jc w:val="right"/>
              <w:rPr>
                <w:rFonts w:ascii="仿宋" w:hAnsi="仿宋" w:eastAsia="仿宋"/>
                <w:kern w:val="0"/>
                <w:sz w:val="20"/>
                <w:szCs w:val="20"/>
              </w:rPr>
            </w:pPr>
          </w:p>
        </w:tc>
        <w:tc>
          <w:tcPr>
            <w:tcW w:w="414" w:type="pct"/>
            <w:shd w:val="clear" w:color="auto" w:fill="auto"/>
            <w:noWrap/>
            <w:vAlign w:val="center"/>
          </w:tcPr>
          <w:p>
            <w:pPr>
              <w:widowControl/>
              <w:spacing w:after="0" w:line="240" w:lineRule="auto"/>
              <w:jc w:val="right"/>
              <w:rPr>
                <w:rFonts w:ascii="仿宋" w:hAnsi="仿宋" w:eastAsia="仿宋"/>
                <w:kern w:val="0"/>
                <w:sz w:val="20"/>
                <w:szCs w:val="20"/>
              </w:rPr>
            </w:pPr>
          </w:p>
        </w:tc>
        <w:tc>
          <w:tcPr>
            <w:tcW w:w="414" w:type="pct"/>
            <w:shd w:val="clear" w:color="auto" w:fill="auto"/>
            <w:noWrap/>
            <w:vAlign w:val="center"/>
          </w:tcPr>
          <w:p>
            <w:pPr>
              <w:widowControl/>
              <w:spacing w:after="0" w:line="240" w:lineRule="auto"/>
              <w:jc w:val="right"/>
              <w:rPr>
                <w:rFonts w:ascii="仿宋" w:hAnsi="仿宋" w:eastAsia="仿宋"/>
                <w:kern w:val="0"/>
                <w:sz w:val="20"/>
                <w:szCs w:val="20"/>
              </w:rPr>
            </w:pPr>
          </w:p>
        </w:tc>
        <w:tc>
          <w:tcPr>
            <w:tcW w:w="413" w:type="pct"/>
            <w:shd w:val="clear" w:color="auto" w:fill="auto"/>
            <w:vAlign w:val="center"/>
          </w:tcPr>
          <w:p>
            <w:pPr>
              <w:widowControl/>
              <w:spacing w:after="0" w:line="240" w:lineRule="auto"/>
              <w:jc w:val="right"/>
              <w:rPr>
                <w:rFonts w:ascii="仿宋" w:hAnsi="仿宋" w:eastAsia="仿宋"/>
                <w:kern w:val="0"/>
                <w:sz w:val="20"/>
                <w:szCs w:val="20"/>
              </w:rPr>
            </w:pPr>
          </w:p>
        </w:tc>
        <w:tc>
          <w:tcPr>
            <w:tcW w:w="411" w:type="pct"/>
            <w:shd w:val="clear" w:color="auto" w:fill="auto"/>
          </w:tcPr>
          <w:p>
            <w:pPr>
              <w:widowControl/>
              <w:spacing w:after="0" w:line="240" w:lineRule="auto"/>
              <w:jc w:val="right"/>
              <w:rPr>
                <w:rFonts w:ascii="仿宋" w:hAnsi="仿宋" w:eastAsia="仿宋"/>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73" w:type="pct"/>
            <w:shd w:val="clear" w:color="auto" w:fill="auto"/>
            <w:noWrap/>
            <w:vAlign w:val="center"/>
          </w:tcPr>
          <w:p>
            <w:pPr>
              <w:widowControl/>
              <w:spacing w:after="0" w:line="240" w:lineRule="auto"/>
              <w:jc w:val="left"/>
              <w:rPr>
                <w:rFonts w:ascii="仿宋" w:hAnsi="仿宋" w:eastAsia="仿宋"/>
                <w:kern w:val="0"/>
                <w:sz w:val="20"/>
                <w:szCs w:val="20"/>
              </w:rPr>
            </w:pPr>
            <w:r>
              <w:rPr>
                <w:rFonts w:hint="eastAsia" w:ascii="仿宋" w:hAnsi="仿宋" w:eastAsia="仿宋"/>
                <w:kern w:val="0"/>
                <w:sz w:val="20"/>
                <w:szCs w:val="20"/>
              </w:rPr>
              <w:t>债券本金资金覆盖率</w:t>
            </w:r>
          </w:p>
        </w:tc>
        <w:tc>
          <w:tcPr>
            <w:tcW w:w="415" w:type="pct"/>
            <w:shd w:val="clear" w:color="auto" w:fill="auto"/>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 xml:space="preserve">1.04 </w:t>
            </w:r>
          </w:p>
        </w:tc>
        <w:tc>
          <w:tcPr>
            <w:tcW w:w="415" w:type="pct"/>
            <w:shd w:val="clear" w:color="auto" w:fill="auto"/>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 xml:space="preserve">1.12 </w:t>
            </w:r>
          </w:p>
        </w:tc>
        <w:tc>
          <w:tcPr>
            <w:tcW w:w="415" w:type="pct"/>
            <w:shd w:val="clear" w:color="auto" w:fill="auto"/>
            <w:noWrap/>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 xml:space="preserve">1.19 </w:t>
            </w:r>
          </w:p>
        </w:tc>
        <w:tc>
          <w:tcPr>
            <w:tcW w:w="415" w:type="pct"/>
            <w:shd w:val="clear" w:color="auto" w:fill="auto"/>
            <w:noWrap/>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 xml:space="preserve">1.27 </w:t>
            </w:r>
          </w:p>
        </w:tc>
        <w:tc>
          <w:tcPr>
            <w:tcW w:w="414" w:type="pct"/>
            <w:shd w:val="clear" w:color="auto" w:fill="auto"/>
            <w:noWrap/>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 xml:space="preserve">1.34 </w:t>
            </w:r>
          </w:p>
        </w:tc>
        <w:tc>
          <w:tcPr>
            <w:tcW w:w="414" w:type="pct"/>
            <w:shd w:val="clear" w:color="auto" w:fill="auto"/>
            <w:noWrap/>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 xml:space="preserve">1.42 </w:t>
            </w:r>
          </w:p>
        </w:tc>
        <w:tc>
          <w:tcPr>
            <w:tcW w:w="414" w:type="pct"/>
            <w:shd w:val="clear" w:color="auto" w:fill="auto"/>
            <w:noWrap/>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 xml:space="preserve">1.49 </w:t>
            </w:r>
          </w:p>
        </w:tc>
        <w:tc>
          <w:tcPr>
            <w:tcW w:w="413" w:type="pct"/>
            <w:shd w:val="clear" w:color="auto" w:fill="auto"/>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 xml:space="preserve">1.57 </w:t>
            </w:r>
          </w:p>
        </w:tc>
        <w:tc>
          <w:tcPr>
            <w:tcW w:w="411" w:type="pct"/>
            <w:shd w:val="clear" w:color="auto" w:fill="auto"/>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 xml:space="preserve">1.64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73" w:type="pct"/>
            <w:shd w:val="clear" w:color="auto" w:fill="auto"/>
            <w:noWrap/>
            <w:vAlign w:val="center"/>
          </w:tcPr>
          <w:p>
            <w:pPr>
              <w:widowControl/>
              <w:spacing w:after="0" w:line="240" w:lineRule="auto"/>
              <w:jc w:val="left"/>
              <w:rPr>
                <w:rFonts w:ascii="仿宋" w:hAnsi="仿宋" w:eastAsia="仿宋"/>
                <w:kern w:val="0"/>
                <w:sz w:val="20"/>
                <w:szCs w:val="20"/>
              </w:rPr>
            </w:pPr>
            <w:r>
              <w:rPr>
                <w:rFonts w:hint="eastAsia" w:ascii="仿宋" w:hAnsi="仿宋" w:eastAsia="仿宋"/>
                <w:kern w:val="0"/>
                <w:sz w:val="20"/>
                <w:szCs w:val="20"/>
              </w:rPr>
              <w:t>债券本息资金覆盖率</w:t>
            </w:r>
          </w:p>
        </w:tc>
        <w:tc>
          <w:tcPr>
            <w:tcW w:w="415" w:type="pct"/>
            <w:shd w:val="clear" w:color="auto" w:fill="auto"/>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 xml:space="preserve">1.04 </w:t>
            </w:r>
          </w:p>
        </w:tc>
        <w:tc>
          <w:tcPr>
            <w:tcW w:w="415" w:type="pct"/>
            <w:shd w:val="clear" w:color="auto" w:fill="auto"/>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 xml:space="preserve">1.10 </w:t>
            </w:r>
          </w:p>
        </w:tc>
        <w:tc>
          <w:tcPr>
            <w:tcW w:w="415" w:type="pct"/>
            <w:shd w:val="clear" w:color="auto" w:fill="auto"/>
            <w:noWrap/>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 xml:space="preserve">1.16 </w:t>
            </w:r>
          </w:p>
        </w:tc>
        <w:tc>
          <w:tcPr>
            <w:tcW w:w="415" w:type="pct"/>
            <w:shd w:val="clear" w:color="auto" w:fill="auto"/>
            <w:noWrap/>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 xml:space="preserve">1.23 </w:t>
            </w:r>
          </w:p>
        </w:tc>
        <w:tc>
          <w:tcPr>
            <w:tcW w:w="414" w:type="pct"/>
            <w:shd w:val="clear" w:color="auto" w:fill="auto"/>
            <w:noWrap/>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 xml:space="preserve">1.29 </w:t>
            </w:r>
          </w:p>
        </w:tc>
        <w:tc>
          <w:tcPr>
            <w:tcW w:w="414" w:type="pct"/>
            <w:shd w:val="clear" w:color="auto" w:fill="auto"/>
            <w:noWrap/>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 xml:space="preserve">1.35 </w:t>
            </w:r>
          </w:p>
        </w:tc>
        <w:tc>
          <w:tcPr>
            <w:tcW w:w="414" w:type="pct"/>
            <w:shd w:val="clear" w:color="auto" w:fill="auto"/>
            <w:noWrap/>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 xml:space="preserve">1.42 </w:t>
            </w:r>
          </w:p>
        </w:tc>
        <w:tc>
          <w:tcPr>
            <w:tcW w:w="413" w:type="pct"/>
            <w:shd w:val="clear" w:color="auto" w:fill="auto"/>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 xml:space="preserve">1.48 </w:t>
            </w:r>
          </w:p>
        </w:tc>
        <w:tc>
          <w:tcPr>
            <w:tcW w:w="411" w:type="pct"/>
            <w:shd w:val="clear" w:color="auto" w:fill="auto"/>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 xml:space="preserve">1.55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73" w:type="pct"/>
            <w:shd w:val="clear" w:color="auto" w:fill="auto"/>
            <w:noWrap/>
            <w:vAlign w:val="center"/>
          </w:tcPr>
          <w:p>
            <w:pPr>
              <w:widowControl/>
              <w:spacing w:after="0" w:line="240" w:lineRule="auto"/>
              <w:jc w:val="left"/>
              <w:rPr>
                <w:rFonts w:ascii="仿宋" w:hAnsi="仿宋" w:eastAsia="仿宋"/>
                <w:kern w:val="0"/>
                <w:sz w:val="20"/>
                <w:szCs w:val="20"/>
              </w:rPr>
            </w:pPr>
            <w:r>
              <w:rPr>
                <w:rFonts w:hint="eastAsia" w:ascii="仿宋" w:hAnsi="仿宋" w:eastAsia="仿宋"/>
                <w:kern w:val="0"/>
                <w:sz w:val="20"/>
                <w:szCs w:val="20"/>
              </w:rPr>
              <w:t>债券本息资金覆盖倍数</w:t>
            </w:r>
          </w:p>
        </w:tc>
        <w:tc>
          <w:tcPr>
            <w:tcW w:w="415" w:type="pct"/>
            <w:shd w:val="clear" w:color="auto" w:fill="auto"/>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 xml:space="preserve">1.01 </w:t>
            </w:r>
          </w:p>
        </w:tc>
        <w:tc>
          <w:tcPr>
            <w:tcW w:w="415" w:type="pct"/>
            <w:shd w:val="clear" w:color="auto" w:fill="auto"/>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 xml:space="preserve">1.08 </w:t>
            </w:r>
          </w:p>
        </w:tc>
        <w:tc>
          <w:tcPr>
            <w:tcW w:w="415" w:type="pct"/>
            <w:shd w:val="clear" w:color="auto" w:fill="auto"/>
            <w:noWrap/>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 xml:space="preserve">1.14 </w:t>
            </w:r>
          </w:p>
        </w:tc>
        <w:tc>
          <w:tcPr>
            <w:tcW w:w="415" w:type="pct"/>
            <w:shd w:val="clear" w:color="auto" w:fill="auto"/>
            <w:noWrap/>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 xml:space="preserve">1.20 </w:t>
            </w:r>
          </w:p>
        </w:tc>
        <w:tc>
          <w:tcPr>
            <w:tcW w:w="414" w:type="pct"/>
            <w:shd w:val="clear" w:color="auto" w:fill="auto"/>
            <w:noWrap/>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 xml:space="preserve">1.27 </w:t>
            </w:r>
          </w:p>
        </w:tc>
        <w:tc>
          <w:tcPr>
            <w:tcW w:w="414" w:type="pct"/>
            <w:shd w:val="clear" w:color="auto" w:fill="auto"/>
            <w:noWrap/>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 xml:space="preserve">1.33 </w:t>
            </w:r>
          </w:p>
        </w:tc>
        <w:tc>
          <w:tcPr>
            <w:tcW w:w="414" w:type="pct"/>
            <w:shd w:val="clear" w:color="auto" w:fill="auto"/>
            <w:noWrap/>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 xml:space="preserve">1.40 </w:t>
            </w:r>
          </w:p>
        </w:tc>
        <w:tc>
          <w:tcPr>
            <w:tcW w:w="413" w:type="pct"/>
            <w:shd w:val="clear" w:color="auto" w:fill="auto"/>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 xml:space="preserve">1.46 </w:t>
            </w:r>
          </w:p>
        </w:tc>
        <w:tc>
          <w:tcPr>
            <w:tcW w:w="411" w:type="pct"/>
            <w:shd w:val="clear" w:color="auto" w:fill="auto"/>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 xml:space="preserve">1.52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73" w:type="pct"/>
            <w:shd w:val="clear" w:color="auto" w:fill="auto"/>
            <w:noWrap/>
            <w:vAlign w:val="center"/>
          </w:tcPr>
          <w:p>
            <w:pPr>
              <w:widowControl/>
              <w:spacing w:after="0" w:line="240" w:lineRule="auto"/>
              <w:jc w:val="left"/>
              <w:rPr>
                <w:rFonts w:ascii="仿宋" w:hAnsi="仿宋" w:eastAsia="仿宋"/>
                <w:b/>
                <w:bCs/>
                <w:kern w:val="0"/>
                <w:sz w:val="20"/>
                <w:szCs w:val="20"/>
              </w:rPr>
            </w:pPr>
            <w:r>
              <w:rPr>
                <w:rFonts w:hint="eastAsia" w:ascii="仿宋" w:hAnsi="仿宋" w:eastAsia="仿宋"/>
                <w:b/>
                <w:bCs/>
                <w:kern w:val="0"/>
                <w:sz w:val="20"/>
                <w:szCs w:val="20"/>
              </w:rPr>
              <w:t>成本变动情况敏感性分析</w:t>
            </w:r>
          </w:p>
        </w:tc>
        <w:tc>
          <w:tcPr>
            <w:tcW w:w="415" w:type="pct"/>
            <w:shd w:val="clear" w:color="auto" w:fill="auto"/>
            <w:vAlign w:val="center"/>
          </w:tcPr>
          <w:p>
            <w:pPr>
              <w:widowControl/>
              <w:spacing w:after="0" w:line="240" w:lineRule="auto"/>
              <w:jc w:val="center"/>
              <w:rPr>
                <w:rFonts w:ascii="仿宋" w:hAnsi="仿宋" w:eastAsia="仿宋"/>
                <w:kern w:val="0"/>
                <w:sz w:val="20"/>
                <w:szCs w:val="20"/>
              </w:rPr>
            </w:pPr>
          </w:p>
        </w:tc>
        <w:tc>
          <w:tcPr>
            <w:tcW w:w="415" w:type="pct"/>
            <w:shd w:val="clear" w:color="auto" w:fill="auto"/>
            <w:vAlign w:val="center"/>
          </w:tcPr>
          <w:p>
            <w:pPr>
              <w:widowControl/>
              <w:spacing w:after="0" w:line="240" w:lineRule="auto"/>
              <w:jc w:val="center"/>
              <w:rPr>
                <w:rFonts w:ascii="仿宋" w:hAnsi="仿宋" w:eastAsia="仿宋"/>
                <w:kern w:val="0"/>
                <w:sz w:val="20"/>
                <w:szCs w:val="20"/>
              </w:rPr>
            </w:pPr>
          </w:p>
        </w:tc>
        <w:tc>
          <w:tcPr>
            <w:tcW w:w="415" w:type="pct"/>
            <w:shd w:val="clear" w:color="auto" w:fill="auto"/>
            <w:noWrap/>
            <w:vAlign w:val="center"/>
          </w:tcPr>
          <w:p>
            <w:pPr>
              <w:widowControl/>
              <w:spacing w:after="0" w:line="240" w:lineRule="auto"/>
              <w:jc w:val="center"/>
              <w:rPr>
                <w:rFonts w:ascii="仿宋" w:hAnsi="仿宋" w:eastAsia="仿宋"/>
                <w:kern w:val="0"/>
                <w:sz w:val="20"/>
                <w:szCs w:val="20"/>
              </w:rPr>
            </w:pPr>
          </w:p>
        </w:tc>
        <w:tc>
          <w:tcPr>
            <w:tcW w:w="415" w:type="pct"/>
            <w:shd w:val="clear" w:color="auto" w:fill="auto"/>
            <w:noWrap/>
            <w:vAlign w:val="center"/>
          </w:tcPr>
          <w:p>
            <w:pPr>
              <w:widowControl/>
              <w:spacing w:after="0" w:line="240" w:lineRule="auto"/>
              <w:jc w:val="center"/>
              <w:rPr>
                <w:rFonts w:ascii="仿宋" w:hAnsi="仿宋" w:eastAsia="仿宋"/>
                <w:kern w:val="0"/>
                <w:sz w:val="20"/>
                <w:szCs w:val="20"/>
              </w:rPr>
            </w:pPr>
          </w:p>
        </w:tc>
        <w:tc>
          <w:tcPr>
            <w:tcW w:w="414" w:type="pct"/>
            <w:shd w:val="clear" w:color="auto" w:fill="auto"/>
            <w:noWrap/>
            <w:vAlign w:val="center"/>
          </w:tcPr>
          <w:p>
            <w:pPr>
              <w:widowControl/>
              <w:spacing w:after="0" w:line="240" w:lineRule="auto"/>
              <w:jc w:val="center"/>
              <w:rPr>
                <w:rFonts w:ascii="仿宋" w:hAnsi="仿宋" w:eastAsia="仿宋"/>
                <w:kern w:val="0"/>
                <w:sz w:val="20"/>
                <w:szCs w:val="20"/>
              </w:rPr>
            </w:pPr>
          </w:p>
        </w:tc>
        <w:tc>
          <w:tcPr>
            <w:tcW w:w="414" w:type="pct"/>
            <w:shd w:val="clear" w:color="auto" w:fill="auto"/>
            <w:noWrap/>
            <w:vAlign w:val="center"/>
          </w:tcPr>
          <w:p>
            <w:pPr>
              <w:widowControl/>
              <w:spacing w:after="0" w:line="240" w:lineRule="auto"/>
              <w:jc w:val="center"/>
              <w:rPr>
                <w:rFonts w:ascii="仿宋" w:hAnsi="仿宋" w:eastAsia="仿宋"/>
                <w:kern w:val="0"/>
                <w:sz w:val="20"/>
                <w:szCs w:val="20"/>
              </w:rPr>
            </w:pPr>
          </w:p>
        </w:tc>
        <w:tc>
          <w:tcPr>
            <w:tcW w:w="414" w:type="pct"/>
            <w:shd w:val="clear" w:color="auto" w:fill="auto"/>
            <w:noWrap/>
            <w:vAlign w:val="center"/>
          </w:tcPr>
          <w:p>
            <w:pPr>
              <w:widowControl/>
              <w:spacing w:after="0" w:line="240" w:lineRule="auto"/>
              <w:jc w:val="center"/>
              <w:rPr>
                <w:rFonts w:ascii="仿宋" w:hAnsi="仿宋" w:eastAsia="仿宋"/>
                <w:kern w:val="0"/>
                <w:sz w:val="20"/>
                <w:szCs w:val="20"/>
              </w:rPr>
            </w:pPr>
          </w:p>
        </w:tc>
        <w:tc>
          <w:tcPr>
            <w:tcW w:w="413" w:type="pct"/>
            <w:shd w:val="clear" w:color="auto" w:fill="auto"/>
            <w:vAlign w:val="center"/>
          </w:tcPr>
          <w:p>
            <w:pPr>
              <w:widowControl/>
              <w:spacing w:after="0" w:line="240" w:lineRule="auto"/>
              <w:jc w:val="center"/>
              <w:rPr>
                <w:rFonts w:ascii="仿宋" w:hAnsi="仿宋" w:eastAsia="仿宋"/>
                <w:kern w:val="0"/>
                <w:sz w:val="20"/>
                <w:szCs w:val="20"/>
              </w:rPr>
            </w:pPr>
          </w:p>
        </w:tc>
        <w:tc>
          <w:tcPr>
            <w:tcW w:w="411" w:type="pct"/>
            <w:shd w:val="clear" w:color="auto" w:fill="auto"/>
            <w:vAlign w:val="center"/>
          </w:tcPr>
          <w:p>
            <w:pPr>
              <w:widowControl/>
              <w:spacing w:after="0" w:line="240" w:lineRule="auto"/>
              <w:jc w:val="center"/>
              <w:rPr>
                <w:rFonts w:ascii="仿宋" w:hAnsi="仿宋" w:eastAsia="仿宋"/>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73" w:type="pct"/>
            <w:shd w:val="clear" w:color="auto" w:fill="auto"/>
            <w:noWrap/>
            <w:vAlign w:val="center"/>
          </w:tcPr>
          <w:p>
            <w:pPr>
              <w:widowControl/>
              <w:spacing w:after="0" w:line="240" w:lineRule="auto"/>
              <w:jc w:val="left"/>
              <w:rPr>
                <w:rFonts w:ascii="仿宋" w:hAnsi="仿宋" w:eastAsia="仿宋"/>
                <w:kern w:val="0"/>
                <w:sz w:val="20"/>
                <w:szCs w:val="20"/>
              </w:rPr>
            </w:pPr>
            <w:r>
              <w:rPr>
                <w:rFonts w:hint="eastAsia" w:ascii="仿宋" w:hAnsi="仿宋" w:eastAsia="仿宋"/>
                <w:kern w:val="0"/>
                <w:sz w:val="20"/>
                <w:szCs w:val="20"/>
              </w:rPr>
              <w:t>债券本金资金覆盖率</w:t>
            </w:r>
          </w:p>
        </w:tc>
        <w:tc>
          <w:tcPr>
            <w:tcW w:w="415" w:type="pct"/>
            <w:shd w:val="clear" w:color="auto" w:fill="auto"/>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1.34</w:t>
            </w:r>
          </w:p>
        </w:tc>
        <w:tc>
          <w:tcPr>
            <w:tcW w:w="415" w:type="pct"/>
            <w:shd w:val="clear" w:color="auto" w:fill="auto"/>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1.34</w:t>
            </w:r>
          </w:p>
        </w:tc>
        <w:tc>
          <w:tcPr>
            <w:tcW w:w="415" w:type="pct"/>
            <w:shd w:val="clear" w:color="auto" w:fill="auto"/>
            <w:noWrap/>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1.34</w:t>
            </w:r>
          </w:p>
        </w:tc>
        <w:tc>
          <w:tcPr>
            <w:tcW w:w="415" w:type="pct"/>
            <w:shd w:val="clear" w:color="auto" w:fill="auto"/>
            <w:noWrap/>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1.34</w:t>
            </w:r>
          </w:p>
        </w:tc>
        <w:tc>
          <w:tcPr>
            <w:tcW w:w="414" w:type="pct"/>
            <w:shd w:val="clear" w:color="auto" w:fill="auto"/>
            <w:noWrap/>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1.34</w:t>
            </w:r>
          </w:p>
        </w:tc>
        <w:tc>
          <w:tcPr>
            <w:tcW w:w="414" w:type="pct"/>
            <w:shd w:val="clear" w:color="auto" w:fill="auto"/>
            <w:noWrap/>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1.34</w:t>
            </w:r>
          </w:p>
        </w:tc>
        <w:tc>
          <w:tcPr>
            <w:tcW w:w="414" w:type="pct"/>
            <w:shd w:val="clear" w:color="auto" w:fill="auto"/>
            <w:noWrap/>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1.34</w:t>
            </w:r>
          </w:p>
        </w:tc>
        <w:tc>
          <w:tcPr>
            <w:tcW w:w="413" w:type="pct"/>
            <w:shd w:val="clear" w:color="auto" w:fill="auto"/>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1.34</w:t>
            </w:r>
          </w:p>
        </w:tc>
        <w:tc>
          <w:tcPr>
            <w:tcW w:w="411" w:type="pct"/>
            <w:shd w:val="clear" w:color="auto" w:fill="auto"/>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1.34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73" w:type="pct"/>
            <w:shd w:val="clear" w:color="auto" w:fill="auto"/>
            <w:noWrap/>
            <w:vAlign w:val="center"/>
          </w:tcPr>
          <w:p>
            <w:pPr>
              <w:widowControl/>
              <w:spacing w:after="0" w:line="240" w:lineRule="auto"/>
              <w:jc w:val="left"/>
              <w:rPr>
                <w:rFonts w:ascii="仿宋" w:hAnsi="仿宋" w:eastAsia="仿宋"/>
                <w:kern w:val="0"/>
                <w:sz w:val="20"/>
                <w:szCs w:val="20"/>
              </w:rPr>
            </w:pPr>
            <w:r>
              <w:rPr>
                <w:rFonts w:hint="eastAsia" w:ascii="仿宋" w:hAnsi="仿宋" w:eastAsia="仿宋"/>
                <w:kern w:val="0"/>
                <w:sz w:val="20"/>
                <w:szCs w:val="20"/>
              </w:rPr>
              <w:t>债券本息资金覆盖率</w:t>
            </w:r>
          </w:p>
        </w:tc>
        <w:tc>
          <w:tcPr>
            <w:tcW w:w="415" w:type="pct"/>
            <w:shd w:val="clear" w:color="auto" w:fill="auto"/>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1.29</w:t>
            </w:r>
          </w:p>
        </w:tc>
        <w:tc>
          <w:tcPr>
            <w:tcW w:w="415" w:type="pct"/>
            <w:shd w:val="clear" w:color="auto" w:fill="auto"/>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1.29</w:t>
            </w:r>
          </w:p>
        </w:tc>
        <w:tc>
          <w:tcPr>
            <w:tcW w:w="415" w:type="pct"/>
            <w:shd w:val="clear" w:color="auto" w:fill="auto"/>
            <w:noWrap/>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1.29</w:t>
            </w:r>
          </w:p>
        </w:tc>
        <w:tc>
          <w:tcPr>
            <w:tcW w:w="415" w:type="pct"/>
            <w:shd w:val="clear" w:color="auto" w:fill="auto"/>
            <w:noWrap/>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1.29</w:t>
            </w:r>
          </w:p>
        </w:tc>
        <w:tc>
          <w:tcPr>
            <w:tcW w:w="414" w:type="pct"/>
            <w:shd w:val="clear" w:color="auto" w:fill="auto"/>
            <w:noWrap/>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1.29</w:t>
            </w:r>
          </w:p>
        </w:tc>
        <w:tc>
          <w:tcPr>
            <w:tcW w:w="414" w:type="pct"/>
            <w:shd w:val="clear" w:color="auto" w:fill="auto"/>
            <w:noWrap/>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1.29</w:t>
            </w:r>
          </w:p>
        </w:tc>
        <w:tc>
          <w:tcPr>
            <w:tcW w:w="414" w:type="pct"/>
            <w:shd w:val="clear" w:color="auto" w:fill="auto"/>
            <w:noWrap/>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1.29</w:t>
            </w:r>
          </w:p>
        </w:tc>
        <w:tc>
          <w:tcPr>
            <w:tcW w:w="413" w:type="pct"/>
            <w:shd w:val="clear" w:color="auto" w:fill="auto"/>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1.29</w:t>
            </w:r>
          </w:p>
        </w:tc>
        <w:tc>
          <w:tcPr>
            <w:tcW w:w="411" w:type="pct"/>
            <w:shd w:val="clear" w:color="auto" w:fill="auto"/>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1.29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73" w:type="pct"/>
            <w:shd w:val="clear" w:color="auto" w:fill="auto"/>
            <w:noWrap/>
            <w:vAlign w:val="center"/>
          </w:tcPr>
          <w:p>
            <w:pPr>
              <w:widowControl/>
              <w:spacing w:after="0" w:line="240" w:lineRule="auto"/>
              <w:jc w:val="left"/>
              <w:rPr>
                <w:rFonts w:ascii="仿宋" w:hAnsi="仿宋" w:eastAsia="仿宋"/>
                <w:kern w:val="0"/>
                <w:sz w:val="20"/>
                <w:szCs w:val="20"/>
              </w:rPr>
            </w:pPr>
            <w:r>
              <w:rPr>
                <w:rFonts w:hint="eastAsia" w:ascii="仿宋" w:hAnsi="仿宋" w:eastAsia="仿宋"/>
                <w:kern w:val="0"/>
                <w:sz w:val="20"/>
                <w:szCs w:val="20"/>
              </w:rPr>
              <w:t>债券本息资金覆盖倍数</w:t>
            </w:r>
          </w:p>
        </w:tc>
        <w:tc>
          <w:tcPr>
            <w:tcW w:w="415" w:type="pct"/>
            <w:shd w:val="clear" w:color="auto" w:fill="auto"/>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1.27</w:t>
            </w:r>
          </w:p>
        </w:tc>
        <w:tc>
          <w:tcPr>
            <w:tcW w:w="415" w:type="pct"/>
            <w:shd w:val="clear" w:color="auto" w:fill="auto"/>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1.27</w:t>
            </w:r>
          </w:p>
        </w:tc>
        <w:tc>
          <w:tcPr>
            <w:tcW w:w="415" w:type="pct"/>
            <w:shd w:val="clear" w:color="auto" w:fill="auto"/>
            <w:noWrap/>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1.27</w:t>
            </w:r>
          </w:p>
        </w:tc>
        <w:tc>
          <w:tcPr>
            <w:tcW w:w="415" w:type="pct"/>
            <w:shd w:val="clear" w:color="auto" w:fill="auto"/>
            <w:noWrap/>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1.27</w:t>
            </w:r>
          </w:p>
        </w:tc>
        <w:tc>
          <w:tcPr>
            <w:tcW w:w="414" w:type="pct"/>
            <w:shd w:val="clear" w:color="auto" w:fill="auto"/>
            <w:noWrap/>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1.27</w:t>
            </w:r>
          </w:p>
        </w:tc>
        <w:tc>
          <w:tcPr>
            <w:tcW w:w="414" w:type="pct"/>
            <w:shd w:val="clear" w:color="auto" w:fill="auto"/>
            <w:noWrap/>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1.27</w:t>
            </w:r>
          </w:p>
        </w:tc>
        <w:tc>
          <w:tcPr>
            <w:tcW w:w="414" w:type="pct"/>
            <w:shd w:val="clear" w:color="auto" w:fill="auto"/>
            <w:noWrap/>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1.27</w:t>
            </w:r>
          </w:p>
        </w:tc>
        <w:tc>
          <w:tcPr>
            <w:tcW w:w="413" w:type="pct"/>
            <w:shd w:val="clear" w:color="auto" w:fill="auto"/>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1.27</w:t>
            </w:r>
          </w:p>
        </w:tc>
        <w:tc>
          <w:tcPr>
            <w:tcW w:w="411" w:type="pct"/>
            <w:shd w:val="clear" w:color="auto" w:fill="auto"/>
            <w:vAlign w:val="center"/>
          </w:tcPr>
          <w:p>
            <w:pPr>
              <w:widowControl/>
              <w:spacing w:after="0" w:line="240" w:lineRule="auto"/>
              <w:jc w:val="center"/>
              <w:rPr>
                <w:rFonts w:ascii="仿宋" w:hAnsi="仿宋" w:eastAsia="仿宋"/>
                <w:kern w:val="0"/>
                <w:sz w:val="20"/>
                <w:szCs w:val="20"/>
              </w:rPr>
            </w:pPr>
            <w:r>
              <w:rPr>
                <w:rFonts w:ascii="仿宋" w:hAnsi="仿宋" w:eastAsia="仿宋" w:cs="Arial"/>
                <w:kern w:val="0"/>
                <w:sz w:val="20"/>
                <w:szCs w:val="20"/>
              </w:rPr>
              <w:t>1.27</w:t>
            </w:r>
          </w:p>
        </w:tc>
      </w:tr>
    </w:tbl>
    <w:p>
      <w:pPr>
        <w:widowControl/>
        <w:spacing w:before="120"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r>
        <w:rPr>
          <w:rFonts w:ascii="仿宋" w:hAnsi="仿宋" w:eastAsia="仿宋"/>
          <w:color w:val="000000" w:themeColor="text1"/>
          <w:kern w:val="0"/>
          <w:sz w:val="28"/>
          <w:szCs w:val="28"/>
          <w14:textFill>
            <w14:solidFill>
              <w14:schemeClr w14:val="tx1"/>
            </w14:solidFill>
          </w14:textFill>
        </w:rPr>
        <w:t>总体而言，本项目产生收入对其拟使用的募集资金保障程度较高。同时，因本项目还本付息资金主要来源于</w:t>
      </w:r>
      <w:r>
        <w:rPr>
          <w:rFonts w:hint="eastAsia" w:ascii="仿宋" w:hAnsi="仿宋" w:eastAsia="仿宋"/>
          <w:color w:val="000000" w:themeColor="text1"/>
          <w:kern w:val="0"/>
          <w:sz w:val="28"/>
          <w:szCs w:val="28"/>
          <w14:textFill>
            <w14:solidFill>
              <w14:schemeClr w14:val="tx1"/>
            </w14:solidFill>
          </w14:textFill>
        </w:rPr>
        <w:t>项目运营收入和国有土地出让收入</w:t>
      </w:r>
      <w:r>
        <w:rPr>
          <w:rFonts w:ascii="仿宋" w:hAnsi="仿宋" w:eastAsia="仿宋"/>
          <w:color w:val="000000" w:themeColor="text1"/>
          <w:kern w:val="0"/>
          <w:sz w:val="28"/>
          <w:szCs w:val="28"/>
          <w14:textFill>
            <w14:solidFill>
              <w14:schemeClr w14:val="tx1"/>
            </w14:solidFill>
          </w14:textFill>
        </w:rPr>
        <w:t>，建议进一步关注项目施工进度、项目选点的变化、政府定价风险、宏观经济以及利率等影响项目收益情况的风险要素。若未能实现收入计划，不能偿还到期债券本金，可在专项债务限额内以及满足覆盖倍数的情况下发行专项债券周转偿还，进而在项目收入实现后予以归还，或者通过追加自筹资金等方式来满足还本付息要求。</w:t>
      </w:r>
    </w:p>
    <w:tbl>
      <w:tblPr>
        <w:tblStyle w:val="24"/>
        <w:tblW w:w="610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73" w:type="pct"/>
            <w:shd w:val="clear" w:color="auto" w:fill="auto"/>
            <w:noWrap/>
            <w:vAlign w:val="center"/>
          </w:tcPr>
          <w:tbl>
            <w:tblPr>
              <w:tblStyle w:val="24"/>
              <w:tblW w:w="610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9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73" w:type="pct"/>
                  <w:shd w:val="clear" w:color="000000" w:fill="D3DFEE"/>
                  <w:noWrap/>
                  <w:vAlign w:val="center"/>
                </w:tcPr>
                <w:p>
                  <w:pPr>
                    <w:widowControl/>
                    <w:spacing w:after="0" w:line="240" w:lineRule="auto"/>
                    <w:jc w:val="left"/>
                  </w:pPr>
                </w:p>
              </w:tc>
            </w:tr>
          </w:tbl>
          <w:p>
            <w:pPr>
              <w:widowControl/>
              <w:spacing w:after="0" w:line="240" w:lineRule="auto"/>
              <w:jc w:val="left"/>
              <w:rPr>
                <w:rFonts w:ascii="Verdana" w:hAnsi="Verdana" w:cs="Verdana"/>
                <w:kern w:val="0"/>
                <w:sz w:val="20"/>
                <w:szCs w:val="20"/>
              </w:rPr>
            </w:pPr>
          </w:p>
        </w:tc>
      </w:tr>
    </w:tbl>
    <w:p>
      <w:pPr>
        <w:pStyle w:val="3"/>
        <w:spacing w:before="0" w:after="0" w:line="360" w:lineRule="auto"/>
        <w:ind w:firstLine="562" w:firstLineChars="200"/>
        <w:rPr>
          <w:rFonts w:hint="eastAsia" w:ascii="仿宋" w:hAnsi="仿宋" w:eastAsia="仿宋" w:cs="楷体"/>
          <w:color w:val="000000" w:themeColor="text1"/>
          <w:kern w:val="0"/>
          <w:sz w:val="28"/>
          <w:szCs w:val="28"/>
          <w:lang w:val="en-GB"/>
          <w14:textFill>
            <w14:solidFill>
              <w14:schemeClr w14:val="tx1"/>
            </w14:solidFill>
          </w14:textFill>
        </w:rPr>
      </w:pPr>
      <w:bookmarkStart w:id="25" w:name="_Toc200722012"/>
      <w:r>
        <w:rPr>
          <w:rFonts w:hint="eastAsia" w:ascii="仿宋" w:hAnsi="仿宋" w:eastAsia="仿宋" w:cs="楷体"/>
          <w:color w:val="000000" w:themeColor="text1"/>
          <w:kern w:val="0"/>
          <w:sz w:val="28"/>
          <w:szCs w:val="28"/>
          <w:lang w:val="en-GB"/>
          <w14:textFill>
            <w14:solidFill>
              <w14:schemeClr w14:val="tx1"/>
            </w14:solidFill>
          </w14:textFill>
        </w:rPr>
        <w:t>（四）预期收益及成本分析</w:t>
      </w:r>
      <w:bookmarkEnd w:id="25"/>
    </w:p>
    <w:p>
      <w:pPr>
        <w:widowControl/>
        <w:spacing w:before="240" w:after="0" w:line="360" w:lineRule="auto"/>
        <w:ind w:left="567"/>
        <w:outlineLvl w:val="2"/>
        <w:rPr>
          <w:rFonts w:hint="eastAsia" w:ascii="仿宋" w:hAnsi="仿宋" w:eastAsia="仿宋"/>
          <w:b/>
          <w:color w:val="000000" w:themeColor="text1"/>
          <w:kern w:val="0"/>
          <w:sz w:val="28"/>
          <w:szCs w:val="28"/>
          <w14:textFill>
            <w14:solidFill>
              <w14:schemeClr w14:val="tx1"/>
            </w14:solidFill>
          </w14:textFill>
        </w:rPr>
      </w:pPr>
      <w:bookmarkStart w:id="26" w:name="_Hlk135753570"/>
      <w:bookmarkStart w:id="27" w:name="_Toc27289"/>
      <w:r>
        <w:rPr>
          <w:rFonts w:hint="eastAsia" w:ascii="仿宋" w:hAnsi="仿宋" w:eastAsia="仿宋"/>
          <w:b/>
          <w:color w:val="000000" w:themeColor="text1"/>
          <w:kern w:val="0"/>
          <w:sz w:val="28"/>
          <w:szCs w:val="28"/>
          <w14:textFill>
            <w14:solidFill>
              <w14:schemeClr w14:val="tx1"/>
            </w14:solidFill>
          </w14:textFill>
        </w:rPr>
        <w:t>1. 预期收益分析</w:t>
      </w:r>
      <w:r>
        <w:rPr>
          <w:rFonts w:ascii="仿宋" w:hAnsi="仿宋" w:eastAsia="仿宋"/>
          <w:b/>
          <w:color w:val="000000" w:themeColor="text1"/>
          <w:kern w:val="0"/>
          <w:sz w:val="28"/>
          <w:szCs w:val="28"/>
          <w14:textFill>
            <w14:solidFill>
              <w14:schemeClr w14:val="tx1"/>
            </w14:solidFill>
          </w14:textFill>
        </w:rPr>
        <w:tab/>
      </w:r>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海口江东新区城市地下管网完善工程（一期）专项债券还本付息以项目运营收入和国有土地出让收入为基础。</w:t>
      </w:r>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海口江东新区城市地下管网完善工程（一期）的运营收入主要为入廊费收入、日常维护费</w:t>
      </w:r>
      <w:r>
        <w:rPr>
          <w:rFonts w:ascii="仿宋" w:hAnsi="仿宋" w:eastAsia="仿宋" w:cs="楷体"/>
          <w:color w:val="000000" w:themeColor="text1"/>
          <w:kern w:val="0"/>
          <w:sz w:val="28"/>
          <w:szCs w:val="28"/>
          <w:lang w:val="en-GB"/>
          <w14:textFill>
            <w14:solidFill>
              <w14:schemeClr w14:val="tx1"/>
            </w14:solidFill>
          </w14:textFill>
        </w:rPr>
        <w:t>。</w:t>
      </w:r>
      <w:r>
        <w:rPr>
          <w:rFonts w:hint="eastAsia" w:ascii="仿宋" w:hAnsi="仿宋" w:eastAsia="仿宋" w:cs="楷体"/>
          <w:color w:val="000000" w:themeColor="text1"/>
          <w:kern w:val="0"/>
          <w:sz w:val="28"/>
          <w:szCs w:val="28"/>
          <w:lang w:val="en-GB"/>
          <w14:textFill>
            <w14:solidFill>
              <w14:schemeClr w14:val="tx1"/>
            </w14:solidFill>
          </w14:textFill>
        </w:rPr>
        <w:t>结合债券实际发行时间和收益实现情况预估，从保守谨慎的角度出发，债券存续期最后一年仅考虑1个月收入。</w:t>
      </w:r>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lang w:val="en-GB"/>
          <w14:textFill>
            <w14:solidFill>
              <w14:schemeClr w14:val="tx1"/>
            </w14:solidFill>
          </w14:textFill>
        </w:rPr>
      </w:pPr>
      <w:r>
        <w:rPr>
          <w:rFonts w:ascii="仿宋" w:hAnsi="仿宋" w:eastAsia="仿宋" w:cs="楷体"/>
          <w:color w:val="000000" w:themeColor="text1"/>
          <w:kern w:val="0"/>
          <w:sz w:val="28"/>
          <w:szCs w:val="28"/>
          <w:lang w:val="en-GB"/>
          <w14:textFill>
            <w14:solidFill>
              <w14:schemeClr w14:val="tx1"/>
            </w14:solidFill>
          </w14:textFill>
        </w:rPr>
        <w:t>1）</w:t>
      </w:r>
      <w:r>
        <w:rPr>
          <w:rFonts w:hint="eastAsia" w:ascii="仿宋" w:hAnsi="仿宋" w:eastAsia="仿宋" w:cs="楷体"/>
          <w:color w:val="000000" w:themeColor="text1"/>
          <w:kern w:val="0"/>
          <w:sz w:val="28"/>
          <w:szCs w:val="28"/>
          <w:lang w:val="en-GB"/>
          <w14:textFill>
            <w14:solidFill>
              <w14:schemeClr w14:val="tx1"/>
            </w14:solidFill>
          </w14:textFill>
        </w:rPr>
        <w:t>入廊费收入、日常维护费</w:t>
      </w:r>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根据业主单位提供的信息、《海口江东新区城市地下管网完善工程（一期）可行性研究报告》，本次新建缆线型管廊约为</w:t>
      </w:r>
      <w:r>
        <w:rPr>
          <w:rFonts w:ascii="仿宋" w:hAnsi="仿宋" w:eastAsia="仿宋" w:cs="楷体"/>
          <w:color w:val="000000" w:themeColor="text1"/>
          <w:kern w:val="0"/>
          <w:sz w:val="28"/>
          <w:szCs w:val="28"/>
          <w:lang w:val="en-GB"/>
          <w14:textFill>
            <w14:solidFill>
              <w14:schemeClr w14:val="tx1"/>
            </w14:solidFill>
          </w14:textFill>
        </w:rPr>
        <w:t>290m</w:t>
      </w:r>
      <w:r>
        <w:rPr>
          <w:rFonts w:hint="eastAsia" w:ascii="仿宋" w:hAnsi="仿宋" w:eastAsia="仿宋" w:cs="楷体"/>
          <w:color w:val="000000" w:themeColor="text1"/>
          <w:kern w:val="0"/>
          <w:sz w:val="28"/>
          <w:szCs w:val="28"/>
          <w:lang w:val="en-GB"/>
          <w14:textFill>
            <w14:solidFill>
              <w14:schemeClr w14:val="tx1"/>
            </w14:solidFill>
          </w14:textFill>
        </w:rPr>
        <w:t>。参考海南省其他地区同类型项目，收费标准如下。</w:t>
      </w:r>
    </w:p>
    <w:p>
      <w:pPr>
        <w:widowControl/>
        <w:spacing w:after="0"/>
        <w:jc w:val="center"/>
        <w:rPr>
          <w:rFonts w:hint="eastAsia" w:ascii="仿宋" w:hAnsi="仿宋" w:eastAsia="仿宋"/>
          <w:b/>
          <w:color w:val="000000"/>
          <w:kern w:val="0"/>
          <w:sz w:val="24"/>
          <w:szCs w:val="24"/>
        </w:rPr>
      </w:pPr>
      <w:r>
        <w:rPr>
          <w:rFonts w:hint="eastAsia" w:ascii="仿宋" w:hAnsi="仿宋" w:eastAsia="仿宋"/>
          <w:b/>
          <w:color w:val="000000"/>
          <w:kern w:val="0"/>
          <w:sz w:val="24"/>
          <w:szCs w:val="24"/>
        </w:rPr>
        <w:t>海口江东新区城市地下管网完善工程（一期）综合管廊收费单价</w:t>
      </w:r>
    </w:p>
    <w:tbl>
      <w:tblPr>
        <w:tblStyle w:val="24"/>
        <w:tblW w:w="0" w:type="auto"/>
        <w:tblInd w:w="0" w:type="dxa"/>
        <w:tblLayout w:type="fixed"/>
        <w:tblCellMar>
          <w:top w:w="0" w:type="dxa"/>
          <w:left w:w="108" w:type="dxa"/>
          <w:bottom w:w="0" w:type="dxa"/>
          <w:right w:w="108" w:type="dxa"/>
        </w:tblCellMar>
      </w:tblPr>
      <w:tblGrid>
        <w:gridCol w:w="2288"/>
        <w:gridCol w:w="3659"/>
        <w:gridCol w:w="2689"/>
      </w:tblGrid>
      <w:tr>
        <w:tblPrEx>
          <w:tblCellMar>
            <w:top w:w="0" w:type="dxa"/>
            <w:left w:w="108" w:type="dxa"/>
            <w:bottom w:w="0" w:type="dxa"/>
            <w:right w:w="108" w:type="dxa"/>
          </w:tblCellMar>
        </w:tblPrEx>
        <w:trPr>
          <w:trHeight w:val="20" w:hRule="atLeast"/>
        </w:trPr>
        <w:tc>
          <w:tcPr>
            <w:tcW w:w="2288"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after="0" w:line="240" w:lineRule="auto"/>
              <w:jc w:val="center"/>
              <w:rPr>
                <w:rFonts w:hint="eastAsia" w:ascii="仿宋" w:hAnsi="仿宋" w:eastAsia="仿宋"/>
                <w:b/>
                <w:bCs/>
                <w:color w:val="000000" w:themeColor="text1"/>
                <w:kern w:val="0"/>
                <w:sz w:val="20"/>
                <w:szCs w:val="20"/>
                <w:lang w:val="en-GB"/>
                <w14:textFill>
                  <w14:solidFill>
                    <w14:schemeClr w14:val="tx1"/>
                  </w14:solidFill>
                </w14:textFill>
              </w:rPr>
            </w:pPr>
            <w:r>
              <w:rPr>
                <w:rFonts w:hint="eastAsia" w:ascii="仿宋" w:hAnsi="仿宋" w:eastAsia="仿宋"/>
                <w:b/>
                <w:bCs/>
                <w:color w:val="000000" w:themeColor="text1"/>
                <w:kern w:val="0"/>
                <w:sz w:val="20"/>
                <w:szCs w:val="20"/>
                <w:lang w:val="en-GB"/>
                <w14:textFill>
                  <w14:solidFill>
                    <w14:schemeClr w14:val="tx1"/>
                  </w14:solidFill>
                </w14:textFill>
              </w:rPr>
              <w:t>管线类型</w:t>
            </w:r>
          </w:p>
        </w:tc>
        <w:tc>
          <w:tcPr>
            <w:tcW w:w="365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after="0" w:line="240" w:lineRule="auto"/>
              <w:jc w:val="center"/>
              <w:rPr>
                <w:rFonts w:hint="eastAsia" w:ascii="仿宋" w:hAnsi="仿宋" w:eastAsia="仿宋"/>
                <w:b/>
                <w:bCs/>
                <w:color w:val="000000" w:themeColor="text1"/>
                <w:kern w:val="0"/>
                <w:sz w:val="20"/>
                <w:szCs w:val="20"/>
                <w:lang w:val="en-GB"/>
                <w14:textFill>
                  <w14:solidFill>
                    <w14:schemeClr w14:val="tx1"/>
                  </w14:solidFill>
                </w14:textFill>
              </w:rPr>
            </w:pPr>
            <w:r>
              <w:rPr>
                <w:rFonts w:ascii="仿宋" w:hAnsi="仿宋" w:eastAsia="仿宋"/>
                <w:b/>
                <w:bCs/>
                <w:color w:val="000000" w:themeColor="text1"/>
                <w:kern w:val="0"/>
                <w:sz w:val="20"/>
                <w:szCs w:val="20"/>
                <w:lang w:val="en-GB"/>
                <w14:textFill>
                  <w14:solidFill>
                    <w14:schemeClr w14:val="tx1"/>
                  </w14:solidFill>
                </w14:textFill>
              </w:rPr>
              <w:t>入廊费</w:t>
            </w:r>
          </w:p>
        </w:tc>
        <w:tc>
          <w:tcPr>
            <w:tcW w:w="2689" w:type="dxa"/>
            <w:tcBorders>
              <w:top w:val="single" w:color="auto" w:sz="4" w:space="0"/>
              <w:left w:val="nil"/>
              <w:bottom w:val="single" w:color="auto" w:sz="4" w:space="0"/>
              <w:right w:val="single" w:color="auto" w:sz="4" w:space="0"/>
            </w:tcBorders>
            <w:shd w:val="clear" w:color="auto" w:fill="auto"/>
            <w:vAlign w:val="center"/>
          </w:tcPr>
          <w:p>
            <w:pPr>
              <w:widowControl/>
              <w:spacing w:after="0" w:line="240" w:lineRule="auto"/>
              <w:jc w:val="center"/>
              <w:rPr>
                <w:rFonts w:hint="eastAsia" w:ascii="仿宋" w:hAnsi="仿宋" w:eastAsia="仿宋"/>
                <w:b/>
                <w:bCs/>
                <w:color w:val="000000" w:themeColor="text1"/>
                <w:kern w:val="0"/>
                <w:sz w:val="20"/>
                <w:szCs w:val="20"/>
                <w:lang w:val="en-GB"/>
                <w14:textFill>
                  <w14:solidFill>
                    <w14:schemeClr w14:val="tx1"/>
                  </w14:solidFill>
                </w14:textFill>
              </w:rPr>
            </w:pPr>
            <w:r>
              <w:rPr>
                <w:rFonts w:ascii="仿宋" w:hAnsi="仿宋" w:eastAsia="仿宋"/>
                <w:b/>
                <w:bCs/>
                <w:color w:val="000000" w:themeColor="text1"/>
                <w:kern w:val="0"/>
                <w:sz w:val="20"/>
                <w:szCs w:val="20"/>
                <w:lang w:val="en-GB"/>
                <w14:textFill>
                  <w14:solidFill>
                    <w14:schemeClr w14:val="tx1"/>
                  </w14:solidFill>
                </w14:textFill>
              </w:rPr>
              <w:t>维护费</w:t>
            </w:r>
          </w:p>
        </w:tc>
      </w:tr>
      <w:tr>
        <w:tblPrEx>
          <w:tblCellMar>
            <w:top w:w="0" w:type="dxa"/>
            <w:left w:w="108" w:type="dxa"/>
            <w:bottom w:w="0" w:type="dxa"/>
            <w:right w:w="108" w:type="dxa"/>
          </w:tblCellMar>
        </w:tblPrEx>
        <w:trPr>
          <w:trHeight w:val="20" w:hRule="atLeast"/>
        </w:trPr>
        <w:tc>
          <w:tcPr>
            <w:tcW w:w="2288"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after="0" w:line="240" w:lineRule="auto"/>
              <w:jc w:val="left"/>
              <w:rPr>
                <w:rFonts w:hint="eastAsia" w:ascii="仿宋" w:hAnsi="仿宋" w:eastAsia="仿宋" w:cs="Calibri"/>
                <w:color w:val="000000" w:themeColor="text1"/>
                <w:kern w:val="0"/>
                <w:sz w:val="20"/>
                <w:szCs w:val="20"/>
                <w:lang w:val="en-GB"/>
                <w14:textFill>
                  <w14:solidFill>
                    <w14:schemeClr w14:val="tx1"/>
                  </w14:solidFill>
                </w14:textFill>
              </w:rPr>
            </w:pPr>
            <w:r>
              <w:rPr>
                <w:rFonts w:ascii="仿宋" w:hAnsi="仿宋" w:eastAsia="仿宋" w:cs="Calibri"/>
                <w:color w:val="000000" w:themeColor="text1"/>
                <w:kern w:val="0"/>
                <w:sz w:val="20"/>
                <w:szCs w:val="20"/>
                <w:lang w:val="en-GB"/>
                <w14:textFill>
                  <w14:solidFill>
                    <w14:schemeClr w14:val="tx1"/>
                  </w14:solidFill>
                </w14:textFill>
              </w:rPr>
              <w:t>中水管道</w:t>
            </w:r>
          </w:p>
        </w:tc>
        <w:tc>
          <w:tcPr>
            <w:tcW w:w="3659"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after="0" w:line="240" w:lineRule="auto"/>
              <w:jc w:val="center"/>
              <w:rPr>
                <w:rFonts w:hint="eastAsia" w:ascii="仿宋" w:hAnsi="仿宋" w:eastAsia="仿宋" w:cs="Calibri"/>
                <w:color w:val="000000" w:themeColor="text1"/>
                <w:kern w:val="0"/>
                <w:sz w:val="20"/>
                <w:szCs w:val="20"/>
                <w:lang w:val="en-GB"/>
                <w14:textFill>
                  <w14:solidFill>
                    <w14:schemeClr w14:val="tx1"/>
                  </w14:solidFill>
                </w14:textFill>
              </w:rPr>
            </w:pPr>
            <w:r>
              <w:rPr>
                <w:rFonts w:ascii="仿宋" w:hAnsi="仿宋" w:eastAsia="仿宋" w:cs="Calibri"/>
                <w:color w:val="000000" w:themeColor="text1"/>
                <w:kern w:val="0"/>
                <w:sz w:val="20"/>
                <w:szCs w:val="20"/>
                <w:lang w:val="en-GB"/>
                <w14:textFill>
                  <w14:solidFill>
                    <w14:schemeClr w14:val="tx1"/>
                  </w14:solidFill>
                </w14:textFill>
              </w:rPr>
              <w:t>929.4</w:t>
            </w:r>
            <w:r>
              <w:rPr>
                <w:rFonts w:hint="eastAsia" w:ascii="仿宋" w:hAnsi="仿宋" w:eastAsia="仿宋" w:cs="Calibri"/>
                <w:color w:val="000000" w:themeColor="text1"/>
                <w:kern w:val="0"/>
                <w:sz w:val="20"/>
                <w:szCs w:val="20"/>
                <w:lang w:val="en-GB"/>
                <w14:textFill>
                  <w14:solidFill>
                    <w14:schemeClr w14:val="tx1"/>
                  </w14:solidFill>
                </w14:textFill>
              </w:rPr>
              <w:t>元</w:t>
            </w:r>
            <w:r>
              <w:rPr>
                <w:rFonts w:ascii="仿宋" w:hAnsi="仿宋" w:eastAsia="仿宋" w:cs="Calibri"/>
                <w:color w:val="000000" w:themeColor="text1"/>
                <w:kern w:val="0"/>
                <w:sz w:val="20"/>
                <w:szCs w:val="20"/>
                <w:lang w:val="en-GB"/>
                <w14:textFill>
                  <w14:solidFill>
                    <w14:schemeClr w14:val="tx1"/>
                  </w14:solidFill>
                </w14:textFill>
              </w:rPr>
              <w:t>/</w:t>
            </w:r>
            <w:r>
              <w:rPr>
                <w:rFonts w:hint="eastAsia" w:ascii="仿宋" w:hAnsi="仿宋" w:eastAsia="仿宋" w:cs="Calibri"/>
                <w:color w:val="000000" w:themeColor="text1"/>
                <w:kern w:val="0"/>
                <w:sz w:val="20"/>
                <w:szCs w:val="20"/>
                <w:lang w:val="en-GB"/>
                <w14:textFill>
                  <w14:solidFill>
                    <w14:schemeClr w14:val="tx1"/>
                  </w14:solidFill>
                </w14:textFill>
              </w:rPr>
              <w:t>米</w:t>
            </w:r>
            <w:r>
              <w:rPr>
                <w:rFonts w:ascii="仿宋" w:hAnsi="仿宋" w:eastAsia="仿宋" w:cs="Calibri"/>
                <w:color w:val="000000" w:themeColor="text1"/>
                <w:kern w:val="0"/>
                <w:sz w:val="20"/>
                <w:szCs w:val="20"/>
                <w:lang w:val="en-GB"/>
                <w14:textFill>
                  <w14:solidFill>
                    <w14:schemeClr w14:val="tx1"/>
                  </w14:solidFill>
                </w14:textFill>
              </w:rPr>
              <w:t>*</w:t>
            </w:r>
            <w:r>
              <w:rPr>
                <w:rFonts w:hint="eastAsia" w:ascii="仿宋" w:hAnsi="仿宋" w:eastAsia="仿宋" w:cs="Calibri"/>
                <w:color w:val="000000" w:themeColor="text1"/>
                <w:kern w:val="0"/>
                <w:sz w:val="20"/>
                <w:szCs w:val="20"/>
                <w:lang w:val="en-GB"/>
                <w14:textFill>
                  <w14:solidFill>
                    <w14:schemeClr w14:val="tx1"/>
                  </w14:solidFill>
                </w14:textFill>
              </w:rPr>
              <w:t>百年</w:t>
            </w:r>
          </w:p>
        </w:tc>
        <w:tc>
          <w:tcPr>
            <w:tcW w:w="2689" w:type="dxa"/>
            <w:tcBorders>
              <w:top w:val="single" w:color="auto" w:sz="4" w:space="0"/>
              <w:left w:val="nil"/>
              <w:bottom w:val="single" w:color="auto" w:sz="4" w:space="0"/>
              <w:right w:val="single" w:color="auto" w:sz="4" w:space="0"/>
            </w:tcBorders>
            <w:shd w:val="clear" w:color="auto" w:fill="auto"/>
            <w:noWrap/>
            <w:vAlign w:val="center"/>
          </w:tcPr>
          <w:p>
            <w:pPr>
              <w:widowControl/>
              <w:spacing w:after="0" w:line="240" w:lineRule="auto"/>
              <w:jc w:val="center"/>
              <w:rPr>
                <w:rFonts w:hint="eastAsia" w:ascii="仿宋" w:hAnsi="仿宋" w:eastAsia="仿宋" w:cs="Calibri"/>
                <w:color w:val="000000" w:themeColor="text1"/>
                <w:kern w:val="0"/>
                <w:sz w:val="20"/>
                <w:szCs w:val="20"/>
                <w:lang w:val="en-GB"/>
                <w14:textFill>
                  <w14:solidFill>
                    <w14:schemeClr w14:val="tx1"/>
                  </w14:solidFill>
                </w14:textFill>
              </w:rPr>
            </w:pPr>
            <w:r>
              <w:rPr>
                <w:rFonts w:ascii="仿宋" w:hAnsi="仿宋" w:eastAsia="仿宋" w:cs="Calibri"/>
                <w:color w:val="000000" w:themeColor="text1"/>
                <w:kern w:val="0"/>
                <w:sz w:val="20"/>
                <w:szCs w:val="20"/>
                <w:lang w:val="en-GB"/>
                <w14:textFill>
                  <w14:solidFill>
                    <w14:schemeClr w14:val="tx1"/>
                  </w14:solidFill>
                </w14:textFill>
              </w:rPr>
              <w:t>88.18</w:t>
            </w:r>
            <w:r>
              <w:rPr>
                <w:rFonts w:hint="eastAsia" w:ascii="仿宋" w:hAnsi="仿宋" w:eastAsia="仿宋" w:cs="Calibri"/>
                <w:color w:val="000000" w:themeColor="text1"/>
                <w:kern w:val="0"/>
                <w:sz w:val="20"/>
                <w:szCs w:val="20"/>
                <w:lang w:val="en-GB"/>
                <w14:textFill>
                  <w14:solidFill>
                    <w14:schemeClr w14:val="tx1"/>
                  </w14:solidFill>
                </w14:textFill>
              </w:rPr>
              <w:t>元</w:t>
            </w:r>
            <w:r>
              <w:rPr>
                <w:rFonts w:ascii="仿宋" w:hAnsi="仿宋" w:eastAsia="仿宋" w:cs="Calibri"/>
                <w:color w:val="000000" w:themeColor="text1"/>
                <w:kern w:val="0"/>
                <w:sz w:val="20"/>
                <w:szCs w:val="20"/>
                <w:lang w:val="en-GB"/>
                <w14:textFill>
                  <w14:solidFill>
                    <w14:schemeClr w14:val="tx1"/>
                  </w14:solidFill>
                </w14:textFill>
              </w:rPr>
              <w:t>/</w:t>
            </w:r>
            <w:r>
              <w:rPr>
                <w:rFonts w:hint="eastAsia" w:ascii="仿宋" w:hAnsi="仿宋" w:eastAsia="仿宋" w:cs="Calibri"/>
                <w:color w:val="000000" w:themeColor="text1"/>
                <w:kern w:val="0"/>
                <w:sz w:val="20"/>
                <w:szCs w:val="20"/>
                <w:lang w:val="en-GB"/>
                <w14:textFill>
                  <w14:solidFill>
                    <w14:schemeClr w14:val="tx1"/>
                  </w14:solidFill>
                </w14:textFill>
              </w:rPr>
              <w:t>米</w:t>
            </w:r>
            <w:r>
              <w:rPr>
                <w:rFonts w:ascii="仿宋" w:hAnsi="仿宋" w:eastAsia="仿宋" w:cs="Calibri"/>
                <w:color w:val="000000" w:themeColor="text1"/>
                <w:kern w:val="0"/>
                <w:sz w:val="20"/>
                <w:szCs w:val="20"/>
                <w:lang w:val="en-GB"/>
                <w14:textFill>
                  <w14:solidFill>
                    <w14:schemeClr w14:val="tx1"/>
                  </w14:solidFill>
                </w14:textFill>
              </w:rPr>
              <w:t>*</w:t>
            </w:r>
            <w:r>
              <w:rPr>
                <w:rFonts w:hint="eastAsia" w:ascii="仿宋" w:hAnsi="仿宋" w:eastAsia="仿宋" w:cs="Calibri"/>
                <w:color w:val="000000" w:themeColor="text1"/>
                <w:kern w:val="0"/>
                <w:sz w:val="20"/>
                <w:szCs w:val="20"/>
                <w:lang w:val="en-GB"/>
                <w14:textFill>
                  <w14:solidFill>
                    <w14:schemeClr w14:val="tx1"/>
                  </w14:solidFill>
                </w14:textFill>
              </w:rPr>
              <w:t>年</w:t>
            </w:r>
          </w:p>
        </w:tc>
      </w:tr>
      <w:tr>
        <w:tblPrEx>
          <w:tblCellMar>
            <w:top w:w="0" w:type="dxa"/>
            <w:left w:w="108" w:type="dxa"/>
            <w:bottom w:w="0" w:type="dxa"/>
            <w:right w:w="108" w:type="dxa"/>
          </w:tblCellMar>
        </w:tblPrEx>
        <w:trPr>
          <w:trHeight w:val="20" w:hRule="atLeast"/>
        </w:trPr>
        <w:tc>
          <w:tcPr>
            <w:tcW w:w="2288"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after="0" w:line="240" w:lineRule="auto"/>
              <w:jc w:val="left"/>
              <w:rPr>
                <w:rFonts w:hint="eastAsia" w:ascii="仿宋" w:hAnsi="仿宋" w:eastAsia="仿宋" w:cs="Calibri"/>
                <w:color w:val="000000" w:themeColor="text1"/>
                <w:kern w:val="0"/>
                <w:sz w:val="20"/>
                <w:szCs w:val="20"/>
                <w:lang w:val="en-GB"/>
                <w14:textFill>
                  <w14:solidFill>
                    <w14:schemeClr w14:val="tx1"/>
                  </w14:solidFill>
                </w14:textFill>
              </w:rPr>
            </w:pPr>
            <w:r>
              <w:rPr>
                <w:rFonts w:ascii="仿宋" w:hAnsi="仿宋" w:eastAsia="仿宋" w:cs="Calibri"/>
                <w:color w:val="000000" w:themeColor="text1"/>
                <w:kern w:val="0"/>
                <w:sz w:val="20"/>
                <w:szCs w:val="20"/>
                <w:lang w:val="en-GB"/>
                <w14:textFill>
                  <w14:solidFill>
                    <w14:schemeClr w14:val="tx1"/>
                  </w14:solidFill>
                </w14:textFill>
              </w:rPr>
              <w:t>通信管道</w:t>
            </w:r>
          </w:p>
        </w:tc>
        <w:tc>
          <w:tcPr>
            <w:tcW w:w="3659"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after="0" w:line="240" w:lineRule="auto"/>
              <w:jc w:val="center"/>
              <w:rPr>
                <w:rFonts w:hint="eastAsia" w:ascii="仿宋" w:hAnsi="仿宋" w:eastAsia="仿宋" w:cs="Calibri"/>
                <w:color w:val="000000" w:themeColor="text1"/>
                <w:kern w:val="0"/>
                <w:sz w:val="20"/>
                <w:szCs w:val="20"/>
                <w:lang w:val="en-GB"/>
                <w14:textFill>
                  <w14:solidFill>
                    <w14:schemeClr w14:val="tx1"/>
                  </w14:solidFill>
                </w14:textFill>
              </w:rPr>
            </w:pPr>
            <w:r>
              <w:rPr>
                <w:rFonts w:ascii="仿宋" w:hAnsi="仿宋" w:eastAsia="仿宋" w:cs="Calibri"/>
                <w:color w:val="000000" w:themeColor="text1"/>
                <w:kern w:val="0"/>
                <w:sz w:val="20"/>
                <w:szCs w:val="20"/>
                <w:lang w:val="en-GB"/>
                <w14:textFill>
                  <w14:solidFill>
                    <w14:schemeClr w14:val="tx1"/>
                  </w14:solidFill>
                </w14:textFill>
              </w:rPr>
              <w:t>79.1</w:t>
            </w:r>
            <w:r>
              <w:rPr>
                <w:rFonts w:hint="eastAsia" w:ascii="仿宋" w:hAnsi="仿宋" w:eastAsia="仿宋" w:cs="Calibri"/>
                <w:color w:val="000000" w:themeColor="text1"/>
                <w:kern w:val="0"/>
                <w:sz w:val="20"/>
                <w:szCs w:val="20"/>
                <w:lang w:val="en-GB"/>
                <w14:textFill>
                  <w14:solidFill>
                    <w14:schemeClr w14:val="tx1"/>
                  </w14:solidFill>
                </w14:textFill>
              </w:rPr>
              <w:t>元</w:t>
            </w:r>
            <w:r>
              <w:rPr>
                <w:rFonts w:ascii="仿宋" w:hAnsi="仿宋" w:eastAsia="仿宋" w:cs="Calibri"/>
                <w:color w:val="000000" w:themeColor="text1"/>
                <w:kern w:val="0"/>
                <w:sz w:val="20"/>
                <w:szCs w:val="20"/>
                <w:lang w:val="en-GB"/>
                <w14:textFill>
                  <w14:solidFill>
                    <w14:schemeClr w14:val="tx1"/>
                  </w14:solidFill>
                </w14:textFill>
              </w:rPr>
              <w:t>/</w:t>
            </w:r>
            <w:r>
              <w:rPr>
                <w:rFonts w:hint="eastAsia" w:ascii="仿宋" w:hAnsi="仿宋" w:eastAsia="仿宋" w:cs="Calibri"/>
                <w:color w:val="000000" w:themeColor="text1"/>
                <w:kern w:val="0"/>
                <w:sz w:val="20"/>
                <w:szCs w:val="20"/>
                <w:lang w:val="en-GB"/>
                <w14:textFill>
                  <w14:solidFill>
                    <w14:schemeClr w14:val="tx1"/>
                  </w14:solidFill>
                </w14:textFill>
              </w:rPr>
              <w:t>米</w:t>
            </w:r>
            <w:r>
              <w:rPr>
                <w:rFonts w:ascii="仿宋" w:hAnsi="仿宋" w:eastAsia="仿宋" w:cs="Calibri"/>
                <w:color w:val="000000" w:themeColor="text1"/>
                <w:kern w:val="0"/>
                <w:sz w:val="20"/>
                <w:szCs w:val="20"/>
                <w:lang w:val="en-GB"/>
                <w14:textFill>
                  <w14:solidFill>
                    <w14:schemeClr w14:val="tx1"/>
                  </w14:solidFill>
                </w14:textFill>
              </w:rPr>
              <w:t>*</w:t>
            </w:r>
            <w:r>
              <w:rPr>
                <w:rFonts w:hint="eastAsia" w:ascii="仿宋" w:hAnsi="仿宋" w:eastAsia="仿宋" w:cs="Calibri"/>
                <w:color w:val="000000" w:themeColor="text1"/>
                <w:kern w:val="0"/>
                <w:sz w:val="20"/>
                <w:szCs w:val="20"/>
                <w:lang w:val="en-GB"/>
                <w14:textFill>
                  <w14:solidFill>
                    <w14:schemeClr w14:val="tx1"/>
                  </w14:solidFill>
                </w14:textFill>
              </w:rPr>
              <w:t>百年</w:t>
            </w:r>
          </w:p>
        </w:tc>
        <w:tc>
          <w:tcPr>
            <w:tcW w:w="2689" w:type="dxa"/>
            <w:tcBorders>
              <w:top w:val="single" w:color="auto" w:sz="4" w:space="0"/>
              <w:left w:val="nil"/>
              <w:bottom w:val="single" w:color="auto" w:sz="4" w:space="0"/>
              <w:right w:val="single" w:color="auto" w:sz="4" w:space="0"/>
            </w:tcBorders>
            <w:shd w:val="clear" w:color="auto" w:fill="auto"/>
            <w:noWrap/>
            <w:vAlign w:val="center"/>
          </w:tcPr>
          <w:p>
            <w:pPr>
              <w:widowControl/>
              <w:spacing w:after="0" w:line="240" w:lineRule="auto"/>
              <w:jc w:val="center"/>
              <w:rPr>
                <w:rFonts w:hint="eastAsia" w:ascii="仿宋" w:hAnsi="仿宋" w:eastAsia="仿宋" w:cs="Calibri"/>
                <w:color w:val="000000" w:themeColor="text1"/>
                <w:kern w:val="0"/>
                <w:sz w:val="20"/>
                <w:szCs w:val="20"/>
                <w:lang w:val="en-GB"/>
                <w14:textFill>
                  <w14:solidFill>
                    <w14:schemeClr w14:val="tx1"/>
                  </w14:solidFill>
                </w14:textFill>
              </w:rPr>
            </w:pPr>
            <w:r>
              <w:rPr>
                <w:rFonts w:ascii="仿宋" w:hAnsi="仿宋" w:eastAsia="仿宋" w:cs="Calibri"/>
                <w:color w:val="000000" w:themeColor="text1"/>
                <w:kern w:val="0"/>
                <w:sz w:val="20"/>
                <w:szCs w:val="20"/>
                <w:lang w:val="en-GB"/>
                <w14:textFill>
                  <w14:solidFill>
                    <w14:schemeClr w14:val="tx1"/>
                  </w14:solidFill>
                </w14:textFill>
              </w:rPr>
              <w:t>1.44</w:t>
            </w:r>
            <w:r>
              <w:rPr>
                <w:rFonts w:hint="eastAsia" w:ascii="仿宋" w:hAnsi="仿宋" w:eastAsia="仿宋" w:cs="Calibri"/>
                <w:color w:val="000000" w:themeColor="text1"/>
                <w:kern w:val="0"/>
                <w:sz w:val="20"/>
                <w:szCs w:val="20"/>
                <w:lang w:val="en-GB"/>
                <w14:textFill>
                  <w14:solidFill>
                    <w14:schemeClr w14:val="tx1"/>
                  </w14:solidFill>
                </w14:textFill>
              </w:rPr>
              <w:t>元</w:t>
            </w:r>
            <w:r>
              <w:rPr>
                <w:rFonts w:ascii="仿宋" w:hAnsi="仿宋" w:eastAsia="仿宋" w:cs="Calibri"/>
                <w:color w:val="000000" w:themeColor="text1"/>
                <w:kern w:val="0"/>
                <w:sz w:val="20"/>
                <w:szCs w:val="20"/>
                <w:lang w:val="en-GB"/>
                <w14:textFill>
                  <w14:solidFill>
                    <w14:schemeClr w14:val="tx1"/>
                  </w14:solidFill>
                </w14:textFill>
              </w:rPr>
              <w:t>/</w:t>
            </w:r>
            <w:r>
              <w:rPr>
                <w:rFonts w:hint="eastAsia" w:ascii="仿宋" w:hAnsi="仿宋" w:eastAsia="仿宋" w:cs="Calibri"/>
                <w:color w:val="000000" w:themeColor="text1"/>
                <w:kern w:val="0"/>
                <w:sz w:val="20"/>
                <w:szCs w:val="20"/>
                <w:lang w:val="en-GB"/>
                <w14:textFill>
                  <w14:solidFill>
                    <w14:schemeClr w14:val="tx1"/>
                  </w14:solidFill>
                </w14:textFill>
              </w:rPr>
              <w:t>米</w:t>
            </w:r>
            <w:r>
              <w:rPr>
                <w:rFonts w:ascii="仿宋" w:hAnsi="仿宋" w:eastAsia="仿宋" w:cs="Calibri"/>
                <w:color w:val="000000" w:themeColor="text1"/>
                <w:kern w:val="0"/>
                <w:sz w:val="20"/>
                <w:szCs w:val="20"/>
                <w:lang w:val="en-GB"/>
                <w14:textFill>
                  <w14:solidFill>
                    <w14:schemeClr w14:val="tx1"/>
                  </w14:solidFill>
                </w14:textFill>
              </w:rPr>
              <w:t>*</w:t>
            </w:r>
            <w:r>
              <w:rPr>
                <w:rFonts w:hint="eastAsia" w:ascii="仿宋" w:hAnsi="仿宋" w:eastAsia="仿宋" w:cs="Calibri"/>
                <w:color w:val="000000" w:themeColor="text1"/>
                <w:kern w:val="0"/>
                <w:sz w:val="20"/>
                <w:szCs w:val="20"/>
                <w:lang w:val="en-GB"/>
                <w14:textFill>
                  <w14:solidFill>
                    <w14:schemeClr w14:val="tx1"/>
                  </w14:solidFill>
                </w14:textFill>
              </w:rPr>
              <w:t>年</w:t>
            </w:r>
          </w:p>
        </w:tc>
      </w:tr>
      <w:tr>
        <w:tblPrEx>
          <w:tblCellMar>
            <w:top w:w="0" w:type="dxa"/>
            <w:left w:w="108" w:type="dxa"/>
            <w:bottom w:w="0" w:type="dxa"/>
            <w:right w:w="108" w:type="dxa"/>
          </w:tblCellMar>
        </w:tblPrEx>
        <w:trPr>
          <w:trHeight w:val="20" w:hRule="atLeast"/>
        </w:trPr>
        <w:tc>
          <w:tcPr>
            <w:tcW w:w="2288"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after="0" w:line="240" w:lineRule="auto"/>
              <w:jc w:val="left"/>
              <w:rPr>
                <w:rFonts w:hint="eastAsia" w:ascii="仿宋" w:hAnsi="仿宋" w:eastAsia="仿宋" w:cs="Calibri"/>
                <w:color w:val="000000" w:themeColor="text1"/>
                <w:kern w:val="0"/>
                <w:sz w:val="20"/>
                <w:szCs w:val="20"/>
                <w:lang w:val="en-GB"/>
                <w14:textFill>
                  <w14:solidFill>
                    <w14:schemeClr w14:val="tx1"/>
                  </w14:solidFill>
                </w14:textFill>
              </w:rPr>
            </w:pPr>
            <w:r>
              <w:rPr>
                <w:rFonts w:hint="eastAsia" w:ascii="仿宋" w:hAnsi="仿宋" w:eastAsia="仿宋" w:cs="Calibri"/>
                <w:color w:val="000000" w:themeColor="text1"/>
                <w:kern w:val="0"/>
                <w:sz w:val="20"/>
                <w:szCs w:val="20"/>
                <w:lang w:val="en-GB"/>
                <w14:textFill>
                  <w14:solidFill>
                    <w14:schemeClr w14:val="tx1"/>
                  </w14:solidFill>
                </w14:textFill>
              </w:rPr>
              <w:t>电力电缆</w:t>
            </w:r>
          </w:p>
        </w:tc>
        <w:tc>
          <w:tcPr>
            <w:tcW w:w="3659"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after="0" w:line="240" w:lineRule="auto"/>
              <w:jc w:val="center"/>
              <w:rPr>
                <w:rFonts w:hint="eastAsia" w:ascii="仿宋" w:hAnsi="仿宋" w:eastAsia="仿宋" w:cs="Calibri"/>
                <w:color w:val="000000" w:themeColor="text1"/>
                <w:kern w:val="0"/>
                <w:sz w:val="20"/>
                <w:szCs w:val="20"/>
                <w:lang w:val="en-GB"/>
                <w14:textFill>
                  <w14:solidFill>
                    <w14:schemeClr w14:val="tx1"/>
                  </w14:solidFill>
                </w14:textFill>
              </w:rPr>
            </w:pPr>
            <w:r>
              <w:rPr>
                <w:rFonts w:ascii="仿宋" w:hAnsi="仿宋" w:eastAsia="仿宋" w:cs="Calibri"/>
                <w:color w:val="000000" w:themeColor="text1"/>
                <w:kern w:val="0"/>
                <w:sz w:val="20"/>
                <w:szCs w:val="20"/>
                <w:lang w:val="en-GB"/>
                <w14:textFill>
                  <w14:solidFill>
                    <w14:schemeClr w14:val="tx1"/>
                  </w14:solidFill>
                </w14:textFill>
              </w:rPr>
              <w:t>407.94</w:t>
            </w:r>
            <w:r>
              <w:rPr>
                <w:rFonts w:hint="eastAsia" w:ascii="仿宋" w:hAnsi="仿宋" w:eastAsia="仿宋" w:cs="Calibri"/>
                <w:color w:val="000000" w:themeColor="text1"/>
                <w:kern w:val="0"/>
                <w:sz w:val="20"/>
                <w:szCs w:val="20"/>
                <w:lang w:val="en-GB"/>
                <w14:textFill>
                  <w14:solidFill>
                    <w14:schemeClr w14:val="tx1"/>
                  </w14:solidFill>
                </w14:textFill>
              </w:rPr>
              <w:t>元</w:t>
            </w:r>
            <w:r>
              <w:rPr>
                <w:rFonts w:ascii="仿宋" w:hAnsi="仿宋" w:eastAsia="仿宋" w:cs="Calibri"/>
                <w:color w:val="000000" w:themeColor="text1"/>
                <w:kern w:val="0"/>
                <w:sz w:val="20"/>
                <w:szCs w:val="20"/>
                <w:lang w:val="en-GB"/>
                <w14:textFill>
                  <w14:solidFill>
                    <w14:schemeClr w14:val="tx1"/>
                  </w14:solidFill>
                </w14:textFill>
              </w:rPr>
              <w:t>/</w:t>
            </w:r>
            <w:r>
              <w:rPr>
                <w:rFonts w:hint="eastAsia" w:ascii="仿宋" w:hAnsi="仿宋" w:eastAsia="仿宋" w:cs="Calibri"/>
                <w:color w:val="000000" w:themeColor="text1"/>
                <w:kern w:val="0"/>
                <w:sz w:val="20"/>
                <w:szCs w:val="20"/>
                <w:lang w:val="en-GB"/>
                <w14:textFill>
                  <w14:solidFill>
                    <w14:schemeClr w14:val="tx1"/>
                  </w14:solidFill>
                </w14:textFill>
              </w:rPr>
              <w:t>米</w:t>
            </w:r>
            <w:r>
              <w:rPr>
                <w:rFonts w:ascii="仿宋" w:hAnsi="仿宋" w:eastAsia="仿宋" w:cs="Calibri"/>
                <w:color w:val="000000" w:themeColor="text1"/>
                <w:kern w:val="0"/>
                <w:sz w:val="20"/>
                <w:szCs w:val="20"/>
                <w:lang w:val="en-GB"/>
                <w14:textFill>
                  <w14:solidFill>
                    <w14:schemeClr w14:val="tx1"/>
                  </w14:solidFill>
                </w14:textFill>
              </w:rPr>
              <w:t>*</w:t>
            </w:r>
            <w:r>
              <w:rPr>
                <w:rFonts w:hint="eastAsia" w:ascii="仿宋" w:hAnsi="仿宋" w:eastAsia="仿宋" w:cs="Calibri"/>
                <w:color w:val="000000" w:themeColor="text1"/>
                <w:kern w:val="0"/>
                <w:sz w:val="20"/>
                <w:szCs w:val="20"/>
                <w:lang w:val="en-GB"/>
                <w14:textFill>
                  <w14:solidFill>
                    <w14:schemeClr w14:val="tx1"/>
                  </w14:solidFill>
                </w14:textFill>
              </w:rPr>
              <w:t>百年</w:t>
            </w:r>
          </w:p>
        </w:tc>
        <w:tc>
          <w:tcPr>
            <w:tcW w:w="2689" w:type="dxa"/>
            <w:tcBorders>
              <w:top w:val="single" w:color="auto" w:sz="4" w:space="0"/>
              <w:left w:val="nil"/>
              <w:bottom w:val="single" w:color="auto" w:sz="4" w:space="0"/>
              <w:right w:val="single" w:color="auto" w:sz="4" w:space="0"/>
            </w:tcBorders>
            <w:shd w:val="clear" w:color="auto" w:fill="auto"/>
            <w:noWrap/>
            <w:vAlign w:val="center"/>
          </w:tcPr>
          <w:p>
            <w:pPr>
              <w:widowControl/>
              <w:spacing w:after="0" w:line="240" w:lineRule="auto"/>
              <w:jc w:val="center"/>
              <w:rPr>
                <w:rFonts w:hint="eastAsia" w:ascii="仿宋" w:hAnsi="仿宋" w:eastAsia="仿宋" w:cs="Calibri"/>
                <w:color w:val="000000" w:themeColor="text1"/>
                <w:kern w:val="0"/>
                <w:sz w:val="20"/>
                <w:szCs w:val="20"/>
                <w:lang w:val="en-GB"/>
                <w14:textFill>
                  <w14:solidFill>
                    <w14:schemeClr w14:val="tx1"/>
                  </w14:solidFill>
                </w14:textFill>
              </w:rPr>
            </w:pPr>
            <w:r>
              <w:rPr>
                <w:rFonts w:ascii="仿宋" w:hAnsi="仿宋" w:eastAsia="仿宋" w:cs="Calibri"/>
                <w:color w:val="000000" w:themeColor="text1"/>
                <w:kern w:val="0"/>
                <w:sz w:val="20"/>
                <w:szCs w:val="20"/>
                <w:lang w:val="en-GB"/>
                <w14:textFill>
                  <w14:solidFill>
                    <w14:schemeClr w14:val="tx1"/>
                  </w14:solidFill>
                </w14:textFill>
              </w:rPr>
              <w:t>13.97</w:t>
            </w:r>
            <w:r>
              <w:rPr>
                <w:rFonts w:hint="eastAsia" w:ascii="仿宋" w:hAnsi="仿宋" w:eastAsia="仿宋" w:cs="Calibri"/>
                <w:color w:val="000000" w:themeColor="text1"/>
                <w:kern w:val="0"/>
                <w:sz w:val="20"/>
                <w:szCs w:val="20"/>
                <w:lang w:val="en-GB"/>
                <w14:textFill>
                  <w14:solidFill>
                    <w14:schemeClr w14:val="tx1"/>
                  </w14:solidFill>
                </w14:textFill>
              </w:rPr>
              <w:t>元</w:t>
            </w:r>
            <w:r>
              <w:rPr>
                <w:rFonts w:ascii="仿宋" w:hAnsi="仿宋" w:eastAsia="仿宋" w:cs="Calibri"/>
                <w:color w:val="000000" w:themeColor="text1"/>
                <w:kern w:val="0"/>
                <w:sz w:val="20"/>
                <w:szCs w:val="20"/>
                <w:lang w:val="en-GB"/>
                <w14:textFill>
                  <w14:solidFill>
                    <w14:schemeClr w14:val="tx1"/>
                  </w14:solidFill>
                </w14:textFill>
              </w:rPr>
              <w:t>/</w:t>
            </w:r>
            <w:r>
              <w:rPr>
                <w:rFonts w:hint="eastAsia" w:ascii="仿宋" w:hAnsi="仿宋" w:eastAsia="仿宋" w:cs="Calibri"/>
                <w:color w:val="000000" w:themeColor="text1"/>
                <w:kern w:val="0"/>
                <w:sz w:val="20"/>
                <w:szCs w:val="20"/>
                <w:lang w:val="en-GB"/>
                <w14:textFill>
                  <w14:solidFill>
                    <w14:schemeClr w14:val="tx1"/>
                  </w14:solidFill>
                </w14:textFill>
              </w:rPr>
              <w:t>米</w:t>
            </w:r>
            <w:r>
              <w:rPr>
                <w:rFonts w:ascii="仿宋" w:hAnsi="仿宋" w:eastAsia="仿宋" w:cs="Calibri"/>
                <w:color w:val="000000" w:themeColor="text1"/>
                <w:kern w:val="0"/>
                <w:sz w:val="20"/>
                <w:szCs w:val="20"/>
                <w:lang w:val="en-GB"/>
                <w14:textFill>
                  <w14:solidFill>
                    <w14:schemeClr w14:val="tx1"/>
                  </w14:solidFill>
                </w14:textFill>
              </w:rPr>
              <w:t>*</w:t>
            </w:r>
            <w:r>
              <w:rPr>
                <w:rFonts w:hint="eastAsia" w:ascii="仿宋" w:hAnsi="仿宋" w:eastAsia="仿宋" w:cs="Calibri"/>
                <w:color w:val="000000" w:themeColor="text1"/>
                <w:kern w:val="0"/>
                <w:sz w:val="20"/>
                <w:szCs w:val="20"/>
                <w:lang w:val="en-GB"/>
                <w14:textFill>
                  <w14:solidFill>
                    <w14:schemeClr w14:val="tx1"/>
                  </w14:solidFill>
                </w14:textFill>
              </w:rPr>
              <w:t>年</w:t>
            </w:r>
          </w:p>
        </w:tc>
      </w:tr>
    </w:tbl>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2）土地出让收入</w:t>
      </w:r>
      <w:r>
        <w:rPr>
          <w:rFonts w:ascii="Calibri" w:hAnsi="Calibri" w:eastAsia="仿宋" w:cs="Calibri"/>
          <w:color w:val="000000" w:themeColor="text1"/>
          <w:kern w:val="0"/>
          <w:sz w:val="28"/>
          <w:szCs w:val="28"/>
          <w:lang w:val="en-GB"/>
          <w14:textFill>
            <w14:solidFill>
              <w14:schemeClr w14:val="tx1"/>
            </w14:solidFill>
          </w14:textFill>
        </w:rPr>
        <w:t> </w:t>
      </w:r>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本项目专项债券还本付息以辖区内项目周边地块的土地使用权出让收入为基础。有关土地使用权出让收入将关联到具体地块，提高项目与收益来源之间的关联性，确保收益能够切实取得，有效保障专项债券按时偿还本息，避免产生债券本息偿还风险。</w:t>
      </w:r>
      <w:r>
        <w:rPr>
          <w:rFonts w:ascii="Calibri" w:hAnsi="Calibri" w:eastAsia="仿宋" w:cs="Calibri"/>
          <w:color w:val="000000" w:themeColor="text1"/>
          <w:kern w:val="0"/>
          <w:sz w:val="28"/>
          <w:szCs w:val="28"/>
          <w:lang w:val="en-GB"/>
          <w14:textFill>
            <w14:solidFill>
              <w14:schemeClr w14:val="tx1"/>
            </w14:solidFill>
          </w14:textFill>
        </w:rPr>
        <w:t> </w:t>
      </w:r>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本项目涉及的土地使用权出让收入预测，以项目区域范围内可出让面积、土地用途、容积率指标等为基数，参考所在片区基准地价、近期历史成交价、未来经济增长、城市商品房销售价格等标准，合理预估本项目的土地出让单价，并据此测算相关收入。用于本次发行专项债券的项目偿债的土地出让情况见下表。</w:t>
      </w:r>
      <w:r>
        <w:rPr>
          <w:rFonts w:ascii="Calibri" w:hAnsi="Calibri" w:eastAsia="仿宋" w:cs="Calibri"/>
          <w:color w:val="000000" w:themeColor="text1"/>
          <w:kern w:val="0"/>
          <w:sz w:val="28"/>
          <w:szCs w:val="28"/>
          <w:lang w:val="en-GB"/>
          <w14:textFill>
            <w14:solidFill>
              <w14:schemeClr w14:val="tx1"/>
            </w14:solidFill>
          </w14:textFill>
        </w:rPr>
        <w:t> </w:t>
      </w:r>
    </w:p>
    <w:p>
      <w:pPr>
        <w:widowControl/>
        <w:spacing w:after="0"/>
        <w:jc w:val="center"/>
        <w:rPr>
          <w:rFonts w:hint="eastAsia" w:ascii="仿宋" w:hAnsi="仿宋" w:eastAsia="仿宋"/>
          <w:b/>
          <w:color w:val="000000"/>
          <w:kern w:val="0"/>
          <w:sz w:val="24"/>
          <w:szCs w:val="24"/>
        </w:rPr>
      </w:pPr>
      <w:r>
        <w:rPr>
          <w:rFonts w:hint="eastAsia" w:ascii="仿宋" w:hAnsi="仿宋" w:eastAsia="仿宋"/>
          <w:b/>
          <w:color w:val="000000"/>
          <w:kern w:val="0"/>
          <w:sz w:val="24"/>
          <w:szCs w:val="24"/>
        </w:rPr>
        <w:t>表8海口江东新区城市地下管网完善工程（一期）土地出让情况表</w:t>
      </w:r>
    </w:p>
    <w:tbl>
      <w:tblPr>
        <w:tblStyle w:val="24"/>
        <w:tblW w:w="8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413"/>
        <w:gridCol w:w="1701"/>
        <w:gridCol w:w="992"/>
        <w:gridCol w:w="1276"/>
        <w:gridCol w:w="992"/>
        <w:gridCol w:w="1410"/>
        <w:gridCol w:w="9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30" w:hRule="atLeast"/>
        </w:trPr>
        <w:tc>
          <w:tcPr>
            <w:tcW w:w="1413" w:type="dxa"/>
            <w:shd w:val="clear" w:color="auto" w:fill="auto"/>
            <w:vAlign w:val="center"/>
          </w:tcPr>
          <w:p>
            <w:pPr>
              <w:widowControl/>
              <w:spacing w:after="0" w:line="240" w:lineRule="auto"/>
              <w:jc w:val="center"/>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项目名称</w:t>
            </w:r>
            <w:r>
              <w:rPr>
                <w:rFonts w:ascii="Calibri" w:hAnsi="Calibri" w:eastAsia="仿宋" w:cs="Calibri"/>
                <w:color w:val="000000" w:themeColor="text1"/>
                <w:kern w:val="0"/>
                <w:sz w:val="20"/>
                <w:szCs w:val="20"/>
                <w14:textFill>
                  <w14:solidFill>
                    <w14:schemeClr w14:val="tx1"/>
                  </w14:solidFill>
                </w14:textFill>
              </w:rPr>
              <w:t> </w:t>
            </w:r>
          </w:p>
        </w:tc>
        <w:tc>
          <w:tcPr>
            <w:tcW w:w="1701" w:type="dxa"/>
            <w:shd w:val="clear" w:color="auto" w:fill="auto"/>
            <w:vAlign w:val="center"/>
          </w:tcPr>
          <w:p>
            <w:pPr>
              <w:widowControl/>
              <w:spacing w:after="0" w:line="240" w:lineRule="auto"/>
              <w:jc w:val="center"/>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地块编号</w:t>
            </w:r>
            <w:r>
              <w:rPr>
                <w:rFonts w:ascii="Calibri" w:hAnsi="Calibri" w:eastAsia="仿宋" w:cs="Calibri"/>
                <w:color w:val="000000" w:themeColor="text1"/>
                <w:kern w:val="0"/>
                <w:sz w:val="20"/>
                <w:szCs w:val="20"/>
                <w14:textFill>
                  <w14:solidFill>
                    <w14:schemeClr w14:val="tx1"/>
                  </w14:solidFill>
                </w14:textFill>
              </w:rPr>
              <w:t> </w:t>
            </w:r>
          </w:p>
        </w:tc>
        <w:tc>
          <w:tcPr>
            <w:tcW w:w="992" w:type="dxa"/>
            <w:shd w:val="clear" w:color="auto" w:fill="auto"/>
            <w:vAlign w:val="center"/>
          </w:tcPr>
          <w:p>
            <w:pPr>
              <w:widowControl/>
              <w:spacing w:after="0" w:line="240" w:lineRule="auto"/>
              <w:jc w:val="center"/>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面积（亩）</w:t>
            </w:r>
            <w:r>
              <w:rPr>
                <w:rFonts w:ascii="Calibri" w:hAnsi="Calibri" w:eastAsia="仿宋" w:cs="Calibri"/>
                <w:color w:val="000000" w:themeColor="text1"/>
                <w:kern w:val="0"/>
                <w:sz w:val="20"/>
                <w:szCs w:val="20"/>
                <w14:textFill>
                  <w14:solidFill>
                    <w14:schemeClr w14:val="tx1"/>
                  </w14:solidFill>
                </w14:textFill>
              </w:rPr>
              <w:t> </w:t>
            </w:r>
          </w:p>
        </w:tc>
        <w:tc>
          <w:tcPr>
            <w:tcW w:w="1276" w:type="dxa"/>
            <w:shd w:val="clear" w:color="auto" w:fill="auto"/>
            <w:vAlign w:val="center"/>
          </w:tcPr>
          <w:p>
            <w:pPr>
              <w:widowControl/>
              <w:spacing w:after="0" w:line="240" w:lineRule="auto"/>
              <w:jc w:val="center"/>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预估地价（万元</w:t>
            </w:r>
            <w:r>
              <w:rPr>
                <w:rFonts w:ascii="仿宋" w:hAnsi="仿宋" w:eastAsia="仿宋" w:cs="Segoe UI"/>
                <w:b/>
                <w:bCs/>
                <w:color w:val="000000" w:themeColor="text1"/>
                <w:kern w:val="0"/>
                <w:sz w:val="20"/>
                <w:szCs w:val="20"/>
                <w14:textFill>
                  <w14:solidFill>
                    <w14:schemeClr w14:val="tx1"/>
                  </w14:solidFill>
                </w14:textFill>
              </w:rPr>
              <w:t>/</w:t>
            </w:r>
            <w:r>
              <w:rPr>
                <w:rFonts w:hint="eastAsia" w:ascii="仿宋" w:hAnsi="仿宋" w:eastAsia="仿宋" w:cs="Segoe UI"/>
                <w:b/>
                <w:bCs/>
                <w:color w:val="000000" w:themeColor="text1"/>
                <w:kern w:val="0"/>
                <w:sz w:val="20"/>
                <w:szCs w:val="20"/>
                <w14:textFill>
                  <w14:solidFill>
                    <w14:schemeClr w14:val="tx1"/>
                  </w14:solidFill>
                </w14:textFill>
              </w:rPr>
              <w:t>亩）</w:t>
            </w:r>
            <w:r>
              <w:rPr>
                <w:rFonts w:ascii="Calibri" w:hAnsi="Calibri" w:eastAsia="仿宋" w:cs="Calibri"/>
                <w:color w:val="000000" w:themeColor="text1"/>
                <w:kern w:val="0"/>
                <w:sz w:val="20"/>
                <w:szCs w:val="20"/>
                <w14:textFill>
                  <w14:solidFill>
                    <w14:schemeClr w14:val="tx1"/>
                  </w14:solidFill>
                </w14:textFill>
              </w:rPr>
              <w:t> </w:t>
            </w:r>
          </w:p>
        </w:tc>
        <w:tc>
          <w:tcPr>
            <w:tcW w:w="992" w:type="dxa"/>
            <w:shd w:val="clear" w:color="auto" w:fill="auto"/>
            <w:vAlign w:val="center"/>
          </w:tcPr>
          <w:p>
            <w:pPr>
              <w:widowControl/>
              <w:spacing w:after="0" w:line="240" w:lineRule="auto"/>
              <w:jc w:val="center"/>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土地性质</w:t>
            </w:r>
            <w:r>
              <w:rPr>
                <w:rFonts w:ascii="Calibri" w:hAnsi="Calibri" w:eastAsia="仿宋" w:cs="Calibri"/>
                <w:color w:val="000000" w:themeColor="text1"/>
                <w:kern w:val="0"/>
                <w:sz w:val="20"/>
                <w:szCs w:val="20"/>
                <w14:textFill>
                  <w14:solidFill>
                    <w14:schemeClr w14:val="tx1"/>
                  </w14:solidFill>
                </w14:textFill>
              </w:rPr>
              <w:t> </w:t>
            </w:r>
          </w:p>
        </w:tc>
        <w:tc>
          <w:tcPr>
            <w:tcW w:w="1410" w:type="dxa"/>
            <w:shd w:val="clear" w:color="auto" w:fill="auto"/>
            <w:vAlign w:val="center"/>
          </w:tcPr>
          <w:p>
            <w:pPr>
              <w:widowControl/>
              <w:spacing w:after="0" w:line="240" w:lineRule="auto"/>
              <w:jc w:val="center"/>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预计出让年限</w:t>
            </w:r>
            <w:r>
              <w:rPr>
                <w:rFonts w:ascii="Calibri" w:hAnsi="Calibri" w:eastAsia="仿宋" w:cs="Calibri"/>
                <w:color w:val="000000" w:themeColor="text1"/>
                <w:kern w:val="0"/>
                <w:sz w:val="20"/>
                <w:szCs w:val="20"/>
                <w14:textFill>
                  <w14:solidFill>
                    <w14:schemeClr w14:val="tx1"/>
                  </w14:solidFill>
                </w14:textFill>
              </w:rPr>
              <w:t> </w:t>
            </w:r>
          </w:p>
        </w:tc>
        <w:tc>
          <w:tcPr>
            <w:tcW w:w="997" w:type="dxa"/>
            <w:shd w:val="clear" w:color="auto" w:fill="auto"/>
            <w:vAlign w:val="center"/>
          </w:tcPr>
          <w:p>
            <w:pPr>
              <w:widowControl/>
              <w:spacing w:after="0" w:line="240" w:lineRule="auto"/>
              <w:jc w:val="center"/>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发行批次</w:t>
            </w:r>
            <w:r>
              <w:rPr>
                <w:rFonts w:ascii="Calibri" w:hAnsi="Calibri" w:eastAsia="仿宋" w:cs="Calibri"/>
                <w:color w:val="000000" w:themeColor="text1"/>
                <w:kern w:val="0"/>
                <w:sz w:val="20"/>
                <w:szCs w:val="20"/>
                <w14:textFill>
                  <w14:solidFill>
                    <w14:schemeClr w14:val="tx1"/>
                  </w14:solidFill>
                </w14:textFill>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30" w:hRule="atLeast"/>
        </w:trPr>
        <w:tc>
          <w:tcPr>
            <w:tcW w:w="1413" w:type="dxa"/>
            <w:shd w:val="clear" w:color="auto" w:fill="auto"/>
            <w:vAlign w:val="center"/>
          </w:tcPr>
          <w:p>
            <w:pPr>
              <w:widowControl/>
              <w:spacing w:after="0" w:line="240" w:lineRule="auto"/>
              <w:jc w:val="left"/>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海口江东新区城市地下管网完善工程（一期）</w:t>
            </w:r>
          </w:p>
        </w:tc>
        <w:tc>
          <w:tcPr>
            <w:tcW w:w="1701" w:type="dxa"/>
            <w:shd w:val="clear" w:color="auto" w:fill="auto"/>
            <w:vAlign w:val="center"/>
          </w:tcPr>
          <w:p>
            <w:pPr>
              <w:widowControl/>
              <w:spacing w:after="0" w:line="240" w:lineRule="auto"/>
              <w:jc w:val="center"/>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themeColor="text1"/>
                <w:kern w:val="0"/>
                <w:sz w:val="20"/>
                <w:szCs w:val="20"/>
                <w14:textFill>
                  <w14:solidFill>
                    <w14:schemeClr w14:val="tx1"/>
                  </w14:solidFill>
                </w14:textFill>
              </w:rPr>
              <w:t>JDGJ-09-C07-02</w:t>
            </w:r>
          </w:p>
        </w:tc>
        <w:tc>
          <w:tcPr>
            <w:tcW w:w="992" w:type="dxa"/>
            <w:shd w:val="clear" w:color="auto" w:fill="auto"/>
            <w:vAlign w:val="center"/>
          </w:tcPr>
          <w:p>
            <w:pPr>
              <w:widowControl/>
              <w:spacing w:after="0" w:line="240" w:lineRule="auto"/>
              <w:jc w:val="center"/>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themeColor="text1"/>
                <w:kern w:val="0"/>
                <w:sz w:val="20"/>
                <w:szCs w:val="20"/>
                <w14:textFill>
                  <w14:solidFill>
                    <w14:schemeClr w14:val="tx1"/>
                  </w14:solidFill>
                </w14:textFill>
              </w:rPr>
              <w:t>3.8145</w:t>
            </w:r>
          </w:p>
        </w:tc>
        <w:tc>
          <w:tcPr>
            <w:tcW w:w="1276" w:type="dxa"/>
            <w:shd w:val="clear" w:color="auto" w:fill="auto"/>
            <w:vAlign w:val="center"/>
          </w:tcPr>
          <w:p>
            <w:pPr>
              <w:widowControl/>
              <w:spacing w:after="0" w:line="240" w:lineRule="auto"/>
              <w:jc w:val="center"/>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olor w:val="000000" w:themeColor="text1"/>
                <w:kern w:val="0"/>
                <w:sz w:val="20"/>
                <w:szCs w:val="20"/>
                <w14:textFill>
                  <w14:solidFill>
                    <w14:schemeClr w14:val="tx1"/>
                  </w14:solidFill>
                </w14:textFill>
              </w:rPr>
              <w:t>500</w:t>
            </w:r>
          </w:p>
        </w:tc>
        <w:tc>
          <w:tcPr>
            <w:tcW w:w="992" w:type="dxa"/>
            <w:shd w:val="clear" w:color="auto" w:fill="auto"/>
            <w:vAlign w:val="center"/>
          </w:tcPr>
          <w:p>
            <w:pPr>
              <w:widowControl/>
              <w:spacing w:after="0" w:line="240" w:lineRule="auto"/>
              <w:jc w:val="center"/>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宋体"/>
                <w:color w:val="000000" w:themeColor="text1"/>
                <w:kern w:val="0"/>
                <w:sz w:val="20"/>
                <w:szCs w:val="20"/>
                <w14:textFill>
                  <w14:solidFill>
                    <w14:schemeClr w14:val="tx1"/>
                  </w14:solidFill>
                </w14:textFill>
              </w:rPr>
              <w:t>娱乐商业用地</w:t>
            </w:r>
          </w:p>
        </w:tc>
        <w:tc>
          <w:tcPr>
            <w:tcW w:w="1410" w:type="dxa"/>
            <w:shd w:val="clear" w:color="auto" w:fill="auto"/>
            <w:vAlign w:val="center"/>
          </w:tcPr>
          <w:p>
            <w:pPr>
              <w:widowControl/>
              <w:spacing w:after="0" w:line="240" w:lineRule="auto"/>
              <w:jc w:val="center"/>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ascii="仿宋" w:hAnsi="仿宋" w:eastAsia="仿宋" w:cs="Segoe UI"/>
                <w:color w:val="000000" w:themeColor="text1"/>
                <w:kern w:val="0"/>
                <w:sz w:val="20"/>
                <w:szCs w:val="20"/>
                <w14:textFill>
                  <w14:solidFill>
                    <w14:schemeClr w14:val="tx1"/>
                  </w14:solidFill>
                </w14:textFill>
              </w:rPr>
              <w:t>202</w:t>
            </w:r>
            <w:r>
              <w:rPr>
                <w:rFonts w:hint="eastAsia" w:ascii="仿宋" w:hAnsi="仿宋" w:eastAsia="仿宋" w:cs="Segoe UI"/>
                <w:color w:val="000000" w:themeColor="text1"/>
                <w:kern w:val="0"/>
                <w:sz w:val="20"/>
                <w:szCs w:val="20"/>
                <w14:textFill>
                  <w14:solidFill>
                    <w14:schemeClr w14:val="tx1"/>
                  </w14:solidFill>
                </w14:textFill>
              </w:rPr>
              <w:t>7</w:t>
            </w:r>
            <w:r>
              <w:rPr>
                <w:rFonts w:ascii="仿宋" w:hAnsi="仿宋" w:eastAsia="仿宋" w:cs="Segoe UI"/>
                <w:color w:val="000000" w:themeColor="text1"/>
                <w:kern w:val="0"/>
                <w:sz w:val="20"/>
                <w:szCs w:val="20"/>
                <w14:textFill>
                  <w14:solidFill>
                    <w14:schemeClr w14:val="tx1"/>
                  </w14:solidFill>
                </w14:textFill>
              </w:rPr>
              <w:t>-20</w:t>
            </w:r>
            <w:r>
              <w:rPr>
                <w:rFonts w:hint="eastAsia" w:ascii="仿宋" w:hAnsi="仿宋" w:eastAsia="仿宋" w:cs="Segoe UI"/>
                <w:color w:val="000000" w:themeColor="text1"/>
                <w:kern w:val="0"/>
                <w:sz w:val="20"/>
                <w:szCs w:val="20"/>
                <w14:textFill>
                  <w14:solidFill>
                    <w14:schemeClr w14:val="tx1"/>
                  </w14:solidFill>
                </w14:textFill>
              </w:rPr>
              <w:t>35</w:t>
            </w:r>
          </w:p>
        </w:tc>
        <w:tc>
          <w:tcPr>
            <w:tcW w:w="997" w:type="dxa"/>
            <w:shd w:val="clear" w:color="auto" w:fill="auto"/>
            <w:vAlign w:val="center"/>
          </w:tcPr>
          <w:p>
            <w:pPr>
              <w:widowControl/>
              <w:spacing w:after="0" w:line="240" w:lineRule="auto"/>
              <w:jc w:val="center"/>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调整</w:t>
            </w:r>
          </w:p>
        </w:tc>
      </w:tr>
    </w:tbl>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根据《财政部关于印发</w:t>
      </w:r>
      <w:r>
        <w:rPr>
          <w:rFonts w:ascii="仿宋" w:hAnsi="仿宋" w:eastAsia="仿宋" w:cs="楷体"/>
          <w:color w:val="000000" w:themeColor="text1"/>
          <w:kern w:val="0"/>
          <w:sz w:val="28"/>
          <w:szCs w:val="28"/>
          <w:lang w:val="en-GB"/>
          <w14:textFill>
            <w14:solidFill>
              <w14:schemeClr w14:val="tx1"/>
            </w14:solidFill>
          </w14:textFill>
        </w:rPr>
        <w:t>&lt;</w:t>
      </w:r>
      <w:r>
        <w:rPr>
          <w:rFonts w:hint="eastAsia" w:ascii="仿宋" w:hAnsi="仿宋" w:eastAsia="仿宋" w:cs="楷体"/>
          <w:color w:val="000000" w:themeColor="text1"/>
          <w:kern w:val="0"/>
          <w:sz w:val="28"/>
          <w:szCs w:val="28"/>
          <w:lang w:val="en-GB"/>
          <w14:textFill>
            <w14:solidFill>
              <w14:schemeClr w14:val="tx1"/>
            </w14:solidFill>
          </w14:textFill>
        </w:rPr>
        <w:t>国有土地使用权出让收支管理办法</w:t>
      </w:r>
      <w:r>
        <w:rPr>
          <w:rFonts w:ascii="仿宋" w:hAnsi="仿宋" w:eastAsia="仿宋" w:cs="楷体"/>
          <w:color w:val="000000" w:themeColor="text1"/>
          <w:kern w:val="0"/>
          <w:sz w:val="28"/>
          <w:szCs w:val="28"/>
          <w:lang w:val="en-GB"/>
          <w14:textFill>
            <w14:solidFill>
              <w14:schemeClr w14:val="tx1"/>
            </w14:solidFill>
          </w14:textFill>
        </w:rPr>
        <w:t>&gt;</w:t>
      </w:r>
      <w:r>
        <w:rPr>
          <w:rFonts w:hint="eastAsia" w:ascii="仿宋" w:hAnsi="仿宋" w:eastAsia="仿宋" w:cs="楷体"/>
          <w:color w:val="000000" w:themeColor="text1"/>
          <w:kern w:val="0"/>
          <w:sz w:val="28"/>
          <w:szCs w:val="28"/>
          <w:lang w:val="en-GB"/>
          <w14:textFill>
            <w14:solidFill>
              <w14:schemeClr w14:val="tx1"/>
            </w14:solidFill>
          </w14:textFill>
        </w:rPr>
        <w:t>的通知》（财综</w:t>
      </w:r>
      <w:r>
        <w:rPr>
          <w:rFonts w:ascii="仿宋" w:hAnsi="仿宋" w:eastAsia="仿宋" w:cs="楷体"/>
          <w:color w:val="000000" w:themeColor="text1"/>
          <w:kern w:val="0"/>
          <w:sz w:val="28"/>
          <w:szCs w:val="28"/>
          <w:lang w:val="en-GB"/>
          <w14:textFill>
            <w14:solidFill>
              <w14:schemeClr w14:val="tx1"/>
            </w14:solidFill>
          </w14:textFill>
        </w:rPr>
        <w:t>[2006]68</w:t>
      </w:r>
      <w:r>
        <w:rPr>
          <w:rFonts w:hint="eastAsia" w:ascii="仿宋" w:hAnsi="仿宋" w:eastAsia="仿宋" w:cs="楷体"/>
          <w:color w:val="000000" w:themeColor="text1"/>
          <w:kern w:val="0"/>
          <w:sz w:val="28"/>
          <w:szCs w:val="28"/>
          <w:lang w:val="en-GB"/>
          <w14:textFill>
            <w14:solidFill>
              <w14:schemeClr w14:val="tx1"/>
            </w14:solidFill>
          </w14:textFill>
        </w:rPr>
        <w:t>号）等相关文件要求，海口市土地出让收入需计提国有土地收益基金、农业土地开发资金、教育资金以及农田水利建设资金等各项资金，上述各项资金计提比例暂按土地出让总价款的</w:t>
      </w:r>
      <w:r>
        <w:rPr>
          <w:rFonts w:ascii="仿宋" w:hAnsi="仿宋" w:eastAsia="仿宋" w:cs="楷体"/>
          <w:color w:val="000000" w:themeColor="text1"/>
          <w:kern w:val="0"/>
          <w:sz w:val="28"/>
          <w:szCs w:val="28"/>
          <w:lang w:val="en-GB"/>
          <w14:textFill>
            <w14:solidFill>
              <w14:schemeClr w14:val="tx1"/>
            </w14:solidFill>
          </w14:textFill>
        </w:rPr>
        <w:t>25%</w:t>
      </w:r>
      <w:r>
        <w:rPr>
          <w:rFonts w:hint="eastAsia" w:ascii="仿宋" w:hAnsi="仿宋" w:eastAsia="仿宋" w:cs="楷体"/>
          <w:color w:val="000000" w:themeColor="text1"/>
          <w:kern w:val="0"/>
          <w:sz w:val="28"/>
          <w:szCs w:val="28"/>
          <w:lang w:val="en-GB"/>
          <w14:textFill>
            <w14:solidFill>
              <w14:schemeClr w14:val="tx1"/>
            </w14:solidFill>
          </w14:textFill>
        </w:rPr>
        <w:t>计提。</w:t>
      </w:r>
      <w:r>
        <w:rPr>
          <w:rFonts w:ascii="Calibri" w:hAnsi="Calibri" w:eastAsia="仿宋" w:cs="Calibri"/>
          <w:color w:val="000000" w:themeColor="text1"/>
          <w:kern w:val="0"/>
          <w:sz w:val="28"/>
          <w:szCs w:val="28"/>
          <w:lang w:val="en-GB"/>
          <w14:textFill>
            <w14:solidFill>
              <w14:schemeClr w14:val="tx1"/>
            </w14:solidFill>
          </w14:textFill>
        </w:rPr>
        <w:t> </w:t>
      </w:r>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按照预估的土地出让单价、出让计划及成本费用，在项目存续期间有稳定的政府性基金收入及专项收入，可稳定覆盖债券存续期间各年利息及到期偿还本金的支出需求。</w:t>
      </w:r>
      <w:r>
        <w:rPr>
          <w:rFonts w:ascii="Calibri" w:hAnsi="Calibri" w:eastAsia="仿宋" w:cs="Calibri"/>
          <w:color w:val="000000" w:themeColor="text1"/>
          <w:kern w:val="0"/>
          <w:sz w:val="28"/>
          <w:szCs w:val="28"/>
          <w:lang w:val="en-GB"/>
          <w14:textFill>
            <w14:solidFill>
              <w14:schemeClr w14:val="tx1"/>
            </w14:solidFill>
          </w14:textFill>
        </w:rPr>
        <w:t> </w:t>
      </w:r>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债券存续期本项目土地出让收入情况详见表9</w:t>
      </w:r>
      <w:r>
        <w:rPr>
          <w:rFonts w:ascii="仿宋" w:hAnsi="仿宋" w:eastAsia="仿宋" w:cs="楷体"/>
          <w:color w:val="000000" w:themeColor="text1"/>
          <w:kern w:val="0"/>
          <w:sz w:val="28"/>
          <w:szCs w:val="28"/>
          <w:lang w:val="en-GB"/>
          <w14:textFill>
            <w14:solidFill>
              <w14:schemeClr w14:val="tx1"/>
            </w14:solidFill>
          </w14:textFill>
        </w:rPr>
        <w:t>。</w:t>
      </w:r>
      <w:r>
        <w:rPr>
          <w:rFonts w:ascii="Calibri" w:hAnsi="Calibri" w:eastAsia="仿宋" w:cs="Calibri"/>
          <w:color w:val="000000" w:themeColor="text1"/>
          <w:kern w:val="0"/>
          <w:sz w:val="28"/>
          <w:szCs w:val="28"/>
          <w:lang w:val="en-GB"/>
          <w14:textFill>
            <w14:solidFill>
              <w14:schemeClr w14:val="tx1"/>
            </w14:solidFill>
          </w14:textFill>
        </w:rPr>
        <w:t> </w:t>
      </w:r>
    </w:p>
    <w:p>
      <w:pPr>
        <w:widowControl/>
        <w:spacing w:before="240" w:after="0" w:line="360" w:lineRule="auto"/>
        <w:ind w:left="567"/>
        <w:outlineLvl w:val="2"/>
        <w:rPr>
          <w:rFonts w:hint="eastAsia" w:ascii="仿宋" w:hAnsi="仿宋" w:eastAsia="仿宋"/>
          <w:b/>
          <w:color w:val="000000" w:themeColor="text1"/>
          <w:kern w:val="0"/>
          <w:sz w:val="28"/>
          <w:szCs w:val="28"/>
          <w14:textFill>
            <w14:solidFill>
              <w14:schemeClr w14:val="tx1"/>
            </w14:solidFill>
          </w14:textFill>
        </w:rPr>
      </w:pPr>
      <w:r>
        <w:rPr>
          <w:rFonts w:hint="eastAsia" w:ascii="仿宋" w:hAnsi="仿宋" w:eastAsia="仿宋"/>
          <w:b/>
          <w:color w:val="000000" w:themeColor="text1"/>
          <w:kern w:val="0"/>
          <w:sz w:val="28"/>
          <w:szCs w:val="28"/>
          <w14:textFill>
            <w14:solidFill>
              <w14:schemeClr w14:val="tx1"/>
            </w14:solidFill>
          </w14:textFill>
        </w:rPr>
        <w:t>2. 运营成本及税费</w:t>
      </w:r>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1）运营成本</w:t>
      </w:r>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海口江东新区城市地下管网完善工程（一期）的运营成本主要为管理成本和其他不可预见成本。结合债券实际发行时间和收益情况预估，从保守谨慎的角度出发，债券存续期最后一年仅考虑1个月成本。</w:t>
      </w:r>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根据沟通，本项目管理成本按照运营收入的5%估算，其它不可预见成本按照运营收入的3.5%估算。</w:t>
      </w:r>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2）税费</w:t>
      </w:r>
    </w:p>
    <w:p>
      <w:pPr>
        <w:autoSpaceDE w:val="0"/>
        <w:autoSpaceDN w:val="0"/>
        <w:adjustRightInd w:val="0"/>
        <w:spacing w:after="0" w:line="360" w:lineRule="auto"/>
        <w:ind w:firstLine="560" w:firstLineChars="200"/>
        <w:rPr>
          <w:rFonts w:hint="eastAsia" w:ascii="仿宋" w:hAnsi="仿宋" w:eastAsia="仿宋" w:cs="楷体"/>
          <w:color w:val="000000" w:themeColor="text1"/>
          <w:kern w:val="0"/>
          <w:sz w:val="28"/>
          <w:szCs w:val="28"/>
          <w:lang w:val="en-GB"/>
          <w14:textFill>
            <w14:solidFill>
              <w14:schemeClr w14:val="tx1"/>
            </w14:solidFill>
          </w14:textFill>
        </w:rPr>
      </w:pPr>
      <w:r>
        <w:rPr>
          <w:rFonts w:hint="eastAsia" w:ascii="仿宋" w:hAnsi="仿宋" w:eastAsia="仿宋" w:cs="楷体"/>
          <w:color w:val="000000" w:themeColor="text1"/>
          <w:kern w:val="0"/>
          <w:sz w:val="28"/>
          <w:szCs w:val="28"/>
          <w:lang w:val="en-GB"/>
          <w14:textFill>
            <w14:solidFill>
              <w14:schemeClr w14:val="tx1"/>
            </w14:solidFill>
          </w14:textFill>
        </w:rPr>
        <w:t>项目经营税金及附加主要包含增值税、城市维护建设税、教育费附加及地方教育费附加、企业所得税。债券存续期间税金为5万元。</w:t>
      </w:r>
    </w:p>
    <w:p>
      <w:pPr>
        <w:widowControl/>
        <w:spacing w:after="0"/>
        <w:jc w:val="center"/>
        <w:rPr>
          <w:rFonts w:hint="eastAsia" w:ascii="仿宋" w:hAnsi="仿宋" w:eastAsia="仿宋"/>
          <w:b/>
          <w:color w:val="000000"/>
          <w:kern w:val="0"/>
          <w:sz w:val="24"/>
          <w:szCs w:val="24"/>
        </w:rPr>
      </w:pPr>
      <w:r>
        <w:rPr>
          <w:rFonts w:hint="eastAsia" w:ascii="仿宋" w:hAnsi="仿宋" w:eastAsia="仿宋"/>
          <w:b/>
          <w:color w:val="000000"/>
          <w:kern w:val="0"/>
          <w:sz w:val="24"/>
          <w:szCs w:val="24"/>
        </w:rPr>
        <w:t>表8海口江东新区城市地下管网完善工程（一期）收入成本预测表</w:t>
      </w:r>
    </w:p>
    <w:p>
      <w:pPr>
        <w:widowControl/>
        <w:spacing w:after="0" w:line="240" w:lineRule="auto"/>
        <w:jc w:val="right"/>
        <w:rPr>
          <w:rFonts w:hint="eastAsia" w:ascii="仿宋" w:hAnsi="仿宋" w:eastAsia="仿宋"/>
          <w:color w:val="000000" w:themeColor="text1"/>
          <w:kern w:val="0"/>
          <w:sz w:val="20"/>
          <w:szCs w:val="20"/>
          <w14:textFill>
            <w14:solidFill>
              <w14:schemeClr w14:val="tx1"/>
            </w14:solidFill>
          </w14:textFill>
        </w:rPr>
      </w:pPr>
      <w:r>
        <w:rPr>
          <w:rFonts w:hint="eastAsia" w:ascii="仿宋" w:hAnsi="仿宋" w:eastAsia="仿宋"/>
          <w:color w:val="000000" w:themeColor="text1"/>
          <w:kern w:val="0"/>
          <w:sz w:val="20"/>
          <w:szCs w:val="20"/>
          <w14:textFill>
            <w14:solidFill>
              <w14:schemeClr w14:val="tx1"/>
            </w14:solidFill>
          </w14:textFill>
        </w:rPr>
        <w:t>单位：人民币万元</w:t>
      </w: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806"/>
        <w:gridCol w:w="745"/>
        <w:gridCol w:w="679"/>
        <w:gridCol w:w="679"/>
        <w:gridCol w:w="679"/>
        <w:gridCol w:w="679"/>
        <w:gridCol w:w="679"/>
        <w:gridCol w:w="679"/>
        <w:gridCol w:w="679"/>
        <w:gridCol w:w="679"/>
        <w:gridCol w:w="6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0" w:hRule="atLeast"/>
        </w:trPr>
        <w:tc>
          <w:tcPr>
            <w:tcW w:w="1044" w:type="pct"/>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年份</w:t>
            </w:r>
          </w:p>
        </w:tc>
        <w:tc>
          <w:tcPr>
            <w:tcW w:w="431" w:type="pct"/>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2027</w:t>
            </w:r>
          </w:p>
        </w:tc>
        <w:tc>
          <w:tcPr>
            <w:tcW w:w="392" w:type="pct"/>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2028</w:t>
            </w:r>
          </w:p>
        </w:tc>
        <w:tc>
          <w:tcPr>
            <w:tcW w:w="392" w:type="pct"/>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2029</w:t>
            </w:r>
          </w:p>
        </w:tc>
        <w:tc>
          <w:tcPr>
            <w:tcW w:w="392" w:type="pct"/>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2030</w:t>
            </w:r>
          </w:p>
        </w:tc>
        <w:tc>
          <w:tcPr>
            <w:tcW w:w="392" w:type="pct"/>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2031</w:t>
            </w:r>
          </w:p>
        </w:tc>
        <w:tc>
          <w:tcPr>
            <w:tcW w:w="392" w:type="pct"/>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2032</w:t>
            </w:r>
          </w:p>
        </w:tc>
        <w:tc>
          <w:tcPr>
            <w:tcW w:w="392" w:type="pct"/>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2033</w:t>
            </w:r>
          </w:p>
        </w:tc>
        <w:tc>
          <w:tcPr>
            <w:tcW w:w="392" w:type="pct"/>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2034</w:t>
            </w:r>
          </w:p>
        </w:tc>
        <w:tc>
          <w:tcPr>
            <w:tcW w:w="392" w:type="pct"/>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2035</w:t>
            </w:r>
          </w:p>
        </w:tc>
        <w:tc>
          <w:tcPr>
            <w:tcW w:w="389" w:type="pct"/>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color w:val="000000" w:themeColor="text1"/>
                <w:kern w:val="0"/>
                <w:sz w:val="20"/>
                <w:szCs w:val="20"/>
                <w14:textFill>
                  <w14:solidFill>
                    <w14:schemeClr w14:val="tx1"/>
                  </w14:solidFill>
                </w14:textFill>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0" w:hRule="atLeast"/>
        </w:trPr>
        <w:tc>
          <w:tcPr>
            <w:tcW w:w="1044" w:type="pct"/>
            <w:shd w:val="clear" w:color="auto" w:fill="auto"/>
            <w:vAlign w:val="center"/>
          </w:tcPr>
          <w:p>
            <w:pPr>
              <w:widowControl/>
              <w:spacing w:after="0" w:line="240" w:lineRule="auto"/>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入廊费（一次性）</w:t>
            </w:r>
          </w:p>
        </w:tc>
        <w:tc>
          <w:tcPr>
            <w:tcW w:w="431"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46</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w:t>
            </w:r>
          </w:p>
        </w:tc>
        <w:tc>
          <w:tcPr>
            <w:tcW w:w="389"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color w:val="000000" w:themeColor="text1"/>
                <w:kern w:val="0"/>
                <w:sz w:val="20"/>
                <w:szCs w:val="20"/>
                <w14:textFill>
                  <w14:solidFill>
                    <w14:schemeClr w14:val="tx1"/>
                  </w14:solidFill>
                </w14:textFill>
              </w:rPr>
              <w:t>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0" w:hRule="atLeast"/>
        </w:trPr>
        <w:tc>
          <w:tcPr>
            <w:tcW w:w="1044" w:type="pct"/>
            <w:shd w:val="clear" w:color="auto" w:fill="auto"/>
            <w:vAlign w:val="center"/>
          </w:tcPr>
          <w:p>
            <w:pPr>
              <w:widowControl/>
              <w:spacing w:after="0" w:line="240" w:lineRule="auto"/>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管廊维护费</w:t>
            </w:r>
          </w:p>
        </w:tc>
        <w:tc>
          <w:tcPr>
            <w:tcW w:w="431"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3</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3</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3</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3</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3</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3</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3</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3</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0.26</w:t>
            </w:r>
          </w:p>
        </w:tc>
        <w:tc>
          <w:tcPr>
            <w:tcW w:w="389"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0" w:hRule="atLeast"/>
        </w:trPr>
        <w:tc>
          <w:tcPr>
            <w:tcW w:w="1044" w:type="pct"/>
            <w:shd w:val="clear" w:color="auto" w:fill="auto"/>
            <w:vAlign w:val="center"/>
          </w:tcPr>
          <w:p>
            <w:pPr>
              <w:widowControl/>
              <w:spacing w:after="0" w:line="240" w:lineRule="auto"/>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收入合计</w:t>
            </w:r>
          </w:p>
        </w:tc>
        <w:tc>
          <w:tcPr>
            <w:tcW w:w="431"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49</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3</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3</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3</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3</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3</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3</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3</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0.26</w:t>
            </w:r>
          </w:p>
        </w:tc>
        <w:tc>
          <w:tcPr>
            <w:tcW w:w="389"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0" w:hRule="atLeast"/>
        </w:trPr>
        <w:tc>
          <w:tcPr>
            <w:tcW w:w="1044" w:type="pct"/>
            <w:shd w:val="clear" w:color="auto" w:fill="auto"/>
            <w:vAlign w:val="center"/>
          </w:tcPr>
          <w:p>
            <w:pPr>
              <w:widowControl/>
              <w:spacing w:after="0" w:line="240" w:lineRule="auto"/>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color w:val="000000"/>
                <w:sz w:val="20"/>
                <w:szCs w:val="20"/>
              </w:rPr>
              <w:t>管理成本</w:t>
            </w:r>
          </w:p>
        </w:tc>
        <w:tc>
          <w:tcPr>
            <w:tcW w:w="431"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sz w:val="20"/>
                <w:szCs w:val="20"/>
              </w:rPr>
              <w:t>1</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sz w:val="20"/>
                <w:szCs w:val="20"/>
              </w:rPr>
              <w:t>0.09</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sz w:val="20"/>
                <w:szCs w:val="20"/>
              </w:rPr>
              <w:t>0.09</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sz w:val="20"/>
                <w:szCs w:val="20"/>
              </w:rPr>
              <w:t>0.09</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sz w:val="20"/>
                <w:szCs w:val="20"/>
              </w:rPr>
              <w:t>0.09</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sz w:val="20"/>
                <w:szCs w:val="20"/>
              </w:rPr>
              <w:t>0.09</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sz w:val="20"/>
                <w:szCs w:val="20"/>
              </w:rPr>
              <w:t>0.09</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sz w:val="20"/>
                <w:szCs w:val="20"/>
              </w:rPr>
              <w:t>0.09</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sz w:val="20"/>
                <w:szCs w:val="20"/>
              </w:rPr>
              <w:t>0.01</w:t>
            </w:r>
          </w:p>
        </w:tc>
        <w:tc>
          <w:tcPr>
            <w:tcW w:w="389"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sz w:val="20"/>
                <w:szCs w:val="20"/>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0" w:hRule="atLeast"/>
        </w:trPr>
        <w:tc>
          <w:tcPr>
            <w:tcW w:w="1044" w:type="pct"/>
            <w:shd w:val="clear" w:color="auto" w:fill="auto"/>
            <w:vAlign w:val="center"/>
          </w:tcPr>
          <w:p>
            <w:pPr>
              <w:widowControl/>
              <w:spacing w:after="0" w:line="240" w:lineRule="auto"/>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color w:val="000000"/>
                <w:sz w:val="20"/>
                <w:szCs w:val="20"/>
              </w:rPr>
              <w:t>其它不可预见成本</w:t>
            </w:r>
          </w:p>
        </w:tc>
        <w:tc>
          <w:tcPr>
            <w:tcW w:w="431"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sz w:val="20"/>
                <w:szCs w:val="20"/>
              </w:rPr>
              <w:t>1</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sz w:val="20"/>
                <w:szCs w:val="20"/>
              </w:rPr>
              <w:t>0.08</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sz w:val="20"/>
                <w:szCs w:val="20"/>
              </w:rPr>
              <w:t>0.08</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sz w:val="20"/>
                <w:szCs w:val="20"/>
              </w:rPr>
              <w:t>0.08</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sz w:val="20"/>
                <w:szCs w:val="20"/>
              </w:rPr>
              <w:t>0.08</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sz w:val="20"/>
                <w:szCs w:val="20"/>
              </w:rPr>
              <w:t>0.08</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sz w:val="20"/>
                <w:szCs w:val="20"/>
              </w:rPr>
              <w:t>0.08</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sz w:val="20"/>
                <w:szCs w:val="20"/>
              </w:rPr>
              <w:t>0.08</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sz w:val="20"/>
                <w:szCs w:val="20"/>
              </w:rPr>
              <w:t>0.01</w:t>
            </w:r>
          </w:p>
        </w:tc>
        <w:tc>
          <w:tcPr>
            <w:tcW w:w="389"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sz w:val="20"/>
                <w:szCs w:val="20"/>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0" w:hRule="atLeast"/>
        </w:trPr>
        <w:tc>
          <w:tcPr>
            <w:tcW w:w="1044" w:type="pct"/>
            <w:shd w:val="clear" w:color="auto" w:fill="auto"/>
            <w:vAlign w:val="center"/>
          </w:tcPr>
          <w:p>
            <w:pPr>
              <w:widowControl/>
              <w:spacing w:after="0" w:line="240" w:lineRule="auto"/>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sz w:val="20"/>
                <w:szCs w:val="20"/>
              </w:rPr>
              <w:t>成本合计</w:t>
            </w:r>
          </w:p>
        </w:tc>
        <w:tc>
          <w:tcPr>
            <w:tcW w:w="431"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sz w:val="20"/>
                <w:szCs w:val="20"/>
              </w:rPr>
              <w:t>3</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sz w:val="20"/>
                <w:szCs w:val="20"/>
              </w:rPr>
              <w:t>0.17</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sz w:val="20"/>
                <w:szCs w:val="20"/>
              </w:rPr>
              <w:t>0.17</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sz w:val="20"/>
                <w:szCs w:val="20"/>
              </w:rPr>
              <w:t>0.17</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sz w:val="20"/>
                <w:szCs w:val="20"/>
              </w:rPr>
              <w:t>0.17</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sz w:val="20"/>
                <w:szCs w:val="20"/>
              </w:rPr>
              <w:t>0.17</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sz w:val="20"/>
                <w:szCs w:val="20"/>
              </w:rPr>
              <w:t>0.17</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sz w:val="20"/>
                <w:szCs w:val="20"/>
              </w:rPr>
              <w:t>0.17</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sz w:val="20"/>
                <w:szCs w:val="20"/>
              </w:rPr>
              <w:t>0.01</w:t>
            </w:r>
          </w:p>
        </w:tc>
        <w:tc>
          <w:tcPr>
            <w:tcW w:w="389"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sz w:val="20"/>
                <w:szCs w:val="20"/>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0" w:hRule="atLeast"/>
        </w:trPr>
        <w:tc>
          <w:tcPr>
            <w:tcW w:w="1044" w:type="pct"/>
            <w:shd w:val="clear" w:color="auto" w:fill="auto"/>
            <w:vAlign w:val="center"/>
          </w:tcPr>
          <w:p>
            <w:pPr>
              <w:widowControl/>
              <w:spacing w:after="0" w:line="240" w:lineRule="auto"/>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sz w:val="20"/>
                <w:szCs w:val="20"/>
              </w:rPr>
              <w:t>税费合计</w:t>
            </w:r>
          </w:p>
        </w:tc>
        <w:tc>
          <w:tcPr>
            <w:tcW w:w="431"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sz w:val="20"/>
                <w:szCs w:val="20"/>
              </w:rPr>
              <w:t>4</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sz w:val="20"/>
                <w:szCs w:val="20"/>
              </w:rPr>
              <w:t>0.17</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sz w:val="20"/>
                <w:szCs w:val="20"/>
              </w:rPr>
              <w:t>0.17</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sz w:val="20"/>
                <w:szCs w:val="20"/>
              </w:rPr>
              <w:t>0.17</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sz w:val="20"/>
                <w:szCs w:val="20"/>
              </w:rPr>
              <w:t>0.17</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sz w:val="20"/>
                <w:szCs w:val="20"/>
              </w:rPr>
              <w:t>0.17</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sz w:val="20"/>
                <w:szCs w:val="20"/>
              </w:rPr>
              <w:t>0.17</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sz w:val="20"/>
                <w:szCs w:val="20"/>
              </w:rPr>
              <w:t>0.17</w:t>
            </w:r>
          </w:p>
        </w:tc>
        <w:tc>
          <w:tcPr>
            <w:tcW w:w="392"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sz w:val="20"/>
                <w:szCs w:val="20"/>
              </w:rPr>
              <w:t>0.01</w:t>
            </w:r>
          </w:p>
        </w:tc>
        <w:tc>
          <w:tcPr>
            <w:tcW w:w="389" w:type="pct"/>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sz w:val="20"/>
                <w:szCs w:val="20"/>
              </w:rPr>
              <w:t>5</w:t>
            </w:r>
          </w:p>
        </w:tc>
      </w:tr>
    </w:tbl>
    <w:p>
      <w:pPr>
        <w:widowControl/>
        <w:spacing w:after="0"/>
        <w:ind w:right="793"/>
        <w:jc w:val="left"/>
        <w:rPr>
          <w:rFonts w:hint="eastAsia" w:ascii="仿宋" w:hAnsi="仿宋" w:eastAsia="仿宋"/>
          <w:color w:val="000000" w:themeColor="text1"/>
          <w:kern w:val="0"/>
          <w:sz w:val="20"/>
          <w:szCs w:val="20"/>
          <w14:textFill>
            <w14:solidFill>
              <w14:schemeClr w14:val="tx1"/>
            </w14:solidFill>
          </w14:textFill>
        </w:rPr>
      </w:pPr>
    </w:p>
    <w:p>
      <w:pPr>
        <w:widowControl/>
        <w:spacing w:after="0"/>
        <w:ind w:right="793"/>
        <w:jc w:val="left"/>
        <w:rPr>
          <w:rFonts w:hint="eastAsia" w:ascii="仿宋" w:hAnsi="仿宋" w:eastAsia="仿宋"/>
          <w:color w:val="000000" w:themeColor="text1"/>
          <w:kern w:val="0"/>
          <w:sz w:val="20"/>
          <w:szCs w:val="20"/>
          <w14:textFill>
            <w14:solidFill>
              <w14:schemeClr w14:val="tx1"/>
            </w14:solidFill>
          </w14:textFill>
        </w:rPr>
      </w:pPr>
    </w:p>
    <w:p>
      <w:pPr>
        <w:widowControl/>
        <w:spacing w:after="0"/>
        <w:ind w:right="793"/>
        <w:jc w:val="left"/>
        <w:rPr>
          <w:rFonts w:hint="eastAsia" w:ascii="仿宋" w:hAnsi="仿宋" w:eastAsia="仿宋"/>
          <w:color w:val="000000" w:themeColor="text1"/>
          <w:kern w:val="0"/>
          <w:sz w:val="20"/>
          <w:szCs w:val="20"/>
          <w14:textFill>
            <w14:solidFill>
              <w14:schemeClr w14:val="tx1"/>
            </w14:solidFill>
          </w14:textFill>
        </w:rPr>
      </w:pPr>
    </w:p>
    <w:p>
      <w:pPr>
        <w:widowControl/>
        <w:spacing w:after="0"/>
        <w:ind w:right="793"/>
        <w:jc w:val="left"/>
        <w:rPr>
          <w:rFonts w:hint="eastAsia" w:ascii="仿宋" w:hAnsi="仿宋" w:eastAsia="仿宋"/>
          <w:color w:val="000000" w:themeColor="text1"/>
          <w:kern w:val="0"/>
          <w:sz w:val="20"/>
          <w:szCs w:val="20"/>
          <w14:textFill>
            <w14:solidFill>
              <w14:schemeClr w14:val="tx1"/>
            </w14:solidFill>
          </w14:textFill>
        </w:rPr>
      </w:pPr>
    </w:p>
    <w:p>
      <w:pPr>
        <w:widowControl/>
        <w:spacing w:after="0" w:line="240" w:lineRule="auto"/>
        <w:jc w:val="right"/>
        <w:rPr>
          <w:rFonts w:ascii="Verdana" w:hAnsi="Verdana" w:eastAsia="华文细黑"/>
          <w:kern w:val="0"/>
          <w:sz w:val="20"/>
          <w:szCs w:val="20"/>
        </w:rPr>
      </w:pPr>
    </w:p>
    <w:p>
      <w:pPr>
        <w:widowControl/>
        <w:spacing w:after="0"/>
        <w:jc w:val="center"/>
        <w:rPr>
          <w:rFonts w:hint="eastAsia" w:ascii="仿宋" w:hAnsi="仿宋" w:eastAsia="仿宋"/>
          <w:b/>
          <w:color w:val="000000"/>
          <w:kern w:val="0"/>
          <w:sz w:val="24"/>
          <w:szCs w:val="24"/>
        </w:rPr>
      </w:pPr>
      <w:r>
        <w:rPr>
          <w:rFonts w:hint="eastAsia" w:ascii="仿宋" w:hAnsi="仿宋" w:eastAsia="仿宋"/>
          <w:b/>
          <w:color w:val="000000"/>
          <w:kern w:val="0"/>
          <w:sz w:val="24"/>
          <w:szCs w:val="24"/>
        </w:rPr>
        <w:t>表9海口江东新区城市地下管网完善工程（一期）国有土地出让收入预测表</w:t>
      </w:r>
      <w:r>
        <w:rPr>
          <w:rFonts w:ascii="Calibri" w:hAnsi="Calibri" w:eastAsia="仿宋" w:cs="Calibri"/>
          <w:b/>
          <w:color w:val="000000"/>
          <w:kern w:val="0"/>
          <w:sz w:val="24"/>
          <w:szCs w:val="24"/>
        </w:rPr>
        <w:t> </w:t>
      </w:r>
    </w:p>
    <w:p>
      <w:pPr>
        <w:widowControl/>
        <w:spacing w:after="0" w:line="240" w:lineRule="auto"/>
        <w:ind w:right="-65"/>
        <w:jc w:val="right"/>
        <w:textAlignment w:val="baseline"/>
        <w:rPr>
          <w:rFonts w:hint="eastAsia" w:ascii="仿宋" w:hAnsi="仿宋" w:eastAsia="仿宋" w:cs="Segoe UI"/>
          <w:color w:val="000000" w:themeColor="text1"/>
          <w:kern w:val="0"/>
          <w:sz w:val="18"/>
          <w:szCs w:val="18"/>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单位：人民币万元</w:t>
      </w:r>
    </w:p>
    <w:tbl>
      <w:tblPr>
        <w:tblStyle w:val="24"/>
        <w:tblW w:w="87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838"/>
        <w:gridCol w:w="693"/>
        <w:gridCol w:w="693"/>
        <w:gridCol w:w="693"/>
        <w:gridCol w:w="693"/>
        <w:gridCol w:w="693"/>
        <w:gridCol w:w="693"/>
        <w:gridCol w:w="693"/>
        <w:gridCol w:w="693"/>
        <w:gridCol w:w="693"/>
        <w:gridCol w:w="7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7" w:hRule="atLeast"/>
          <w:jc w:val="center"/>
        </w:trPr>
        <w:tc>
          <w:tcPr>
            <w:tcW w:w="1838" w:type="dxa"/>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年份</w:t>
            </w:r>
          </w:p>
        </w:tc>
        <w:tc>
          <w:tcPr>
            <w:tcW w:w="693" w:type="dxa"/>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2027</w:t>
            </w:r>
          </w:p>
        </w:tc>
        <w:tc>
          <w:tcPr>
            <w:tcW w:w="693" w:type="dxa"/>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2028</w:t>
            </w:r>
          </w:p>
        </w:tc>
        <w:tc>
          <w:tcPr>
            <w:tcW w:w="693" w:type="dxa"/>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2029</w:t>
            </w:r>
          </w:p>
        </w:tc>
        <w:tc>
          <w:tcPr>
            <w:tcW w:w="693" w:type="dxa"/>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2030</w:t>
            </w:r>
          </w:p>
        </w:tc>
        <w:tc>
          <w:tcPr>
            <w:tcW w:w="693" w:type="dxa"/>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2031</w:t>
            </w:r>
          </w:p>
        </w:tc>
        <w:tc>
          <w:tcPr>
            <w:tcW w:w="693" w:type="dxa"/>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2032</w:t>
            </w:r>
          </w:p>
        </w:tc>
        <w:tc>
          <w:tcPr>
            <w:tcW w:w="693" w:type="dxa"/>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2033</w:t>
            </w:r>
          </w:p>
        </w:tc>
        <w:tc>
          <w:tcPr>
            <w:tcW w:w="693" w:type="dxa"/>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2034</w:t>
            </w:r>
          </w:p>
        </w:tc>
        <w:tc>
          <w:tcPr>
            <w:tcW w:w="693" w:type="dxa"/>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2035</w:t>
            </w:r>
          </w:p>
        </w:tc>
        <w:tc>
          <w:tcPr>
            <w:tcW w:w="718" w:type="dxa"/>
            <w:shd w:val="clear" w:color="auto" w:fill="auto"/>
            <w:vAlign w:val="center"/>
          </w:tcPr>
          <w:p>
            <w:pPr>
              <w:widowControl/>
              <w:spacing w:after="0" w:line="240" w:lineRule="auto"/>
              <w:jc w:val="center"/>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ascii="仿宋" w:hAnsi="仿宋" w:eastAsia="仿宋" w:cs="Segoe UI"/>
                <w:b/>
                <w:bCs/>
                <w:color w:val="000000" w:themeColor="text1"/>
                <w:kern w:val="0"/>
                <w:sz w:val="20"/>
                <w:szCs w:val="20"/>
                <w14:textFill>
                  <w14:solidFill>
                    <w14:schemeClr w14:val="tx1"/>
                  </w14:solidFill>
                </w14:textFill>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7" w:hRule="atLeast"/>
          <w:jc w:val="center"/>
        </w:trPr>
        <w:tc>
          <w:tcPr>
            <w:tcW w:w="1838" w:type="dxa"/>
            <w:shd w:val="clear" w:color="auto" w:fill="auto"/>
            <w:vAlign w:val="center"/>
          </w:tcPr>
          <w:p>
            <w:pPr>
              <w:widowControl/>
              <w:spacing w:after="0" w:line="240" w:lineRule="auto"/>
              <w:jc w:val="lef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土地出让收入</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212</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212</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212</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212</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212</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212</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212</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212</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212</w:t>
            </w:r>
          </w:p>
        </w:tc>
        <w:tc>
          <w:tcPr>
            <w:tcW w:w="718" w:type="dxa"/>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1,907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7" w:hRule="atLeast"/>
          <w:jc w:val="center"/>
        </w:trPr>
        <w:tc>
          <w:tcPr>
            <w:tcW w:w="1838" w:type="dxa"/>
            <w:shd w:val="clear" w:color="auto" w:fill="auto"/>
            <w:vAlign w:val="center"/>
          </w:tcPr>
          <w:p>
            <w:pPr>
              <w:widowControl/>
              <w:spacing w:after="0" w:line="240" w:lineRule="auto"/>
              <w:jc w:val="lef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土地出让收入合计</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212</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212</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212</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212</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212</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212</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212</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212</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212</w:t>
            </w:r>
          </w:p>
        </w:tc>
        <w:tc>
          <w:tcPr>
            <w:tcW w:w="718" w:type="dxa"/>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1,907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7" w:hRule="atLeast"/>
          <w:jc w:val="center"/>
        </w:trPr>
        <w:tc>
          <w:tcPr>
            <w:tcW w:w="1838" w:type="dxa"/>
            <w:shd w:val="clear" w:color="auto" w:fill="auto"/>
            <w:vAlign w:val="center"/>
          </w:tcPr>
          <w:p>
            <w:pPr>
              <w:widowControl/>
              <w:spacing w:after="0" w:line="240" w:lineRule="auto"/>
              <w:jc w:val="lef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政策性成本及基金扣除（</w:t>
            </w:r>
            <w:r>
              <w:rPr>
                <w:rFonts w:ascii="仿宋" w:hAnsi="仿宋" w:eastAsia="仿宋" w:cs="Segoe UI"/>
                <w:color w:val="000000" w:themeColor="text1"/>
                <w:kern w:val="0"/>
                <w:sz w:val="20"/>
                <w:szCs w:val="20"/>
                <w14:textFill>
                  <w14:solidFill>
                    <w14:schemeClr w14:val="tx1"/>
                  </w14:solidFill>
                </w14:textFill>
              </w:rPr>
              <w:t>25%）</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53</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53</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53</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53</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53</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53</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53</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53</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color w:val="000000" w:themeColor="text1"/>
                <w:kern w:val="0"/>
                <w:sz w:val="20"/>
                <w:szCs w:val="20"/>
                <w14:textFill>
                  <w14:solidFill>
                    <w14:schemeClr w14:val="tx1"/>
                  </w14:solidFill>
                </w14:textFill>
              </w:rPr>
              <w:t>53</w:t>
            </w:r>
          </w:p>
        </w:tc>
        <w:tc>
          <w:tcPr>
            <w:tcW w:w="718" w:type="dxa"/>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477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7" w:hRule="atLeast"/>
          <w:jc w:val="center"/>
        </w:trPr>
        <w:tc>
          <w:tcPr>
            <w:tcW w:w="1838" w:type="dxa"/>
            <w:shd w:val="clear" w:color="auto" w:fill="auto"/>
            <w:vAlign w:val="center"/>
          </w:tcPr>
          <w:p>
            <w:pPr>
              <w:widowControl/>
              <w:spacing w:after="0" w:line="240" w:lineRule="auto"/>
              <w:jc w:val="left"/>
              <w:textAlignment w:val="baseline"/>
              <w:rPr>
                <w:rFonts w:hint="eastAsia" w:ascii="仿宋" w:hAnsi="仿宋" w:eastAsia="仿宋" w:cs="Segoe UI"/>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土地出让净收益</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159</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159</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159</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159</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159</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159</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159</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159</w:t>
            </w:r>
          </w:p>
        </w:tc>
        <w:tc>
          <w:tcPr>
            <w:tcW w:w="693" w:type="dxa"/>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159</w:t>
            </w:r>
          </w:p>
        </w:tc>
        <w:tc>
          <w:tcPr>
            <w:tcW w:w="718" w:type="dxa"/>
            <w:shd w:val="clear" w:color="auto" w:fill="auto"/>
            <w:vAlign w:val="center"/>
          </w:tcPr>
          <w:p>
            <w:pPr>
              <w:widowControl/>
              <w:spacing w:after="0" w:line="240" w:lineRule="auto"/>
              <w:jc w:val="right"/>
              <w:textAlignment w:val="baseline"/>
              <w:rPr>
                <w:rFonts w:hint="eastAsia" w:ascii="仿宋" w:hAnsi="仿宋" w:eastAsia="仿宋" w:cs="Segoe UI"/>
                <w:b/>
                <w:bCs/>
                <w:color w:val="000000" w:themeColor="text1"/>
                <w:kern w:val="0"/>
                <w:sz w:val="20"/>
                <w:szCs w:val="20"/>
                <w14:textFill>
                  <w14:solidFill>
                    <w14:schemeClr w14:val="tx1"/>
                  </w14:solidFill>
                </w14:textFill>
              </w:rPr>
            </w:pPr>
            <w:r>
              <w:rPr>
                <w:rFonts w:hint="eastAsia" w:ascii="仿宋" w:hAnsi="仿宋" w:eastAsia="仿宋" w:cs="Segoe UI"/>
                <w:b/>
                <w:bCs/>
                <w:color w:val="000000" w:themeColor="text1"/>
                <w:kern w:val="0"/>
                <w:sz w:val="20"/>
                <w:szCs w:val="20"/>
                <w14:textFill>
                  <w14:solidFill>
                    <w14:schemeClr w14:val="tx1"/>
                  </w14:solidFill>
                </w14:textFill>
              </w:rPr>
              <w:t>1,430</w:t>
            </w:r>
          </w:p>
        </w:tc>
      </w:tr>
      <w:bookmarkEnd w:id="26"/>
      <w:bookmarkEnd w:id="27"/>
    </w:tbl>
    <w:p>
      <w:pPr>
        <w:pStyle w:val="3"/>
        <w:spacing w:before="120" w:after="0" w:line="360" w:lineRule="auto"/>
        <w:ind w:firstLine="562" w:firstLineChars="200"/>
        <w:rPr>
          <w:rFonts w:hint="eastAsia" w:ascii="仿宋" w:hAnsi="仿宋" w:eastAsia="仿宋" w:cs="楷体"/>
          <w:color w:val="000000" w:themeColor="text1"/>
          <w:kern w:val="0"/>
          <w:sz w:val="28"/>
          <w:szCs w:val="28"/>
          <w14:textFill>
            <w14:solidFill>
              <w14:schemeClr w14:val="tx1"/>
            </w14:solidFill>
          </w14:textFill>
        </w:rPr>
      </w:pPr>
      <w:bookmarkStart w:id="28" w:name="_Toc200722013"/>
      <w:r>
        <w:rPr>
          <w:rFonts w:hint="eastAsia" w:ascii="仿宋" w:hAnsi="仿宋" w:eastAsia="仿宋" w:cs="楷体"/>
          <w:color w:val="000000" w:themeColor="text1"/>
          <w:kern w:val="0"/>
          <w:sz w:val="28"/>
          <w:szCs w:val="28"/>
          <w14:textFill>
            <w14:solidFill>
              <w14:schemeClr w14:val="tx1"/>
            </w14:solidFill>
          </w14:textFill>
        </w:rPr>
        <w:t>五、事前绩效评估</w:t>
      </w:r>
      <w:bookmarkEnd w:id="28"/>
    </w:p>
    <w:p>
      <w:pPr>
        <w:pStyle w:val="3"/>
        <w:spacing w:before="0" w:after="0" w:line="360" w:lineRule="auto"/>
        <w:ind w:firstLine="562" w:firstLineChars="200"/>
        <w:rPr>
          <w:rFonts w:hint="eastAsia" w:ascii="仿宋" w:hAnsi="仿宋" w:eastAsia="仿宋" w:cs="楷体"/>
          <w:color w:val="000000" w:themeColor="text1"/>
          <w:kern w:val="0"/>
          <w:sz w:val="28"/>
          <w:szCs w:val="28"/>
          <w:lang w:val="en-GB"/>
          <w14:textFill>
            <w14:solidFill>
              <w14:schemeClr w14:val="tx1"/>
            </w14:solidFill>
          </w14:textFill>
        </w:rPr>
      </w:pPr>
      <w:bookmarkStart w:id="29" w:name="_Toc200722014"/>
      <w:bookmarkStart w:id="30" w:name="_Toc3207"/>
      <w:r>
        <w:rPr>
          <w:rFonts w:hint="eastAsia" w:ascii="仿宋" w:hAnsi="仿宋" w:eastAsia="仿宋" w:cs="楷体"/>
          <w:color w:val="000000" w:themeColor="text1"/>
          <w:kern w:val="0"/>
          <w:sz w:val="28"/>
          <w:szCs w:val="28"/>
          <w:lang w:val="en-GB"/>
          <w14:textFill>
            <w14:solidFill>
              <w14:schemeClr w14:val="tx1"/>
            </w14:solidFill>
          </w14:textFill>
        </w:rPr>
        <w:t>（一）项目实施的必要性、公益性、收益性</w:t>
      </w:r>
      <w:bookmarkEnd w:id="29"/>
      <w:bookmarkEnd w:id="30"/>
    </w:p>
    <w:p>
      <w:pPr>
        <w:widowControl/>
        <w:spacing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本工程的建设立足于当地现有市政基础及配套设施的不足，着眼于面貌提升和功能完善；本项目符合当地政府发展的政策导向，具有良好的政策环境，是十分必要和迫切的，理应得到当地政府及相关各方的重视和支持。此外，本项目可产生一定的运营收益，具有良好的收益性。</w:t>
      </w:r>
    </w:p>
    <w:p>
      <w:pPr>
        <w:pStyle w:val="3"/>
        <w:spacing w:before="0" w:after="0" w:line="360" w:lineRule="auto"/>
        <w:ind w:firstLine="562" w:firstLineChars="200"/>
        <w:rPr>
          <w:rFonts w:hint="eastAsia" w:ascii="仿宋" w:hAnsi="仿宋" w:eastAsia="仿宋" w:cs="楷体"/>
          <w:color w:val="000000" w:themeColor="text1"/>
          <w:kern w:val="0"/>
          <w:sz w:val="28"/>
          <w:szCs w:val="28"/>
          <w:lang w:val="en-GB"/>
          <w14:textFill>
            <w14:solidFill>
              <w14:schemeClr w14:val="tx1"/>
            </w14:solidFill>
          </w14:textFill>
        </w:rPr>
      </w:pPr>
      <w:bookmarkStart w:id="31" w:name="_Toc200722015"/>
      <w:bookmarkStart w:id="32" w:name="_Toc22219"/>
      <w:r>
        <w:rPr>
          <w:rFonts w:hint="eastAsia" w:ascii="仿宋" w:hAnsi="仿宋" w:eastAsia="仿宋" w:cs="楷体"/>
          <w:color w:val="000000" w:themeColor="text1"/>
          <w:kern w:val="0"/>
          <w:sz w:val="28"/>
          <w:szCs w:val="28"/>
          <w:lang w:val="en-GB"/>
          <w14:textFill>
            <w14:solidFill>
              <w14:schemeClr w14:val="tx1"/>
            </w14:solidFill>
          </w14:textFill>
        </w:rPr>
        <w:t>（二）项目建设投资合规性与项目成熟度</w:t>
      </w:r>
      <w:bookmarkEnd w:id="31"/>
      <w:bookmarkEnd w:id="32"/>
    </w:p>
    <w:p>
      <w:pPr>
        <w:widowControl/>
        <w:spacing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本项目投资建设符合国家有关法律、法规、政策文件及规范性文件的规定。项目已做好前期相关准备，完成项目相关的批复文件，取得必要论证，项目处于施工阶段，项目建设投资具备合规性并同时具备成熟度。</w:t>
      </w:r>
    </w:p>
    <w:p>
      <w:pPr>
        <w:pStyle w:val="3"/>
        <w:spacing w:before="0" w:after="0" w:line="360" w:lineRule="auto"/>
        <w:ind w:firstLine="562" w:firstLineChars="200"/>
        <w:rPr>
          <w:rFonts w:hint="eastAsia" w:ascii="仿宋" w:hAnsi="仿宋" w:eastAsia="仿宋" w:cs="楷体"/>
          <w:color w:val="000000" w:themeColor="text1"/>
          <w:kern w:val="0"/>
          <w:sz w:val="28"/>
          <w:szCs w:val="28"/>
          <w:lang w:val="en-GB"/>
          <w14:textFill>
            <w14:solidFill>
              <w14:schemeClr w14:val="tx1"/>
            </w14:solidFill>
          </w14:textFill>
        </w:rPr>
      </w:pPr>
      <w:bookmarkStart w:id="33" w:name="_Toc200722016"/>
      <w:bookmarkStart w:id="34" w:name="_Toc10168"/>
      <w:r>
        <w:rPr>
          <w:rFonts w:hint="eastAsia" w:ascii="仿宋" w:hAnsi="仿宋" w:eastAsia="仿宋" w:cs="楷体"/>
          <w:color w:val="000000" w:themeColor="text1"/>
          <w:kern w:val="0"/>
          <w:sz w:val="28"/>
          <w:szCs w:val="28"/>
          <w:lang w:val="en-GB"/>
          <w14:textFill>
            <w14:solidFill>
              <w14:schemeClr w14:val="tx1"/>
            </w14:solidFill>
          </w14:textFill>
        </w:rPr>
        <w:t>（三）项目资金来源和到位可行性</w:t>
      </w:r>
      <w:bookmarkEnd w:id="33"/>
      <w:bookmarkEnd w:id="34"/>
    </w:p>
    <w:p>
      <w:pPr>
        <w:widowControl/>
        <w:spacing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本项目建设资金来源于项目财政资金和通过发行专项债券筹集的资金，资金应能按时拨付到位。</w:t>
      </w:r>
    </w:p>
    <w:p>
      <w:pPr>
        <w:pStyle w:val="3"/>
        <w:spacing w:before="0" w:after="0" w:line="360" w:lineRule="auto"/>
        <w:ind w:firstLine="562" w:firstLineChars="200"/>
        <w:rPr>
          <w:rFonts w:hint="eastAsia" w:ascii="仿宋" w:hAnsi="仿宋" w:eastAsia="仿宋" w:cs="楷体"/>
          <w:color w:val="000000" w:themeColor="text1"/>
          <w:kern w:val="0"/>
          <w:sz w:val="28"/>
          <w:szCs w:val="28"/>
          <w:lang w:val="en-GB"/>
          <w14:textFill>
            <w14:solidFill>
              <w14:schemeClr w14:val="tx1"/>
            </w14:solidFill>
          </w14:textFill>
        </w:rPr>
      </w:pPr>
      <w:bookmarkStart w:id="35" w:name="_Toc200722017"/>
      <w:bookmarkStart w:id="36" w:name="_Toc18227"/>
      <w:r>
        <w:rPr>
          <w:rFonts w:hint="eastAsia" w:ascii="仿宋" w:hAnsi="仿宋" w:eastAsia="仿宋" w:cs="楷体"/>
          <w:color w:val="000000" w:themeColor="text1"/>
          <w:kern w:val="0"/>
          <w:sz w:val="28"/>
          <w:szCs w:val="28"/>
          <w:lang w:val="en-GB"/>
          <w14:textFill>
            <w14:solidFill>
              <w14:schemeClr w14:val="tx1"/>
            </w14:solidFill>
          </w14:textFill>
        </w:rPr>
        <w:t>（四）项目收入、成本、收益预测合理性</w:t>
      </w:r>
      <w:bookmarkEnd w:id="35"/>
      <w:bookmarkEnd w:id="36"/>
    </w:p>
    <w:p>
      <w:pPr>
        <w:widowControl/>
        <w:spacing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本项目专项债券以项目运营收入和土地出让收入为还本付息基础。根据项目收益与融资平衡分析结果显示，债券存续期间本项目累计可偿债收益为</w:t>
      </w:r>
      <w:r>
        <w:rPr>
          <w:rFonts w:ascii="仿宋" w:hAnsi="仿宋" w:eastAsia="仿宋"/>
          <w:color w:val="000000" w:themeColor="text1"/>
          <w:kern w:val="0"/>
          <w:sz w:val="28"/>
          <w:szCs w:val="28"/>
          <w14:textFill>
            <w14:solidFill>
              <w14:schemeClr w14:val="tx1"/>
            </w14:solidFill>
          </w14:textFill>
        </w:rPr>
        <w:t>1,492</w:t>
      </w:r>
      <w:r>
        <w:rPr>
          <w:rFonts w:hint="eastAsia" w:ascii="仿宋" w:hAnsi="仿宋" w:eastAsia="仿宋"/>
          <w:color w:val="000000" w:themeColor="text1"/>
          <w:kern w:val="0"/>
          <w:sz w:val="28"/>
          <w:szCs w:val="28"/>
          <w14:textFill>
            <w14:solidFill>
              <w14:schemeClr w14:val="tx1"/>
            </w14:solidFill>
          </w14:textFill>
        </w:rPr>
        <w:t>万元，还本付息资金充足，综合本息覆盖率可达到</w:t>
      </w:r>
      <w:r>
        <w:rPr>
          <w:rFonts w:ascii="仿宋" w:hAnsi="仿宋" w:eastAsia="仿宋"/>
          <w:color w:val="000000" w:themeColor="text1"/>
          <w:kern w:val="0"/>
          <w:sz w:val="28"/>
          <w:szCs w:val="28"/>
          <w14:textFill>
            <w14:solidFill>
              <w14:schemeClr w14:val="tx1"/>
            </w14:solidFill>
          </w14:textFill>
        </w:rPr>
        <w:t>1.29</w:t>
      </w:r>
      <w:r>
        <w:rPr>
          <w:rFonts w:hint="eastAsia" w:ascii="仿宋" w:hAnsi="仿宋" w:eastAsia="仿宋"/>
          <w:color w:val="000000" w:themeColor="text1"/>
          <w:kern w:val="0"/>
          <w:sz w:val="28"/>
          <w:szCs w:val="28"/>
          <w14:textFill>
            <w14:solidFill>
              <w14:schemeClr w14:val="tx1"/>
            </w14:solidFill>
          </w14:textFill>
        </w:rPr>
        <w:t>，本息覆盖倍数可达到</w:t>
      </w:r>
      <w:r>
        <w:rPr>
          <w:rFonts w:ascii="仿宋" w:hAnsi="仿宋" w:eastAsia="仿宋"/>
          <w:color w:val="000000" w:themeColor="text1"/>
          <w:kern w:val="0"/>
          <w:sz w:val="28"/>
          <w:szCs w:val="28"/>
          <w14:textFill>
            <w14:solidFill>
              <w14:schemeClr w14:val="tx1"/>
            </w14:solidFill>
          </w14:textFill>
        </w:rPr>
        <w:t>1.27。</w:t>
      </w:r>
    </w:p>
    <w:p>
      <w:pPr>
        <w:widowControl/>
        <w:spacing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另外，在对净收益变动进行压力测试后，结果显示，本项目在净收益下降20%时，项目收益仍能覆盖债券的还本付息，项目具备一定的抗风险能力。项目收入、成本、收益预测具备合理性。</w:t>
      </w:r>
    </w:p>
    <w:p>
      <w:pPr>
        <w:pStyle w:val="3"/>
        <w:spacing w:before="0" w:after="0" w:line="360" w:lineRule="auto"/>
        <w:ind w:firstLine="562" w:firstLineChars="200"/>
        <w:rPr>
          <w:rFonts w:hint="eastAsia" w:ascii="仿宋" w:hAnsi="仿宋" w:eastAsia="仿宋" w:cs="楷体"/>
          <w:color w:val="000000" w:themeColor="text1"/>
          <w:kern w:val="0"/>
          <w:sz w:val="28"/>
          <w:szCs w:val="28"/>
          <w:lang w:val="en-GB"/>
          <w14:textFill>
            <w14:solidFill>
              <w14:schemeClr w14:val="tx1"/>
            </w14:solidFill>
          </w14:textFill>
        </w:rPr>
      </w:pPr>
      <w:bookmarkStart w:id="37" w:name="_Toc200722018"/>
      <w:bookmarkStart w:id="38" w:name="_Toc3497"/>
      <w:r>
        <w:rPr>
          <w:rFonts w:hint="eastAsia" w:ascii="仿宋" w:hAnsi="仿宋" w:eastAsia="仿宋" w:cs="楷体"/>
          <w:color w:val="000000" w:themeColor="text1"/>
          <w:kern w:val="0"/>
          <w:sz w:val="28"/>
          <w:szCs w:val="28"/>
          <w:lang w:val="en-GB"/>
          <w14:textFill>
            <w14:solidFill>
              <w14:schemeClr w14:val="tx1"/>
            </w14:solidFill>
          </w14:textFill>
        </w:rPr>
        <w:t>（五）债券资金需求合理性</w:t>
      </w:r>
      <w:bookmarkEnd w:id="37"/>
      <w:bookmarkEnd w:id="38"/>
    </w:p>
    <w:p>
      <w:pPr>
        <w:widowControl/>
        <w:spacing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结合建设资金需求及项目财政资金款项到账时间节点，为保障项目建设期间资金需求，项目通过发行专项债筹集资金。本项目已考虑运营收益、债券利率等因素变动对专项债券本息资金覆盖情况的影响。总体而言，本项目通过发行专项债可实现降低融资成本，是现阶段解决本项目融资资金问题的推荐方案，申请本次债券资金需求合理。</w:t>
      </w:r>
    </w:p>
    <w:p>
      <w:pPr>
        <w:pStyle w:val="3"/>
        <w:spacing w:before="0" w:after="0" w:line="360" w:lineRule="auto"/>
        <w:ind w:firstLine="562" w:firstLineChars="200"/>
        <w:rPr>
          <w:rFonts w:hint="eastAsia" w:ascii="仿宋" w:hAnsi="仿宋" w:eastAsia="仿宋" w:cs="楷体"/>
          <w:color w:val="000000" w:themeColor="text1"/>
          <w:kern w:val="0"/>
          <w:sz w:val="28"/>
          <w:szCs w:val="28"/>
          <w:lang w:val="en-GB"/>
          <w14:textFill>
            <w14:solidFill>
              <w14:schemeClr w14:val="tx1"/>
            </w14:solidFill>
          </w14:textFill>
        </w:rPr>
      </w:pPr>
      <w:bookmarkStart w:id="39" w:name="_Toc30851"/>
      <w:bookmarkStart w:id="40" w:name="_Toc200722019"/>
      <w:r>
        <w:rPr>
          <w:rFonts w:hint="eastAsia" w:ascii="仿宋" w:hAnsi="仿宋" w:eastAsia="仿宋" w:cs="楷体"/>
          <w:color w:val="000000" w:themeColor="text1"/>
          <w:kern w:val="0"/>
          <w:sz w:val="28"/>
          <w:szCs w:val="28"/>
          <w:lang w:val="en-GB"/>
          <w14:textFill>
            <w14:solidFill>
              <w14:schemeClr w14:val="tx1"/>
            </w14:solidFill>
          </w14:textFill>
        </w:rPr>
        <w:t>（六）项目偿债计划可行性和偿债风险点</w:t>
      </w:r>
      <w:bookmarkEnd w:id="39"/>
      <w:bookmarkEnd w:id="40"/>
    </w:p>
    <w:p>
      <w:pPr>
        <w:widowControl/>
        <w:spacing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项目偿债计划为拟在还本付息年份内，安排项目运营收入和国有土地出让收入作为债券偿债的主要来源。根据对专项债券还本付息现金流情况的分析，测算数据显示专项债的还本付息资金需求可以由项目收益满足，具备可行性。</w:t>
      </w:r>
    </w:p>
    <w:p>
      <w:pPr>
        <w:widowControl/>
        <w:spacing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风险点：管理运营风险、交付工期延误、突发事件引发的经营风险等。</w:t>
      </w:r>
    </w:p>
    <w:p>
      <w:pPr>
        <w:pStyle w:val="3"/>
        <w:spacing w:before="0" w:after="0" w:line="360" w:lineRule="auto"/>
        <w:ind w:firstLine="562" w:firstLineChars="200"/>
        <w:rPr>
          <w:rFonts w:hint="eastAsia" w:ascii="仿宋" w:hAnsi="仿宋" w:eastAsia="仿宋" w:cs="楷体"/>
          <w:color w:val="000000" w:themeColor="text1"/>
          <w:kern w:val="0"/>
          <w:sz w:val="28"/>
          <w:szCs w:val="28"/>
          <w:lang w:val="en-GB"/>
          <w14:textFill>
            <w14:solidFill>
              <w14:schemeClr w14:val="tx1"/>
            </w14:solidFill>
          </w14:textFill>
        </w:rPr>
      </w:pPr>
      <w:bookmarkStart w:id="41" w:name="_Toc13937"/>
      <w:bookmarkStart w:id="42" w:name="_Toc200722020"/>
      <w:r>
        <w:rPr>
          <w:rFonts w:hint="eastAsia" w:ascii="仿宋" w:hAnsi="仿宋" w:eastAsia="仿宋" w:cs="楷体"/>
          <w:color w:val="000000" w:themeColor="text1"/>
          <w:kern w:val="0"/>
          <w:sz w:val="28"/>
          <w:szCs w:val="28"/>
          <w:lang w:val="en-GB"/>
          <w14:textFill>
            <w14:solidFill>
              <w14:schemeClr w14:val="tx1"/>
            </w14:solidFill>
          </w14:textFill>
        </w:rPr>
        <w:t>（七）绩效目标合理性</w:t>
      </w:r>
      <w:bookmarkEnd w:id="41"/>
      <w:bookmarkEnd w:id="42"/>
    </w:p>
    <w:p>
      <w:pPr>
        <w:widowControl/>
        <w:spacing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本次事前绩效评估根据财预〔2020〕10号文绩效指标框架，按照海南省事前绩效评估管理办法相关原则，并结合本项目特点，按照“注重规范、突出效果”的原则设计本项目个性评价指标，确保绩效目标可评、可量、可用于指导项目实施阶段绩效评价。</w:t>
      </w:r>
    </w:p>
    <w:p>
      <w:pPr>
        <w:widowControl/>
        <w:spacing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本次事前绩效目标设与申报预算的资金量相匹配，绩效指标逐级细化、量化，指标值合理具有可考核性。</w:t>
      </w:r>
    </w:p>
    <w:p>
      <w:pPr>
        <w:pStyle w:val="3"/>
        <w:spacing w:before="0" w:after="0" w:line="360" w:lineRule="auto"/>
        <w:ind w:firstLine="562" w:firstLineChars="200"/>
        <w:rPr>
          <w:rFonts w:hint="eastAsia" w:ascii="仿宋" w:hAnsi="仿宋" w:eastAsia="仿宋" w:cs="楷体"/>
          <w:color w:val="000000" w:themeColor="text1"/>
          <w:kern w:val="0"/>
          <w:sz w:val="28"/>
          <w:szCs w:val="28"/>
          <w:lang w:val="en-GB"/>
          <w14:textFill>
            <w14:solidFill>
              <w14:schemeClr w14:val="tx1"/>
            </w14:solidFill>
          </w14:textFill>
        </w:rPr>
      </w:pPr>
      <w:bookmarkStart w:id="43" w:name="_Toc200722021"/>
      <w:bookmarkStart w:id="44" w:name="_Toc5543"/>
      <w:r>
        <w:rPr>
          <w:rFonts w:hint="eastAsia" w:ascii="仿宋" w:hAnsi="仿宋" w:eastAsia="仿宋" w:cs="楷体"/>
          <w:color w:val="000000" w:themeColor="text1"/>
          <w:kern w:val="0"/>
          <w:sz w:val="28"/>
          <w:szCs w:val="28"/>
          <w:lang w:val="en-GB"/>
          <w14:textFill>
            <w14:solidFill>
              <w14:schemeClr w14:val="tx1"/>
            </w14:solidFill>
          </w14:textFill>
        </w:rPr>
        <w:t>（八）其他需要纳入事前绩效评估的事项</w:t>
      </w:r>
      <w:bookmarkEnd w:id="43"/>
      <w:bookmarkEnd w:id="44"/>
    </w:p>
    <w:p>
      <w:pPr>
        <w:widowControl/>
        <w:spacing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暂无。</w:t>
      </w:r>
    </w:p>
    <w:p>
      <w:pPr>
        <w:pStyle w:val="3"/>
        <w:spacing w:before="0" w:after="0" w:line="360" w:lineRule="auto"/>
        <w:ind w:firstLine="562" w:firstLineChars="200"/>
        <w:rPr>
          <w:rFonts w:hint="eastAsia" w:ascii="仿宋" w:hAnsi="仿宋" w:eastAsia="仿宋" w:cs="楷体"/>
          <w:color w:val="000000" w:themeColor="text1"/>
          <w:kern w:val="0"/>
          <w:sz w:val="28"/>
          <w:szCs w:val="28"/>
          <w:lang w:val="en-GB"/>
          <w14:textFill>
            <w14:solidFill>
              <w14:schemeClr w14:val="tx1"/>
            </w14:solidFill>
          </w14:textFill>
        </w:rPr>
      </w:pPr>
      <w:bookmarkStart w:id="45" w:name="_Toc12212"/>
      <w:bookmarkStart w:id="46" w:name="_Toc200722022"/>
      <w:r>
        <w:rPr>
          <w:rFonts w:hint="eastAsia" w:ascii="仿宋" w:hAnsi="仿宋" w:eastAsia="仿宋" w:cs="楷体"/>
          <w:color w:val="000000" w:themeColor="text1"/>
          <w:kern w:val="0"/>
          <w:sz w:val="28"/>
          <w:szCs w:val="28"/>
          <w:lang w:val="en-GB"/>
          <w14:textFill>
            <w14:solidFill>
              <w14:schemeClr w14:val="tx1"/>
            </w14:solidFill>
          </w14:textFill>
        </w:rPr>
        <w:t>（九）整体结论</w:t>
      </w:r>
      <w:bookmarkEnd w:id="45"/>
      <w:bookmarkEnd w:id="46"/>
    </w:p>
    <w:p>
      <w:pPr>
        <w:widowControl/>
        <w:spacing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综上，本项目经事前绩效评估，已具备申请专项债券资金支持的必要性和可行性。</w:t>
      </w:r>
    </w:p>
    <w:tbl>
      <w:tblPr>
        <w:tblStyle w:val="2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7"/>
        <w:gridCol w:w="1257"/>
        <w:gridCol w:w="3862"/>
        <w:gridCol w:w="544"/>
        <w:gridCol w:w="546"/>
        <w:gridCol w:w="4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1" w:type="pct"/>
            <w:vAlign w:val="center"/>
          </w:tcPr>
          <w:p>
            <w:pPr>
              <w:adjustRightInd w:val="0"/>
              <w:snapToGrid w:val="0"/>
              <w:spacing w:after="0" w:line="240" w:lineRule="auto"/>
              <w:rPr>
                <w:rFonts w:hint="eastAsia" w:ascii="仿宋" w:hAnsi="仿宋" w:eastAsia="仿宋"/>
                <w:color w:val="000000"/>
                <w:szCs w:val="21"/>
              </w:rPr>
            </w:pPr>
            <w:r>
              <w:rPr>
                <w:rFonts w:ascii="仿宋" w:hAnsi="仿宋" w:eastAsia="仿宋"/>
                <w:color w:val="000000"/>
                <w:szCs w:val="21"/>
              </w:rPr>
              <w:t>项目名称</w:t>
            </w:r>
          </w:p>
        </w:tc>
        <w:tc>
          <w:tcPr>
            <w:tcW w:w="3749" w:type="pct"/>
            <w:gridSpan w:val="5"/>
            <w:vAlign w:val="center"/>
          </w:tcPr>
          <w:p>
            <w:pPr>
              <w:adjustRightInd w:val="0"/>
              <w:snapToGrid w:val="0"/>
              <w:spacing w:after="0" w:line="240" w:lineRule="auto"/>
              <w:rPr>
                <w:rFonts w:hint="eastAsia" w:ascii="仿宋" w:hAnsi="仿宋" w:eastAsia="仿宋"/>
                <w:color w:val="000000"/>
                <w:szCs w:val="21"/>
              </w:rPr>
            </w:pPr>
            <w:r>
              <w:rPr>
                <w:rFonts w:hint="eastAsia" w:ascii="仿宋" w:hAnsi="仿宋" w:eastAsia="仿宋"/>
                <w:color w:val="000000"/>
                <w:szCs w:val="21"/>
              </w:rPr>
              <w:t>海口江东新区城市地下管网完善工程（一期）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1" w:type="pct"/>
            <w:vAlign w:val="center"/>
          </w:tcPr>
          <w:p>
            <w:pPr>
              <w:adjustRightInd w:val="0"/>
              <w:snapToGrid w:val="0"/>
              <w:spacing w:after="0" w:line="240" w:lineRule="auto"/>
              <w:rPr>
                <w:rFonts w:hint="eastAsia" w:ascii="仿宋" w:hAnsi="仿宋" w:eastAsia="仿宋"/>
                <w:color w:val="000000"/>
                <w:szCs w:val="21"/>
              </w:rPr>
            </w:pPr>
            <w:r>
              <w:rPr>
                <w:rFonts w:ascii="仿宋" w:hAnsi="仿宋" w:eastAsia="仿宋"/>
                <w:color w:val="000000"/>
                <w:szCs w:val="21"/>
              </w:rPr>
              <w:t>实施单位</w:t>
            </w:r>
          </w:p>
        </w:tc>
        <w:tc>
          <w:tcPr>
            <w:tcW w:w="3749" w:type="pct"/>
            <w:gridSpan w:val="5"/>
            <w:vAlign w:val="center"/>
          </w:tcPr>
          <w:p>
            <w:pPr>
              <w:adjustRightInd w:val="0"/>
              <w:snapToGrid w:val="0"/>
              <w:spacing w:after="0" w:line="240" w:lineRule="auto"/>
              <w:rPr>
                <w:rFonts w:hint="eastAsia" w:ascii="仿宋" w:hAnsi="仿宋" w:eastAsia="仿宋"/>
                <w:color w:val="000000"/>
                <w:szCs w:val="21"/>
                <w:highlight w:val="yellow"/>
              </w:rPr>
            </w:pPr>
            <w:r>
              <w:rPr>
                <w:rFonts w:hint="eastAsia" w:ascii="仿宋" w:hAnsi="仿宋" w:eastAsia="仿宋"/>
                <w:color w:val="000000"/>
                <w:szCs w:val="21"/>
              </w:rPr>
              <w:t>海口市路桥建设投资有限公司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51" w:type="pct"/>
            <w:vAlign w:val="center"/>
          </w:tcPr>
          <w:p>
            <w:pPr>
              <w:adjustRightInd w:val="0"/>
              <w:snapToGrid w:val="0"/>
              <w:spacing w:after="0" w:line="240" w:lineRule="auto"/>
              <w:rPr>
                <w:rFonts w:hint="eastAsia" w:ascii="仿宋" w:hAnsi="仿宋" w:eastAsia="仿宋"/>
                <w:color w:val="000000"/>
                <w:szCs w:val="21"/>
              </w:rPr>
            </w:pPr>
            <w:r>
              <w:rPr>
                <w:rFonts w:ascii="仿宋" w:hAnsi="仿宋" w:eastAsia="仿宋"/>
                <w:color w:val="000000"/>
                <w:szCs w:val="21"/>
              </w:rPr>
              <w:t>论证要点</w:t>
            </w:r>
          </w:p>
        </w:tc>
        <w:tc>
          <w:tcPr>
            <w:tcW w:w="709" w:type="pct"/>
            <w:vAlign w:val="center"/>
          </w:tcPr>
          <w:p>
            <w:pPr>
              <w:adjustRightInd w:val="0"/>
              <w:snapToGrid w:val="0"/>
              <w:spacing w:after="0" w:line="240" w:lineRule="auto"/>
              <w:rPr>
                <w:rFonts w:hint="eastAsia" w:ascii="仿宋" w:hAnsi="仿宋" w:eastAsia="仿宋"/>
                <w:color w:val="000000"/>
                <w:szCs w:val="21"/>
              </w:rPr>
            </w:pPr>
            <w:r>
              <w:rPr>
                <w:rFonts w:ascii="仿宋" w:hAnsi="仿宋" w:eastAsia="仿宋"/>
                <w:color w:val="000000"/>
                <w:szCs w:val="21"/>
              </w:rPr>
              <w:t>指标</w:t>
            </w:r>
          </w:p>
        </w:tc>
        <w:tc>
          <w:tcPr>
            <w:tcW w:w="2179" w:type="pct"/>
            <w:vAlign w:val="center"/>
          </w:tcPr>
          <w:p>
            <w:pPr>
              <w:adjustRightInd w:val="0"/>
              <w:snapToGrid w:val="0"/>
              <w:spacing w:after="0" w:line="240" w:lineRule="auto"/>
              <w:rPr>
                <w:rFonts w:hint="eastAsia" w:ascii="仿宋" w:hAnsi="仿宋" w:eastAsia="仿宋"/>
                <w:color w:val="000000"/>
                <w:szCs w:val="21"/>
              </w:rPr>
            </w:pPr>
            <w:r>
              <w:rPr>
                <w:rFonts w:ascii="仿宋" w:hAnsi="仿宋" w:eastAsia="仿宋"/>
                <w:color w:val="000000"/>
                <w:szCs w:val="21"/>
              </w:rPr>
              <w:t>评估要点</w:t>
            </w:r>
          </w:p>
        </w:tc>
        <w:tc>
          <w:tcPr>
            <w:tcW w:w="615" w:type="pct"/>
            <w:gridSpan w:val="2"/>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分值</w:t>
            </w:r>
          </w:p>
        </w:tc>
        <w:tc>
          <w:tcPr>
            <w:tcW w:w="24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1" w:type="pct"/>
            <w:vMerge w:val="restart"/>
            <w:vAlign w:val="center"/>
          </w:tcPr>
          <w:p>
            <w:pPr>
              <w:adjustRightInd w:val="0"/>
              <w:snapToGrid w:val="0"/>
              <w:spacing w:after="0" w:line="240" w:lineRule="auto"/>
              <w:rPr>
                <w:rFonts w:hint="eastAsia" w:ascii="仿宋" w:hAnsi="仿宋" w:eastAsia="仿宋"/>
                <w:color w:val="000000"/>
                <w:szCs w:val="21"/>
              </w:rPr>
            </w:pPr>
            <w:r>
              <w:rPr>
                <w:rFonts w:ascii="仿宋" w:hAnsi="仿宋" w:eastAsia="仿宋"/>
                <w:color w:val="000000"/>
                <w:szCs w:val="21"/>
              </w:rPr>
              <w:t>项目实施的必要性、公益性、收益性</w:t>
            </w:r>
          </w:p>
        </w:tc>
        <w:tc>
          <w:tcPr>
            <w:tcW w:w="709" w:type="pct"/>
            <w:vMerge w:val="restart"/>
            <w:vAlign w:val="center"/>
          </w:tcPr>
          <w:p>
            <w:pPr>
              <w:adjustRightInd w:val="0"/>
              <w:snapToGrid w:val="0"/>
              <w:spacing w:after="0" w:line="240" w:lineRule="auto"/>
              <w:rPr>
                <w:rFonts w:hint="eastAsia" w:ascii="仿宋" w:hAnsi="仿宋" w:eastAsia="仿宋"/>
                <w:color w:val="000000"/>
                <w:szCs w:val="21"/>
              </w:rPr>
            </w:pPr>
            <w:r>
              <w:rPr>
                <w:rFonts w:ascii="仿宋" w:hAnsi="仿宋" w:eastAsia="仿宋"/>
                <w:color w:val="000000"/>
                <w:szCs w:val="21"/>
              </w:rPr>
              <w:t>必要性</w:t>
            </w:r>
          </w:p>
        </w:tc>
        <w:tc>
          <w:tcPr>
            <w:tcW w:w="2179" w:type="pct"/>
            <w:vAlign w:val="center"/>
          </w:tcPr>
          <w:p>
            <w:pPr>
              <w:adjustRightInd w:val="0"/>
              <w:snapToGrid w:val="0"/>
              <w:spacing w:after="0" w:line="240" w:lineRule="auto"/>
              <w:rPr>
                <w:rFonts w:hint="eastAsia" w:ascii="仿宋" w:hAnsi="仿宋" w:eastAsia="仿宋"/>
                <w:color w:val="000000"/>
                <w:szCs w:val="21"/>
              </w:rPr>
            </w:pPr>
            <w:r>
              <w:rPr>
                <w:rFonts w:hint="eastAsia" w:ascii="仿宋" w:hAnsi="仿宋" w:eastAsia="仿宋" w:cs="宋体"/>
                <w:color w:val="000000"/>
                <w:szCs w:val="21"/>
              </w:rPr>
              <w:t>①</w:t>
            </w:r>
            <w:r>
              <w:rPr>
                <w:rFonts w:ascii="仿宋" w:hAnsi="仿宋" w:eastAsia="仿宋"/>
                <w:color w:val="000000"/>
                <w:szCs w:val="21"/>
              </w:rPr>
              <w:t>是否与中央、省委省政府决策部署、部门职能和规划相关</w:t>
            </w:r>
          </w:p>
        </w:tc>
        <w:tc>
          <w:tcPr>
            <w:tcW w:w="30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3</w:t>
            </w:r>
          </w:p>
        </w:tc>
        <w:tc>
          <w:tcPr>
            <w:tcW w:w="307" w:type="pct"/>
            <w:vMerge w:val="restar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25</w:t>
            </w:r>
          </w:p>
        </w:tc>
        <w:tc>
          <w:tcPr>
            <w:tcW w:w="247" w:type="pct"/>
            <w:vAlign w:val="center"/>
          </w:tcPr>
          <w:p>
            <w:pPr>
              <w:adjustRightInd w:val="0"/>
              <w:snapToGrid w:val="0"/>
              <w:spacing w:after="0" w:line="240" w:lineRule="auto"/>
              <w:jc w:val="center"/>
              <w:rPr>
                <w:rFonts w:hint="eastAsia" w:ascii="仿宋" w:hAnsi="仿宋" w:eastAsia="仿宋"/>
                <w:color w:val="000000"/>
                <w:szCs w:val="21"/>
              </w:rPr>
            </w:pPr>
            <w:r>
              <w:rPr>
                <w:rFonts w:hint="eastAsia" w:ascii="仿宋" w:hAnsi="仿宋" w:eastAsia="仿宋"/>
                <w:color w:val="000000"/>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1" w:type="pct"/>
            <w:vMerge w:val="continue"/>
            <w:vAlign w:val="center"/>
          </w:tcPr>
          <w:p>
            <w:pPr>
              <w:adjustRightInd w:val="0"/>
              <w:snapToGrid w:val="0"/>
              <w:spacing w:after="0" w:line="240" w:lineRule="auto"/>
              <w:rPr>
                <w:rFonts w:hint="eastAsia" w:ascii="仿宋" w:hAnsi="仿宋" w:eastAsia="仿宋"/>
                <w:color w:val="000000"/>
                <w:szCs w:val="21"/>
              </w:rPr>
            </w:pPr>
          </w:p>
        </w:tc>
        <w:tc>
          <w:tcPr>
            <w:tcW w:w="709" w:type="pct"/>
            <w:vMerge w:val="continue"/>
            <w:vAlign w:val="center"/>
          </w:tcPr>
          <w:p>
            <w:pPr>
              <w:adjustRightInd w:val="0"/>
              <w:snapToGrid w:val="0"/>
              <w:spacing w:after="0" w:line="240" w:lineRule="auto"/>
              <w:rPr>
                <w:rFonts w:hint="eastAsia" w:ascii="仿宋" w:hAnsi="仿宋" w:eastAsia="仿宋"/>
                <w:color w:val="000000"/>
                <w:szCs w:val="21"/>
              </w:rPr>
            </w:pPr>
          </w:p>
        </w:tc>
        <w:tc>
          <w:tcPr>
            <w:tcW w:w="2179" w:type="pct"/>
            <w:vAlign w:val="center"/>
          </w:tcPr>
          <w:p>
            <w:pPr>
              <w:adjustRightInd w:val="0"/>
              <w:snapToGrid w:val="0"/>
              <w:spacing w:after="0" w:line="240" w:lineRule="auto"/>
              <w:rPr>
                <w:rFonts w:hint="eastAsia" w:ascii="仿宋" w:hAnsi="仿宋" w:eastAsia="仿宋"/>
                <w:color w:val="000000"/>
                <w:szCs w:val="21"/>
              </w:rPr>
            </w:pPr>
            <w:r>
              <w:rPr>
                <w:rFonts w:hint="eastAsia" w:ascii="仿宋" w:hAnsi="仿宋" w:eastAsia="仿宋" w:cs="宋体"/>
                <w:color w:val="000000"/>
                <w:szCs w:val="21"/>
              </w:rPr>
              <w:t>②</w:t>
            </w:r>
            <w:r>
              <w:rPr>
                <w:rFonts w:ascii="仿宋" w:hAnsi="仿宋" w:eastAsia="仿宋"/>
                <w:color w:val="000000"/>
                <w:szCs w:val="21"/>
              </w:rPr>
              <w:t>需求是否迫切</w:t>
            </w:r>
          </w:p>
        </w:tc>
        <w:tc>
          <w:tcPr>
            <w:tcW w:w="30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5</w:t>
            </w:r>
          </w:p>
        </w:tc>
        <w:tc>
          <w:tcPr>
            <w:tcW w:w="307" w:type="pct"/>
            <w:vMerge w:val="continue"/>
            <w:vAlign w:val="center"/>
          </w:tcPr>
          <w:p>
            <w:pPr>
              <w:adjustRightInd w:val="0"/>
              <w:snapToGrid w:val="0"/>
              <w:spacing w:after="0" w:line="240" w:lineRule="auto"/>
              <w:jc w:val="center"/>
              <w:rPr>
                <w:rFonts w:hint="eastAsia" w:ascii="仿宋" w:hAnsi="仿宋" w:eastAsia="仿宋"/>
                <w:color w:val="000000"/>
                <w:szCs w:val="21"/>
              </w:rPr>
            </w:pPr>
          </w:p>
        </w:tc>
        <w:tc>
          <w:tcPr>
            <w:tcW w:w="247" w:type="pct"/>
            <w:vAlign w:val="center"/>
          </w:tcPr>
          <w:p>
            <w:pPr>
              <w:adjustRightInd w:val="0"/>
              <w:snapToGrid w:val="0"/>
              <w:spacing w:after="0" w:line="240" w:lineRule="auto"/>
              <w:jc w:val="center"/>
              <w:rPr>
                <w:rFonts w:hint="eastAsia" w:ascii="仿宋" w:hAnsi="仿宋" w:eastAsia="仿宋"/>
                <w:color w:val="000000"/>
                <w:szCs w:val="21"/>
              </w:rPr>
            </w:pPr>
            <w:r>
              <w:rPr>
                <w:rFonts w:hint="eastAsia" w:ascii="仿宋" w:hAnsi="仿宋" w:eastAsia="仿宋"/>
                <w:color w:val="000000"/>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1" w:type="pct"/>
            <w:vMerge w:val="continue"/>
            <w:vAlign w:val="center"/>
          </w:tcPr>
          <w:p>
            <w:pPr>
              <w:adjustRightInd w:val="0"/>
              <w:snapToGrid w:val="0"/>
              <w:spacing w:after="0" w:line="240" w:lineRule="auto"/>
              <w:rPr>
                <w:rFonts w:hint="eastAsia" w:ascii="仿宋" w:hAnsi="仿宋" w:eastAsia="仿宋"/>
                <w:color w:val="000000"/>
                <w:szCs w:val="21"/>
              </w:rPr>
            </w:pPr>
          </w:p>
        </w:tc>
        <w:tc>
          <w:tcPr>
            <w:tcW w:w="709" w:type="pct"/>
            <w:vMerge w:val="continue"/>
            <w:vAlign w:val="center"/>
          </w:tcPr>
          <w:p>
            <w:pPr>
              <w:adjustRightInd w:val="0"/>
              <w:snapToGrid w:val="0"/>
              <w:spacing w:after="0" w:line="240" w:lineRule="auto"/>
              <w:rPr>
                <w:rFonts w:hint="eastAsia" w:ascii="仿宋" w:hAnsi="仿宋" w:eastAsia="仿宋"/>
                <w:color w:val="000000"/>
                <w:szCs w:val="21"/>
              </w:rPr>
            </w:pPr>
          </w:p>
        </w:tc>
        <w:tc>
          <w:tcPr>
            <w:tcW w:w="2179" w:type="pct"/>
            <w:vAlign w:val="center"/>
          </w:tcPr>
          <w:p>
            <w:pPr>
              <w:adjustRightInd w:val="0"/>
              <w:snapToGrid w:val="0"/>
              <w:spacing w:after="0" w:line="240" w:lineRule="auto"/>
              <w:rPr>
                <w:rFonts w:hint="eastAsia" w:ascii="仿宋" w:hAnsi="仿宋" w:eastAsia="仿宋"/>
                <w:color w:val="000000"/>
                <w:szCs w:val="21"/>
              </w:rPr>
            </w:pPr>
            <w:r>
              <w:rPr>
                <w:rFonts w:hint="eastAsia" w:ascii="仿宋" w:hAnsi="仿宋" w:eastAsia="仿宋" w:cs="宋体"/>
                <w:color w:val="000000"/>
                <w:szCs w:val="21"/>
              </w:rPr>
              <w:t>③</w:t>
            </w:r>
            <w:r>
              <w:rPr>
                <w:rFonts w:ascii="仿宋" w:hAnsi="仿宋" w:eastAsia="仿宋"/>
                <w:color w:val="000000"/>
                <w:szCs w:val="21"/>
              </w:rPr>
              <w:t>是否有可替代性</w:t>
            </w:r>
          </w:p>
        </w:tc>
        <w:tc>
          <w:tcPr>
            <w:tcW w:w="30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5</w:t>
            </w:r>
          </w:p>
        </w:tc>
        <w:tc>
          <w:tcPr>
            <w:tcW w:w="307" w:type="pct"/>
            <w:vMerge w:val="continue"/>
            <w:vAlign w:val="center"/>
          </w:tcPr>
          <w:p>
            <w:pPr>
              <w:adjustRightInd w:val="0"/>
              <w:snapToGrid w:val="0"/>
              <w:spacing w:after="0" w:line="240" w:lineRule="auto"/>
              <w:jc w:val="center"/>
              <w:rPr>
                <w:rFonts w:hint="eastAsia" w:ascii="仿宋" w:hAnsi="仿宋" w:eastAsia="仿宋"/>
                <w:color w:val="000000"/>
                <w:szCs w:val="21"/>
              </w:rPr>
            </w:pPr>
          </w:p>
        </w:tc>
        <w:tc>
          <w:tcPr>
            <w:tcW w:w="247" w:type="pct"/>
            <w:vAlign w:val="center"/>
          </w:tcPr>
          <w:p>
            <w:pPr>
              <w:adjustRightInd w:val="0"/>
              <w:snapToGrid w:val="0"/>
              <w:spacing w:after="0" w:line="240" w:lineRule="auto"/>
              <w:jc w:val="center"/>
              <w:rPr>
                <w:rFonts w:hint="eastAsia" w:ascii="仿宋" w:hAnsi="仿宋" w:eastAsia="仿宋"/>
                <w:color w:val="000000"/>
                <w:szCs w:val="21"/>
              </w:rPr>
            </w:pPr>
            <w:r>
              <w:rPr>
                <w:rFonts w:hint="eastAsia" w:ascii="仿宋" w:hAnsi="仿宋" w:eastAsia="仿宋"/>
                <w:color w:val="000000"/>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1" w:type="pct"/>
            <w:vMerge w:val="continue"/>
            <w:vAlign w:val="center"/>
          </w:tcPr>
          <w:p>
            <w:pPr>
              <w:adjustRightInd w:val="0"/>
              <w:snapToGrid w:val="0"/>
              <w:spacing w:after="0" w:line="240" w:lineRule="auto"/>
              <w:rPr>
                <w:rFonts w:hint="eastAsia" w:ascii="仿宋" w:hAnsi="仿宋" w:eastAsia="仿宋"/>
                <w:color w:val="000000"/>
                <w:szCs w:val="21"/>
              </w:rPr>
            </w:pPr>
          </w:p>
        </w:tc>
        <w:tc>
          <w:tcPr>
            <w:tcW w:w="709" w:type="pct"/>
            <w:vAlign w:val="center"/>
          </w:tcPr>
          <w:p>
            <w:pPr>
              <w:adjustRightInd w:val="0"/>
              <w:snapToGrid w:val="0"/>
              <w:spacing w:after="0" w:line="240" w:lineRule="auto"/>
              <w:rPr>
                <w:rFonts w:hint="eastAsia" w:ascii="仿宋" w:hAnsi="仿宋" w:eastAsia="仿宋"/>
                <w:color w:val="000000"/>
                <w:szCs w:val="21"/>
              </w:rPr>
            </w:pPr>
            <w:r>
              <w:rPr>
                <w:rFonts w:ascii="仿宋" w:hAnsi="仿宋" w:eastAsia="仿宋"/>
                <w:color w:val="000000"/>
                <w:szCs w:val="21"/>
              </w:rPr>
              <w:t>公益性</w:t>
            </w:r>
          </w:p>
        </w:tc>
        <w:tc>
          <w:tcPr>
            <w:tcW w:w="2179" w:type="pct"/>
            <w:vAlign w:val="center"/>
          </w:tcPr>
          <w:p>
            <w:pPr>
              <w:adjustRightInd w:val="0"/>
              <w:snapToGrid w:val="0"/>
              <w:spacing w:after="0" w:line="240" w:lineRule="auto"/>
              <w:rPr>
                <w:rFonts w:hint="eastAsia" w:ascii="仿宋" w:hAnsi="仿宋" w:eastAsia="仿宋"/>
                <w:color w:val="000000"/>
                <w:szCs w:val="21"/>
              </w:rPr>
            </w:pPr>
            <w:r>
              <w:rPr>
                <w:rFonts w:ascii="仿宋" w:hAnsi="仿宋" w:eastAsia="仿宋"/>
                <w:color w:val="000000"/>
                <w:szCs w:val="21"/>
              </w:rPr>
              <w:t>是否属于公益性</w:t>
            </w:r>
          </w:p>
        </w:tc>
        <w:tc>
          <w:tcPr>
            <w:tcW w:w="30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6</w:t>
            </w:r>
          </w:p>
        </w:tc>
        <w:tc>
          <w:tcPr>
            <w:tcW w:w="307" w:type="pct"/>
            <w:vMerge w:val="continue"/>
            <w:vAlign w:val="center"/>
          </w:tcPr>
          <w:p>
            <w:pPr>
              <w:adjustRightInd w:val="0"/>
              <w:snapToGrid w:val="0"/>
              <w:spacing w:after="0" w:line="240" w:lineRule="auto"/>
              <w:jc w:val="center"/>
              <w:rPr>
                <w:rFonts w:hint="eastAsia" w:ascii="仿宋" w:hAnsi="仿宋" w:eastAsia="仿宋"/>
                <w:color w:val="000000"/>
                <w:szCs w:val="21"/>
              </w:rPr>
            </w:pPr>
          </w:p>
        </w:tc>
        <w:tc>
          <w:tcPr>
            <w:tcW w:w="247" w:type="pct"/>
            <w:vAlign w:val="center"/>
          </w:tcPr>
          <w:p>
            <w:pPr>
              <w:adjustRightInd w:val="0"/>
              <w:snapToGrid w:val="0"/>
              <w:spacing w:after="0" w:line="240" w:lineRule="auto"/>
              <w:jc w:val="center"/>
              <w:rPr>
                <w:rFonts w:hint="eastAsia" w:ascii="仿宋" w:hAnsi="仿宋" w:eastAsia="仿宋"/>
                <w:color w:val="000000"/>
                <w:szCs w:val="21"/>
              </w:rPr>
            </w:pPr>
            <w:r>
              <w:rPr>
                <w:rFonts w:hint="eastAsia" w:ascii="仿宋" w:hAnsi="仿宋" w:eastAsia="仿宋"/>
                <w:color w:val="000000"/>
                <w:szCs w:val="21"/>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1" w:type="pct"/>
            <w:vMerge w:val="continue"/>
            <w:vAlign w:val="center"/>
          </w:tcPr>
          <w:p>
            <w:pPr>
              <w:adjustRightInd w:val="0"/>
              <w:snapToGrid w:val="0"/>
              <w:spacing w:after="0" w:line="240" w:lineRule="auto"/>
              <w:rPr>
                <w:rFonts w:hint="eastAsia" w:ascii="仿宋" w:hAnsi="仿宋" w:eastAsia="仿宋"/>
                <w:color w:val="000000"/>
                <w:szCs w:val="21"/>
              </w:rPr>
            </w:pPr>
          </w:p>
        </w:tc>
        <w:tc>
          <w:tcPr>
            <w:tcW w:w="709" w:type="pct"/>
            <w:vAlign w:val="center"/>
          </w:tcPr>
          <w:p>
            <w:pPr>
              <w:adjustRightInd w:val="0"/>
              <w:snapToGrid w:val="0"/>
              <w:spacing w:after="0" w:line="240" w:lineRule="auto"/>
              <w:rPr>
                <w:rFonts w:hint="eastAsia" w:ascii="仿宋" w:hAnsi="仿宋" w:eastAsia="仿宋"/>
                <w:color w:val="000000"/>
                <w:szCs w:val="21"/>
              </w:rPr>
            </w:pPr>
            <w:r>
              <w:rPr>
                <w:rFonts w:ascii="仿宋" w:hAnsi="仿宋" w:eastAsia="仿宋"/>
                <w:color w:val="000000"/>
                <w:szCs w:val="21"/>
              </w:rPr>
              <w:t>收益性</w:t>
            </w:r>
          </w:p>
        </w:tc>
        <w:tc>
          <w:tcPr>
            <w:tcW w:w="2179" w:type="pct"/>
            <w:vAlign w:val="center"/>
          </w:tcPr>
          <w:p>
            <w:pPr>
              <w:adjustRightInd w:val="0"/>
              <w:snapToGrid w:val="0"/>
              <w:spacing w:after="0" w:line="240" w:lineRule="auto"/>
              <w:rPr>
                <w:rFonts w:hint="eastAsia" w:ascii="仿宋" w:hAnsi="仿宋" w:eastAsia="仿宋"/>
                <w:color w:val="000000"/>
                <w:szCs w:val="21"/>
              </w:rPr>
            </w:pPr>
            <w:r>
              <w:rPr>
                <w:rFonts w:ascii="仿宋" w:hAnsi="仿宋" w:eastAsia="仿宋"/>
                <w:color w:val="000000"/>
                <w:szCs w:val="21"/>
              </w:rPr>
              <w:t>是否有明显经济效益</w:t>
            </w:r>
          </w:p>
        </w:tc>
        <w:tc>
          <w:tcPr>
            <w:tcW w:w="30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6</w:t>
            </w:r>
          </w:p>
        </w:tc>
        <w:tc>
          <w:tcPr>
            <w:tcW w:w="307" w:type="pct"/>
            <w:vMerge w:val="continue"/>
            <w:vAlign w:val="center"/>
          </w:tcPr>
          <w:p>
            <w:pPr>
              <w:adjustRightInd w:val="0"/>
              <w:snapToGrid w:val="0"/>
              <w:spacing w:after="0" w:line="240" w:lineRule="auto"/>
              <w:jc w:val="center"/>
              <w:rPr>
                <w:rFonts w:hint="eastAsia" w:ascii="仿宋" w:hAnsi="仿宋" w:eastAsia="仿宋"/>
                <w:color w:val="000000"/>
                <w:szCs w:val="21"/>
              </w:rPr>
            </w:pPr>
          </w:p>
        </w:tc>
        <w:tc>
          <w:tcPr>
            <w:tcW w:w="247" w:type="pct"/>
            <w:vAlign w:val="center"/>
          </w:tcPr>
          <w:p>
            <w:pPr>
              <w:adjustRightInd w:val="0"/>
              <w:snapToGrid w:val="0"/>
              <w:spacing w:after="0" w:line="240" w:lineRule="auto"/>
              <w:jc w:val="center"/>
              <w:rPr>
                <w:rFonts w:hint="eastAsia" w:ascii="仿宋" w:hAnsi="仿宋" w:eastAsia="仿宋"/>
                <w:color w:val="000000"/>
                <w:szCs w:val="21"/>
              </w:rPr>
            </w:pPr>
            <w:r>
              <w:rPr>
                <w:rFonts w:hint="eastAsia" w:ascii="仿宋" w:hAnsi="仿宋" w:eastAsia="仿宋"/>
                <w:color w:val="000000"/>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1" w:type="pct"/>
            <w:vMerge w:val="restart"/>
            <w:vAlign w:val="center"/>
          </w:tcPr>
          <w:p>
            <w:pPr>
              <w:adjustRightInd w:val="0"/>
              <w:snapToGrid w:val="0"/>
              <w:spacing w:after="0" w:line="240" w:lineRule="auto"/>
              <w:rPr>
                <w:rFonts w:hint="eastAsia" w:ascii="仿宋" w:hAnsi="仿宋" w:eastAsia="仿宋"/>
                <w:color w:val="000000"/>
                <w:szCs w:val="21"/>
              </w:rPr>
            </w:pPr>
            <w:r>
              <w:rPr>
                <w:rFonts w:ascii="仿宋" w:hAnsi="仿宋" w:eastAsia="仿宋"/>
                <w:color w:val="000000"/>
                <w:szCs w:val="21"/>
              </w:rPr>
              <w:t>项目建设投资合规性与项目成熟度</w:t>
            </w:r>
          </w:p>
        </w:tc>
        <w:tc>
          <w:tcPr>
            <w:tcW w:w="709" w:type="pct"/>
            <w:vMerge w:val="restart"/>
            <w:vAlign w:val="center"/>
          </w:tcPr>
          <w:p>
            <w:pPr>
              <w:adjustRightInd w:val="0"/>
              <w:snapToGrid w:val="0"/>
              <w:spacing w:after="0" w:line="240" w:lineRule="auto"/>
              <w:rPr>
                <w:rFonts w:hint="eastAsia" w:ascii="仿宋" w:hAnsi="仿宋" w:eastAsia="仿宋"/>
                <w:color w:val="000000"/>
                <w:szCs w:val="21"/>
              </w:rPr>
            </w:pPr>
            <w:r>
              <w:rPr>
                <w:rFonts w:ascii="仿宋" w:hAnsi="仿宋" w:eastAsia="仿宋"/>
                <w:color w:val="000000"/>
                <w:szCs w:val="21"/>
              </w:rPr>
              <w:t>投资合规性和可行性</w:t>
            </w:r>
          </w:p>
        </w:tc>
        <w:tc>
          <w:tcPr>
            <w:tcW w:w="2179" w:type="pct"/>
            <w:vAlign w:val="center"/>
          </w:tcPr>
          <w:p>
            <w:pPr>
              <w:adjustRightInd w:val="0"/>
              <w:snapToGrid w:val="0"/>
              <w:spacing w:after="0" w:line="240" w:lineRule="auto"/>
              <w:rPr>
                <w:rFonts w:hint="eastAsia" w:ascii="仿宋" w:hAnsi="仿宋" w:eastAsia="仿宋"/>
                <w:color w:val="000000"/>
                <w:szCs w:val="21"/>
              </w:rPr>
            </w:pPr>
            <w:r>
              <w:rPr>
                <w:rFonts w:hint="eastAsia" w:ascii="仿宋" w:hAnsi="仿宋" w:eastAsia="仿宋" w:cs="宋体"/>
                <w:color w:val="000000"/>
                <w:szCs w:val="21"/>
              </w:rPr>
              <w:t>①</w:t>
            </w:r>
            <w:r>
              <w:rPr>
                <w:rFonts w:ascii="仿宋" w:hAnsi="仿宋" w:eastAsia="仿宋"/>
                <w:color w:val="000000"/>
                <w:szCs w:val="21"/>
              </w:rPr>
              <w:t>资金来源渠道是否符合相关规定、资金筹措程序是否科学规范</w:t>
            </w:r>
          </w:p>
        </w:tc>
        <w:tc>
          <w:tcPr>
            <w:tcW w:w="30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2</w:t>
            </w:r>
          </w:p>
        </w:tc>
        <w:tc>
          <w:tcPr>
            <w:tcW w:w="307" w:type="pct"/>
            <w:vMerge w:val="restar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12</w:t>
            </w:r>
          </w:p>
        </w:tc>
        <w:tc>
          <w:tcPr>
            <w:tcW w:w="247" w:type="pct"/>
            <w:vAlign w:val="center"/>
          </w:tcPr>
          <w:p>
            <w:pPr>
              <w:adjustRightInd w:val="0"/>
              <w:snapToGrid w:val="0"/>
              <w:spacing w:after="0" w:line="240" w:lineRule="auto"/>
              <w:jc w:val="center"/>
              <w:rPr>
                <w:rFonts w:hint="eastAsia" w:ascii="仿宋" w:hAnsi="仿宋" w:eastAsia="仿宋"/>
                <w:color w:val="000000"/>
                <w:szCs w:val="21"/>
              </w:rPr>
            </w:pPr>
            <w:r>
              <w:rPr>
                <w:rFonts w:hint="eastAsia" w:ascii="仿宋" w:hAnsi="仿宋" w:eastAsia="仿宋"/>
                <w:color w:val="000000"/>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1" w:type="pct"/>
            <w:vMerge w:val="continue"/>
            <w:vAlign w:val="center"/>
          </w:tcPr>
          <w:p>
            <w:pPr>
              <w:adjustRightInd w:val="0"/>
              <w:snapToGrid w:val="0"/>
              <w:spacing w:after="0" w:line="240" w:lineRule="auto"/>
              <w:rPr>
                <w:rFonts w:hint="eastAsia" w:ascii="仿宋" w:hAnsi="仿宋" w:eastAsia="仿宋"/>
                <w:color w:val="000000"/>
                <w:szCs w:val="21"/>
              </w:rPr>
            </w:pPr>
          </w:p>
        </w:tc>
        <w:tc>
          <w:tcPr>
            <w:tcW w:w="709" w:type="pct"/>
            <w:vMerge w:val="continue"/>
            <w:vAlign w:val="center"/>
          </w:tcPr>
          <w:p>
            <w:pPr>
              <w:adjustRightInd w:val="0"/>
              <w:snapToGrid w:val="0"/>
              <w:spacing w:after="0" w:line="240" w:lineRule="auto"/>
              <w:rPr>
                <w:rFonts w:hint="eastAsia" w:ascii="仿宋" w:hAnsi="仿宋" w:eastAsia="仿宋"/>
                <w:color w:val="000000"/>
                <w:szCs w:val="21"/>
              </w:rPr>
            </w:pPr>
          </w:p>
        </w:tc>
        <w:tc>
          <w:tcPr>
            <w:tcW w:w="2179" w:type="pct"/>
            <w:vAlign w:val="center"/>
          </w:tcPr>
          <w:p>
            <w:pPr>
              <w:adjustRightInd w:val="0"/>
              <w:snapToGrid w:val="0"/>
              <w:spacing w:after="0" w:line="240" w:lineRule="auto"/>
              <w:rPr>
                <w:rFonts w:hint="eastAsia" w:ascii="仿宋" w:hAnsi="仿宋" w:eastAsia="仿宋"/>
                <w:color w:val="000000"/>
                <w:szCs w:val="21"/>
              </w:rPr>
            </w:pPr>
            <w:r>
              <w:rPr>
                <w:rFonts w:hint="eastAsia" w:ascii="仿宋" w:hAnsi="仿宋" w:eastAsia="仿宋" w:cs="宋体"/>
                <w:color w:val="000000"/>
                <w:szCs w:val="21"/>
              </w:rPr>
              <w:t>②</w:t>
            </w:r>
            <w:r>
              <w:rPr>
                <w:rFonts w:ascii="仿宋" w:hAnsi="仿宋" w:eastAsia="仿宋"/>
                <w:color w:val="000000"/>
                <w:szCs w:val="21"/>
              </w:rPr>
              <w:t>事权、支出责任和财力是否匹配</w:t>
            </w:r>
          </w:p>
        </w:tc>
        <w:tc>
          <w:tcPr>
            <w:tcW w:w="30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2</w:t>
            </w:r>
          </w:p>
        </w:tc>
        <w:tc>
          <w:tcPr>
            <w:tcW w:w="307" w:type="pct"/>
            <w:vMerge w:val="continue"/>
            <w:vAlign w:val="center"/>
          </w:tcPr>
          <w:p>
            <w:pPr>
              <w:adjustRightInd w:val="0"/>
              <w:snapToGrid w:val="0"/>
              <w:spacing w:after="0" w:line="240" w:lineRule="auto"/>
              <w:jc w:val="center"/>
              <w:rPr>
                <w:rFonts w:hint="eastAsia" w:ascii="仿宋" w:hAnsi="仿宋" w:eastAsia="仿宋"/>
                <w:color w:val="000000"/>
                <w:szCs w:val="21"/>
              </w:rPr>
            </w:pPr>
          </w:p>
        </w:tc>
        <w:tc>
          <w:tcPr>
            <w:tcW w:w="247" w:type="pct"/>
            <w:vAlign w:val="center"/>
          </w:tcPr>
          <w:p>
            <w:pPr>
              <w:adjustRightInd w:val="0"/>
              <w:snapToGrid w:val="0"/>
              <w:spacing w:after="0" w:line="240" w:lineRule="auto"/>
              <w:jc w:val="center"/>
              <w:rPr>
                <w:rFonts w:hint="eastAsia" w:ascii="仿宋" w:hAnsi="仿宋" w:eastAsia="仿宋"/>
                <w:color w:val="000000"/>
                <w:szCs w:val="21"/>
              </w:rPr>
            </w:pPr>
            <w:r>
              <w:rPr>
                <w:rFonts w:hint="eastAsia" w:ascii="仿宋" w:hAnsi="仿宋" w:eastAsia="仿宋"/>
                <w:color w:val="000000"/>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1" w:type="pct"/>
            <w:vMerge w:val="continue"/>
            <w:vAlign w:val="center"/>
          </w:tcPr>
          <w:p>
            <w:pPr>
              <w:adjustRightInd w:val="0"/>
              <w:snapToGrid w:val="0"/>
              <w:spacing w:after="0" w:line="240" w:lineRule="auto"/>
              <w:rPr>
                <w:rFonts w:hint="eastAsia" w:ascii="仿宋" w:hAnsi="仿宋" w:eastAsia="仿宋"/>
                <w:color w:val="000000"/>
                <w:szCs w:val="21"/>
              </w:rPr>
            </w:pPr>
          </w:p>
        </w:tc>
        <w:tc>
          <w:tcPr>
            <w:tcW w:w="709" w:type="pct"/>
            <w:vMerge w:val="restart"/>
            <w:vAlign w:val="center"/>
          </w:tcPr>
          <w:p>
            <w:pPr>
              <w:adjustRightInd w:val="0"/>
              <w:snapToGrid w:val="0"/>
              <w:spacing w:after="0" w:line="240" w:lineRule="auto"/>
              <w:rPr>
                <w:rFonts w:hint="eastAsia" w:ascii="仿宋" w:hAnsi="仿宋" w:eastAsia="仿宋"/>
                <w:color w:val="000000"/>
                <w:szCs w:val="21"/>
              </w:rPr>
            </w:pPr>
            <w:r>
              <w:rPr>
                <w:rFonts w:ascii="仿宋" w:hAnsi="仿宋" w:eastAsia="仿宋"/>
                <w:color w:val="000000"/>
                <w:szCs w:val="21"/>
              </w:rPr>
              <w:t>项目成熟度</w:t>
            </w:r>
          </w:p>
        </w:tc>
        <w:tc>
          <w:tcPr>
            <w:tcW w:w="2179" w:type="pct"/>
            <w:vAlign w:val="center"/>
          </w:tcPr>
          <w:p>
            <w:pPr>
              <w:adjustRightInd w:val="0"/>
              <w:snapToGrid w:val="0"/>
              <w:spacing w:after="0" w:line="240" w:lineRule="auto"/>
              <w:rPr>
                <w:rFonts w:hint="eastAsia" w:ascii="仿宋" w:hAnsi="仿宋" w:eastAsia="仿宋"/>
                <w:color w:val="000000"/>
                <w:szCs w:val="21"/>
              </w:rPr>
            </w:pPr>
            <w:r>
              <w:rPr>
                <w:rFonts w:hint="eastAsia" w:ascii="仿宋" w:hAnsi="仿宋" w:eastAsia="仿宋" w:cs="宋体"/>
                <w:color w:val="000000"/>
                <w:szCs w:val="21"/>
              </w:rPr>
              <w:t>①</w:t>
            </w:r>
            <w:r>
              <w:rPr>
                <w:rFonts w:ascii="仿宋" w:hAnsi="仿宋" w:eastAsia="仿宋"/>
                <w:color w:val="000000"/>
                <w:szCs w:val="21"/>
              </w:rPr>
              <w:t>是否能在债券资金使用年度形成实物工作量</w:t>
            </w:r>
          </w:p>
        </w:tc>
        <w:tc>
          <w:tcPr>
            <w:tcW w:w="30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6</w:t>
            </w:r>
          </w:p>
        </w:tc>
        <w:tc>
          <w:tcPr>
            <w:tcW w:w="307" w:type="pct"/>
            <w:vMerge w:val="continue"/>
            <w:vAlign w:val="center"/>
          </w:tcPr>
          <w:p>
            <w:pPr>
              <w:adjustRightInd w:val="0"/>
              <w:snapToGrid w:val="0"/>
              <w:spacing w:after="0" w:line="240" w:lineRule="auto"/>
              <w:jc w:val="center"/>
              <w:rPr>
                <w:rFonts w:hint="eastAsia" w:ascii="仿宋" w:hAnsi="仿宋" w:eastAsia="仿宋"/>
                <w:color w:val="000000"/>
                <w:szCs w:val="21"/>
              </w:rPr>
            </w:pPr>
          </w:p>
        </w:tc>
        <w:tc>
          <w:tcPr>
            <w:tcW w:w="247" w:type="pct"/>
            <w:vAlign w:val="center"/>
          </w:tcPr>
          <w:p>
            <w:pPr>
              <w:adjustRightInd w:val="0"/>
              <w:snapToGrid w:val="0"/>
              <w:spacing w:after="0" w:line="240" w:lineRule="auto"/>
              <w:jc w:val="center"/>
              <w:rPr>
                <w:rFonts w:hint="eastAsia" w:ascii="仿宋" w:hAnsi="仿宋" w:eastAsia="仿宋"/>
                <w:color w:val="000000"/>
                <w:szCs w:val="21"/>
              </w:rPr>
            </w:pPr>
            <w:r>
              <w:rPr>
                <w:rFonts w:hint="eastAsia" w:ascii="仿宋" w:hAnsi="仿宋" w:eastAsia="仿宋"/>
                <w:color w:val="000000"/>
                <w:szCs w:val="21"/>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1" w:type="pct"/>
            <w:vMerge w:val="continue"/>
            <w:vAlign w:val="center"/>
          </w:tcPr>
          <w:p>
            <w:pPr>
              <w:adjustRightInd w:val="0"/>
              <w:snapToGrid w:val="0"/>
              <w:spacing w:after="0" w:line="240" w:lineRule="auto"/>
              <w:rPr>
                <w:rFonts w:hint="eastAsia" w:ascii="仿宋" w:hAnsi="仿宋" w:eastAsia="仿宋"/>
                <w:color w:val="000000"/>
                <w:szCs w:val="21"/>
              </w:rPr>
            </w:pPr>
          </w:p>
        </w:tc>
        <w:tc>
          <w:tcPr>
            <w:tcW w:w="709" w:type="pct"/>
            <w:vMerge w:val="continue"/>
            <w:vAlign w:val="center"/>
          </w:tcPr>
          <w:p>
            <w:pPr>
              <w:adjustRightInd w:val="0"/>
              <w:snapToGrid w:val="0"/>
              <w:spacing w:after="0" w:line="240" w:lineRule="auto"/>
              <w:rPr>
                <w:rFonts w:hint="eastAsia" w:ascii="仿宋" w:hAnsi="仿宋" w:eastAsia="仿宋"/>
                <w:color w:val="000000"/>
                <w:szCs w:val="21"/>
              </w:rPr>
            </w:pPr>
          </w:p>
        </w:tc>
        <w:tc>
          <w:tcPr>
            <w:tcW w:w="2179" w:type="pct"/>
            <w:vAlign w:val="center"/>
          </w:tcPr>
          <w:p>
            <w:pPr>
              <w:adjustRightInd w:val="0"/>
              <w:snapToGrid w:val="0"/>
              <w:spacing w:after="0" w:line="240" w:lineRule="auto"/>
              <w:rPr>
                <w:rFonts w:hint="eastAsia" w:ascii="仿宋" w:hAnsi="仿宋" w:eastAsia="仿宋"/>
                <w:color w:val="000000"/>
                <w:szCs w:val="21"/>
              </w:rPr>
            </w:pPr>
            <w:r>
              <w:rPr>
                <w:rFonts w:hint="eastAsia" w:ascii="仿宋" w:hAnsi="仿宋" w:eastAsia="仿宋" w:cs="宋体"/>
                <w:color w:val="000000"/>
                <w:szCs w:val="21"/>
              </w:rPr>
              <w:t>②</w:t>
            </w:r>
            <w:r>
              <w:rPr>
                <w:rFonts w:ascii="仿宋" w:hAnsi="仿宋" w:eastAsia="仿宋"/>
                <w:color w:val="000000"/>
                <w:szCs w:val="21"/>
              </w:rPr>
              <w:t>有关的基础设施条件是否能够有效保障</w:t>
            </w:r>
          </w:p>
        </w:tc>
        <w:tc>
          <w:tcPr>
            <w:tcW w:w="30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2</w:t>
            </w:r>
          </w:p>
        </w:tc>
        <w:tc>
          <w:tcPr>
            <w:tcW w:w="307" w:type="pct"/>
            <w:vMerge w:val="continue"/>
            <w:vAlign w:val="center"/>
          </w:tcPr>
          <w:p>
            <w:pPr>
              <w:adjustRightInd w:val="0"/>
              <w:snapToGrid w:val="0"/>
              <w:spacing w:after="0" w:line="240" w:lineRule="auto"/>
              <w:jc w:val="center"/>
              <w:rPr>
                <w:rFonts w:hint="eastAsia" w:ascii="仿宋" w:hAnsi="仿宋" w:eastAsia="仿宋"/>
                <w:color w:val="000000"/>
                <w:szCs w:val="21"/>
              </w:rPr>
            </w:pPr>
          </w:p>
        </w:tc>
        <w:tc>
          <w:tcPr>
            <w:tcW w:w="247" w:type="pct"/>
            <w:vAlign w:val="center"/>
          </w:tcPr>
          <w:p>
            <w:pPr>
              <w:adjustRightInd w:val="0"/>
              <w:snapToGrid w:val="0"/>
              <w:spacing w:after="0" w:line="240" w:lineRule="auto"/>
              <w:jc w:val="center"/>
              <w:rPr>
                <w:rFonts w:hint="eastAsia" w:ascii="仿宋" w:hAnsi="仿宋" w:eastAsia="仿宋"/>
                <w:color w:val="000000"/>
                <w:szCs w:val="21"/>
              </w:rPr>
            </w:pPr>
            <w:r>
              <w:rPr>
                <w:rFonts w:hint="eastAsia" w:ascii="仿宋" w:hAnsi="仿宋" w:eastAsia="仿宋"/>
                <w:color w:val="000000"/>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1" w:type="pct"/>
            <w:vMerge w:val="restart"/>
            <w:vAlign w:val="center"/>
          </w:tcPr>
          <w:p>
            <w:pPr>
              <w:adjustRightInd w:val="0"/>
              <w:snapToGrid w:val="0"/>
              <w:spacing w:after="0" w:line="240" w:lineRule="auto"/>
              <w:rPr>
                <w:rFonts w:hint="eastAsia" w:ascii="仿宋" w:hAnsi="仿宋" w:eastAsia="仿宋"/>
                <w:color w:val="000000"/>
                <w:szCs w:val="21"/>
              </w:rPr>
            </w:pPr>
            <w:r>
              <w:rPr>
                <w:rFonts w:ascii="仿宋" w:hAnsi="仿宋" w:eastAsia="仿宋"/>
                <w:color w:val="000000"/>
                <w:szCs w:val="21"/>
              </w:rPr>
              <w:t>项目资金来源和到位可行性</w:t>
            </w:r>
          </w:p>
        </w:tc>
        <w:tc>
          <w:tcPr>
            <w:tcW w:w="709" w:type="pct"/>
            <w:vMerge w:val="restart"/>
            <w:vAlign w:val="center"/>
          </w:tcPr>
          <w:p>
            <w:pPr>
              <w:adjustRightInd w:val="0"/>
              <w:snapToGrid w:val="0"/>
              <w:spacing w:after="0" w:line="240" w:lineRule="auto"/>
              <w:rPr>
                <w:rFonts w:hint="eastAsia" w:ascii="仿宋" w:hAnsi="仿宋" w:eastAsia="仿宋"/>
                <w:color w:val="000000"/>
                <w:szCs w:val="21"/>
              </w:rPr>
            </w:pPr>
            <w:r>
              <w:rPr>
                <w:rFonts w:ascii="仿宋" w:hAnsi="仿宋" w:eastAsia="仿宋"/>
                <w:color w:val="000000"/>
                <w:szCs w:val="21"/>
              </w:rPr>
              <w:t>资金支持合理性</w:t>
            </w:r>
          </w:p>
        </w:tc>
        <w:tc>
          <w:tcPr>
            <w:tcW w:w="2179" w:type="pct"/>
            <w:vAlign w:val="center"/>
          </w:tcPr>
          <w:p>
            <w:pPr>
              <w:adjustRightInd w:val="0"/>
              <w:snapToGrid w:val="0"/>
              <w:spacing w:after="0" w:line="240" w:lineRule="auto"/>
              <w:rPr>
                <w:rFonts w:hint="eastAsia" w:ascii="仿宋" w:hAnsi="仿宋" w:eastAsia="仿宋"/>
                <w:color w:val="000000"/>
                <w:szCs w:val="21"/>
              </w:rPr>
            </w:pPr>
            <w:r>
              <w:rPr>
                <w:rFonts w:hint="eastAsia" w:ascii="仿宋" w:hAnsi="仿宋" w:eastAsia="仿宋" w:cs="宋体"/>
                <w:color w:val="000000"/>
                <w:szCs w:val="21"/>
              </w:rPr>
              <w:t>①</w:t>
            </w:r>
            <w:r>
              <w:rPr>
                <w:rFonts w:ascii="仿宋" w:hAnsi="仿宋" w:eastAsia="仿宋"/>
                <w:color w:val="000000"/>
                <w:szCs w:val="21"/>
              </w:rPr>
              <w:t>财政部门和其他部门是否有其他资金重复投入</w:t>
            </w:r>
          </w:p>
        </w:tc>
        <w:tc>
          <w:tcPr>
            <w:tcW w:w="30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5</w:t>
            </w:r>
          </w:p>
        </w:tc>
        <w:tc>
          <w:tcPr>
            <w:tcW w:w="307" w:type="pct"/>
            <w:vMerge w:val="restar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10</w:t>
            </w:r>
          </w:p>
        </w:tc>
        <w:tc>
          <w:tcPr>
            <w:tcW w:w="247" w:type="pct"/>
            <w:vAlign w:val="center"/>
          </w:tcPr>
          <w:p>
            <w:pPr>
              <w:adjustRightInd w:val="0"/>
              <w:snapToGrid w:val="0"/>
              <w:spacing w:after="0" w:line="240" w:lineRule="auto"/>
              <w:jc w:val="center"/>
              <w:rPr>
                <w:rFonts w:hint="eastAsia" w:ascii="仿宋" w:hAnsi="仿宋" w:eastAsia="仿宋"/>
                <w:color w:val="000000"/>
                <w:szCs w:val="21"/>
              </w:rPr>
            </w:pPr>
            <w:r>
              <w:rPr>
                <w:rFonts w:hint="eastAsia" w:ascii="仿宋" w:hAnsi="仿宋" w:eastAsia="仿宋"/>
                <w:color w:val="000000"/>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1" w:type="pct"/>
            <w:vMerge w:val="continue"/>
            <w:vAlign w:val="center"/>
          </w:tcPr>
          <w:p>
            <w:pPr>
              <w:adjustRightInd w:val="0"/>
              <w:snapToGrid w:val="0"/>
              <w:spacing w:after="0" w:line="240" w:lineRule="auto"/>
              <w:rPr>
                <w:rFonts w:hint="eastAsia" w:ascii="仿宋" w:hAnsi="仿宋" w:eastAsia="仿宋"/>
                <w:color w:val="000000"/>
                <w:szCs w:val="21"/>
              </w:rPr>
            </w:pPr>
          </w:p>
        </w:tc>
        <w:tc>
          <w:tcPr>
            <w:tcW w:w="709" w:type="pct"/>
            <w:vMerge w:val="continue"/>
            <w:vAlign w:val="center"/>
          </w:tcPr>
          <w:p>
            <w:pPr>
              <w:adjustRightInd w:val="0"/>
              <w:snapToGrid w:val="0"/>
              <w:spacing w:after="0" w:line="240" w:lineRule="auto"/>
              <w:rPr>
                <w:rFonts w:hint="eastAsia" w:ascii="仿宋" w:hAnsi="仿宋" w:eastAsia="仿宋"/>
                <w:color w:val="000000"/>
                <w:szCs w:val="21"/>
              </w:rPr>
            </w:pPr>
          </w:p>
        </w:tc>
        <w:tc>
          <w:tcPr>
            <w:tcW w:w="2179" w:type="pct"/>
            <w:vAlign w:val="center"/>
          </w:tcPr>
          <w:p>
            <w:pPr>
              <w:adjustRightInd w:val="0"/>
              <w:snapToGrid w:val="0"/>
              <w:spacing w:after="0" w:line="240" w:lineRule="auto"/>
              <w:rPr>
                <w:rFonts w:hint="eastAsia" w:ascii="仿宋" w:hAnsi="仿宋" w:eastAsia="仿宋"/>
                <w:color w:val="000000"/>
                <w:szCs w:val="21"/>
              </w:rPr>
            </w:pPr>
            <w:r>
              <w:rPr>
                <w:rFonts w:hint="eastAsia" w:ascii="仿宋" w:hAnsi="仿宋" w:eastAsia="仿宋" w:cs="宋体"/>
                <w:color w:val="000000"/>
                <w:szCs w:val="21"/>
              </w:rPr>
              <w:t>②</w:t>
            </w:r>
            <w:r>
              <w:rPr>
                <w:rFonts w:ascii="仿宋" w:hAnsi="仿宋" w:eastAsia="仿宋"/>
                <w:color w:val="000000"/>
                <w:szCs w:val="21"/>
              </w:rPr>
              <w:t>资金支持方式是否科学合理</w:t>
            </w:r>
          </w:p>
        </w:tc>
        <w:tc>
          <w:tcPr>
            <w:tcW w:w="30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2</w:t>
            </w:r>
          </w:p>
        </w:tc>
        <w:tc>
          <w:tcPr>
            <w:tcW w:w="307" w:type="pct"/>
            <w:vMerge w:val="continue"/>
            <w:vAlign w:val="center"/>
          </w:tcPr>
          <w:p>
            <w:pPr>
              <w:adjustRightInd w:val="0"/>
              <w:snapToGrid w:val="0"/>
              <w:spacing w:after="0" w:line="240" w:lineRule="auto"/>
              <w:jc w:val="center"/>
              <w:rPr>
                <w:rFonts w:hint="eastAsia" w:ascii="仿宋" w:hAnsi="仿宋" w:eastAsia="仿宋"/>
                <w:color w:val="000000"/>
                <w:szCs w:val="21"/>
              </w:rPr>
            </w:pPr>
          </w:p>
        </w:tc>
        <w:tc>
          <w:tcPr>
            <w:tcW w:w="247" w:type="pct"/>
            <w:vAlign w:val="center"/>
          </w:tcPr>
          <w:p>
            <w:pPr>
              <w:adjustRightInd w:val="0"/>
              <w:snapToGrid w:val="0"/>
              <w:spacing w:after="0" w:line="240" w:lineRule="auto"/>
              <w:jc w:val="center"/>
              <w:rPr>
                <w:rFonts w:hint="eastAsia" w:ascii="仿宋" w:hAnsi="仿宋" w:eastAsia="仿宋"/>
                <w:color w:val="000000"/>
                <w:szCs w:val="21"/>
              </w:rPr>
            </w:pPr>
            <w:r>
              <w:rPr>
                <w:rFonts w:hint="eastAsia" w:ascii="仿宋" w:hAnsi="仿宋" w:eastAsia="仿宋"/>
                <w:color w:val="000000"/>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1" w:type="pct"/>
            <w:vMerge w:val="continue"/>
            <w:vAlign w:val="center"/>
          </w:tcPr>
          <w:p>
            <w:pPr>
              <w:adjustRightInd w:val="0"/>
              <w:snapToGrid w:val="0"/>
              <w:spacing w:after="0" w:line="240" w:lineRule="auto"/>
              <w:rPr>
                <w:rFonts w:hint="eastAsia" w:ascii="仿宋" w:hAnsi="仿宋" w:eastAsia="仿宋"/>
                <w:color w:val="000000"/>
                <w:szCs w:val="21"/>
              </w:rPr>
            </w:pPr>
          </w:p>
        </w:tc>
        <w:tc>
          <w:tcPr>
            <w:tcW w:w="709" w:type="pct"/>
            <w:vAlign w:val="center"/>
          </w:tcPr>
          <w:p>
            <w:pPr>
              <w:adjustRightInd w:val="0"/>
              <w:snapToGrid w:val="0"/>
              <w:spacing w:after="0" w:line="240" w:lineRule="auto"/>
              <w:rPr>
                <w:rFonts w:hint="eastAsia" w:ascii="仿宋" w:hAnsi="仿宋" w:eastAsia="仿宋"/>
                <w:color w:val="000000"/>
                <w:szCs w:val="21"/>
              </w:rPr>
            </w:pPr>
            <w:r>
              <w:rPr>
                <w:rFonts w:ascii="仿宋" w:hAnsi="仿宋" w:eastAsia="仿宋"/>
                <w:color w:val="000000"/>
                <w:szCs w:val="21"/>
              </w:rPr>
              <w:t>筹资风险可控性</w:t>
            </w:r>
          </w:p>
        </w:tc>
        <w:tc>
          <w:tcPr>
            <w:tcW w:w="2179" w:type="pct"/>
            <w:vAlign w:val="center"/>
          </w:tcPr>
          <w:p>
            <w:pPr>
              <w:adjustRightInd w:val="0"/>
              <w:snapToGrid w:val="0"/>
              <w:spacing w:after="0" w:line="240" w:lineRule="auto"/>
              <w:rPr>
                <w:rFonts w:hint="eastAsia" w:ascii="仿宋" w:hAnsi="仿宋" w:eastAsia="仿宋"/>
                <w:color w:val="000000"/>
                <w:szCs w:val="21"/>
              </w:rPr>
            </w:pPr>
            <w:r>
              <w:rPr>
                <w:rFonts w:ascii="仿宋" w:hAnsi="仿宋" w:eastAsia="仿宋"/>
                <w:color w:val="000000"/>
                <w:szCs w:val="21"/>
              </w:rPr>
              <w:t>筹资风险是否可控，筹措资金能否及时到位</w:t>
            </w:r>
          </w:p>
        </w:tc>
        <w:tc>
          <w:tcPr>
            <w:tcW w:w="30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3</w:t>
            </w:r>
          </w:p>
        </w:tc>
        <w:tc>
          <w:tcPr>
            <w:tcW w:w="307" w:type="pct"/>
            <w:vMerge w:val="continue"/>
            <w:vAlign w:val="center"/>
          </w:tcPr>
          <w:p>
            <w:pPr>
              <w:adjustRightInd w:val="0"/>
              <w:snapToGrid w:val="0"/>
              <w:spacing w:after="0" w:line="240" w:lineRule="auto"/>
              <w:jc w:val="center"/>
              <w:rPr>
                <w:rFonts w:hint="eastAsia" w:ascii="仿宋" w:hAnsi="仿宋" w:eastAsia="仿宋"/>
                <w:color w:val="000000"/>
                <w:szCs w:val="21"/>
              </w:rPr>
            </w:pPr>
          </w:p>
        </w:tc>
        <w:tc>
          <w:tcPr>
            <w:tcW w:w="247" w:type="pct"/>
            <w:vAlign w:val="center"/>
          </w:tcPr>
          <w:p>
            <w:pPr>
              <w:adjustRightInd w:val="0"/>
              <w:snapToGrid w:val="0"/>
              <w:spacing w:after="0" w:line="240" w:lineRule="auto"/>
              <w:jc w:val="center"/>
              <w:rPr>
                <w:rFonts w:hint="eastAsia" w:ascii="仿宋" w:hAnsi="仿宋" w:eastAsia="仿宋"/>
                <w:color w:val="000000"/>
                <w:szCs w:val="21"/>
              </w:rPr>
            </w:pPr>
            <w:r>
              <w:rPr>
                <w:rFonts w:hint="eastAsia" w:ascii="仿宋" w:hAnsi="仿宋" w:eastAsia="仿宋"/>
                <w:color w:val="000000"/>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1" w:type="pct"/>
            <w:vMerge w:val="restart"/>
            <w:vAlign w:val="center"/>
          </w:tcPr>
          <w:p>
            <w:pPr>
              <w:adjustRightInd w:val="0"/>
              <w:snapToGrid w:val="0"/>
              <w:spacing w:after="0" w:line="240" w:lineRule="auto"/>
              <w:rPr>
                <w:rFonts w:hint="eastAsia" w:ascii="仿宋" w:hAnsi="仿宋" w:eastAsia="仿宋"/>
                <w:color w:val="000000"/>
                <w:szCs w:val="21"/>
              </w:rPr>
            </w:pPr>
            <w:r>
              <w:rPr>
                <w:rFonts w:ascii="仿宋" w:hAnsi="仿宋" w:eastAsia="仿宋"/>
                <w:color w:val="000000"/>
                <w:szCs w:val="21"/>
              </w:rPr>
              <w:t>项目收入、成本、收益预测合理性</w:t>
            </w:r>
          </w:p>
        </w:tc>
        <w:tc>
          <w:tcPr>
            <w:tcW w:w="709" w:type="pct"/>
            <w:vMerge w:val="restart"/>
            <w:vAlign w:val="center"/>
          </w:tcPr>
          <w:p>
            <w:pPr>
              <w:adjustRightInd w:val="0"/>
              <w:snapToGrid w:val="0"/>
              <w:spacing w:after="0" w:line="240" w:lineRule="auto"/>
              <w:rPr>
                <w:rFonts w:hint="eastAsia" w:ascii="仿宋" w:hAnsi="仿宋" w:eastAsia="仿宋"/>
                <w:color w:val="000000"/>
                <w:szCs w:val="21"/>
              </w:rPr>
            </w:pPr>
            <w:r>
              <w:rPr>
                <w:rFonts w:ascii="仿宋" w:hAnsi="仿宋" w:eastAsia="仿宋"/>
                <w:color w:val="000000"/>
                <w:szCs w:val="21"/>
              </w:rPr>
              <w:t>收入实现可能性</w:t>
            </w:r>
          </w:p>
        </w:tc>
        <w:tc>
          <w:tcPr>
            <w:tcW w:w="2179" w:type="pct"/>
            <w:vAlign w:val="center"/>
          </w:tcPr>
          <w:p>
            <w:pPr>
              <w:adjustRightInd w:val="0"/>
              <w:snapToGrid w:val="0"/>
              <w:spacing w:after="0" w:line="240" w:lineRule="auto"/>
              <w:rPr>
                <w:rFonts w:hint="eastAsia" w:ascii="仿宋" w:hAnsi="仿宋" w:eastAsia="仿宋"/>
                <w:color w:val="000000"/>
                <w:szCs w:val="21"/>
              </w:rPr>
            </w:pPr>
            <w:r>
              <w:rPr>
                <w:rFonts w:hint="eastAsia" w:ascii="仿宋" w:hAnsi="仿宋" w:eastAsia="仿宋" w:cs="宋体"/>
                <w:color w:val="000000"/>
                <w:szCs w:val="21"/>
              </w:rPr>
              <w:t>①</w:t>
            </w:r>
            <w:r>
              <w:rPr>
                <w:rFonts w:ascii="仿宋" w:hAnsi="仿宋" w:eastAsia="仿宋"/>
                <w:color w:val="000000"/>
                <w:szCs w:val="21"/>
              </w:rPr>
              <w:t>项目收益测算是否充分</w:t>
            </w:r>
          </w:p>
        </w:tc>
        <w:tc>
          <w:tcPr>
            <w:tcW w:w="30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6</w:t>
            </w:r>
          </w:p>
        </w:tc>
        <w:tc>
          <w:tcPr>
            <w:tcW w:w="307" w:type="pct"/>
            <w:vMerge w:val="restar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21</w:t>
            </w:r>
          </w:p>
        </w:tc>
        <w:tc>
          <w:tcPr>
            <w:tcW w:w="247" w:type="pct"/>
            <w:vAlign w:val="center"/>
          </w:tcPr>
          <w:p>
            <w:pPr>
              <w:adjustRightInd w:val="0"/>
              <w:snapToGrid w:val="0"/>
              <w:spacing w:after="0" w:line="240" w:lineRule="auto"/>
              <w:jc w:val="center"/>
              <w:rPr>
                <w:rFonts w:hint="eastAsia" w:ascii="仿宋" w:hAnsi="仿宋" w:eastAsia="仿宋"/>
                <w:color w:val="000000"/>
                <w:szCs w:val="21"/>
              </w:rPr>
            </w:pPr>
            <w:r>
              <w:rPr>
                <w:rFonts w:hint="eastAsia" w:ascii="仿宋" w:hAnsi="仿宋" w:eastAsia="仿宋"/>
                <w:color w:val="000000"/>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1" w:type="pct"/>
            <w:vMerge w:val="continue"/>
            <w:vAlign w:val="center"/>
          </w:tcPr>
          <w:p>
            <w:pPr>
              <w:adjustRightInd w:val="0"/>
              <w:snapToGrid w:val="0"/>
              <w:spacing w:after="0" w:line="240" w:lineRule="auto"/>
              <w:rPr>
                <w:rFonts w:hint="eastAsia" w:ascii="仿宋" w:hAnsi="仿宋" w:eastAsia="仿宋"/>
                <w:color w:val="000000"/>
                <w:szCs w:val="21"/>
              </w:rPr>
            </w:pPr>
          </w:p>
        </w:tc>
        <w:tc>
          <w:tcPr>
            <w:tcW w:w="709" w:type="pct"/>
            <w:vMerge w:val="continue"/>
            <w:vAlign w:val="center"/>
          </w:tcPr>
          <w:p>
            <w:pPr>
              <w:adjustRightInd w:val="0"/>
              <w:snapToGrid w:val="0"/>
              <w:spacing w:after="0" w:line="240" w:lineRule="auto"/>
              <w:rPr>
                <w:rFonts w:hint="eastAsia" w:ascii="仿宋" w:hAnsi="仿宋" w:eastAsia="仿宋"/>
                <w:color w:val="000000"/>
                <w:szCs w:val="21"/>
              </w:rPr>
            </w:pPr>
          </w:p>
        </w:tc>
        <w:tc>
          <w:tcPr>
            <w:tcW w:w="2179" w:type="pct"/>
            <w:vAlign w:val="center"/>
          </w:tcPr>
          <w:p>
            <w:pPr>
              <w:adjustRightInd w:val="0"/>
              <w:snapToGrid w:val="0"/>
              <w:spacing w:after="0" w:line="240" w:lineRule="auto"/>
              <w:rPr>
                <w:rFonts w:hint="eastAsia" w:ascii="仿宋" w:hAnsi="仿宋" w:eastAsia="仿宋"/>
                <w:color w:val="000000"/>
                <w:szCs w:val="21"/>
              </w:rPr>
            </w:pPr>
            <w:r>
              <w:rPr>
                <w:rFonts w:hint="eastAsia" w:ascii="仿宋" w:hAnsi="仿宋" w:eastAsia="仿宋" w:cs="宋体"/>
                <w:color w:val="000000"/>
                <w:szCs w:val="21"/>
              </w:rPr>
              <w:t>②</w:t>
            </w:r>
            <w:r>
              <w:rPr>
                <w:rFonts w:ascii="仿宋" w:hAnsi="仿宋" w:eastAsia="仿宋"/>
                <w:color w:val="000000"/>
                <w:szCs w:val="21"/>
              </w:rPr>
              <w:t>项目收益是否容易受到政策、市场环境等影响</w:t>
            </w:r>
          </w:p>
        </w:tc>
        <w:tc>
          <w:tcPr>
            <w:tcW w:w="30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5</w:t>
            </w:r>
          </w:p>
        </w:tc>
        <w:tc>
          <w:tcPr>
            <w:tcW w:w="307" w:type="pct"/>
            <w:vMerge w:val="continue"/>
            <w:vAlign w:val="center"/>
          </w:tcPr>
          <w:p>
            <w:pPr>
              <w:adjustRightInd w:val="0"/>
              <w:snapToGrid w:val="0"/>
              <w:spacing w:after="0" w:line="240" w:lineRule="auto"/>
              <w:jc w:val="center"/>
              <w:rPr>
                <w:rFonts w:hint="eastAsia" w:ascii="仿宋" w:hAnsi="仿宋" w:eastAsia="仿宋"/>
                <w:color w:val="000000"/>
                <w:szCs w:val="21"/>
              </w:rPr>
            </w:pPr>
          </w:p>
        </w:tc>
        <w:tc>
          <w:tcPr>
            <w:tcW w:w="247" w:type="pct"/>
            <w:vAlign w:val="center"/>
          </w:tcPr>
          <w:p>
            <w:pPr>
              <w:adjustRightInd w:val="0"/>
              <w:snapToGrid w:val="0"/>
              <w:spacing w:after="0" w:line="240" w:lineRule="auto"/>
              <w:jc w:val="center"/>
              <w:rPr>
                <w:rFonts w:hint="eastAsia" w:ascii="仿宋" w:hAnsi="仿宋" w:eastAsia="仿宋"/>
                <w:color w:val="000000"/>
                <w:szCs w:val="21"/>
              </w:rPr>
            </w:pPr>
            <w:r>
              <w:rPr>
                <w:rFonts w:hint="eastAsia" w:ascii="仿宋" w:hAnsi="仿宋" w:eastAsia="仿宋"/>
                <w:color w:val="000000"/>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1" w:type="pct"/>
            <w:vMerge w:val="continue"/>
            <w:vAlign w:val="center"/>
          </w:tcPr>
          <w:p>
            <w:pPr>
              <w:adjustRightInd w:val="0"/>
              <w:snapToGrid w:val="0"/>
              <w:spacing w:after="0" w:line="240" w:lineRule="auto"/>
              <w:rPr>
                <w:rFonts w:hint="eastAsia" w:ascii="仿宋" w:hAnsi="仿宋" w:eastAsia="仿宋"/>
                <w:color w:val="000000"/>
                <w:szCs w:val="21"/>
              </w:rPr>
            </w:pPr>
          </w:p>
        </w:tc>
        <w:tc>
          <w:tcPr>
            <w:tcW w:w="709" w:type="pct"/>
            <w:vMerge w:val="restart"/>
            <w:vAlign w:val="center"/>
          </w:tcPr>
          <w:p>
            <w:pPr>
              <w:adjustRightInd w:val="0"/>
              <w:snapToGrid w:val="0"/>
              <w:spacing w:after="0" w:line="240" w:lineRule="auto"/>
              <w:rPr>
                <w:rFonts w:hint="eastAsia" w:ascii="仿宋" w:hAnsi="仿宋" w:eastAsia="仿宋"/>
                <w:color w:val="000000"/>
                <w:szCs w:val="21"/>
              </w:rPr>
            </w:pPr>
            <w:r>
              <w:rPr>
                <w:rFonts w:ascii="仿宋" w:hAnsi="仿宋" w:eastAsia="仿宋"/>
                <w:color w:val="000000"/>
                <w:szCs w:val="21"/>
              </w:rPr>
              <w:t>成本控制措施有效性</w:t>
            </w:r>
          </w:p>
        </w:tc>
        <w:tc>
          <w:tcPr>
            <w:tcW w:w="2179" w:type="pct"/>
            <w:vAlign w:val="center"/>
          </w:tcPr>
          <w:p>
            <w:pPr>
              <w:adjustRightInd w:val="0"/>
              <w:snapToGrid w:val="0"/>
              <w:spacing w:after="0" w:line="240" w:lineRule="auto"/>
              <w:rPr>
                <w:rFonts w:hint="eastAsia" w:ascii="仿宋" w:hAnsi="仿宋" w:eastAsia="仿宋"/>
                <w:color w:val="000000"/>
                <w:szCs w:val="21"/>
              </w:rPr>
            </w:pPr>
            <w:r>
              <w:rPr>
                <w:rFonts w:hint="eastAsia" w:ascii="仿宋" w:hAnsi="仿宋" w:eastAsia="仿宋" w:cs="宋体"/>
                <w:color w:val="000000"/>
                <w:szCs w:val="21"/>
              </w:rPr>
              <w:t>①</w:t>
            </w:r>
            <w:r>
              <w:rPr>
                <w:rFonts w:ascii="仿宋" w:hAnsi="仿宋" w:eastAsia="仿宋"/>
                <w:color w:val="000000"/>
                <w:szCs w:val="21"/>
              </w:rPr>
              <w:t>成本测算是否充分</w:t>
            </w:r>
          </w:p>
        </w:tc>
        <w:tc>
          <w:tcPr>
            <w:tcW w:w="30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5</w:t>
            </w:r>
          </w:p>
        </w:tc>
        <w:tc>
          <w:tcPr>
            <w:tcW w:w="307" w:type="pct"/>
            <w:vMerge w:val="continue"/>
            <w:vAlign w:val="center"/>
          </w:tcPr>
          <w:p>
            <w:pPr>
              <w:adjustRightInd w:val="0"/>
              <w:snapToGrid w:val="0"/>
              <w:spacing w:after="0" w:line="240" w:lineRule="auto"/>
              <w:jc w:val="center"/>
              <w:rPr>
                <w:rFonts w:hint="eastAsia" w:ascii="仿宋" w:hAnsi="仿宋" w:eastAsia="仿宋"/>
                <w:color w:val="000000"/>
                <w:szCs w:val="21"/>
              </w:rPr>
            </w:pPr>
          </w:p>
        </w:tc>
        <w:tc>
          <w:tcPr>
            <w:tcW w:w="247" w:type="pct"/>
            <w:vAlign w:val="center"/>
          </w:tcPr>
          <w:p>
            <w:pPr>
              <w:adjustRightInd w:val="0"/>
              <w:snapToGrid w:val="0"/>
              <w:spacing w:after="0" w:line="240" w:lineRule="auto"/>
              <w:jc w:val="center"/>
              <w:rPr>
                <w:rFonts w:hint="eastAsia" w:ascii="仿宋" w:hAnsi="仿宋" w:eastAsia="仿宋"/>
                <w:color w:val="000000"/>
                <w:szCs w:val="21"/>
              </w:rPr>
            </w:pPr>
            <w:r>
              <w:rPr>
                <w:rFonts w:hint="eastAsia" w:ascii="仿宋" w:hAnsi="仿宋" w:eastAsia="仿宋"/>
                <w:color w:val="000000"/>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1" w:type="pct"/>
            <w:vMerge w:val="continue"/>
            <w:vAlign w:val="center"/>
          </w:tcPr>
          <w:p>
            <w:pPr>
              <w:adjustRightInd w:val="0"/>
              <w:snapToGrid w:val="0"/>
              <w:spacing w:after="0" w:line="240" w:lineRule="auto"/>
              <w:rPr>
                <w:rFonts w:hint="eastAsia" w:ascii="仿宋" w:hAnsi="仿宋" w:eastAsia="仿宋"/>
                <w:color w:val="000000"/>
                <w:szCs w:val="21"/>
              </w:rPr>
            </w:pPr>
          </w:p>
        </w:tc>
        <w:tc>
          <w:tcPr>
            <w:tcW w:w="709" w:type="pct"/>
            <w:vMerge w:val="continue"/>
            <w:vAlign w:val="center"/>
          </w:tcPr>
          <w:p>
            <w:pPr>
              <w:adjustRightInd w:val="0"/>
              <w:snapToGrid w:val="0"/>
              <w:spacing w:after="0" w:line="240" w:lineRule="auto"/>
              <w:rPr>
                <w:rFonts w:hint="eastAsia" w:ascii="仿宋" w:hAnsi="仿宋" w:eastAsia="仿宋"/>
                <w:color w:val="000000"/>
                <w:szCs w:val="21"/>
              </w:rPr>
            </w:pPr>
          </w:p>
        </w:tc>
        <w:tc>
          <w:tcPr>
            <w:tcW w:w="2179" w:type="pct"/>
            <w:vAlign w:val="center"/>
          </w:tcPr>
          <w:p>
            <w:pPr>
              <w:adjustRightInd w:val="0"/>
              <w:snapToGrid w:val="0"/>
              <w:spacing w:after="0" w:line="240" w:lineRule="auto"/>
              <w:rPr>
                <w:rFonts w:hint="eastAsia" w:ascii="仿宋" w:hAnsi="仿宋" w:eastAsia="仿宋"/>
                <w:color w:val="000000"/>
                <w:szCs w:val="21"/>
              </w:rPr>
            </w:pPr>
            <w:r>
              <w:rPr>
                <w:rFonts w:hint="eastAsia" w:ascii="仿宋" w:hAnsi="仿宋" w:eastAsia="仿宋" w:cs="宋体"/>
                <w:color w:val="000000"/>
                <w:szCs w:val="21"/>
              </w:rPr>
              <w:t>②</w:t>
            </w:r>
            <w:r>
              <w:rPr>
                <w:rFonts w:ascii="仿宋" w:hAnsi="仿宋" w:eastAsia="仿宋"/>
                <w:color w:val="000000"/>
                <w:szCs w:val="21"/>
              </w:rPr>
              <w:t>成本控制措施是否科学有效</w:t>
            </w:r>
          </w:p>
        </w:tc>
        <w:tc>
          <w:tcPr>
            <w:tcW w:w="30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5</w:t>
            </w:r>
          </w:p>
        </w:tc>
        <w:tc>
          <w:tcPr>
            <w:tcW w:w="307" w:type="pct"/>
            <w:vMerge w:val="continue"/>
            <w:vAlign w:val="center"/>
          </w:tcPr>
          <w:p>
            <w:pPr>
              <w:adjustRightInd w:val="0"/>
              <w:snapToGrid w:val="0"/>
              <w:spacing w:after="0" w:line="240" w:lineRule="auto"/>
              <w:jc w:val="center"/>
              <w:rPr>
                <w:rFonts w:hint="eastAsia" w:ascii="仿宋" w:hAnsi="仿宋" w:eastAsia="仿宋"/>
                <w:color w:val="000000"/>
                <w:szCs w:val="21"/>
              </w:rPr>
            </w:pPr>
          </w:p>
        </w:tc>
        <w:tc>
          <w:tcPr>
            <w:tcW w:w="247" w:type="pct"/>
            <w:vAlign w:val="center"/>
          </w:tcPr>
          <w:p>
            <w:pPr>
              <w:adjustRightInd w:val="0"/>
              <w:snapToGrid w:val="0"/>
              <w:spacing w:after="0" w:line="240" w:lineRule="auto"/>
              <w:jc w:val="center"/>
              <w:rPr>
                <w:rFonts w:hint="eastAsia" w:ascii="仿宋" w:hAnsi="仿宋" w:eastAsia="仿宋"/>
                <w:color w:val="000000"/>
                <w:szCs w:val="21"/>
              </w:rPr>
            </w:pPr>
            <w:r>
              <w:rPr>
                <w:rFonts w:hint="eastAsia" w:ascii="仿宋" w:hAnsi="仿宋" w:eastAsia="仿宋"/>
                <w:color w:val="000000"/>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1" w:type="pct"/>
            <w:vAlign w:val="center"/>
          </w:tcPr>
          <w:p>
            <w:pPr>
              <w:adjustRightInd w:val="0"/>
              <w:snapToGrid w:val="0"/>
              <w:spacing w:after="0" w:line="240" w:lineRule="auto"/>
              <w:rPr>
                <w:rFonts w:hint="eastAsia" w:ascii="仿宋" w:hAnsi="仿宋" w:eastAsia="仿宋"/>
                <w:color w:val="000000"/>
                <w:szCs w:val="21"/>
              </w:rPr>
            </w:pPr>
            <w:r>
              <w:rPr>
                <w:rFonts w:ascii="仿宋" w:hAnsi="仿宋" w:eastAsia="仿宋"/>
                <w:color w:val="000000"/>
                <w:szCs w:val="21"/>
              </w:rPr>
              <w:t>债券资金需求合理性</w:t>
            </w:r>
          </w:p>
        </w:tc>
        <w:tc>
          <w:tcPr>
            <w:tcW w:w="709" w:type="pct"/>
            <w:vAlign w:val="center"/>
          </w:tcPr>
          <w:p>
            <w:pPr>
              <w:adjustRightInd w:val="0"/>
              <w:snapToGrid w:val="0"/>
              <w:spacing w:after="0" w:line="240" w:lineRule="auto"/>
              <w:rPr>
                <w:rFonts w:hint="eastAsia" w:ascii="仿宋" w:hAnsi="仿宋" w:eastAsia="仿宋"/>
                <w:color w:val="000000"/>
                <w:szCs w:val="21"/>
              </w:rPr>
            </w:pPr>
            <w:r>
              <w:rPr>
                <w:rFonts w:ascii="仿宋" w:hAnsi="仿宋" w:eastAsia="仿宋"/>
                <w:color w:val="000000"/>
                <w:szCs w:val="21"/>
              </w:rPr>
              <w:t>合理性</w:t>
            </w:r>
          </w:p>
        </w:tc>
        <w:tc>
          <w:tcPr>
            <w:tcW w:w="2179" w:type="pct"/>
            <w:vAlign w:val="center"/>
          </w:tcPr>
          <w:p>
            <w:pPr>
              <w:adjustRightInd w:val="0"/>
              <w:snapToGrid w:val="0"/>
              <w:spacing w:after="0" w:line="240" w:lineRule="auto"/>
              <w:rPr>
                <w:rFonts w:hint="eastAsia" w:ascii="仿宋" w:hAnsi="仿宋" w:eastAsia="仿宋"/>
                <w:color w:val="000000"/>
                <w:szCs w:val="21"/>
              </w:rPr>
            </w:pPr>
            <w:r>
              <w:rPr>
                <w:rFonts w:ascii="仿宋" w:hAnsi="仿宋" w:eastAsia="仿宋"/>
                <w:color w:val="000000"/>
                <w:szCs w:val="21"/>
              </w:rPr>
              <w:t>投入产出比是否合理</w:t>
            </w:r>
          </w:p>
        </w:tc>
        <w:tc>
          <w:tcPr>
            <w:tcW w:w="30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5</w:t>
            </w:r>
          </w:p>
        </w:tc>
        <w:tc>
          <w:tcPr>
            <w:tcW w:w="30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5</w:t>
            </w:r>
          </w:p>
        </w:tc>
        <w:tc>
          <w:tcPr>
            <w:tcW w:w="247" w:type="pct"/>
            <w:vAlign w:val="center"/>
          </w:tcPr>
          <w:p>
            <w:pPr>
              <w:adjustRightInd w:val="0"/>
              <w:snapToGrid w:val="0"/>
              <w:spacing w:after="0" w:line="240" w:lineRule="auto"/>
              <w:jc w:val="center"/>
              <w:rPr>
                <w:rFonts w:hint="eastAsia" w:ascii="仿宋" w:hAnsi="仿宋" w:eastAsia="仿宋"/>
                <w:color w:val="000000"/>
                <w:szCs w:val="21"/>
              </w:rPr>
            </w:pPr>
            <w:r>
              <w:rPr>
                <w:rFonts w:hint="eastAsia" w:ascii="仿宋" w:hAnsi="仿宋" w:eastAsia="仿宋"/>
                <w:color w:val="000000"/>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1" w:type="pct"/>
            <w:vMerge w:val="restart"/>
            <w:vAlign w:val="center"/>
          </w:tcPr>
          <w:p>
            <w:pPr>
              <w:adjustRightInd w:val="0"/>
              <w:snapToGrid w:val="0"/>
              <w:spacing w:after="0" w:line="240" w:lineRule="auto"/>
              <w:rPr>
                <w:rFonts w:hint="eastAsia" w:ascii="仿宋" w:hAnsi="仿宋" w:eastAsia="仿宋"/>
                <w:color w:val="000000"/>
                <w:szCs w:val="21"/>
              </w:rPr>
            </w:pPr>
            <w:r>
              <w:rPr>
                <w:rFonts w:ascii="仿宋" w:hAnsi="仿宋" w:eastAsia="仿宋"/>
                <w:color w:val="000000"/>
                <w:szCs w:val="21"/>
              </w:rPr>
              <w:t>偿债计划可行性和风险点</w:t>
            </w:r>
          </w:p>
        </w:tc>
        <w:tc>
          <w:tcPr>
            <w:tcW w:w="709" w:type="pct"/>
            <w:vAlign w:val="center"/>
          </w:tcPr>
          <w:p>
            <w:pPr>
              <w:adjustRightInd w:val="0"/>
              <w:snapToGrid w:val="0"/>
              <w:spacing w:after="0" w:line="240" w:lineRule="auto"/>
              <w:rPr>
                <w:rFonts w:hint="eastAsia" w:ascii="仿宋" w:hAnsi="仿宋" w:eastAsia="仿宋"/>
                <w:color w:val="000000"/>
                <w:szCs w:val="21"/>
              </w:rPr>
            </w:pPr>
            <w:r>
              <w:rPr>
                <w:rFonts w:ascii="仿宋" w:hAnsi="仿宋" w:eastAsia="仿宋"/>
                <w:color w:val="000000"/>
                <w:szCs w:val="21"/>
              </w:rPr>
              <w:t>计划内容明确性</w:t>
            </w:r>
          </w:p>
        </w:tc>
        <w:tc>
          <w:tcPr>
            <w:tcW w:w="2179" w:type="pct"/>
            <w:vAlign w:val="center"/>
          </w:tcPr>
          <w:p>
            <w:pPr>
              <w:adjustRightInd w:val="0"/>
              <w:snapToGrid w:val="0"/>
              <w:spacing w:after="0" w:line="240" w:lineRule="auto"/>
              <w:rPr>
                <w:rFonts w:hint="eastAsia" w:ascii="仿宋" w:hAnsi="仿宋" w:eastAsia="仿宋"/>
                <w:color w:val="000000"/>
                <w:szCs w:val="21"/>
              </w:rPr>
            </w:pPr>
            <w:r>
              <w:rPr>
                <w:rFonts w:ascii="仿宋" w:hAnsi="仿宋" w:eastAsia="仿宋"/>
                <w:color w:val="000000"/>
                <w:szCs w:val="21"/>
              </w:rPr>
              <w:t>内容是否明确、具体</w:t>
            </w:r>
          </w:p>
        </w:tc>
        <w:tc>
          <w:tcPr>
            <w:tcW w:w="30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2</w:t>
            </w:r>
          </w:p>
        </w:tc>
        <w:tc>
          <w:tcPr>
            <w:tcW w:w="307" w:type="pct"/>
            <w:vMerge w:val="restar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12</w:t>
            </w:r>
          </w:p>
        </w:tc>
        <w:tc>
          <w:tcPr>
            <w:tcW w:w="247" w:type="pct"/>
            <w:vAlign w:val="center"/>
          </w:tcPr>
          <w:p>
            <w:pPr>
              <w:adjustRightInd w:val="0"/>
              <w:snapToGrid w:val="0"/>
              <w:spacing w:after="0" w:line="240" w:lineRule="auto"/>
              <w:jc w:val="center"/>
              <w:rPr>
                <w:rFonts w:hint="eastAsia" w:ascii="仿宋" w:hAnsi="仿宋" w:eastAsia="仿宋"/>
                <w:color w:val="000000"/>
                <w:szCs w:val="21"/>
              </w:rPr>
            </w:pPr>
            <w:r>
              <w:rPr>
                <w:rFonts w:hint="eastAsia" w:ascii="仿宋" w:hAnsi="仿宋" w:eastAsia="仿宋"/>
                <w:color w:val="000000"/>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1" w:type="pct"/>
            <w:vMerge w:val="continue"/>
            <w:vAlign w:val="center"/>
          </w:tcPr>
          <w:p>
            <w:pPr>
              <w:adjustRightInd w:val="0"/>
              <w:snapToGrid w:val="0"/>
              <w:spacing w:after="0" w:line="240" w:lineRule="auto"/>
              <w:rPr>
                <w:rFonts w:hint="eastAsia" w:ascii="仿宋" w:hAnsi="仿宋" w:eastAsia="仿宋"/>
                <w:color w:val="000000"/>
                <w:szCs w:val="21"/>
              </w:rPr>
            </w:pPr>
          </w:p>
        </w:tc>
        <w:tc>
          <w:tcPr>
            <w:tcW w:w="709" w:type="pct"/>
            <w:vMerge w:val="restart"/>
            <w:vAlign w:val="center"/>
          </w:tcPr>
          <w:p>
            <w:pPr>
              <w:adjustRightInd w:val="0"/>
              <w:snapToGrid w:val="0"/>
              <w:spacing w:after="0" w:line="240" w:lineRule="auto"/>
              <w:rPr>
                <w:rFonts w:hint="eastAsia" w:ascii="仿宋" w:hAnsi="仿宋" w:eastAsia="仿宋"/>
                <w:color w:val="000000"/>
                <w:szCs w:val="21"/>
              </w:rPr>
            </w:pPr>
            <w:r>
              <w:rPr>
                <w:rFonts w:ascii="仿宋" w:hAnsi="仿宋" w:eastAsia="仿宋"/>
                <w:color w:val="000000"/>
                <w:szCs w:val="21"/>
              </w:rPr>
              <w:t>偿债计划可行性</w:t>
            </w:r>
          </w:p>
        </w:tc>
        <w:tc>
          <w:tcPr>
            <w:tcW w:w="2179" w:type="pct"/>
            <w:vAlign w:val="center"/>
          </w:tcPr>
          <w:p>
            <w:pPr>
              <w:adjustRightInd w:val="0"/>
              <w:snapToGrid w:val="0"/>
              <w:spacing w:after="0" w:line="240" w:lineRule="auto"/>
              <w:rPr>
                <w:rFonts w:hint="eastAsia" w:ascii="仿宋" w:hAnsi="仿宋" w:eastAsia="仿宋"/>
                <w:color w:val="000000"/>
                <w:szCs w:val="21"/>
              </w:rPr>
            </w:pPr>
            <w:r>
              <w:rPr>
                <w:rFonts w:hint="eastAsia" w:ascii="仿宋" w:hAnsi="仿宋" w:eastAsia="仿宋" w:cs="宋体"/>
                <w:color w:val="000000"/>
                <w:szCs w:val="21"/>
              </w:rPr>
              <w:t>①</w:t>
            </w:r>
            <w:r>
              <w:rPr>
                <w:rFonts w:ascii="仿宋" w:hAnsi="仿宋" w:eastAsia="仿宋"/>
                <w:color w:val="000000"/>
                <w:szCs w:val="21"/>
              </w:rPr>
              <w:t>偿债计划是否完整、可行</w:t>
            </w:r>
          </w:p>
        </w:tc>
        <w:tc>
          <w:tcPr>
            <w:tcW w:w="30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2</w:t>
            </w:r>
          </w:p>
        </w:tc>
        <w:tc>
          <w:tcPr>
            <w:tcW w:w="307" w:type="pct"/>
            <w:vMerge w:val="continue"/>
            <w:vAlign w:val="center"/>
          </w:tcPr>
          <w:p>
            <w:pPr>
              <w:adjustRightInd w:val="0"/>
              <w:snapToGrid w:val="0"/>
              <w:spacing w:after="0" w:line="240" w:lineRule="auto"/>
              <w:jc w:val="center"/>
              <w:rPr>
                <w:rFonts w:hint="eastAsia" w:ascii="仿宋" w:hAnsi="仿宋" w:eastAsia="仿宋"/>
                <w:color w:val="000000"/>
                <w:szCs w:val="21"/>
              </w:rPr>
            </w:pPr>
          </w:p>
        </w:tc>
        <w:tc>
          <w:tcPr>
            <w:tcW w:w="247" w:type="pct"/>
            <w:vAlign w:val="center"/>
          </w:tcPr>
          <w:p>
            <w:pPr>
              <w:adjustRightInd w:val="0"/>
              <w:snapToGrid w:val="0"/>
              <w:spacing w:after="0" w:line="240" w:lineRule="auto"/>
              <w:jc w:val="center"/>
              <w:rPr>
                <w:rFonts w:hint="eastAsia" w:ascii="仿宋" w:hAnsi="仿宋" w:eastAsia="仿宋"/>
                <w:color w:val="000000"/>
                <w:szCs w:val="21"/>
              </w:rPr>
            </w:pPr>
            <w:r>
              <w:rPr>
                <w:rFonts w:hint="eastAsia" w:ascii="仿宋" w:hAnsi="仿宋" w:eastAsia="仿宋"/>
                <w:color w:val="000000"/>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51" w:type="pct"/>
            <w:vMerge w:val="continue"/>
            <w:vAlign w:val="center"/>
          </w:tcPr>
          <w:p>
            <w:pPr>
              <w:adjustRightInd w:val="0"/>
              <w:snapToGrid w:val="0"/>
              <w:spacing w:after="0" w:line="240" w:lineRule="auto"/>
              <w:rPr>
                <w:rFonts w:hint="eastAsia" w:ascii="仿宋" w:hAnsi="仿宋" w:eastAsia="仿宋"/>
                <w:color w:val="000000"/>
                <w:szCs w:val="21"/>
              </w:rPr>
            </w:pPr>
          </w:p>
        </w:tc>
        <w:tc>
          <w:tcPr>
            <w:tcW w:w="709" w:type="pct"/>
            <w:vMerge w:val="continue"/>
            <w:vAlign w:val="center"/>
          </w:tcPr>
          <w:p>
            <w:pPr>
              <w:adjustRightInd w:val="0"/>
              <w:snapToGrid w:val="0"/>
              <w:spacing w:after="0" w:line="240" w:lineRule="auto"/>
              <w:rPr>
                <w:rFonts w:hint="eastAsia" w:ascii="仿宋" w:hAnsi="仿宋" w:eastAsia="仿宋"/>
                <w:color w:val="000000"/>
                <w:szCs w:val="21"/>
              </w:rPr>
            </w:pPr>
          </w:p>
        </w:tc>
        <w:tc>
          <w:tcPr>
            <w:tcW w:w="2179" w:type="pct"/>
            <w:vAlign w:val="center"/>
          </w:tcPr>
          <w:p>
            <w:pPr>
              <w:adjustRightInd w:val="0"/>
              <w:snapToGrid w:val="0"/>
              <w:spacing w:after="0" w:line="240" w:lineRule="auto"/>
              <w:rPr>
                <w:rFonts w:hint="eastAsia" w:ascii="仿宋" w:hAnsi="仿宋" w:eastAsia="仿宋"/>
                <w:color w:val="000000"/>
                <w:szCs w:val="21"/>
              </w:rPr>
            </w:pPr>
            <w:r>
              <w:rPr>
                <w:rFonts w:hint="eastAsia" w:ascii="仿宋" w:hAnsi="仿宋" w:eastAsia="仿宋" w:cs="宋体"/>
                <w:color w:val="000000"/>
                <w:szCs w:val="21"/>
              </w:rPr>
              <w:t>②</w:t>
            </w:r>
            <w:r>
              <w:rPr>
                <w:rFonts w:ascii="仿宋" w:hAnsi="仿宋" w:eastAsia="仿宋"/>
                <w:color w:val="000000"/>
                <w:szCs w:val="21"/>
              </w:rPr>
              <w:t>偿债计划是否经过前期论证</w:t>
            </w:r>
          </w:p>
        </w:tc>
        <w:tc>
          <w:tcPr>
            <w:tcW w:w="30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2</w:t>
            </w:r>
          </w:p>
        </w:tc>
        <w:tc>
          <w:tcPr>
            <w:tcW w:w="307" w:type="pct"/>
            <w:vMerge w:val="continue"/>
            <w:vAlign w:val="center"/>
          </w:tcPr>
          <w:p>
            <w:pPr>
              <w:adjustRightInd w:val="0"/>
              <w:snapToGrid w:val="0"/>
              <w:spacing w:after="0" w:line="240" w:lineRule="auto"/>
              <w:jc w:val="center"/>
              <w:rPr>
                <w:rFonts w:hint="eastAsia" w:ascii="仿宋" w:hAnsi="仿宋" w:eastAsia="仿宋"/>
                <w:color w:val="000000"/>
                <w:szCs w:val="21"/>
              </w:rPr>
            </w:pPr>
          </w:p>
        </w:tc>
        <w:tc>
          <w:tcPr>
            <w:tcW w:w="247" w:type="pct"/>
            <w:vAlign w:val="center"/>
          </w:tcPr>
          <w:p>
            <w:pPr>
              <w:adjustRightInd w:val="0"/>
              <w:snapToGrid w:val="0"/>
              <w:spacing w:after="0" w:line="240" w:lineRule="auto"/>
              <w:jc w:val="center"/>
              <w:rPr>
                <w:rFonts w:hint="eastAsia" w:ascii="仿宋" w:hAnsi="仿宋" w:eastAsia="仿宋"/>
                <w:color w:val="000000"/>
                <w:szCs w:val="21"/>
              </w:rPr>
            </w:pPr>
            <w:r>
              <w:rPr>
                <w:rFonts w:hint="eastAsia" w:ascii="仿宋" w:hAnsi="仿宋" w:eastAsia="仿宋"/>
                <w:color w:val="000000"/>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1" w:type="pct"/>
            <w:vMerge w:val="continue"/>
            <w:vAlign w:val="center"/>
          </w:tcPr>
          <w:p>
            <w:pPr>
              <w:adjustRightInd w:val="0"/>
              <w:snapToGrid w:val="0"/>
              <w:spacing w:after="0" w:line="240" w:lineRule="auto"/>
              <w:rPr>
                <w:rFonts w:hint="eastAsia" w:ascii="仿宋" w:hAnsi="仿宋" w:eastAsia="仿宋"/>
                <w:color w:val="000000"/>
                <w:szCs w:val="21"/>
              </w:rPr>
            </w:pPr>
          </w:p>
        </w:tc>
        <w:tc>
          <w:tcPr>
            <w:tcW w:w="709" w:type="pct"/>
            <w:vMerge w:val="restart"/>
            <w:vAlign w:val="center"/>
          </w:tcPr>
          <w:p>
            <w:pPr>
              <w:adjustRightInd w:val="0"/>
              <w:snapToGrid w:val="0"/>
              <w:spacing w:after="0" w:line="240" w:lineRule="auto"/>
              <w:rPr>
                <w:rFonts w:hint="eastAsia" w:ascii="仿宋" w:hAnsi="仿宋" w:eastAsia="仿宋"/>
                <w:color w:val="000000"/>
                <w:szCs w:val="21"/>
              </w:rPr>
            </w:pPr>
            <w:r>
              <w:rPr>
                <w:rFonts w:ascii="仿宋" w:hAnsi="仿宋" w:eastAsia="仿宋"/>
                <w:color w:val="000000"/>
                <w:szCs w:val="21"/>
              </w:rPr>
              <w:t>过程控制有效性</w:t>
            </w:r>
          </w:p>
        </w:tc>
        <w:tc>
          <w:tcPr>
            <w:tcW w:w="2179" w:type="pct"/>
            <w:vAlign w:val="center"/>
          </w:tcPr>
          <w:p>
            <w:pPr>
              <w:adjustRightInd w:val="0"/>
              <w:snapToGrid w:val="0"/>
              <w:spacing w:after="0" w:line="240" w:lineRule="auto"/>
              <w:rPr>
                <w:rFonts w:hint="eastAsia" w:ascii="仿宋" w:hAnsi="仿宋" w:eastAsia="仿宋"/>
                <w:color w:val="000000"/>
                <w:szCs w:val="21"/>
              </w:rPr>
            </w:pPr>
            <w:r>
              <w:rPr>
                <w:rFonts w:hint="eastAsia" w:ascii="仿宋" w:hAnsi="仿宋" w:eastAsia="仿宋" w:cs="宋体"/>
                <w:color w:val="000000"/>
                <w:szCs w:val="21"/>
              </w:rPr>
              <w:t>①</w:t>
            </w:r>
            <w:r>
              <w:rPr>
                <w:rFonts w:ascii="仿宋" w:hAnsi="仿宋" w:eastAsia="仿宋"/>
                <w:color w:val="000000"/>
                <w:szCs w:val="21"/>
              </w:rPr>
              <w:t>组织机构是否健全、职责分工是否明确</w:t>
            </w:r>
          </w:p>
        </w:tc>
        <w:tc>
          <w:tcPr>
            <w:tcW w:w="30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2</w:t>
            </w:r>
          </w:p>
        </w:tc>
        <w:tc>
          <w:tcPr>
            <w:tcW w:w="307" w:type="pct"/>
            <w:vMerge w:val="continue"/>
            <w:vAlign w:val="center"/>
          </w:tcPr>
          <w:p>
            <w:pPr>
              <w:adjustRightInd w:val="0"/>
              <w:snapToGrid w:val="0"/>
              <w:spacing w:after="0" w:line="240" w:lineRule="auto"/>
              <w:jc w:val="center"/>
              <w:rPr>
                <w:rFonts w:hint="eastAsia" w:ascii="仿宋" w:hAnsi="仿宋" w:eastAsia="仿宋"/>
                <w:color w:val="000000"/>
                <w:szCs w:val="21"/>
              </w:rPr>
            </w:pPr>
          </w:p>
        </w:tc>
        <w:tc>
          <w:tcPr>
            <w:tcW w:w="247" w:type="pct"/>
            <w:vAlign w:val="center"/>
          </w:tcPr>
          <w:p>
            <w:pPr>
              <w:adjustRightInd w:val="0"/>
              <w:snapToGrid w:val="0"/>
              <w:spacing w:after="0" w:line="240" w:lineRule="auto"/>
              <w:jc w:val="center"/>
              <w:rPr>
                <w:rFonts w:hint="eastAsia" w:ascii="仿宋" w:hAnsi="仿宋" w:eastAsia="仿宋"/>
                <w:color w:val="000000"/>
                <w:szCs w:val="21"/>
              </w:rPr>
            </w:pPr>
            <w:r>
              <w:rPr>
                <w:rFonts w:hint="eastAsia" w:ascii="仿宋" w:hAnsi="仿宋" w:eastAsia="仿宋"/>
                <w:color w:val="000000"/>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1" w:type="pct"/>
            <w:vMerge w:val="continue"/>
            <w:vAlign w:val="center"/>
          </w:tcPr>
          <w:p>
            <w:pPr>
              <w:adjustRightInd w:val="0"/>
              <w:snapToGrid w:val="0"/>
              <w:spacing w:after="0" w:line="240" w:lineRule="auto"/>
              <w:rPr>
                <w:rFonts w:hint="eastAsia" w:ascii="仿宋" w:hAnsi="仿宋" w:eastAsia="仿宋"/>
                <w:color w:val="000000"/>
                <w:szCs w:val="21"/>
              </w:rPr>
            </w:pPr>
          </w:p>
        </w:tc>
        <w:tc>
          <w:tcPr>
            <w:tcW w:w="709" w:type="pct"/>
            <w:vMerge w:val="continue"/>
            <w:vAlign w:val="center"/>
          </w:tcPr>
          <w:p>
            <w:pPr>
              <w:adjustRightInd w:val="0"/>
              <w:snapToGrid w:val="0"/>
              <w:spacing w:after="0" w:line="240" w:lineRule="auto"/>
              <w:rPr>
                <w:rFonts w:hint="eastAsia" w:ascii="仿宋" w:hAnsi="仿宋" w:eastAsia="仿宋"/>
                <w:color w:val="000000"/>
                <w:szCs w:val="21"/>
              </w:rPr>
            </w:pPr>
          </w:p>
        </w:tc>
        <w:tc>
          <w:tcPr>
            <w:tcW w:w="2179" w:type="pct"/>
            <w:vAlign w:val="center"/>
          </w:tcPr>
          <w:p>
            <w:pPr>
              <w:adjustRightInd w:val="0"/>
              <w:snapToGrid w:val="0"/>
              <w:spacing w:after="0" w:line="240" w:lineRule="auto"/>
              <w:rPr>
                <w:rFonts w:hint="eastAsia" w:ascii="仿宋" w:hAnsi="仿宋" w:eastAsia="仿宋"/>
                <w:color w:val="000000"/>
                <w:szCs w:val="21"/>
              </w:rPr>
            </w:pPr>
            <w:r>
              <w:rPr>
                <w:rFonts w:hint="eastAsia" w:ascii="仿宋" w:hAnsi="仿宋" w:eastAsia="仿宋" w:cs="宋体"/>
                <w:color w:val="000000"/>
                <w:szCs w:val="21"/>
              </w:rPr>
              <w:t>②</w:t>
            </w:r>
            <w:r>
              <w:rPr>
                <w:rFonts w:ascii="仿宋" w:hAnsi="仿宋" w:eastAsia="仿宋"/>
                <w:color w:val="000000"/>
                <w:szCs w:val="21"/>
              </w:rPr>
              <w:t>实施单位各项业务和财务管理制度是否健全</w:t>
            </w:r>
          </w:p>
        </w:tc>
        <w:tc>
          <w:tcPr>
            <w:tcW w:w="30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2</w:t>
            </w:r>
          </w:p>
        </w:tc>
        <w:tc>
          <w:tcPr>
            <w:tcW w:w="307" w:type="pct"/>
            <w:vMerge w:val="continue"/>
            <w:vAlign w:val="center"/>
          </w:tcPr>
          <w:p>
            <w:pPr>
              <w:adjustRightInd w:val="0"/>
              <w:snapToGrid w:val="0"/>
              <w:spacing w:after="0" w:line="240" w:lineRule="auto"/>
              <w:jc w:val="center"/>
              <w:rPr>
                <w:rFonts w:hint="eastAsia" w:ascii="仿宋" w:hAnsi="仿宋" w:eastAsia="仿宋"/>
                <w:color w:val="000000"/>
                <w:szCs w:val="21"/>
              </w:rPr>
            </w:pPr>
          </w:p>
        </w:tc>
        <w:tc>
          <w:tcPr>
            <w:tcW w:w="247" w:type="pct"/>
            <w:vAlign w:val="center"/>
          </w:tcPr>
          <w:p>
            <w:pPr>
              <w:adjustRightInd w:val="0"/>
              <w:snapToGrid w:val="0"/>
              <w:spacing w:after="0" w:line="240" w:lineRule="auto"/>
              <w:jc w:val="center"/>
              <w:rPr>
                <w:rFonts w:hint="eastAsia" w:ascii="仿宋" w:hAnsi="仿宋" w:eastAsia="仿宋"/>
                <w:color w:val="000000"/>
                <w:szCs w:val="21"/>
              </w:rPr>
            </w:pPr>
            <w:r>
              <w:rPr>
                <w:rFonts w:hint="eastAsia" w:ascii="仿宋" w:hAnsi="仿宋" w:eastAsia="仿宋"/>
                <w:color w:val="000000"/>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1" w:type="pct"/>
            <w:vMerge w:val="continue"/>
            <w:vAlign w:val="center"/>
          </w:tcPr>
          <w:p>
            <w:pPr>
              <w:adjustRightInd w:val="0"/>
              <w:snapToGrid w:val="0"/>
              <w:spacing w:after="0" w:line="240" w:lineRule="auto"/>
              <w:rPr>
                <w:rFonts w:hint="eastAsia" w:ascii="仿宋" w:hAnsi="仿宋" w:eastAsia="仿宋"/>
                <w:color w:val="000000"/>
                <w:szCs w:val="21"/>
              </w:rPr>
            </w:pPr>
          </w:p>
        </w:tc>
        <w:tc>
          <w:tcPr>
            <w:tcW w:w="709" w:type="pct"/>
            <w:vMerge w:val="continue"/>
            <w:vAlign w:val="center"/>
          </w:tcPr>
          <w:p>
            <w:pPr>
              <w:adjustRightInd w:val="0"/>
              <w:snapToGrid w:val="0"/>
              <w:spacing w:after="0" w:line="240" w:lineRule="auto"/>
              <w:rPr>
                <w:rFonts w:hint="eastAsia" w:ascii="仿宋" w:hAnsi="仿宋" w:eastAsia="仿宋"/>
                <w:color w:val="000000"/>
                <w:szCs w:val="21"/>
              </w:rPr>
            </w:pPr>
          </w:p>
        </w:tc>
        <w:tc>
          <w:tcPr>
            <w:tcW w:w="2179" w:type="pct"/>
            <w:vAlign w:val="center"/>
          </w:tcPr>
          <w:p>
            <w:pPr>
              <w:adjustRightInd w:val="0"/>
              <w:snapToGrid w:val="0"/>
              <w:spacing w:after="0" w:line="240" w:lineRule="auto"/>
              <w:rPr>
                <w:rFonts w:hint="eastAsia" w:ascii="仿宋" w:hAnsi="仿宋" w:eastAsia="仿宋"/>
                <w:color w:val="000000"/>
                <w:szCs w:val="21"/>
              </w:rPr>
            </w:pPr>
            <w:r>
              <w:rPr>
                <w:rFonts w:hint="eastAsia" w:ascii="仿宋" w:hAnsi="仿宋" w:eastAsia="仿宋" w:cs="宋体"/>
                <w:color w:val="000000"/>
                <w:szCs w:val="21"/>
              </w:rPr>
              <w:t>③</w:t>
            </w:r>
            <w:r>
              <w:rPr>
                <w:rFonts w:ascii="仿宋" w:hAnsi="仿宋" w:eastAsia="仿宋"/>
                <w:color w:val="000000"/>
                <w:szCs w:val="21"/>
              </w:rPr>
              <w:t>是否制定有效的过程控制措施</w:t>
            </w:r>
          </w:p>
        </w:tc>
        <w:tc>
          <w:tcPr>
            <w:tcW w:w="30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2</w:t>
            </w:r>
          </w:p>
        </w:tc>
        <w:tc>
          <w:tcPr>
            <w:tcW w:w="307" w:type="pct"/>
            <w:vMerge w:val="continue"/>
            <w:vAlign w:val="center"/>
          </w:tcPr>
          <w:p>
            <w:pPr>
              <w:adjustRightInd w:val="0"/>
              <w:snapToGrid w:val="0"/>
              <w:spacing w:after="0" w:line="240" w:lineRule="auto"/>
              <w:jc w:val="center"/>
              <w:rPr>
                <w:rFonts w:hint="eastAsia" w:ascii="仿宋" w:hAnsi="仿宋" w:eastAsia="仿宋"/>
                <w:color w:val="000000"/>
                <w:szCs w:val="21"/>
              </w:rPr>
            </w:pPr>
          </w:p>
        </w:tc>
        <w:tc>
          <w:tcPr>
            <w:tcW w:w="247" w:type="pct"/>
            <w:vAlign w:val="center"/>
          </w:tcPr>
          <w:p>
            <w:pPr>
              <w:adjustRightInd w:val="0"/>
              <w:snapToGrid w:val="0"/>
              <w:spacing w:after="0" w:line="240" w:lineRule="auto"/>
              <w:jc w:val="center"/>
              <w:rPr>
                <w:rFonts w:hint="eastAsia" w:ascii="仿宋" w:hAnsi="仿宋" w:eastAsia="仿宋"/>
                <w:color w:val="000000"/>
                <w:szCs w:val="21"/>
              </w:rPr>
            </w:pPr>
            <w:r>
              <w:rPr>
                <w:rFonts w:hint="eastAsia" w:ascii="仿宋" w:hAnsi="仿宋" w:eastAsia="仿宋"/>
                <w:color w:val="000000"/>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1" w:type="pct"/>
            <w:vMerge w:val="restart"/>
            <w:vAlign w:val="center"/>
          </w:tcPr>
          <w:p>
            <w:pPr>
              <w:adjustRightInd w:val="0"/>
              <w:snapToGrid w:val="0"/>
              <w:spacing w:after="0" w:line="240" w:lineRule="auto"/>
              <w:rPr>
                <w:rFonts w:hint="eastAsia" w:ascii="仿宋" w:hAnsi="仿宋" w:eastAsia="仿宋"/>
                <w:color w:val="000000"/>
                <w:szCs w:val="21"/>
              </w:rPr>
            </w:pPr>
            <w:r>
              <w:rPr>
                <w:rFonts w:ascii="仿宋" w:hAnsi="仿宋" w:eastAsia="仿宋"/>
                <w:color w:val="000000"/>
                <w:szCs w:val="21"/>
              </w:rPr>
              <w:t>绩效目标合理性</w:t>
            </w:r>
          </w:p>
        </w:tc>
        <w:tc>
          <w:tcPr>
            <w:tcW w:w="709" w:type="pct"/>
            <w:vMerge w:val="restart"/>
            <w:vAlign w:val="center"/>
          </w:tcPr>
          <w:p>
            <w:pPr>
              <w:adjustRightInd w:val="0"/>
              <w:snapToGrid w:val="0"/>
              <w:spacing w:after="0" w:line="240" w:lineRule="auto"/>
              <w:rPr>
                <w:rFonts w:hint="eastAsia" w:ascii="仿宋" w:hAnsi="仿宋" w:eastAsia="仿宋"/>
                <w:color w:val="000000"/>
                <w:szCs w:val="21"/>
              </w:rPr>
            </w:pPr>
            <w:r>
              <w:rPr>
                <w:rFonts w:ascii="仿宋" w:hAnsi="仿宋" w:eastAsia="仿宋"/>
                <w:color w:val="000000"/>
                <w:szCs w:val="21"/>
              </w:rPr>
              <w:t>目标明确性</w:t>
            </w:r>
          </w:p>
        </w:tc>
        <w:tc>
          <w:tcPr>
            <w:tcW w:w="2179" w:type="pct"/>
            <w:vAlign w:val="center"/>
          </w:tcPr>
          <w:p>
            <w:pPr>
              <w:adjustRightInd w:val="0"/>
              <w:snapToGrid w:val="0"/>
              <w:spacing w:after="0" w:line="240" w:lineRule="auto"/>
              <w:rPr>
                <w:rFonts w:hint="eastAsia" w:ascii="仿宋" w:hAnsi="仿宋" w:eastAsia="仿宋"/>
                <w:color w:val="000000"/>
                <w:szCs w:val="21"/>
              </w:rPr>
            </w:pPr>
            <w:r>
              <w:rPr>
                <w:rFonts w:hint="eastAsia" w:ascii="仿宋" w:hAnsi="仿宋" w:eastAsia="仿宋" w:cs="宋体"/>
                <w:color w:val="000000"/>
                <w:szCs w:val="21"/>
              </w:rPr>
              <w:t>①</w:t>
            </w:r>
            <w:r>
              <w:rPr>
                <w:rFonts w:ascii="仿宋" w:hAnsi="仿宋" w:eastAsia="仿宋"/>
                <w:color w:val="000000"/>
                <w:szCs w:val="21"/>
              </w:rPr>
              <w:t>绩效目标设定是否明确</w:t>
            </w:r>
          </w:p>
        </w:tc>
        <w:tc>
          <w:tcPr>
            <w:tcW w:w="30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2</w:t>
            </w:r>
          </w:p>
        </w:tc>
        <w:tc>
          <w:tcPr>
            <w:tcW w:w="307" w:type="pct"/>
            <w:vMerge w:val="restar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15</w:t>
            </w:r>
          </w:p>
        </w:tc>
        <w:tc>
          <w:tcPr>
            <w:tcW w:w="247" w:type="pct"/>
            <w:vAlign w:val="center"/>
          </w:tcPr>
          <w:p>
            <w:pPr>
              <w:adjustRightInd w:val="0"/>
              <w:snapToGrid w:val="0"/>
              <w:spacing w:after="0" w:line="240" w:lineRule="auto"/>
              <w:jc w:val="center"/>
              <w:rPr>
                <w:rFonts w:hint="eastAsia" w:ascii="仿宋" w:hAnsi="仿宋" w:eastAsia="仿宋"/>
                <w:color w:val="000000"/>
                <w:szCs w:val="21"/>
              </w:rPr>
            </w:pPr>
            <w:r>
              <w:rPr>
                <w:rFonts w:hint="eastAsia" w:ascii="仿宋" w:hAnsi="仿宋" w:eastAsia="仿宋"/>
                <w:color w:val="000000"/>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1" w:type="pct"/>
            <w:vMerge w:val="continue"/>
            <w:vAlign w:val="center"/>
          </w:tcPr>
          <w:p>
            <w:pPr>
              <w:adjustRightInd w:val="0"/>
              <w:snapToGrid w:val="0"/>
              <w:spacing w:after="0" w:line="240" w:lineRule="auto"/>
              <w:rPr>
                <w:rFonts w:hint="eastAsia" w:ascii="仿宋" w:hAnsi="仿宋" w:eastAsia="仿宋"/>
                <w:color w:val="000000"/>
                <w:szCs w:val="21"/>
              </w:rPr>
            </w:pPr>
          </w:p>
        </w:tc>
        <w:tc>
          <w:tcPr>
            <w:tcW w:w="709" w:type="pct"/>
            <w:vMerge w:val="continue"/>
            <w:vAlign w:val="center"/>
          </w:tcPr>
          <w:p>
            <w:pPr>
              <w:adjustRightInd w:val="0"/>
              <w:snapToGrid w:val="0"/>
              <w:spacing w:after="0" w:line="240" w:lineRule="auto"/>
              <w:rPr>
                <w:rFonts w:hint="eastAsia" w:ascii="仿宋" w:hAnsi="仿宋" w:eastAsia="仿宋"/>
                <w:color w:val="000000"/>
                <w:szCs w:val="21"/>
              </w:rPr>
            </w:pPr>
          </w:p>
        </w:tc>
        <w:tc>
          <w:tcPr>
            <w:tcW w:w="2179" w:type="pct"/>
            <w:vAlign w:val="center"/>
          </w:tcPr>
          <w:p>
            <w:pPr>
              <w:adjustRightInd w:val="0"/>
              <w:snapToGrid w:val="0"/>
              <w:spacing w:after="0" w:line="240" w:lineRule="auto"/>
              <w:rPr>
                <w:rFonts w:hint="eastAsia" w:ascii="仿宋" w:hAnsi="仿宋" w:eastAsia="仿宋"/>
                <w:color w:val="000000"/>
                <w:szCs w:val="21"/>
              </w:rPr>
            </w:pPr>
            <w:r>
              <w:rPr>
                <w:rFonts w:hint="eastAsia" w:ascii="仿宋" w:hAnsi="仿宋" w:eastAsia="仿宋" w:cs="宋体"/>
                <w:color w:val="000000"/>
                <w:szCs w:val="21"/>
              </w:rPr>
              <w:t>②</w:t>
            </w:r>
            <w:r>
              <w:rPr>
                <w:rFonts w:ascii="仿宋" w:hAnsi="仿宋" w:eastAsia="仿宋"/>
                <w:color w:val="000000"/>
                <w:szCs w:val="21"/>
              </w:rPr>
              <w:t>与部门长期规划、年度工作目标是否一致</w:t>
            </w:r>
          </w:p>
        </w:tc>
        <w:tc>
          <w:tcPr>
            <w:tcW w:w="30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2</w:t>
            </w:r>
          </w:p>
        </w:tc>
        <w:tc>
          <w:tcPr>
            <w:tcW w:w="307" w:type="pct"/>
            <w:vMerge w:val="continue"/>
            <w:vAlign w:val="center"/>
          </w:tcPr>
          <w:p>
            <w:pPr>
              <w:adjustRightInd w:val="0"/>
              <w:snapToGrid w:val="0"/>
              <w:spacing w:after="0" w:line="240" w:lineRule="auto"/>
              <w:jc w:val="center"/>
              <w:rPr>
                <w:rFonts w:hint="eastAsia" w:ascii="仿宋" w:hAnsi="仿宋" w:eastAsia="仿宋"/>
                <w:color w:val="000000"/>
                <w:szCs w:val="21"/>
              </w:rPr>
            </w:pPr>
          </w:p>
        </w:tc>
        <w:tc>
          <w:tcPr>
            <w:tcW w:w="247" w:type="pct"/>
            <w:vAlign w:val="center"/>
          </w:tcPr>
          <w:p>
            <w:pPr>
              <w:adjustRightInd w:val="0"/>
              <w:snapToGrid w:val="0"/>
              <w:spacing w:after="0" w:line="240" w:lineRule="auto"/>
              <w:jc w:val="center"/>
              <w:rPr>
                <w:rFonts w:hint="eastAsia" w:ascii="仿宋" w:hAnsi="仿宋" w:eastAsia="仿宋"/>
                <w:color w:val="000000"/>
                <w:szCs w:val="21"/>
              </w:rPr>
            </w:pPr>
            <w:r>
              <w:rPr>
                <w:rFonts w:hint="eastAsia" w:ascii="仿宋" w:hAnsi="仿宋" w:eastAsia="仿宋"/>
                <w:color w:val="000000"/>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1" w:type="pct"/>
            <w:vMerge w:val="continue"/>
            <w:vAlign w:val="center"/>
          </w:tcPr>
          <w:p>
            <w:pPr>
              <w:adjustRightInd w:val="0"/>
              <w:snapToGrid w:val="0"/>
              <w:spacing w:after="0" w:line="240" w:lineRule="auto"/>
              <w:rPr>
                <w:rFonts w:hint="eastAsia" w:ascii="仿宋" w:hAnsi="仿宋" w:eastAsia="仿宋"/>
                <w:color w:val="000000"/>
                <w:szCs w:val="21"/>
              </w:rPr>
            </w:pPr>
          </w:p>
        </w:tc>
        <w:tc>
          <w:tcPr>
            <w:tcW w:w="709" w:type="pct"/>
            <w:vMerge w:val="continue"/>
            <w:vAlign w:val="center"/>
          </w:tcPr>
          <w:p>
            <w:pPr>
              <w:adjustRightInd w:val="0"/>
              <w:snapToGrid w:val="0"/>
              <w:spacing w:after="0" w:line="240" w:lineRule="auto"/>
              <w:rPr>
                <w:rFonts w:hint="eastAsia" w:ascii="仿宋" w:hAnsi="仿宋" w:eastAsia="仿宋"/>
                <w:color w:val="000000"/>
                <w:szCs w:val="21"/>
              </w:rPr>
            </w:pPr>
          </w:p>
        </w:tc>
        <w:tc>
          <w:tcPr>
            <w:tcW w:w="2179" w:type="pct"/>
            <w:vAlign w:val="center"/>
          </w:tcPr>
          <w:p>
            <w:pPr>
              <w:adjustRightInd w:val="0"/>
              <w:snapToGrid w:val="0"/>
              <w:spacing w:after="0" w:line="240" w:lineRule="auto"/>
              <w:rPr>
                <w:rFonts w:hint="eastAsia" w:ascii="仿宋" w:hAnsi="仿宋" w:eastAsia="仿宋"/>
                <w:color w:val="000000"/>
                <w:szCs w:val="21"/>
              </w:rPr>
            </w:pPr>
            <w:r>
              <w:rPr>
                <w:rFonts w:hint="eastAsia" w:ascii="仿宋" w:hAnsi="仿宋" w:eastAsia="仿宋" w:cs="宋体"/>
                <w:color w:val="000000"/>
                <w:szCs w:val="21"/>
              </w:rPr>
              <w:t>③</w:t>
            </w:r>
            <w:r>
              <w:rPr>
                <w:rFonts w:ascii="仿宋" w:hAnsi="仿宋" w:eastAsia="仿宋"/>
                <w:color w:val="000000"/>
                <w:szCs w:val="21"/>
              </w:rPr>
              <w:t>是否与政策、项目内容高度相关</w:t>
            </w:r>
          </w:p>
        </w:tc>
        <w:tc>
          <w:tcPr>
            <w:tcW w:w="30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2</w:t>
            </w:r>
          </w:p>
        </w:tc>
        <w:tc>
          <w:tcPr>
            <w:tcW w:w="307" w:type="pct"/>
            <w:vMerge w:val="continue"/>
            <w:vAlign w:val="center"/>
          </w:tcPr>
          <w:p>
            <w:pPr>
              <w:adjustRightInd w:val="0"/>
              <w:snapToGrid w:val="0"/>
              <w:spacing w:after="0" w:line="240" w:lineRule="auto"/>
              <w:jc w:val="center"/>
              <w:rPr>
                <w:rFonts w:hint="eastAsia" w:ascii="仿宋" w:hAnsi="仿宋" w:eastAsia="仿宋"/>
                <w:color w:val="000000"/>
                <w:szCs w:val="21"/>
              </w:rPr>
            </w:pPr>
          </w:p>
        </w:tc>
        <w:tc>
          <w:tcPr>
            <w:tcW w:w="247" w:type="pct"/>
            <w:vAlign w:val="center"/>
          </w:tcPr>
          <w:p>
            <w:pPr>
              <w:adjustRightInd w:val="0"/>
              <w:snapToGrid w:val="0"/>
              <w:spacing w:after="0" w:line="240" w:lineRule="auto"/>
              <w:jc w:val="center"/>
              <w:rPr>
                <w:rFonts w:hint="eastAsia" w:ascii="仿宋" w:hAnsi="仿宋" w:eastAsia="仿宋"/>
                <w:color w:val="000000"/>
                <w:szCs w:val="21"/>
              </w:rPr>
            </w:pPr>
            <w:r>
              <w:rPr>
                <w:rFonts w:hint="eastAsia" w:ascii="仿宋" w:hAnsi="仿宋" w:eastAsia="仿宋"/>
                <w:color w:val="000000"/>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1" w:type="pct"/>
            <w:vMerge w:val="continue"/>
            <w:vAlign w:val="center"/>
          </w:tcPr>
          <w:p>
            <w:pPr>
              <w:adjustRightInd w:val="0"/>
              <w:snapToGrid w:val="0"/>
              <w:spacing w:after="0" w:line="240" w:lineRule="auto"/>
              <w:rPr>
                <w:rFonts w:hint="eastAsia" w:ascii="仿宋" w:hAnsi="仿宋" w:eastAsia="仿宋"/>
                <w:color w:val="000000"/>
                <w:szCs w:val="21"/>
              </w:rPr>
            </w:pPr>
          </w:p>
        </w:tc>
        <w:tc>
          <w:tcPr>
            <w:tcW w:w="709" w:type="pct"/>
            <w:vMerge w:val="restart"/>
            <w:vAlign w:val="center"/>
          </w:tcPr>
          <w:p>
            <w:pPr>
              <w:adjustRightInd w:val="0"/>
              <w:snapToGrid w:val="0"/>
              <w:spacing w:after="0" w:line="240" w:lineRule="auto"/>
              <w:rPr>
                <w:rFonts w:hint="eastAsia" w:ascii="仿宋" w:hAnsi="仿宋" w:eastAsia="仿宋"/>
                <w:color w:val="000000"/>
                <w:szCs w:val="21"/>
              </w:rPr>
            </w:pPr>
            <w:r>
              <w:rPr>
                <w:rFonts w:ascii="仿宋" w:hAnsi="仿宋" w:eastAsia="仿宋"/>
                <w:color w:val="000000"/>
                <w:szCs w:val="21"/>
              </w:rPr>
              <w:t>目标合理性</w:t>
            </w:r>
          </w:p>
        </w:tc>
        <w:tc>
          <w:tcPr>
            <w:tcW w:w="2179" w:type="pct"/>
            <w:vAlign w:val="center"/>
          </w:tcPr>
          <w:p>
            <w:pPr>
              <w:adjustRightInd w:val="0"/>
              <w:snapToGrid w:val="0"/>
              <w:spacing w:after="0" w:line="240" w:lineRule="auto"/>
              <w:rPr>
                <w:rFonts w:hint="eastAsia" w:ascii="仿宋" w:hAnsi="仿宋" w:eastAsia="仿宋"/>
                <w:color w:val="000000"/>
                <w:szCs w:val="21"/>
              </w:rPr>
            </w:pPr>
            <w:r>
              <w:rPr>
                <w:rFonts w:hint="eastAsia" w:ascii="仿宋" w:hAnsi="仿宋" w:eastAsia="仿宋" w:cs="宋体"/>
                <w:color w:val="000000"/>
                <w:szCs w:val="21"/>
              </w:rPr>
              <w:t>①</w:t>
            </w:r>
            <w:r>
              <w:rPr>
                <w:rFonts w:ascii="仿宋" w:hAnsi="仿宋" w:eastAsia="仿宋"/>
                <w:color w:val="000000"/>
                <w:szCs w:val="21"/>
              </w:rPr>
              <w:t>是否与申报预算的资金量相匹配</w:t>
            </w:r>
          </w:p>
        </w:tc>
        <w:tc>
          <w:tcPr>
            <w:tcW w:w="30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3</w:t>
            </w:r>
          </w:p>
        </w:tc>
        <w:tc>
          <w:tcPr>
            <w:tcW w:w="307" w:type="pct"/>
            <w:vMerge w:val="continue"/>
            <w:vAlign w:val="center"/>
          </w:tcPr>
          <w:p>
            <w:pPr>
              <w:adjustRightInd w:val="0"/>
              <w:snapToGrid w:val="0"/>
              <w:spacing w:after="0" w:line="240" w:lineRule="auto"/>
              <w:jc w:val="center"/>
              <w:rPr>
                <w:rFonts w:hint="eastAsia" w:ascii="仿宋" w:hAnsi="仿宋" w:eastAsia="仿宋"/>
                <w:color w:val="000000"/>
                <w:szCs w:val="21"/>
              </w:rPr>
            </w:pPr>
          </w:p>
        </w:tc>
        <w:tc>
          <w:tcPr>
            <w:tcW w:w="247" w:type="pct"/>
            <w:vAlign w:val="center"/>
          </w:tcPr>
          <w:p>
            <w:pPr>
              <w:adjustRightInd w:val="0"/>
              <w:snapToGrid w:val="0"/>
              <w:spacing w:after="0" w:line="240" w:lineRule="auto"/>
              <w:jc w:val="center"/>
              <w:rPr>
                <w:rFonts w:hint="eastAsia" w:ascii="仿宋" w:hAnsi="仿宋" w:eastAsia="仿宋"/>
                <w:color w:val="000000"/>
                <w:szCs w:val="21"/>
              </w:rPr>
            </w:pPr>
            <w:r>
              <w:rPr>
                <w:rFonts w:hint="eastAsia" w:ascii="仿宋" w:hAnsi="仿宋" w:eastAsia="仿宋"/>
                <w:color w:val="000000"/>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1" w:type="pct"/>
            <w:vMerge w:val="continue"/>
            <w:vAlign w:val="center"/>
          </w:tcPr>
          <w:p>
            <w:pPr>
              <w:adjustRightInd w:val="0"/>
              <w:snapToGrid w:val="0"/>
              <w:spacing w:after="0" w:line="240" w:lineRule="auto"/>
              <w:rPr>
                <w:rFonts w:hint="eastAsia" w:ascii="仿宋" w:hAnsi="仿宋" w:eastAsia="仿宋"/>
                <w:color w:val="000000"/>
                <w:szCs w:val="21"/>
              </w:rPr>
            </w:pPr>
          </w:p>
        </w:tc>
        <w:tc>
          <w:tcPr>
            <w:tcW w:w="709" w:type="pct"/>
            <w:vMerge w:val="continue"/>
            <w:vAlign w:val="center"/>
          </w:tcPr>
          <w:p>
            <w:pPr>
              <w:adjustRightInd w:val="0"/>
              <w:snapToGrid w:val="0"/>
              <w:spacing w:after="0" w:line="240" w:lineRule="auto"/>
              <w:rPr>
                <w:rFonts w:hint="eastAsia" w:ascii="仿宋" w:hAnsi="仿宋" w:eastAsia="仿宋"/>
                <w:color w:val="000000"/>
                <w:szCs w:val="21"/>
              </w:rPr>
            </w:pPr>
          </w:p>
        </w:tc>
        <w:tc>
          <w:tcPr>
            <w:tcW w:w="2179" w:type="pct"/>
            <w:vAlign w:val="center"/>
          </w:tcPr>
          <w:p>
            <w:pPr>
              <w:adjustRightInd w:val="0"/>
              <w:snapToGrid w:val="0"/>
              <w:spacing w:after="0" w:line="240" w:lineRule="auto"/>
              <w:rPr>
                <w:rFonts w:hint="eastAsia" w:ascii="仿宋" w:hAnsi="仿宋" w:eastAsia="仿宋"/>
                <w:color w:val="000000"/>
                <w:szCs w:val="21"/>
              </w:rPr>
            </w:pPr>
            <w:r>
              <w:rPr>
                <w:rFonts w:hint="eastAsia" w:ascii="仿宋" w:hAnsi="仿宋" w:eastAsia="仿宋" w:cs="宋体"/>
                <w:color w:val="000000"/>
                <w:szCs w:val="21"/>
              </w:rPr>
              <w:t>②</w:t>
            </w:r>
            <w:r>
              <w:rPr>
                <w:rFonts w:ascii="仿宋" w:hAnsi="仿宋" w:eastAsia="仿宋"/>
                <w:color w:val="000000"/>
                <w:szCs w:val="21"/>
              </w:rPr>
              <w:t>绩效指标是否细化、量化</w:t>
            </w:r>
          </w:p>
        </w:tc>
        <w:tc>
          <w:tcPr>
            <w:tcW w:w="30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4</w:t>
            </w:r>
          </w:p>
        </w:tc>
        <w:tc>
          <w:tcPr>
            <w:tcW w:w="307" w:type="pct"/>
            <w:vMerge w:val="continue"/>
            <w:vAlign w:val="center"/>
          </w:tcPr>
          <w:p>
            <w:pPr>
              <w:adjustRightInd w:val="0"/>
              <w:snapToGrid w:val="0"/>
              <w:spacing w:after="0" w:line="240" w:lineRule="auto"/>
              <w:jc w:val="center"/>
              <w:rPr>
                <w:rFonts w:hint="eastAsia" w:ascii="仿宋" w:hAnsi="仿宋" w:eastAsia="仿宋"/>
                <w:color w:val="000000"/>
                <w:szCs w:val="21"/>
              </w:rPr>
            </w:pPr>
          </w:p>
        </w:tc>
        <w:tc>
          <w:tcPr>
            <w:tcW w:w="247" w:type="pct"/>
            <w:vAlign w:val="center"/>
          </w:tcPr>
          <w:p>
            <w:pPr>
              <w:adjustRightInd w:val="0"/>
              <w:snapToGrid w:val="0"/>
              <w:spacing w:after="0" w:line="240" w:lineRule="auto"/>
              <w:jc w:val="center"/>
              <w:rPr>
                <w:rFonts w:hint="eastAsia" w:ascii="仿宋" w:hAnsi="仿宋" w:eastAsia="仿宋"/>
                <w:color w:val="000000"/>
                <w:szCs w:val="21"/>
              </w:rPr>
            </w:pPr>
            <w:r>
              <w:rPr>
                <w:rFonts w:hint="eastAsia" w:ascii="仿宋" w:hAnsi="仿宋" w:eastAsia="仿宋"/>
                <w:color w:val="000000"/>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1" w:type="pct"/>
            <w:vMerge w:val="continue"/>
            <w:vAlign w:val="center"/>
          </w:tcPr>
          <w:p>
            <w:pPr>
              <w:adjustRightInd w:val="0"/>
              <w:snapToGrid w:val="0"/>
              <w:spacing w:after="0" w:line="240" w:lineRule="auto"/>
              <w:rPr>
                <w:rFonts w:hint="eastAsia" w:ascii="仿宋" w:hAnsi="仿宋" w:eastAsia="仿宋"/>
                <w:color w:val="000000"/>
                <w:szCs w:val="21"/>
              </w:rPr>
            </w:pPr>
          </w:p>
        </w:tc>
        <w:tc>
          <w:tcPr>
            <w:tcW w:w="709" w:type="pct"/>
            <w:vMerge w:val="continue"/>
            <w:vAlign w:val="center"/>
          </w:tcPr>
          <w:p>
            <w:pPr>
              <w:adjustRightInd w:val="0"/>
              <w:snapToGrid w:val="0"/>
              <w:spacing w:after="0" w:line="240" w:lineRule="auto"/>
              <w:rPr>
                <w:rFonts w:hint="eastAsia" w:ascii="仿宋" w:hAnsi="仿宋" w:eastAsia="仿宋"/>
                <w:color w:val="000000"/>
                <w:szCs w:val="21"/>
              </w:rPr>
            </w:pPr>
          </w:p>
        </w:tc>
        <w:tc>
          <w:tcPr>
            <w:tcW w:w="2179" w:type="pct"/>
            <w:vAlign w:val="center"/>
          </w:tcPr>
          <w:p>
            <w:pPr>
              <w:adjustRightInd w:val="0"/>
              <w:snapToGrid w:val="0"/>
              <w:spacing w:after="0" w:line="240" w:lineRule="auto"/>
              <w:rPr>
                <w:rFonts w:hint="eastAsia" w:ascii="仿宋" w:hAnsi="仿宋" w:eastAsia="仿宋"/>
                <w:color w:val="000000"/>
                <w:szCs w:val="21"/>
              </w:rPr>
            </w:pPr>
            <w:r>
              <w:rPr>
                <w:rFonts w:hint="eastAsia" w:ascii="仿宋" w:hAnsi="仿宋" w:eastAsia="仿宋" w:cs="宋体"/>
                <w:color w:val="000000"/>
                <w:szCs w:val="21"/>
              </w:rPr>
              <w:t>③</w:t>
            </w:r>
            <w:r>
              <w:rPr>
                <w:rFonts w:ascii="仿宋" w:hAnsi="仿宋" w:eastAsia="仿宋"/>
                <w:color w:val="000000"/>
                <w:szCs w:val="21"/>
              </w:rPr>
              <w:t>指标值是否合理、可考核</w:t>
            </w:r>
          </w:p>
        </w:tc>
        <w:tc>
          <w:tcPr>
            <w:tcW w:w="30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2</w:t>
            </w:r>
          </w:p>
        </w:tc>
        <w:tc>
          <w:tcPr>
            <w:tcW w:w="307" w:type="pct"/>
            <w:vMerge w:val="continue"/>
            <w:vAlign w:val="center"/>
          </w:tcPr>
          <w:p>
            <w:pPr>
              <w:adjustRightInd w:val="0"/>
              <w:snapToGrid w:val="0"/>
              <w:spacing w:after="0" w:line="240" w:lineRule="auto"/>
              <w:jc w:val="center"/>
              <w:rPr>
                <w:rFonts w:hint="eastAsia" w:ascii="仿宋" w:hAnsi="仿宋" w:eastAsia="仿宋"/>
                <w:color w:val="000000"/>
                <w:szCs w:val="21"/>
              </w:rPr>
            </w:pPr>
          </w:p>
        </w:tc>
        <w:tc>
          <w:tcPr>
            <w:tcW w:w="247" w:type="pct"/>
            <w:vAlign w:val="center"/>
          </w:tcPr>
          <w:p>
            <w:pPr>
              <w:adjustRightInd w:val="0"/>
              <w:snapToGrid w:val="0"/>
              <w:spacing w:after="0" w:line="240" w:lineRule="auto"/>
              <w:jc w:val="center"/>
              <w:rPr>
                <w:rFonts w:hint="eastAsia" w:ascii="仿宋" w:hAnsi="仿宋" w:eastAsia="仿宋"/>
                <w:color w:val="000000"/>
                <w:szCs w:val="21"/>
              </w:rPr>
            </w:pPr>
            <w:r>
              <w:rPr>
                <w:rFonts w:hint="eastAsia" w:ascii="仿宋" w:hAnsi="仿宋" w:eastAsia="仿宋"/>
                <w:color w:val="000000"/>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38" w:type="pct"/>
            <w:gridSpan w:val="3"/>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合计</w:t>
            </w:r>
          </w:p>
        </w:tc>
        <w:tc>
          <w:tcPr>
            <w:tcW w:w="30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100</w:t>
            </w:r>
          </w:p>
        </w:tc>
        <w:tc>
          <w:tcPr>
            <w:tcW w:w="30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100</w:t>
            </w:r>
          </w:p>
        </w:tc>
        <w:tc>
          <w:tcPr>
            <w:tcW w:w="247" w:type="pct"/>
            <w:vAlign w:val="center"/>
          </w:tcPr>
          <w:p>
            <w:pPr>
              <w:adjustRightInd w:val="0"/>
              <w:snapToGrid w:val="0"/>
              <w:spacing w:after="0" w:line="240" w:lineRule="auto"/>
              <w:jc w:val="center"/>
              <w:rPr>
                <w:rFonts w:hint="eastAsia" w:ascii="仿宋" w:hAnsi="仿宋" w:eastAsia="仿宋"/>
                <w:color w:val="000000"/>
                <w:szCs w:val="21"/>
              </w:rPr>
            </w:pPr>
            <w:r>
              <w:rPr>
                <w:rFonts w:ascii="仿宋" w:hAnsi="仿宋" w:eastAsia="仿宋"/>
                <w:color w:val="000000"/>
                <w:szCs w:val="21"/>
              </w:rPr>
              <w:t>9</w:t>
            </w:r>
            <w:r>
              <w:rPr>
                <w:rFonts w:hint="eastAsia" w:ascii="仿宋" w:hAnsi="仿宋" w:eastAsia="仿宋"/>
                <w:color w:val="000000"/>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6"/>
            <w:vAlign w:val="center"/>
          </w:tcPr>
          <w:p>
            <w:pPr>
              <w:adjustRightInd w:val="0"/>
              <w:snapToGrid w:val="0"/>
              <w:spacing w:after="0" w:line="240" w:lineRule="auto"/>
              <w:jc w:val="center"/>
              <w:rPr>
                <w:rFonts w:hint="eastAsia" w:ascii="仿宋" w:hAnsi="仿宋" w:eastAsia="仿宋"/>
                <w:b/>
                <w:color w:val="000000"/>
                <w:szCs w:val="21"/>
              </w:rPr>
            </w:pPr>
            <w:r>
              <w:rPr>
                <w:rFonts w:ascii="仿宋" w:hAnsi="仿宋" w:eastAsia="仿宋"/>
                <w:b/>
                <w:color w:val="000000"/>
                <w:szCs w:val="21"/>
              </w:rPr>
              <w:t>事前绩效评估结论：优</w:t>
            </w:r>
          </w:p>
        </w:tc>
      </w:tr>
    </w:tbl>
    <w:p>
      <w:pPr>
        <w:widowControl/>
        <w:spacing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p>
    <w:p>
      <w:pPr>
        <w:pStyle w:val="3"/>
        <w:spacing w:before="120" w:after="0" w:line="360" w:lineRule="auto"/>
        <w:ind w:firstLine="562" w:firstLineChars="200"/>
        <w:rPr>
          <w:rFonts w:hint="eastAsia" w:ascii="仿宋" w:hAnsi="仿宋" w:eastAsia="仿宋" w:cs="楷体"/>
          <w:color w:val="000000" w:themeColor="text1"/>
          <w:kern w:val="0"/>
          <w:sz w:val="28"/>
          <w:szCs w:val="28"/>
          <w14:textFill>
            <w14:solidFill>
              <w14:schemeClr w14:val="tx1"/>
            </w14:solidFill>
          </w14:textFill>
        </w:rPr>
      </w:pPr>
      <w:bookmarkStart w:id="47" w:name="_Toc200722023"/>
      <w:r>
        <w:rPr>
          <w:rFonts w:hint="eastAsia" w:ascii="仿宋" w:hAnsi="仿宋" w:eastAsia="仿宋" w:cs="楷体"/>
          <w:color w:val="000000" w:themeColor="text1"/>
          <w:kern w:val="0"/>
          <w:sz w:val="28"/>
          <w:szCs w:val="28"/>
          <w14:textFill>
            <w14:solidFill>
              <w14:schemeClr w14:val="tx1"/>
            </w14:solidFill>
          </w14:textFill>
        </w:rPr>
        <w:t>六、风险评估</w:t>
      </w:r>
      <w:bookmarkEnd w:id="47"/>
    </w:p>
    <w:p>
      <w:pPr>
        <w:pStyle w:val="3"/>
        <w:spacing w:before="0" w:after="0" w:line="360" w:lineRule="auto"/>
        <w:ind w:firstLine="562" w:firstLineChars="200"/>
        <w:rPr>
          <w:rFonts w:hint="eastAsia" w:ascii="仿宋" w:hAnsi="仿宋" w:eastAsia="仿宋" w:cs="楷体"/>
          <w:color w:val="000000" w:themeColor="text1"/>
          <w:kern w:val="0"/>
          <w:sz w:val="28"/>
          <w:szCs w:val="28"/>
          <w:lang w:val="en-GB"/>
          <w14:textFill>
            <w14:solidFill>
              <w14:schemeClr w14:val="tx1"/>
            </w14:solidFill>
          </w14:textFill>
        </w:rPr>
      </w:pPr>
      <w:bookmarkStart w:id="48" w:name="_Toc200722024"/>
      <w:r>
        <w:rPr>
          <w:rFonts w:hint="eastAsia" w:ascii="仿宋" w:hAnsi="仿宋" w:eastAsia="仿宋" w:cs="楷体"/>
          <w:color w:val="000000" w:themeColor="text1"/>
          <w:kern w:val="0"/>
          <w:sz w:val="28"/>
          <w:szCs w:val="28"/>
          <w:lang w:val="en-GB"/>
          <w14:textFill>
            <w14:solidFill>
              <w14:schemeClr w14:val="tx1"/>
            </w14:solidFill>
          </w14:textFill>
        </w:rPr>
        <w:t>（一）影响项目施工进度或正常运营的风险及控制措施</w:t>
      </w:r>
      <w:bookmarkEnd w:id="48"/>
    </w:p>
    <w:p>
      <w:pPr>
        <w:widowControl/>
        <w:spacing w:after="0" w:line="360" w:lineRule="auto"/>
        <w:ind w:left="567"/>
        <w:outlineLvl w:val="2"/>
        <w:rPr>
          <w:rFonts w:hint="eastAsia" w:ascii="仿宋" w:hAnsi="仿宋" w:eastAsia="仿宋"/>
          <w:b/>
          <w:color w:val="000000" w:themeColor="text1"/>
          <w:kern w:val="0"/>
          <w:sz w:val="28"/>
          <w:szCs w:val="28"/>
          <w14:textFill>
            <w14:solidFill>
              <w14:schemeClr w14:val="tx1"/>
            </w14:solidFill>
          </w14:textFill>
        </w:rPr>
      </w:pPr>
      <w:r>
        <w:rPr>
          <w:rFonts w:hint="eastAsia" w:ascii="仿宋" w:hAnsi="仿宋" w:eastAsia="仿宋"/>
          <w:b/>
          <w:color w:val="000000" w:themeColor="text1"/>
          <w:kern w:val="0"/>
          <w:sz w:val="28"/>
          <w:szCs w:val="28"/>
          <w14:textFill>
            <w14:solidFill>
              <w14:schemeClr w14:val="tx1"/>
            </w14:solidFill>
          </w14:textFill>
        </w:rPr>
        <w:t>1．政策风险</w:t>
      </w:r>
    </w:p>
    <w:p>
      <w:pPr>
        <w:widowControl/>
        <w:spacing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包括政治变动、国家法规、产业政策、货币政策、财政政策等国家政策的变化对承办单位投资的相关产业产生影响，可能导致所投资项目的市场变动，从而影响项目建设。本项目为公益性民生项目，面临的政策性风险较小。</w:t>
      </w:r>
    </w:p>
    <w:p>
      <w:pPr>
        <w:widowControl/>
        <w:spacing w:after="0" w:line="360" w:lineRule="auto"/>
        <w:ind w:left="567"/>
        <w:outlineLvl w:val="2"/>
        <w:rPr>
          <w:rFonts w:hint="eastAsia" w:ascii="仿宋" w:hAnsi="仿宋" w:eastAsia="仿宋"/>
          <w:b/>
          <w:color w:val="000000" w:themeColor="text1"/>
          <w:kern w:val="0"/>
          <w:sz w:val="28"/>
          <w:szCs w:val="28"/>
          <w14:textFill>
            <w14:solidFill>
              <w14:schemeClr w14:val="tx1"/>
            </w14:solidFill>
          </w14:textFill>
        </w:rPr>
      </w:pPr>
      <w:r>
        <w:rPr>
          <w:rFonts w:hint="eastAsia" w:ascii="仿宋" w:hAnsi="仿宋" w:eastAsia="仿宋"/>
          <w:b/>
          <w:color w:val="000000" w:themeColor="text1"/>
          <w:kern w:val="0"/>
          <w:sz w:val="28"/>
          <w:szCs w:val="28"/>
          <w14:textFill>
            <w14:solidFill>
              <w14:schemeClr w14:val="tx1"/>
            </w14:solidFill>
          </w14:textFill>
        </w:rPr>
        <w:t>2．项目实施与管理风险</w:t>
      </w:r>
    </w:p>
    <w:p>
      <w:pPr>
        <w:widowControl/>
        <w:spacing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项目建设期间严格执行文明施工标准，确保项目对民众生活的影响降至最低。</w:t>
      </w:r>
    </w:p>
    <w:p>
      <w:pPr>
        <w:widowControl/>
        <w:spacing w:after="0" w:line="360" w:lineRule="auto"/>
        <w:ind w:left="567"/>
        <w:outlineLvl w:val="2"/>
        <w:rPr>
          <w:rFonts w:hint="eastAsia" w:ascii="仿宋" w:hAnsi="仿宋" w:eastAsia="仿宋"/>
          <w:b/>
          <w:color w:val="000000" w:themeColor="text1"/>
          <w:kern w:val="0"/>
          <w:sz w:val="28"/>
          <w:szCs w:val="28"/>
          <w14:textFill>
            <w14:solidFill>
              <w14:schemeClr w14:val="tx1"/>
            </w14:solidFill>
          </w14:textFill>
        </w:rPr>
      </w:pPr>
      <w:r>
        <w:rPr>
          <w:rFonts w:hint="eastAsia" w:ascii="仿宋" w:hAnsi="仿宋" w:eastAsia="仿宋"/>
          <w:b/>
          <w:color w:val="000000" w:themeColor="text1"/>
          <w:kern w:val="0"/>
          <w:sz w:val="28"/>
          <w:szCs w:val="28"/>
          <w14:textFill>
            <w14:solidFill>
              <w14:schemeClr w14:val="tx1"/>
            </w14:solidFill>
          </w14:textFill>
        </w:rPr>
        <w:t>3．财务风险</w:t>
      </w:r>
    </w:p>
    <w:p>
      <w:pPr>
        <w:widowControl/>
        <w:spacing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项目总投资规模较大，可能会形成由于资金落实不到位，使项目工期延长，无法按时完成项目建设的风险。项目资金来源拟通过财政拨款、申请发行债券解决，在债券资金的支撑下，项目的实施将会顺利进行，因此，项目面临的财务风险较小。</w:t>
      </w:r>
    </w:p>
    <w:p>
      <w:pPr>
        <w:pStyle w:val="3"/>
        <w:spacing w:before="0" w:after="0" w:line="360" w:lineRule="auto"/>
        <w:ind w:firstLine="562" w:firstLineChars="200"/>
        <w:rPr>
          <w:rFonts w:hint="eastAsia" w:ascii="仿宋" w:hAnsi="仿宋" w:eastAsia="仿宋" w:cs="楷体"/>
          <w:color w:val="000000" w:themeColor="text1"/>
          <w:kern w:val="0"/>
          <w:sz w:val="28"/>
          <w:szCs w:val="28"/>
          <w:lang w:val="en-GB"/>
          <w14:textFill>
            <w14:solidFill>
              <w14:schemeClr w14:val="tx1"/>
            </w14:solidFill>
          </w14:textFill>
        </w:rPr>
      </w:pPr>
      <w:bookmarkStart w:id="49" w:name="_Toc200722025"/>
      <w:r>
        <w:rPr>
          <w:rFonts w:hint="eastAsia" w:ascii="仿宋" w:hAnsi="仿宋" w:eastAsia="仿宋" w:cs="楷体"/>
          <w:color w:val="000000" w:themeColor="text1"/>
          <w:kern w:val="0"/>
          <w:sz w:val="28"/>
          <w:szCs w:val="28"/>
          <w:lang w:val="en-GB"/>
          <w14:textFill>
            <w14:solidFill>
              <w14:schemeClr w14:val="tx1"/>
            </w14:solidFill>
          </w14:textFill>
        </w:rPr>
        <w:t>（二）影响项目收益的风险及控制措施</w:t>
      </w:r>
      <w:bookmarkEnd w:id="49"/>
    </w:p>
    <w:p>
      <w:pPr>
        <w:widowControl/>
        <w:spacing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本项目的主要风险是项目管理单位的组织管理水平、项目承建单位的施工技术及管理水平等。</w:t>
      </w:r>
    </w:p>
    <w:p>
      <w:pPr>
        <w:widowControl/>
        <w:spacing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风险控制措施：提前规划，注重项目可行性研究和科学管理；工程建设期间持续跟踪；招投标期间从项目本身建设难度出发选择有较高施工水平的施工队伍，以便项目顺利推进。针对环境因素的风险，提前预判可能发生的灾害，及时做好防范工作。</w:t>
      </w:r>
    </w:p>
    <w:p>
      <w:pPr>
        <w:pStyle w:val="3"/>
        <w:spacing w:before="0" w:after="0" w:line="360" w:lineRule="auto"/>
        <w:ind w:firstLine="562" w:firstLineChars="200"/>
        <w:rPr>
          <w:rFonts w:hint="eastAsia" w:ascii="仿宋" w:hAnsi="仿宋" w:eastAsia="仿宋" w:cs="楷体"/>
          <w:color w:val="000000" w:themeColor="text1"/>
          <w:kern w:val="0"/>
          <w:sz w:val="28"/>
          <w:szCs w:val="28"/>
          <w:lang w:val="en-GB"/>
          <w14:textFill>
            <w14:solidFill>
              <w14:schemeClr w14:val="tx1"/>
            </w14:solidFill>
          </w14:textFill>
        </w:rPr>
      </w:pPr>
      <w:bookmarkStart w:id="50" w:name="_Toc200722026"/>
      <w:r>
        <w:rPr>
          <w:rFonts w:hint="eastAsia" w:ascii="仿宋" w:hAnsi="仿宋" w:eastAsia="仿宋" w:cs="楷体"/>
          <w:color w:val="000000" w:themeColor="text1"/>
          <w:kern w:val="0"/>
          <w:sz w:val="28"/>
          <w:szCs w:val="28"/>
          <w:lang w:val="en-GB"/>
          <w14:textFill>
            <w14:solidFill>
              <w14:schemeClr w14:val="tx1"/>
            </w14:solidFill>
          </w14:textFill>
        </w:rPr>
        <w:t>（三）影响融资平衡结果的风险及控制措施</w:t>
      </w:r>
      <w:bookmarkEnd w:id="50"/>
    </w:p>
    <w:p>
      <w:pPr>
        <w:widowControl/>
        <w:spacing w:after="0" w:line="360" w:lineRule="auto"/>
        <w:ind w:left="567"/>
        <w:outlineLvl w:val="2"/>
        <w:rPr>
          <w:rFonts w:hint="eastAsia" w:ascii="仿宋" w:hAnsi="仿宋" w:eastAsia="仿宋"/>
          <w:b/>
          <w:color w:val="000000" w:themeColor="text1"/>
          <w:kern w:val="0"/>
          <w:sz w:val="28"/>
          <w:szCs w:val="28"/>
          <w14:textFill>
            <w14:solidFill>
              <w14:schemeClr w14:val="tx1"/>
            </w14:solidFill>
          </w14:textFill>
        </w:rPr>
      </w:pPr>
      <w:r>
        <w:rPr>
          <w:rFonts w:hint="eastAsia" w:ascii="仿宋" w:hAnsi="仿宋" w:eastAsia="仿宋"/>
          <w:b/>
          <w:color w:val="000000" w:themeColor="text1"/>
          <w:kern w:val="0"/>
          <w:sz w:val="28"/>
          <w:szCs w:val="28"/>
          <w14:textFill>
            <w14:solidFill>
              <w14:schemeClr w14:val="tx1"/>
            </w14:solidFill>
          </w14:textFill>
        </w:rPr>
        <w:t>1．投资测算不准确风险</w:t>
      </w:r>
    </w:p>
    <w:p>
      <w:pPr>
        <w:widowControl/>
        <w:spacing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影响本项目融资平衡最大的风险在于对未来经营预测、项目进度以及项目整体现金流测算等重要环节出现判断偏差。经营预测偏大或偏小直接导致投资总额设计偏大或偏小；对项目进度错判将导致融资节奏错乱，导致资金不能及时足额注入到项目或者大额资金不能充分运用的后果；整体现金流测算出现偏差将导致项目可行性分析不能及时纠偏，项目资金投入和现金流入不能平衡的结果。</w:t>
      </w:r>
    </w:p>
    <w:p>
      <w:pPr>
        <w:widowControl/>
        <w:spacing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风险控制措施：债券内所含项目的可行性研究报告均聘请了国内知名研究院经过大量分析论证工作后得出，分析结果较为可靠。</w:t>
      </w:r>
    </w:p>
    <w:p>
      <w:pPr>
        <w:widowControl/>
        <w:spacing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此外，根据《财政部关于试点发展项目收益与融资自求平衡的地方政府专项债券品种的通知》（财预〔2017〕89号）规定，因项目取得的政府性基金或专项收入暂时难以实现，不能偿还到期债券本金时，可在专项债务限额内发行相关专项债券周转偿还，项目收入实现后予以归还。同时，为控制融资平衡风险，海口市政府有权视项目平衡情况动态调整项目资本金比例。</w:t>
      </w:r>
    </w:p>
    <w:p>
      <w:pPr>
        <w:widowControl/>
        <w:spacing w:after="0" w:line="360" w:lineRule="auto"/>
        <w:ind w:left="567"/>
        <w:outlineLvl w:val="2"/>
        <w:rPr>
          <w:rFonts w:hint="eastAsia" w:ascii="仿宋" w:hAnsi="仿宋" w:eastAsia="仿宋"/>
          <w:b/>
          <w:color w:val="000000" w:themeColor="text1"/>
          <w:kern w:val="0"/>
          <w:sz w:val="28"/>
          <w:szCs w:val="28"/>
          <w14:textFill>
            <w14:solidFill>
              <w14:schemeClr w14:val="tx1"/>
            </w14:solidFill>
          </w14:textFill>
        </w:rPr>
      </w:pPr>
      <w:r>
        <w:rPr>
          <w:rFonts w:hint="eastAsia" w:ascii="仿宋" w:hAnsi="仿宋" w:eastAsia="仿宋"/>
          <w:b/>
          <w:color w:val="000000" w:themeColor="text1"/>
          <w:kern w:val="0"/>
          <w:sz w:val="28"/>
          <w:szCs w:val="28"/>
          <w14:textFill>
            <w14:solidFill>
              <w14:schemeClr w14:val="tx1"/>
            </w14:solidFill>
          </w14:textFill>
        </w:rPr>
        <w:t>2．利率波动风险</w:t>
      </w:r>
    </w:p>
    <w:p>
      <w:pPr>
        <w:widowControl/>
        <w:spacing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在本期专项债券存续期内，国际、国内宏观经济环境的变化，国家经济政策变动等因素会引起债务资本市场利率的波动，市场利率波动将会对本项目的财务成本产生影响，进而影响项目投资收益的平衡。</w:t>
      </w:r>
    </w:p>
    <w:p>
      <w:pPr>
        <w:widowControl/>
        <w:spacing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风险控制措施：为控制项目融资平衡风险，可动态调整债券发行期限和还款方式及时间，做好期限配比、还款计划和准备，加快资金周转，适当增大流动比率，充分盘活资金，用资金使用效率收益对冲利率波动损失。</w:t>
      </w:r>
    </w:p>
    <w:p>
      <w:pPr>
        <w:widowControl/>
        <w:spacing w:after="0" w:line="360" w:lineRule="auto"/>
        <w:ind w:left="567"/>
        <w:outlineLvl w:val="2"/>
        <w:rPr>
          <w:rFonts w:hint="eastAsia" w:ascii="仿宋" w:hAnsi="仿宋" w:eastAsia="仿宋"/>
          <w:b/>
          <w:color w:val="000000" w:themeColor="text1"/>
          <w:kern w:val="0"/>
          <w:sz w:val="28"/>
          <w:szCs w:val="28"/>
          <w14:textFill>
            <w14:solidFill>
              <w14:schemeClr w14:val="tx1"/>
            </w14:solidFill>
          </w14:textFill>
        </w:rPr>
      </w:pPr>
      <w:r>
        <w:rPr>
          <w:rFonts w:hint="eastAsia" w:ascii="仿宋" w:hAnsi="仿宋" w:eastAsia="仿宋"/>
          <w:b/>
          <w:color w:val="000000" w:themeColor="text1"/>
          <w:kern w:val="0"/>
          <w:sz w:val="28"/>
          <w:szCs w:val="28"/>
          <w14:textFill>
            <w14:solidFill>
              <w14:schemeClr w14:val="tx1"/>
            </w14:solidFill>
          </w14:textFill>
        </w:rPr>
        <w:t>3．存续债券置换不畅风险</w:t>
      </w:r>
    </w:p>
    <w:p>
      <w:pPr>
        <w:widowControl/>
        <w:spacing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根据《地方政府专项债务预算管理办法》（财预〔2016〕155号）第六条规定，专项债务本金通过对应的政府性基金收入、专项收入、发行专项债券等偿还。若本期专项债券到期时项目收入不足以偿还本期债券，发行人将发行新一期政府专项债券置换本期债券。因此存在由于新一期政府专项债券不能足额及时募集而造成本期政府专项债券不能按期足额兑付的风险。</w:t>
      </w:r>
    </w:p>
    <w:p>
      <w:pPr>
        <w:widowControl/>
        <w:spacing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风险控制措施：为防止发生存续债券不能顺畅置换的风险，发行人将会同主承销商及承销团成员提前准备发行资料，选取合适发行时间窗口，根据市场行情科学定价，力争在存续债券兑付日之前及时足额地募集到还款资金。</w:t>
      </w:r>
    </w:p>
    <w:p>
      <w:pPr>
        <w:pStyle w:val="3"/>
        <w:spacing w:before="120" w:after="0" w:line="360" w:lineRule="auto"/>
        <w:ind w:firstLine="562" w:firstLineChars="200"/>
        <w:rPr>
          <w:rFonts w:hint="eastAsia" w:ascii="仿宋" w:hAnsi="仿宋" w:eastAsia="仿宋" w:cs="楷体"/>
          <w:color w:val="000000" w:themeColor="text1"/>
          <w:kern w:val="0"/>
          <w:sz w:val="28"/>
          <w:szCs w:val="28"/>
          <w14:textFill>
            <w14:solidFill>
              <w14:schemeClr w14:val="tx1"/>
            </w14:solidFill>
          </w14:textFill>
        </w:rPr>
      </w:pPr>
      <w:bookmarkStart w:id="51" w:name="_Toc200722027"/>
      <w:r>
        <w:rPr>
          <w:rFonts w:hint="eastAsia" w:ascii="仿宋" w:hAnsi="仿宋" w:eastAsia="仿宋" w:cs="楷体"/>
          <w:color w:val="000000" w:themeColor="text1"/>
          <w:kern w:val="0"/>
          <w:sz w:val="28"/>
          <w:szCs w:val="28"/>
          <w14:textFill>
            <w14:solidFill>
              <w14:schemeClr w14:val="tx1"/>
            </w14:solidFill>
          </w14:textFill>
        </w:rPr>
        <w:t>七、偿债保障及投资者保护</w:t>
      </w:r>
      <w:bookmarkEnd w:id="51"/>
    </w:p>
    <w:p>
      <w:pPr>
        <w:pStyle w:val="3"/>
        <w:spacing w:before="0" w:after="0" w:line="360" w:lineRule="auto"/>
        <w:ind w:firstLine="562" w:firstLineChars="200"/>
        <w:rPr>
          <w:rFonts w:hint="eastAsia" w:ascii="仿宋" w:hAnsi="仿宋" w:eastAsia="仿宋" w:cs="楷体"/>
          <w:color w:val="000000" w:themeColor="text1"/>
          <w:kern w:val="0"/>
          <w:sz w:val="28"/>
          <w:szCs w:val="28"/>
          <w:lang w:val="en-GB"/>
          <w14:textFill>
            <w14:solidFill>
              <w14:schemeClr w14:val="tx1"/>
            </w14:solidFill>
          </w14:textFill>
        </w:rPr>
      </w:pPr>
      <w:bookmarkStart w:id="52" w:name="_Toc200722028"/>
      <w:r>
        <w:rPr>
          <w:rFonts w:hint="eastAsia" w:ascii="仿宋" w:hAnsi="仿宋" w:eastAsia="仿宋" w:cs="楷体"/>
          <w:color w:val="000000" w:themeColor="text1"/>
          <w:kern w:val="0"/>
          <w:sz w:val="28"/>
          <w:szCs w:val="28"/>
          <w:lang w:val="en-GB"/>
          <w14:textFill>
            <w14:solidFill>
              <w14:schemeClr w14:val="tx1"/>
            </w14:solidFill>
          </w14:textFill>
        </w:rPr>
        <w:t>（一）本期专项债券偿债保障措施</w:t>
      </w:r>
      <w:bookmarkEnd w:id="52"/>
    </w:p>
    <w:p>
      <w:pPr>
        <w:widowControl/>
        <w:spacing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1、根据《财政部关于印发&lt;地方政府专项债务预算管理办法&gt;的通知》（财预〔2016〕155号）规定，专项债务应当有偿还计划和稳定的偿还资金来源。专项债务本金通过对应的政府性基金收入、专项收入、发行专项债券等偿还。专项债务利息通过对应的政府性基金收入、专项收入偿还，不通过发行专项债券偿。专项债务收支按照对应的政府性基金收入、专项收入实现项目收支平衡。</w:t>
      </w:r>
    </w:p>
    <w:p>
      <w:pPr>
        <w:widowControl/>
        <w:spacing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2、根据《国务院办公厅关于印发地方政府性债务风险应急处置预案的通知》（国办函〔2016〕88号）规定，对地方政府债券，地方政府依法承担全部偿还责任。市县财政将根据《财政部关于印发&lt;地方政府专项债务预算管理办法&gt;的通知》（财预〔2016〕155号）规定,及时按照转贷协议约定向省级财政部门缴纳本级应当承担的还本付息资金，由省级财政部门按照合同约定及时偿还专项债券到期本息。如偿债出现困难，将通过调减投资计划、调整预算支出等措施进行偿债。未及时足额向省级财政部门缴纳专项债券还本付息资金的，省级财政部门可以采取适当方式扣回。</w:t>
      </w:r>
    </w:p>
    <w:p>
      <w:pPr>
        <w:pStyle w:val="3"/>
        <w:spacing w:before="0" w:after="0" w:line="360" w:lineRule="auto"/>
        <w:ind w:firstLine="562" w:firstLineChars="200"/>
        <w:rPr>
          <w:rFonts w:hint="eastAsia" w:ascii="仿宋" w:hAnsi="仿宋" w:eastAsia="仿宋" w:cs="楷体"/>
          <w:color w:val="000000" w:themeColor="text1"/>
          <w:kern w:val="0"/>
          <w:sz w:val="28"/>
          <w:szCs w:val="28"/>
          <w:lang w:val="en-GB"/>
          <w14:textFill>
            <w14:solidFill>
              <w14:schemeClr w14:val="tx1"/>
            </w14:solidFill>
          </w14:textFill>
        </w:rPr>
      </w:pPr>
      <w:bookmarkStart w:id="53" w:name="_Toc200722029"/>
      <w:r>
        <w:rPr>
          <w:rFonts w:hint="eastAsia" w:ascii="仿宋" w:hAnsi="仿宋" w:eastAsia="仿宋" w:cs="楷体"/>
          <w:color w:val="000000" w:themeColor="text1"/>
          <w:kern w:val="0"/>
          <w:sz w:val="28"/>
          <w:szCs w:val="28"/>
          <w:lang w:val="en-GB"/>
          <w14:textFill>
            <w14:solidFill>
              <w14:schemeClr w14:val="tx1"/>
            </w14:solidFill>
          </w14:textFill>
        </w:rPr>
        <w:t>（二）本期专项债券的投资者保护措施</w:t>
      </w:r>
      <w:bookmarkEnd w:id="53"/>
    </w:p>
    <w:p>
      <w:pPr>
        <w:widowControl/>
        <w:spacing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根据《中华人民共和国预算法》(2018修正)、《国务院关于加强地方政府性债务管理的意见》（国发〔2014〕43号）和《国务院办公厅关于印发地方政府性债务风险应急处置预案的通知》（国办函〔2016〕88号），海南省政府先后制定了相关政策性文件，全面防控政府性债务风险并完善应急处置机制。</w:t>
      </w:r>
    </w:p>
    <w:p>
      <w:pPr>
        <w:pStyle w:val="3"/>
        <w:spacing w:before="120" w:after="0" w:line="360" w:lineRule="auto"/>
        <w:ind w:firstLine="562" w:firstLineChars="200"/>
        <w:rPr>
          <w:rFonts w:hint="eastAsia" w:ascii="仿宋" w:hAnsi="仿宋" w:eastAsia="仿宋" w:cs="楷体"/>
          <w:color w:val="000000" w:themeColor="text1"/>
          <w:kern w:val="0"/>
          <w:sz w:val="28"/>
          <w:szCs w:val="28"/>
          <w14:textFill>
            <w14:solidFill>
              <w14:schemeClr w14:val="tx1"/>
            </w14:solidFill>
          </w14:textFill>
        </w:rPr>
      </w:pPr>
      <w:bookmarkStart w:id="54" w:name="_Toc200722030"/>
      <w:r>
        <w:rPr>
          <w:rFonts w:hint="eastAsia" w:ascii="仿宋" w:hAnsi="仿宋" w:eastAsia="仿宋" w:cs="楷体"/>
          <w:color w:val="000000" w:themeColor="text1"/>
          <w:kern w:val="0"/>
          <w:sz w:val="28"/>
          <w:szCs w:val="28"/>
          <w14:textFill>
            <w14:solidFill>
              <w14:schemeClr w14:val="tx1"/>
            </w14:solidFill>
          </w14:textFill>
        </w:rPr>
        <w:t>八、结论</w:t>
      </w:r>
      <w:bookmarkEnd w:id="54"/>
    </w:p>
    <w:p>
      <w:pPr>
        <w:widowControl/>
        <w:spacing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基于财政部对地方政府发行专项债券的要求，本项目可以通过发行专项债券的方式进行融资以完成资金筹措，并以项目自身收益所对应的充足、稳定现金流作为还本付息的资金来源。</w:t>
      </w:r>
    </w:p>
    <w:p>
      <w:pPr>
        <w:widowControl/>
        <w:spacing w:after="0" w:line="360" w:lineRule="auto"/>
        <w:ind w:firstLine="560" w:firstLineChars="200"/>
        <w:rPr>
          <w:rFonts w:hint="eastAsia" w:ascii="仿宋" w:hAnsi="仿宋" w:eastAsia="仿宋"/>
          <w:color w:val="000000" w:themeColor="text1"/>
          <w:kern w:val="0"/>
          <w:sz w:val="28"/>
          <w:szCs w:val="28"/>
          <w14:textFill>
            <w14:solidFill>
              <w14:schemeClr w14:val="tx1"/>
            </w14:solidFill>
          </w14:textFill>
        </w:rPr>
      </w:pPr>
      <w:r>
        <w:rPr>
          <w:rFonts w:hint="eastAsia" w:ascii="仿宋" w:hAnsi="仿宋" w:eastAsia="仿宋"/>
          <w:color w:val="000000" w:themeColor="text1"/>
          <w:kern w:val="0"/>
          <w:sz w:val="28"/>
          <w:szCs w:val="28"/>
          <w14:textFill>
            <w14:solidFill>
              <w14:schemeClr w14:val="tx1"/>
            </w14:solidFill>
          </w14:textFill>
        </w:rPr>
        <w:t>综上所述，通过发行专项债券的方式，是解决海口江东新区城市地下管网完善工程（一期）资金来源的较好方式。</w:t>
      </w:r>
    </w:p>
    <w:p>
      <w:pPr>
        <w:spacing w:before="120" w:after="120" w:line="360" w:lineRule="auto"/>
        <w:jc w:val="right"/>
        <w:rPr>
          <w:rFonts w:hint="eastAsia" w:ascii="仿宋" w:hAnsi="仿宋" w:eastAsia="仿宋" w:cs="宋体"/>
          <w:color w:val="000000" w:themeColor="text1"/>
          <w:kern w:val="0"/>
          <w:sz w:val="28"/>
          <w:szCs w:val="28"/>
          <w14:textFill>
            <w14:solidFill>
              <w14:schemeClr w14:val="tx1"/>
            </w14:solidFill>
          </w14:textFill>
        </w:rPr>
      </w:pPr>
      <w:r>
        <w:rPr>
          <w:rFonts w:hint="eastAsia" w:ascii="仿宋" w:hAnsi="仿宋" w:eastAsia="仿宋" w:cs="宋体"/>
          <w:color w:val="000000" w:themeColor="text1"/>
          <w:kern w:val="0"/>
          <w:sz w:val="28"/>
          <w:szCs w:val="28"/>
          <w14:textFill>
            <w14:solidFill>
              <w14:schemeClr w14:val="tx1"/>
            </w14:solidFill>
          </w14:textFill>
        </w:rPr>
        <w:t>海口市路桥建设投资有限公司</w:t>
      </w:r>
    </w:p>
    <w:p>
      <w:pPr>
        <w:spacing w:before="120" w:after="120" w:line="360" w:lineRule="auto"/>
        <w:jc w:val="right"/>
        <w:rPr>
          <w:rFonts w:hint="eastAsia" w:ascii="仿宋" w:hAnsi="仿宋" w:eastAsia="仿宋" w:cs="宋体"/>
          <w:color w:val="000000" w:themeColor="text1"/>
          <w:sz w:val="28"/>
          <w:szCs w:val="28"/>
          <w14:textFill>
            <w14:solidFill>
              <w14:schemeClr w14:val="tx1"/>
            </w14:solidFill>
          </w14:textFill>
        </w:rPr>
      </w:pPr>
      <w:r>
        <w:rPr>
          <w:rFonts w:hint="eastAsia" w:ascii="仿宋" w:hAnsi="仿宋" w:eastAsia="仿宋" w:cs="宋体"/>
          <w:color w:val="000000" w:themeColor="text1"/>
          <w:kern w:val="0"/>
          <w:sz w:val="28"/>
          <w:szCs w:val="28"/>
          <w14:textFill>
            <w14:solidFill>
              <w14:schemeClr w14:val="tx1"/>
            </w14:solidFill>
          </w14:textFill>
        </w:rPr>
        <w:t>2025年6月</w:t>
      </w:r>
    </w:p>
    <w:sectPr>
      <w:footerReference r:id="rId6" w:type="default"/>
      <w:pgSz w:w="12240" w:h="15840"/>
      <w:pgMar w:top="1276" w:right="1797" w:bottom="1276" w:left="1797" w:header="709" w:footer="851" w:gutter="0"/>
      <w:pgNumType w:start="1"/>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D2198F61-62AC-4BAC-B54A-AF097A10E7B6}"/>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3416E549-B1D0-4015-B708-0BDEA21D81DF}"/>
  </w:font>
  <w:font w:name="Verdana">
    <w:panose1 w:val="020B0604030504040204"/>
    <w:charset w:val="00"/>
    <w:family w:val="swiss"/>
    <w:pitch w:val="default"/>
    <w:sig w:usb0="A00006FF" w:usb1="4000205B" w:usb2="00000010" w:usb3="00000000" w:csb0="2000019F" w:csb1="00000000"/>
    <w:embedRegular r:id="rId3" w:fontKey="{AD0119AF-A211-4C91-A9AE-BF0BBD4F69E3}"/>
  </w:font>
  <w:font w:name="Calibri Light">
    <w:panose1 w:val="020F0302020204030204"/>
    <w:charset w:val="00"/>
    <w:family w:val="swiss"/>
    <w:pitch w:val="default"/>
    <w:sig w:usb0="E4002EFF" w:usb1="C000247B" w:usb2="00000009" w:usb3="00000000" w:csb0="200001FF" w:csb1="00000000"/>
    <w:embedRegular r:id="rId4" w:fontKey="{BD930813-06A7-444B-BB2D-02261272D3C1}"/>
  </w:font>
  <w:font w:name="华文楷体">
    <w:panose1 w:val="02010600040101010101"/>
    <w:charset w:val="86"/>
    <w:family w:val="auto"/>
    <w:pitch w:val="default"/>
    <w:sig w:usb0="00000287" w:usb1="080F0000" w:usb2="00000000" w:usb3="00000000" w:csb0="0004009F" w:csb1="DFD70000"/>
  </w:font>
  <w:font w:name="LF_Kai">
    <w:altName w:val="宋体"/>
    <w:panose1 w:val="00000000000000000000"/>
    <w:charset w:val="86"/>
    <w:family w:val="script"/>
    <w:pitch w:val="default"/>
    <w:sig w:usb0="00000000" w:usb1="00000000" w:usb2="00000010" w:usb3="00000000" w:csb0="00040000" w:csb1="00000000"/>
  </w:font>
  <w:font w:name="华文细黑">
    <w:panose1 w:val="02010600040101010101"/>
    <w:charset w:val="86"/>
    <w:family w:val="auto"/>
    <w:pitch w:val="default"/>
    <w:sig w:usb0="00000287" w:usb1="080F0000" w:usb2="00000000" w:usb3="00000000" w:csb0="0004009F" w:csb1="DFD70000"/>
    <w:embedRegular r:id="rId5" w:fontKey="{D666E277-424E-4C3D-8798-882AF6421A12}"/>
  </w:font>
  <w:font w:name="楷体">
    <w:panose1 w:val="02010609060101010101"/>
    <w:charset w:val="86"/>
    <w:family w:val="modern"/>
    <w:pitch w:val="default"/>
    <w:sig w:usb0="800002BF" w:usb1="38CF7CFA" w:usb2="00000016" w:usb3="00000000" w:csb0="00040001" w:csb1="00000000"/>
    <w:embedRegular r:id="rId6" w:fontKey="{8A663152-A34C-45B2-BB69-C24F93AF403F}"/>
  </w:font>
  <w:font w:name="仿宋">
    <w:panose1 w:val="02010609060101010101"/>
    <w:charset w:val="86"/>
    <w:family w:val="modern"/>
    <w:pitch w:val="default"/>
    <w:sig w:usb0="800002BF" w:usb1="38CF7CFA" w:usb2="00000016" w:usb3="00000000" w:csb0="00040001" w:csb1="00000000"/>
    <w:embedRegular r:id="rId7" w:fontKey="{EA1DC2A6-BE25-4957-B5C8-ECC06DF34AA2}"/>
  </w:font>
  <w:font w:name="仿宋_GB2312">
    <w:panose1 w:val="02010609030101010101"/>
    <w:charset w:val="86"/>
    <w:family w:val="modern"/>
    <w:pitch w:val="default"/>
    <w:sig w:usb0="00000001" w:usb1="080E0000" w:usb2="00000000" w:usb3="00000000" w:csb0="00040000" w:csb1="00000000"/>
    <w:embedRegular r:id="rId8" w:fontKey="{FD7F18F2-BAA6-4831-94A7-413CC6AA8A13}"/>
  </w:font>
  <w:font w:name="微软雅黑">
    <w:panose1 w:val="020B0503020204020204"/>
    <w:charset w:val="86"/>
    <w:family w:val="swiss"/>
    <w:pitch w:val="default"/>
    <w:sig w:usb0="80000287" w:usb1="2ACF3C50" w:usb2="00000016" w:usb3="00000000" w:csb0="0004001F" w:csb1="00000000"/>
    <w:embedRegular r:id="rId9" w:fontKey="{FCE1498B-9655-4DE9-90C9-1D78D719D20E}"/>
  </w:font>
  <w:font w:name="Segoe UI">
    <w:panose1 w:val="020B0502040204020203"/>
    <w:charset w:val="00"/>
    <w:family w:val="swiss"/>
    <w:pitch w:val="default"/>
    <w:sig w:usb0="E4002EFF" w:usb1="C000E47F" w:usb2="00000009" w:usb3="00000000" w:csb0="200001FF" w:csb1="00000000"/>
    <w:embedRegular r:id="rId10" w:fontKey="{9FB17B68-F77F-4F26-BC19-29B28CBA2D0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
      <w:showingPlcHdr/>
    </w:sdtPr>
    <w:sdtEndPr>
      <w:rPr>
        <w:rFonts w:ascii="楷体" w:hAnsi="楷体" w:eastAsia="楷体"/>
        <w:sz w:val="20"/>
        <w:szCs w:val="20"/>
      </w:rPr>
    </w:sdtEndPr>
    <w:sdtContent>
      <w:p>
        <w:pPr>
          <w:pStyle w:val="14"/>
          <w:jc w:val="center"/>
          <w:rPr>
            <w:rFonts w:hint="eastAsia" w:ascii="楷体" w:hAnsi="楷体" w:eastAsia="楷体"/>
            <w:sz w:val="20"/>
            <w:szCs w:val="20"/>
          </w:rPr>
        </w:pPr>
        <w:r>
          <w:t xml:space="preserve">     </w:t>
        </w:r>
      </w:p>
    </w:sdtContent>
  </w:sdt>
  <w:p>
    <w:pPr>
      <w:pStyle w:val="14"/>
    </w:pPr>
    <w:sdt>
      <w:sdtPr>
        <w:id w:val="1735274144"/>
        <w:showingPlcHdr/>
      </w:sdtPr>
      <w:sdtContent>
        <w:r>
          <w:t xml:space="preserve">     </w:t>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62731046"/>
    </w:sdtPr>
    <w:sdtEndPr>
      <w:rPr>
        <w:rFonts w:ascii="楷体" w:hAnsi="楷体" w:eastAsia="楷体"/>
        <w:sz w:val="20"/>
        <w:szCs w:val="20"/>
      </w:rPr>
    </w:sdtEndPr>
    <w:sdtContent>
      <w:p>
        <w:pPr>
          <w:pStyle w:val="14"/>
          <w:jc w:val="center"/>
          <w:rPr>
            <w:rFonts w:hint="eastAsia" w:ascii="楷体" w:hAnsi="楷体" w:eastAsia="楷体"/>
            <w:sz w:val="20"/>
            <w:szCs w:val="20"/>
          </w:rPr>
        </w:pPr>
        <w:r>
          <w:fldChar w:fldCharType="begin"/>
        </w:r>
        <w:r>
          <w:instrText xml:space="preserve">PAGE   \* MERGEFORMAT</w:instrText>
        </w:r>
        <w:r>
          <w:fldChar w:fldCharType="separate"/>
        </w:r>
        <w:r>
          <w:rPr>
            <w:lang w:val="zh-CN"/>
          </w:rPr>
          <w:t>1</w:t>
        </w:r>
        <w:r>
          <w:fldChar w:fldCharType="end"/>
        </w:r>
      </w:p>
    </w:sdtContent>
  </w:sdt>
  <w:p>
    <w:pPr>
      <w:pStyle w:val="14"/>
    </w:pPr>
    <w:sdt>
      <w:sdtPr>
        <w:id w:val="8479112"/>
        <w:showingPlcHdr/>
      </w:sdtPr>
      <w:sdtContent>
        <w:r>
          <w:t xml:space="preserve">     </w:t>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10">
    <w:p>
      <w:pPr>
        <w:spacing w:before="0" w:after="0" w:line="259" w:lineRule="auto"/>
      </w:pPr>
      <w:r>
        <w:separator/>
      </w:r>
    </w:p>
  </w:footnote>
  <w:footnote w:type="continuationSeparator" w:id="11">
    <w:p>
      <w:pPr>
        <w:spacing w:before="0" w:after="0" w:line="259" w:lineRule="auto"/>
      </w:pPr>
      <w:r>
        <w:continuationSeparator/>
      </w:r>
    </w:p>
  </w:footnote>
  <w:footnote w:id="0">
    <w:p>
      <w:pPr>
        <w:pStyle w:val="18"/>
        <w:rPr>
          <w:rFonts w:hint="eastAsia" w:ascii="仿宋" w:hAnsi="仿宋" w:eastAsia="仿宋"/>
          <w:sz w:val="18"/>
          <w:szCs w:val="18"/>
        </w:rPr>
      </w:pPr>
      <w:r>
        <w:rPr>
          <w:rStyle w:val="32"/>
          <w:rFonts w:ascii="仿宋" w:hAnsi="仿宋" w:eastAsia="仿宋"/>
          <w:sz w:val="18"/>
          <w:szCs w:val="18"/>
        </w:rPr>
        <w:footnoteRef/>
      </w:r>
      <w:r>
        <w:rPr>
          <w:rFonts w:ascii="仿宋" w:hAnsi="仿宋" w:eastAsia="仿宋"/>
          <w:sz w:val="18"/>
          <w:szCs w:val="18"/>
        </w:rPr>
        <w:t xml:space="preserve"> </w:t>
      </w:r>
      <w:r>
        <w:rPr>
          <w:rFonts w:ascii="仿宋" w:hAnsi="仿宋" w:eastAsia="仿宋" w:cs="宋体"/>
          <w:sz w:val="18"/>
          <w:szCs w:val="18"/>
        </w:rPr>
        <w:t>由于本报告数据取整呈现，表格合计数与单项加总可能存在尾差，但不影响项目实际测算，下同。</w:t>
      </w:r>
    </w:p>
  </w:footnote>
  <w:footnote w:id="1">
    <w:p>
      <w:pPr>
        <w:pStyle w:val="18"/>
        <w:rPr>
          <w:rFonts w:hint="eastAsia" w:ascii="仿宋" w:hAnsi="仿宋" w:eastAsia="仿宋"/>
          <w:sz w:val="18"/>
          <w:szCs w:val="18"/>
        </w:rPr>
      </w:pPr>
      <w:r>
        <w:rPr>
          <w:rStyle w:val="32"/>
          <w:rFonts w:hint="eastAsia" w:ascii="仿宋_GB2312" w:eastAsia="仿宋_GB2312"/>
          <w:sz w:val="18"/>
          <w:szCs w:val="18"/>
        </w:rPr>
        <w:footnoteRef/>
      </w:r>
      <w:r>
        <w:rPr>
          <w:rFonts w:hint="eastAsia" w:ascii="仿宋_GB2312" w:eastAsia="仿宋_GB2312"/>
          <w:sz w:val="18"/>
          <w:szCs w:val="18"/>
        </w:rPr>
        <w:t xml:space="preserve"> </w:t>
      </w:r>
      <w:r>
        <w:rPr>
          <w:rFonts w:hint="eastAsia" w:ascii="仿宋" w:hAnsi="仿宋" w:eastAsia="仿宋"/>
          <w:sz w:val="18"/>
          <w:szCs w:val="18"/>
        </w:rPr>
        <w:t>概算总投资</w:t>
      </w:r>
      <w:r>
        <w:rPr>
          <w:rFonts w:ascii="仿宋" w:hAnsi="仿宋" w:eastAsia="仿宋"/>
          <w:sz w:val="18"/>
          <w:szCs w:val="18"/>
        </w:rPr>
        <w:t>12,823.85</w:t>
      </w:r>
      <w:r>
        <w:rPr>
          <w:rFonts w:hint="eastAsia" w:ascii="仿宋" w:hAnsi="仿宋" w:eastAsia="仿宋"/>
          <w:sz w:val="18"/>
          <w:szCs w:val="18"/>
        </w:rPr>
        <w:t>万元，其中建安工程费</w:t>
      </w:r>
      <w:r>
        <w:rPr>
          <w:rFonts w:ascii="仿宋" w:hAnsi="仿宋" w:eastAsia="仿宋"/>
          <w:sz w:val="18"/>
          <w:szCs w:val="18"/>
        </w:rPr>
        <w:t>9,117.63</w:t>
      </w:r>
      <w:r>
        <w:rPr>
          <w:rFonts w:hint="eastAsia" w:ascii="仿宋" w:hAnsi="仿宋" w:eastAsia="仿宋"/>
          <w:sz w:val="18"/>
          <w:szCs w:val="18"/>
        </w:rPr>
        <w:t>万元，工程建设其他费用</w:t>
      </w:r>
      <w:r>
        <w:rPr>
          <w:rFonts w:ascii="仿宋" w:hAnsi="仿宋" w:eastAsia="仿宋"/>
          <w:sz w:val="18"/>
          <w:szCs w:val="18"/>
        </w:rPr>
        <w:t>3,064.46</w:t>
      </w:r>
      <w:r>
        <w:rPr>
          <w:rFonts w:hint="eastAsia" w:ascii="仿宋" w:hAnsi="仿宋" w:eastAsia="仿宋"/>
          <w:sz w:val="18"/>
          <w:szCs w:val="18"/>
        </w:rPr>
        <w:t>万元（含暂估征地拆迁费</w:t>
      </w:r>
      <w:r>
        <w:rPr>
          <w:rFonts w:ascii="仿宋" w:hAnsi="仿宋" w:eastAsia="仿宋"/>
          <w:sz w:val="18"/>
          <w:szCs w:val="18"/>
        </w:rPr>
        <w:t>2,235.79</w:t>
      </w:r>
      <w:r>
        <w:rPr>
          <w:rFonts w:hint="eastAsia" w:ascii="仿宋" w:hAnsi="仿宋" w:eastAsia="仿宋"/>
          <w:sz w:val="18"/>
          <w:szCs w:val="18"/>
        </w:rPr>
        <w:t>万元，最终以辖区政府批复为准），基本预备费</w:t>
      </w:r>
      <w:r>
        <w:rPr>
          <w:rFonts w:ascii="仿宋" w:hAnsi="仿宋" w:eastAsia="仿宋"/>
          <w:sz w:val="18"/>
          <w:szCs w:val="18"/>
        </w:rPr>
        <w:t>497.32</w:t>
      </w:r>
      <w:r>
        <w:rPr>
          <w:rFonts w:hint="eastAsia" w:ascii="仿宋" w:hAnsi="仿宋" w:eastAsia="仿宋"/>
          <w:sz w:val="18"/>
          <w:szCs w:val="18"/>
        </w:rPr>
        <w:t>万元，建设单位管理费</w:t>
      </w:r>
      <w:r>
        <w:rPr>
          <w:rFonts w:ascii="仿宋" w:hAnsi="仿宋" w:eastAsia="仿宋"/>
          <w:sz w:val="18"/>
          <w:szCs w:val="18"/>
        </w:rPr>
        <w:t>144.44</w:t>
      </w:r>
      <w:r>
        <w:rPr>
          <w:rFonts w:hint="eastAsia" w:ascii="仿宋" w:hAnsi="仿宋" w:eastAsia="仿宋"/>
          <w:sz w:val="18"/>
          <w:szCs w:val="18"/>
        </w:rPr>
        <w:t>万元。</w:t>
      </w:r>
    </w:p>
  </w:footnote>
  <w:footnote w:id="2">
    <w:p>
      <w:pPr>
        <w:pStyle w:val="18"/>
        <w:spacing w:after="0" w:line="240" w:lineRule="auto"/>
        <w:rPr>
          <w:rFonts w:hint="eastAsia" w:ascii="仿宋" w:hAnsi="仿宋" w:eastAsia="仿宋"/>
          <w:sz w:val="18"/>
          <w:szCs w:val="18"/>
        </w:rPr>
      </w:pPr>
      <w:r>
        <w:rPr>
          <w:rStyle w:val="32"/>
          <w:rFonts w:ascii="仿宋" w:hAnsi="仿宋" w:eastAsia="仿宋"/>
          <w:sz w:val="18"/>
          <w:szCs w:val="18"/>
        </w:rPr>
        <w:footnoteRef/>
      </w:r>
      <w:r>
        <w:rPr>
          <w:rFonts w:ascii="仿宋" w:hAnsi="仿宋" w:eastAsia="仿宋"/>
          <w:sz w:val="20"/>
        </w:rPr>
        <w:t xml:space="preserve"> </w:t>
      </w:r>
      <w:r>
        <w:rPr>
          <w:rFonts w:hint="eastAsia" w:ascii="仿宋" w:hAnsi="仿宋" w:eastAsia="仿宋"/>
          <w:sz w:val="18"/>
          <w:szCs w:val="18"/>
        </w:rPr>
        <w:t>由于本报告数据取整呈现，表格合计数与单项加总可能存在尾差，但不影响项目实际测算，下同。</w:t>
      </w:r>
    </w:p>
  </w:footnote>
  <w:footnote w:id="3">
    <w:p>
      <w:pPr>
        <w:pStyle w:val="18"/>
        <w:spacing w:after="0" w:line="240" w:lineRule="auto"/>
        <w:rPr>
          <w:rFonts w:hint="eastAsia" w:ascii="仿宋" w:hAnsi="仿宋" w:eastAsia="仿宋"/>
          <w:sz w:val="18"/>
          <w:szCs w:val="18"/>
        </w:rPr>
      </w:pPr>
      <w:r>
        <w:rPr>
          <w:rStyle w:val="32"/>
          <w:rFonts w:ascii="仿宋" w:hAnsi="仿宋" w:eastAsia="仿宋"/>
          <w:sz w:val="18"/>
          <w:szCs w:val="18"/>
        </w:rPr>
        <w:footnoteRef/>
      </w:r>
      <w:r>
        <w:rPr>
          <w:rFonts w:ascii="仿宋" w:hAnsi="仿宋" w:eastAsia="仿宋"/>
          <w:sz w:val="18"/>
          <w:szCs w:val="18"/>
        </w:rPr>
        <w:t xml:space="preserve"> </w:t>
      </w:r>
      <w:r>
        <w:rPr>
          <w:rFonts w:hint="eastAsia" w:ascii="仿宋" w:hAnsi="仿宋" w:eastAsia="仿宋"/>
          <w:sz w:val="18"/>
          <w:szCs w:val="18"/>
        </w:rPr>
        <w:t>用于资金平衡的项目收益</w:t>
      </w:r>
      <w:r>
        <w:rPr>
          <w:rFonts w:ascii="仿宋" w:hAnsi="仿宋" w:eastAsia="仿宋"/>
          <w:sz w:val="18"/>
          <w:szCs w:val="18"/>
        </w:rPr>
        <w:t>=</w:t>
      </w:r>
      <w:r>
        <w:rPr>
          <w:rFonts w:hint="eastAsia" w:ascii="仿宋" w:hAnsi="仿宋" w:eastAsia="仿宋"/>
          <w:sz w:val="18"/>
          <w:szCs w:val="18"/>
        </w:rPr>
        <w:t>运营期现金流入</w:t>
      </w:r>
      <w:r>
        <w:rPr>
          <w:rFonts w:ascii="仿宋" w:hAnsi="仿宋" w:eastAsia="仿宋"/>
          <w:sz w:val="18"/>
          <w:szCs w:val="18"/>
        </w:rPr>
        <w:t>-</w:t>
      </w:r>
      <w:r>
        <w:rPr>
          <w:rFonts w:hint="eastAsia" w:ascii="仿宋" w:hAnsi="仿宋" w:eastAsia="仿宋"/>
          <w:sz w:val="18"/>
          <w:szCs w:val="18"/>
        </w:rPr>
        <w:t>运营期现金流出，下同。</w:t>
      </w:r>
    </w:p>
  </w:footnote>
  <w:footnote w:id="4">
    <w:p>
      <w:pPr>
        <w:pStyle w:val="18"/>
        <w:spacing w:after="0" w:line="240" w:lineRule="auto"/>
        <w:rPr>
          <w:rFonts w:hint="eastAsia" w:ascii="仿宋" w:hAnsi="仿宋" w:eastAsia="仿宋"/>
        </w:rPr>
      </w:pPr>
      <w:r>
        <w:rPr>
          <w:rStyle w:val="32"/>
          <w:rFonts w:ascii="仿宋" w:hAnsi="仿宋" w:eastAsia="仿宋"/>
          <w:sz w:val="18"/>
          <w:szCs w:val="18"/>
        </w:rPr>
        <w:footnoteRef/>
      </w:r>
      <w:r>
        <w:rPr>
          <w:rFonts w:ascii="仿宋" w:hAnsi="仿宋" w:eastAsia="仿宋"/>
          <w:sz w:val="18"/>
          <w:szCs w:val="18"/>
        </w:rPr>
        <w:t xml:space="preserve"> </w:t>
      </w:r>
      <w:r>
        <w:rPr>
          <w:rFonts w:hint="eastAsia" w:ascii="仿宋" w:hAnsi="仿宋" w:eastAsia="仿宋"/>
          <w:sz w:val="18"/>
          <w:szCs w:val="18"/>
        </w:rPr>
        <w:t>债券本金资金覆盖率</w:t>
      </w:r>
      <w:r>
        <w:rPr>
          <w:rFonts w:ascii="仿宋" w:hAnsi="仿宋" w:eastAsia="仿宋"/>
          <w:sz w:val="18"/>
          <w:szCs w:val="18"/>
        </w:rPr>
        <w:t>=</w:t>
      </w:r>
      <w:r>
        <w:rPr>
          <w:rFonts w:hint="eastAsia" w:ascii="仿宋" w:hAnsi="仿宋" w:eastAsia="仿宋"/>
          <w:sz w:val="18"/>
          <w:szCs w:val="18"/>
        </w:rPr>
        <w:t>（期末项目累计现金结存额</w:t>
      </w:r>
      <w:r>
        <w:rPr>
          <w:rFonts w:ascii="仿宋" w:hAnsi="仿宋" w:eastAsia="仿宋"/>
          <w:sz w:val="18"/>
          <w:szCs w:val="18"/>
        </w:rPr>
        <w:t>/</w:t>
      </w:r>
      <w:r>
        <w:rPr>
          <w:rFonts w:hint="eastAsia" w:ascii="仿宋" w:hAnsi="仿宋" w:eastAsia="仿宋"/>
          <w:sz w:val="18"/>
          <w:szCs w:val="18"/>
        </w:rPr>
        <w:t>债券本金）</w:t>
      </w:r>
      <w:r>
        <w:rPr>
          <w:rFonts w:ascii="仿宋" w:hAnsi="仿宋" w:eastAsia="仿宋"/>
          <w:sz w:val="18"/>
          <w:szCs w:val="18"/>
        </w:rPr>
        <w:t>+1</w:t>
      </w:r>
      <w:r>
        <w:rPr>
          <w:rFonts w:hint="eastAsia" w:ascii="仿宋" w:hAnsi="仿宋" w:eastAsia="仿宋"/>
          <w:sz w:val="18"/>
          <w:szCs w:val="18"/>
        </w:rPr>
        <w:t>；债券本息资金覆盖率</w:t>
      </w:r>
      <w:r>
        <w:rPr>
          <w:rFonts w:ascii="仿宋" w:hAnsi="仿宋" w:eastAsia="仿宋"/>
          <w:sz w:val="18"/>
          <w:szCs w:val="18"/>
        </w:rPr>
        <w:t>=</w:t>
      </w:r>
      <w:r>
        <w:rPr>
          <w:rFonts w:hint="eastAsia" w:ascii="仿宋" w:hAnsi="仿宋" w:eastAsia="仿宋"/>
          <w:sz w:val="18"/>
          <w:szCs w:val="18"/>
        </w:rPr>
        <w:t>（期末项目累计现金结存额</w:t>
      </w:r>
      <w:r>
        <w:rPr>
          <w:rFonts w:ascii="仿宋" w:hAnsi="仿宋" w:eastAsia="仿宋"/>
          <w:sz w:val="18"/>
          <w:szCs w:val="18"/>
        </w:rPr>
        <w:t>/</w:t>
      </w:r>
      <w:r>
        <w:rPr>
          <w:rFonts w:hint="eastAsia" w:ascii="仿宋" w:hAnsi="仿宋" w:eastAsia="仿宋"/>
          <w:sz w:val="18"/>
          <w:szCs w:val="18"/>
        </w:rPr>
        <w:t>债券本息）</w:t>
      </w:r>
      <w:r>
        <w:rPr>
          <w:rFonts w:ascii="仿宋" w:hAnsi="仿宋" w:eastAsia="仿宋"/>
          <w:sz w:val="18"/>
          <w:szCs w:val="18"/>
        </w:rPr>
        <w:t>+1</w:t>
      </w:r>
      <w:r>
        <w:rPr>
          <w:rFonts w:hint="eastAsia" w:ascii="仿宋" w:hAnsi="仿宋" w:eastAsia="仿宋"/>
          <w:sz w:val="18"/>
          <w:szCs w:val="18"/>
        </w:rPr>
        <w:t>；债券本息资金覆盖倍数</w:t>
      </w:r>
      <w:r>
        <w:rPr>
          <w:rFonts w:ascii="仿宋" w:hAnsi="仿宋" w:eastAsia="仿宋"/>
          <w:sz w:val="18"/>
          <w:szCs w:val="18"/>
        </w:rPr>
        <w:t>=</w:t>
      </w:r>
      <w:r>
        <w:rPr>
          <w:rFonts w:hint="eastAsia" w:ascii="仿宋" w:hAnsi="仿宋" w:eastAsia="仿宋"/>
          <w:sz w:val="18"/>
          <w:szCs w:val="18"/>
        </w:rPr>
        <w:t>项目总收益</w:t>
      </w:r>
      <w:r>
        <w:rPr>
          <w:rFonts w:ascii="仿宋" w:hAnsi="仿宋" w:eastAsia="仿宋"/>
          <w:sz w:val="18"/>
          <w:szCs w:val="18"/>
        </w:rPr>
        <w:t>/</w:t>
      </w:r>
      <w:r>
        <w:rPr>
          <w:rFonts w:hint="eastAsia" w:ascii="仿宋" w:hAnsi="仿宋" w:eastAsia="仿宋"/>
          <w:sz w:val="18"/>
          <w:szCs w:val="18"/>
        </w:rPr>
        <w:t>债券本息，下同。</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1"/>
  <w:bordersDoNotSurroundFooter w:val="1"/>
  <w:hideSpellingErrors/>
  <w:documentProtection w:enforcement="0"/>
  <w:defaultTabStop w:val="420"/>
  <w:drawingGridHorizontalSpacing w:val="210"/>
  <w:drawingGridVerticalSpacing w:val="159"/>
  <w:displayHorizontalDrawingGridEvery w:val="0"/>
  <w:displayVerticalDrawingGridEvery w:val="2"/>
  <w:characterSpacingControl w:val="compressPunctuation"/>
  <w:footnotePr>
    <w:footnote w:id="10"/>
    <w:footnote w:id="1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Tc2ZGZiNzZiNDVlOGViOWVmM2JhOTY0NGJkNjUyYzgifQ=="/>
  </w:docVars>
  <w:rsids>
    <w:rsidRoot w:val="008D5787"/>
    <w:rsid w:val="000003E3"/>
    <w:rsid w:val="00001102"/>
    <w:rsid w:val="00001180"/>
    <w:rsid w:val="000026AA"/>
    <w:rsid w:val="00003189"/>
    <w:rsid w:val="00005AAB"/>
    <w:rsid w:val="000069B8"/>
    <w:rsid w:val="00007CB6"/>
    <w:rsid w:val="000107B4"/>
    <w:rsid w:val="00011ABF"/>
    <w:rsid w:val="00011BFD"/>
    <w:rsid w:val="00014419"/>
    <w:rsid w:val="00016988"/>
    <w:rsid w:val="00021700"/>
    <w:rsid w:val="000239DE"/>
    <w:rsid w:val="0002673C"/>
    <w:rsid w:val="00030EC6"/>
    <w:rsid w:val="00030F93"/>
    <w:rsid w:val="00033012"/>
    <w:rsid w:val="00033C4E"/>
    <w:rsid w:val="00034C90"/>
    <w:rsid w:val="000435C1"/>
    <w:rsid w:val="00043E6A"/>
    <w:rsid w:val="00044979"/>
    <w:rsid w:val="00044CDC"/>
    <w:rsid w:val="00050634"/>
    <w:rsid w:val="000516A4"/>
    <w:rsid w:val="00061302"/>
    <w:rsid w:val="000634AE"/>
    <w:rsid w:val="00064854"/>
    <w:rsid w:val="000650B4"/>
    <w:rsid w:val="0007086C"/>
    <w:rsid w:val="00072286"/>
    <w:rsid w:val="000749D6"/>
    <w:rsid w:val="0008024B"/>
    <w:rsid w:val="00083CBD"/>
    <w:rsid w:val="00083CCA"/>
    <w:rsid w:val="0008584E"/>
    <w:rsid w:val="00085E18"/>
    <w:rsid w:val="000869F2"/>
    <w:rsid w:val="00090E10"/>
    <w:rsid w:val="00093784"/>
    <w:rsid w:val="000944CF"/>
    <w:rsid w:val="000979AA"/>
    <w:rsid w:val="000A0877"/>
    <w:rsid w:val="000A125A"/>
    <w:rsid w:val="000A1568"/>
    <w:rsid w:val="000A1B5B"/>
    <w:rsid w:val="000A33ED"/>
    <w:rsid w:val="000A624D"/>
    <w:rsid w:val="000B1357"/>
    <w:rsid w:val="000B5C0A"/>
    <w:rsid w:val="000C1D8B"/>
    <w:rsid w:val="000C62ED"/>
    <w:rsid w:val="000D4462"/>
    <w:rsid w:val="000D5923"/>
    <w:rsid w:val="000D6AC0"/>
    <w:rsid w:val="000D7495"/>
    <w:rsid w:val="000F17AE"/>
    <w:rsid w:val="000F239D"/>
    <w:rsid w:val="000F3C34"/>
    <w:rsid w:val="000F4545"/>
    <w:rsid w:val="000F7469"/>
    <w:rsid w:val="00103899"/>
    <w:rsid w:val="0010463B"/>
    <w:rsid w:val="00104EFE"/>
    <w:rsid w:val="00105B74"/>
    <w:rsid w:val="00107A92"/>
    <w:rsid w:val="00112D63"/>
    <w:rsid w:val="00112E80"/>
    <w:rsid w:val="00113494"/>
    <w:rsid w:val="00114BC8"/>
    <w:rsid w:val="00114C45"/>
    <w:rsid w:val="00114D99"/>
    <w:rsid w:val="00116391"/>
    <w:rsid w:val="00120134"/>
    <w:rsid w:val="0012122A"/>
    <w:rsid w:val="00124475"/>
    <w:rsid w:val="00126C05"/>
    <w:rsid w:val="0013036D"/>
    <w:rsid w:val="00132CC8"/>
    <w:rsid w:val="0013313E"/>
    <w:rsid w:val="00133B0C"/>
    <w:rsid w:val="0013438B"/>
    <w:rsid w:val="0013682D"/>
    <w:rsid w:val="0014064F"/>
    <w:rsid w:val="00142E9F"/>
    <w:rsid w:val="00144973"/>
    <w:rsid w:val="00144FB1"/>
    <w:rsid w:val="00146039"/>
    <w:rsid w:val="00146821"/>
    <w:rsid w:val="00155674"/>
    <w:rsid w:val="00160FB8"/>
    <w:rsid w:val="00166B7F"/>
    <w:rsid w:val="00171D6C"/>
    <w:rsid w:val="00172F7E"/>
    <w:rsid w:val="0017302C"/>
    <w:rsid w:val="001737E8"/>
    <w:rsid w:val="00174EA8"/>
    <w:rsid w:val="00177272"/>
    <w:rsid w:val="001773B5"/>
    <w:rsid w:val="0018110E"/>
    <w:rsid w:val="00186B88"/>
    <w:rsid w:val="00187B47"/>
    <w:rsid w:val="00190B16"/>
    <w:rsid w:val="00190FB9"/>
    <w:rsid w:val="001926FD"/>
    <w:rsid w:val="00196D3B"/>
    <w:rsid w:val="001A29E8"/>
    <w:rsid w:val="001A3A95"/>
    <w:rsid w:val="001A47AC"/>
    <w:rsid w:val="001A4BF0"/>
    <w:rsid w:val="001A5990"/>
    <w:rsid w:val="001A672F"/>
    <w:rsid w:val="001A68EA"/>
    <w:rsid w:val="001A7D33"/>
    <w:rsid w:val="001B0C6C"/>
    <w:rsid w:val="001B3B43"/>
    <w:rsid w:val="001B6EFB"/>
    <w:rsid w:val="001C2830"/>
    <w:rsid w:val="001C37DC"/>
    <w:rsid w:val="001C4521"/>
    <w:rsid w:val="001C4FB3"/>
    <w:rsid w:val="001C51B6"/>
    <w:rsid w:val="001D20C4"/>
    <w:rsid w:val="001D28A3"/>
    <w:rsid w:val="001D3C57"/>
    <w:rsid w:val="001D5C42"/>
    <w:rsid w:val="001D7B38"/>
    <w:rsid w:val="001E11DE"/>
    <w:rsid w:val="001E793E"/>
    <w:rsid w:val="001F1361"/>
    <w:rsid w:val="001F54A0"/>
    <w:rsid w:val="001F5550"/>
    <w:rsid w:val="001F5B1D"/>
    <w:rsid w:val="00203F4C"/>
    <w:rsid w:val="00204148"/>
    <w:rsid w:val="0020444F"/>
    <w:rsid w:val="00210ACB"/>
    <w:rsid w:val="00211E47"/>
    <w:rsid w:val="00213E29"/>
    <w:rsid w:val="00216CAE"/>
    <w:rsid w:val="00221852"/>
    <w:rsid w:val="002254DC"/>
    <w:rsid w:val="00234878"/>
    <w:rsid w:val="002349A4"/>
    <w:rsid w:val="00237616"/>
    <w:rsid w:val="0024544D"/>
    <w:rsid w:val="00245DEC"/>
    <w:rsid w:val="002470E6"/>
    <w:rsid w:val="0024751E"/>
    <w:rsid w:val="002475BD"/>
    <w:rsid w:val="00250AFE"/>
    <w:rsid w:val="00251CC9"/>
    <w:rsid w:val="00252D50"/>
    <w:rsid w:val="00255E70"/>
    <w:rsid w:val="00260A4F"/>
    <w:rsid w:val="002629DE"/>
    <w:rsid w:val="002636A9"/>
    <w:rsid w:val="00264043"/>
    <w:rsid w:val="00264D55"/>
    <w:rsid w:val="002703FB"/>
    <w:rsid w:val="0027182D"/>
    <w:rsid w:val="00271A5B"/>
    <w:rsid w:val="0027766C"/>
    <w:rsid w:val="00280485"/>
    <w:rsid w:val="002805E5"/>
    <w:rsid w:val="00280E14"/>
    <w:rsid w:val="00281500"/>
    <w:rsid w:val="00281B09"/>
    <w:rsid w:val="00284345"/>
    <w:rsid w:val="002877D6"/>
    <w:rsid w:val="0029186C"/>
    <w:rsid w:val="00291AF9"/>
    <w:rsid w:val="00297419"/>
    <w:rsid w:val="00297470"/>
    <w:rsid w:val="00297A58"/>
    <w:rsid w:val="002A0FA9"/>
    <w:rsid w:val="002A18CE"/>
    <w:rsid w:val="002A446F"/>
    <w:rsid w:val="002A5095"/>
    <w:rsid w:val="002A51DA"/>
    <w:rsid w:val="002A5DF3"/>
    <w:rsid w:val="002A6840"/>
    <w:rsid w:val="002A6A05"/>
    <w:rsid w:val="002B3205"/>
    <w:rsid w:val="002B4D49"/>
    <w:rsid w:val="002B53A7"/>
    <w:rsid w:val="002B58C1"/>
    <w:rsid w:val="002B6E85"/>
    <w:rsid w:val="002B78C9"/>
    <w:rsid w:val="002C0606"/>
    <w:rsid w:val="002C100A"/>
    <w:rsid w:val="002C392D"/>
    <w:rsid w:val="002C3D78"/>
    <w:rsid w:val="002C4E38"/>
    <w:rsid w:val="002C583A"/>
    <w:rsid w:val="002C6776"/>
    <w:rsid w:val="002D3000"/>
    <w:rsid w:val="002D3233"/>
    <w:rsid w:val="002D5D43"/>
    <w:rsid w:val="002D6E68"/>
    <w:rsid w:val="002D7A7F"/>
    <w:rsid w:val="002D7E94"/>
    <w:rsid w:val="002E0C32"/>
    <w:rsid w:val="002E0FA0"/>
    <w:rsid w:val="002E1E41"/>
    <w:rsid w:val="002E49B3"/>
    <w:rsid w:val="002E6151"/>
    <w:rsid w:val="002F3E45"/>
    <w:rsid w:val="00301ECC"/>
    <w:rsid w:val="003061A8"/>
    <w:rsid w:val="00310F7B"/>
    <w:rsid w:val="003121CE"/>
    <w:rsid w:val="00313820"/>
    <w:rsid w:val="00320A90"/>
    <w:rsid w:val="00323257"/>
    <w:rsid w:val="00325F0A"/>
    <w:rsid w:val="003308BD"/>
    <w:rsid w:val="0033718E"/>
    <w:rsid w:val="003411F4"/>
    <w:rsid w:val="003425FA"/>
    <w:rsid w:val="00342CFA"/>
    <w:rsid w:val="00345389"/>
    <w:rsid w:val="00345CE4"/>
    <w:rsid w:val="00347C17"/>
    <w:rsid w:val="00351DCE"/>
    <w:rsid w:val="00352172"/>
    <w:rsid w:val="003546CD"/>
    <w:rsid w:val="003546CE"/>
    <w:rsid w:val="00355706"/>
    <w:rsid w:val="00361D37"/>
    <w:rsid w:val="00361F8C"/>
    <w:rsid w:val="0036384A"/>
    <w:rsid w:val="003641A9"/>
    <w:rsid w:val="00366806"/>
    <w:rsid w:val="00366CED"/>
    <w:rsid w:val="003674FB"/>
    <w:rsid w:val="00367963"/>
    <w:rsid w:val="00370AB0"/>
    <w:rsid w:val="00370E70"/>
    <w:rsid w:val="00380161"/>
    <w:rsid w:val="003817EC"/>
    <w:rsid w:val="00382F3E"/>
    <w:rsid w:val="00385E1A"/>
    <w:rsid w:val="003861AD"/>
    <w:rsid w:val="00386E9E"/>
    <w:rsid w:val="00392BD6"/>
    <w:rsid w:val="00396865"/>
    <w:rsid w:val="00397B9A"/>
    <w:rsid w:val="003A0A84"/>
    <w:rsid w:val="003A26BC"/>
    <w:rsid w:val="003A2FB0"/>
    <w:rsid w:val="003A3F3D"/>
    <w:rsid w:val="003A54C7"/>
    <w:rsid w:val="003A7677"/>
    <w:rsid w:val="003A7693"/>
    <w:rsid w:val="003B1109"/>
    <w:rsid w:val="003B15CF"/>
    <w:rsid w:val="003B2A1A"/>
    <w:rsid w:val="003C2F93"/>
    <w:rsid w:val="003C3A5F"/>
    <w:rsid w:val="003C677F"/>
    <w:rsid w:val="003D266A"/>
    <w:rsid w:val="003D5A87"/>
    <w:rsid w:val="003D609A"/>
    <w:rsid w:val="003D668F"/>
    <w:rsid w:val="003E1E6B"/>
    <w:rsid w:val="003F2D4A"/>
    <w:rsid w:val="004008AB"/>
    <w:rsid w:val="00403196"/>
    <w:rsid w:val="00403CD4"/>
    <w:rsid w:val="00406A90"/>
    <w:rsid w:val="00406B47"/>
    <w:rsid w:val="00407186"/>
    <w:rsid w:val="004138CE"/>
    <w:rsid w:val="00417D2A"/>
    <w:rsid w:val="00422F2B"/>
    <w:rsid w:val="00425BE2"/>
    <w:rsid w:val="0042636A"/>
    <w:rsid w:val="0043011D"/>
    <w:rsid w:val="00431BF3"/>
    <w:rsid w:val="0043664B"/>
    <w:rsid w:val="004373A4"/>
    <w:rsid w:val="0045032C"/>
    <w:rsid w:val="004532D6"/>
    <w:rsid w:val="00453411"/>
    <w:rsid w:val="00454921"/>
    <w:rsid w:val="00457C7D"/>
    <w:rsid w:val="00457D38"/>
    <w:rsid w:val="004637A7"/>
    <w:rsid w:val="004668A8"/>
    <w:rsid w:val="00466D33"/>
    <w:rsid w:val="00467B50"/>
    <w:rsid w:val="00470102"/>
    <w:rsid w:val="00471402"/>
    <w:rsid w:val="00471849"/>
    <w:rsid w:val="00481F0F"/>
    <w:rsid w:val="004851F3"/>
    <w:rsid w:val="0048520B"/>
    <w:rsid w:val="004920A9"/>
    <w:rsid w:val="00492C1C"/>
    <w:rsid w:val="0049407C"/>
    <w:rsid w:val="00497148"/>
    <w:rsid w:val="004A4695"/>
    <w:rsid w:val="004A480F"/>
    <w:rsid w:val="004A5CC3"/>
    <w:rsid w:val="004B182B"/>
    <w:rsid w:val="004B4225"/>
    <w:rsid w:val="004C0AEC"/>
    <w:rsid w:val="004C7FE9"/>
    <w:rsid w:val="004D00C0"/>
    <w:rsid w:val="004D4F9A"/>
    <w:rsid w:val="004D6078"/>
    <w:rsid w:val="004D665A"/>
    <w:rsid w:val="004E1395"/>
    <w:rsid w:val="004E1A95"/>
    <w:rsid w:val="004E48D2"/>
    <w:rsid w:val="004E7AD1"/>
    <w:rsid w:val="004E7B97"/>
    <w:rsid w:val="004F2D26"/>
    <w:rsid w:val="004F74F1"/>
    <w:rsid w:val="004F7ACB"/>
    <w:rsid w:val="00504487"/>
    <w:rsid w:val="0050452D"/>
    <w:rsid w:val="00504B79"/>
    <w:rsid w:val="00504CB1"/>
    <w:rsid w:val="00506C65"/>
    <w:rsid w:val="00515ACE"/>
    <w:rsid w:val="00516AAF"/>
    <w:rsid w:val="00516C57"/>
    <w:rsid w:val="00521C69"/>
    <w:rsid w:val="00523097"/>
    <w:rsid w:val="00531CBB"/>
    <w:rsid w:val="005320B4"/>
    <w:rsid w:val="005331E4"/>
    <w:rsid w:val="005333A1"/>
    <w:rsid w:val="00534EE6"/>
    <w:rsid w:val="00536955"/>
    <w:rsid w:val="0054418A"/>
    <w:rsid w:val="00546679"/>
    <w:rsid w:val="00551491"/>
    <w:rsid w:val="0055164B"/>
    <w:rsid w:val="00557C74"/>
    <w:rsid w:val="00557D44"/>
    <w:rsid w:val="00561F0F"/>
    <w:rsid w:val="00562A60"/>
    <w:rsid w:val="00562FDC"/>
    <w:rsid w:val="005639C6"/>
    <w:rsid w:val="005643F6"/>
    <w:rsid w:val="00571090"/>
    <w:rsid w:val="00571C6C"/>
    <w:rsid w:val="005720ED"/>
    <w:rsid w:val="005727FB"/>
    <w:rsid w:val="0057407A"/>
    <w:rsid w:val="00582E69"/>
    <w:rsid w:val="0058410C"/>
    <w:rsid w:val="0058696A"/>
    <w:rsid w:val="00590165"/>
    <w:rsid w:val="00590560"/>
    <w:rsid w:val="00590B0F"/>
    <w:rsid w:val="00591BAA"/>
    <w:rsid w:val="00593820"/>
    <w:rsid w:val="005A361B"/>
    <w:rsid w:val="005A6B9A"/>
    <w:rsid w:val="005B2E49"/>
    <w:rsid w:val="005B4340"/>
    <w:rsid w:val="005B446D"/>
    <w:rsid w:val="005B58A0"/>
    <w:rsid w:val="005B7499"/>
    <w:rsid w:val="005B7B76"/>
    <w:rsid w:val="005B7EE4"/>
    <w:rsid w:val="005C2FC0"/>
    <w:rsid w:val="005C6429"/>
    <w:rsid w:val="005D5554"/>
    <w:rsid w:val="005D5B5B"/>
    <w:rsid w:val="005D655F"/>
    <w:rsid w:val="005D7EE2"/>
    <w:rsid w:val="005E6A64"/>
    <w:rsid w:val="005E70A9"/>
    <w:rsid w:val="005F1292"/>
    <w:rsid w:val="005F226C"/>
    <w:rsid w:val="005F712C"/>
    <w:rsid w:val="005F7602"/>
    <w:rsid w:val="006002E7"/>
    <w:rsid w:val="00602847"/>
    <w:rsid w:val="00606A7D"/>
    <w:rsid w:val="006101D7"/>
    <w:rsid w:val="00612901"/>
    <w:rsid w:val="00612A69"/>
    <w:rsid w:val="00612E57"/>
    <w:rsid w:val="00615ADE"/>
    <w:rsid w:val="00617429"/>
    <w:rsid w:val="006201F8"/>
    <w:rsid w:val="00620D6A"/>
    <w:rsid w:val="006219E4"/>
    <w:rsid w:val="00621A1B"/>
    <w:rsid w:val="00623713"/>
    <w:rsid w:val="0062427B"/>
    <w:rsid w:val="0062774D"/>
    <w:rsid w:val="006326E2"/>
    <w:rsid w:val="0063295B"/>
    <w:rsid w:val="006335BF"/>
    <w:rsid w:val="00635FA5"/>
    <w:rsid w:val="0063790F"/>
    <w:rsid w:val="00641AA3"/>
    <w:rsid w:val="006426C6"/>
    <w:rsid w:val="00645113"/>
    <w:rsid w:val="00646FE8"/>
    <w:rsid w:val="00650090"/>
    <w:rsid w:val="00652FD6"/>
    <w:rsid w:val="006532EE"/>
    <w:rsid w:val="00653464"/>
    <w:rsid w:val="00653AD1"/>
    <w:rsid w:val="00655F55"/>
    <w:rsid w:val="00655F65"/>
    <w:rsid w:val="0065612E"/>
    <w:rsid w:val="0065617E"/>
    <w:rsid w:val="006619F3"/>
    <w:rsid w:val="00666537"/>
    <w:rsid w:val="006677B3"/>
    <w:rsid w:val="00670162"/>
    <w:rsid w:val="00670E63"/>
    <w:rsid w:val="00671A5F"/>
    <w:rsid w:val="00671B37"/>
    <w:rsid w:val="00683964"/>
    <w:rsid w:val="006839F5"/>
    <w:rsid w:val="00687082"/>
    <w:rsid w:val="006907E5"/>
    <w:rsid w:val="0069212E"/>
    <w:rsid w:val="00693C18"/>
    <w:rsid w:val="00697DD5"/>
    <w:rsid w:val="006A177F"/>
    <w:rsid w:val="006A696A"/>
    <w:rsid w:val="006B28A9"/>
    <w:rsid w:val="006B4415"/>
    <w:rsid w:val="006B6FAA"/>
    <w:rsid w:val="006C268C"/>
    <w:rsid w:val="006C7FAE"/>
    <w:rsid w:val="006D14FE"/>
    <w:rsid w:val="006D248F"/>
    <w:rsid w:val="006D275A"/>
    <w:rsid w:val="006D3137"/>
    <w:rsid w:val="006D3F80"/>
    <w:rsid w:val="006D79D2"/>
    <w:rsid w:val="006E199C"/>
    <w:rsid w:val="006E3FBA"/>
    <w:rsid w:val="006E3FC7"/>
    <w:rsid w:val="006E5002"/>
    <w:rsid w:val="006E5A59"/>
    <w:rsid w:val="006E5E7C"/>
    <w:rsid w:val="006F01A8"/>
    <w:rsid w:val="006F0A28"/>
    <w:rsid w:val="007006CD"/>
    <w:rsid w:val="007010CF"/>
    <w:rsid w:val="0070179E"/>
    <w:rsid w:val="00703AC5"/>
    <w:rsid w:val="0070429A"/>
    <w:rsid w:val="007043A8"/>
    <w:rsid w:val="007047FB"/>
    <w:rsid w:val="00707CFE"/>
    <w:rsid w:val="00710138"/>
    <w:rsid w:val="0071281B"/>
    <w:rsid w:val="007205C0"/>
    <w:rsid w:val="00726C03"/>
    <w:rsid w:val="0073189A"/>
    <w:rsid w:val="007319AD"/>
    <w:rsid w:val="007343AE"/>
    <w:rsid w:val="0073643F"/>
    <w:rsid w:val="00740F9A"/>
    <w:rsid w:val="0074150E"/>
    <w:rsid w:val="007426D0"/>
    <w:rsid w:val="00746998"/>
    <w:rsid w:val="00746C2B"/>
    <w:rsid w:val="00747B65"/>
    <w:rsid w:val="00750175"/>
    <w:rsid w:val="00753474"/>
    <w:rsid w:val="0075449B"/>
    <w:rsid w:val="00756145"/>
    <w:rsid w:val="0075799F"/>
    <w:rsid w:val="0076186C"/>
    <w:rsid w:val="0076244A"/>
    <w:rsid w:val="0076284F"/>
    <w:rsid w:val="0076367B"/>
    <w:rsid w:val="00763EDC"/>
    <w:rsid w:val="007643D3"/>
    <w:rsid w:val="00765194"/>
    <w:rsid w:val="007667BD"/>
    <w:rsid w:val="0077612A"/>
    <w:rsid w:val="0077729B"/>
    <w:rsid w:val="007835B1"/>
    <w:rsid w:val="007841DE"/>
    <w:rsid w:val="00785FBD"/>
    <w:rsid w:val="007864C2"/>
    <w:rsid w:val="0079299A"/>
    <w:rsid w:val="00794107"/>
    <w:rsid w:val="007A046C"/>
    <w:rsid w:val="007A078A"/>
    <w:rsid w:val="007A21A7"/>
    <w:rsid w:val="007A2382"/>
    <w:rsid w:val="007A2EA3"/>
    <w:rsid w:val="007A2FF9"/>
    <w:rsid w:val="007A3AD8"/>
    <w:rsid w:val="007A563B"/>
    <w:rsid w:val="007B16FF"/>
    <w:rsid w:val="007B3AC0"/>
    <w:rsid w:val="007B7588"/>
    <w:rsid w:val="007C0E3E"/>
    <w:rsid w:val="007C14EC"/>
    <w:rsid w:val="007C2832"/>
    <w:rsid w:val="007C7BE8"/>
    <w:rsid w:val="007D396D"/>
    <w:rsid w:val="007E0191"/>
    <w:rsid w:val="007E30B2"/>
    <w:rsid w:val="007E45F6"/>
    <w:rsid w:val="007E592B"/>
    <w:rsid w:val="007F13B7"/>
    <w:rsid w:val="007F37F0"/>
    <w:rsid w:val="007F47FE"/>
    <w:rsid w:val="007F712E"/>
    <w:rsid w:val="007F7AA1"/>
    <w:rsid w:val="00803A1F"/>
    <w:rsid w:val="00805F0E"/>
    <w:rsid w:val="00805F98"/>
    <w:rsid w:val="008068B4"/>
    <w:rsid w:val="0080696B"/>
    <w:rsid w:val="008162C1"/>
    <w:rsid w:val="008162C7"/>
    <w:rsid w:val="008166B3"/>
    <w:rsid w:val="00821DE5"/>
    <w:rsid w:val="00822627"/>
    <w:rsid w:val="008236C0"/>
    <w:rsid w:val="00825107"/>
    <w:rsid w:val="008352DE"/>
    <w:rsid w:val="00837BB6"/>
    <w:rsid w:val="00841808"/>
    <w:rsid w:val="00845653"/>
    <w:rsid w:val="00846909"/>
    <w:rsid w:val="008506D2"/>
    <w:rsid w:val="00851704"/>
    <w:rsid w:val="00851BDB"/>
    <w:rsid w:val="00851EB1"/>
    <w:rsid w:val="00855410"/>
    <w:rsid w:val="00855610"/>
    <w:rsid w:val="008570B6"/>
    <w:rsid w:val="008575D1"/>
    <w:rsid w:val="008618DA"/>
    <w:rsid w:val="0087008C"/>
    <w:rsid w:val="008700CF"/>
    <w:rsid w:val="0087323C"/>
    <w:rsid w:val="0087385F"/>
    <w:rsid w:val="00874E7A"/>
    <w:rsid w:val="00876904"/>
    <w:rsid w:val="00876AF8"/>
    <w:rsid w:val="00881089"/>
    <w:rsid w:val="00890CC1"/>
    <w:rsid w:val="00891925"/>
    <w:rsid w:val="00892C09"/>
    <w:rsid w:val="00895AC8"/>
    <w:rsid w:val="008A1AAF"/>
    <w:rsid w:val="008A226E"/>
    <w:rsid w:val="008A52F2"/>
    <w:rsid w:val="008A5C57"/>
    <w:rsid w:val="008B303D"/>
    <w:rsid w:val="008C29FE"/>
    <w:rsid w:val="008C4E53"/>
    <w:rsid w:val="008C5C47"/>
    <w:rsid w:val="008C7098"/>
    <w:rsid w:val="008C7557"/>
    <w:rsid w:val="008D0E31"/>
    <w:rsid w:val="008D1AF9"/>
    <w:rsid w:val="008D33E5"/>
    <w:rsid w:val="008D3D11"/>
    <w:rsid w:val="008D5787"/>
    <w:rsid w:val="008D5D30"/>
    <w:rsid w:val="008D6CB2"/>
    <w:rsid w:val="008D7610"/>
    <w:rsid w:val="008E679A"/>
    <w:rsid w:val="008E681F"/>
    <w:rsid w:val="008F2464"/>
    <w:rsid w:val="008F372E"/>
    <w:rsid w:val="008F6957"/>
    <w:rsid w:val="008F78AF"/>
    <w:rsid w:val="009003E7"/>
    <w:rsid w:val="00901C78"/>
    <w:rsid w:val="0090346D"/>
    <w:rsid w:val="009055BD"/>
    <w:rsid w:val="00905C07"/>
    <w:rsid w:val="009070A2"/>
    <w:rsid w:val="00907490"/>
    <w:rsid w:val="00912BA3"/>
    <w:rsid w:val="00912E88"/>
    <w:rsid w:val="009158E4"/>
    <w:rsid w:val="009158F5"/>
    <w:rsid w:val="00920478"/>
    <w:rsid w:val="00921F8D"/>
    <w:rsid w:val="00923CFE"/>
    <w:rsid w:val="0092432B"/>
    <w:rsid w:val="00924633"/>
    <w:rsid w:val="00931D47"/>
    <w:rsid w:val="0093455B"/>
    <w:rsid w:val="009371EA"/>
    <w:rsid w:val="009437FB"/>
    <w:rsid w:val="0094644B"/>
    <w:rsid w:val="009560FC"/>
    <w:rsid w:val="00957DEE"/>
    <w:rsid w:val="00962196"/>
    <w:rsid w:val="00962E8D"/>
    <w:rsid w:val="00970CC9"/>
    <w:rsid w:val="00974134"/>
    <w:rsid w:val="00975623"/>
    <w:rsid w:val="00975C88"/>
    <w:rsid w:val="009857D0"/>
    <w:rsid w:val="0098581D"/>
    <w:rsid w:val="0098775B"/>
    <w:rsid w:val="00991E6F"/>
    <w:rsid w:val="00992ABC"/>
    <w:rsid w:val="0099331B"/>
    <w:rsid w:val="009935FA"/>
    <w:rsid w:val="00994B5E"/>
    <w:rsid w:val="00996376"/>
    <w:rsid w:val="009A00D5"/>
    <w:rsid w:val="009A0999"/>
    <w:rsid w:val="009A10AC"/>
    <w:rsid w:val="009A1A62"/>
    <w:rsid w:val="009A6456"/>
    <w:rsid w:val="009A77A9"/>
    <w:rsid w:val="009B0306"/>
    <w:rsid w:val="009B1A7E"/>
    <w:rsid w:val="009B2B90"/>
    <w:rsid w:val="009B3AB3"/>
    <w:rsid w:val="009B4D6C"/>
    <w:rsid w:val="009B735D"/>
    <w:rsid w:val="009B7698"/>
    <w:rsid w:val="009B783A"/>
    <w:rsid w:val="009C26CE"/>
    <w:rsid w:val="009C4BD9"/>
    <w:rsid w:val="009C635F"/>
    <w:rsid w:val="009C6C1F"/>
    <w:rsid w:val="009D0C78"/>
    <w:rsid w:val="009D690F"/>
    <w:rsid w:val="009E034A"/>
    <w:rsid w:val="009E0B75"/>
    <w:rsid w:val="009E2FCB"/>
    <w:rsid w:val="009E73DA"/>
    <w:rsid w:val="009F05B6"/>
    <w:rsid w:val="009F567D"/>
    <w:rsid w:val="00A0395F"/>
    <w:rsid w:val="00A0561A"/>
    <w:rsid w:val="00A05C6E"/>
    <w:rsid w:val="00A13C7A"/>
    <w:rsid w:val="00A21FCC"/>
    <w:rsid w:val="00A32878"/>
    <w:rsid w:val="00A33015"/>
    <w:rsid w:val="00A33CE8"/>
    <w:rsid w:val="00A3435E"/>
    <w:rsid w:val="00A34640"/>
    <w:rsid w:val="00A358E6"/>
    <w:rsid w:val="00A41C55"/>
    <w:rsid w:val="00A449C8"/>
    <w:rsid w:val="00A449E8"/>
    <w:rsid w:val="00A44A44"/>
    <w:rsid w:val="00A44AF2"/>
    <w:rsid w:val="00A45BAE"/>
    <w:rsid w:val="00A50F0C"/>
    <w:rsid w:val="00A566FC"/>
    <w:rsid w:val="00A63A60"/>
    <w:rsid w:val="00A64515"/>
    <w:rsid w:val="00A655D7"/>
    <w:rsid w:val="00A65F97"/>
    <w:rsid w:val="00A671B7"/>
    <w:rsid w:val="00A701D6"/>
    <w:rsid w:val="00A70FEA"/>
    <w:rsid w:val="00A72908"/>
    <w:rsid w:val="00A74266"/>
    <w:rsid w:val="00A74DA7"/>
    <w:rsid w:val="00A76AE8"/>
    <w:rsid w:val="00A8265A"/>
    <w:rsid w:val="00A84617"/>
    <w:rsid w:val="00A85BA7"/>
    <w:rsid w:val="00A867FC"/>
    <w:rsid w:val="00A903C1"/>
    <w:rsid w:val="00A964D1"/>
    <w:rsid w:val="00AA5548"/>
    <w:rsid w:val="00AA5FE5"/>
    <w:rsid w:val="00AA7262"/>
    <w:rsid w:val="00AB0489"/>
    <w:rsid w:val="00AB0B4D"/>
    <w:rsid w:val="00AB5B47"/>
    <w:rsid w:val="00AC071C"/>
    <w:rsid w:val="00AC2D20"/>
    <w:rsid w:val="00AC42D0"/>
    <w:rsid w:val="00AC4BCD"/>
    <w:rsid w:val="00AC5117"/>
    <w:rsid w:val="00AC6BFF"/>
    <w:rsid w:val="00AD12E9"/>
    <w:rsid w:val="00AD338E"/>
    <w:rsid w:val="00AD4EF2"/>
    <w:rsid w:val="00AD6A46"/>
    <w:rsid w:val="00AD7574"/>
    <w:rsid w:val="00AE04CA"/>
    <w:rsid w:val="00AF26AD"/>
    <w:rsid w:val="00AF57E4"/>
    <w:rsid w:val="00B004C2"/>
    <w:rsid w:val="00B0078E"/>
    <w:rsid w:val="00B01858"/>
    <w:rsid w:val="00B02757"/>
    <w:rsid w:val="00B03CCA"/>
    <w:rsid w:val="00B03E9A"/>
    <w:rsid w:val="00B071F1"/>
    <w:rsid w:val="00B1124C"/>
    <w:rsid w:val="00B129C6"/>
    <w:rsid w:val="00B136B1"/>
    <w:rsid w:val="00B13BEC"/>
    <w:rsid w:val="00B21901"/>
    <w:rsid w:val="00B21BCF"/>
    <w:rsid w:val="00B26828"/>
    <w:rsid w:val="00B268FA"/>
    <w:rsid w:val="00B2765A"/>
    <w:rsid w:val="00B3687A"/>
    <w:rsid w:val="00B40721"/>
    <w:rsid w:val="00B44C4A"/>
    <w:rsid w:val="00B44E1E"/>
    <w:rsid w:val="00B513D9"/>
    <w:rsid w:val="00B516E7"/>
    <w:rsid w:val="00B54819"/>
    <w:rsid w:val="00B577C6"/>
    <w:rsid w:val="00B63CFB"/>
    <w:rsid w:val="00B65254"/>
    <w:rsid w:val="00B7039F"/>
    <w:rsid w:val="00B72476"/>
    <w:rsid w:val="00B731B8"/>
    <w:rsid w:val="00B773E2"/>
    <w:rsid w:val="00B81E66"/>
    <w:rsid w:val="00B82596"/>
    <w:rsid w:val="00B84622"/>
    <w:rsid w:val="00B85B9A"/>
    <w:rsid w:val="00B8702A"/>
    <w:rsid w:val="00B92D9A"/>
    <w:rsid w:val="00B9496A"/>
    <w:rsid w:val="00B9687B"/>
    <w:rsid w:val="00BA5C5D"/>
    <w:rsid w:val="00BB1062"/>
    <w:rsid w:val="00BB2336"/>
    <w:rsid w:val="00BB24C2"/>
    <w:rsid w:val="00BB3F8A"/>
    <w:rsid w:val="00BB4E97"/>
    <w:rsid w:val="00BB61BE"/>
    <w:rsid w:val="00BC58F5"/>
    <w:rsid w:val="00BD022C"/>
    <w:rsid w:val="00BD5D23"/>
    <w:rsid w:val="00BE325D"/>
    <w:rsid w:val="00BE4BD1"/>
    <w:rsid w:val="00C01C1F"/>
    <w:rsid w:val="00C04762"/>
    <w:rsid w:val="00C05685"/>
    <w:rsid w:val="00C073AD"/>
    <w:rsid w:val="00C119D9"/>
    <w:rsid w:val="00C12273"/>
    <w:rsid w:val="00C13EE5"/>
    <w:rsid w:val="00C162F0"/>
    <w:rsid w:val="00C21AC4"/>
    <w:rsid w:val="00C21F43"/>
    <w:rsid w:val="00C227E5"/>
    <w:rsid w:val="00C31A64"/>
    <w:rsid w:val="00C3449E"/>
    <w:rsid w:val="00C368D2"/>
    <w:rsid w:val="00C4040B"/>
    <w:rsid w:val="00C422AC"/>
    <w:rsid w:val="00C43EB4"/>
    <w:rsid w:val="00C44D71"/>
    <w:rsid w:val="00C46487"/>
    <w:rsid w:val="00C50D89"/>
    <w:rsid w:val="00C51AB3"/>
    <w:rsid w:val="00C5408B"/>
    <w:rsid w:val="00C63AFE"/>
    <w:rsid w:val="00C6791B"/>
    <w:rsid w:val="00C73346"/>
    <w:rsid w:val="00C74F98"/>
    <w:rsid w:val="00C8112C"/>
    <w:rsid w:val="00C875BD"/>
    <w:rsid w:val="00C938BB"/>
    <w:rsid w:val="00C94418"/>
    <w:rsid w:val="00C96347"/>
    <w:rsid w:val="00C97418"/>
    <w:rsid w:val="00CA234C"/>
    <w:rsid w:val="00CA5301"/>
    <w:rsid w:val="00CB0AB6"/>
    <w:rsid w:val="00CB1095"/>
    <w:rsid w:val="00CB1D24"/>
    <w:rsid w:val="00CB46F6"/>
    <w:rsid w:val="00CB49EF"/>
    <w:rsid w:val="00CB6BEA"/>
    <w:rsid w:val="00CB7EBD"/>
    <w:rsid w:val="00CD001D"/>
    <w:rsid w:val="00CD391C"/>
    <w:rsid w:val="00CD4E18"/>
    <w:rsid w:val="00CD7ED7"/>
    <w:rsid w:val="00CE4792"/>
    <w:rsid w:val="00CE655E"/>
    <w:rsid w:val="00CE697E"/>
    <w:rsid w:val="00CF4013"/>
    <w:rsid w:val="00CF711B"/>
    <w:rsid w:val="00D073AD"/>
    <w:rsid w:val="00D11142"/>
    <w:rsid w:val="00D12431"/>
    <w:rsid w:val="00D13EA5"/>
    <w:rsid w:val="00D159A5"/>
    <w:rsid w:val="00D164C1"/>
    <w:rsid w:val="00D1676B"/>
    <w:rsid w:val="00D17535"/>
    <w:rsid w:val="00D23D05"/>
    <w:rsid w:val="00D2735A"/>
    <w:rsid w:val="00D2749B"/>
    <w:rsid w:val="00D30722"/>
    <w:rsid w:val="00D31EE9"/>
    <w:rsid w:val="00D32AD3"/>
    <w:rsid w:val="00D32AF2"/>
    <w:rsid w:val="00D3598C"/>
    <w:rsid w:val="00D372D5"/>
    <w:rsid w:val="00D372D7"/>
    <w:rsid w:val="00D41A34"/>
    <w:rsid w:val="00D42A31"/>
    <w:rsid w:val="00D51BEA"/>
    <w:rsid w:val="00D542A5"/>
    <w:rsid w:val="00D56C41"/>
    <w:rsid w:val="00D60470"/>
    <w:rsid w:val="00D62779"/>
    <w:rsid w:val="00D66B1A"/>
    <w:rsid w:val="00D71CC8"/>
    <w:rsid w:val="00D730D4"/>
    <w:rsid w:val="00D73688"/>
    <w:rsid w:val="00D73863"/>
    <w:rsid w:val="00D74337"/>
    <w:rsid w:val="00D74845"/>
    <w:rsid w:val="00D82FA4"/>
    <w:rsid w:val="00D832E2"/>
    <w:rsid w:val="00D8349C"/>
    <w:rsid w:val="00D84841"/>
    <w:rsid w:val="00D853C4"/>
    <w:rsid w:val="00D85D9C"/>
    <w:rsid w:val="00D86FC7"/>
    <w:rsid w:val="00D92D83"/>
    <w:rsid w:val="00DA0555"/>
    <w:rsid w:val="00DA118B"/>
    <w:rsid w:val="00DA3664"/>
    <w:rsid w:val="00DA3B1E"/>
    <w:rsid w:val="00DA6AD7"/>
    <w:rsid w:val="00DB01BB"/>
    <w:rsid w:val="00DB3951"/>
    <w:rsid w:val="00DD2306"/>
    <w:rsid w:val="00DD4299"/>
    <w:rsid w:val="00DD490A"/>
    <w:rsid w:val="00DE383D"/>
    <w:rsid w:val="00DE3A5E"/>
    <w:rsid w:val="00DE6235"/>
    <w:rsid w:val="00DE779C"/>
    <w:rsid w:val="00DF4E10"/>
    <w:rsid w:val="00DF6956"/>
    <w:rsid w:val="00DF6B1D"/>
    <w:rsid w:val="00DF6E65"/>
    <w:rsid w:val="00E025FD"/>
    <w:rsid w:val="00E04631"/>
    <w:rsid w:val="00E046AD"/>
    <w:rsid w:val="00E05526"/>
    <w:rsid w:val="00E0568F"/>
    <w:rsid w:val="00E05C94"/>
    <w:rsid w:val="00E05DED"/>
    <w:rsid w:val="00E06B96"/>
    <w:rsid w:val="00E07993"/>
    <w:rsid w:val="00E12319"/>
    <w:rsid w:val="00E21DD9"/>
    <w:rsid w:val="00E27231"/>
    <w:rsid w:val="00E3347F"/>
    <w:rsid w:val="00E34667"/>
    <w:rsid w:val="00E3745E"/>
    <w:rsid w:val="00E412C0"/>
    <w:rsid w:val="00E41C6F"/>
    <w:rsid w:val="00E432FF"/>
    <w:rsid w:val="00E44563"/>
    <w:rsid w:val="00E50EAD"/>
    <w:rsid w:val="00E52705"/>
    <w:rsid w:val="00E5422F"/>
    <w:rsid w:val="00E573FD"/>
    <w:rsid w:val="00E57E72"/>
    <w:rsid w:val="00E6014F"/>
    <w:rsid w:val="00E72CD5"/>
    <w:rsid w:val="00E75F71"/>
    <w:rsid w:val="00E765E5"/>
    <w:rsid w:val="00E76A33"/>
    <w:rsid w:val="00E771EC"/>
    <w:rsid w:val="00E802E8"/>
    <w:rsid w:val="00E803E4"/>
    <w:rsid w:val="00E84500"/>
    <w:rsid w:val="00E85F6C"/>
    <w:rsid w:val="00E87557"/>
    <w:rsid w:val="00E908F8"/>
    <w:rsid w:val="00E930E6"/>
    <w:rsid w:val="00E940D8"/>
    <w:rsid w:val="00E9643F"/>
    <w:rsid w:val="00E977E9"/>
    <w:rsid w:val="00E97A8B"/>
    <w:rsid w:val="00EA0095"/>
    <w:rsid w:val="00EA053E"/>
    <w:rsid w:val="00EA1653"/>
    <w:rsid w:val="00EA40EF"/>
    <w:rsid w:val="00EA5B5E"/>
    <w:rsid w:val="00EA7A53"/>
    <w:rsid w:val="00EB0EE6"/>
    <w:rsid w:val="00EB102D"/>
    <w:rsid w:val="00EB4DDF"/>
    <w:rsid w:val="00EB51F0"/>
    <w:rsid w:val="00EC268A"/>
    <w:rsid w:val="00EC7FC4"/>
    <w:rsid w:val="00EC7FD7"/>
    <w:rsid w:val="00ED119A"/>
    <w:rsid w:val="00EE1A1D"/>
    <w:rsid w:val="00EE2A09"/>
    <w:rsid w:val="00EE6221"/>
    <w:rsid w:val="00EE73D8"/>
    <w:rsid w:val="00EF045D"/>
    <w:rsid w:val="00EF5157"/>
    <w:rsid w:val="00EF6E2A"/>
    <w:rsid w:val="00EF7087"/>
    <w:rsid w:val="00EF7BEE"/>
    <w:rsid w:val="00F0789D"/>
    <w:rsid w:val="00F07B80"/>
    <w:rsid w:val="00F103A0"/>
    <w:rsid w:val="00F10B6D"/>
    <w:rsid w:val="00F12A59"/>
    <w:rsid w:val="00F13DC1"/>
    <w:rsid w:val="00F16B56"/>
    <w:rsid w:val="00F23CCE"/>
    <w:rsid w:val="00F32C1F"/>
    <w:rsid w:val="00F3333F"/>
    <w:rsid w:val="00F33F42"/>
    <w:rsid w:val="00F3495C"/>
    <w:rsid w:val="00F37C0D"/>
    <w:rsid w:val="00F4050F"/>
    <w:rsid w:val="00F40E2E"/>
    <w:rsid w:val="00F442E6"/>
    <w:rsid w:val="00F443ED"/>
    <w:rsid w:val="00F451FB"/>
    <w:rsid w:val="00F52247"/>
    <w:rsid w:val="00F52BCD"/>
    <w:rsid w:val="00F57C7F"/>
    <w:rsid w:val="00F61037"/>
    <w:rsid w:val="00F62EBA"/>
    <w:rsid w:val="00F6486D"/>
    <w:rsid w:val="00F66FDE"/>
    <w:rsid w:val="00F67622"/>
    <w:rsid w:val="00F71811"/>
    <w:rsid w:val="00F71E32"/>
    <w:rsid w:val="00F7345F"/>
    <w:rsid w:val="00F778D3"/>
    <w:rsid w:val="00F779AC"/>
    <w:rsid w:val="00F82F5A"/>
    <w:rsid w:val="00F85F43"/>
    <w:rsid w:val="00F865FE"/>
    <w:rsid w:val="00F87698"/>
    <w:rsid w:val="00F9370E"/>
    <w:rsid w:val="00F94BDB"/>
    <w:rsid w:val="00F97415"/>
    <w:rsid w:val="00FA068D"/>
    <w:rsid w:val="00FA3D6F"/>
    <w:rsid w:val="00FB1939"/>
    <w:rsid w:val="00FB3433"/>
    <w:rsid w:val="00FB35AA"/>
    <w:rsid w:val="00FB36DA"/>
    <w:rsid w:val="00FB3FE5"/>
    <w:rsid w:val="00FB66FE"/>
    <w:rsid w:val="00FC0FA9"/>
    <w:rsid w:val="00FC23C4"/>
    <w:rsid w:val="00FC4070"/>
    <w:rsid w:val="00FC64D4"/>
    <w:rsid w:val="00FD1F85"/>
    <w:rsid w:val="00FD5D7A"/>
    <w:rsid w:val="00FE137E"/>
    <w:rsid w:val="00FE3EAC"/>
    <w:rsid w:val="00FE4402"/>
    <w:rsid w:val="00FE4454"/>
    <w:rsid w:val="00FE7A59"/>
    <w:rsid w:val="00FE7F06"/>
    <w:rsid w:val="00FF1873"/>
    <w:rsid w:val="00FF2393"/>
    <w:rsid w:val="00FF5C3D"/>
    <w:rsid w:val="0590748A"/>
    <w:rsid w:val="07D25A79"/>
    <w:rsid w:val="08015A15"/>
    <w:rsid w:val="0A101FF7"/>
    <w:rsid w:val="0BD254AD"/>
    <w:rsid w:val="118D3C3F"/>
    <w:rsid w:val="14F97D58"/>
    <w:rsid w:val="18392D70"/>
    <w:rsid w:val="1C3F1666"/>
    <w:rsid w:val="1C5F4BDC"/>
    <w:rsid w:val="21EC64D8"/>
    <w:rsid w:val="26294BA0"/>
    <w:rsid w:val="2CA20884"/>
    <w:rsid w:val="30B74B59"/>
    <w:rsid w:val="33734275"/>
    <w:rsid w:val="33D17AC9"/>
    <w:rsid w:val="352A3DBA"/>
    <w:rsid w:val="353A2129"/>
    <w:rsid w:val="35551771"/>
    <w:rsid w:val="3574780B"/>
    <w:rsid w:val="37743B53"/>
    <w:rsid w:val="3E3052A2"/>
    <w:rsid w:val="427322DD"/>
    <w:rsid w:val="44881AB7"/>
    <w:rsid w:val="4AE316CE"/>
    <w:rsid w:val="4AEE4AF7"/>
    <w:rsid w:val="4B1B4A6B"/>
    <w:rsid w:val="4CF44A19"/>
    <w:rsid w:val="4D8B35DA"/>
    <w:rsid w:val="4DF52DBD"/>
    <w:rsid w:val="51711289"/>
    <w:rsid w:val="51E442FE"/>
    <w:rsid w:val="54515586"/>
    <w:rsid w:val="55452173"/>
    <w:rsid w:val="56EBA5DD"/>
    <w:rsid w:val="577D35C5"/>
    <w:rsid w:val="578C2978"/>
    <w:rsid w:val="5847023D"/>
    <w:rsid w:val="5CA54F8A"/>
    <w:rsid w:val="628964F1"/>
    <w:rsid w:val="639474D4"/>
    <w:rsid w:val="6715180F"/>
    <w:rsid w:val="673249F0"/>
    <w:rsid w:val="679B7FC0"/>
    <w:rsid w:val="67BE6790"/>
    <w:rsid w:val="681810DA"/>
    <w:rsid w:val="695B3DDE"/>
    <w:rsid w:val="6F425211"/>
    <w:rsid w:val="709144E3"/>
    <w:rsid w:val="70C06596"/>
    <w:rsid w:val="757E7B98"/>
    <w:rsid w:val="75C14E66"/>
    <w:rsid w:val="77FE48CB"/>
    <w:rsid w:val="7A5C6C25"/>
    <w:rsid w:val="C3EE30C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Verdana" w:hAnsi="Verdana" w:eastAsia="宋体" w:cs="Verdana"/>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nhideWhenUsed="0" w:uiPriority="0" w:semiHidden="0" w:name="Normal Indent"/>
    <w:lsdException w:qFormat="1" w:uiPriority="99" w:semiHidden="0" w:name="footnote text"/>
    <w:lsdException w:qFormat="1" w:uiPriority="0" w:semiHidden="0"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iPriority="0" w:semiHidden="0" w:name="footnote reference"/>
    <w:lsdException w:qFormat="1" w:unhideWhenUsed="0" w:uiPriority="0" w:semiHidden="0" w:name="annotation reference"/>
    <w:lsdException w:qFormat="1" w:uiPriority="99" w:semiHidden="0" w:name="line number"/>
    <w:lsdException w:unhideWhenUsed="0" w:uiPriority="0" w:semiHidden="0" w:name="page number"/>
    <w:lsdException w:qFormat="1" w:uiPriority="99" w:semiHidden="0" w:name="endnote reference"/>
    <w:lsdException w:qFormat="1" w:uiPriority="99" w:semiHidden="0" w:name="endnote text"/>
    <w:lsdException w:qFormat="1"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qFormat="1" w:uiPriority="99"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iPriority="99"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99"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49"/>
    <w:qFormat/>
    <w:uiPriority w:val="9"/>
    <w:pPr>
      <w:keepNext/>
      <w:keepLines/>
      <w:widowControl/>
      <w:spacing w:before="240" w:after="0" w:line="240" w:lineRule="auto"/>
      <w:jc w:val="left"/>
      <w:outlineLvl w:val="0"/>
    </w:pPr>
    <w:rPr>
      <w:rFonts w:asciiTheme="majorHAnsi" w:hAnsiTheme="majorHAnsi" w:eastAsiaTheme="majorEastAsia" w:cstheme="majorBidi"/>
      <w:color w:val="2E75B6" w:themeColor="accent1" w:themeShade="BF"/>
      <w:kern w:val="0"/>
      <w:sz w:val="32"/>
      <w:szCs w:val="32"/>
    </w:rPr>
  </w:style>
  <w:style w:type="paragraph" w:styleId="3">
    <w:name w:val="heading 2"/>
    <w:basedOn w:val="1"/>
    <w:next w:val="4"/>
    <w:link w:val="37"/>
    <w:qFormat/>
    <w:uiPriority w:val="9"/>
    <w:pPr>
      <w:keepNext/>
      <w:keepLines/>
      <w:spacing w:before="260" w:after="260" w:line="413" w:lineRule="auto"/>
      <w:outlineLvl w:val="1"/>
    </w:pPr>
    <w:rPr>
      <w:rFonts w:ascii="Arial" w:hAnsi="Arial" w:eastAsia="黑体"/>
      <w:b/>
      <w:bCs/>
      <w:sz w:val="32"/>
      <w:szCs w:val="32"/>
    </w:rPr>
  </w:style>
  <w:style w:type="paragraph" w:styleId="4">
    <w:name w:val="heading 3"/>
    <w:basedOn w:val="1"/>
    <w:next w:val="1"/>
    <w:link w:val="65"/>
    <w:unhideWhenUsed/>
    <w:qFormat/>
    <w:uiPriority w:val="9"/>
    <w:pPr>
      <w:keepNext/>
      <w:keepLines/>
      <w:spacing w:line="300" w:lineRule="auto"/>
      <w:ind w:firstLine="1446" w:firstLineChars="200"/>
      <w:outlineLvl w:val="2"/>
    </w:pPr>
    <w:rPr>
      <w:b/>
      <w:bCs/>
      <w:szCs w:val="32"/>
    </w:rPr>
  </w:style>
  <w:style w:type="character" w:default="1" w:styleId="26">
    <w:name w:val="Default Paragraph Font"/>
    <w:semiHidden/>
    <w:unhideWhenUsed/>
    <w:qFormat/>
    <w:uiPriority w:val="1"/>
  </w:style>
  <w:style w:type="table" w:default="1" w:styleId="24">
    <w:name w:val="Normal Table"/>
    <w:semiHidden/>
    <w:unhideWhenUsed/>
    <w:qFormat/>
    <w:uiPriority w:val="99"/>
    <w:tblPr>
      <w:tblCellMar>
        <w:top w:w="0" w:type="dxa"/>
        <w:left w:w="108" w:type="dxa"/>
        <w:bottom w:w="0" w:type="dxa"/>
        <w:right w:w="108" w:type="dxa"/>
      </w:tblCellMar>
    </w:tblPr>
  </w:style>
  <w:style w:type="paragraph" w:styleId="5">
    <w:name w:val="toc 7"/>
    <w:basedOn w:val="1"/>
    <w:next w:val="1"/>
    <w:unhideWhenUsed/>
    <w:qFormat/>
    <w:uiPriority w:val="39"/>
    <w:pPr>
      <w:widowControl/>
      <w:spacing w:after="100"/>
      <w:ind w:left="1320"/>
      <w:jc w:val="left"/>
    </w:pPr>
    <w:rPr>
      <w:rFonts w:asciiTheme="minorHAnsi" w:hAnsiTheme="minorHAnsi" w:eastAsiaTheme="minorEastAsia" w:cstheme="minorBidi"/>
      <w:kern w:val="0"/>
      <w:sz w:val="22"/>
    </w:rPr>
  </w:style>
  <w:style w:type="paragraph" w:styleId="6">
    <w:name w:val="table of authorities"/>
    <w:basedOn w:val="1"/>
    <w:next w:val="1"/>
    <w:unhideWhenUsed/>
    <w:qFormat/>
    <w:uiPriority w:val="0"/>
    <w:pPr>
      <w:ind w:left="420" w:leftChars="200"/>
    </w:pPr>
    <w:rPr>
      <w:sz w:val="32"/>
      <w:szCs w:val="21"/>
    </w:rPr>
  </w:style>
  <w:style w:type="paragraph" w:styleId="7">
    <w:name w:val="annotation text"/>
    <w:basedOn w:val="1"/>
    <w:link w:val="47"/>
    <w:unhideWhenUsed/>
    <w:qFormat/>
    <w:uiPriority w:val="0"/>
    <w:pPr>
      <w:jc w:val="left"/>
    </w:pPr>
  </w:style>
  <w:style w:type="paragraph" w:styleId="8">
    <w:name w:val="Body Text"/>
    <w:basedOn w:val="1"/>
    <w:link w:val="46"/>
    <w:qFormat/>
    <w:uiPriority w:val="0"/>
    <w:pPr>
      <w:adjustRightInd w:val="0"/>
      <w:snapToGrid w:val="0"/>
      <w:spacing w:before="150" w:after="150" w:line="264" w:lineRule="auto"/>
      <w:ind w:firstLine="567"/>
    </w:pPr>
    <w:rPr>
      <w:rFonts w:ascii="华文楷体" w:hAnsi="华文楷体" w:eastAsia="LF_Kai"/>
      <w:szCs w:val="20"/>
    </w:rPr>
  </w:style>
  <w:style w:type="paragraph" w:styleId="9">
    <w:name w:val="toc 5"/>
    <w:basedOn w:val="1"/>
    <w:next w:val="1"/>
    <w:unhideWhenUsed/>
    <w:qFormat/>
    <w:uiPriority w:val="39"/>
    <w:pPr>
      <w:widowControl/>
      <w:spacing w:after="100"/>
      <w:ind w:left="880"/>
      <w:jc w:val="left"/>
    </w:pPr>
    <w:rPr>
      <w:rFonts w:asciiTheme="minorHAnsi" w:hAnsiTheme="minorHAnsi" w:eastAsiaTheme="minorEastAsia" w:cstheme="minorBidi"/>
      <w:kern w:val="0"/>
      <w:sz w:val="22"/>
    </w:rPr>
  </w:style>
  <w:style w:type="paragraph" w:styleId="10">
    <w:name w:val="toc 3"/>
    <w:basedOn w:val="1"/>
    <w:next w:val="1"/>
    <w:unhideWhenUsed/>
    <w:qFormat/>
    <w:uiPriority w:val="39"/>
    <w:pPr>
      <w:widowControl/>
      <w:spacing w:after="100" w:line="240" w:lineRule="auto"/>
      <w:ind w:left="400"/>
      <w:jc w:val="left"/>
    </w:pPr>
    <w:rPr>
      <w:rFonts w:eastAsia="Times New Roman"/>
      <w:kern w:val="0"/>
      <w:sz w:val="24"/>
      <w:szCs w:val="24"/>
    </w:rPr>
  </w:style>
  <w:style w:type="paragraph" w:styleId="11">
    <w:name w:val="toc 8"/>
    <w:basedOn w:val="1"/>
    <w:next w:val="1"/>
    <w:unhideWhenUsed/>
    <w:qFormat/>
    <w:uiPriority w:val="39"/>
    <w:pPr>
      <w:widowControl/>
      <w:spacing w:after="100"/>
      <w:ind w:left="1540"/>
      <w:jc w:val="left"/>
    </w:pPr>
    <w:rPr>
      <w:rFonts w:asciiTheme="minorHAnsi" w:hAnsiTheme="minorHAnsi" w:eastAsiaTheme="minorEastAsia" w:cstheme="minorBidi"/>
      <w:kern w:val="0"/>
      <w:sz w:val="22"/>
    </w:rPr>
  </w:style>
  <w:style w:type="paragraph" w:styleId="12">
    <w:name w:val="endnote text"/>
    <w:basedOn w:val="1"/>
    <w:link w:val="50"/>
    <w:unhideWhenUsed/>
    <w:qFormat/>
    <w:uiPriority w:val="99"/>
    <w:pPr>
      <w:widowControl/>
      <w:spacing w:after="0" w:line="240" w:lineRule="auto"/>
      <w:jc w:val="left"/>
    </w:pPr>
    <w:rPr>
      <w:rFonts w:eastAsia="Times New Roman"/>
      <w:kern w:val="0"/>
      <w:sz w:val="24"/>
      <w:szCs w:val="20"/>
    </w:rPr>
  </w:style>
  <w:style w:type="paragraph" w:styleId="13">
    <w:name w:val="Balloon Text"/>
    <w:basedOn w:val="1"/>
    <w:link w:val="43"/>
    <w:semiHidden/>
    <w:unhideWhenUsed/>
    <w:qFormat/>
    <w:uiPriority w:val="99"/>
    <w:pPr>
      <w:spacing w:after="0" w:line="240" w:lineRule="auto"/>
    </w:pPr>
    <w:rPr>
      <w:sz w:val="18"/>
      <w:szCs w:val="18"/>
    </w:rPr>
  </w:style>
  <w:style w:type="paragraph" w:styleId="14">
    <w:name w:val="footer"/>
    <w:basedOn w:val="1"/>
    <w:link w:val="40"/>
    <w:unhideWhenUsed/>
    <w:qFormat/>
    <w:uiPriority w:val="99"/>
    <w:pPr>
      <w:tabs>
        <w:tab w:val="center" w:pos="4320"/>
        <w:tab w:val="right" w:pos="8640"/>
      </w:tabs>
    </w:pPr>
  </w:style>
  <w:style w:type="paragraph" w:styleId="15">
    <w:name w:val="header"/>
    <w:basedOn w:val="1"/>
    <w:link w:val="39"/>
    <w:unhideWhenUsed/>
    <w:qFormat/>
    <w:uiPriority w:val="99"/>
    <w:pPr>
      <w:tabs>
        <w:tab w:val="center" w:pos="4320"/>
        <w:tab w:val="right" w:pos="8640"/>
      </w:tabs>
    </w:pPr>
  </w:style>
  <w:style w:type="paragraph" w:styleId="16">
    <w:name w:val="toc 1"/>
    <w:basedOn w:val="1"/>
    <w:next w:val="1"/>
    <w:unhideWhenUsed/>
    <w:qFormat/>
    <w:uiPriority w:val="39"/>
    <w:pPr>
      <w:widowControl/>
      <w:tabs>
        <w:tab w:val="right" w:leader="dot" w:pos="8630"/>
      </w:tabs>
      <w:spacing w:after="100" w:line="240" w:lineRule="auto"/>
      <w:jc w:val="left"/>
    </w:pPr>
    <w:rPr>
      <w:rFonts w:eastAsia="华文细黑" w:asciiTheme="minorHAnsi" w:hAnsiTheme="minorHAnsi"/>
      <w:b/>
      <w:kern w:val="0"/>
      <w:sz w:val="24"/>
      <w:szCs w:val="24"/>
    </w:rPr>
  </w:style>
  <w:style w:type="paragraph" w:styleId="17">
    <w:name w:val="toc 4"/>
    <w:basedOn w:val="1"/>
    <w:next w:val="1"/>
    <w:unhideWhenUsed/>
    <w:qFormat/>
    <w:uiPriority w:val="39"/>
    <w:pPr>
      <w:widowControl/>
      <w:spacing w:after="100"/>
      <w:ind w:left="660"/>
      <w:jc w:val="left"/>
    </w:pPr>
    <w:rPr>
      <w:rFonts w:asciiTheme="minorHAnsi" w:hAnsiTheme="minorHAnsi" w:eastAsiaTheme="minorEastAsia" w:cstheme="minorBidi"/>
      <w:kern w:val="0"/>
      <w:sz w:val="22"/>
    </w:rPr>
  </w:style>
  <w:style w:type="paragraph" w:styleId="18">
    <w:name w:val="footnote text"/>
    <w:basedOn w:val="1"/>
    <w:link w:val="41"/>
    <w:unhideWhenUsed/>
    <w:qFormat/>
    <w:uiPriority w:val="99"/>
    <w:rPr>
      <w:szCs w:val="20"/>
    </w:rPr>
  </w:style>
  <w:style w:type="paragraph" w:styleId="19">
    <w:name w:val="toc 6"/>
    <w:basedOn w:val="1"/>
    <w:next w:val="1"/>
    <w:unhideWhenUsed/>
    <w:qFormat/>
    <w:uiPriority w:val="39"/>
    <w:pPr>
      <w:widowControl/>
      <w:spacing w:after="100"/>
      <w:ind w:left="1100"/>
      <w:jc w:val="left"/>
    </w:pPr>
    <w:rPr>
      <w:rFonts w:asciiTheme="minorHAnsi" w:hAnsiTheme="minorHAnsi" w:eastAsiaTheme="minorEastAsia" w:cstheme="minorBidi"/>
      <w:kern w:val="0"/>
      <w:sz w:val="22"/>
    </w:rPr>
  </w:style>
  <w:style w:type="paragraph" w:styleId="20">
    <w:name w:val="toc 2"/>
    <w:basedOn w:val="1"/>
    <w:next w:val="1"/>
    <w:unhideWhenUsed/>
    <w:qFormat/>
    <w:uiPriority w:val="39"/>
    <w:pPr>
      <w:widowControl/>
      <w:tabs>
        <w:tab w:val="right" w:leader="dot" w:pos="8630"/>
      </w:tabs>
      <w:spacing w:after="0" w:line="240" w:lineRule="auto"/>
      <w:ind w:left="200" w:hanging="200"/>
      <w:jc w:val="left"/>
    </w:pPr>
    <w:rPr>
      <w:rFonts w:ascii="楷体" w:hAnsi="楷体" w:eastAsia="楷体" w:cs="楷体"/>
      <w:b/>
      <w:bCs/>
      <w:kern w:val="0"/>
      <w:sz w:val="24"/>
      <w:szCs w:val="24"/>
    </w:rPr>
  </w:style>
  <w:style w:type="paragraph" w:styleId="21">
    <w:name w:val="toc 9"/>
    <w:basedOn w:val="1"/>
    <w:next w:val="1"/>
    <w:unhideWhenUsed/>
    <w:qFormat/>
    <w:uiPriority w:val="39"/>
    <w:pPr>
      <w:widowControl/>
      <w:spacing w:after="100"/>
      <w:ind w:left="1760"/>
      <w:jc w:val="left"/>
    </w:pPr>
    <w:rPr>
      <w:rFonts w:asciiTheme="minorHAnsi" w:hAnsiTheme="minorHAnsi" w:eastAsiaTheme="minorEastAsia" w:cstheme="minorBidi"/>
      <w:kern w:val="0"/>
      <w:sz w:val="22"/>
    </w:rPr>
  </w:style>
  <w:style w:type="paragraph" w:styleId="22">
    <w:name w:val="Normal (Web)"/>
    <w:basedOn w:val="1"/>
    <w:unhideWhenUsed/>
    <w:qFormat/>
    <w:uiPriority w:val="0"/>
    <w:pPr>
      <w:widowControl/>
      <w:spacing w:before="100" w:beforeAutospacing="1" w:after="100" w:afterAutospacing="1" w:line="240" w:lineRule="auto"/>
      <w:jc w:val="left"/>
    </w:pPr>
    <w:rPr>
      <w:rFonts w:ascii="宋体" w:hAnsi="宋体" w:cs="宋体"/>
      <w:kern w:val="0"/>
      <w:sz w:val="24"/>
      <w:szCs w:val="24"/>
    </w:rPr>
  </w:style>
  <w:style w:type="paragraph" w:styleId="23">
    <w:name w:val="annotation subject"/>
    <w:basedOn w:val="7"/>
    <w:next w:val="7"/>
    <w:link w:val="48"/>
    <w:semiHidden/>
    <w:unhideWhenUsed/>
    <w:qFormat/>
    <w:uiPriority w:val="99"/>
    <w:rPr>
      <w:b/>
      <w:bCs/>
    </w:rPr>
  </w:style>
  <w:style w:type="table" w:styleId="25">
    <w:name w:val="Table Grid"/>
    <w:basedOn w:val="24"/>
    <w:qFormat/>
    <w:uiPriority w:val="0"/>
    <w:rPr>
      <w:rFonts w:ascii="Times New Roman" w:hAnsi="Times New Roman"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7">
    <w:name w:val="endnote reference"/>
    <w:basedOn w:val="26"/>
    <w:unhideWhenUsed/>
    <w:qFormat/>
    <w:uiPriority w:val="99"/>
    <w:rPr>
      <w:vertAlign w:val="superscript"/>
    </w:rPr>
  </w:style>
  <w:style w:type="character" w:styleId="28">
    <w:name w:val="FollowedHyperlink"/>
    <w:basedOn w:val="26"/>
    <w:unhideWhenUsed/>
    <w:qFormat/>
    <w:uiPriority w:val="99"/>
    <w:rPr>
      <w:color w:val="954F72" w:themeColor="followedHyperlink"/>
      <w:u w:val="single"/>
      <w14:textFill>
        <w14:solidFill>
          <w14:schemeClr w14:val="folHlink"/>
        </w14:solidFill>
      </w14:textFill>
    </w:rPr>
  </w:style>
  <w:style w:type="character" w:styleId="29">
    <w:name w:val="line number"/>
    <w:basedOn w:val="26"/>
    <w:unhideWhenUsed/>
    <w:qFormat/>
    <w:uiPriority w:val="99"/>
  </w:style>
  <w:style w:type="character" w:styleId="30">
    <w:name w:val="Hyperlink"/>
    <w:basedOn w:val="26"/>
    <w:unhideWhenUsed/>
    <w:qFormat/>
    <w:uiPriority w:val="99"/>
    <w:rPr>
      <w:color w:val="0563C1" w:themeColor="hyperlink"/>
      <w:u w:val="single"/>
      <w14:textFill>
        <w14:solidFill>
          <w14:schemeClr w14:val="hlink"/>
        </w14:solidFill>
      </w14:textFill>
    </w:rPr>
  </w:style>
  <w:style w:type="character" w:styleId="31">
    <w:name w:val="annotation reference"/>
    <w:basedOn w:val="26"/>
    <w:qFormat/>
    <w:uiPriority w:val="0"/>
    <w:rPr>
      <w:sz w:val="21"/>
      <w:szCs w:val="21"/>
    </w:rPr>
  </w:style>
  <w:style w:type="character" w:styleId="32">
    <w:name w:val="footnote reference"/>
    <w:basedOn w:val="26"/>
    <w:unhideWhenUsed/>
    <w:qFormat/>
    <w:uiPriority w:val="0"/>
    <w:rPr>
      <w:vertAlign w:val="superscript"/>
    </w:rPr>
  </w:style>
  <w:style w:type="paragraph" w:customStyle="1" w:styleId="33">
    <w:name w:val="可表头"/>
    <w:basedOn w:val="1"/>
    <w:qFormat/>
    <w:uiPriority w:val="99"/>
    <w:pPr>
      <w:autoSpaceDE w:val="0"/>
      <w:autoSpaceDN w:val="0"/>
      <w:adjustRightInd w:val="0"/>
      <w:spacing w:line="360" w:lineRule="auto"/>
      <w:jc w:val="center"/>
    </w:pPr>
    <w:rPr>
      <w:rFonts w:ascii="宋体" w:hAnsi="宋体" w:cs="宋体"/>
      <w:b/>
      <w:bCs/>
      <w:sz w:val="24"/>
      <w:szCs w:val="24"/>
      <w:lang w:val="zh-CN"/>
    </w:rPr>
  </w:style>
  <w:style w:type="table" w:customStyle="1" w:styleId="34">
    <w:name w:val="网格型1"/>
    <w:basedOn w:val="24"/>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35">
    <w:name w:val="List Paragraph"/>
    <w:basedOn w:val="1"/>
    <w:link w:val="51"/>
    <w:qFormat/>
    <w:uiPriority w:val="34"/>
    <w:pPr>
      <w:ind w:firstLine="420" w:firstLineChars="200"/>
    </w:pPr>
  </w:style>
  <w:style w:type="table" w:customStyle="1" w:styleId="36">
    <w:name w:val="网格型11"/>
    <w:basedOn w:val="24"/>
    <w:qFormat/>
    <w:uiPriority w:val="0"/>
    <w:rPr>
      <w:rFonts w:ascii="Times New Roman" w:hAnsi="Times New Roman" w:eastAsia="Times New Roman"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7">
    <w:name w:val="标题 2 字符"/>
    <w:basedOn w:val="26"/>
    <w:link w:val="3"/>
    <w:qFormat/>
    <w:uiPriority w:val="9"/>
    <w:rPr>
      <w:rFonts w:ascii="Arial" w:hAnsi="Arial" w:eastAsia="黑体" w:cs="Times New Roman"/>
      <w:b/>
      <w:bCs/>
      <w:kern w:val="2"/>
      <w:sz w:val="32"/>
      <w:szCs w:val="32"/>
    </w:rPr>
  </w:style>
  <w:style w:type="paragraph" w:customStyle="1" w:styleId="38">
    <w:name w:val="msonormal"/>
    <w:basedOn w:val="1"/>
    <w:qFormat/>
    <w:uiPriority w:val="0"/>
    <w:pPr>
      <w:widowControl/>
      <w:spacing w:before="100" w:beforeAutospacing="1" w:after="100" w:afterAutospacing="1" w:line="240" w:lineRule="auto"/>
      <w:jc w:val="left"/>
    </w:pPr>
    <w:rPr>
      <w:rFonts w:ascii="宋体" w:hAnsi="宋体" w:cs="宋体"/>
      <w:kern w:val="0"/>
      <w:sz w:val="24"/>
      <w:szCs w:val="24"/>
    </w:rPr>
  </w:style>
  <w:style w:type="character" w:customStyle="1" w:styleId="39">
    <w:name w:val="页眉 字符"/>
    <w:basedOn w:val="26"/>
    <w:link w:val="15"/>
    <w:qFormat/>
    <w:uiPriority w:val="99"/>
    <w:rPr>
      <w:rFonts w:ascii="Times New Roman" w:hAnsi="Times New Roman" w:cs="Times New Roman"/>
      <w:kern w:val="2"/>
      <w:sz w:val="21"/>
      <w:szCs w:val="22"/>
    </w:rPr>
  </w:style>
  <w:style w:type="character" w:customStyle="1" w:styleId="40">
    <w:name w:val="页脚 字符"/>
    <w:basedOn w:val="26"/>
    <w:link w:val="14"/>
    <w:qFormat/>
    <w:uiPriority w:val="99"/>
    <w:rPr>
      <w:rFonts w:ascii="Times New Roman" w:hAnsi="Times New Roman" w:cs="Times New Roman"/>
      <w:kern w:val="2"/>
      <w:sz w:val="21"/>
      <w:szCs w:val="22"/>
    </w:rPr>
  </w:style>
  <w:style w:type="character" w:customStyle="1" w:styleId="41">
    <w:name w:val="脚注文本 字符"/>
    <w:basedOn w:val="26"/>
    <w:link w:val="18"/>
    <w:qFormat/>
    <w:uiPriority w:val="99"/>
    <w:rPr>
      <w:rFonts w:ascii="Times New Roman" w:hAnsi="Times New Roman" w:cs="Times New Roman"/>
      <w:kern w:val="2"/>
      <w:sz w:val="21"/>
    </w:rPr>
  </w:style>
  <w:style w:type="paragraph" w:customStyle="1" w:styleId="42">
    <w:name w:val="修订1"/>
    <w:hidden/>
    <w:semiHidden/>
    <w:qFormat/>
    <w:uiPriority w:val="99"/>
    <w:rPr>
      <w:rFonts w:ascii="Times New Roman" w:hAnsi="Times New Roman" w:eastAsia="宋体" w:cs="Times New Roman"/>
      <w:kern w:val="2"/>
      <w:sz w:val="21"/>
      <w:szCs w:val="22"/>
      <w:lang w:val="en-US" w:eastAsia="zh-CN" w:bidi="ar-SA"/>
    </w:rPr>
  </w:style>
  <w:style w:type="character" w:customStyle="1" w:styleId="43">
    <w:name w:val="批注框文本 字符"/>
    <w:basedOn w:val="26"/>
    <w:link w:val="13"/>
    <w:semiHidden/>
    <w:qFormat/>
    <w:uiPriority w:val="99"/>
    <w:rPr>
      <w:rFonts w:ascii="Times New Roman" w:hAnsi="Times New Roman" w:cs="Times New Roman"/>
      <w:kern w:val="2"/>
      <w:sz w:val="18"/>
      <w:szCs w:val="18"/>
    </w:rPr>
  </w:style>
  <w:style w:type="paragraph" w:customStyle="1" w:styleId="44">
    <w:name w:val="修订2"/>
    <w:hidden/>
    <w:semiHidden/>
    <w:qFormat/>
    <w:uiPriority w:val="99"/>
    <w:rPr>
      <w:rFonts w:ascii="Times New Roman" w:hAnsi="Times New Roman" w:eastAsia="宋体" w:cs="Times New Roman"/>
      <w:kern w:val="2"/>
      <w:sz w:val="21"/>
      <w:szCs w:val="22"/>
      <w:lang w:val="en-US" w:eastAsia="zh-CN" w:bidi="ar-SA"/>
    </w:rPr>
  </w:style>
  <w:style w:type="paragraph" w:customStyle="1" w:styleId="45">
    <w:name w:val="正文1"/>
    <w:qFormat/>
    <w:uiPriority w:val="0"/>
    <w:pPr>
      <w:jc w:val="both"/>
    </w:pPr>
    <w:rPr>
      <w:rFonts w:ascii="Times New Roman" w:hAnsi="Times New Roman" w:eastAsia="宋体" w:cs="Times New Roman"/>
      <w:kern w:val="2"/>
      <w:sz w:val="21"/>
      <w:szCs w:val="21"/>
      <w:lang w:val="en-US" w:eastAsia="zh-CN" w:bidi="ar-SA"/>
    </w:rPr>
  </w:style>
  <w:style w:type="character" w:customStyle="1" w:styleId="46">
    <w:name w:val="正文文本 字符"/>
    <w:basedOn w:val="26"/>
    <w:link w:val="8"/>
    <w:qFormat/>
    <w:uiPriority w:val="0"/>
    <w:rPr>
      <w:rFonts w:ascii="华文楷体" w:hAnsi="华文楷体" w:eastAsia="LF_Kai" w:cs="Times New Roman"/>
      <w:kern w:val="2"/>
      <w:sz w:val="21"/>
    </w:rPr>
  </w:style>
  <w:style w:type="character" w:customStyle="1" w:styleId="47">
    <w:name w:val="批注文字 字符"/>
    <w:basedOn w:val="26"/>
    <w:link w:val="7"/>
    <w:qFormat/>
    <w:uiPriority w:val="0"/>
    <w:rPr>
      <w:rFonts w:ascii="Times New Roman" w:hAnsi="Times New Roman" w:cs="Times New Roman"/>
      <w:kern w:val="2"/>
      <w:sz w:val="21"/>
      <w:szCs w:val="22"/>
    </w:rPr>
  </w:style>
  <w:style w:type="character" w:customStyle="1" w:styleId="48">
    <w:name w:val="批注主题 字符"/>
    <w:basedOn w:val="47"/>
    <w:link w:val="23"/>
    <w:semiHidden/>
    <w:qFormat/>
    <w:uiPriority w:val="99"/>
    <w:rPr>
      <w:rFonts w:ascii="Times New Roman" w:hAnsi="Times New Roman" w:cs="Times New Roman"/>
      <w:b/>
      <w:bCs/>
      <w:kern w:val="2"/>
      <w:sz w:val="21"/>
      <w:szCs w:val="22"/>
    </w:rPr>
  </w:style>
  <w:style w:type="character" w:customStyle="1" w:styleId="49">
    <w:name w:val="标题 1 字符"/>
    <w:basedOn w:val="26"/>
    <w:link w:val="2"/>
    <w:qFormat/>
    <w:uiPriority w:val="9"/>
    <w:rPr>
      <w:rFonts w:asciiTheme="majorHAnsi" w:hAnsiTheme="majorHAnsi" w:eastAsiaTheme="majorEastAsia" w:cstheme="majorBidi"/>
      <w:color w:val="2E75B6" w:themeColor="accent1" w:themeShade="BF"/>
      <w:sz w:val="32"/>
      <w:szCs w:val="32"/>
    </w:rPr>
  </w:style>
  <w:style w:type="character" w:customStyle="1" w:styleId="50">
    <w:name w:val="尾注文本 字符"/>
    <w:basedOn w:val="26"/>
    <w:link w:val="12"/>
    <w:qFormat/>
    <w:uiPriority w:val="99"/>
    <w:rPr>
      <w:rFonts w:ascii="Times New Roman" w:hAnsi="Times New Roman" w:eastAsia="Times New Roman" w:cs="Times New Roman"/>
      <w:sz w:val="24"/>
    </w:rPr>
  </w:style>
  <w:style w:type="character" w:customStyle="1" w:styleId="51">
    <w:name w:val="列表段落 字符"/>
    <w:link w:val="35"/>
    <w:qFormat/>
    <w:uiPriority w:val="34"/>
    <w:rPr>
      <w:rFonts w:ascii="Times New Roman" w:hAnsi="Times New Roman" w:cs="Times New Roman"/>
      <w:kern w:val="2"/>
      <w:sz w:val="21"/>
      <w:szCs w:val="22"/>
    </w:rPr>
  </w:style>
  <w:style w:type="character" w:customStyle="1" w:styleId="52">
    <w:name w:val="Body Text Char1"/>
    <w:basedOn w:val="26"/>
    <w:semiHidden/>
    <w:qFormat/>
    <w:uiPriority w:val="99"/>
    <w:rPr>
      <w:sz w:val="20"/>
      <w:lang w:val="en-GB"/>
    </w:rPr>
  </w:style>
  <w:style w:type="paragraph" w:customStyle="1" w:styleId="53">
    <w:name w:val="Table Paragraph"/>
    <w:basedOn w:val="1"/>
    <w:qFormat/>
    <w:uiPriority w:val="1"/>
    <w:pPr>
      <w:spacing w:after="0" w:line="240" w:lineRule="auto"/>
      <w:jc w:val="left"/>
    </w:pPr>
    <w:rPr>
      <w:rFonts w:ascii="Verdana" w:hAnsi="Verdana"/>
      <w:kern w:val="0"/>
      <w:sz w:val="22"/>
      <w:szCs w:val="24"/>
      <w:lang w:eastAsia="en-US"/>
    </w:rPr>
  </w:style>
  <w:style w:type="paragraph" w:customStyle="1" w:styleId="54">
    <w:name w:val="Revision1"/>
    <w:hidden/>
    <w:semiHidden/>
    <w:qFormat/>
    <w:uiPriority w:val="99"/>
    <w:rPr>
      <w:rFonts w:asciiTheme="minorHAnsi" w:hAnsiTheme="minorHAnsi" w:eastAsiaTheme="minorEastAsia" w:cstheme="minorBidi"/>
      <w:szCs w:val="22"/>
      <w:lang w:val="en-GB" w:eastAsia="zh-CN" w:bidi="ar-SA"/>
    </w:rPr>
  </w:style>
  <w:style w:type="character" w:customStyle="1" w:styleId="55">
    <w:name w:val="font11"/>
    <w:qFormat/>
    <w:uiPriority w:val="0"/>
    <w:rPr>
      <w:rFonts w:hint="eastAsia" w:ascii="宋体" w:hAnsi="宋体" w:eastAsia="宋体" w:cs="宋体"/>
      <w:color w:val="000000"/>
      <w:sz w:val="21"/>
      <w:szCs w:val="21"/>
      <w:u w:val="none"/>
    </w:rPr>
  </w:style>
  <w:style w:type="character" w:customStyle="1" w:styleId="56">
    <w:name w:val="font21"/>
    <w:qFormat/>
    <w:uiPriority w:val="0"/>
    <w:rPr>
      <w:rFonts w:hint="default" w:ascii="Times New Roman" w:hAnsi="Times New Roman" w:cs="Times New Roman"/>
      <w:color w:val="000000"/>
      <w:sz w:val="21"/>
      <w:szCs w:val="21"/>
      <w:u w:val="none"/>
    </w:rPr>
  </w:style>
  <w:style w:type="table" w:customStyle="1" w:styleId="57">
    <w:name w:val="Table Normal1"/>
    <w:semiHidden/>
    <w:unhideWhenUsed/>
    <w:qFormat/>
    <w:uiPriority w:val="2"/>
    <w:pPr>
      <w:widowControl w:val="0"/>
    </w:pPr>
    <w:rPr>
      <w:rFonts w:ascii="Times New Roman" w:hAnsi="Times New Roman" w:cs="Times New Roman"/>
      <w:lang w:eastAsia="en-US"/>
    </w:rPr>
    <w:tblPr>
      <w:tblCellMar>
        <w:top w:w="0" w:type="dxa"/>
        <w:left w:w="0" w:type="dxa"/>
        <w:bottom w:w="0" w:type="dxa"/>
        <w:right w:w="0" w:type="dxa"/>
      </w:tblCellMar>
    </w:tblPr>
  </w:style>
  <w:style w:type="paragraph" w:customStyle="1" w:styleId="58">
    <w:name w:val="TOC 标题1"/>
    <w:basedOn w:val="2"/>
    <w:next w:val="1"/>
    <w:unhideWhenUsed/>
    <w:qFormat/>
    <w:uiPriority w:val="39"/>
    <w:pPr>
      <w:spacing w:line="259" w:lineRule="auto"/>
      <w:outlineLvl w:val="9"/>
    </w:pPr>
    <w:rPr>
      <w:lang w:eastAsia="en-US"/>
    </w:rPr>
  </w:style>
  <w:style w:type="table" w:customStyle="1" w:styleId="59">
    <w:name w:val="Table Grid1"/>
    <w:basedOn w:val="24"/>
    <w:qFormat/>
    <w:uiPriority w:val="39"/>
    <w:rPr>
      <w:rFonts w:ascii="Times New Roman" w:hAnsi="Times New Roman" w:cs="Times New Roman"/>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0">
    <w:name w:val="批注文字 字符1"/>
    <w:basedOn w:val="26"/>
    <w:qFormat/>
    <w:uiPriority w:val="0"/>
    <w:rPr>
      <w:rFonts w:ascii="Times New Roman" w:hAnsi="Times New Roman"/>
      <w:kern w:val="2"/>
      <w:sz w:val="21"/>
      <w:szCs w:val="22"/>
    </w:rPr>
  </w:style>
  <w:style w:type="paragraph" w:styleId="61">
    <w:name w:val="No Spacing"/>
    <w:qFormat/>
    <w:uiPriority w:val="1"/>
    <w:pPr>
      <w:ind w:left="870"/>
      <w:jc w:val="right"/>
    </w:pPr>
    <w:rPr>
      <w:rFonts w:ascii="华文细黑" w:hAnsi="华文细黑" w:eastAsia="华文细黑" w:cstheme="minorBidi"/>
      <w:sz w:val="24"/>
      <w:szCs w:val="22"/>
      <w:lang w:val="en-US" w:eastAsia="zh-CN" w:bidi="ar-SA"/>
    </w:rPr>
  </w:style>
  <w:style w:type="paragraph" w:customStyle="1" w:styleId="62">
    <w:name w:val="Revision2"/>
    <w:hidden/>
    <w:semiHidden/>
    <w:qFormat/>
    <w:uiPriority w:val="99"/>
    <w:rPr>
      <w:rFonts w:ascii="Times New Roman" w:hAnsi="Times New Roman" w:eastAsia="Times New Roman" w:cs="Times New Roman"/>
      <w:sz w:val="24"/>
      <w:szCs w:val="24"/>
      <w:lang w:val="en-US" w:eastAsia="zh-CN" w:bidi="ar-SA"/>
    </w:rPr>
  </w:style>
  <w:style w:type="paragraph" w:customStyle="1" w:styleId="63">
    <w:name w:val="修订3"/>
    <w:hidden/>
    <w:semiHidden/>
    <w:qFormat/>
    <w:uiPriority w:val="99"/>
    <w:rPr>
      <w:rFonts w:ascii="Times New Roman" w:hAnsi="Times New Roman" w:eastAsia="Times New Roman" w:cs="Times New Roman"/>
      <w:sz w:val="24"/>
      <w:szCs w:val="24"/>
      <w:lang w:val="en-US" w:eastAsia="zh-CN" w:bidi="ar-SA"/>
    </w:rPr>
  </w:style>
  <w:style w:type="paragraph" w:customStyle="1" w:styleId="64">
    <w:name w:val="修订4"/>
    <w:hidden/>
    <w:semiHidden/>
    <w:qFormat/>
    <w:uiPriority w:val="99"/>
    <w:rPr>
      <w:rFonts w:ascii="Times New Roman" w:hAnsi="Times New Roman" w:eastAsia="Times New Roman" w:cs="Times New Roman"/>
      <w:sz w:val="24"/>
      <w:szCs w:val="24"/>
      <w:lang w:val="en-US" w:eastAsia="zh-CN" w:bidi="ar-SA"/>
    </w:rPr>
  </w:style>
  <w:style w:type="character" w:customStyle="1" w:styleId="65">
    <w:name w:val="标题 3 字符"/>
    <w:basedOn w:val="26"/>
    <w:link w:val="4"/>
    <w:qFormat/>
    <w:uiPriority w:val="9"/>
    <w:rPr>
      <w:rFonts w:ascii="Times New Roman" w:hAnsi="Times New Roman" w:cs="Times New Roman"/>
      <w:b/>
      <w:bCs/>
      <w:kern w:val="2"/>
      <w:sz w:val="21"/>
      <w:szCs w:val="32"/>
    </w:rPr>
  </w:style>
  <w:style w:type="character" w:customStyle="1" w:styleId="66">
    <w:name w:val="未处理的提及1"/>
    <w:basedOn w:val="26"/>
    <w:semiHidden/>
    <w:unhideWhenUsed/>
    <w:qFormat/>
    <w:uiPriority w:val="99"/>
    <w:rPr>
      <w:color w:val="605E5C"/>
      <w:shd w:val="clear" w:color="auto" w:fill="E1DFDD"/>
    </w:rPr>
  </w:style>
  <w:style w:type="table" w:customStyle="1" w:styleId="67">
    <w:name w:val="网格型1211"/>
    <w:basedOn w:val="24"/>
    <w:qFormat/>
    <w:uiPriority w:val="39"/>
    <w:pPr>
      <w:jc w:val="both"/>
    </w:pPr>
    <w:rPr>
      <w:rFonts w:ascii="Times New Roman" w:hAnsi="Times New Roman"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
    <w:name w:val="网格型12111"/>
    <w:basedOn w:val="24"/>
    <w:qFormat/>
    <w:uiPriority w:val="39"/>
    <w:pPr>
      <w:jc w:val="both"/>
    </w:pPr>
    <w:rPr>
      <w:rFonts w:ascii="Times New Roman" w:hAnsi="Times New Roman"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9">
    <w:name w:val="font5"/>
    <w:basedOn w:val="1"/>
    <w:qFormat/>
    <w:uiPriority w:val="0"/>
    <w:pPr>
      <w:widowControl/>
      <w:spacing w:before="100" w:beforeAutospacing="1" w:after="100" w:afterAutospacing="1" w:line="240" w:lineRule="auto"/>
      <w:jc w:val="left"/>
    </w:pPr>
    <w:rPr>
      <w:rFonts w:ascii="宋体" w:hAnsi="宋体" w:cs="宋体"/>
      <w:kern w:val="0"/>
      <w:sz w:val="18"/>
      <w:szCs w:val="18"/>
    </w:rPr>
  </w:style>
  <w:style w:type="paragraph" w:customStyle="1" w:styleId="70">
    <w:name w:val="font6"/>
    <w:basedOn w:val="1"/>
    <w:qFormat/>
    <w:uiPriority w:val="0"/>
    <w:pPr>
      <w:widowControl/>
      <w:spacing w:before="100" w:beforeAutospacing="1" w:after="100" w:afterAutospacing="1" w:line="240" w:lineRule="auto"/>
      <w:jc w:val="left"/>
    </w:pPr>
    <w:rPr>
      <w:rFonts w:ascii="宋体" w:hAnsi="宋体" w:cs="宋体"/>
      <w:color w:val="000000"/>
      <w:kern w:val="0"/>
      <w:sz w:val="18"/>
      <w:szCs w:val="18"/>
    </w:rPr>
  </w:style>
  <w:style w:type="paragraph" w:customStyle="1" w:styleId="71">
    <w:name w:val="font7"/>
    <w:basedOn w:val="1"/>
    <w:qFormat/>
    <w:uiPriority w:val="0"/>
    <w:pPr>
      <w:widowControl/>
      <w:spacing w:before="100" w:beforeAutospacing="1" w:after="100" w:afterAutospacing="1" w:line="240" w:lineRule="auto"/>
      <w:jc w:val="left"/>
    </w:pPr>
    <w:rPr>
      <w:rFonts w:ascii="宋体" w:hAnsi="宋体" w:cs="宋体"/>
      <w:b/>
      <w:bCs/>
      <w:kern w:val="0"/>
      <w:sz w:val="18"/>
      <w:szCs w:val="18"/>
    </w:rPr>
  </w:style>
  <w:style w:type="paragraph" w:customStyle="1" w:styleId="72">
    <w:name w:val="font8"/>
    <w:basedOn w:val="1"/>
    <w:qFormat/>
    <w:uiPriority w:val="0"/>
    <w:pPr>
      <w:widowControl/>
      <w:spacing w:before="100" w:beforeAutospacing="1" w:after="100" w:afterAutospacing="1" w:line="240" w:lineRule="auto"/>
      <w:jc w:val="left"/>
    </w:pPr>
    <w:rPr>
      <w:rFonts w:ascii="宋体" w:hAnsi="宋体" w:cs="宋体"/>
      <w:kern w:val="0"/>
      <w:sz w:val="18"/>
      <w:szCs w:val="18"/>
    </w:rPr>
  </w:style>
  <w:style w:type="paragraph" w:customStyle="1" w:styleId="73">
    <w:name w:val="font9"/>
    <w:basedOn w:val="1"/>
    <w:qFormat/>
    <w:uiPriority w:val="0"/>
    <w:pPr>
      <w:widowControl/>
      <w:spacing w:before="100" w:beforeAutospacing="1" w:after="100" w:afterAutospacing="1" w:line="240" w:lineRule="auto"/>
      <w:jc w:val="left"/>
    </w:pPr>
    <w:rPr>
      <w:rFonts w:ascii="宋体" w:hAnsi="宋体" w:cs="宋体"/>
      <w:b/>
      <w:bCs/>
      <w:color w:val="000000"/>
      <w:kern w:val="0"/>
      <w:sz w:val="18"/>
      <w:szCs w:val="18"/>
    </w:rPr>
  </w:style>
  <w:style w:type="paragraph" w:customStyle="1" w:styleId="74">
    <w:name w:val="xl76"/>
    <w:basedOn w:val="1"/>
    <w:qFormat/>
    <w:uiPriority w:val="0"/>
    <w:pPr>
      <w:widowControl/>
      <w:shd w:val="clear" w:color="000000" w:fill="FFCCCC"/>
      <w:spacing w:before="100" w:beforeAutospacing="1" w:after="100" w:afterAutospacing="1" w:line="240" w:lineRule="auto"/>
      <w:jc w:val="left"/>
    </w:pPr>
    <w:rPr>
      <w:rFonts w:ascii="宋体" w:hAnsi="宋体" w:cs="宋体"/>
      <w:kern w:val="0"/>
      <w:sz w:val="24"/>
      <w:szCs w:val="24"/>
    </w:rPr>
  </w:style>
  <w:style w:type="paragraph" w:customStyle="1" w:styleId="75">
    <w:name w:val="xl77"/>
    <w:basedOn w:val="1"/>
    <w:qFormat/>
    <w:uiPriority w:val="0"/>
    <w:pPr>
      <w:widowControl/>
      <w:shd w:val="clear" w:color="000000" w:fill="FFFFFF"/>
      <w:spacing w:before="100" w:beforeAutospacing="1" w:after="100" w:afterAutospacing="1" w:line="240" w:lineRule="auto"/>
      <w:jc w:val="left"/>
    </w:pPr>
    <w:rPr>
      <w:rFonts w:ascii="宋体" w:hAnsi="宋体" w:cs="宋体"/>
      <w:kern w:val="0"/>
      <w:sz w:val="24"/>
      <w:szCs w:val="24"/>
    </w:rPr>
  </w:style>
  <w:style w:type="paragraph" w:customStyle="1" w:styleId="76">
    <w:name w:val="xl78"/>
    <w:basedOn w:val="1"/>
    <w:qFormat/>
    <w:uiPriority w:val="0"/>
    <w:pPr>
      <w:widowControl/>
      <w:shd w:val="clear" w:color="000000" w:fill="FFFFCC"/>
      <w:spacing w:before="100" w:beforeAutospacing="1" w:after="100" w:afterAutospacing="1" w:line="240" w:lineRule="auto"/>
      <w:jc w:val="left"/>
    </w:pPr>
    <w:rPr>
      <w:rFonts w:ascii="宋体" w:hAnsi="宋体" w:cs="宋体"/>
      <w:kern w:val="0"/>
      <w:sz w:val="24"/>
      <w:szCs w:val="24"/>
    </w:rPr>
  </w:style>
  <w:style w:type="paragraph" w:customStyle="1" w:styleId="77">
    <w:name w:val="xl79"/>
    <w:basedOn w:val="1"/>
    <w:qFormat/>
    <w:uiPriority w:val="0"/>
    <w:pPr>
      <w:widowControl/>
      <w:shd w:val="clear" w:color="000000" w:fill="E7E6E6"/>
      <w:spacing w:before="100" w:beforeAutospacing="1" w:after="100" w:afterAutospacing="1" w:line="240" w:lineRule="auto"/>
      <w:jc w:val="left"/>
    </w:pPr>
    <w:rPr>
      <w:rFonts w:ascii="宋体" w:hAnsi="宋体" w:cs="宋体"/>
      <w:kern w:val="0"/>
      <w:sz w:val="24"/>
      <w:szCs w:val="24"/>
    </w:rPr>
  </w:style>
  <w:style w:type="paragraph" w:customStyle="1" w:styleId="78">
    <w:name w:val="xl80"/>
    <w:basedOn w:val="1"/>
    <w:qFormat/>
    <w:uiPriority w:val="0"/>
    <w:pPr>
      <w:widowControl/>
      <w:shd w:val="clear" w:color="000000" w:fill="CCFFFF"/>
      <w:spacing w:before="100" w:beforeAutospacing="1" w:after="100" w:afterAutospacing="1" w:line="240" w:lineRule="auto"/>
      <w:jc w:val="left"/>
    </w:pPr>
    <w:rPr>
      <w:rFonts w:ascii="宋体" w:hAnsi="宋体" w:cs="宋体"/>
      <w:kern w:val="0"/>
      <w:sz w:val="24"/>
      <w:szCs w:val="24"/>
    </w:rPr>
  </w:style>
  <w:style w:type="paragraph" w:customStyle="1" w:styleId="79">
    <w:name w:val="xl81"/>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b/>
      <w:bCs/>
      <w:kern w:val="0"/>
      <w:sz w:val="20"/>
      <w:szCs w:val="20"/>
    </w:rPr>
  </w:style>
  <w:style w:type="paragraph" w:customStyle="1" w:styleId="80">
    <w:name w:val="xl8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b/>
      <w:bCs/>
      <w:kern w:val="0"/>
      <w:sz w:val="20"/>
      <w:szCs w:val="20"/>
    </w:rPr>
  </w:style>
  <w:style w:type="paragraph" w:customStyle="1" w:styleId="81">
    <w:name w:val="xl8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楷体" w:hAnsi="楷体" w:eastAsia="楷体" w:cs="宋体"/>
      <w:kern w:val="0"/>
      <w:sz w:val="20"/>
      <w:szCs w:val="20"/>
    </w:rPr>
  </w:style>
  <w:style w:type="paragraph" w:customStyle="1" w:styleId="82">
    <w:name w:val="xl8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楷体" w:hAnsi="楷体" w:eastAsia="楷体" w:cs="宋体"/>
      <w:kern w:val="0"/>
      <w:sz w:val="20"/>
      <w:szCs w:val="20"/>
    </w:rPr>
  </w:style>
  <w:style w:type="paragraph" w:customStyle="1" w:styleId="83">
    <w:name w:val="xl85"/>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kern w:val="0"/>
      <w:sz w:val="20"/>
      <w:szCs w:val="20"/>
    </w:rPr>
  </w:style>
  <w:style w:type="paragraph" w:customStyle="1" w:styleId="84">
    <w:name w:val="xl86"/>
    <w:basedOn w:val="1"/>
    <w:qFormat/>
    <w:uiPriority w:val="0"/>
    <w:pPr>
      <w:widowControl/>
      <w:spacing w:before="100" w:beforeAutospacing="1" w:after="100" w:afterAutospacing="1" w:line="240" w:lineRule="auto"/>
      <w:jc w:val="center"/>
    </w:pPr>
    <w:rPr>
      <w:rFonts w:ascii="宋体" w:hAnsi="宋体" w:cs="宋体"/>
      <w:kern w:val="0"/>
      <w:sz w:val="24"/>
      <w:szCs w:val="24"/>
    </w:rPr>
  </w:style>
  <w:style w:type="paragraph" w:customStyle="1" w:styleId="85">
    <w:name w:val="xl87"/>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楷体" w:hAnsi="楷体" w:eastAsia="楷体" w:cs="宋体"/>
      <w:kern w:val="0"/>
      <w:sz w:val="20"/>
      <w:szCs w:val="20"/>
    </w:rPr>
  </w:style>
  <w:style w:type="paragraph" w:customStyle="1" w:styleId="86">
    <w:name w:val="xl88"/>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楷体" w:hAnsi="楷体" w:eastAsia="楷体" w:cs="宋体"/>
      <w:color w:val="000000"/>
      <w:kern w:val="0"/>
      <w:sz w:val="20"/>
      <w:szCs w:val="20"/>
    </w:rPr>
  </w:style>
  <w:style w:type="paragraph" w:customStyle="1" w:styleId="87">
    <w:name w:val="xl89"/>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kern w:val="0"/>
      <w:sz w:val="20"/>
      <w:szCs w:val="20"/>
    </w:rPr>
  </w:style>
  <w:style w:type="paragraph" w:customStyle="1" w:styleId="88">
    <w:name w:val="xl90"/>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楷体" w:hAnsi="楷体" w:eastAsia="楷体" w:cs="宋体"/>
      <w:kern w:val="0"/>
      <w:sz w:val="20"/>
      <w:szCs w:val="20"/>
    </w:rPr>
  </w:style>
  <w:style w:type="paragraph" w:customStyle="1" w:styleId="89">
    <w:name w:val="xl91"/>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楷体" w:hAnsi="楷体" w:eastAsia="楷体" w:cs="宋体"/>
      <w:kern w:val="0"/>
      <w:sz w:val="20"/>
      <w:szCs w:val="20"/>
    </w:rPr>
  </w:style>
  <w:style w:type="paragraph" w:customStyle="1" w:styleId="90">
    <w:name w:val="xl92"/>
    <w:basedOn w:val="1"/>
    <w:qFormat/>
    <w:uiPriority w:val="0"/>
    <w:pPr>
      <w:widowControl/>
      <w:shd w:val="clear" w:color="000000" w:fill="FFFFFF"/>
      <w:spacing w:before="100" w:beforeAutospacing="1" w:after="100" w:afterAutospacing="1" w:line="240" w:lineRule="auto"/>
      <w:jc w:val="left"/>
    </w:pPr>
    <w:rPr>
      <w:rFonts w:ascii="宋体" w:hAnsi="宋体" w:cs="宋体"/>
      <w:color w:val="FF0066"/>
      <w:kern w:val="0"/>
      <w:sz w:val="24"/>
      <w:szCs w:val="24"/>
    </w:rPr>
  </w:style>
  <w:style w:type="paragraph" w:customStyle="1" w:styleId="91">
    <w:name w:val="xl93"/>
    <w:basedOn w:val="1"/>
    <w:qFormat/>
    <w:uiPriority w:val="0"/>
    <w:pPr>
      <w:widowControl/>
      <w:shd w:val="clear" w:color="000000" w:fill="FF99CC"/>
      <w:spacing w:before="100" w:beforeAutospacing="1" w:after="100" w:afterAutospacing="1" w:line="240" w:lineRule="auto"/>
      <w:jc w:val="left"/>
    </w:pPr>
    <w:rPr>
      <w:rFonts w:ascii="宋体" w:hAnsi="宋体" w:cs="宋体"/>
      <w:b/>
      <w:bCs/>
      <w:color w:val="33CCFF"/>
      <w:kern w:val="0"/>
      <w:sz w:val="24"/>
      <w:szCs w:val="24"/>
    </w:rPr>
  </w:style>
  <w:style w:type="paragraph" w:customStyle="1" w:styleId="92">
    <w:name w:val="xl94"/>
    <w:basedOn w:val="1"/>
    <w:qFormat/>
    <w:uiPriority w:val="0"/>
    <w:pPr>
      <w:widowControl/>
      <w:shd w:val="clear" w:color="000000" w:fill="FFFF00"/>
      <w:spacing w:before="100" w:beforeAutospacing="1" w:after="100" w:afterAutospacing="1" w:line="240" w:lineRule="auto"/>
      <w:jc w:val="left"/>
    </w:pPr>
    <w:rPr>
      <w:rFonts w:ascii="宋体" w:hAnsi="宋体" w:cs="宋体"/>
      <w:kern w:val="0"/>
      <w:sz w:val="24"/>
      <w:szCs w:val="24"/>
    </w:rPr>
  </w:style>
  <w:style w:type="paragraph" w:customStyle="1" w:styleId="93">
    <w:name w:val="xl95"/>
    <w:basedOn w:val="1"/>
    <w:qFormat/>
    <w:uiPriority w:val="0"/>
    <w:pPr>
      <w:widowControl/>
      <w:shd w:val="clear" w:color="000000" w:fill="FFFF00"/>
      <w:spacing w:before="100" w:beforeAutospacing="1" w:after="100" w:afterAutospacing="1" w:line="240" w:lineRule="auto"/>
      <w:jc w:val="left"/>
    </w:pPr>
    <w:rPr>
      <w:rFonts w:ascii="宋体" w:hAnsi="宋体" w:cs="宋体"/>
      <w:b/>
      <w:bCs/>
      <w:kern w:val="0"/>
      <w:sz w:val="24"/>
      <w:szCs w:val="24"/>
    </w:rPr>
  </w:style>
  <w:style w:type="paragraph" w:customStyle="1" w:styleId="94">
    <w:name w:val="xl96"/>
    <w:basedOn w:val="1"/>
    <w:qFormat/>
    <w:uiPriority w:val="0"/>
    <w:pPr>
      <w:widowControl/>
      <w:shd w:val="clear" w:color="000000" w:fill="FFCCCC"/>
      <w:spacing w:before="100" w:beforeAutospacing="1" w:after="100" w:afterAutospacing="1" w:line="240" w:lineRule="auto"/>
      <w:jc w:val="left"/>
    </w:pPr>
    <w:rPr>
      <w:rFonts w:ascii="宋体" w:hAnsi="宋体" w:cs="宋体"/>
      <w:b/>
      <w:bCs/>
      <w:color w:val="CC00CC"/>
      <w:kern w:val="0"/>
      <w:sz w:val="24"/>
      <w:szCs w:val="24"/>
    </w:rPr>
  </w:style>
  <w:style w:type="paragraph" w:customStyle="1" w:styleId="95">
    <w:name w:val="xl97"/>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right"/>
    </w:pPr>
    <w:rPr>
      <w:rFonts w:ascii="楷体" w:hAnsi="楷体" w:eastAsia="楷体" w:cs="宋体"/>
      <w:kern w:val="0"/>
      <w:sz w:val="20"/>
      <w:szCs w:val="20"/>
    </w:rPr>
  </w:style>
  <w:style w:type="paragraph" w:customStyle="1" w:styleId="96">
    <w:name w:val="xl98"/>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kern w:val="0"/>
      <w:sz w:val="20"/>
      <w:szCs w:val="20"/>
    </w:rPr>
  </w:style>
  <w:style w:type="paragraph" w:customStyle="1" w:styleId="97">
    <w:name w:val="xl99"/>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楷体" w:hAnsi="楷体" w:eastAsia="楷体" w:cs="宋体"/>
      <w:kern w:val="0"/>
      <w:sz w:val="20"/>
      <w:szCs w:val="20"/>
    </w:rPr>
  </w:style>
  <w:style w:type="paragraph" w:customStyle="1" w:styleId="98">
    <w:name w:val="xl100"/>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b/>
      <w:bCs/>
      <w:kern w:val="0"/>
      <w:sz w:val="20"/>
      <w:szCs w:val="20"/>
    </w:rPr>
  </w:style>
  <w:style w:type="paragraph" w:customStyle="1" w:styleId="99">
    <w:name w:val="xl101"/>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b/>
      <w:bCs/>
      <w:kern w:val="0"/>
      <w:sz w:val="20"/>
      <w:szCs w:val="20"/>
    </w:rPr>
  </w:style>
  <w:style w:type="paragraph" w:customStyle="1" w:styleId="100">
    <w:name w:val="xl10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right"/>
    </w:pPr>
    <w:rPr>
      <w:rFonts w:ascii="楷体" w:hAnsi="楷体" w:eastAsia="楷体" w:cs="宋体"/>
      <w:kern w:val="0"/>
      <w:sz w:val="20"/>
      <w:szCs w:val="20"/>
    </w:rPr>
  </w:style>
  <w:style w:type="paragraph" w:customStyle="1" w:styleId="101">
    <w:name w:val="xl10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kern w:val="0"/>
      <w:sz w:val="20"/>
      <w:szCs w:val="20"/>
    </w:rPr>
  </w:style>
  <w:style w:type="paragraph" w:customStyle="1" w:styleId="102">
    <w:name w:val="xl10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right"/>
    </w:pPr>
    <w:rPr>
      <w:rFonts w:ascii="楷体" w:hAnsi="楷体" w:eastAsia="楷体" w:cs="宋体"/>
      <w:b/>
      <w:bCs/>
      <w:kern w:val="0"/>
      <w:sz w:val="20"/>
      <w:szCs w:val="20"/>
    </w:rPr>
  </w:style>
  <w:style w:type="paragraph" w:customStyle="1" w:styleId="103">
    <w:name w:val="xl105"/>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kern w:val="0"/>
      <w:sz w:val="20"/>
      <w:szCs w:val="20"/>
    </w:rPr>
  </w:style>
  <w:style w:type="paragraph" w:customStyle="1" w:styleId="104">
    <w:name w:val="xl106"/>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kern w:val="0"/>
      <w:sz w:val="20"/>
      <w:szCs w:val="20"/>
    </w:rPr>
  </w:style>
  <w:style w:type="paragraph" w:customStyle="1" w:styleId="105">
    <w:name w:val="xl107"/>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kern w:val="0"/>
      <w:sz w:val="20"/>
      <w:szCs w:val="20"/>
    </w:rPr>
  </w:style>
  <w:style w:type="paragraph" w:customStyle="1" w:styleId="106">
    <w:name w:val="xl108"/>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kern w:val="0"/>
      <w:sz w:val="20"/>
      <w:szCs w:val="20"/>
    </w:rPr>
  </w:style>
  <w:style w:type="paragraph" w:customStyle="1" w:styleId="107">
    <w:name w:val="xl109"/>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kern w:val="0"/>
      <w:sz w:val="20"/>
      <w:szCs w:val="20"/>
    </w:rPr>
  </w:style>
  <w:style w:type="paragraph" w:customStyle="1" w:styleId="108">
    <w:name w:val="xl110"/>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kern w:val="0"/>
      <w:sz w:val="20"/>
      <w:szCs w:val="20"/>
    </w:rPr>
  </w:style>
  <w:style w:type="paragraph" w:customStyle="1" w:styleId="109">
    <w:name w:val="xl111"/>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宋体" w:hAnsi="宋体" w:cs="宋体"/>
      <w:color w:val="FF0000"/>
      <w:kern w:val="0"/>
      <w:sz w:val="24"/>
      <w:szCs w:val="24"/>
    </w:rPr>
  </w:style>
  <w:style w:type="paragraph" w:customStyle="1" w:styleId="110">
    <w:name w:val="xl11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color w:val="FF0000"/>
      <w:kern w:val="0"/>
      <w:sz w:val="20"/>
      <w:szCs w:val="20"/>
    </w:rPr>
  </w:style>
  <w:style w:type="paragraph" w:customStyle="1" w:styleId="111">
    <w:name w:val="xl11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楷体" w:hAnsi="楷体" w:eastAsia="楷体" w:cs="宋体"/>
      <w:b/>
      <w:bCs/>
      <w:color w:val="FF0000"/>
      <w:kern w:val="0"/>
      <w:sz w:val="20"/>
      <w:szCs w:val="20"/>
    </w:rPr>
  </w:style>
  <w:style w:type="paragraph" w:customStyle="1" w:styleId="112">
    <w:name w:val="xl11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楷体" w:hAnsi="楷体" w:eastAsia="楷体" w:cs="宋体"/>
      <w:color w:val="FF0000"/>
      <w:kern w:val="0"/>
      <w:sz w:val="20"/>
      <w:szCs w:val="20"/>
    </w:rPr>
  </w:style>
  <w:style w:type="paragraph" w:customStyle="1" w:styleId="113">
    <w:name w:val="xl115"/>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楷体" w:hAnsi="楷体" w:eastAsia="楷体" w:cs="宋体"/>
      <w:b/>
      <w:bCs/>
      <w:color w:val="FF0000"/>
      <w:kern w:val="0"/>
      <w:sz w:val="20"/>
      <w:szCs w:val="20"/>
    </w:rPr>
  </w:style>
  <w:style w:type="paragraph" w:customStyle="1" w:styleId="114">
    <w:name w:val="xl116"/>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宋体" w:hAnsi="宋体" w:cs="宋体"/>
      <w:b/>
      <w:bCs/>
      <w:color w:val="FF0000"/>
      <w:kern w:val="0"/>
      <w:sz w:val="24"/>
      <w:szCs w:val="24"/>
    </w:rPr>
  </w:style>
  <w:style w:type="paragraph" w:customStyle="1" w:styleId="115">
    <w:name w:val="xl117"/>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b/>
      <w:bCs/>
      <w:color w:val="FF0000"/>
      <w:kern w:val="0"/>
      <w:sz w:val="20"/>
      <w:szCs w:val="20"/>
    </w:rPr>
  </w:style>
  <w:style w:type="paragraph" w:customStyle="1" w:styleId="116">
    <w:name w:val="xl118"/>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楷体" w:hAnsi="楷体" w:eastAsia="楷体" w:cs="宋体"/>
      <w:b/>
      <w:bCs/>
      <w:color w:val="FF0000"/>
      <w:kern w:val="0"/>
      <w:sz w:val="20"/>
      <w:szCs w:val="20"/>
    </w:rPr>
  </w:style>
  <w:style w:type="paragraph" w:customStyle="1" w:styleId="117">
    <w:name w:val="xl119"/>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color w:val="000000"/>
      <w:kern w:val="0"/>
      <w:sz w:val="20"/>
      <w:szCs w:val="20"/>
    </w:rPr>
  </w:style>
  <w:style w:type="paragraph" w:customStyle="1" w:styleId="118">
    <w:name w:val="xl120"/>
    <w:basedOn w:val="1"/>
    <w:qFormat/>
    <w:uiPriority w:val="0"/>
    <w:pPr>
      <w:widowControl/>
      <w:shd w:val="clear" w:color="000000" w:fill="FFFFFF"/>
      <w:spacing w:before="100" w:beforeAutospacing="1" w:after="100" w:afterAutospacing="1" w:line="240" w:lineRule="auto"/>
      <w:jc w:val="left"/>
    </w:pPr>
    <w:rPr>
      <w:rFonts w:ascii="宋体" w:hAnsi="宋体" w:cs="宋体"/>
      <w:b/>
      <w:bCs/>
      <w:color w:val="FF0066"/>
      <w:kern w:val="0"/>
      <w:sz w:val="24"/>
      <w:szCs w:val="24"/>
    </w:rPr>
  </w:style>
  <w:style w:type="paragraph" w:customStyle="1" w:styleId="119">
    <w:name w:val="xl121"/>
    <w:basedOn w:val="1"/>
    <w:qFormat/>
    <w:uiPriority w:val="0"/>
    <w:pPr>
      <w:widowControl/>
      <w:shd w:val="clear" w:color="000000" w:fill="CCFFFF"/>
      <w:spacing w:before="100" w:beforeAutospacing="1" w:after="100" w:afterAutospacing="1" w:line="240" w:lineRule="auto"/>
      <w:jc w:val="left"/>
    </w:pPr>
    <w:rPr>
      <w:rFonts w:ascii="宋体" w:hAnsi="宋体" w:cs="宋体"/>
      <w:color w:val="FF0066"/>
      <w:kern w:val="0"/>
      <w:sz w:val="24"/>
      <w:szCs w:val="24"/>
    </w:rPr>
  </w:style>
  <w:style w:type="paragraph" w:customStyle="1" w:styleId="120">
    <w:name w:val="xl122"/>
    <w:basedOn w:val="1"/>
    <w:qFormat/>
    <w:uiPriority w:val="0"/>
    <w:pPr>
      <w:widowControl/>
      <w:spacing w:before="100" w:beforeAutospacing="1" w:after="100" w:afterAutospacing="1" w:line="240" w:lineRule="auto"/>
      <w:jc w:val="left"/>
    </w:pPr>
    <w:rPr>
      <w:rFonts w:ascii="宋体" w:hAnsi="宋体" w:cs="宋体"/>
      <w:kern w:val="0"/>
      <w:sz w:val="24"/>
      <w:szCs w:val="24"/>
    </w:rPr>
  </w:style>
  <w:style w:type="paragraph" w:customStyle="1" w:styleId="121">
    <w:name w:val="xl123"/>
    <w:basedOn w:val="1"/>
    <w:qFormat/>
    <w:uiPriority w:val="0"/>
    <w:pPr>
      <w:widowControl/>
      <w:spacing w:before="100" w:beforeAutospacing="1" w:after="100" w:afterAutospacing="1" w:line="240" w:lineRule="auto"/>
      <w:jc w:val="right"/>
    </w:pPr>
    <w:rPr>
      <w:rFonts w:ascii="宋体" w:hAnsi="宋体" w:cs="宋体"/>
      <w:b/>
      <w:bCs/>
      <w:kern w:val="0"/>
      <w:sz w:val="24"/>
      <w:szCs w:val="24"/>
    </w:rPr>
  </w:style>
  <w:style w:type="paragraph" w:customStyle="1" w:styleId="122">
    <w:name w:val="xl12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cs="宋体"/>
      <w:kern w:val="0"/>
      <w:sz w:val="20"/>
      <w:szCs w:val="20"/>
    </w:rPr>
  </w:style>
  <w:style w:type="paragraph" w:customStyle="1" w:styleId="123">
    <w:name w:val="xl1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cs="宋体"/>
      <w:kern w:val="0"/>
      <w:sz w:val="24"/>
      <w:szCs w:val="24"/>
    </w:rPr>
  </w:style>
  <w:style w:type="paragraph" w:customStyle="1" w:styleId="124">
    <w:name w:val="xl126"/>
    <w:basedOn w:val="1"/>
    <w:qFormat/>
    <w:uiPriority w:val="0"/>
    <w:pPr>
      <w:widowControl/>
      <w:spacing w:before="100" w:beforeAutospacing="1" w:after="100" w:afterAutospacing="1" w:line="240" w:lineRule="auto"/>
      <w:jc w:val="center"/>
    </w:pPr>
    <w:rPr>
      <w:rFonts w:ascii="宋体" w:hAnsi="宋体" w:cs="宋体"/>
      <w:b/>
      <w:bCs/>
      <w:color w:val="FF0000"/>
      <w:kern w:val="0"/>
      <w:sz w:val="24"/>
      <w:szCs w:val="24"/>
    </w:rPr>
  </w:style>
  <w:style w:type="paragraph" w:customStyle="1" w:styleId="125">
    <w:name w:val="xl127"/>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b/>
      <w:bCs/>
      <w:color w:val="7030A0"/>
      <w:kern w:val="0"/>
      <w:sz w:val="20"/>
      <w:szCs w:val="20"/>
    </w:rPr>
  </w:style>
  <w:style w:type="paragraph" w:customStyle="1" w:styleId="126">
    <w:name w:val="xl128"/>
    <w:basedOn w:val="1"/>
    <w:qFormat/>
    <w:uiPriority w:val="0"/>
    <w:pPr>
      <w:widowControl/>
      <w:shd w:val="clear" w:color="000000" w:fill="FFC000"/>
      <w:spacing w:before="100" w:beforeAutospacing="1" w:after="100" w:afterAutospacing="1" w:line="240" w:lineRule="auto"/>
      <w:jc w:val="left"/>
    </w:pPr>
    <w:rPr>
      <w:rFonts w:ascii="宋体" w:hAnsi="宋体" w:cs="宋体"/>
      <w:kern w:val="0"/>
      <w:sz w:val="24"/>
      <w:szCs w:val="24"/>
    </w:rPr>
  </w:style>
  <w:style w:type="paragraph" w:customStyle="1" w:styleId="127">
    <w:name w:val="xl129"/>
    <w:basedOn w:val="1"/>
    <w:qFormat/>
    <w:uiPriority w:val="0"/>
    <w:pPr>
      <w:widowControl/>
      <w:pBdr>
        <w:top w:val="single" w:color="auto" w:sz="4" w:space="0"/>
        <w:left w:val="single" w:color="auto" w:sz="4" w:space="0"/>
        <w:bottom w:val="single" w:color="auto" w:sz="4" w:space="0"/>
      </w:pBdr>
      <w:shd w:val="clear" w:color="000000" w:fill="FFFFFF"/>
      <w:spacing w:before="100" w:beforeAutospacing="1" w:after="100" w:afterAutospacing="1" w:line="240" w:lineRule="auto"/>
      <w:jc w:val="left"/>
    </w:pPr>
    <w:rPr>
      <w:rFonts w:ascii="宋体" w:hAnsi="宋体" w:cs="宋体"/>
      <w:b/>
      <w:bCs/>
      <w:color w:val="FF0000"/>
      <w:kern w:val="0"/>
      <w:sz w:val="24"/>
      <w:szCs w:val="24"/>
    </w:rPr>
  </w:style>
  <w:style w:type="paragraph" w:customStyle="1" w:styleId="128">
    <w:name w:val="xl130"/>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right"/>
    </w:pPr>
    <w:rPr>
      <w:rFonts w:ascii="楷体" w:hAnsi="楷体" w:eastAsia="楷体" w:cs="宋体"/>
      <w:b/>
      <w:bCs/>
      <w:color w:val="FF0000"/>
      <w:kern w:val="0"/>
      <w:sz w:val="20"/>
      <w:szCs w:val="20"/>
    </w:rPr>
  </w:style>
  <w:style w:type="paragraph" w:customStyle="1" w:styleId="129">
    <w:name w:val="xl131"/>
    <w:basedOn w:val="1"/>
    <w:qFormat/>
    <w:uiPriority w:val="0"/>
    <w:pPr>
      <w:widowControl/>
      <w:spacing w:before="100" w:beforeAutospacing="1" w:after="100" w:afterAutospacing="1" w:line="240" w:lineRule="auto"/>
      <w:jc w:val="center"/>
    </w:pPr>
    <w:rPr>
      <w:rFonts w:ascii="宋体" w:hAnsi="宋体" w:cs="宋体"/>
      <w:kern w:val="0"/>
      <w:sz w:val="24"/>
      <w:szCs w:val="24"/>
    </w:rPr>
  </w:style>
  <w:style w:type="paragraph" w:customStyle="1" w:styleId="130">
    <w:name w:val="xl13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kern w:val="0"/>
      <w:sz w:val="20"/>
      <w:szCs w:val="20"/>
    </w:rPr>
  </w:style>
  <w:style w:type="paragraph" w:customStyle="1" w:styleId="131">
    <w:name w:val="xl13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b/>
      <w:bCs/>
      <w:color w:val="FF0000"/>
      <w:kern w:val="0"/>
      <w:sz w:val="20"/>
      <w:szCs w:val="20"/>
    </w:rPr>
  </w:style>
  <w:style w:type="paragraph" w:customStyle="1" w:styleId="132">
    <w:name w:val="xl13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right"/>
    </w:pPr>
    <w:rPr>
      <w:rFonts w:ascii="楷体" w:hAnsi="楷体" w:eastAsia="楷体" w:cs="宋体"/>
      <w:b/>
      <w:bCs/>
      <w:color w:val="FF0000"/>
      <w:kern w:val="0"/>
      <w:sz w:val="20"/>
      <w:szCs w:val="20"/>
    </w:rPr>
  </w:style>
  <w:style w:type="paragraph" w:customStyle="1" w:styleId="133">
    <w:name w:val="xl135"/>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楷体" w:hAnsi="楷体" w:eastAsia="楷体" w:cs="宋体"/>
      <w:b/>
      <w:bCs/>
      <w:color w:val="FF0000"/>
      <w:kern w:val="0"/>
      <w:sz w:val="20"/>
      <w:szCs w:val="20"/>
    </w:rPr>
  </w:style>
  <w:style w:type="paragraph" w:customStyle="1" w:styleId="134">
    <w:name w:val="xl136"/>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right"/>
    </w:pPr>
    <w:rPr>
      <w:rFonts w:ascii="楷体" w:hAnsi="楷体" w:eastAsia="楷体" w:cs="宋体"/>
      <w:b/>
      <w:bCs/>
      <w:color w:val="FF0000"/>
      <w:kern w:val="0"/>
      <w:sz w:val="20"/>
      <w:szCs w:val="20"/>
    </w:rPr>
  </w:style>
  <w:style w:type="paragraph" w:customStyle="1" w:styleId="135">
    <w:name w:val="xl137"/>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Verdana" w:hAnsi="Verdana" w:cs="宋体"/>
      <w:kern w:val="0"/>
      <w:sz w:val="20"/>
      <w:szCs w:val="20"/>
    </w:rPr>
  </w:style>
  <w:style w:type="paragraph" w:customStyle="1" w:styleId="136">
    <w:name w:val="xl138"/>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b/>
      <w:bCs/>
      <w:color w:val="00B050"/>
      <w:kern w:val="0"/>
      <w:sz w:val="20"/>
      <w:szCs w:val="20"/>
    </w:rPr>
  </w:style>
  <w:style w:type="paragraph" w:customStyle="1" w:styleId="137">
    <w:name w:val="xl139"/>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right"/>
    </w:pPr>
    <w:rPr>
      <w:rFonts w:ascii="楷体" w:hAnsi="楷体" w:eastAsia="楷体" w:cs="宋体"/>
      <w:b/>
      <w:bCs/>
      <w:color w:val="00B050"/>
      <w:kern w:val="0"/>
      <w:sz w:val="20"/>
      <w:szCs w:val="20"/>
    </w:rPr>
  </w:style>
  <w:style w:type="paragraph" w:customStyle="1" w:styleId="138">
    <w:name w:val="xl140"/>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b/>
      <w:bCs/>
      <w:color w:val="00B050"/>
      <w:kern w:val="0"/>
      <w:sz w:val="20"/>
      <w:szCs w:val="20"/>
    </w:rPr>
  </w:style>
  <w:style w:type="paragraph" w:customStyle="1" w:styleId="139">
    <w:name w:val="xl141"/>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b/>
      <w:bCs/>
      <w:color w:val="FF0000"/>
      <w:kern w:val="0"/>
      <w:sz w:val="20"/>
      <w:szCs w:val="20"/>
    </w:rPr>
  </w:style>
  <w:style w:type="paragraph" w:customStyle="1" w:styleId="140">
    <w:name w:val="xl14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楷体" w:hAnsi="楷体" w:eastAsia="楷体" w:cs="宋体"/>
      <w:kern w:val="0"/>
      <w:sz w:val="20"/>
      <w:szCs w:val="20"/>
    </w:rPr>
  </w:style>
  <w:style w:type="paragraph" w:customStyle="1" w:styleId="141">
    <w:name w:val="xl14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华文细黑" w:hAnsi="华文细黑" w:eastAsia="华文细黑" w:cs="宋体"/>
      <w:b/>
      <w:bCs/>
      <w:kern w:val="0"/>
      <w:sz w:val="18"/>
      <w:szCs w:val="18"/>
    </w:rPr>
  </w:style>
  <w:style w:type="paragraph" w:customStyle="1" w:styleId="142">
    <w:name w:val="xl14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楷体" w:hAnsi="楷体" w:eastAsia="楷体" w:cs="宋体"/>
      <w:kern w:val="0"/>
      <w:sz w:val="20"/>
      <w:szCs w:val="20"/>
    </w:rPr>
  </w:style>
  <w:style w:type="paragraph" w:customStyle="1" w:styleId="143">
    <w:name w:val="xl145"/>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color w:val="FF0066"/>
      <w:kern w:val="0"/>
      <w:sz w:val="20"/>
      <w:szCs w:val="20"/>
    </w:rPr>
  </w:style>
  <w:style w:type="paragraph" w:customStyle="1" w:styleId="144">
    <w:name w:val="xl146"/>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left"/>
    </w:pPr>
    <w:rPr>
      <w:rFonts w:ascii="楷体" w:hAnsi="楷体" w:eastAsia="楷体" w:cs="宋体"/>
      <w:color w:val="FF0066"/>
      <w:kern w:val="0"/>
      <w:sz w:val="20"/>
      <w:szCs w:val="20"/>
    </w:rPr>
  </w:style>
  <w:style w:type="paragraph" w:customStyle="1" w:styleId="145">
    <w:name w:val="xl147"/>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楷体" w:hAnsi="楷体" w:eastAsia="楷体" w:cs="宋体"/>
      <w:b/>
      <w:bCs/>
      <w:color w:val="00B050"/>
      <w:kern w:val="0"/>
      <w:sz w:val="20"/>
      <w:szCs w:val="20"/>
    </w:rPr>
  </w:style>
  <w:style w:type="paragraph" w:customStyle="1" w:styleId="146">
    <w:name w:val="修订5"/>
    <w:hidden/>
    <w:semiHidden/>
    <w:qFormat/>
    <w:uiPriority w:val="99"/>
    <w:rPr>
      <w:rFonts w:ascii="Times New Roman" w:hAnsi="Times New Roman" w:eastAsia="宋体" w:cs="Times New Roman"/>
      <w:kern w:val="2"/>
      <w:sz w:val="21"/>
      <w:szCs w:val="22"/>
      <w:lang w:val="en-US" w:eastAsia="zh-CN" w:bidi="ar-SA"/>
    </w:rPr>
  </w:style>
  <w:style w:type="paragraph" w:customStyle="1" w:styleId="147">
    <w:name w:val="Body Text Indent1"/>
    <w:basedOn w:val="8"/>
    <w:qFormat/>
    <w:uiPriority w:val="99"/>
    <w:pPr>
      <w:ind w:left="420" w:leftChars="200"/>
    </w:pPr>
  </w:style>
  <w:style w:type="paragraph" w:customStyle="1" w:styleId="148">
    <w:name w:val="修订51"/>
    <w:hidden/>
    <w:semiHidden/>
    <w:qFormat/>
    <w:uiPriority w:val="99"/>
    <w:rPr>
      <w:rFonts w:ascii="Times New Roman" w:hAnsi="Times New Roman" w:eastAsia="Times New Roman" w:cs="Times New Roman"/>
      <w:sz w:val="24"/>
      <w:szCs w:val="24"/>
      <w:lang w:val="en-US" w:eastAsia="zh-CN" w:bidi="ar-SA"/>
    </w:rPr>
  </w:style>
  <w:style w:type="paragraph" w:customStyle="1" w:styleId="149">
    <w:name w:val="font10"/>
    <w:basedOn w:val="1"/>
    <w:qFormat/>
    <w:uiPriority w:val="0"/>
    <w:pPr>
      <w:widowControl/>
      <w:spacing w:before="100" w:beforeAutospacing="1" w:after="100" w:afterAutospacing="1" w:line="240" w:lineRule="auto"/>
      <w:jc w:val="left"/>
    </w:pPr>
    <w:rPr>
      <w:rFonts w:ascii="华文细黑" w:hAnsi="华文细黑" w:eastAsia="华文细黑" w:cs="宋体"/>
      <w:b/>
      <w:bCs/>
      <w:color w:val="000000"/>
      <w:kern w:val="0"/>
      <w:sz w:val="18"/>
      <w:szCs w:val="18"/>
    </w:rPr>
  </w:style>
  <w:style w:type="paragraph" w:customStyle="1" w:styleId="150">
    <w:name w:val="font12"/>
    <w:basedOn w:val="1"/>
    <w:qFormat/>
    <w:uiPriority w:val="0"/>
    <w:pPr>
      <w:widowControl/>
      <w:spacing w:before="100" w:beforeAutospacing="1" w:after="100" w:afterAutospacing="1" w:line="240" w:lineRule="auto"/>
      <w:jc w:val="left"/>
    </w:pPr>
    <w:rPr>
      <w:rFonts w:ascii="华文细黑" w:hAnsi="华文细黑" w:eastAsia="华文细黑" w:cs="宋体"/>
      <w:b/>
      <w:bCs/>
      <w:color w:val="000000"/>
      <w:kern w:val="0"/>
      <w:sz w:val="20"/>
      <w:szCs w:val="20"/>
    </w:rPr>
  </w:style>
  <w:style w:type="paragraph" w:customStyle="1" w:styleId="151">
    <w:name w:val="font13"/>
    <w:basedOn w:val="1"/>
    <w:qFormat/>
    <w:uiPriority w:val="0"/>
    <w:pPr>
      <w:widowControl/>
      <w:spacing w:before="100" w:beforeAutospacing="1" w:after="100" w:afterAutospacing="1" w:line="240" w:lineRule="auto"/>
      <w:jc w:val="left"/>
    </w:pPr>
    <w:rPr>
      <w:rFonts w:ascii="华文细黑" w:hAnsi="华文细黑" w:eastAsia="华文细黑" w:cs="宋体"/>
      <w:color w:val="000000"/>
      <w:kern w:val="0"/>
      <w:sz w:val="20"/>
      <w:szCs w:val="20"/>
    </w:rPr>
  </w:style>
  <w:style w:type="paragraph" w:customStyle="1" w:styleId="152">
    <w:name w:val="font14"/>
    <w:basedOn w:val="1"/>
    <w:qFormat/>
    <w:uiPriority w:val="0"/>
    <w:pPr>
      <w:widowControl/>
      <w:spacing w:before="100" w:beforeAutospacing="1" w:after="100" w:afterAutospacing="1" w:line="240" w:lineRule="auto"/>
      <w:jc w:val="left"/>
    </w:pPr>
    <w:rPr>
      <w:rFonts w:ascii="Verdana" w:hAnsi="Verdana" w:cs="宋体"/>
      <w:color w:val="000000"/>
      <w:kern w:val="0"/>
      <w:sz w:val="18"/>
      <w:szCs w:val="18"/>
    </w:rPr>
  </w:style>
  <w:style w:type="paragraph" w:customStyle="1" w:styleId="153">
    <w:name w:val="font15"/>
    <w:basedOn w:val="1"/>
    <w:qFormat/>
    <w:uiPriority w:val="0"/>
    <w:pPr>
      <w:widowControl/>
      <w:spacing w:before="100" w:beforeAutospacing="1" w:after="100" w:afterAutospacing="1" w:line="240" w:lineRule="auto"/>
      <w:jc w:val="left"/>
    </w:pPr>
    <w:rPr>
      <w:rFonts w:ascii="Verdana" w:hAnsi="Verdana" w:cs="宋体"/>
      <w:color w:val="000000"/>
      <w:kern w:val="0"/>
      <w:sz w:val="20"/>
      <w:szCs w:val="20"/>
    </w:rPr>
  </w:style>
  <w:style w:type="paragraph" w:customStyle="1" w:styleId="154">
    <w:name w:val="xl148"/>
    <w:basedOn w:val="1"/>
    <w:qFormat/>
    <w:uiPriority w:val="0"/>
    <w:pPr>
      <w:widowControl/>
      <w:shd w:val="clear" w:color="000000" w:fill="548235"/>
      <w:spacing w:before="100" w:beforeAutospacing="1" w:after="100" w:afterAutospacing="1" w:line="240" w:lineRule="auto"/>
      <w:jc w:val="right"/>
      <w:textAlignment w:val="center"/>
    </w:pPr>
    <w:rPr>
      <w:rFonts w:ascii="Verdana" w:hAnsi="Verdana" w:cs="宋体"/>
      <w:color w:val="FFFFFF"/>
      <w:kern w:val="0"/>
      <w:sz w:val="20"/>
      <w:szCs w:val="20"/>
    </w:rPr>
  </w:style>
  <w:style w:type="paragraph" w:customStyle="1" w:styleId="155">
    <w:name w:val="xl149"/>
    <w:basedOn w:val="1"/>
    <w:qFormat/>
    <w:uiPriority w:val="0"/>
    <w:pPr>
      <w:widowControl/>
      <w:shd w:val="clear" w:color="000000" w:fill="548235"/>
      <w:spacing w:before="100" w:beforeAutospacing="1" w:after="100" w:afterAutospacing="1" w:line="240" w:lineRule="auto"/>
      <w:jc w:val="left"/>
    </w:pPr>
    <w:rPr>
      <w:rFonts w:ascii="Verdana" w:hAnsi="Verdana" w:cs="宋体"/>
      <w:b/>
      <w:bCs/>
      <w:color w:val="FFFFFF"/>
      <w:kern w:val="0"/>
      <w:sz w:val="20"/>
      <w:szCs w:val="20"/>
    </w:rPr>
  </w:style>
  <w:style w:type="paragraph" w:customStyle="1" w:styleId="156">
    <w:name w:val="修订6"/>
    <w:hidden/>
    <w:semiHidden/>
    <w:qFormat/>
    <w:uiPriority w:val="99"/>
    <w:rPr>
      <w:rFonts w:ascii="Times New Roman" w:hAnsi="Times New Roman" w:eastAsia="Times New Roman" w:cs="Times New Roman"/>
      <w:sz w:val="24"/>
      <w:szCs w:val="24"/>
      <w:lang w:val="en-US" w:eastAsia="zh-CN" w:bidi="ar-SA"/>
    </w:rPr>
  </w:style>
  <w:style w:type="paragraph" w:customStyle="1" w:styleId="157">
    <w:name w:val="xl150"/>
    <w:basedOn w:val="1"/>
    <w:qFormat/>
    <w:uiPriority w:val="0"/>
    <w:pPr>
      <w:widowControl/>
      <w:shd w:val="clear" w:color="000000" w:fill="FFFF00"/>
      <w:spacing w:before="100" w:beforeAutospacing="1" w:after="100" w:afterAutospacing="1" w:line="240" w:lineRule="auto"/>
      <w:jc w:val="left"/>
    </w:pPr>
    <w:rPr>
      <w:rFonts w:ascii="Verdana" w:hAnsi="Verdana" w:cs="宋体"/>
      <w:kern w:val="0"/>
      <w:sz w:val="20"/>
      <w:szCs w:val="20"/>
    </w:rPr>
  </w:style>
  <w:style w:type="paragraph" w:customStyle="1" w:styleId="158">
    <w:name w:val="xl151"/>
    <w:basedOn w:val="1"/>
    <w:qFormat/>
    <w:uiPriority w:val="0"/>
    <w:pPr>
      <w:widowControl/>
      <w:shd w:val="clear" w:color="000000" w:fill="FFFF00"/>
      <w:spacing w:before="100" w:beforeAutospacing="1" w:after="100" w:afterAutospacing="1" w:line="240" w:lineRule="auto"/>
      <w:jc w:val="left"/>
    </w:pPr>
    <w:rPr>
      <w:rFonts w:ascii="Verdana" w:hAnsi="Verdana" w:cs="宋体"/>
      <w:b/>
      <w:bCs/>
      <w:kern w:val="0"/>
      <w:sz w:val="20"/>
      <w:szCs w:val="20"/>
    </w:rPr>
  </w:style>
  <w:style w:type="paragraph" w:customStyle="1" w:styleId="159">
    <w:name w:val="xl152"/>
    <w:basedOn w:val="1"/>
    <w:qFormat/>
    <w:uiPriority w:val="0"/>
    <w:pPr>
      <w:widowControl/>
      <w:shd w:val="clear" w:color="000000" w:fill="00B050"/>
      <w:spacing w:before="100" w:beforeAutospacing="1" w:after="100" w:afterAutospacing="1" w:line="240" w:lineRule="auto"/>
      <w:jc w:val="left"/>
    </w:pPr>
    <w:rPr>
      <w:rFonts w:ascii="华文细黑" w:hAnsi="华文细黑" w:eastAsia="华文细黑" w:cs="宋体"/>
      <w:color w:val="FFFFFF"/>
      <w:kern w:val="0"/>
      <w:sz w:val="20"/>
      <w:szCs w:val="20"/>
    </w:rPr>
  </w:style>
  <w:style w:type="paragraph" w:customStyle="1" w:styleId="160">
    <w:name w:val="xl153"/>
    <w:basedOn w:val="1"/>
    <w:qFormat/>
    <w:uiPriority w:val="0"/>
    <w:pPr>
      <w:widowControl/>
      <w:shd w:val="clear" w:color="000000" w:fill="00B050"/>
      <w:spacing w:before="100" w:beforeAutospacing="1" w:after="100" w:afterAutospacing="1" w:line="240" w:lineRule="auto"/>
      <w:jc w:val="center"/>
      <w:textAlignment w:val="center"/>
    </w:pPr>
    <w:rPr>
      <w:rFonts w:ascii="华文细黑" w:hAnsi="华文细黑" w:eastAsia="华文细黑" w:cs="宋体"/>
      <w:b/>
      <w:bCs/>
      <w:color w:val="FFFFFF"/>
      <w:kern w:val="0"/>
      <w:sz w:val="20"/>
      <w:szCs w:val="20"/>
    </w:rPr>
  </w:style>
  <w:style w:type="paragraph" w:customStyle="1" w:styleId="161">
    <w:name w:val="xl154"/>
    <w:basedOn w:val="1"/>
    <w:qFormat/>
    <w:uiPriority w:val="0"/>
    <w:pPr>
      <w:widowControl/>
      <w:shd w:val="clear" w:color="000000" w:fill="00B050"/>
      <w:spacing w:before="100" w:beforeAutospacing="1" w:after="100" w:afterAutospacing="1" w:line="240" w:lineRule="auto"/>
      <w:jc w:val="left"/>
    </w:pPr>
    <w:rPr>
      <w:rFonts w:ascii="Verdana" w:hAnsi="Verdana" w:cs="宋体"/>
      <w:color w:val="FFFFFF"/>
      <w:kern w:val="0"/>
      <w:sz w:val="20"/>
      <w:szCs w:val="20"/>
    </w:rPr>
  </w:style>
  <w:style w:type="paragraph" w:customStyle="1" w:styleId="162">
    <w:name w:val="xl155"/>
    <w:basedOn w:val="1"/>
    <w:qFormat/>
    <w:uiPriority w:val="0"/>
    <w:pPr>
      <w:widowControl/>
      <w:shd w:val="clear" w:color="000000" w:fill="00B050"/>
      <w:spacing w:before="100" w:beforeAutospacing="1" w:after="100" w:afterAutospacing="1" w:line="240" w:lineRule="auto"/>
      <w:jc w:val="right"/>
      <w:textAlignment w:val="center"/>
    </w:pPr>
    <w:rPr>
      <w:rFonts w:ascii="Verdana" w:hAnsi="Verdana" w:cs="宋体"/>
      <w:color w:val="FFFFFF"/>
      <w:kern w:val="0"/>
      <w:sz w:val="20"/>
      <w:szCs w:val="20"/>
    </w:rPr>
  </w:style>
  <w:style w:type="paragraph" w:customStyle="1" w:styleId="163">
    <w:name w:val="xl156"/>
    <w:basedOn w:val="1"/>
    <w:qFormat/>
    <w:uiPriority w:val="0"/>
    <w:pPr>
      <w:widowControl/>
      <w:shd w:val="clear" w:color="000000" w:fill="00B050"/>
      <w:spacing w:before="100" w:beforeAutospacing="1" w:after="100" w:afterAutospacing="1" w:line="240" w:lineRule="auto"/>
      <w:jc w:val="right"/>
    </w:pPr>
    <w:rPr>
      <w:rFonts w:ascii="Verdana" w:hAnsi="Verdana" w:cs="宋体"/>
      <w:color w:val="FFFFFF"/>
      <w:kern w:val="0"/>
      <w:sz w:val="20"/>
      <w:szCs w:val="20"/>
    </w:rPr>
  </w:style>
  <w:style w:type="paragraph" w:customStyle="1" w:styleId="164">
    <w:name w:val="xl157"/>
    <w:basedOn w:val="1"/>
    <w:qFormat/>
    <w:uiPriority w:val="0"/>
    <w:pPr>
      <w:widowControl/>
      <w:shd w:val="clear" w:color="000000" w:fill="00B050"/>
      <w:spacing w:before="100" w:beforeAutospacing="1" w:after="100" w:afterAutospacing="1" w:line="240" w:lineRule="auto"/>
      <w:jc w:val="left"/>
    </w:pPr>
    <w:rPr>
      <w:rFonts w:ascii="Verdana" w:hAnsi="Verdana" w:cs="宋体"/>
      <w:b/>
      <w:bCs/>
      <w:color w:val="FFFFFF"/>
      <w:kern w:val="0"/>
      <w:sz w:val="20"/>
      <w:szCs w:val="20"/>
    </w:rPr>
  </w:style>
  <w:style w:type="paragraph" w:customStyle="1" w:styleId="165">
    <w:name w:val="xl158"/>
    <w:basedOn w:val="1"/>
    <w:qFormat/>
    <w:uiPriority w:val="0"/>
    <w:pPr>
      <w:widowControl/>
      <w:shd w:val="clear" w:color="000000" w:fill="00B050"/>
      <w:spacing w:before="100" w:beforeAutospacing="1" w:after="100" w:afterAutospacing="1" w:line="240" w:lineRule="auto"/>
      <w:jc w:val="left"/>
    </w:pPr>
    <w:rPr>
      <w:rFonts w:ascii="Verdana" w:hAnsi="Verdana" w:cs="宋体"/>
      <w:b/>
      <w:bCs/>
      <w:color w:val="FFFFFF"/>
      <w:kern w:val="0"/>
      <w:sz w:val="20"/>
      <w:szCs w:val="20"/>
    </w:rPr>
  </w:style>
  <w:style w:type="paragraph" w:customStyle="1" w:styleId="166">
    <w:name w:val="xl159"/>
    <w:basedOn w:val="1"/>
    <w:qFormat/>
    <w:uiPriority w:val="0"/>
    <w:pPr>
      <w:widowControl/>
      <w:shd w:val="clear" w:color="000000" w:fill="D6DCE4"/>
      <w:spacing w:before="100" w:beforeAutospacing="1" w:after="100" w:afterAutospacing="1" w:line="240" w:lineRule="auto"/>
      <w:jc w:val="left"/>
      <w:textAlignment w:val="center"/>
    </w:pPr>
    <w:rPr>
      <w:rFonts w:ascii="Verdana" w:hAnsi="Verdana" w:cs="宋体"/>
      <w:kern w:val="0"/>
      <w:sz w:val="20"/>
      <w:szCs w:val="20"/>
    </w:rPr>
  </w:style>
  <w:style w:type="paragraph" w:customStyle="1" w:styleId="167">
    <w:name w:val="xl160"/>
    <w:basedOn w:val="1"/>
    <w:qFormat/>
    <w:uiPriority w:val="0"/>
    <w:pPr>
      <w:widowControl/>
      <w:shd w:val="clear" w:color="000000" w:fill="D6DCE4"/>
      <w:spacing w:before="100" w:beforeAutospacing="1" w:after="100" w:afterAutospacing="1" w:line="240" w:lineRule="auto"/>
      <w:jc w:val="left"/>
      <w:textAlignment w:val="center"/>
    </w:pPr>
    <w:rPr>
      <w:rFonts w:ascii="Verdana" w:hAnsi="Verdana" w:cs="宋体"/>
      <w:b/>
      <w:bCs/>
      <w:kern w:val="0"/>
      <w:sz w:val="20"/>
      <w:szCs w:val="20"/>
    </w:rPr>
  </w:style>
  <w:style w:type="paragraph" w:customStyle="1" w:styleId="168">
    <w:name w:val="xl161"/>
    <w:basedOn w:val="1"/>
    <w:qFormat/>
    <w:uiPriority w:val="0"/>
    <w:pPr>
      <w:widowControl/>
      <w:spacing w:before="100" w:beforeAutospacing="1" w:after="100" w:afterAutospacing="1" w:line="240" w:lineRule="auto"/>
      <w:jc w:val="center"/>
    </w:pPr>
    <w:rPr>
      <w:rFonts w:ascii="Verdana" w:hAnsi="Verdana" w:cs="宋体"/>
      <w:b/>
      <w:bCs/>
      <w:kern w:val="0"/>
      <w:sz w:val="20"/>
      <w:szCs w:val="20"/>
    </w:rPr>
  </w:style>
  <w:style w:type="paragraph" w:customStyle="1" w:styleId="169">
    <w:name w:val="xl162"/>
    <w:basedOn w:val="1"/>
    <w:qFormat/>
    <w:uiPriority w:val="0"/>
    <w:pPr>
      <w:widowControl/>
      <w:shd w:val="clear" w:color="000000" w:fill="CCCCFF"/>
      <w:spacing w:before="100" w:beforeAutospacing="1" w:after="100" w:afterAutospacing="1" w:line="240" w:lineRule="auto"/>
      <w:jc w:val="center"/>
      <w:textAlignment w:val="center"/>
    </w:pPr>
    <w:rPr>
      <w:rFonts w:ascii="Verdana" w:hAnsi="Verdana" w:cs="宋体"/>
      <w:b/>
      <w:bCs/>
      <w:kern w:val="0"/>
      <w:sz w:val="20"/>
      <w:szCs w:val="20"/>
    </w:rPr>
  </w:style>
  <w:style w:type="paragraph" w:customStyle="1" w:styleId="170">
    <w:name w:val="xl163"/>
    <w:basedOn w:val="1"/>
    <w:qFormat/>
    <w:uiPriority w:val="0"/>
    <w:pPr>
      <w:widowControl/>
      <w:shd w:val="clear" w:color="000000" w:fill="D6DCE4"/>
      <w:spacing w:before="100" w:beforeAutospacing="1" w:after="100" w:afterAutospacing="1" w:line="240" w:lineRule="auto"/>
      <w:jc w:val="left"/>
      <w:textAlignment w:val="center"/>
    </w:pPr>
    <w:rPr>
      <w:rFonts w:ascii="华文细黑" w:hAnsi="华文细黑" w:eastAsia="华文细黑" w:cs="宋体"/>
      <w:b/>
      <w:bCs/>
      <w:kern w:val="0"/>
      <w:sz w:val="20"/>
      <w:szCs w:val="20"/>
    </w:rPr>
  </w:style>
  <w:style w:type="paragraph" w:customStyle="1" w:styleId="171">
    <w:name w:val="xl164"/>
    <w:basedOn w:val="1"/>
    <w:qFormat/>
    <w:uiPriority w:val="0"/>
    <w:pPr>
      <w:widowControl/>
      <w:spacing w:before="100" w:beforeAutospacing="1" w:after="100" w:afterAutospacing="1" w:line="240" w:lineRule="auto"/>
      <w:jc w:val="right"/>
      <w:textAlignment w:val="center"/>
    </w:pPr>
    <w:rPr>
      <w:rFonts w:ascii="华文细黑" w:hAnsi="华文细黑" w:eastAsia="华文细黑" w:cs="宋体"/>
      <w:i/>
      <w:iCs/>
      <w:color w:val="FF0066"/>
      <w:kern w:val="0"/>
      <w:sz w:val="18"/>
      <w:szCs w:val="18"/>
    </w:rPr>
  </w:style>
  <w:style w:type="paragraph" w:customStyle="1" w:styleId="172">
    <w:name w:val="xl165"/>
    <w:basedOn w:val="1"/>
    <w:qFormat/>
    <w:uiPriority w:val="0"/>
    <w:pPr>
      <w:widowControl/>
      <w:spacing w:before="100" w:beforeAutospacing="1" w:after="100" w:afterAutospacing="1" w:line="240" w:lineRule="auto"/>
      <w:jc w:val="left"/>
    </w:pPr>
    <w:rPr>
      <w:rFonts w:ascii="华文细黑" w:hAnsi="华文细黑" w:eastAsia="华文细黑" w:cs="宋体"/>
      <w:i/>
      <w:iCs/>
      <w:color w:val="FF0066"/>
      <w:kern w:val="0"/>
      <w:sz w:val="18"/>
      <w:szCs w:val="18"/>
    </w:rPr>
  </w:style>
  <w:style w:type="paragraph" w:customStyle="1" w:styleId="173">
    <w:name w:val="xl166"/>
    <w:basedOn w:val="1"/>
    <w:qFormat/>
    <w:uiPriority w:val="0"/>
    <w:pPr>
      <w:widowControl/>
      <w:shd w:val="clear" w:color="000000" w:fill="00B050"/>
      <w:spacing w:before="100" w:beforeAutospacing="1" w:after="100" w:afterAutospacing="1" w:line="240" w:lineRule="auto"/>
      <w:jc w:val="center"/>
      <w:textAlignment w:val="center"/>
    </w:pPr>
    <w:rPr>
      <w:rFonts w:ascii="华文细黑" w:hAnsi="华文细黑" w:eastAsia="华文细黑" w:cs="宋体"/>
      <w:color w:val="FFFFFF"/>
      <w:kern w:val="0"/>
      <w:sz w:val="20"/>
      <w:szCs w:val="20"/>
    </w:rPr>
  </w:style>
  <w:style w:type="paragraph" w:customStyle="1" w:styleId="174">
    <w:name w:val="xl167"/>
    <w:basedOn w:val="1"/>
    <w:qFormat/>
    <w:uiPriority w:val="0"/>
    <w:pPr>
      <w:widowControl/>
      <w:shd w:val="clear" w:color="000000" w:fill="D6DCE4"/>
      <w:spacing w:before="100" w:beforeAutospacing="1" w:after="100" w:afterAutospacing="1" w:line="240" w:lineRule="auto"/>
      <w:jc w:val="center"/>
      <w:textAlignment w:val="center"/>
    </w:pPr>
    <w:rPr>
      <w:rFonts w:ascii="华文细黑" w:hAnsi="华文细黑" w:eastAsia="华文细黑" w:cs="宋体"/>
      <w:kern w:val="0"/>
      <w:sz w:val="20"/>
      <w:szCs w:val="20"/>
    </w:rPr>
  </w:style>
  <w:style w:type="paragraph" w:customStyle="1" w:styleId="175">
    <w:name w:val="xl168"/>
    <w:basedOn w:val="1"/>
    <w:qFormat/>
    <w:uiPriority w:val="0"/>
    <w:pPr>
      <w:widowControl/>
      <w:spacing w:before="100" w:beforeAutospacing="1" w:after="100" w:afterAutospacing="1" w:line="240" w:lineRule="auto"/>
      <w:jc w:val="center"/>
      <w:textAlignment w:val="center"/>
    </w:pPr>
    <w:rPr>
      <w:rFonts w:ascii="华文细黑" w:hAnsi="华文细黑" w:eastAsia="华文细黑" w:cs="宋体"/>
      <w:kern w:val="0"/>
      <w:sz w:val="18"/>
      <w:szCs w:val="18"/>
    </w:rPr>
  </w:style>
  <w:style w:type="paragraph" w:customStyle="1" w:styleId="176">
    <w:name w:val="xl169"/>
    <w:basedOn w:val="1"/>
    <w:qFormat/>
    <w:uiPriority w:val="0"/>
    <w:pPr>
      <w:widowControl/>
      <w:spacing w:before="100" w:beforeAutospacing="1" w:after="100" w:afterAutospacing="1" w:line="240" w:lineRule="auto"/>
      <w:jc w:val="right"/>
    </w:pPr>
    <w:rPr>
      <w:rFonts w:ascii="华文细黑" w:hAnsi="华文细黑" w:eastAsia="华文细黑" w:cs="宋体"/>
      <w:kern w:val="0"/>
      <w:sz w:val="18"/>
      <w:szCs w:val="18"/>
    </w:rPr>
  </w:style>
  <w:style w:type="paragraph" w:customStyle="1" w:styleId="177">
    <w:name w:val="xl170"/>
    <w:basedOn w:val="1"/>
    <w:qFormat/>
    <w:uiPriority w:val="0"/>
    <w:pPr>
      <w:widowControl/>
      <w:spacing w:before="100" w:beforeAutospacing="1" w:after="100" w:afterAutospacing="1" w:line="240" w:lineRule="auto"/>
      <w:jc w:val="right"/>
      <w:textAlignment w:val="center"/>
    </w:pPr>
    <w:rPr>
      <w:rFonts w:ascii="华文细黑" w:hAnsi="华文细黑" w:eastAsia="华文细黑" w:cs="宋体"/>
      <w:kern w:val="0"/>
      <w:sz w:val="18"/>
      <w:szCs w:val="18"/>
    </w:rPr>
  </w:style>
  <w:style w:type="paragraph" w:customStyle="1" w:styleId="178">
    <w:name w:val="xl171"/>
    <w:basedOn w:val="1"/>
    <w:qFormat/>
    <w:uiPriority w:val="0"/>
    <w:pPr>
      <w:widowControl/>
      <w:spacing w:before="100" w:beforeAutospacing="1" w:after="100" w:afterAutospacing="1" w:line="240" w:lineRule="auto"/>
      <w:jc w:val="left"/>
    </w:pPr>
    <w:rPr>
      <w:rFonts w:ascii="华文细黑" w:hAnsi="华文细黑" w:eastAsia="华文细黑" w:cs="宋体"/>
      <w:kern w:val="0"/>
      <w:sz w:val="18"/>
      <w:szCs w:val="18"/>
    </w:rPr>
  </w:style>
  <w:style w:type="paragraph" w:customStyle="1" w:styleId="179">
    <w:name w:val="xl172"/>
    <w:basedOn w:val="1"/>
    <w:qFormat/>
    <w:uiPriority w:val="0"/>
    <w:pPr>
      <w:widowControl/>
      <w:shd w:val="clear" w:color="000000" w:fill="FFFF00"/>
      <w:spacing w:before="100" w:beforeAutospacing="1" w:after="100" w:afterAutospacing="1" w:line="240" w:lineRule="auto"/>
      <w:jc w:val="center"/>
      <w:textAlignment w:val="center"/>
    </w:pPr>
    <w:rPr>
      <w:rFonts w:ascii="华文细黑" w:hAnsi="华文细黑" w:eastAsia="华文细黑" w:cs="宋体"/>
      <w:kern w:val="0"/>
      <w:sz w:val="18"/>
      <w:szCs w:val="18"/>
    </w:rPr>
  </w:style>
  <w:style w:type="character" w:customStyle="1" w:styleId="180">
    <w:name w:val="未处理的提及2"/>
    <w:basedOn w:val="26"/>
    <w:semiHidden/>
    <w:unhideWhenUsed/>
    <w:qFormat/>
    <w:uiPriority w:val="99"/>
    <w:rPr>
      <w:color w:val="605E5C"/>
      <w:shd w:val="clear" w:color="auto" w:fill="E1DFDD"/>
    </w:rPr>
  </w:style>
  <w:style w:type="paragraph" w:customStyle="1" w:styleId="181">
    <w:name w:val="样式 左 行距: 最小值 28 磅"/>
    <w:basedOn w:val="1"/>
    <w:qFormat/>
    <w:uiPriority w:val="0"/>
    <w:pPr>
      <w:shd w:val="clear" w:color="auto" w:fill="FFFFFF"/>
      <w:spacing w:line="360" w:lineRule="atLeast"/>
    </w:pPr>
    <w:rPr>
      <w:sz w:val="32"/>
      <w:szCs w:val="32"/>
    </w:rPr>
  </w:style>
  <w:style w:type="paragraph" w:customStyle="1" w:styleId="182">
    <w:name w:val="列表段落1"/>
    <w:basedOn w:val="1"/>
    <w:qFormat/>
    <w:uiPriority w:val="34"/>
    <w:pPr>
      <w:ind w:firstLine="420"/>
    </w:pPr>
  </w:style>
  <w:style w:type="paragraph" w:customStyle="1" w:styleId="183">
    <w:name w:val="修订7"/>
    <w:hidden/>
    <w:semiHidden/>
    <w:qFormat/>
    <w:uiPriority w:val="99"/>
    <w:rPr>
      <w:rFonts w:ascii="Times New Roman" w:hAnsi="Times New Roman" w:eastAsia="宋体" w:cs="Times New Roman"/>
      <w:kern w:val="2"/>
      <w:sz w:val="21"/>
      <w:szCs w:val="22"/>
      <w:lang w:val="en-US" w:eastAsia="zh-CN" w:bidi="ar-SA"/>
    </w:rPr>
  </w:style>
  <w:style w:type="paragraph" w:customStyle="1" w:styleId="184">
    <w:name w:val="修订8"/>
    <w:hidden/>
    <w:unhideWhenUsed/>
    <w:qFormat/>
    <w:uiPriority w:val="99"/>
    <w:rPr>
      <w:rFonts w:ascii="Times New Roman" w:hAnsi="Times New Roman" w:eastAsia="宋体" w:cs="Times New Roman"/>
      <w:kern w:val="2"/>
      <w:sz w:val="21"/>
      <w:szCs w:val="22"/>
      <w:lang w:val="en-US" w:eastAsia="zh-CN" w:bidi="ar-SA"/>
    </w:rPr>
  </w:style>
  <w:style w:type="paragraph" w:customStyle="1" w:styleId="185">
    <w:name w:val="Revision"/>
    <w:hidden/>
    <w:unhideWhenUsed/>
    <w:uiPriority w:val="99"/>
    <w:rPr>
      <w:rFonts w:ascii="Times New Roman" w:hAnsi="Times New Roman"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chart" Target="charts/chart1.xml"/><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charts/_rels/chart1.xml.rels><?xml version="1.0" encoding="UTF-8" standalone="yes"?>
<Relationships xmlns="http://schemas.openxmlformats.org/package/2006/relationships"><Relationship Id="rId1" Type="http://schemas.openxmlformats.org/officeDocument/2006/relationships/package" Target="../embeddings/Workbook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000" b="0" i="0" u="none" strike="noStrike" kern="1200" baseline="0">
                <a:solidFill>
                  <a:schemeClr val="tx1"/>
                </a:solidFill>
                <a:latin typeface="仿宋" panose="02010609060101010101" pitchFamily="3" charset="-122"/>
                <a:ea typeface="仿宋" panose="02010609060101010101" pitchFamily="3" charset="-122"/>
                <a:cs typeface="+mn-cs"/>
              </a:defRPr>
            </a:pPr>
            <a:r>
              <a:rPr lang="zh-CN" altLang="en-US" sz="1000" b="0"/>
              <a:t>单位：人民币万元</a:t>
            </a:r>
            <a:endParaRPr lang="en-US" altLang="zh-CN" sz="1000" b="0"/>
          </a:p>
        </c:rich>
      </c:tx>
      <c:layout>
        <c:manualLayout>
          <c:xMode val="edge"/>
          <c:yMode val="edge"/>
          <c:x val="0.78921568627451"/>
          <c:y val="0"/>
        </c:manualLayout>
      </c:layout>
      <c:overlay val="0"/>
    </c:title>
    <c:autoTitleDeleted val="0"/>
    <c:plotArea>
      <c:layout>
        <c:manualLayout>
          <c:layoutTarget val="inner"/>
          <c:xMode val="edge"/>
          <c:yMode val="edge"/>
          <c:x val="0.123128956306932"/>
          <c:y val="0.149206474190726"/>
          <c:w val="0.85140802712161"/>
          <c:h val="0.724312585926759"/>
        </c:manualLayout>
      </c:layout>
      <c:barChart>
        <c:barDir val="col"/>
        <c:grouping val="clustered"/>
        <c:varyColors val="0"/>
        <c:ser>
          <c:idx val="0"/>
          <c:order val="0"/>
          <c:tx>
            <c:strRef>
              <c:f>Sheet1!$B$1</c:f>
              <c:strCache>
                <c:ptCount val="1"/>
                <c:pt idx="0">
                  <c:v>系列 1</c:v>
                </c:pt>
              </c:strCache>
            </c:strRef>
          </c:tx>
          <c:spPr>
            <a:solidFill>
              <a:srgbClr val="0070C0"/>
            </a:solidFill>
            <a:ln>
              <a:solidFill>
                <a:srgbClr val="0070C0"/>
              </a:solidFill>
            </a:ln>
            <a:effectLst/>
          </c:spPr>
          <c:invertIfNegative val="0"/>
          <c:dLbls>
            <c:numFmt formatCode="_(* #,##0_);_(* \(#,##0\);_(* &quot;-&quot;_);_(@_)" sourceLinked="0"/>
            <c:spPr>
              <a:noFill/>
              <a:ln>
                <a:noFill/>
              </a:ln>
              <a:effectLst/>
            </c:spPr>
            <c:txPr>
              <a:bodyPr rot="1080000" spcFirstLastPara="0" vertOverflow="ellipsis" vert="horz" wrap="square" lIns="38100" tIns="19050" rIns="38100" bIns="19050" anchor="ctr" anchorCtr="1"/>
              <a:lstStyle/>
              <a:p>
                <a:pPr>
                  <a:defRPr lang="zh-CN" sz="1000" b="0" i="0" u="none" strike="noStrike" kern="1200" baseline="0">
                    <a:solidFill>
                      <a:schemeClr val="tx1"/>
                    </a:solidFill>
                    <a:latin typeface="仿宋" panose="02010609060101010101" pitchFamily="3" charset="-122"/>
                    <a:ea typeface="仿宋" panose="02010609060101010101" pitchFamily="3" charset="-122"/>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numRef>
              <c:f>Sheet1!$A$2:$A$12</c:f>
              <c:numCache>
                <c:formatCode>General</c:formatCode>
                <c:ptCount val="11"/>
                <c:pt idx="0">
                  <c:v>2025</c:v>
                </c:pt>
                <c:pt idx="1">
                  <c:v>2026</c:v>
                </c:pt>
                <c:pt idx="2">
                  <c:v>2027</c:v>
                </c:pt>
                <c:pt idx="3">
                  <c:v>2028</c:v>
                </c:pt>
                <c:pt idx="4">
                  <c:v>2029</c:v>
                </c:pt>
                <c:pt idx="5">
                  <c:v>2030</c:v>
                </c:pt>
                <c:pt idx="6">
                  <c:v>2031</c:v>
                </c:pt>
                <c:pt idx="7">
                  <c:v>2032</c:v>
                </c:pt>
                <c:pt idx="8">
                  <c:v>2033</c:v>
                </c:pt>
                <c:pt idx="9">
                  <c:v>2034</c:v>
                </c:pt>
                <c:pt idx="10">
                  <c:v>2035</c:v>
                </c:pt>
              </c:numCache>
            </c:numRef>
          </c:cat>
          <c:val>
            <c:numRef>
              <c:f>Sheet1!$B$2:$B$12</c:f>
              <c:numCache>
                <c:formatCode>_ * #,##0_ ;_ * \-#,##0_ ;_ * "-"??_ ;_ @_ </c:formatCode>
                <c:ptCount val="11"/>
                <c:pt idx="0">
                  <c:v>0</c:v>
                </c:pt>
                <c:pt idx="1">
                  <c:v>0</c:v>
                </c:pt>
                <c:pt idx="2">
                  <c:v>183.463079783685</c:v>
                </c:pt>
                <c:pt idx="3">
                  <c:v>327.543618624251</c:v>
                </c:pt>
                <c:pt idx="4">
                  <c:v>471.624157464817</c:v>
                </c:pt>
                <c:pt idx="5">
                  <c:v>615.704696305383</c:v>
                </c:pt>
                <c:pt idx="6">
                  <c:v>759.785235145949</c:v>
                </c:pt>
                <c:pt idx="7">
                  <c:v>903.865773986515</c:v>
                </c:pt>
                <c:pt idx="8">
                  <c:v>1047.94631282708</c:v>
                </c:pt>
                <c:pt idx="9">
                  <c:v>1192.02685166765</c:v>
                </c:pt>
                <c:pt idx="10">
                  <c:v>342.392938237695</c:v>
                </c:pt>
              </c:numCache>
            </c:numRef>
          </c:val>
        </c:ser>
        <c:dLbls>
          <c:showLegendKey val="0"/>
          <c:showVal val="0"/>
          <c:showCatName val="0"/>
          <c:showSerName val="0"/>
          <c:showPercent val="0"/>
          <c:showBubbleSize val="0"/>
        </c:dLbls>
        <c:gapWidth val="219"/>
        <c:overlap val="-27"/>
        <c:axId val="378698992"/>
        <c:axId val="378699472"/>
      </c:barChart>
      <c:catAx>
        <c:axId val="378698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0" vertOverflow="ellipsis" vert="horz" wrap="square" anchor="ctr" anchorCtr="1"/>
          <a:lstStyle/>
          <a:p>
            <a:pPr>
              <a:defRPr lang="zh-CN" sz="1000" b="0" i="0" u="none" strike="noStrike" kern="1200" baseline="0">
                <a:solidFill>
                  <a:schemeClr val="tx1"/>
                </a:solidFill>
                <a:latin typeface="仿宋" panose="02010609060101010101" pitchFamily="3" charset="-122"/>
                <a:ea typeface="仿宋" panose="02010609060101010101" pitchFamily="3" charset="-122"/>
                <a:cs typeface="+mn-cs"/>
              </a:defRPr>
            </a:pPr>
          </a:p>
        </c:txPr>
        <c:crossAx val="378699472"/>
        <c:crosses val="autoZero"/>
        <c:auto val="1"/>
        <c:lblAlgn val="ctr"/>
        <c:lblOffset val="100"/>
        <c:noMultiLvlLbl val="0"/>
      </c:catAx>
      <c:valAx>
        <c:axId val="378699472"/>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_(* #,##0_);_(* \(#,##0\);_(* &quot;-&quot;_);_(@_)" sourceLinked="0"/>
        <c:majorTickMark val="none"/>
        <c:minorTickMark val="none"/>
        <c:tickLblPos val="nextTo"/>
        <c:spPr>
          <a:noFill/>
          <a:ln w="6350" cap="flat" cmpd="sng" algn="ctr">
            <a:noFill/>
            <a:prstDash val="solid"/>
            <a:round/>
          </a:ln>
          <a:effectLst/>
        </c:spPr>
        <c:txPr>
          <a:bodyPr rot="-60000000" spcFirstLastPara="0" vertOverflow="ellipsis" vert="horz" wrap="square" anchor="ctr" anchorCtr="1"/>
          <a:lstStyle/>
          <a:p>
            <a:pPr>
              <a:defRPr lang="zh-CN" sz="1000" b="0" i="0" u="none" strike="noStrike" kern="1200" baseline="0">
                <a:solidFill>
                  <a:schemeClr val="tx1"/>
                </a:solidFill>
                <a:latin typeface="仿宋" panose="02010609060101010101" pitchFamily="3" charset="-122"/>
                <a:ea typeface="仿宋" panose="02010609060101010101" pitchFamily="3" charset="-122"/>
                <a:cs typeface="+mn-cs"/>
              </a:defRPr>
            </a:pPr>
          </a:p>
        </c:txPr>
        <c:crossAx val="3786989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latin typeface="仿宋" panose="02010609060101010101" pitchFamily="3" charset="-122"/>
          <a:ea typeface="仿宋" panose="02010609060101010101" pitchFamily="3" charset="-122"/>
        </a:defRPr>
      </a:pPr>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3314A2-182F-413B-8F03-DDD3894CD8F7}">
  <ds:schemaRefs/>
</ds:datastoreItem>
</file>

<file path=docProps/app.xml><?xml version="1.0" encoding="utf-8"?>
<Properties xmlns="http://schemas.openxmlformats.org/officeDocument/2006/extended-properties" xmlns:vt="http://schemas.openxmlformats.org/officeDocument/2006/docPropsVTypes">
  <Template>Normal.dotm</Template>
  <Company>Deloitte Touche Tohmatsu Services, Inc.</Company>
  <Pages>22</Pages>
  <Words>2318</Words>
  <Characters>13213</Characters>
  <Lines>110</Lines>
  <Paragraphs>30</Paragraphs>
  <TotalTime>0</TotalTime>
  <ScaleCrop>false</ScaleCrop>
  <LinksUpToDate>false</LinksUpToDate>
  <CharactersWithSpaces>15501</CharactersWithSpaces>
  <Application>WPS Office_11.8.6.11719_F1E327BC-269C-435d-A152-05C5408002CA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2025-06-19T03:03:00Z</dcterms:created>
  <dc:creator>64924</dc:creator>
  <cp:lastModifiedBy>王芳</cp:lastModifiedBy>
  <cp:lastPrinted>2024-10-12T11:48:00Z</cp:lastPrinted>
  <dcterms:modified xsi:type="dcterms:W3CDTF">2025-06-22T03:12:25Z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2052-11.8.6.11719</vt:lpwstr>
  </property>
  <property fmtid="{D5CDD505-2E9C-101B-9397-08002B2CF9AE}" pid="3" name="ICV">
    <vt:lpwstr>50FD1B8ED70942D28B56C5388E0D9355_13</vt:lpwstr>
  </property>
</Properties>
</file>