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16DD9">
      <w:pPr>
        <w:spacing w:line="480" w:lineRule="auto"/>
        <w:rPr>
          <w:rFonts w:hint="eastAsia" w:asciiTheme="minorEastAsia" w:hAnsiTheme="minorEastAsia" w:eastAsiaTheme="minorEastAsia" w:cstheme="minorEastAsia"/>
          <w:b/>
          <w:sz w:val="44"/>
          <w:szCs w:val="44"/>
        </w:rPr>
      </w:pPr>
    </w:p>
    <w:p w14:paraId="1063CACA">
      <w:pPr>
        <w:pStyle w:val="32"/>
        <w:spacing w:line="720" w:lineRule="auto"/>
        <w:ind w:firstLine="0" w:firstLineChars="0"/>
        <w:jc w:val="center"/>
        <w:rPr>
          <w:rFonts w:hint="eastAsia" w:cs="宋体" w:asciiTheme="minorEastAsia" w:hAnsiTheme="minorEastAsia" w:eastAsiaTheme="minorEastAsia"/>
          <w:b/>
          <w:bCs/>
          <w:sz w:val="44"/>
          <w:szCs w:val="44"/>
        </w:rPr>
      </w:pPr>
      <w:r>
        <w:rPr>
          <w:rFonts w:hint="eastAsia" w:cs="宋体" w:asciiTheme="minorEastAsia" w:hAnsiTheme="minorEastAsia" w:eastAsiaTheme="minorEastAsia"/>
          <w:b/>
          <w:bCs/>
          <w:sz w:val="44"/>
          <w:szCs w:val="44"/>
        </w:rPr>
        <w:t>2025年海南省政府专项债券（一期）</w:t>
      </w:r>
    </w:p>
    <w:p w14:paraId="0596DDE2">
      <w:pPr>
        <w:pStyle w:val="32"/>
        <w:spacing w:line="720" w:lineRule="auto"/>
        <w:ind w:firstLine="0" w:firstLineChars="0"/>
        <w:jc w:val="center"/>
        <w:rPr>
          <w:rFonts w:hint="eastAsia" w:cs="宋体" w:asciiTheme="minorEastAsia" w:hAnsiTheme="minorEastAsia" w:eastAsiaTheme="minorEastAsia"/>
          <w:b/>
          <w:bCs/>
          <w:sz w:val="44"/>
          <w:szCs w:val="44"/>
        </w:rPr>
      </w:pPr>
      <w:r>
        <w:rPr>
          <w:rFonts w:hint="eastAsia" w:cs="宋体" w:asciiTheme="minorEastAsia" w:hAnsiTheme="minorEastAsia" w:eastAsiaTheme="minorEastAsia"/>
          <w:b/>
          <w:bCs/>
          <w:sz w:val="44"/>
          <w:szCs w:val="44"/>
        </w:rPr>
        <w:t>债券资金调整收益与融资自求平衡方案</w:t>
      </w:r>
    </w:p>
    <w:p w14:paraId="05AA1AA1">
      <w:pPr>
        <w:spacing w:line="700" w:lineRule="exact"/>
        <w:jc w:val="center"/>
        <w:rPr>
          <w:rFonts w:hint="eastAsia" w:cs="宋体" w:asciiTheme="minorEastAsia" w:hAnsiTheme="minorEastAsia" w:eastAsiaTheme="minorEastAsia"/>
          <w:b/>
          <w:bCs/>
          <w:sz w:val="44"/>
          <w:szCs w:val="44"/>
        </w:rPr>
      </w:pPr>
      <w:r>
        <w:rPr>
          <w:rFonts w:hint="eastAsia" w:cs="宋体" w:asciiTheme="minorEastAsia" w:hAnsiTheme="minorEastAsia" w:eastAsiaTheme="minorEastAsia"/>
          <w:b/>
          <w:bCs/>
          <w:sz w:val="44"/>
          <w:szCs w:val="44"/>
        </w:rPr>
        <w:t>海口江东新区园区基础设施七期</w:t>
      </w:r>
    </w:p>
    <w:p w14:paraId="400F16E8">
      <w:pPr>
        <w:spacing w:line="700" w:lineRule="exact"/>
        <w:jc w:val="center"/>
        <w:rPr>
          <w:rFonts w:hint="eastAsia" w:cs="仿宋_GB2312" w:asciiTheme="minorEastAsia" w:hAnsiTheme="minorEastAsia" w:eastAsiaTheme="minorEastAsia"/>
          <w:bCs/>
          <w:sz w:val="36"/>
          <w:szCs w:val="36"/>
        </w:rPr>
      </w:pPr>
    </w:p>
    <w:p w14:paraId="77FBA537">
      <w:pPr>
        <w:spacing w:line="700" w:lineRule="exact"/>
        <w:ind w:firstLine="1440" w:firstLineChars="400"/>
        <w:rPr>
          <w:rFonts w:hint="eastAsia" w:cs="仿宋_GB2312" w:asciiTheme="minorEastAsia" w:hAnsiTheme="minorEastAsia" w:eastAsiaTheme="minorEastAsia"/>
          <w:bCs/>
          <w:sz w:val="36"/>
          <w:szCs w:val="36"/>
        </w:rPr>
      </w:pPr>
    </w:p>
    <w:p w14:paraId="2F0D23B4">
      <w:pPr>
        <w:spacing w:line="700" w:lineRule="exact"/>
        <w:ind w:firstLine="723" w:firstLineChars="200"/>
        <w:rPr>
          <w:rFonts w:hint="eastAsia" w:asciiTheme="minorEastAsia" w:hAnsiTheme="minorEastAsia" w:eastAsiaTheme="minorEastAsia" w:cstheme="majorEastAsia"/>
          <w:b/>
          <w:sz w:val="36"/>
          <w:szCs w:val="36"/>
        </w:rPr>
      </w:pPr>
    </w:p>
    <w:p w14:paraId="1BF14E47">
      <w:pPr>
        <w:spacing w:line="700" w:lineRule="exact"/>
        <w:ind w:firstLine="723" w:firstLineChars="200"/>
        <w:rPr>
          <w:rFonts w:hint="eastAsia" w:asciiTheme="minorEastAsia" w:hAnsiTheme="minorEastAsia" w:eastAsiaTheme="minorEastAsia" w:cstheme="majorEastAsia"/>
          <w:b/>
          <w:sz w:val="36"/>
          <w:szCs w:val="36"/>
        </w:rPr>
      </w:pPr>
    </w:p>
    <w:p w14:paraId="4A9867B5">
      <w:pPr>
        <w:spacing w:line="700" w:lineRule="exact"/>
        <w:ind w:firstLine="723" w:firstLineChars="200"/>
        <w:rPr>
          <w:rFonts w:hint="eastAsia" w:asciiTheme="minorEastAsia" w:hAnsiTheme="minorEastAsia" w:eastAsiaTheme="minorEastAsia" w:cstheme="majorEastAsia"/>
          <w:b/>
          <w:sz w:val="36"/>
          <w:szCs w:val="36"/>
        </w:rPr>
      </w:pPr>
      <w:r>
        <w:rPr>
          <w:rFonts w:hint="eastAsia" w:asciiTheme="minorEastAsia" w:hAnsiTheme="minorEastAsia" w:eastAsiaTheme="minorEastAsia" w:cstheme="majorEastAsia"/>
          <w:b/>
          <w:sz w:val="36"/>
          <w:szCs w:val="36"/>
        </w:rPr>
        <w:t>财政部门：海口市财政局</w:t>
      </w:r>
    </w:p>
    <w:p w14:paraId="4C12F746">
      <w:pPr>
        <w:spacing w:line="700" w:lineRule="exact"/>
        <w:jc w:val="center"/>
        <w:rPr>
          <w:rFonts w:hint="eastAsia" w:asciiTheme="minorEastAsia" w:hAnsiTheme="minorEastAsia" w:eastAsiaTheme="minorEastAsia" w:cstheme="majorEastAsia"/>
          <w:b/>
          <w:sz w:val="36"/>
          <w:szCs w:val="36"/>
        </w:rPr>
      </w:pPr>
    </w:p>
    <w:p w14:paraId="5CB483ED">
      <w:pPr>
        <w:spacing w:line="700" w:lineRule="exact"/>
        <w:ind w:firstLine="723" w:firstLineChars="200"/>
        <w:rPr>
          <w:rFonts w:hint="eastAsia" w:asciiTheme="minorEastAsia" w:hAnsiTheme="minorEastAsia" w:eastAsiaTheme="minorEastAsia" w:cstheme="majorEastAsia"/>
          <w:b/>
          <w:sz w:val="36"/>
          <w:szCs w:val="36"/>
        </w:rPr>
      </w:pPr>
      <w:r>
        <w:rPr>
          <w:rFonts w:hint="eastAsia" w:asciiTheme="minorEastAsia" w:hAnsiTheme="minorEastAsia" w:eastAsiaTheme="minorEastAsia" w:cstheme="majorEastAsia"/>
          <w:b/>
          <w:sz w:val="36"/>
          <w:szCs w:val="36"/>
        </w:rPr>
        <w:t>主管部门：海口江东新区管理局</w:t>
      </w:r>
    </w:p>
    <w:p w14:paraId="55493DD9">
      <w:pPr>
        <w:spacing w:line="700" w:lineRule="exact"/>
        <w:jc w:val="center"/>
        <w:rPr>
          <w:rFonts w:hint="eastAsia" w:asciiTheme="minorEastAsia" w:hAnsiTheme="minorEastAsia" w:eastAsiaTheme="minorEastAsia" w:cstheme="majorEastAsia"/>
          <w:b/>
          <w:sz w:val="36"/>
          <w:szCs w:val="36"/>
        </w:rPr>
      </w:pPr>
    </w:p>
    <w:p w14:paraId="4F4F2569">
      <w:pPr>
        <w:spacing w:line="700" w:lineRule="exact"/>
        <w:ind w:firstLine="723" w:firstLineChars="200"/>
        <w:rPr>
          <w:rFonts w:hint="eastAsia" w:asciiTheme="minorEastAsia" w:hAnsiTheme="minorEastAsia" w:eastAsiaTheme="minorEastAsia" w:cstheme="majorEastAsia"/>
          <w:b/>
          <w:sz w:val="36"/>
          <w:szCs w:val="36"/>
        </w:rPr>
      </w:pPr>
      <w:r>
        <w:rPr>
          <w:rFonts w:hint="eastAsia" w:asciiTheme="minorEastAsia" w:hAnsiTheme="minorEastAsia" w:eastAsiaTheme="minorEastAsia" w:cstheme="majorEastAsia"/>
          <w:b/>
          <w:sz w:val="36"/>
          <w:szCs w:val="36"/>
        </w:rPr>
        <w:t>项目单位：海口市路桥建设投资有限公司</w:t>
      </w:r>
    </w:p>
    <w:p w14:paraId="0E7E7F2C">
      <w:pPr>
        <w:spacing w:line="700" w:lineRule="exact"/>
        <w:ind w:firstLine="723" w:firstLineChars="200"/>
        <w:rPr>
          <w:rFonts w:hint="eastAsia" w:asciiTheme="minorEastAsia" w:hAnsiTheme="minorEastAsia" w:eastAsiaTheme="minorEastAsia" w:cstheme="majorEastAsia"/>
          <w:b/>
          <w:sz w:val="36"/>
          <w:szCs w:val="36"/>
        </w:rPr>
      </w:pPr>
    </w:p>
    <w:p w14:paraId="68D7A5C2">
      <w:pPr>
        <w:spacing w:line="700" w:lineRule="exact"/>
        <w:ind w:firstLine="723" w:firstLineChars="200"/>
        <w:rPr>
          <w:rFonts w:hint="eastAsia" w:asciiTheme="minorEastAsia" w:hAnsiTheme="minorEastAsia" w:eastAsiaTheme="minorEastAsia" w:cstheme="majorEastAsia"/>
          <w:b/>
          <w:sz w:val="36"/>
          <w:szCs w:val="36"/>
        </w:rPr>
      </w:pPr>
    </w:p>
    <w:p w14:paraId="419176B1">
      <w:pPr>
        <w:spacing w:line="700" w:lineRule="exact"/>
        <w:ind w:firstLine="2891" w:firstLineChars="800"/>
        <w:rPr>
          <w:rFonts w:hint="default" w:asciiTheme="minorEastAsia" w:hAnsiTheme="minorEastAsia" w:eastAsiaTheme="minorEastAsia" w:cstheme="majorEastAsia"/>
          <w:b/>
          <w:sz w:val="36"/>
          <w:szCs w:val="36"/>
          <w:lang w:val="en-US" w:eastAsia="zh-CN"/>
        </w:rPr>
      </w:pPr>
      <w:r>
        <w:rPr>
          <w:rFonts w:hint="eastAsia" w:asciiTheme="minorEastAsia" w:hAnsiTheme="minorEastAsia" w:eastAsiaTheme="minorEastAsia" w:cstheme="majorEastAsia"/>
          <w:b/>
          <w:sz w:val="36"/>
          <w:szCs w:val="36"/>
          <w:lang w:val="en-US" w:eastAsia="zh-CN"/>
        </w:rPr>
        <w:t>2025年6月</w:t>
      </w:r>
    </w:p>
    <w:p w14:paraId="5DC5CDFA">
      <w:pPr>
        <w:pStyle w:val="32"/>
        <w:spacing w:line="720" w:lineRule="auto"/>
        <w:ind w:firstLine="0" w:firstLineChars="0"/>
        <w:rPr>
          <w:rFonts w:hint="eastAsia" w:cs="宋体" w:asciiTheme="minorEastAsia" w:hAnsiTheme="minorEastAsia" w:eastAsiaTheme="minorEastAsia"/>
          <w:b/>
          <w:bCs/>
          <w:sz w:val="44"/>
          <w:szCs w:val="44"/>
        </w:rPr>
      </w:pPr>
    </w:p>
    <w:p w14:paraId="531286B5">
      <w:pPr>
        <w:spacing w:line="360" w:lineRule="auto"/>
        <w:ind w:firstLine="482"/>
        <w:jc w:val="center"/>
        <w:rPr>
          <w:rFonts w:hint="eastAsia" w:asciiTheme="minorEastAsia" w:hAnsiTheme="minorEastAsia" w:eastAsiaTheme="minorEastAsia" w:cstheme="minorEastAsia"/>
          <w:b/>
          <w:sz w:val="24"/>
          <w:szCs w:val="24"/>
        </w:rPr>
      </w:pPr>
    </w:p>
    <w:p w14:paraId="71B6CE3D">
      <w:pPr>
        <w:pStyle w:val="32"/>
        <w:spacing w:line="360" w:lineRule="auto"/>
        <w:ind w:firstLine="482"/>
        <w:rPr>
          <w:rFonts w:hint="eastAsia" w:asciiTheme="minorEastAsia" w:hAnsiTheme="minorEastAsia" w:eastAsiaTheme="minorEastAsia" w:cstheme="minorEastAsia"/>
          <w:b/>
          <w:sz w:val="24"/>
          <w:szCs w:val="24"/>
        </w:rPr>
        <w:sectPr>
          <w:pgSz w:w="11906" w:h="16838"/>
          <w:pgMar w:top="1440" w:right="1800" w:bottom="1440" w:left="1800" w:header="851" w:footer="992" w:gutter="0"/>
          <w:pgNumType w:start="0"/>
          <w:cols w:space="425" w:num="1"/>
          <w:docGrid w:type="lines" w:linePitch="312" w:charSpace="0"/>
        </w:sectPr>
      </w:pPr>
    </w:p>
    <w:p w14:paraId="11D3546C">
      <w:pPr>
        <w:pStyle w:val="3"/>
        <w:spacing w:line="480" w:lineRule="auto"/>
        <w:ind w:firstLine="482"/>
        <w:rPr>
          <w:rFonts w:hint="eastAsia" w:asciiTheme="minorEastAsia" w:hAnsiTheme="minorEastAsia" w:eastAsiaTheme="minorEastAsia" w:cstheme="minorEastAsia"/>
          <w:szCs w:val="24"/>
        </w:rPr>
      </w:pPr>
    </w:p>
    <w:p w14:paraId="274D0D99">
      <w:pPr>
        <w:pStyle w:val="32"/>
        <w:spacing w:line="360" w:lineRule="auto"/>
        <w:ind w:firstLine="482"/>
        <w:rPr>
          <w:rFonts w:hint="eastAsia" w:asciiTheme="minorEastAsia" w:hAnsiTheme="minorEastAsia" w:eastAsiaTheme="minorEastAsia" w:cstheme="minorEastAsia"/>
          <w:b/>
          <w:sz w:val="24"/>
          <w:szCs w:val="24"/>
        </w:rPr>
        <w:sectPr>
          <w:footerReference r:id="rId4" w:type="default"/>
          <w:pgSz w:w="11906" w:h="16838"/>
          <w:pgMar w:top="1440" w:right="1803" w:bottom="1440" w:left="1803" w:header="851" w:footer="992" w:gutter="0"/>
          <w:pgNumType w:start="1"/>
          <w:cols w:space="0" w:num="1"/>
          <w:docGrid w:type="lines" w:linePitch="332" w:charSpace="0"/>
        </w:sectPr>
      </w:pPr>
    </w:p>
    <w:p w14:paraId="65368C60">
      <w:pPr>
        <w:pStyle w:val="32"/>
        <w:spacing w:line="360" w:lineRule="auto"/>
        <w:ind w:firstLine="482"/>
        <w:outlineLvl w:val="0"/>
        <w:rPr>
          <w:rFonts w:hint="eastAsia" w:asciiTheme="minorEastAsia" w:hAnsiTheme="minorEastAsia" w:eastAsiaTheme="minorEastAsia" w:cstheme="minorEastAsia"/>
          <w:b/>
          <w:sz w:val="24"/>
          <w:szCs w:val="24"/>
        </w:rPr>
      </w:pPr>
      <w:bookmarkStart w:id="0" w:name="_Toc190352110"/>
      <w:r>
        <w:rPr>
          <w:rFonts w:hint="eastAsia" w:asciiTheme="minorEastAsia" w:hAnsiTheme="minorEastAsia" w:eastAsiaTheme="minorEastAsia" w:cstheme="minorEastAsia"/>
          <w:b/>
          <w:sz w:val="24"/>
          <w:szCs w:val="24"/>
        </w:rPr>
        <w:t>一、债券情况</w:t>
      </w:r>
      <w:bookmarkEnd w:id="0"/>
    </w:p>
    <w:p w14:paraId="6B2A1B8C">
      <w:pPr>
        <w:pStyle w:val="32"/>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2025年海南省政府专项债券（一期）中已发行“江东新区车联网先导项目（省博物馆至江东新区展示中心段）”的债券资金合计700.00万元调剂于海口江东新区园区基础设施七期。</w:t>
      </w:r>
    </w:p>
    <w:p w14:paraId="4DE786F6">
      <w:pPr>
        <w:spacing w:before="120" w:after="120" w:line="360" w:lineRule="auto"/>
        <w:ind w:firstLine="480" w:firstLineChars="200"/>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2025年2月，2025年海南省政府专项债券（一期）发行成功，其中江东新区车联网先导项目（省博物馆至江东新区展示中心段）发行金额为1,900.00万元，发行利率为1.76%，发行期限为10年。</w:t>
      </w:r>
    </w:p>
    <w:p w14:paraId="052FA6F6">
      <w:pPr>
        <w:spacing w:before="120" w:after="120" w:line="360" w:lineRule="auto"/>
        <w:ind w:firstLine="480" w:firstLineChars="200"/>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本期调整项目具体情况如下表：</w:t>
      </w:r>
    </w:p>
    <w:p w14:paraId="01992132">
      <w:pPr>
        <w:spacing w:line="240" w:lineRule="atLeast"/>
        <w:jc w:val="center"/>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表1</w:t>
      </w:r>
      <w:r>
        <w:rPr>
          <w:rFonts w:asciiTheme="minorEastAsia" w:hAnsiTheme="minorEastAsia" w:eastAsiaTheme="minorEastAsia"/>
          <w:b/>
          <w:color w:val="000000"/>
          <w:sz w:val="24"/>
          <w:szCs w:val="24"/>
        </w:rPr>
        <w:t xml:space="preserve"> </w:t>
      </w:r>
      <w:r>
        <w:rPr>
          <w:rFonts w:hint="eastAsia" w:asciiTheme="minorEastAsia" w:hAnsiTheme="minorEastAsia" w:eastAsiaTheme="minorEastAsia"/>
          <w:b/>
          <w:color w:val="000000"/>
          <w:sz w:val="24"/>
          <w:szCs w:val="24"/>
        </w:rPr>
        <w:t>调整项目情况汇总表</w:t>
      </w:r>
    </w:p>
    <w:p w14:paraId="1296B50A">
      <w:pPr>
        <w:ind w:right="-298" w:rightChars="-142" w:firstLine="360" w:firstLineChars="200"/>
        <w:jc w:val="right"/>
        <w:rPr>
          <w:rFonts w:hint="eastAsia" w:asciiTheme="minorEastAsia" w:hAnsiTheme="minorEastAsia" w:eastAsiaTheme="minorEastAsia"/>
          <w:color w:val="000000"/>
          <w:szCs w:val="21"/>
        </w:rPr>
      </w:pPr>
      <w:r>
        <w:rPr>
          <w:rFonts w:asciiTheme="minorEastAsia" w:hAnsiTheme="minorEastAsia" w:eastAsiaTheme="minorEastAsia"/>
          <w:color w:val="000000"/>
          <w:sz w:val="18"/>
          <w:szCs w:val="20"/>
        </w:rPr>
        <w:t>单位：人民币万元</w:t>
      </w:r>
    </w:p>
    <w:tbl>
      <w:tblPr>
        <w:tblStyle w:val="21"/>
        <w:tblW w:w="6324" w:type="pct"/>
        <w:jc w:val="center"/>
        <w:tblLayout w:type="fixed"/>
        <w:tblCellMar>
          <w:top w:w="0" w:type="dxa"/>
          <w:left w:w="0" w:type="dxa"/>
          <w:bottom w:w="0" w:type="dxa"/>
          <w:right w:w="0" w:type="dxa"/>
        </w:tblCellMar>
      </w:tblPr>
      <w:tblGrid>
        <w:gridCol w:w="1365"/>
        <w:gridCol w:w="2042"/>
        <w:gridCol w:w="1092"/>
        <w:gridCol w:w="1091"/>
        <w:gridCol w:w="1232"/>
        <w:gridCol w:w="816"/>
        <w:gridCol w:w="1911"/>
        <w:gridCol w:w="962"/>
      </w:tblGrid>
      <w:tr w14:paraId="44918722">
        <w:trPr>
          <w:trHeight w:val="20" w:hRule="atLeast"/>
          <w:jc w:val="center"/>
        </w:trPr>
        <w:tc>
          <w:tcPr>
            <w:tcW w:w="649" w:type="pct"/>
            <w:tcBorders>
              <w:top w:val="single" w:color="auto" w:sz="4" w:space="0"/>
              <w:left w:val="single" w:color="auto" w:sz="4" w:space="0"/>
              <w:bottom w:val="single" w:color="auto" w:sz="4" w:space="0"/>
              <w:right w:val="single" w:color="auto" w:sz="4" w:space="0"/>
            </w:tcBorders>
            <w:shd w:val="clear" w:color="000000" w:fill="D9D9D9"/>
            <w:vAlign w:val="center"/>
          </w:tcPr>
          <w:p w14:paraId="2E047059">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债券名称</w:t>
            </w:r>
          </w:p>
        </w:tc>
        <w:tc>
          <w:tcPr>
            <w:tcW w:w="971" w:type="pct"/>
            <w:tcBorders>
              <w:top w:val="single" w:color="auto" w:sz="4" w:space="0"/>
              <w:left w:val="nil"/>
              <w:bottom w:val="single" w:color="auto" w:sz="4" w:space="0"/>
              <w:right w:val="single" w:color="auto" w:sz="4" w:space="0"/>
            </w:tcBorders>
            <w:shd w:val="clear" w:color="000000" w:fill="D9D9D9"/>
            <w:vAlign w:val="center"/>
          </w:tcPr>
          <w:p w14:paraId="2B14DA4F">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项目名称</w:t>
            </w:r>
          </w:p>
        </w:tc>
        <w:tc>
          <w:tcPr>
            <w:tcW w:w="519" w:type="pct"/>
            <w:tcBorders>
              <w:top w:val="single" w:color="auto" w:sz="4" w:space="0"/>
              <w:left w:val="nil"/>
              <w:bottom w:val="single" w:color="auto" w:sz="4" w:space="0"/>
              <w:right w:val="single" w:color="auto" w:sz="4" w:space="0"/>
            </w:tcBorders>
            <w:shd w:val="clear" w:color="000000" w:fill="D9D9D9"/>
            <w:vAlign w:val="center"/>
          </w:tcPr>
          <w:p w14:paraId="4A6E88E6">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原安排金额</w:t>
            </w:r>
          </w:p>
        </w:tc>
        <w:tc>
          <w:tcPr>
            <w:tcW w:w="519" w:type="pct"/>
            <w:tcBorders>
              <w:top w:val="single" w:color="auto" w:sz="4" w:space="0"/>
              <w:left w:val="nil"/>
              <w:bottom w:val="single" w:color="auto" w:sz="4" w:space="0"/>
              <w:right w:val="single" w:color="auto" w:sz="4" w:space="0"/>
            </w:tcBorders>
            <w:shd w:val="clear" w:color="000000" w:fill="D9D9D9"/>
            <w:vAlign w:val="center"/>
          </w:tcPr>
          <w:p w14:paraId="2356B282">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调减金额</w:t>
            </w:r>
          </w:p>
        </w:tc>
        <w:tc>
          <w:tcPr>
            <w:tcW w:w="586" w:type="pct"/>
            <w:tcBorders>
              <w:top w:val="single" w:color="auto" w:sz="4" w:space="0"/>
              <w:left w:val="nil"/>
              <w:bottom w:val="single" w:color="auto" w:sz="4" w:space="0"/>
              <w:right w:val="single" w:color="auto" w:sz="4" w:space="0"/>
            </w:tcBorders>
            <w:shd w:val="clear" w:color="000000" w:fill="D9D9D9"/>
            <w:vAlign w:val="center"/>
          </w:tcPr>
          <w:p w14:paraId="293D0966">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债券期限</w:t>
            </w:r>
          </w:p>
        </w:tc>
        <w:tc>
          <w:tcPr>
            <w:tcW w:w="388" w:type="pct"/>
            <w:tcBorders>
              <w:top w:val="single" w:color="auto" w:sz="4" w:space="0"/>
              <w:left w:val="nil"/>
              <w:bottom w:val="single" w:color="auto" w:sz="4" w:space="0"/>
              <w:right w:val="single" w:color="auto" w:sz="4" w:space="0"/>
            </w:tcBorders>
            <w:shd w:val="clear" w:color="000000" w:fill="D9D9D9"/>
            <w:vAlign w:val="center"/>
          </w:tcPr>
          <w:p w14:paraId="7185BE23">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发行利率</w:t>
            </w:r>
          </w:p>
        </w:tc>
        <w:tc>
          <w:tcPr>
            <w:tcW w:w="909" w:type="pct"/>
            <w:tcBorders>
              <w:top w:val="single" w:color="auto" w:sz="4" w:space="0"/>
              <w:left w:val="nil"/>
              <w:bottom w:val="single" w:color="auto" w:sz="4" w:space="0"/>
              <w:right w:val="single" w:color="auto" w:sz="4" w:space="0"/>
            </w:tcBorders>
            <w:shd w:val="clear" w:color="000000" w:fill="D9D9D9"/>
            <w:vAlign w:val="center"/>
          </w:tcPr>
          <w:p w14:paraId="5FF55237">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项目名称</w:t>
            </w:r>
          </w:p>
        </w:tc>
        <w:tc>
          <w:tcPr>
            <w:tcW w:w="458" w:type="pct"/>
            <w:tcBorders>
              <w:top w:val="single" w:color="auto" w:sz="4" w:space="0"/>
              <w:left w:val="nil"/>
              <w:bottom w:val="single" w:color="auto" w:sz="4" w:space="0"/>
              <w:right w:val="single" w:color="auto" w:sz="4" w:space="0"/>
            </w:tcBorders>
            <w:shd w:val="clear" w:color="000000" w:fill="D9D9D9"/>
            <w:vAlign w:val="center"/>
          </w:tcPr>
          <w:p w14:paraId="348EDD19">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调增金额</w:t>
            </w:r>
          </w:p>
        </w:tc>
      </w:tr>
      <w:tr w14:paraId="30F863F1">
        <w:tblPrEx>
          <w:tblCellMar>
            <w:top w:w="0" w:type="dxa"/>
            <w:left w:w="0" w:type="dxa"/>
            <w:bottom w:w="0" w:type="dxa"/>
            <w:right w:w="0" w:type="dxa"/>
          </w:tblCellMar>
        </w:tblPrEx>
        <w:trPr>
          <w:trHeight w:val="20" w:hRule="atLeast"/>
          <w:jc w:val="center"/>
        </w:trPr>
        <w:tc>
          <w:tcPr>
            <w:tcW w:w="649" w:type="pct"/>
            <w:tcBorders>
              <w:top w:val="nil"/>
              <w:left w:val="single" w:color="auto" w:sz="4" w:space="0"/>
              <w:bottom w:val="single" w:color="auto" w:sz="4" w:space="0"/>
              <w:right w:val="single" w:color="auto" w:sz="4" w:space="0"/>
            </w:tcBorders>
            <w:shd w:val="clear" w:color="auto" w:fill="auto"/>
            <w:noWrap/>
            <w:vAlign w:val="center"/>
          </w:tcPr>
          <w:p w14:paraId="659F6E2C">
            <w:pPr>
              <w:jc w:val="center"/>
              <w:rPr>
                <w:rFonts w:hint="eastAsia" w:cs="宋体" w:asciiTheme="minorEastAsia" w:hAnsiTheme="minorEastAsia" w:eastAsiaTheme="minorEastAsia"/>
                <w:color w:val="000000"/>
                <w:szCs w:val="20"/>
              </w:rPr>
            </w:pPr>
            <w:r>
              <w:rPr>
                <w:rFonts w:hint="eastAsia" w:ascii="宋体" w:hAnsi="宋体" w:eastAsia="宋体" w:cs="宋体"/>
                <w:color w:val="000000"/>
                <w:szCs w:val="20"/>
              </w:rPr>
              <w:t>2025年海南省政府专项债券（一期）</w:t>
            </w:r>
          </w:p>
        </w:tc>
        <w:tc>
          <w:tcPr>
            <w:tcW w:w="971" w:type="pct"/>
            <w:tcBorders>
              <w:top w:val="nil"/>
              <w:left w:val="nil"/>
              <w:bottom w:val="single" w:color="auto" w:sz="4" w:space="0"/>
              <w:right w:val="single" w:color="auto" w:sz="4" w:space="0"/>
            </w:tcBorders>
            <w:shd w:val="clear" w:color="auto" w:fill="auto"/>
            <w:noWrap/>
            <w:vAlign w:val="center"/>
          </w:tcPr>
          <w:p w14:paraId="7115C818">
            <w:pPr>
              <w:jc w:val="center"/>
              <w:rPr>
                <w:rFonts w:hint="eastAsia" w:cs="宋体" w:asciiTheme="minorEastAsia" w:hAnsiTheme="minorEastAsia" w:eastAsiaTheme="minorEastAsia"/>
                <w:color w:val="000000"/>
                <w:szCs w:val="20"/>
              </w:rPr>
            </w:pPr>
            <w:r>
              <w:rPr>
                <w:rFonts w:hint="eastAsia" w:ascii="宋体" w:hAnsi="宋体" w:eastAsia="宋体" w:cs="宋体"/>
                <w:color w:val="000000"/>
                <w:szCs w:val="20"/>
              </w:rPr>
              <w:t>江东新区车联网先导项目（省博物馆至江东新区展示中心段）</w:t>
            </w:r>
          </w:p>
        </w:tc>
        <w:tc>
          <w:tcPr>
            <w:tcW w:w="519" w:type="pct"/>
            <w:tcBorders>
              <w:top w:val="nil"/>
              <w:left w:val="nil"/>
              <w:bottom w:val="single" w:color="auto" w:sz="4" w:space="0"/>
              <w:right w:val="single" w:color="auto" w:sz="4" w:space="0"/>
            </w:tcBorders>
            <w:shd w:val="clear" w:color="auto" w:fill="auto"/>
            <w:noWrap/>
            <w:vAlign w:val="center"/>
          </w:tcPr>
          <w:p w14:paraId="28039A13">
            <w:pPr>
              <w:jc w:val="center"/>
              <w:rPr>
                <w:rFonts w:hint="eastAsia" w:cs="宋体" w:asciiTheme="minorEastAsia" w:hAnsiTheme="minorEastAsia" w:eastAsiaTheme="minorEastAsia"/>
                <w:color w:val="000000"/>
                <w:szCs w:val="20"/>
              </w:rPr>
            </w:pPr>
            <w:r>
              <w:rPr>
                <w:rFonts w:ascii="宋体" w:hAnsi="宋体" w:eastAsia="宋体" w:cs="宋体"/>
                <w:color w:val="000000"/>
                <w:szCs w:val="20"/>
              </w:rPr>
              <w:t>1,900.00</w:t>
            </w:r>
          </w:p>
        </w:tc>
        <w:tc>
          <w:tcPr>
            <w:tcW w:w="519" w:type="pct"/>
            <w:tcBorders>
              <w:top w:val="nil"/>
              <w:left w:val="nil"/>
              <w:bottom w:val="single" w:color="auto" w:sz="4" w:space="0"/>
              <w:right w:val="single" w:color="auto" w:sz="4" w:space="0"/>
            </w:tcBorders>
            <w:shd w:val="clear" w:color="auto" w:fill="auto"/>
            <w:noWrap/>
            <w:vAlign w:val="center"/>
          </w:tcPr>
          <w:p w14:paraId="028FC6DE">
            <w:pPr>
              <w:jc w:val="center"/>
              <w:rPr>
                <w:rFonts w:hint="eastAsia" w:cs="宋体" w:asciiTheme="minorEastAsia" w:hAnsiTheme="minorEastAsia" w:eastAsiaTheme="minorEastAsia"/>
                <w:color w:val="000000"/>
                <w:szCs w:val="20"/>
              </w:rPr>
            </w:pPr>
            <w:r>
              <w:rPr>
                <w:rFonts w:ascii="宋体" w:hAnsi="宋体" w:eastAsia="宋体" w:cs="宋体"/>
                <w:color w:val="000000"/>
                <w:szCs w:val="20"/>
              </w:rPr>
              <w:t>700.00</w:t>
            </w:r>
          </w:p>
        </w:tc>
        <w:tc>
          <w:tcPr>
            <w:tcW w:w="586" w:type="pct"/>
            <w:tcBorders>
              <w:top w:val="nil"/>
              <w:left w:val="nil"/>
              <w:bottom w:val="single" w:color="auto" w:sz="4" w:space="0"/>
              <w:right w:val="single" w:color="auto" w:sz="4" w:space="0"/>
            </w:tcBorders>
            <w:shd w:val="clear" w:color="auto" w:fill="auto"/>
            <w:noWrap/>
            <w:vAlign w:val="center"/>
          </w:tcPr>
          <w:p w14:paraId="2C32A1E2">
            <w:pPr>
              <w:jc w:val="center"/>
              <w:rPr>
                <w:rFonts w:hint="eastAsia" w:cs="宋体" w:asciiTheme="minorEastAsia" w:hAnsiTheme="minorEastAsia" w:eastAsiaTheme="minorEastAsia"/>
                <w:color w:val="000000"/>
                <w:szCs w:val="20"/>
              </w:rPr>
            </w:pPr>
            <w:r>
              <w:rPr>
                <w:rFonts w:hint="eastAsia" w:ascii="宋体" w:hAnsi="宋体" w:eastAsia="宋体" w:cs="宋体"/>
                <w:color w:val="000000"/>
                <w:szCs w:val="20"/>
              </w:rPr>
              <w:t>10年</w:t>
            </w:r>
          </w:p>
        </w:tc>
        <w:tc>
          <w:tcPr>
            <w:tcW w:w="388" w:type="pct"/>
            <w:tcBorders>
              <w:top w:val="nil"/>
              <w:left w:val="nil"/>
              <w:bottom w:val="single" w:color="auto" w:sz="4" w:space="0"/>
              <w:right w:val="single" w:color="auto" w:sz="4" w:space="0"/>
            </w:tcBorders>
            <w:shd w:val="clear" w:color="auto" w:fill="auto"/>
            <w:noWrap/>
            <w:vAlign w:val="center"/>
          </w:tcPr>
          <w:p w14:paraId="7370CEEC">
            <w:pPr>
              <w:jc w:val="center"/>
              <w:rPr>
                <w:rFonts w:hint="eastAsia" w:cs="宋体" w:asciiTheme="minorEastAsia" w:hAnsiTheme="minorEastAsia" w:eastAsiaTheme="minorEastAsia"/>
                <w:color w:val="000000"/>
                <w:szCs w:val="20"/>
              </w:rPr>
            </w:pPr>
            <w:r>
              <w:rPr>
                <w:rFonts w:hint="eastAsia" w:ascii="宋体" w:hAnsi="宋体" w:eastAsia="宋体" w:cs="宋体"/>
                <w:color w:val="000000"/>
                <w:szCs w:val="20"/>
              </w:rPr>
              <w:t>1.76%</w:t>
            </w:r>
          </w:p>
        </w:tc>
        <w:tc>
          <w:tcPr>
            <w:tcW w:w="909" w:type="pct"/>
            <w:tcBorders>
              <w:top w:val="nil"/>
              <w:left w:val="nil"/>
              <w:bottom w:val="single" w:color="auto" w:sz="4" w:space="0"/>
              <w:right w:val="single" w:color="auto" w:sz="4" w:space="0"/>
            </w:tcBorders>
            <w:shd w:val="clear" w:color="auto" w:fill="auto"/>
            <w:noWrap/>
            <w:vAlign w:val="center"/>
          </w:tcPr>
          <w:p w14:paraId="495A721F">
            <w:pPr>
              <w:jc w:val="center"/>
              <w:rPr>
                <w:rFonts w:hint="eastAsia" w:cs="宋体" w:asciiTheme="minorEastAsia" w:hAnsiTheme="minorEastAsia" w:eastAsiaTheme="minorEastAsia"/>
                <w:color w:val="000000"/>
                <w:szCs w:val="20"/>
              </w:rPr>
            </w:pPr>
            <w:r>
              <w:rPr>
                <w:rFonts w:hint="eastAsia" w:ascii="宋体" w:hAnsi="宋体" w:eastAsia="宋体" w:cs="宋体"/>
                <w:color w:val="000000"/>
                <w:szCs w:val="20"/>
              </w:rPr>
              <w:t>海口江东新区园区基础设施七期</w:t>
            </w:r>
          </w:p>
        </w:tc>
        <w:tc>
          <w:tcPr>
            <w:tcW w:w="458" w:type="pct"/>
            <w:tcBorders>
              <w:top w:val="nil"/>
              <w:left w:val="nil"/>
              <w:bottom w:val="single" w:color="auto" w:sz="4" w:space="0"/>
              <w:right w:val="single" w:color="auto" w:sz="4" w:space="0"/>
            </w:tcBorders>
            <w:shd w:val="clear" w:color="auto" w:fill="auto"/>
            <w:noWrap/>
            <w:vAlign w:val="center"/>
          </w:tcPr>
          <w:p w14:paraId="26526B11">
            <w:pPr>
              <w:jc w:val="center"/>
              <w:rPr>
                <w:rFonts w:hint="eastAsia" w:cs="宋体" w:asciiTheme="minorEastAsia" w:hAnsiTheme="minorEastAsia" w:eastAsiaTheme="minorEastAsia"/>
                <w:color w:val="000000"/>
                <w:szCs w:val="20"/>
              </w:rPr>
            </w:pPr>
            <w:r>
              <w:rPr>
                <w:rFonts w:ascii="宋体" w:hAnsi="宋体" w:eastAsia="宋体" w:cs="宋体"/>
                <w:color w:val="000000"/>
                <w:szCs w:val="20"/>
              </w:rPr>
              <w:t>700.00</w:t>
            </w:r>
          </w:p>
        </w:tc>
      </w:tr>
    </w:tbl>
    <w:p w14:paraId="3627A038">
      <w:pPr>
        <w:spacing w:before="120" w:after="12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sz w:val="24"/>
        </w:rPr>
        <w:t>为保障本项目合理融资需求，按照《新预算法》（2014年修订）、《国务院关于加强地方政府性债务管理的意见》（国发〔2014〕43号）、《关于做好2018年地方政府债券发行工作的意见》（财库〔2018〕61号）等文件精神，结合本项目建设计划和海口市2025年发债计划，海口市人民政府决定通过调增已发行地方政府专项债券实施本项目，以满足海口市基础设施建设的融资需求。</w:t>
      </w:r>
    </w:p>
    <w:p w14:paraId="7405D05A">
      <w:pPr>
        <w:pStyle w:val="32"/>
        <w:spacing w:line="360" w:lineRule="auto"/>
        <w:ind w:firstLine="482"/>
        <w:outlineLvl w:val="0"/>
        <w:rPr>
          <w:rFonts w:hint="eastAsia" w:asciiTheme="minorEastAsia" w:hAnsiTheme="minorEastAsia" w:eastAsiaTheme="minorEastAsia" w:cstheme="minorEastAsia"/>
          <w:b/>
          <w:sz w:val="24"/>
          <w:szCs w:val="24"/>
        </w:rPr>
      </w:pPr>
      <w:bookmarkStart w:id="1" w:name="_Toc190352111"/>
      <w:r>
        <w:rPr>
          <w:rFonts w:hint="eastAsia" w:asciiTheme="minorEastAsia" w:hAnsiTheme="minorEastAsia" w:eastAsiaTheme="minorEastAsia" w:cstheme="minorEastAsia"/>
          <w:b/>
          <w:sz w:val="24"/>
          <w:szCs w:val="24"/>
        </w:rPr>
        <w:t>二、地区情况</w:t>
      </w:r>
      <w:bookmarkEnd w:id="1"/>
    </w:p>
    <w:p w14:paraId="63D678F6">
      <w:pPr>
        <w:spacing w:before="120" w:after="120"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国家历史文化名城”、“全国文明城市”、“全国双拥模范城市”等荣誉称号，荣获住建部颁发的年度“中国人居环境奖”，2018年被联合国国际湿地公约组织评定为全球首批“国际湿地城市”。</w:t>
      </w:r>
    </w:p>
    <w:p w14:paraId="4EEEB248">
      <w:pPr>
        <w:spacing w:before="120" w:after="120"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地区财政情况详见下表：</w:t>
      </w:r>
    </w:p>
    <w:p w14:paraId="73D7C834">
      <w:pPr>
        <w:widowControl/>
        <w:ind w:firstLine="482"/>
        <w:jc w:val="center"/>
        <w:textAlignment w:val="center"/>
        <w:rPr>
          <w:rFonts w:hint="eastAsia" w:cs="宋体" w:asciiTheme="minorEastAsia" w:hAnsiTheme="minorEastAsia" w:eastAsiaTheme="minorEastAsia"/>
          <w:b/>
          <w:bCs/>
          <w:color w:val="000000"/>
          <w:kern w:val="0"/>
          <w:sz w:val="28"/>
          <w:szCs w:val="28"/>
          <w:lang w:bidi="ar"/>
        </w:rPr>
      </w:pPr>
      <w:r>
        <w:rPr>
          <w:rFonts w:hint="eastAsia" w:cs="宋体" w:asciiTheme="minorEastAsia" w:hAnsiTheme="minorEastAsia" w:eastAsiaTheme="minorEastAsia"/>
          <w:b/>
          <w:bCs/>
          <w:color w:val="000000"/>
          <w:kern w:val="0"/>
          <w:sz w:val="24"/>
          <w:szCs w:val="24"/>
          <w:lang w:bidi="ar"/>
        </w:rPr>
        <w:t>表2 2022—2024年海口市财政情况</w:t>
      </w:r>
    </w:p>
    <w:p w14:paraId="474BA1E9">
      <w:pPr>
        <w:ind w:firstLine="400"/>
        <w:jc w:val="right"/>
        <w:rPr>
          <w:rFonts w:hint="eastAsia" w:asciiTheme="minorEastAsia" w:hAnsiTheme="minorEastAsia" w:eastAsiaTheme="minorEastAsia"/>
          <w:sz w:val="20"/>
          <w:szCs w:val="20"/>
        </w:rPr>
      </w:pPr>
      <w:r>
        <w:rPr>
          <w:rFonts w:hint="eastAsia" w:cs="宋体" w:asciiTheme="minorEastAsia" w:hAnsiTheme="minorEastAsia" w:eastAsiaTheme="minorEastAsia"/>
          <w:color w:val="000000"/>
          <w:kern w:val="0"/>
          <w:sz w:val="20"/>
          <w:szCs w:val="20"/>
          <w:lang w:bidi="ar"/>
        </w:rPr>
        <w:t>单位：亿元</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9"/>
        <w:gridCol w:w="1296"/>
        <w:gridCol w:w="1296"/>
        <w:gridCol w:w="1295"/>
      </w:tblGrid>
      <w:tr w14:paraId="192D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2718" w:type="pct"/>
            <w:shd w:val="clear" w:color="auto" w:fill="D8D8D8" w:themeFill="background1" w:themeFillShade="D9"/>
            <w:vAlign w:val="center"/>
          </w:tcPr>
          <w:p w14:paraId="11A9AA09">
            <w:pPr>
              <w:adjustRightInd w:val="0"/>
              <w:snapToGrid w:val="0"/>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项目</w:t>
            </w:r>
          </w:p>
        </w:tc>
        <w:tc>
          <w:tcPr>
            <w:tcW w:w="761" w:type="pct"/>
            <w:shd w:val="clear" w:color="auto" w:fill="D8D8D8" w:themeFill="background1" w:themeFillShade="D9"/>
            <w:vAlign w:val="center"/>
          </w:tcPr>
          <w:p w14:paraId="7EF3FDBD">
            <w:pPr>
              <w:adjustRightInd w:val="0"/>
              <w:snapToGrid w:val="0"/>
              <w:jc w:val="center"/>
              <w:rPr>
                <w:rFonts w:hint="eastAsia" w:cs="Arial Unicode MS" w:asciiTheme="minorEastAsia" w:hAnsiTheme="minorEastAsia" w:eastAsiaTheme="minorEastAsia"/>
                <w:b/>
                <w:color w:val="000000"/>
                <w:szCs w:val="20"/>
              </w:rPr>
            </w:pPr>
            <w:r>
              <w:rPr>
                <w:rFonts w:cs="Arial Unicode MS" w:asciiTheme="minorEastAsia" w:hAnsiTheme="minorEastAsia" w:eastAsiaTheme="minorEastAsia"/>
                <w:b/>
                <w:color w:val="000000"/>
                <w:szCs w:val="20"/>
              </w:rPr>
              <w:t>2022年</w:t>
            </w:r>
          </w:p>
        </w:tc>
        <w:tc>
          <w:tcPr>
            <w:tcW w:w="761" w:type="pct"/>
            <w:shd w:val="clear" w:color="auto" w:fill="D8D8D8" w:themeFill="background1" w:themeFillShade="D9"/>
            <w:vAlign w:val="center"/>
          </w:tcPr>
          <w:p w14:paraId="58BB769B">
            <w:pPr>
              <w:adjustRightInd w:val="0"/>
              <w:snapToGrid w:val="0"/>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2023年</w:t>
            </w:r>
          </w:p>
        </w:tc>
        <w:tc>
          <w:tcPr>
            <w:tcW w:w="761" w:type="pct"/>
            <w:shd w:val="clear" w:color="auto" w:fill="D8D8D8" w:themeFill="background1" w:themeFillShade="D9"/>
            <w:vAlign w:val="center"/>
          </w:tcPr>
          <w:p w14:paraId="5AF6CE1C">
            <w:pPr>
              <w:adjustRightInd w:val="0"/>
              <w:snapToGrid w:val="0"/>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2024年</w:t>
            </w:r>
          </w:p>
        </w:tc>
      </w:tr>
      <w:tr w14:paraId="14EE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24F3C03B">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地区生产总值</w:t>
            </w:r>
          </w:p>
        </w:tc>
        <w:tc>
          <w:tcPr>
            <w:tcW w:w="761" w:type="pct"/>
            <w:vAlign w:val="center"/>
          </w:tcPr>
          <w:p w14:paraId="36434394">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2,134.80</w:t>
            </w:r>
          </w:p>
        </w:tc>
        <w:tc>
          <w:tcPr>
            <w:tcW w:w="761" w:type="pct"/>
            <w:vAlign w:val="center"/>
          </w:tcPr>
          <w:p w14:paraId="713417F4">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2,358.44</w:t>
            </w:r>
          </w:p>
        </w:tc>
        <w:tc>
          <w:tcPr>
            <w:tcW w:w="761" w:type="pct"/>
            <w:vAlign w:val="center"/>
          </w:tcPr>
          <w:p w14:paraId="0E2F93FD">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2,470.63</w:t>
            </w:r>
          </w:p>
        </w:tc>
      </w:tr>
      <w:tr w14:paraId="29F5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52FFB33E">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一般预算收入（一般公共预算收入）</w:t>
            </w:r>
          </w:p>
        </w:tc>
        <w:tc>
          <w:tcPr>
            <w:tcW w:w="761" w:type="pct"/>
            <w:vAlign w:val="center"/>
          </w:tcPr>
          <w:p w14:paraId="54407116">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204.82</w:t>
            </w:r>
          </w:p>
        </w:tc>
        <w:tc>
          <w:tcPr>
            <w:tcW w:w="761" w:type="pct"/>
            <w:vAlign w:val="center"/>
          </w:tcPr>
          <w:p w14:paraId="43291950">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266.87</w:t>
            </w:r>
          </w:p>
        </w:tc>
        <w:tc>
          <w:tcPr>
            <w:tcW w:w="761" w:type="pct"/>
            <w:vAlign w:val="center"/>
          </w:tcPr>
          <w:p w14:paraId="48A841EA">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258.26</w:t>
            </w:r>
          </w:p>
        </w:tc>
      </w:tr>
      <w:tr w14:paraId="4518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3242D15D">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一般预算收入（一般公共预算总收入）</w:t>
            </w:r>
          </w:p>
        </w:tc>
        <w:tc>
          <w:tcPr>
            <w:tcW w:w="761" w:type="pct"/>
            <w:vAlign w:val="center"/>
          </w:tcPr>
          <w:p w14:paraId="7390B308">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518.12</w:t>
            </w:r>
          </w:p>
        </w:tc>
        <w:tc>
          <w:tcPr>
            <w:tcW w:w="761" w:type="pct"/>
            <w:vAlign w:val="center"/>
          </w:tcPr>
          <w:p w14:paraId="5141CAA2">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578.08</w:t>
            </w:r>
          </w:p>
        </w:tc>
        <w:tc>
          <w:tcPr>
            <w:tcW w:w="761" w:type="pct"/>
            <w:vAlign w:val="center"/>
          </w:tcPr>
          <w:p w14:paraId="5055A059">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597.76</w:t>
            </w:r>
          </w:p>
        </w:tc>
      </w:tr>
      <w:tr w14:paraId="6285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20F0C58B">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政府性基金收入</w:t>
            </w:r>
          </w:p>
        </w:tc>
        <w:tc>
          <w:tcPr>
            <w:tcW w:w="761" w:type="pct"/>
            <w:vAlign w:val="center"/>
          </w:tcPr>
          <w:p w14:paraId="06CF7117">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192.34</w:t>
            </w:r>
          </w:p>
        </w:tc>
        <w:tc>
          <w:tcPr>
            <w:tcW w:w="761" w:type="pct"/>
            <w:vAlign w:val="center"/>
          </w:tcPr>
          <w:p w14:paraId="201C58C0">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140.39</w:t>
            </w:r>
          </w:p>
        </w:tc>
        <w:tc>
          <w:tcPr>
            <w:tcW w:w="761" w:type="pct"/>
            <w:vAlign w:val="center"/>
          </w:tcPr>
          <w:p w14:paraId="66816984">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120.43</w:t>
            </w:r>
          </w:p>
        </w:tc>
      </w:tr>
      <w:tr w14:paraId="58E5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777ADB74">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其中：国有土地出让收入</w:t>
            </w:r>
          </w:p>
        </w:tc>
        <w:tc>
          <w:tcPr>
            <w:tcW w:w="761" w:type="pct"/>
            <w:vAlign w:val="center"/>
          </w:tcPr>
          <w:p w14:paraId="5AC9F632">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176.60</w:t>
            </w:r>
          </w:p>
        </w:tc>
        <w:tc>
          <w:tcPr>
            <w:tcW w:w="761" w:type="pct"/>
            <w:vAlign w:val="center"/>
          </w:tcPr>
          <w:p w14:paraId="79496912">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124.67</w:t>
            </w:r>
          </w:p>
        </w:tc>
        <w:tc>
          <w:tcPr>
            <w:tcW w:w="761" w:type="pct"/>
            <w:vAlign w:val="center"/>
          </w:tcPr>
          <w:p w14:paraId="0C1BD052">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108.59</w:t>
            </w:r>
          </w:p>
        </w:tc>
      </w:tr>
      <w:tr w14:paraId="504B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41313C2A">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政府性基金支出</w:t>
            </w:r>
          </w:p>
        </w:tc>
        <w:tc>
          <w:tcPr>
            <w:tcW w:w="761" w:type="pct"/>
            <w:vAlign w:val="center"/>
          </w:tcPr>
          <w:p w14:paraId="417791C9">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310.21</w:t>
            </w:r>
          </w:p>
        </w:tc>
        <w:tc>
          <w:tcPr>
            <w:tcW w:w="761" w:type="pct"/>
            <w:vAlign w:val="center"/>
          </w:tcPr>
          <w:p w14:paraId="06FFF438">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264.76</w:t>
            </w:r>
          </w:p>
        </w:tc>
        <w:tc>
          <w:tcPr>
            <w:tcW w:w="761" w:type="pct"/>
            <w:vAlign w:val="center"/>
          </w:tcPr>
          <w:p w14:paraId="7A507B42">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294.07</w:t>
            </w:r>
          </w:p>
        </w:tc>
      </w:tr>
      <w:tr w14:paraId="3479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51BDAEA8">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其中：国有土地出让支出</w:t>
            </w:r>
          </w:p>
        </w:tc>
        <w:tc>
          <w:tcPr>
            <w:tcW w:w="761" w:type="pct"/>
            <w:vAlign w:val="center"/>
          </w:tcPr>
          <w:p w14:paraId="4EF4E8BB">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147.61</w:t>
            </w:r>
          </w:p>
        </w:tc>
        <w:tc>
          <w:tcPr>
            <w:tcW w:w="761" w:type="pct"/>
            <w:vAlign w:val="center"/>
          </w:tcPr>
          <w:p w14:paraId="35EEB455">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109.46</w:t>
            </w:r>
          </w:p>
        </w:tc>
        <w:tc>
          <w:tcPr>
            <w:tcW w:w="761" w:type="pct"/>
            <w:vAlign w:val="center"/>
          </w:tcPr>
          <w:p w14:paraId="05512076">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72.02</w:t>
            </w:r>
          </w:p>
        </w:tc>
      </w:tr>
      <w:tr w14:paraId="024A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66E68472">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地方债务限额</w:t>
            </w:r>
          </w:p>
        </w:tc>
        <w:tc>
          <w:tcPr>
            <w:tcW w:w="761" w:type="pct"/>
            <w:vAlign w:val="center"/>
          </w:tcPr>
          <w:p w14:paraId="5F7C670D">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752.70</w:t>
            </w:r>
          </w:p>
        </w:tc>
        <w:tc>
          <w:tcPr>
            <w:tcW w:w="761" w:type="pct"/>
            <w:vAlign w:val="center"/>
          </w:tcPr>
          <w:p w14:paraId="7826BF1F">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892.40</w:t>
            </w:r>
          </w:p>
        </w:tc>
        <w:tc>
          <w:tcPr>
            <w:tcW w:w="761" w:type="pct"/>
            <w:vAlign w:val="center"/>
          </w:tcPr>
          <w:p w14:paraId="363BD67A">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1161.30</w:t>
            </w:r>
          </w:p>
        </w:tc>
      </w:tr>
      <w:tr w14:paraId="4CD1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5D91BE9B">
            <w:pPr>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其中：一般债务限额</w:t>
            </w:r>
          </w:p>
        </w:tc>
        <w:tc>
          <w:tcPr>
            <w:tcW w:w="761" w:type="pct"/>
            <w:vAlign w:val="center"/>
          </w:tcPr>
          <w:p w14:paraId="5D20C556">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219.77</w:t>
            </w:r>
          </w:p>
        </w:tc>
        <w:tc>
          <w:tcPr>
            <w:tcW w:w="761" w:type="pct"/>
            <w:vAlign w:val="center"/>
          </w:tcPr>
          <w:p w14:paraId="4A70406A">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230.47</w:t>
            </w:r>
          </w:p>
        </w:tc>
        <w:tc>
          <w:tcPr>
            <w:tcW w:w="761" w:type="pct"/>
            <w:vAlign w:val="center"/>
          </w:tcPr>
          <w:p w14:paraId="150A0639">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235.24</w:t>
            </w:r>
          </w:p>
        </w:tc>
      </w:tr>
      <w:tr w14:paraId="0FA6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43C46A49">
            <w:pPr>
              <w:ind w:firstLine="630" w:firstLineChars="300"/>
              <w:textAlignment w:val="cente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lang w:bidi="ar"/>
              </w:rPr>
              <w:t>专项债务限额</w:t>
            </w:r>
          </w:p>
        </w:tc>
        <w:tc>
          <w:tcPr>
            <w:tcW w:w="761" w:type="pct"/>
            <w:vAlign w:val="center"/>
          </w:tcPr>
          <w:p w14:paraId="12344B70">
            <w:pPr>
              <w:jc w:val="center"/>
              <w:textAlignment w:val="center"/>
              <w:rPr>
                <w:rFonts w:hint="eastAsia" w:cs="宋体" w:asciiTheme="minorEastAsia" w:hAnsiTheme="minorEastAsia" w:eastAsiaTheme="minorEastAsia"/>
                <w:color w:val="000000"/>
                <w:szCs w:val="20"/>
              </w:rPr>
            </w:pPr>
            <w:r>
              <w:rPr>
                <w:rFonts w:cs="宋体" w:asciiTheme="minorEastAsia" w:hAnsiTheme="minorEastAsia" w:eastAsiaTheme="minorEastAsia"/>
                <w:color w:val="000000"/>
                <w:szCs w:val="20"/>
                <w:lang w:bidi="ar"/>
              </w:rPr>
              <w:t>532.93</w:t>
            </w:r>
          </w:p>
        </w:tc>
        <w:tc>
          <w:tcPr>
            <w:tcW w:w="761" w:type="pct"/>
            <w:vAlign w:val="center"/>
          </w:tcPr>
          <w:p w14:paraId="53A41FB3">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661.93</w:t>
            </w:r>
          </w:p>
        </w:tc>
        <w:tc>
          <w:tcPr>
            <w:tcW w:w="761" w:type="pct"/>
            <w:vAlign w:val="center"/>
          </w:tcPr>
          <w:p w14:paraId="423750CE">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926.07</w:t>
            </w:r>
          </w:p>
        </w:tc>
      </w:tr>
      <w:tr w14:paraId="7ED3C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405E67DD">
            <w:pP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地方债务余额</w:t>
            </w:r>
          </w:p>
        </w:tc>
        <w:tc>
          <w:tcPr>
            <w:tcW w:w="761" w:type="pct"/>
            <w:vAlign w:val="center"/>
          </w:tcPr>
          <w:p w14:paraId="7F92B89C">
            <w:pPr>
              <w:jc w:val="center"/>
              <w:textAlignment w:val="center"/>
              <w:rPr>
                <w:rFonts w:hint="eastAsia" w:cs="宋体" w:asciiTheme="minorEastAsia" w:hAnsiTheme="minorEastAsia" w:eastAsiaTheme="minorEastAsia"/>
                <w:color w:val="000000"/>
                <w:szCs w:val="20"/>
                <w:lang w:bidi="ar"/>
              </w:rPr>
            </w:pPr>
            <w:r>
              <w:rPr>
                <w:rFonts w:cs="宋体" w:asciiTheme="minorEastAsia" w:hAnsiTheme="minorEastAsia" w:eastAsiaTheme="minorEastAsia"/>
                <w:color w:val="000000"/>
                <w:szCs w:val="20"/>
                <w:lang w:bidi="ar"/>
              </w:rPr>
              <w:t>752.70</w:t>
            </w:r>
          </w:p>
        </w:tc>
        <w:tc>
          <w:tcPr>
            <w:tcW w:w="761" w:type="pct"/>
            <w:vAlign w:val="center"/>
          </w:tcPr>
          <w:p w14:paraId="6D8FFF40">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889.45</w:t>
            </w:r>
          </w:p>
        </w:tc>
        <w:tc>
          <w:tcPr>
            <w:tcW w:w="761" w:type="pct"/>
            <w:vAlign w:val="center"/>
          </w:tcPr>
          <w:p w14:paraId="1D83B03C">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1,141.70</w:t>
            </w:r>
          </w:p>
        </w:tc>
      </w:tr>
      <w:tr w14:paraId="73FB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7C333B8D">
            <w:pP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其中：一般债务余额</w:t>
            </w:r>
          </w:p>
        </w:tc>
        <w:tc>
          <w:tcPr>
            <w:tcW w:w="761" w:type="pct"/>
            <w:vAlign w:val="center"/>
          </w:tcPr>
          <w:p w14:paraId="4A250A8F">
            <w:pPr>
              <w:jc w:val="center"/>
              <w:textAlignment w:val="center"/>
              <w:rPr>
                <w:rFonts w:hint="eastAsia" w:cs="宋体" w:asciiTheme="minorEastAsia" w:hAnsiTheme="minorEastAsia" w:eastAsiaTheme="minorEastAsia"/>
                <w:color w:val="000000"/>
                <w:szCs w:val="20"/>
                <w:lang w:bidi="ar"/>
              </w:rPr>
            </w:pPr>
            <w:r>
              <w:rPr>
                <w:rFonts w:cs="宋体" w:asciiTheme="minorEastAsia" w:hAnsiTheme="minorEastAsia" w:eastAsiaTheme="minorEastAsia"/>
                <w:color w:val="000000"/>
                <w:szCs w:val="20"/>
                <w:lang w:bidi="ar"/>
              </w:rPr>
              <w:t>219.77</w:t>
            </w:r>
          </w:p>
        </w:tc>
        <w:tc>
          <w:tcPr>
            <w:tcW w:w="761" w:type="pct"/>
            <w:vAlign w:val="center"/>
          </w:tcPr>
          <w:p w14:paraId="679BE263">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228.11</w:t>
            </w:r>
          </w:p>
        </w:tc>
        <w:tc>
          <w:tcPr>
            <w:tcW w:w="761" w:type="pct"/>
            <w:vAlign w:val="center"/>
          </w:tcPr>
          <w:p w14:paraId="7D4F61A9">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227.33</w:t>
            </w:r>
          </w:p>
        </w:tc>
      </w:tr>
      <w:tr w14:paraId="2B42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18" w:type="pct"/>
            <w:vAlign w:val="center"/>
          </w:tcPr>
          <w:p w14:paraId="365C6C4B">
            <w:pPr>
              <w:ind w:firstLine="630" w:firstLineChars="300"/>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专项债务余额</w:t>
            </w:r>
          </w:p>
        </w:tc>
        <w:tc>
          <w:tcPr>
            <w:tcW w:w="761" w:type="pct"/>
            <w:vAlign w:val="center"/>
          </w:tcPr>
          <w:p w14:paraId="1C772BC4">
            <w:pPr>
              <w:jc w:val="center"/>
              <w:textAlignment w:val="center"/>
              <w:rPr>
                <w:rFonts w:hint="eastAsia" w:cs="宋体" w:asciiTheme="minorEastAsia" w:hAnsiTheme="minorEastAsia" w:eastAsiaTheme="minorEastAsia"/>
                <w:color w:val="000000"/>
                <w:szCs w:val="20"/>
                <w:lang w:bidi="ar"/>
              </w:rPr>
            </w:pPr>
            <w:r>
              <w:rPr>
                <w:rFonts w:cs="宋体" w:asciiTheme="minorEastAsia" w:hAnsiTheme="minorEastAsia" w:eastAsiaTheme="minorEastAsia"/>
                <w:color w:val="000000"/>
                <w:szCs w:val="20"/>
                <w:lang w:bidi="ar"/>
              </w:rPr>
              <w:t>532.93</w:t>
            </w:r>
          </w:p>
        </w:tc>
        <w:tc>
          <w:tcPr>
            <w:tcW w:w="761" w:type="pct"/>
            <w:vAlign w:val="center"/>
          </w:tcPr>
          <w:p w14:paraId="2CC44BEB">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661.34</w:t>
            </w:r>
          </w:p>
        </w:tc>
        <w:tc>
          <w:tcPr>
            <w:tcW w:w="761" w:type="pct"/>
            <w:vAlign w:val="center"/>
          </w:tcPr>
          <w:p w14:paraId="07770002">
            <w:pPr>
              <w:jc w:val="center"/>
              <w:textAlignment w:val="center"/>
              <w:rPr>
                <w:rFonts w:hint="eastAsia" w:cs="宋体" w:asciiTheme="minorEastAsia" w:hAnsiTheme="minorEastAsia" w:eastAsiaTheme="minorEastAsia"/>
                <w:color w:val="000000"/>
                <w:szCs w:val="20"/>
                <w:lang w:bidi="ar"/>
              </w:rPr>
            </w:pPr>
            <w:r>
              <w:rPr>
                <w:rFonts w:hint="eastAsia" w:cs="宋体" w:asciiTheme="minorEastAsia" w:hAnsiTheme="minorEastAsia" w:eastAsiaTheme="minorEastAsia"/>
                <w:color w:val="000000"/>
                <w:szCs w:val="20"/>
                <w:lang w:bidi="ar"/>
              </w:rPr>
              <w:t>914.37</w:t>
            </w:r>
          </w:p>
        </w:tc>
      </w:tr>
    </w:tbl>
    <w:p w14:paraId="50CE0443">
      <w:pPr>
        <w:spacing w:line="360" w:lineRule="auto"/>
        <w:ind w:firstLine="420" w:firstLineChars="200"/>
        <w:rPr>
          <w:rFonts w:hint="eastAsia" w:cs="宋体" w:asciiTheme="minorEastAsia" w:hAnsiTheme="minorEastAsia" w:eastAsiaTheme="minorEastAsia"/>
          <w:b/>
          <w:szCs w:val="21"/>
        </w:rPr>
      </w:pPr>
      <w:r>
        <w:rPr>
          <w:rFonts w:hint="eastAsia" w:cs="宋体" w:asciiTheme="minorEastAsia" w:hAnsiTheme="minorEastAsia" w:eastAsiaTheme="minorEastAsia"/>
          <w:color w:val="000000"/>
          <w:kern w:val="0"/>
          <w:szCs w:val="21"/>
        </w:rPr>
        <w:t>注：以上数据来源于海口市财政局。</w:t>
      </w:r>
    </w:p>
    <w:p w14:paraId="17262497">
      <w:pPr>
        <w:pStyle w:val="32"/>
        <w:spacing w:before="166" w:beforeLines="50" w:line="360" w:lineRule="auto"/>
        <w:ind w:firstLine="482"/>
        <w:outlineLvl w:val="0"/>
        <w:rPr>
          <w:rFonts w:hint="eastAsia" w:asciiTheme="minorEastAsia" w:hAnsiTheme="minorEastAsia" w:eastAsiaTheme="minorEastAsia" w:cstheme="minorEastAsia"/>
          <w:b/>
          <w:sz w:val="24"/>
          <w:szCs w:val="24"/>
        </w:rPr>
      </w:pPr>
      <w:bookmarkStart w:id="2" w:name="_Toc190352112"/>
      <w:r>
        <w:rPr>
          <w:rFonts w:hint="eastAsia" w:asciiTheme="minorEastAsia" w:hAnsiTheme="minorEastAsia" w:eastAsiaTheme="minorEastAsia" w:cstheme="minorEastAsia"/>
          <w:b/>
          <w:sz w:val="24"/>
          <w:szCs w:val="24"/>
        </w:rPr>
        <w:t>三、项目概述</w:t>
      </w:r>
      <w:bookmarkEnd w:id="2"/>
    </w:p>
    <w:p w14:paraId="06A5D625">
      <w:pPr>
        <w:pStyle w:val="32"/>
        <w:spacing w:before="166" w:beforeLines="50" w:line="360" w:lineRule="auto"/>
        <w:ind w:firstLine="482"/>
        <w:outlineLvl w:val="0"/>
        <w:rPr>
          <w:rFonts w:hint="eastAsia" w:asciiTheme="minorEastAsia" w:hAnsiTheme="minorEastAsia" w:eastAsiaTheme="minorEastAsia" w:cstheme="minorEastAsia"/>
          <w:b/>
          <w:sz w:val="24"/>
          <w:szCs w:val="24"/>
        </w:rPr>
      </w:pPr>
      <w:bookmarkStart w:id="3" w:name="_Toc190352113"/>
      <w:r>
        <w:rPr>
          <w:rFonts w:hint="eastAsia" w:asciiTheme="minorEastAsia" w:hAnsiTheme="minorEastAsia" w:eastAsiaTheme="minorEastAsia" w:cstheme="minorEastAsia"/>
          <w:b/>
          <w:sz w:val="24"/>
          <w:szCs w:val="24"/>
        </w:rPr>
        <w:t>（一）项目基本情况</w:t>
      </w:r>
      <w:bookmarkEnd w:id="3"/>
    </w:p>
    <w:p w14:paraId="0B458037">
      <w:pPr>
        <w:spacing w:line="360" w:lineRule="auto"/>
        <w:ind w:firstLine="480" w:firstLineChars="200"/>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海口江东新区园区基础设施七期项目建设符合国家政策支持方向，并有利于海口市基础设施建设的发展，项目基本情况如下：</w:t>
      </w:r>
    </w:p>
    <w:p w14:paraId="2E1C36D2">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项目名称：海口江东新区园区基础设施七期</w:t>
      </w:r>
    </w:p>
    <w:p w14:paraId="05D18613">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项目行业主管部门：海口江东新区管理局</w:t>
      </w:r>
    </w:p>
    <w:p w14:paraId="7A1933BD">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项目业主：海口市路桥建设投资有限公司</w:t>
      </w:r>
    </w:p>
    <w:p w14:paraId="14D9A4C0">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项目建设期：2025年6月-2026年12月</w:t>
      </w:r>
    </w:p>
    <w:p w14:paraId="7838C3B1">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建设内容：共包含四个子项七条道路：子项一春晖园安置社区配套基础设施功能完善工程(里雍街)，位于文化交往组团；子项二海口市职工活动中心配套基础设施功能完善工程(贸文一路、芙海东路)，位于高教科研组团，子项三江东新区文化交往组团市政基础设施功能完善工程(颜城路、双宅巷)位于，文化交往组团；子项四高品质饮用水厂配套基础设施功能完善工程(水厂一路、水厂二路)，位于离岸创新创业组团。该项目共包括7条市政道路，总长度1486.441m。其中城市次干路1条，为颜城路，长度327.498m；城市支路6条，分别为里雍街：双宅巷、贸文一路、芙海东路、水厂一路、水厂二路，总长度1158.943m。主要建设内容包括道路、交通、给水、排水、管廊照明、电力等工程;预留通讯、燃气管位。</w:t>
      </w:r>
    </w:p>
    <w:p w14:paraId="33F7B7AB">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项目总体施工进度：海口江东新区园区基础设施七期已完成初步设计及概算审批。</w:t>
      </w:r>
    </w:p>
    <w:p w14:paraId="6FF9282E">
      <w:pPr>
        <w:pStyle w:val="32"/>
        <w:spacing w:line="360" w:lineRule="auto"/>
        <w:ind w:firstLine="482"/>
        <w:outlineLvl w:val="0"/>
        <w:rPr>
          <w:rFonts w:hint="eastAsia" w:ascii="宋体" w:hAnsi="宋体" w:eastAsia="宋体" w:cs="宋体"/>
          <w:b/>
          <w:sz w:val="24"/>
          <w:szCs w:val="24"/>
        </w:rPr>
      </w:pPr>
      <w:bookmarkStart w:id="4" w:name="_Toc5427"/>
      <w:r>
        <w:rPr>
          <w:rFonts w:hint="eastAsia" w:ascii="宋体" w:hAnsi="宋体" w:eastAsia="宋体" w:cs="宋体"/>
          <w:b/>
          <w:sz w:val="24"/>
          <w:szCs w:val="24"/>
        </w:rPr>
        <w:t>（二）项目相关批复</w:t>
      </w:r>
      <w:bookmarkEnd w:id="4"/>
    </w:p>
    <w:p w14:paraId="43A61458">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2025年1月10日，取得《海口江东新区管理局关于同意海口江东新区园区基础设施七期可行性研究报告的复函》（海江东审〔2025〕1号），同意建设海口江东新区园区基础设施七期。项目估算总投资为7,785.27万元，其中工程费用4,066.71万元，工程建设其他费3,261.76万元(含征地拆迁费2,629.70万元，该项费用以辖区政府批复为准)，预备费375.90万元，建设单位管理费80.90万元。</w:t>
      </w:r>
    </w:p>
    <w:p w14:paraId="52C89CEF">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2025年5月22日，取得《海口江东新区管理局关于同意海口江东新区园区基础设施七期初步设计及概算的函》（海江东审〔2025〕54号），原则同意海口江东新区园区基础设施七期初步设计方案，同意按此方案开展施工图设计。概算总投资6,599.69万元，其中建安工程费3,919.07万元，工程建设其他费用2,382.16万元(含暂估征地拆迁1,838.02万元，最终以辖区政府批复为准)，基本预备费223.16万元，建设单位管理费75.30万元。</w:t>
      </w:r>
    </w:p>
    <w:p w14:paraId="124B7013">
      <w:pPr>
        <w:pStyle w:val="32"/>
        <w:spacing w:before="166" w:beforeLines="50" w:line="360" w:lineRule="auto"/>
        <w:ind w:firstLine="482"/>
        <w:outlineLvl w:val="0"/>
        <w:rPr>
          <w:rFonts w:hint="eastAsia" w:asciiTheme="minorEastAsia" w:hAnsiTheme="minorEastAsia" w:eastAsiaTheme="minorEastAsia" w:cstheme="minorEastAsia"/>
          <w:b/>
          <w:sz w:val="24"/>
          <w:szCs w:val="24"/>
        </w:rPr>
      </w:pPr>
      <w:bookmarkStart w:id="5" w:name="_Toc190352114"/>
      <w:r>
        <w:rPr>
          <w:rFonts w:hint="eastAsia" w:asciiTheme="minorEastAsia" w:hAnsiTheme="minorEastAsia" w:eastAsiaTheme="minorEastAsia" w:cstheme="minorEastAsia"/>
          <w:b/>
          <w:sz w:val="24"/>
          <w:szCs w:val="24"/>
        </w:rPr>
        <w:t>（三）事前绩效评估情况</w:t>
      </w:r>
      <w:bookmarkEnd w:id="5"/>
    </w:p>
    <w:p w14:paraId="74A46664">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此次申请专项债券资金之前，本单位对该项目进行了事前绩效评估，主要从以下方面展开论证：</w:t>
      </w:r>
    </w:p>
    <w:p w14:paraId="3B4B20CC">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1、项目实施的必要性、公益性、收益性</w:t>
      </w:r>
    </w:p>
    <w:p w14:paraId="7E2AA257">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（1）项目建设将进一步完善区域基础设施的建设，为沿线土地资源使用开发提供保障</w:t>
      </w:r>
    </w:p>
    <w:p w14:paraId="265C24D0">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海口市江东新区按规划所制定的目标正加快各区域组团的建设。随着区域空间的逐步拓展和经济活力的逐步增强，需要配套完善基础设施。而交通建设对土地利用有导向作用，土地开发利用，必须以道路的修建为基础。本项目的实施是周边土地资源使用开发的前提和必要条件,有利于推进所在区域的城市化进程，多方式影响发展区域经济，带动周边经济的发展，加速区域的社会发展，并对片区内经济发展和人民生活改善程度起到了积极的促进作用。</w:t>
      </w:r>
    </w:p>
    <w:p w14:paraId="611526EB">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（2）项目建设是海口市城市化发展的</w:t>
      </w:r>
      <w:bookmarkStart w:id="95" w:name="_GoBack"/>
      <w:bookmarkEnd w:id="95"/>
      <w:r>
        <w:rPr>
          <w:rFonts w:hint="eastAsia" w:cs="宋体" w:asciiTheme="minorEastAsia" w:hAnsiTheme="minorEastAsia" w:eastAsiaTheme="minorEastAsia"/>
          <w:sz w:val="24"/>
          <w:szCs w:val="24"/>
        </w:rPr>
        <w:t>需要</w:t>
      </w:r>
    </w:p>
    <w:p w14:paraId="0CDB7CDF">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随着城市化水平的不断提高，海口市在努力形成一个能促进经济繁荣的良好城市格局和空间发展态势的同时，城市经济发展对加强人居环境的开发建设提出了更高的要求。</w:t>
      </w:r>
    </w:p>
    <w:p w14:paraId="2F424FD9">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良好的居住环境离不开道路等基础设施的建设。城市基础设施的建设将直接服务于经济建设。随着经济持续发展，环境在经济发展中的地位越来越突出和重要，经济竞争一定程度上即是发展环境的竞争，良好的城市氛围，便捷快速的城市交通将为海口市提供最基本的经济建设平台。不断加快基础设施建设，改善投资环境，改善生活人居环境，营造良好的、更富吸引力、更具竞争力的发展环境，是加快经济社会发展的重要工作。</w:t>
      </w:r>
    </w:p>
    <w:p w14:paraId="58A30490">
      <w:pPr>
        <w:adjustRightInd w:val="0"/>
        <w:snapToGrid w:val="0"/>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4C292114">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2、项目收益性</w:t>
      </w:r>
    </w:p>
    <w:p w14:paraId="3A6A2119">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本项目收入来源为项目土地出让收入、广告牌收入、停车位收入，相对稳定且来源可靠。项目在债券存续期收益性较好。</w:t>
      </w:r>
    </w:p>
    <w:p w14:paraId="64E14FD3">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3、项目收益性</w:t>
      </w:r>
    </w:p>
    <w:p w14:paraId="488548CC">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本项目的建设可以提高广大人民群众的生活水平、优化生活环境，提高海口市经济水平的发展，加快海口市的建设，是提升海口市构建和谐社会的重要内容，是一项为民、惠民、利民的工程。</w:t>
      </w:r>
    </w:p>
    <w:p w14:paraId="340F731F">
      <w:pPr>
        <w:adjustRightInd w:val="0"/>
        <w:snapToGrid w:val="0"/>
        <w:spacing w:line="360" w:lineRule="auto"/>
        <w:ind w:firstLine="482" w:firstLineChars="200"/>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4、项目建设投资合规性与成熟</w:t>
      </w:r>
      <w:r>
        <w:rPr>
          <w:rFonts w:hint="eastAsia" w:asciiTheme="minorEastAsia" w:hAnsiTheme="minorEastAsia" w:eastAsiaTheme="minorEastAsia" w:cstheme="minorEastAsia"/>
          <w:sz w:val="24"/>
          <w:szCs w:val="24"/>
        </w:rPr>
        <w:t>度</w:t>
      </w:r>
    </w:p>
    <w:p w14:paraId="504AD0C1">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本项目已取得政府相关批复，项目建设投资具备合规性。</w:t>
      </w:r>
    </w:p>
    <w:p w14:paraId="623A349D">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项目技术经济合理，有较好的可实施性，具备在要求时限内的开工条件且能够形成实物工作量，项目成熟度较高。</w:t>
      </w:r>
    </w:p>
    <w:p w14:paraId="66C0C022">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5、项目资金来源和到位可行性</w:t>
      </w:r>
    </w:p>
    <w:p w14:paraId="73B60694">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本项目的主要资金来源于政府投资，包括申请地方政府专项债券资金等，有较好的可行性。</w:t>
      </w:r>
    </w:p>
    <w:p w14:paraId="352D63E1">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6、项目收入、成本、收益预测的合理性</w:t>
      </w:r>
    </w:p>
    <w:p w14:paraId="7AB6D9C4">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收入来源为土地出让收入、广告牌收入、停车位收入。债券存续期内，本项目本息覆盖倍数可达1.20以上。综上，在满足假设条件的前提下，能够满足资金筹措充足性的要求。项目收入、成本、收益情况均根据充分依据测算得出，较为合理。</w:t>
      </w:r>
    </w:p>
    <w:p w14:paraId="31ABBCA5">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7、债券资金需求合理性</w:t>
      </w:r>
    </w:p>
    <w:p w14:paraId="1DD3455E">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保障本项目合理融资需求，按照《预算法》(2014年修订)、《国务院关于加强地方政府性债务管理的意见》(国发〔2014〕43号)、《关于做好2018年地方政府债券发行工作的意见》(财库〔2018〕61号)、《关于印发&lt;地方政府专项债券用途调整操作指引&gt;的通知》（财预〔2021〕110号）、《地方政府专项债券用途调整操作指引》等文件精神，海南省人民政府决定通过调整发行地方政府专项债券实施本项目，本次拟调增700.00万元，以满足项目融资需求。基于财政部对地方政府发行专项债券的要求，本项目通过发行专项债券的方式进行融资以完成资金筹措，并以项目收入所对应的充足、稳定的现金流作为还本付息的资金来源。</w:t>
      </w:r>
    </w:p>
    <w:p w14:paraId="439C7F4C">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通过对本项目收益与融资自求平衡情况的分析，本期专项债券存续期内未发现无法满足专项债券还本付息要求的情况。</w:t>
      </w:r>
    </w:p>
    <w:p w14:paraId="7D446EBA">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8、项目偿债计划可行性以及潜在影响项目收益和融资平衡结果的风险评估</w:t>
      </w:r>
    </w:p>
    <w:p w14:paraId="6AAB475E">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本项目偿付资金来源为土地出让收入、广告牌收入、停车位收入。项目在债券存续期间不存在任何资金缺口，偿债计划符合项目实际情况，偿债计划可行。</w:t>
      </w:r>
    </w:p>
    <w:p w14:paraId="02E196F5">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券偿付资金主要来自土地出让收入、广告牌收入、停车位收入，偿债风险主要来源于项目自身收入变动导致的市场风险。结合海南经济发展及历年同类型项目综合情况来看，项目自身收入相对稳定，相对风险可控；另一方面，制定风险应对预案，一旦出现不利变化，明确处理和保障措施，切实防范和化解财政金融风险。</w:t>
      </w:r>
    </w:p>
    <w:p w14:paraId="7F8B5344">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9、绩效目标合理性</w:t>
      </w:r>
    </w:p>
    <w:p w14:paraId="6574A3EF">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36BC8F96">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综上，本项目经事前绩效评估，已具备申请专项债券资金支持的必要性和可行性。</w:t>
      </w:r>
    </w:p>
    <w:p w14:paraId="319AEFF5">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调整发行地方政府专项债券实施本项目，以满足海口市基础设施建设的融资需求。</w:t>
      </w:r>
    </w:p>
    <w:p w14:paraId="21414DF6">
      <w:pPr>
        <w:pStyle w:val="32"/>
        <w:spacing w:line="360" w:lineRule="auto"/>
        <w:ind w:firstLine="482"/>
        <w:outlineLvl w:val="0"/>
        <w:rPr>
          <w:rFonts w:hint="eastAsia" w:asciiTheme="minorEastAsia" w:hAnsiTheme="minorEastAsia" w:eastAsiaTheme="minorEastAsia" w:cstheme="minorEastAsia"/>
          <w:b/>
          <w:sz w:val="24"/>
          <w:szCs w:val="24"/>
        </w:rPr>
      </w:pPr>
      <w:bookmarkStart w:id="6" w:name="_Toc190352115"/>
      <w:r>
        <w:rPr>
          <w:rFonts w:hint="eastAsia" w:asciiTheme="minorEastAsia" w:hAnsiTheme="minorEastAsia" w:eastAsiaTheme="minorEastAsia" w:cstheme="minorEastAsia"/>
          <w:b/>
          <w:sz w:val="24"/>
          <w:szCs w:val="24"/>
        </w:rPr>
        <w:t>四、项目平衡实施方案</w:t>
      </w:r>
      <w:bookmarkEnd w:id="6"/>
    </w:p>
    <w:p w14:paraId="005FD1E6">
      <w:pPr>
        <w:spacing w:line="360" w:lineRule="auto"/>
        <w:ind w:firstLine="482" w:firstLineChars="200"/>
        <w:outlineLvl w:val="1"/>
        <w:rPr>
          <w:rFonts w:hint="eastAsia" w:cs="Arial" w:asciiTheme="minorEastAsia" w:hAnsiTheme="minorEastAsia" w:eastAsiaTheme="minorEastAsia"/>
          <w:b/>
          <w:sz w:val="24"/>
          <w:szCs w:val="24"/>
        </w:rPr>
      </w:pPr>
      <w:bookmarkStart w:id="7" w:name="_Toc124517200"/>
      <w:bookmarkStart w:id="8" w:name="_Toc144992463"/>
      <w:r>
        <w:rPr>
          <w:rFonts w:hint="eastAsia" w:cs="Arial" w:asciiTheme="minorEastAsia" w:hAnsiTheme="minorEastAsia" w:eastAsiaTheme="minorEastAsia"/>
          <w:b/>
          <w:sz w:val="24"/>
          <w:szCs w:val="24"/>
        </w:rPr>
        <w:t>1.资金充足性</w:t>
      </w:r>
      <w:bookmarkEnd w:id="7"/>
      <w:bookmarkEnd w:id="8"/>
    </w:p>
    <w:p w14:paraId="6948B270">
      <w:pPr>
        <w:spacing w:line="360" w:lineRule="auto"/>
        <w:ind w:firstLine="480" w:firstLineChars="200"/>
        <w:jc w:val="left"/>
        <w:rPr>
          <w:rFonts w:hint="eastAsia" w:cs="Arial" w:asciiTheme="minorEastAsia" w:hAnsiTheme="minorEastAsia" w:eastAsiaTheme="minorEastAsia"/>
          <w:sz w:val="24"/>
          <w:szCs w:val="24"/>
        </w:rPr>
      </w:pPr>
      <w:r>
        <w:rPr>
          <w:rFonts w:hint="eastAsia" w:ascii="宋体" w:hAnsi="宋体" w:eastAsia="宋体"/>
          <w:sz w:val="24"/>
          <w:szCs w:val="24"/>
        </w:rPr>
        <w:t>本期计划调增专项债券</w:t>
      </w:r>
      <w:r>
        <w:rPr>
          <w:rFonts w:hint="eastAsia" w:cs="Arial" w:asciiTheme="minorEastAsia" w:hAnsiTheme="minorEastAsia" w:eastAsiaTheme="minorEastAsia"/>
          <w:sz w:val="24"/>
          <w:szCs w:val="24"/>
        </w:rPr>
        <w:t>700.00万元。本息覆盖倍数可达到1.28，根据项目收益与融资平衡分析结果显示，本债券存续期内还本付息资金充足。</w:t>
      </w:r>
    </w:p>
    <w:p w14:paraId="3C74DAC5">
      <w:pPr>
        <w:spacing w:line="360" w:lineRule="auto"/>
        <w:ind w:firstLine="480" w:firstLineChars="200"/>
        <w:jc w:val="left"/>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详见表3：</w:t>
      </w:r>
    </w:p>
    <w:p w14:paraId="486CEB28">
      <w:pPr>
        <w:ind w:firstLine="482" w:firstLineChars="200"/>
        <w:jc w:val="center"/>
        <w:rPr>
          <w:rFonts w:hint="eastAsia" w:cs="Arial" w:asciiTheme="minorEastAsia" w:hAnsiTheme="minorEastAsia" w:eastAsiaTheme="minorEastAsia"/>
          <w:b/>
          <w:sz w:val="24"/>
          <w:szCs w:val="24"/>
        </w:rPr>
      </w:pPr>
      <w:r>
        <w:rPr>
          <w:rFonts w:hint="eastAsia" w:cs="Arial" w:asciiTheme="minorEastAsia" w:hAnsiTheme="minorEastAsia" w:eastAsiaTheme="minorEastAsia"/>
          <w:b/>
          <w:sz w:val="24"/>
          <w:szCs w:val="24"/>
        </w:rPr>
        <w:t>表3海口江东新区园区基础设施七期本息覆盖倍数表</w:t>
      </w:r>
    </w:p>
    <w:p w14:paraId="4D47EDE1">
      <w:pPr>
        <w:ind w:right="-907" w:rightChars="-432" w:firstLine="360" w:firstLineChars="200"/>
        <w:jc w:val="right"/>
        <w:rPr>
          <w:rFonts w:hint="eastAsia" w:cs="Arial" w:asciiTheme="minorEastAsia" w:hAnsiTheme="minorEastAsia" w:eastAsiaTheme="minorEastAsia"/>
          <w:sz w:val="18"/>
          <w:szCs w:val="18"/>
        </w:rPr>
      </w:pPr>
      <w:r>
        <w:rPr>
          <w:rFonts w:hint="eastAsia" w:cs="Arial" w:asciiTheme="minorEastAsia" w:hAnsiTheme="minorEastAsia" w:eastAsiaTheme="minorEastAsia"/>
          <w:sz w:val="18"/>
          <w:szCs w:val="18"/>
        </w:rPr>
        <w:t>单位：人民币万元</w:t>
      </w:r>
    </w:p>
    <w:tbl>
      <w:tblPr>
        <w:tblStyle w:val="21"/>
        <w:tblW w:w="62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17"/>
        <w:gridCol w:w="1216"/>
        <w:gridCol w:w="1216"/>
        <w:gridCol w:w="1216"/>
        <w:gridCol w:w="1216"/>
        <w:gridCol w:w="1214"/>
        <w:gridCol w:w="1214"/>
        <w:gridCol w:w="1210"/>
      </w:tblGrid>
      <w:tr w14:paraId="381F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959" w:type="pct"/>
            <w:shd w:val="clear" w:color="auto" w:fill="D8D8D8" w:themeFill="background1" w:themeFillShade="D9"/>
            <w:noWrap/>
            <w:vAlign w:val="center"/>
          </w:tcPr>
          <w:p w14:paraId="06D0542A">
            <w:pPr>
              <w:jc w:val="center"/>
              <w:rPr>
                <w:rFonts w:hint="eastAsia" w:cs="Arial Unicode MS" w:asciiTheme="minorEastAsia" w:hAnsiTheme="minorEastAsia" w:eastAsiaTheme="minorEastAsia"/>
                <w:b/>
                <w:color w:val="000000"/>
                <w:szCs w:val="20"/>
              </w:rPr>
            </w:pPr>
            <w:bookmarkStart w:id="9" w:name="_Hlk189764362"/>
            <w:r>
              <w:rPr>
                <w:rFonts w:hint="eastAsia" w:cs="Arial Unicode MS" w:asciiTheme="minorEastAsia" w:hAnsiTheme="minorEastAsia" w:eastAsiaTheme="minorEastAsia"/>
                <w:b/>
                <w:color w:val="000000"/>
                <w:szCs w:val="20"/>
              </w:rPr>
              <w:t>项目</w:t>
            </w:r>
          </w:p>
        </w:tc>
        <w:tc>
          <w:tcPr>
            <w:tcW w:w="578" w:type="pct"/>
            <w:shd w:val="clear" w:color="auto" w:fill="D8D8D8" w:themeFill="background1" w:themeFillShade="D9"/>
            <w:noWrap/>
            <w:vAlign w:val="center"/>
          </w:tcPr>
          <w:p w14:paraId="71C45723">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调整后项目总投资</w:t>
            </w:r>
          </w:p>
        </w:tc>
        <w:tc>
          <w:tcPr>
            <w:tcW w:w="578" w:type="pct"/>
            <w:shd w:val="clear" w:color="auto" w:fill="D8D8D8" w:themeFill="background1" w:themeFillShade="D9"/>
            <w:noWrap/>
            <w:vAlign w:val="center"/>
          </w:tcPr>
          <w:p w14:paraId="5DC2EDFB">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用于资金平衡的项目收益</w:t>
            </w:r>
          </w:p>
        </w:tc>
        <w:tc>
          <w:tcPr>
            <w:tcW w:w="578" w:type="pct"/>
            <w:shd w:val="clear" w:color="auto" w:fill="D8D8D8" w:themeFill="background1" w:themeFillShade="D9"/>
            <w:noWrap/>
            <w:vAlign w:val="center"/>
          </w:tcPr>
          <w:p w14:paraId="6520FD44">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期末项目累计现金结存额</w:t>
            </w:r>
          </w:p>
        </w:tc>
        <w:tc>
          <w:tcPr>
            <w:tcW w:w="578" w:type="pct"/>
            <w:shd w:val="clear" w:color="auto" w:fill="D8D8D8" w:themeFill="background1" w:themeFillShade="D9"/>
            <w:noWrap/>
            <w:vAlign w:val="center"/>
          </w:tcPr>
          <w:p w14:paraId="0EBA617C">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本期计划发行额度</w:t>
            </w:r>
          </w:p>
        </w:tc>
        <w:tc>
          <w:tcPr>
            <w:tcW w:w="577" w:type="pct"/>
            <w:shd w:val="clear" w:color="auto" w:fill="D8D8D8" w:themeFill="background1" w:themeFillShade="D9"/>
            <w:noWrap/>
            <w:vAlign w:val="center"/>
          </w:tcPr>
          <w:p w14:paraId="1AE142B3">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预计债券本息合计</w:t>
            </w:r>
          </w:p>
        </w:tc>
        <w:tc>
          <w:tcPr>
            <w:tcW w:w="577" w:type="pct"/>
            <w:shd w:val="clear" w:color="auto" w:fill="D8D8D8" w:themeFill="background1" w:themeFillShade="D9"/>
            <w:noWrap/>
            <w:vAlign w:val="center"/>
          </w:tcPr>
          <w:p w14:paraId="517AE096">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本息覆盖率</w:t>
            </w:r>
            <w:r>
              <w:rPr>
                <w:rFonts w:cs="Arial Unicode MS" w:asciiTheme="minorEastAsia" w:hAnsiTheme="minorEastAsia" w:eastAsiaTheme="minorEastAsia"/>
                <w:b/>
                <w:color w:val="000000"/>
                <w:szCs w:val="20"/>
                <w:vertAlign w:val="superscript"/>
              </w:rPr>
              <w:footnoteReference w:id="0"/>
            </w:r>
          </w:p>
        </w:tc>
        <w:tc>
          <w:tcPr>
            <w:tcW w:w="575" w:type="pct"/>
            <w:shd w:val="clear" w:color="auto" w:fill="D8D8D8" w:themeFill="background1" w:themeFillShade="D9"/>
            <w:noWrap/>
            <w:vAlign w:val="center"/>
          </w:tcPr>
          <w:p w14:paraId="12106C3F">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本息覆盖倍数</w:t>
            </w:r>
            <w:r>
              <w:rPr>
                <w:rFonts w:cs="Arial Unicode MS" w:asciiTheme="minorEastAsia" w:hAnsiTheme="minorEastAsia" w:eastAsiaTheme="minorEastAsia"/>
                <w:b/>
                <w:color w:val="000000"/>
                <w:szCs w:val="20"/>
                <w:vertAlign w:val="superscript"/>
              </w:rPr>
              <w:footnoteReference w:id="1"/>
            </w:r>
          </w:p>
        </w:tc>
      </w:tr>
      <w:tr w14:paraId="56A3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959" w:type="pct"/>
            <w:shd w:val="clear" w:color="auto" w:fill="auto"/>
            <w:noWrap/>
            <w:vAlign w:val="center"/>
          </w:tcPr>
          <w:p w14:paraId="00CFAFA4">
            <w:pPr>
              <w:rPr>
                <w:rFonts w:hint="eastAsia" w:cs="Arial Unicode MS" w:asciiTheme="minorEastAsia" w:hAnsiTheme="minorEastAsia" w:eastAsiaTheme="minorEastAsia"/>
                <w:color w:val="000000"/>
                <w:szCs w:val="21"/>
              </w:rPr>
            </w:pPr>
            <w:r>
              <w:rPr>
                <w:rFonts w:hint="eastAsia" w:ascii="宋体" w:hAnsi="宋体" w:eastAsia="宋体" w:cs="Arial Unicode MS"/>
                <w:color w:val="000000"/>
                <w:szCs w:val="21"/>
              </w:rPr>
              <w:t>海口江东新区园区基础设施七期</w:t>
            </w:r>
          </w:p>
        </w:tc>
        <w:tc>
          <w:tcPr>
            <w:tcW w:w="578" w:type="pct"/>
            <w:shd w:val="clear" w:color="auto" w:fill="auto"/>
            <w:noWrap/>
            <w:vAlign w:val="center"/>
          </w:tcPr>
          <w:p w14:paraId="7ADD3E54">
            <w:pPr>
              <w:jc w:val="center"/>
              <w:rPr>
                <w:rFonts w:hint="eastAsia" w:asciiTheme="minorEastAsia" w:hAnsiTheme="minorEastAsia" w:eastAsiaTheme="minorEastAsia"/>
              </w:rPr>
            </w:pPr>
            <w:r>
              <w:rPr>
                <w:rFonts w:hint="eastAsia" w:asciiTheme="minorEastAsia" w:hAnsiTheme="minorEastAsia" w:eastAsiaTheme="minorEastAsia"/>
              </w:rPr>
              <w:t>6,618.17</w:t>
            </w:r>
          </w:p>
        </w:tc>
        <w:tc>
          <w:tcPr>
            <w:tcW w:w="578" w:type="pct"/>
            <w:shd w:val="clear" w:color="auto" w:fill="auto"/>
            <w:noWrap/>
            <w:vAlign w:val="center"/>
          </w:tcPr>
          <w:p w14:paraId="434D7D42">
            <w:pPr>
              <w:jc w:val="center"/>
              <w:rPr>
                <w:rFonts w:hint="eastAsia" w:asciiTheme="minorEastAsia" w:hAnsiTheme="minorEastAsia" w:eastAsiaTheme="minorEastAsia"/>
              </w:rPr>
            </w:pPr>
            <w:r>
              <w:rPr>
                <w:rFonts w:hint="eastAsia" w:asciiTheme="minorEastAsia" w:hAnsiTheme="minorEastAsia" w:eastAsiaTheme="minorEastAsia"/>
              </w:rPr>
              <w:t>1,053.00</w:t>
            </w:r>
          </w:p>
        </w:tc>
        <w:tc>
          <w:tcPr>
            <w:tcW w:w="578" w:type="pct"/>
            <w:shd w:val="clear" w:color="auto" w:fill="auto"/>
            <w:noWrap/>
            <w:vAlign w:val="center"/>
          </w:tcPr>
          <w:p w14:paraId="1BD0EEF9">
            <w:pPr>
              <w:jc w:val="center"/>
              <w:rPr>
                <w:rFonts w:hint="eastAsia" w:asciiTheme="minorEastAsia" w:hAnsiTheme="minorEastAsia" w:eastAsiaTheme="minorEastAsia"/>
              </w:rPr>
            </w:pPr>
            <w:r>
              <w:rPr>
                <w:rFonts w:hint="eastAsia" w:asciiTheme="minorEastAsia" w:hAnsiTheme="minorEastAsia" w:eastAsiaTheme="minorEastAsia"/>
              </w:rPr>
              <w:t>248.28</w:t>
            </w:r>
          </w:p>
        </w:tc>
        <w:tc>
          <w:tcPr>
            <w:tcW w:w="578" w:type="pct"/>
            <w:shd w:val="clear" w:color="auto" w:fill="auto"/>
            <w:noWrap/>
            <w:vAlign w:val="center"/>
          </w:tcPr>
          <w:p w14:paraId="1E7DD2D3">
            <w:pPr>
              <w:jc w:val="center"/>
              <w:rPr>
                <w:rFonts w:hint="eastAsia" w:asciiTheme="minorEastAsia" w:hAnsiTheme="minorEastAsia" w:eastAsiaTheme="minorEastAsia"/>
              </w:rPr>
            </w:pPr>
            <w:r>
              <w:rPr>
                <w:rFonts w:hint="eastAsia" w:asciiTheme="minorEastAsia" w:hAnsiTheme="minorEastAsia" w:eastAsiaTheme="minorEastAsia"/>
              </w:rPr>
              <w:t>700.00</w:t>
            </w:r>
          </w:p>
        </w:tc>
        <w:tc>
          <w:tcPr>
            <w:tcW w:w="577" w:type="pct"/>
            <w:shd w:val="clear" w:color="auto" w:fill="auto"/>
            <w:noWrap/>
            <w:vAlign w:val="center"/>
          </w:tcPr>
          <w:p w14:paraId="320C98B1">
            <w:pPr>
              <w:jc w:val="center"/>
              <w:rPr>
                <w:rFonts w:hint="eastAsia" w:asciiTheme="minorEastAsia" w:hAnsiTheme="minorEastAsia" w:eastAsiaTheme="minorEastAsia"/>
              </w:rPr>
            </w:pPr>
            <w:r>
              <w:rPr>
                <w:rFonts w:hint="eastAsia" w:asciiTheme="minorEastAsia" w:hAnsiTheme="minorEastAsia" w:eastAsiaTheme="minorEastAsia"/>
              </w:rPr>
              <w:t>823.20</w:t>
            </w:r>
          </w:p>
        </w:tc>
        <w:tc>
          <w:tcPr>
            <w:tcW w:w="577" w:type="pct"/>
            <w:shd w:val="clear" w:color="auto" w:fill="auto"/>
            <w:noWrap/>
            <w:vAlign w:val="center"/>
          </w:tcPr>
          <w:p w14:paraId="4F1618F1">
            <w:pPr>
              <w:jc w:val="center"/>
              <w:rPr>
                <w:rFonts w:hint="eastAsia" w:asciiTheme="minorEastAsia" w:hAnsiTheme="minorEastAsia" w:eastAsiaTheme="minorEastAsia"/>
              </w:rPr>
            </w:pPr>
            <w:r>
              <w:rPr>
                <w:rFonts w:hint="eastAsia" w:asciiTheme="minorEastAsia" w:hAnsiTheme="minorEastAsia" w:eastAsiaTheme="minorEastAsia"/>
              </w:rPr>
              <w:t>1.30</w:t>
            </w:r>
          </w:p>
        </w:tc>
        <w:tc>
          <w:tcPr>
            <w:tcW w:w="575" w:type="pct"/>
            <w:shd w:val="clear" w:color="auto" w:fill="auto"/>
            <w:noWrap/>
            <w:vAlign w:val="center"/>
          </w:tcPr>
          <w:p w14:paraId="574126F5">
            <w:pPr>
              <w:jc w:val="center"/>
              <w:rPr>
                <w:rFonts w:hint="eastAsia" w:asciiTheme="minorEastAsia" w:hAnsiTheme="minorEastAsia" w:eastAsiaTheme="minorEastAsia"/>
              </w:rPr>
            </w:pPr>
            <w:r>
              <w:rPr>
                <w:rFonts w:hint="eastAsia" w:asciiTheme="minorEastAsia" w:hAnsiTheme="minorEastAsia" w:eastAsiaTheme="minorEastAsia"/>
              </w:rPr>
              <w:t>1.28</w:t>
            </w:r>
          </w:p>
        </w:tc>
      </w:tr>
      <w:bookmarkEnd w:id="9"/>
    </w:tbl>
    <w:p w14:paraId="4AE503B1">
      <w:pPr>
        <w:spacing w:line="360" w:lineRule="auto"/>
        <w:ind w:firstLine="482" w:firstLineChars="200"/>
        <w:outlineLvl w:val="2"/>
        <w:rPr>
          <w:rFonts w:hint="eastAsia" w:cs="Arial" w:asciiTheme="minorEastAsia" w:hAnsiTheme="minorEastAsia" w:eastAsiaTheme="minorEastAsia"/>
          <w:b/>
          <w:sz w:val="24"/>
          <w:szCs w:val="24"/>
          <w:lang w:eastAsia="zh-TW"/>
        </w:rPr>
      </w:pPr>
      <w:bookmarkStart w:id="10" w:name="_Toc124517201"/>
      <w:bookmarkStart w:id="11" w:name="_Toc144992464"/>
      <w:r>
        <w:rPr>
          <w:rFonts w:hint="eastAsia" w:cs="Arial" w:asciiTheme="minorEastAsia" w:hAnsiTheme="minorEastAsia" w:eastAsiaTheme="minorEastAsia"/>
          <w:b/>
          <w:sz w:val="24"/>
          <w:szCs w:val="24"/>
        </w:rPr>
        <w:t>1.1</w:t>
      </w:r>
      <w:r>
        <w:rPr>
          <w:rFonts w:hint="eastAsia" w:cs="Arial" w:asciiTheme="minorEastAsia" w:hAnsiTheme="minorEastAsia" w:eastAsiaTheme="minorEastAsia"/>
          <w:b/>
          <w:sz w:val="24"/>
          <w:szCs w:val="24"/>
          <w:lang w:eastAsia="zh-TW"/>
        </w:rPr>
        <w:t>投资估算</w:t>
      </w:r>
      <w:bookmarkEnd w:id="10"/>
      <w:bookmarkEnd w:id="11"/>
    </w:p>
    <w:p w14:paraId="6D8B0B67">
      <w:pPr>
        <w:spacing w:line="360" w:lineRule="auto"/>
        <w:ind w:firstLine="480" w:firstLineChars="200"/>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海口江东新区园区基础设施七期总投资为6,618.17万元。总投资构成详见表4：</w:t>
      </w:r>
    </w:p>
    <w:p w14:paraId="6EFB7E35">
      <w:pPr>
        <w:ind w:firstLine="482" w:firstLineChars="200"/>
        <w:jc w:val="center"/>
        <w:rPr>
          <w:rFonts w:hint="eastAsia" w:cs="Arial" w:asciiTheme="minorEastAsia" w:hAnsiTheme="minorEastAsia" w:eastAsiaTheme="minorEastAsia"/>
          <w:b/>
          <w:sz w:val="24"/>
          <w:szCs w:val="24"/>
        </w:rPr>
      </w:pPr>
      <w:r>
        <w:rPr>
          <w:rFonts w:hint="eastAsia" w:cs="Arial" w:asciiTheme="minorEastAsia" w:hAnsiTheme="minorEastAsia" w:eastAsiaTheme="minorEastAsia"/>
          <w:b/>
          <w:sz w:val="24"/>
          <w:szCs w:val="24"/>
        </w:rPr>
        <w:t>表4 海口江东新区园区基础设施七期总投资估算表</w:t>
      </w:r>
    </w:p>
    <w:p w14:paraId="6566AB1D">
      <w:pPr>
        <w:ind w:firstLine="360" w:firstLineChars="200"/>
        <w:jc w:val="right"/>
        <w:rPr>
          <w:rFonts w:hint="eastAsia" w:cs="Arial" w:asciiTheme="minorEastAsia" w:hAnsiTheme="minorEastAsia" w:eastAsiaTheme="minorEastAsia"/>
          <w:sz w:val="18"/>
          <w:szCs w:val="18"/>
        </w:rPr>
      </w:pPr>
      <w:r>
        <w:rPr>
          <w:rFonts w:hint="eastAsia" w:cs="Arial" w:asciiTheme="minorEastAsia" w:hAnsiTheme="minorEastAsia" w:eastAsiaTheme="minorEastAsia"/>
          <w:sz w:val="18"/>
          <w:szCs w:val="18"/>
        </w:rPr>
        <w:t>单位：人民币万元</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31"/>
        <w:gridCol w:w="2251"/>
        <w:gridCol w:w="1713"/>
        <w:gridCol w:w="1656"/>
        <w:gridCol w:w="1705"/>
      </w:tblGrid>
      <w:tr w14:paraId="4080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617" w:type="pct"/>
            <w:shd w:val="clear" w:color="auto" w:fill="D8D8D8" w:themeFill="background1" w:themeFillShade="D9"/>
            <w:vAlign w:val="center"/>
          </w:tcPr>
          <w:p w14:paraId="04A934E3">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序号</w:t>
            </w:r>
          </w:p>
        </w:tc>
        <w:tc>
          <w:tcPr>
            <w:tcW w:w="1347" w:type="pct"/>
            <w:shd w:val="clear" w:color="auto" w:fill="D8D8D8" w:themeFill="background1" w:themeFillShade="D9"/>
            <w:vAlign w:val="center"/>
          </w:tcPr>
          <w:p w14:paraId="4F90F3B5">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项目名称</w:t>
            </w:r>
          </w:p>
        </w:tc>
        <w:tc>
          <w:tcPr>
            <w:tcW w:w="1025" w:type="pct"/>
            <w:shd w:val="clear" w:color="auto" w:fill="D8D8D8" w:themeFill="background1" w:themeFillShade="D9"/>
            <w:vAlign w:val="center"/>
          </w:tcPr>
          <w:p w14:paraId="5EA10E3D">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2025</w:t>
            </w:r>
          </w:p>
        </w:tc>
        <w:tc>
          <w:tcPr>
            <w:tcW w:w="991" w:type="pct"/>
            <w:shd w:val="clear" w:color="auto" w:fill="D8D8D8" w:themeFill="background1" w:themeFillShade="D9"/>
            <w:vAlign w:val="center"/>
          </w:tcPr>
          <w:p w14:paraId="24764E5F">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2026</w:t>
            </w:r>
          </w:p>
        </w:tc>
        <w:tc>
          <w:tcPr>
            <w:tcW w:w="1020" w:type="pct"/>
            <w:shd w:val="clear" w:color="auto" w:fill="D8D8D8" w:themeFill="background1" w:themeFillShade="D9"/>
            <w:vAlign w:val="center"/>
          </w:tcPr>
          <w:p w14:paraId="532A8F46">
            <w:pPr>
              <w:jc w:val="center"/>
              <w:rPr>
                <w:rFonts w:hint="eastAsia" w:cs="Arial Unicode MS" w:asciiTheme="minorEastAsia" w:hAnsiTheme="minorEastAsia" w:eastAsiaTheme="minorEastAsia"/>
                <w:b/>
                <w:color w:val="000000"/>
                <w:szCs w:val="20"/>
                <w:lang w:eastAsia="zh-TW"/>
              </w:rPr>
            </w:pPr>
            <w:r>
              <w:rPr>
                <w:rFonts w:hint="eastAsia" w:cs="Arial Unicode MS" w:asciiTheme="minorEastAsia" w:hAnsiTheme="minorEastAsia" w:eastAsiaTheme="minorEastAsia"/>
                <w:b/>
                <w:color w:val="000000"/>
                <w:szCs w:val="20"/>
                <w:lang w:eastAsia="zh-TW"/>
              </w:rPr>
              <w:t>合计</w:t>
            </w:r>
          </w:p>
        </w:tc>
      </w:tr>
      <w:tr w14:paraId="063A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617" w:type="pct"/>
            <w:shd w:val="clear" w:color="000000" w:fill="FFFFFF"/>
            <w:vAlign w:val="center"/>
          </w:tcPr>
          <w:p w14:paraId="74491385">
            <w:pPr>
              <w:jc w:val="center"/>
              <w:rPr>
                <w:rFonts w:hint="eastAsia" w:asciiTheme="minorEastAsia" w:hAnsiTheme="minorEastAsia" w:eastAsiaTheme="minorEastAsia"/>
                <w:color w:val="000000"/>
                <w:szCs w:val="20"/>
              </w:rPr>
            </w:pPr>
            <w:r>
              <w:rPr>
                <w:rFonts w:asciiTheme="minorEastAsia" w:hAnsiTheme="minorEastAsia" w:eastAsiaTheme="minorEastAsia"/>
                <w:color w:val="000000"/>
                <w:szCs w:val="20"/>
              </w:rPr>
              <w:t>1.1</w:t>
            </w:r>
          </w:p>
        </w:tc>
        <w:tc>
          <w:tcPr>
            <w:tcW w:w="1347" w:type="pct"/>
            <w:shd w:val="clear" w:color="000000" w:fill="FFFFFF"/>
            <w:vAlign w:val="center"/>
          </w:tcPr>
          <w:p w14:paraId="58E21260">
            <w:pPr>
              <w:rPr>
                <w:rFonts w:hint="eastAsia" w:cs="Arial Unicode MS" w:asciiTheme="minorEastAsia" w:hAnsiTheme="minorEastAsia" w:eastAsiaTheme="minorEastAsia"/>
                <w:color w:val="000000"/>
                <w:szCs w:val="20"/>
              </w:rPr>
            </w:pPr>
            <w:r>
              <w:rPr>
                <w:rFonts w:hint="eastAsia" w:cs="Arial Unicode MS" w:asciiTheme="minorEastAsia" w:hAnsiTheme="minorEastAsia" w:eastAsiaTheme="minorEastAsia"/>
                <w:color w:val="000000"/>
                <w:szCs w:val="20"/>
                <w:lang w:eastAsia="zh-TW"/>
              </w:rPr>
              <w:t>建设投资</w:t>
            </w:r>
          </w:p>
        </w:tc>
        <w:tc>
          <w:tcPr>
            <w:tcW w:w="1025" w:type="pct"/>
            <w:shd w:val="clear" w:color="000000" w:fill="FFFFFF"/>
            <w:vAlign w:val="center"/>
          </w:tcPr>
          <w:p w14:paraId="25A5BA4C">
            <w:pPr>
              <w:jc w:val="right"/>
              <w:rPr>
                <w:rFonts w:hint="eastAsia" w:asciiTheme="minorEastAsia" w:hAnsiTheme="minorEastAsia" w:eastAsiaTheme="minorEastAsia"/>
                <w:b/>
                <w:bCs/>
                <w:color w:val="000000"/>
                <w:szCs w:val="20"/>
              </w:rPr>
            </w:pPr>
            <w:r>
              <w:rPr>
                <w:rFonts w:asciiTheme="minorEastAsia" w:hAnsiTheme="minorEastAsia" w:eastAsiaTheme="minorEastAsia"/>
              </w:rPr>
              <w:t>5,279.75</w:t>
            </w:r>
          </w:p>
        </w:tc>
        <w:tc>
          <w:tcPr>
            <w:tcW w:w="991" w:type="pct"/>
            <w:shd w:val="clear" w:color="000000" w:fill="FFFFFF"/>
            <w:vAlign w:val="center"/>
          </w:tcPr>
          <w:p w14:paraId="54EF1E6F">
            <w:pPr>
              <w:jc w:val="right"/>
              <w:rPr>
                <w:rFonts w:hint="eastAsia" w:asciiTheme="minorEastAsia" w:hAnsiTheme="minorEastAsia" w:eastAsiaTheme="minorEastAsia"/>
                <w:b/>
                <w:bCs/>
                <w:szCs w:val="20"/>
              </w:rPr>
            </w:pPr>
            <w:r>
              <w:rPr>
                <w:rFonts w:asciiTheme="minorEastAsia" w:hAnsiTheme="minorEastAsia" w:eastAsiaTheme="minorEastAsia"/>
              </w:rPr>
              <w:t>1,319.94</w:t>
            </w:r>
          </w:p>
        </w:tc>
        <w:tc>
          <w:tcPr>
            <w:tcW w:w="1020" w:type="pct"/>
            <w:shd w:val="clear" w:color="000000" w:fill="FFFFFF"/>
            <w:vAlign w:val="center"/>
          </w:tcPr>
          <w:p w14:paraId="5D8BADA7">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6,599.69</w:t>
            </w:r>
          </w:p>
        </w:tc>
      </w:tr>
      <w:tr w14:paraId="158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617" w:type="pct"/>
            <w:shd w:val="clear" w:color="000000" w:fill="FFFFFF"/>
            <w:vAlign w:val="center"/>
          </w:tcPr>
          <w:p w14:paraId="0027FC45">
            <w:pPr>
              <w:jc w:val="center"/>
              <w:rPr>
                <w:rFonts w:hint="eastAsia" w:asciiTheme="minorEastAsia" w:hAnsiTheme="minorEastAsia" w:eastAsiaTheme="minorEastAsia"/>
                <w:color w:val="000000"/>
                <w:szCs w:val="20"/>
              </w:rPr>
            </w:pPr>
            <w:r>
              <w:rPr>
                <w:rFonts w:asciiTheme="minorEastAsia" w:hAnsiTheme="minorEastAsia" w:eastAsiaTheme="minorEastAsia"/>
                <w:color w:val="000000"/>
                <w:szCs w:val="20"/>
              </w:rPr>
              <w:t>1.2</w:t>
            </w:r>
          </w:p>
        </w:tc>
        <w:tc>
          <w:tcPr>
            <w:tcW w:w="1347" w:type="pct"/>
            <w:shd w:val="clear" w:color="000000" w:fill="FFFFFF"/>
            <w:vAlign w:val="center"/>
          </w:tcPr>
          <w:p w14:paraId="418A5704">
            <w:pPr>
              <w:rPr>
                <w:rFonts w:hint="eastAsia" w:cs="Arial Unicode MS" w:asciiTheme="minorEastAsia" w:hAnsiTheme="minorEastAsia" w:eastAsiaTheme="minorEastAsia"/>
                <w:color w:val="000000"/>
                <w:szCs w:val="20"/>
              </w:rPr>
            </w:pPr>
            <w:r>
              <w:rPr>
                <w:rFonts w:hint="eastAsia" w:cs="Arial Unicode MS" w:asciiTheme="minorEastAsia" w:hAnsiTheme="minorEastAsia" w:eastAsiaTheme="minorEastAsia"/>
                <w:color w:val="000000"/>
                <w:szCs w:val="20"/>
                <w:lang w:eastAsia="zh-TW"/>
              </w:rPr>
              <w:t>建设期利息</w:t>
            </w:r>
          </w:p>
        </w:tc>
        <w:tc>
          <w:tcPr>
            <w:tcW w:w="1025" w:type="pct"/>
            <w:shd w:val="clear" w:color="000000" w:fill="FFFFFF"/>
            <w:vAlign w:val="center"/>
          </w:tcPr>
          <w:p w14:paraId="7B1B0364">
            <w:pPr>
              <w:jc w:val="right"/>
              <w:rPr>
                <w:rFonts w:hint="eastAsia" w:asciiTheme="minorEastAsia" w:hAnsiTheme="minorEastAsia" w:eastAsiaTheme="minorEastAsia"/>
                <w:b/>
                <w:bCs/>
                <w:color w:val="000000"/>
                <w:szCs w:val="20"/>
              </w:rPr>
            </w:pPr>
            <w:r>
              <w:rPr>
                <w:rFonts w:asciiTheme="minorEastAsia" w:hAnsiTheme="minorEastAsia" w:eastAsiaTheme="minorEastAsia"/>
              </w:rPr>
              <w:t>6.16</w:t>
            </w:r>
          </w:p>
        </w:tc>
        <w:tc>
          <w:tcPr>
            <w:tcW w:w="991" w:type="pct"/>
            <w:shd w:val="clear" w:color="000000" w:fill="FFFFFF"/>
            <w:vAlign w:val="center"/>
          </w:tcPr>
          <w:p w14:paraId="703C32EF">
            <w:pPr>
              <w:jc w:val="right"/>
              <w:rPr>
                <w:rFonts w:hint="eastAsia" w:asciiTheme="minorEastAsia" w:hAnsiTheme="minorEastAsia" w:eastAsiaTheme="minorEastAsia"/>
                <w:b/>
                <w:bCs/>
                <w:szCs w:val="20"/>
              </w:rPr>
            </w:pPr>
            <w:r>
              <w:rPr>
                <w:rFonts w:asciiTheme="minorEastAsia" w:hAnsiTheme="minorEastAsia" w:eastAsiaTheme="minorEastAsia"/>
              </w:rPr>
              <w:t>12.32</w:t>
            </w:r>
          </w:p>
        </w:tc>
        <w:tc>
          <w:tcPr>
            <w:tcW w:w="1020" w:type="pct"/>
            <w:shd w:val="clear" w:color="000000" w:fill="FFFFFF"/>
            <w:vAlign w:val="center"/>
          </w:tcPr>
          <w:p w14:paraId="4C107966">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18.48</w:t>
            </w:r>
          </w:p>
        </w:tc>
      </w:tr>
      <w:tr w14:paraId="0C9E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617" w:type="pct"/>
            <w:shd w:val="clear" w:color="000000" w:fill="FFFFFF"/>
            <w:vAlign w:val="center"/>
          </w:tcPr>
          <w:p w14:paraId="2922262C">
            <w:pPr>
              <w:jc w:val="center"/>
              <w:rPr>
                <w:rFonts w:hint="eastAsia" w:cs="Arial Unicode MS" w:asciiTheme="minorEastAsia" w:hAnsiTheme="minorEastAsia" w:eastAsiaTheme="minorEastAsia"/>
                <w:b/>
                <w:bCs/>
                <w:color w:val="000000"/>
                <w:szCs w:val="20"/>
              </w:rPr>
            </w:pPr>
            <w:r>
              <w:rPr>
                <w:rFonts w:hint="eastAsia" w:cs="Arial Unicode MS" w:asciiTheme="minorEastAsia" w:hAnsiTheme="minorEastAsia" w:eastAsiaTheme="minorEastAsia"/>
                <w:b/>
                <w:bCs/>
                <w:color w:val="000000"/>
                <w:szCs w:val="20"/>
              </w:rPr>
              <w:t>1</w:t>
            </w:r>
            <w:r>
              <w:rPr>
                <w:rFonts w:cs="Arial Unicode MS" w:asciiTheme="minorEastAsia" w:hAnsiTheme="minorEastAsia" w:eastAsiaTheme="minorEastAsia"/>
                <w:b/>
                <w:bCs/>
                <w:color w:val="000000"/>
                <w:szCs w:val="20"/>
              </w:rPr>
              <w:t>.4</w:t>
            </w:r>
          </w:p>
        </w:tc>
        <w:tc>
          <w:tcPr>
            <w:tcW w:w="1347" w:type="pct"/>
            <w:shd w:val="clear" w:color="000000" w:fill="FFFFFF"/>
            <w:vAlign w:val="center"/>
          </w:tcPr>
          <w:p w14:paraId="7581AB64">
            <w:pPr>
              <w:rPr>
                <w:rFonts w:hint="eastAsia" w:cs="Arial Unicode MS" w:asciiTheme="minorEastAsia" w:hAnsiTheme="minorEastAsia" w:eastAsiaTheme="minorEastAsia"/>
                <w:b/>
                <w:bCs/>
                <w:color w:val="000000"/>
                <w:szCs w:val="20"/>
              </w:rPr>
            </w:pPr>
            <w:r>
              <w:rPr>
                <w:rFonts w:hint="eastAsia" w:cs="Arial Unicode MS" w:asciiTheme="minorEastAsia" w:hAnsiTheme="minorEastAsia" w:eastAsiaTheme="minorEastAsia"/>
                <w:b/>
                <w:bCs/>
                <w:color w:val="000000"/>
                <w:szCs w:val="20"/>
              </w:rPr>
              <w:t>合计</w:t>
            </w:r>
          </w:p>
        </w:tc>
        <w:tc>
          <w:tcPr>
            <w:tcW w:w="1025" w:type="pct"/>
            <w:shd w:val="clear" w:color="000000" w:fill="FFFFFF"/>
            <w:vAlign w:val="center"/>
          </w:tcPr>
          <w:p w14:paraId="05D32179">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5,285.91</w:t>
            </w:r>
          </w:p>
        </w:tc>
        <w:tc>
          <w:tcPr>
            <w:tcW w:w="991" w:type="pct"/>
            <w:shd w:val="clear" w:color="000000" w:fill="FFFFFF"/>
            <w:vAlign w:val="center"/>
          </w:tcPr>
          <w:p w14:paraId="2CF78963">
            <w:pPr>
              <w:jc w:val="right"/>
              <w:rPr>
                <w:rFonts w:hint="eastAsia" w:asciiTheme="minorEastAsia" w:hAnsiTheme="minorEastAsia" w:eastAsiaTheme="minorEastAsia"/>
                <w:b/>
                <w:bCs/>
                <w:szCs w:val="20"/>
              </w:rPr>
            </w:pPr>
            <w:r>
              <w:rPr>
                <w:rFonts w:asciiTheme="minorEastAsia" w:hAnsiTheme="minorEastAsia" w:eastAsiaTheme="minorEastAsia"/>
                <w:b/>
                <w:bCs/>
              </w:rPr>
              <w:t>1,332.26</w:t>
            </w:r>
          </w:p>
        </w:tc>
        <w:tc>
          <w:tcPr>
            <w:tcW w:w="1020" w:type="pct"/>
            <w:shd w:val="clear" w:color="000000" w:fill="FFFFFF"/>
            <w:vAlign w:val="center"/>
          </w:tcPr>
          <w:p w14:paraId="72D364A3">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6,618.17</w:t>
            </w:r>
          </w:p>
        </w:tc>
      </w:tr>
    </w:tbl>
    <w:p w14:paraId="4E6F5774">
      <w:pPr>
        <w:spacing w:line="360" w:lineRule="auto"/>
        <w:ind w:firstLine="482" w:firstLineChars="200"/>
        <w:outlineLvl w:val="2"/>
        <w:rPr>
          <w:rFonts w:hint="eastAsia" w:cs="Arial" w:asciiTheme="minorEastAsia" w:hAnsiTheme="minorEastAsia" w:eastAsiaTheme="minorEastAsia"/>
          <w:b/>
          <w:sz w:val="24"/>
          <w:szCs w:val="24"/>
        </w:rPr>
      </w:pPr>
      <w:bookmarkStart w:id="12" w:name="_Toc144992465"/>
      <w:bookmarkStart w:id="13" w:name="_Toc124517202"/>
      <w:r>
        <w:rPr>
          <w:rFonts w:hint="eastAsia" w:cs="Arial" w:asciiTheme="minorEastAsia" w:hAnsiTheme="minorEastAsia" w:eastAsiaTheme="minorEastAsia"/>
          <w:b/>
          <w:sz w:val="24"/>
          <w:szCs w:val="24"/>
        </w:rPr>
        <w:t>1.2债券发行和还本付息</w:t>
      </w:r>
      <w:bookmarkEnd w:id="12"/>
      <w:bookmarkEnd w:id="13"/>
    </w:p>
    <w:p w14:paraId="6738F41D">
      <w:pPr>
        <w:spacing w:line="360" w:lineRule="auto"/>
        <w:ind w:firstLine="480" w:firstLineChars="200"/>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本期债券发行所涉及项目的还本付息方式为利息按半年支付，最后一次利息随本金一起支付，发行期限为10年。海口江东新区园区基础设施七期债券本息合计823.20万元。</w:t>
      </w:r>
    </w:p>
    <w:p w14:paraId="4C021A0F">
      <w:pPr>
        <w:spacing w:line="360" w:lineRule="auto"/>
        <w:ind w:firstLine="480" w:firstLineChars="200"/>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自发行之日起债券存续期还本付息情况如表5：</w:t>
      </w:r>
    </w:p>
    <w:p w14:paraId="1DCE94E0">
      <w:pPr>
        <w:ind w:firstLine="482" w:firstLineChars="200"/>
        <w:jc w:val="center"/>
        <w:rPr>
          <w:rFonts w:hint="eastAsia" w:cs="Arial" w:asciiTheme="minorEastAsia" w:hAnsiTheme="minorEastAsia" w:eastAsiaTheme="minorEastAsia"/>
          <w:b/>
          <w:sz w:val="24"/>
          <w:szCs w:val="24"/>
        </w:rPr>
      </w:pPr>
      <w:r>
        <w:rPr>
          <w:rFonts w:hint="eastAsia" w:cs="Arial" w:asciiTheme="minorEastAsia" w:hAnsiTheme="minorEastAsia" w:eastAsiaTheme="minorEastAsia"/>
          <w:b/>
          <w:sz w:val="24"/>
          <w:szCs w:val="24"/>
        </w:rPr>
        <w:t>表5 海口江东新区园区基础设施七期还本付息表</w:t>
      </w:r>
    </w:p>
    <w:p w14:paraId="48FAEAF8">
      <w:pPr>
        <w:ind w:firstLine="360" w:firstLineChars="200"/>
        <w:jc w:val="right"/>
        <w:rPr>
          <w:rFonts w:hint="eastAsia" w:cs="Arial" w:asciiTheme="minorEastAsia" w:hAnsiTheme="minorEastAsia" w:eastAsiaTheme="minorEastAsia"/>
          <w:sz w:val="18"/>
          <w:szCs w:val="18"/>
        </w:rPr>
      </w:pPr>
      <w:r>
        <w:rPr>
          <w:rFonts w:hint="eastAsia" w:cs="Arial" w:asciiTheme="minorEastAsia" w:hAnsiTheme="minorEastAsia" w:eastAsiaTheme="minorEastAsia"/>
          <w:sz w:val="18"/>
          <w:szCs w:val="18"/>
        </w:rPr>
        <w:t>单位：人民帀万元</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186"/>
        <w:gridCol w:w="741"/>
        <w:gridCol w:w="1087"/>
        <w:gridCol w:w="1087"/>
        <w:gridCol w:w="1087"/>
        <w:gridCol w:w="1080"/>
        <w:gridCol w:w="1081"/>
      </w:tblGrid>
      <w:tr w14:paraId="29A9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309" w:type="pct"/>
            <w:shd w:val="clear" w:color="auto" w:fill="D8D8D8" w:themeFill="background1" w:themeFillShade="D9"/>
            <w:vAlign w:val="center"/>
          </w:tcPr>
          <w:p w14:paraId="6781B140">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444" w:type="pct"/>
            <w:shd w:val="clear" w:color="auto" w:fill="D8D8D8" w:themeFill="background1" w:themeFillShade="D9"/>
            <w:vAlign w:val="center"/>
          </w:tcPr>
          <w:p w14:paraId="7F3BF4DC">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2025</w:t>
            </w:r>
          </w:p>
        </w:tc>
        <w:tc>
          <w:tcPr>
            <w:tcW w:w="651" w:type="pct"/>
            <w:shd w:val="clear" w:color="auto" w:fill="D8D8D8" w:themeFill="background1" w:themeFillShade="D9"/>
            <w:vAlign w:val="center"/>
          </w:tcPr>
          <w:p w14:paraId="12BB6168">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2026</w:t>
            </w:r>
          </w:p>
        </w:tc>
        <w:tc>
          <w:tcPr>
            <w:tcW w:w="651" w:type="pct"/>
            <w:shd w:val="clear" w:color="auto" w:fill="D8D8D8" w:themeFill="background1" w:themeFillShade="D9"/>
            <w:vAlign w:val="center"/>
          </w:tcPr>
          <w:p w14:paraId="38D2F72E">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2027</w:t>
            </w:r>
          </w:p>
        </w:tc>
        <w:tc>
          <w:tcPr>
            <w:tcW w:w="651" w:type="pct"/>
            <w:shd w:val="clear" w:color="auto" w:fill="D8D8D8" w:themeFill="background1" w:themeFillShade="D9"/>
            <w:vAlign w:val="center"/>
          </w:tcPr>
          <w:p w14:paraId="3D7874B1">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2028</w:t>
            </w:r>
          </w:p>
        </w:tc>
        <w:tc>
          <w:tcPr>
            <w:tcW w:w="647" w:type="pct"/>
            <w:shd w:val="clear" w:color="auto" w:fill="D8D8D8" w:themeFill="background1" w:themeFillShade="D9"/>
            <w:vAlign w:val="center"/>
          </w:tcPr>
          <w:p w14:paraId="784683D1">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2029</w:t>
            </w:r>
          </w:p>
        </w:tc>
        <w:tc>
          <w:tcPr>
            <w:tcW w:w="647" w:type="pct"/>
            <w:shd w:val="clear" w:color="auto" w:fill="D8D8D8" w:themeFill="background1" w:themeFillShade="D9"/>
            <w:vAlign w:val="center"/>
          </w:tcPr>
          <w:p w14:paraId="4CA85B52">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2030</w:t>
            </w:r>
          </w:p>
        </w:tc>
      </w:tr>
      <w:tr w14:paraId="07F0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36EFADA4">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期初专项债券余额</w:t>
            </w:r>
          </w:p>
        </w:tc>
        <w:tc>
          <w:tcPr>
            <w:tcW w:w="444" w:type="pct"/>
            <w:shd w:val="clear" w:color="000000" w:fill="FFFFFF"/>
            <w:vAlign w:val="center"/>
          </w:tcPr>
          <w:p w14:paraId="3CBA5BE5">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2F09DA7B">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6AD216A3">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14110F67">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47" w:type="pct"/>
            <w:shd w:val="clear" w:color="000000" w:fill="FFFFFF"/>
            <w:vAlign w:val="center"/>
          </w:tcPr>
          <w:p w14:paraId="03E45776">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47" w:type="pct"/>
            <w:shd w:val="clear" w:color="000000" w:fill="FFFFFF"/>
            <w:vAlign w:val="center"/>
          </w:tcPr>
          <w:p w14:paraId="721497E0">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r>
      <w:tr w14:paraId="7846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66F65D6E">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本期专项债券调增</w:t>
            </w:r>
          </w:p>
        </w:tc>
        <w:tc>
          <w:tcPr>
            <w:tcW w:w="444" w:type="pct"/>
            <w:shd w:val="clear" w:color="000000" w:fill="FFFFFF"/>
            <w:vAlign w:val="center"/>
          </w:tcPr>
          <w:p w14:paraId="034D7CC2">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6914B1E2">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2E23D99E">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03B8BDE3">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47" w:type="pct"/>
            <w:shd w:val="clear" w:color="000000" w:fill="FFFFFF"/>
            <w:vAlign w:val="center"/>
          </w:tcPr>
          <w:p w14:paraId="68DAB306">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47" w:type="pct"/>
            <w:shd w:val="clear" w:color="000000" w:fill="FFFFFF"/>
            <w:vAlign w:val="center"/>
          </w:tcPr>
          <w:p w14:paraId="55CE8CE2">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r>
      <w:tr w14:paraId="18D9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43B8B45E">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利息支出</w:t>
            </w:r>
          </w:p>
        </w:tc>
        <w:tc>
          <w:tcPr>
            <w:tcW w:w="444" w:type="pct"/>
            <w:shd w:val="clear" w:color="000000" w:fill="FFFFFF"/>
            <w:vAlign w:val="center"/>
          </w:tcPr>
          <w:p w14:paraId="19023EBD">
            <w:pPr>
              <w:jc w:val="right"/>
              <w:rPr>
                <w:rFonts w:hint="eastAsia" w:asciiTheme="minorEastAsia" w:hAnsiTheme="minorEastAsia" w:eastAsiaTheme="minorEastAsia"/>
                <w:color w:val="000000"/>
                <w:szCs w:val="20"/>
              </w:rPr>
            </w:pPr>
            <w:r>
              <w:rPr>
                <w:rFonts w:asciiTheme="minorEastAsia" w:hAnsiTheme="minorEastAsia" w:eastAsiaTheme="minorEastAsia"/>
              </w:rPr>
              <w:t>6.16</w:t>
            </w:r>
          </w:p>
        </w:tc>
        <w:tc>
          <w:tcPr>
            <w:tcW w:w="651" w:type="pct"/>
            <w:shd w:val="clear" w:color="000000" w:fill="FFFFFF"/>
            <w:vAlign w:val="center"/>
          </w:tcPr>
          <w:p w14:paraId="3E2A3EDE">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2488BB60">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52892986">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23DF995E">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2DA86D4A">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r>
      <w:tr w14:paraId="29F1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3C1F7767">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本期还款</w:t>
            </w:r>
          </w:p>
        </w:tc>
        <w:tc>
          <w:tcPr>
            <w:tcW w:w="444" w:type="pct"/>
            <w:shd w:val="clear" w:color="000000" w:fill="FFFFFF"/>
            <w:vAlign w:val="center"/>
          </w:tcPr>
          <w:p w14:paraId="6A02D382">
            <w:pPr>
              <w:jc w:val="right"/>
              <w:rPr>
                <w:rFonts w:hint="eastAsia" w:asciiTheme="minorEastAsia" w:hAnsiTheme="minorEastAsia" w:eastAsiaTheme="minorEastAsia"/>
                <w:color w:val="000000"/>
                <w:szCs w:val="20"/>
              </w:rPr>
            </w:pPr>
            <w:r>
              <w:rPr>
                <w:rFonts w:asciiTheme="minorEastAsia" w:hAnsiTheme="minorEastAsia" w:eastAsiaTheme="minorEastAsia"/>
              </w:rPr>
              <w:t>6.16</w:t>
            </w:r>
          </w:p>
        </w:tc>
        <w:tc>
          <w:tcPr>
            <w:tcW w:w="651" w:type="pct"/>
            <w:shd w:val="clear" w:color="000000" w:fill="FFFFFF"/>
            <w:vAlign w:val="center"/>
          </w:tcPr>
          <w:p w14:paraId="431D1F8B">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6C6DF562">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4211A7AE">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67B6198C">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57AE5EA9">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r>
      <w:tr w14:paraId="353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44039B20">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其中：还本</w:t>
            </w:r>
          </w:p>
        </w:tc>
        <w:tc>
          <w:tcPr>
            <w:tcW w:w="444" w:type="pct"/>
            <w:shd w:val="clear" w:color="000000" w:fill="FFFFFF"/>
            <w:vAlign w:val="center"/>
          </w:tcPr>
          <w:p w14:paraId="1C8CB300">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6D5BB65B">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322BA629">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1" w:type="pct"/>
            <w:shd w:val="clear" w:color="000000" w:fill="FFFFFF"/>
            <w:vAlign w:val="center"/>
          </w:tcPr>
          <w:p w14:paraId="4E6640FD">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47" w:type="pct"/>
            <w:shd w:val="clear" w:color="000000" w:fill="FFFFFF"/>
            <w:vAlign w:val="center"/>
          </w:tcPr>
          <w:p w14:paraId="38F47D26">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47" w:type="pct"/>
            <w:shd w:val="clear" w:color="000000" w:fill="FFFFFF"/>
            <w:vAlign w:val="center"/>
          </w:tcPr>
          <w:p w14:paraId="1E38E386">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r>
      <w:tr w14:paraId="694F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64EA82B9">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付息</w:t>
            </w:r>
          </w:p>
        </w:tc>
        <w:tc>
          <w:tcPr>
            <w:tcW w:w="444" w:type="pct"/>
            <w:shd w:val="clear" w:color="000000" w:fill="FFFFFF"/>
            <w:vAlign w:val="center"/>
          </w:tcPr>
          <w:p w14:paraId="61FD064B">
            <w:pPr>
              <w:jc w:val="right"/>
              <w:rPr>
                <w:rFonts w:hint="eastAsia" w:asciiTheme="minorEastAsia" w:hAnsiTheme="minorEastAsia" w:eastAsiaTheme="minorEastAsia"/>
                <w:color w:val="000000"/>
                <w:szCs w:val="20"/>
              </w:rPr>
            </w:pPr>
            <w:r>
              <w:rPr>
                <w:rFonts w:asciiTheme="minorEastAsia" w:hAnsiTheme="minorEastAsia" w:eastAsiaTheme="minorEastAsia"/>
              </w:rPr>
              <w:t>6.16</w:t>
            </w:r>
          </w:p>
        </w:tc>
        <w:tc>
          <w:tcPr>
            <w:tcW w:w="651" w:type="pct"/>
            <w:shd w:val="clear" w:color="000000" w:fill="FFFFFF"/>
            <w:vAlign w:val="center"/>
          </w:tcPr>
          <w:p w14:paraId="63A1DAF5">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5F6EDD92">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1" w:type="pct"/>
            <w:shd w:val="clear" w:color="000000" w:fill="FFFFFF"/>
            <w:vAlign w:val="center"/>
          </w:tcPr>
          <w:p w14:paraId="68B42024">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6E902047">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47" w:type="pct"/>
            <w:shd w:val="clear" w:color="000000" w:fill="FFFFFF"/>
            <w:vAlign w:val="center"/>
          </w:tcPr>
          <w:p w14:paraId="52EE601D">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r>
      <w:tr w14:paraId="371B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309" w:type="pct"/>
            <w:shd w:val="clear" w:color="000000" w:fill="FFFFFF"/>
            <w:vAlign w:val="center"/>
          </w:tcPr>
          <w:p w14:paraId="0775A270">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期末专项债券余额</w:t>
            </w:r>
          </w:p>
        </w:tc>
        <w:tc>
          <w:tcPr>
            <w:tcW w:w="444" w:type="pct"/>
            <w:shd w:val="clear" w:color="000000" w:fill="FFFFFF"/>
            <w:vAlign w:val="center"/>
          </w:tcPr>
          <w:p w14:paraId="6082DC7F">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77C3595E">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49BAF91C">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1" w:type="pct"/>
            <w:shd w:val="clear" w:color="000000" w:fill="FFFFFF"/>
            <w:vAlign w:val="center"/>
          </w:tcPr>
          <w:p w14:paraId="1B2A27FC">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47" w:type="pct"/>
            <w:shd w:val="clear" w:color="000000" w:fill="FFFFFF"/>
            <w:vAlign w:val="center"/>
          </w:tcPr>
          <w:p w14:paraId="6B3E0643">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47" w:type="pct"/>
            <w:shd w:val="clear" w:color="000000" w:fill="FFFFFF"/>
            <w:vAlign w:val="center"/>
          </w:tcPr>
          <w:p w14:paraId="60B47BD9">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r>
    </w:tbl>
    <w:p w14:paraId="228B6B42">
      <w:pPr>
        <w:ind w:firstLine="400" w:firstLineChars="200"/>
        <w:jc w:val="right"/>
        <w:rPr>
          <w:rFonts w:hint="eastAsia" w:cs="Arial" w:asciiTheme="minorEastAsia" w:hAnsiTheme="minorEastAsia" w:eastAsiaTheme="minorEastAsia"/>
          <w:sz w:val="20"/>
          <w:szCs w:val="20"/>
        </w:rPr>
      </w:pPr>
    </w:p>
    <w:tbl>
      <w:tblPr>
        <w:tblStyle w:val="21"/>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6"/>
        <w:gridCol w:w="1093"/>
        <w:gridCol w:w="1093"/>
        <w:gridCol w:w="1093"/>
        <w:gridCol w:w="1093"/>
        <w:gridCol w:w="1060"/>
        <w:gridCol w:w="1060"/>
      </w:tblGrid>
      <w:tr w14:paraId="2C6A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auto" w:fill="D8D8D8" w:themeFill="background1" w:themeFillShade="D9"/>
            <w:vAlign w:val="center"/>
          </w:tcPr>
          <w:p w14:paraId="61E7EB35">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53" w:type="pct"/>
            <w:shd w:val="clear" w:color="auto" w:fill="D8D8D8" w:themeFill="background1" w:themeFillShade="D9"/>
            <w:vAlign w:val="center"/>
          </w:tcPr>
          <w:p w14:paraId="4A8623A1">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2031</w:t>
            </w:r>
          </w:p>
        </w:tc>
        <w:tc>
          <w:tcPr>
            <w:tcW w:w="653" w:type="pct"/>
            <w:shd w:val="clear" w:color="auto" w:fill="D8D8D8" w:themeFill="background1" w:themeFillShade="D9"/>
            <w:vAlign w:val="center"/>
          </w:tcPr>
          <w:p w14:paraId="0CD94CFA">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2032</w:t>
            </w:r>
          </w:p>
        </w:tc>
        <w:tc>
          <w:tcPr>
            <w:tcW w:w="653" w:type="pct"/>
            <w:shd w:val="clear" w:color="auto" w:fill="D8D8D8" w:themeFill="background1" w:themeFillShade="D9"/>
            <w:vAlign w:val="center"/>
          </w:tcPr>
          <w:p w14:paraId="173856D9">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2033</w:t>
            </w:r>
          </w:p>
        </w:tc>
        <w:tc>
          <w:tcPr>
            <w:tcW w:w="653" w:type="pct"/>
            <w:shd w:val="clear" w:color="auto" w:fill="D8D8D8" w:themeFill="background1" w:themeFillShade="D9"/>
            <w:vAlign w:val="center"/>
          </w:tcPr>
          <w:p w14:paraId="20A2FAD0">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2034</w:t>
            </w:r>
          </w:p>
        </w:tc>
        <w:tc>
          <w:tcPr>
            <w:tcW w:w="633" w:type="pct"/>
            <w:shd w:val="clear" w:color="auto" w:fill="D8D8D8" w:themeFill="background1" w:themeFillShade="D9"/>
          </w:tcPr>
          <w:p w14:paraId="0C28E4F0">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2035</w:t>
            </w:r>
          </w:p>
        </w:tc>
        <w:tc>
          <w:tcPr>
            <w:tcW w:w="633" w:type="pct"/>
            <w:shd w:val="clear" w:color="auto" w:fill="D8D8D8" w:themeFill="background1" w:themeFillShade="D9"/>
            <w:vAlign w:val="center"/>
          </w:tcPr>
          <w:p w14:paraId="797248FB">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合计</w:t>
            </w:r>
          </w:p>
        </w:tc>
      </w:tr>
      <w:tr w14:paraId="365F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5A911FAB">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期初专项债券余额</w:t>
            </w:r>
          </w:p>
        </w:tc>
        <w:tc>
          <w:tcPr>
            <w:tcW w:w="653" w:type="pct"/>
            <w:shd w:val="clear" w:color="000000" w:fill="FFFFFF"/>
            <w:vAlign w:val="center"/>
          </w:tcPr>
          <w:p w14:paraId="01FEF2D8">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7092E6A5">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49F71141">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2D1B8D38">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33" w:type="pct"/>
            <w:shd w:val="clear" w:color="000000" w:fill="FFFFFF"/>
            <w:vAlign w:val="center"/>
          </w:tcPr>
          <w:p w14:paraId="087C5510">
            <w:pPr>
              <w:jc w:val="right"/>
              <w:rPr>
                <w:rFonts w:hint="eastAsia" w:asciiTheme="minorEastAsia" w:hAnsiTheme="minorEastAsia" w:eastAsiaTheme="minorEastAsia"/>
                <w:b/>
                <w:bCs/>
                <w:color w:val="000000"/>
                <w:szCs w:val="20"/>
              </w:rPr>
            </w:pPr>
            <w:r>
              <w:rPr>
                <w:rFonts w:asciiTheme="minorEastAsia" w:hAnsiTheme="minorEastAsia" w:eastAsiaTheme="minorEastAsia"/>
              </w:rPr>
              <w:t>700.00</w:t>
            </w:r>
          </w:p>
        </w:tc>
        <w:tc>
          <w:tcPr>
            <w:tcW w:w="633" w:type="pct"/>
            <w:shd w:val="clear" w:color="000000" w:fill="FFFFFF"/>
            <w:vAlign w:val="center"/>
          </w:tcPr>
          <w:p w14:paraId="47773D78">
            <w:pPr>
              <w:jc w:val="right"/>
              <w:rPr>
                <w:rFonts w:hint="eastAsia" w:asciiTheme="minorEastAsia" w:hAnsiTheme="minorEastAsia" w:eastAsiaTheme="minorEastAsia"/>
                <w:b/>
                <w:bCs/>
                <w:color w:val="000000"/>
                <w:szCs w:val="20"/>
              </w:rPr>
            </w:pPr>
          </w:p>
        </w:tc>
      </w:tr>
      <w:tr w14:paraId="1FC0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154F0C78">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本期专项债券调增</w:t>
            </w:r>
          </w:p>
        </w:tc>
        <w:tc>
          <w:tcPr>
            <w:tcW w:w="653" w:type="pct"/>
            <w:shd w:val="clear" w:color="000000" w:fill="FFFFFF"/>
            <w:vAlign w:val="center"/>
          </w:tcPr>
          <w:p w14:paraId="55BB59D4">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73933D58">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3C1D4B3C">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6BD0C8EE">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33" w:type="pct"/>
            <w:shd w:val="clear" w:color="000000" w:fill="FFFFFF"/>
            <w:vAlign w:val="center"/>
          </w:tcPr>
          <w:p w14:paraId="69A6376F">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633" w:type="pct"/>
            <w:shd w:val="clear" w:color="000000" w:fill="FFFFFF"/>
            <w:vAlign w:val="center"/>
          </w:tcPr>
          <w:p w14:paraId="1FDC3E71">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700.00</w:t>
            </w:r>
          </w:p>
        </w:tc>
      </w:tr>
      <w:tr w14:paraId="3327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011A1EE7">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利息支出</w:t>
            </w:r>
          </w:p>
        </w:tc>
        <w:tc>
          <w:tcPr>
            <w:tcW w:w="653" w:type="pct"/>
            <w:shd w:val="clear" w:color="000000" w:fill="FFFFFF"/>
            <w:vAlign w:val="center"/>
          </w:tcPr>
          <w:p w14:paraId="61FAAAD8">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0E98020F">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683761A1">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2954BD4E">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33" w:type="pct"/>
            <w:shd w:val="clear" w:color="000000" w:fill="FFFFFF"/>
            <w:vAlign w:val="center"/>
          </w:tcPr>
          <w:p w14:paraId="1515B48E">
            <w:pPr>
              <w:jc w:val="right"/>
              <w:rPr>
                <w:rFonts w:hint="eastAsia" w:asciiTheme="minorEastAsia" w:hAnsiTheme="minorEastAsia" w:eastAsiaTheme="minorEastAsia"/>
                <w:b/>
                <w:bCs/>
                <w:color w:val="000000"/>
                <w:szCs w:val="20"/>
              </w:rPr>
            </w:pPr>
            <w:r>
              <w:rPr>
                <w:rFonts w:asciiTheme="minorEastAsia" w:hAnsiTheme="minorEastAsia" w:eastAsiaTheme="minorEastAsia"/>
              </w:rPr>
              <w:t>6.16</w:t>
            </w:r>
          </w:p>
        </w:tc>
        <w:tc>
          <w:tcPr>
            <w:tcW w:w="633" w:type="pct"/>
            <w:shd w:val="clear" w:color="000000" w:fill="FFFFFF"/>
            <w:vAlign w:val="center"/>
          </w:tcPr>
          <w:p w14:paraId="0E30DFFD">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123.20</w:t>
            </w:r>
          </w:p>
        </w:tc>
      </w:tr>
      <w:tr w14:paraId="6024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1FD985DC">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本期还款</w:t>
            </w:r>
          </w:p>
        </w:tc>
        <w:tc>
          <w:tcPr>
            <w:tcW w:w="653" w:type="pct"/>
            <w:shd w:val="clear" w:color="000000" w:fill="FFFFFF"/>
            <w:vAlign w:val="center"/>
          </w:tcPr>
          <w:p w14:paraId="24A95649">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01CF8EC6">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555B1019">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3139ACDC">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33" w:type="pct"/>
            <w:shd w:val="clear" w:color="000000" w:fill="FFFFFF"/>
            <w:vAlign w:val="center"/>
          </w:tcPr>
          <w:p w14:paraId="7F4CBF32">
            <w:pPr>
              <w:jc w:val="right"/>
              <w:rPr>
                <w:rFonts w:hint="eastAsia" w:asciiTheme="minorEastAsia" w:hAnsiTheme="minorEastAsia" w:eastAsiaTheme="minorEastAsia"/>
                <w:b/>
                <w:bCs/>
                <w:color w:val="000000"/>
                <w:szCs w:val="20"/>
              </w:rPr>
            </w:pPr>
            <w:r>
              <w:rPr>
                <w:rFonts w:asciiTheme="minorEastAsia" w:hAnsiTheme="minorEastAsia" w:eastAsiaTheme="minorEastAsia"/>
              </w:rPr>
              <w:t>706.16</w:t>
            </w:r>
          </w:p>
        </w:tc>
        <w:tc>
          <w:tcPr>
            <w:tcW w:w="633" w:type="pct"/>
            <w:shd w:val="clear" w:color="000000" w:fill="FFFFFF"/>
            <w:vAlign w:val="center"/>
          </w:tcPr>
          <w:p w14:paraId="3F91EF44">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823.20</w:t>
            </w:r>
          </w:p>
        </w:tc>
      </w:tr>
      <w:tr w14:paraId="616F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27CD6557">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其中：还本</w:t>
            </w:r>
          </w:p>
        </w:tc>
        <w:tc>
          <w:tcPr>
            <w:tcW w:w="653" w:type="pct"/>
            <w:shd w:val="clear" w:color="000000" w:fill="FFFFFF"/>
            <w:vAlign w:val="center"/>
          </w:tcPr>
          <w:p w14:paraId="152944E2">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5194C2BD">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65434A87">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53" w:type="pct"/>
            <w:shd w:val="clear" w:color="000000" w:fill="FFFFFF"/>
            <w:vAlign w:val="center"/>
          </w:tcPr>
          <w:p w14:paraId="28072BD2">
            <w:pPr>
              <w:jc w:val="right"/>
              <w:rPr>
                <w:rFonts w:hint="eastAsia" w:asciiTheme="minorEastAsia" w:hAnsiTheme="minorEastAsia" w:eastAsiaTheme="minorEastAsia"/>
                <w:color w:val="000000"/>
                <w:szCs w:val="20"/>
              </w:rPr>
            </w:pPr>
            <w:r>
              <w:rPr>
                <w:rFonts w:asciiTheme="minorEastAsia" w:hAnsiTheme="minorEastAsia" w:eastAsiaTheme="minorEastAsia"/>
              </w:rPr>
              <w:t>-</w:t>
            </w:r>
          </w:p>
        </w:tc>
        <w:tc>
          <w:tcPr>
            <w:tcW w:w="633" w:type="pct"/>
            <w:shd w:val="clear" w:color="000000" w:fill="FFFFFF"/>
            <w:vAlign w:val="center"/>
          </w:tcPr>
          <w:p w14:paraId="002E045A">
            <w:pPr>
              <w:jc w:val="right"/>
              <w:rPr>
                <w:rFonts w:hint="eastAsia" w:asciiTheme="minorEastAsia" w:hAnsiTheme="minorEastAsia" w:eastAsiaTheme="minorEastAsia"/>
                <w:b/>
                <w:bCs/>
                <w:color w:val="000000"/>
                <w:szCs w:val="20"/>
              </w:rPr>
            </w:pPr>
            <w:r>
              <w:rPr>
                <w:rFonts w:asciiTheme="minorEastAsia" w:hAnsiTheme="minorEastAsia" w:eastAsiaTheme="minorEastAsia"/>
              </w:rPr>
              <w:t>700.00</w:t>
            </w:r>
          </w:p>
        </w:tc>
        <w:tc>
          <w:tcPr>
            <w:tcW w:w="633" w:type="pct"/>
            <w:shd w:val="clear" w:color="000000" w:fill="FFFFFF"/>
            <w:vAlign w:val="center"/>
          </w:tcPr>
          <w:p w14:paraId="112AAA9D">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700.00</w:t>
            </w:r>
          </w:p>
        </w:tc>
      </w:tr>
      <w:tr w14:paraId="6944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6932B0C4">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付息</w:t>
            </w:r>
          </w:p>
        </w:tc>
        <w:tc>
          <w:tcPr>
            <w:tcW w:w="653" w:type="pct"/>
            <w:shd w:val="clear" w:color="000000" w:fill="FFFFFF"/>
            <w:vAlign w:val="center"/>
          </w:tcPr>
          <w:p w14:paraId="1940DFFD">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78B1AEAE">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5AF57B60">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53" w:type="pct"/>
            <w:shd w:val="clear" w:color="000000" w:fill="FFFFFF"/>
            <w:vAlign w:val="center"/>
          </w:tcPr>
          <w:p w14:paraId="4655C147">
            <w:pPr>
              <w:jc w:val="right"/>
              <w:rPr>
                <w:rFonts w:hint="eastAsia" w:asciiTheme="minorEastAsia" w:hAnsiTheme="minorEastAsia" w:eastAsiaTheme="minorEastAsia"/>
                <w:color w:val="000000"/>
                <w:szCs w:val="20"/>
              </w:rPr>
            </w:pPr>
            <w:r>
              <w:rPr>
                <w:rFonts w:asciiTheme="minorEastAsia" w:hAnsiTheme="minorEastAsia" w:eastAsiaTheme="minorEastAsia"/>
              </w:rPr>
              <w:t>12.32</w:t>
            </w:r>
          </w:p>
        </w:tc>
        <w:tc>
          <w:tcPr>
            <w:tcW w:w="633" w:type="pct"/>
            <w:shd w:val="clear" w:color="000000" w:fill="FFFFFF"/>
            <w:vAlign w:val="center"/>
          </w:tcPr>
          <w:p w14:paraId="468CD047">
            <w:pPr>
              <w:jc w:val="right"/>
              <w:rPr>
                <w:rFonts w:hint="eastAsia" w:asciiTheme="minorEastAsia" w:hAnsiTheme="minorEastAsia" w:eastAsiaTheme="minorEastAsia"/>
                <w:b/>
                <w:bCs/>
                <w:color w:val="000000"/>
                <w:szCs w:val="20"/>
              </w:rPr>
            </w:pPr>
            <w:r>
              <w:rPr>
                <w:rFonts w:asciiTheme="minorEastAsia" w:hAnsiTheme="minorEastAsia" w:eastAsiaTheme="minorEastAsia"/>
              </w:rPr>
              <w:t>6.16</w:t>
            </w:r>
          </w:p>
        </w:tc>
        <w:tc>
          <w:tcPr>
            <w:tcW w:w="633" w:type="pct"/>
            <w:shd w:val="clear" w:color="000000" w:fill="FFFFFF"/>
            <w:vAlign w:val="center"/>
          </w:tcPr>
          <w:p w14:paraId="3DA95B77">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123.20</w:t>
            </w:r>
          </w:p>
        </w:tc>
      </w:tr>
      <w:tr w14:paraId="3D49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11C3086A">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期末专项债券余额</w:t>
            </w:r>
          </w:p>
        </w:tc>
        <w:tc>
          <w:tcPr>
            <w:tcW w:w="653" w:type="pct"/>
            <w:shd w:val="clear" w:color="000000" w:fill="FFFFFF"/>
            <w:vAlign w:val="center"/>
          </w:tcPr>
          <w:p w14:paraId="74F18FE4">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4028B775">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483405DA">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53" w:type="pct"/>
            <w:shd w:val="clear" w:color="000000" w:fill="FFFFFF"/>
            <w:vAlign w:val="center"/>
          </w:tcPr>
          <w:p w14:paraId="461E4C14">
            <w:pPr>
              <w:jc w:val="right"/>
              <w:rPr>
                <w:rFonts w:hint="eastAsia" w:asciiTheme="minorEastAsia" w:hAnsiTheme="minorEastAsia" w:eastAsiaTheme="minorEastAsia"/>
                <w:color w:val="000000"/>
                <w:szCs w:val="20"/>
              </w:rPr>
            </w:pPr>
            <w:r>
              <w:rPr>
                <w:rFonts w:asciiTheme="minorEastAsia" w:hAnsiTheme="minorEastAsia" w:eastAsiaTheme="minorEastAsia"/>
              </w:rPr>
              <w:t>700.00</w:t>
            </w:r>
          </w:p>
        </w:tc>
        <w:tc>
          <w:tcPr>
            <w:tcW w:w="633" w:type="pct"/>
            <w:shd w:val="clear" w:color="000000" w:fill="FFFFFF"/>
            <w:vAlign w:val="center"/>
          </w:tcPr>
          <w:p w14:paraId="68349709">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c>
          <w:tcPr>
            <w:tcW w:w="633" w:type="pct"/>
            <w:shd w:val="clear" w:color="000000" w:fill="FFFFFF"/>
            <w:vAlign w:val="center"/>
          </w:tcPr>
          <w:p w14:paraId="4C0852AF">
            <w:pPr>
              <w:jc w:val="right"/>
              <w:rPr>
                <w:rFonts w:hint="eastAsia" w:asciiTheme="minorEastAsia" w:hAnsiTheme="minorEastAsia" w:eastAsiaTheme="minorEastAsia"/>
                <w:b/>
                <w:bCs/>
                <w:color w:val="000000"/>
                <w:szCs w:val="20"/>
              </w:rPr>
            </w:pPr>
            <w:r>
              <w:rPr>
                <w:rFonts w:asciiTheme="minorEastAsia" w:hAnsiTheme="minorEastAsia" w:eastAsiaTheme="minorEastAsia"/>
              </w:rPr>
              <w:t>-</w:t>
            </w:r>
          </w:p>
        </w:tc>
      </w:tr>
    </w:tbl>
    <w:p w14:paraId="06904AC5">
      <w:pPr>
        <w:ind w:firstLine="400" w:firstLineChars="200"/>
        <w:jc w:val="right"/>
        <w:rPr>
          <w:rFonts w:hint="eastAsia" w:cs="Arial" w:asciiTheme="minorEastAsia" w:hAnsiTheme="minorEastAsia" w:eastAsiaTheme="minorEastAsia"/>
          <w:sz w:val="20"/>
          <w:szCs w:val="20"/>
        </w:rPr>
      </w:pPr>
    </w:p>
    <w:p w14:paraId="66233E67">
      <w:pPr>
        <w:spacing w:line="360" w:lineRule="auto"/>
        <w:ind w:firstLine="482" w:firstLineChars="200"/>
        <w:outlineLvl w:val="2"/>
        <w:rPr>
          <w:rFonts w:hint="eastAsia" w:asciiTheme="minorEastAsia" w:hAnsiTheme="minorEastAsia" w:eastAsiaTheme="minorEastAsia"/>
          <w:b/>
          <w:sz w:val="24"/>
          <w:szCs w:val="24"/>
        </w:rPr>
      </w:pPr>
      <w:bookmarkStart w:id="14" w:name="_Toc144992466"/>
      <w:bookmarkStart w:id="15" w:name="_Toc124517203"/>
      <w:r>
        <w:rPr>
          <w:rFonts w:hint="eastAsia" w:asciiTheme="minorEastAsia" w:hAnsiTheme="minorEastAsia" w:eastAsiaTheme="minorEastAsia"/>
          <w:b/>
          <w:sz w:val="24"/>
          <w:szCs w:val="24"/>
        </w:rPr>
        <w:t>1.3发债项目盈利能力、偿债能力和可持续性</w:t>
      </w:r>
      <w:bookmarkEnd w:id="14"/>
      <w:bookmarkEnd w:id="15"/>
    </w:p>
    <w:p w14:paraId="43C8F137">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海口江东新区园区基础设施七期，本项目累计资金筹措总额6,618.17万元，其中，自筹资金5,918.17万元，</w:t>
      </w:r>
      <w:r>
        <w:rPr>
          <w:rFonts w:hint="eastAsia" w:ascii="宋体" w:hAnsi="宋体" w:eastAsia="宋体"/>
          <w:sz w:val="24"/>
          <w:szCs w:val="24"/>
        </w:rPr>
        <w:t>本期计划调增专项债券</w:t>
      </w:r>
      <w:r>
        <w:rPr>
          <w:rFonts w:hint="eastAsia" w:asciiTheme="minorEastAsia" w:hAnsiTheme="minorEastAsia" w:eastAsiaTheme="minorEastAsia"/>
          <w:sz w:val="24"/>
          <w:szCs w:val="24"/>
        </w:rPr>
        <w:t>700.00万元。本项目的自筹资金，由财政资金统筹安排。</w:t>
      </w:r>
    </w:p>
    <w:p w14:paraId="638FC8D7">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各年度投资计划及资金筹措方案详见表6，</w:t>
      </w:r>
      <w:r>
        <w:rPr>
          <w:rFonts w:asciiTheme="minorEastAsia" w:hAnsiTheme="minorEastAsia" w:eastAsiaTheme="minorEastAsia"/>
          <w:sz w:val="24"/>
          <w:szCs w:val="24"/>
        </w:rPr>
        <w:t>项目现金流模拟测算表详见表</w:t>
      </w:r>
      <w:r>
        <w:rPr>
          <w:rFonts w:hint="eastAsia" w:asciiTheme="minorEastAsia" w:hAnsiTheme="minorEastAsia" w:eastAsiaTheme="minorEastAsia"/>
          <w:sz w:val="24"/>
          <w:szCs w:val="24"/>
        </w:rPr>
        <w:t>7：</w:t>
      </w:r>
    </w:p>
    <w:p w14:paraId="31029B6A">
      <w:pPr>
        <w:ind w:firstLine="482" w:firstLineChars="200"/>
        <w:jc w:val="cente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表6 海口江东新区园区基础设施七期投资计划及资金筹措表</w:t>
      </w:r>
    </w:p>
    <w:p w14:paraId="76F4A940">
      <w:pPr>
        <w:ind w:firstLine="360" w:firstLineChars="200"/>
        <w:jc w:val="right"/>
        <w:rPr>
          <w:rFonts w:hint="eastAsia" w:asciiTheme="minorEastAsia" w:hAnsiTheme="minorEastAsia" w:eastAsiaTheme="minorEastAsia"/>
          <w:sz w:val="18"/>
          <w:szCs w:val="18"/>
        </w:rPr>
      </w:pPr>
      <w:r>
        <w:rPr>
          <w:rFonts w:asciiTheme="minorEastAsia" w:hAnsiTheme="minorEastAsia" w:eastAsiaTheme="minorEastAsia"/>
          <w:sz w:val="18"/>
          <w:szCs w:val="18"/>
        </w:rPr>
        <w:t>单位：人民币万元</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63"/>
        <w:gridCol w:w="2365"/>
        <w:gridCol w:w="1710"/>
        <w:gridCol w:w="1600"/>
        <w:gridCol w:w="1718"/>
      </w:tblGrid>
      <w:tr w14:paraId="4521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576" w:type="pct"/>
            <w:shd w:val="clear" w:color="auto" w:fill="D8D8D8" w:themeFill="background1" w:themeFillShade="D9"/>
            <w:vAlign w:val="center"/>
          </w:tcPr>
          <w:p w14:paraId="5FD5338A">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序号</w:t>
            </w:r>
          </w:p>
        </w:tc>
        <w:tc>
          <w:tcPr>
            <w:tcW w:w="1415" w:type="pct"/>
            <w:shd w:val="clear" w:color="auto" w:fill="D8D8D8" w:themeFill="background1" w:themeFillShade="D9"/>
            <w:vAlign w:val="center"/>
          </w:tcPr>
          <w:p w14:paraId="707036EF">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项目名称</w:t>
            </w:r>
          </w:p>
        </w:tc>
        <w:tc>
          <w:tcPr>
            <w:tcW w:w="1023" w:type="pct"/>
            <w:shd w:val="clear" w:color="auto" w:fill="D8D8D8" w:themeFill="background1" w:themeFillShade="D9"/>
          </w:tcPr>
          <w:p w14:paraId="57E81CD9">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2025</w:t>
            </w:r>
          </w:p>
        </w:tc>
        <w:tc>
          <w:tcPr>
            <w:tcW w:w="957" w:type="pct"/>
            <w:shd w:val="clear" w:color="auto" w:fill="D8D8D8" w:themeFill="background1" w:themeFillShade="D9"/>
          </w:tcPr>
          <w:p w14:paraId="79108070">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rPr>
              <w:t>2026</w:t>
            </w:r>
          </w:p>
        </w:tc>
        <w:tc>
          <w:tcPr>
            <w:tcW w:w="1028" w:type="pct"/>
            <w:shd w:val="clear" w:color="auto" w:fill="D8D8D8" w:themeFill="background1" w:themeFillShade="D9"/>
            <w:vAlign w:val="center"/>
          </w:tcPr>
          <w:p w14:paraId="7397FF99">
            <w:pPr>
              <w:jc w:val="cente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合计</w:t>
            </w:r>
          </w:p>
        </w:tc>
      </w:tr>
      <w:tr w14:paraId="2179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76" w:type="pct"/>
            <w:shd w:val="clear" w:color="000000" w:fill="FFFFFF"/>
            <w:vAlign w:val="center"/>
          </w:tcPr>
          <w:p w14:paraId="7943D19F">
            <w:pPr>
              <w:jc w:val="center"/>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lang w:eastAsia="zh-TW"/>
              </w:rPr>
              <w:t>1</w:t>
            </w:r>
          </w:p>
        </w:tc>
        <w:tc>
          <w:tcPr>
            <w:tcW w:w="1415" w:type="pct"/>
            <w:shd w:val="clear" w:color="000000" w:fill="FFFFFF"/>
            <w:vAlign w:val="center"/>
          </w:tcPr>
          <w:p w14:paraId="6846EFA5">
            <w:pPr>
              <w:rPr>
                <w:rFonts w:hint="eastAsia" w:cs="Arial Unicode MS" w:asciiTheme="minorEastAsia" w:hAnsiTheme="minorEastAsia" w:eastAsiaTheme="minorEastAsia"/>
                <w:color w:val="000000"/>
                <w:szCs w:val="20"/>
              </w:rPr>
            </w:pPr>
            <w:r>
              <w:rPr>
                <w:rFonts w:hint="eastAsia" w:cs="Arial Unicode MS" w:asciiTheme="minorEastAsia" w:hAnsiTheme="minorEastAsia" w:eastAsiaTheme="minorEastAsia"/>
                <w:color w:val="000000"/>
                <w:szCs w:val="20"/>
                <w:lang w:eastAsia="zh-TW"/>
              </w:rPr>
              <w:t>自筹资金</w:t>
            </w:r>
          </w:p>
        </w:tc>
        <w:tc>
          <w:tcPr>
            <w:tcW w:w="1023" w:type="pct"/>
            <w:shd w:val="clear" w:color="000000" w:fill="FFFFFF"/>
          </w:tcPr>
          <w:p w14:paraId="6BCAE1B5">
            <w:pPr>
              <w:jc w:val="right"/>
              <w:rPr>
                <w:rFonts w:hint="eastAsia" w:asciiTheme="minorEastAsia" w:hAnsiTheme="minorEastAsia" w:eastAsiaTheme="minorEastAsia"/>
                <w:b/>
                <w:bCs/>
                <w:color w:val="000000"/>
                <w:szCs w:val="21"/>
              </w:rPr>
            </w:pPr>
            <w:r>
              <w:rPr>
                <w:rFonts w:asciiTheme="minorEastAsia" w:hAnsiTheme="minorEastAsia" w:eastAsiaTheme="minorEastAsia"/>
              </w:rPr>
              <w:t>4,585.91</w:t>
            </w:r>
          </w:p>
        </w:tc>
        <w:tc>
          <w:tcPr>
            <w:tcW w:w="957" w:type="pct"/>
            <w:shd w:val="clear" w:color="000000" w:fill="FFFFFF"/>
          </w:tcPr>
          <w:p w14:paraId="50E5EE67">
            <w:pPr>
              <w:jc w:val="right"/>
              <w:rPr>
                <w:rFonts w:hint="eastAsia" w:asciiTheme="minorEastAsia" w:hAnsiTheme="minorEastAsia" w:eastAsiaTheme="minorEastAsia"/>
                <w:b/>
                <w:bCs/>
              </w:rPr>
            </w:pPr>
            <w:r>
              <w:rPr>
                <w:rFonts w:asciiTheme="minorEastAsia" w:hAnsiTheme="minorEastAsia" w:eastAsiaTheme="minorEastAsia"/>
              </w:rPr>
              <w:t>1,332.26</w:t>
            </w:r>
          </w:p>
        </w:tc>
        <w:tc>
          <w:tcPr>
            <w:tcW w:w="1028" w:type="pct"/>
            <w:shd w:val="clear" w:color="000000" w:fill="FFFFFF"/>
          </w:tcPr>
          <w:p w14:paraId="43213396">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5,918.17</w:t>
            </w:r>
          </w:p>
        </w:tc>
      </w:tr>
      <w:tr w14:paraId="3F26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76" w:type="pct"/>
            <w:shd w:val="clear" w:color="000000" w:fill="FFFFFF"/>
            <w:vAlign w:val="center"/>
          </w:tcPr>
          <w:p w14:paraId="32D3BCC4">
            <w:pPr>
              <w:jc w:val="center"/>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lang w:eastAsia="zh-TW"/>
              </w:rPr>
              <w:t>2</w:t>
            </w:r>
          </w:p>
        </w:tc>
        <w:tc>
          <w:tcPr>
            <w:tcW w:w="1415" w:type="pct"/>
            <w:shd w:val="clear" w:color="000000" w:fill="FFFFFF"/>
            <w:vAlign w:val="center"/>
          </w:tcPr>
          <w:p w14:paraId="7FFB0332">
            <w:pPr>
              <w:rPr>
                <w:rFonts w:hint="eastAsia" w:cs="Arial Unicode MS" w:asciiTheme="minorEastAsia" w:hAnsiTheme="minorEastAsia" w:eastAsiaTheme="minorEastAsia"/>
                <w:color w:val="000000"/>
                <w:szCs w:val="20"/>
              </w:rPr>
            </w:pPr>
            <w:r>
              <w:rPr>
                <w:rFonts w:hint="eastAsia" w:cs="Arial Unicode MS" w:asciiTheme="minorEastAsia" w:hAnsiTheme="minorEastAsia" w:eastAsiaTheme="minorEastAsia"/>
                <w:color w:val="000000"/>
                <w:szCs w:val="20"/>
                <w:lang w:eastAsia="zh-TW"/>
              </w:rPr>
              <w:t>本期债券发行</w:t>
            </w:r>
          </w:p>
        </w:tc>
        <w:tc>
          <w:tcPr>
            <w:tcW w:w="1023" w:type="pct"/>
            <w:shd w:val="clear" w:color="000000" w:fill="FFFFFF"/>
          </w:tcPr>
          <w:p w14:paraId="1ABEC641">
            <w:pPr>
              <w:jc w:val="right"/>
              <w:rPr>
                <w:rFonts w:hint="eastAsia" w:asciiTheme="minorEastAsia" w:hAnsiTheme="minorEastAsia" w:eastAsiaTheme="minorEastAsia"/>
                <w:b/>
                <w:bCs/>
                <w:color w:val="000000"/>
                <w:szCs w:val="21"/>
              </w:rPr>
            </w:pPr>
            <w:r>
              <w:rPr>
                <w:rFonts w:asciiTheme="minorEastAsia" w:hAnsiTheme="minorEastAsia" w:eastAsiaTheme="minorEastAsia"/>
              </w:rPr>
              <w:t>700.00</w:t>
            </w:r>
          </w:p>
        </w:tc>
        <w:tc>
          <w:tcPr>
            <w:tcW w:w="957" w:type="pct"/>
            <w:shd w:val="clear" w:color="000000" w:fill="FFFFFF"/>
          </w:tcPr>
          <w:p w14:paraId="3DDA0808">
            <w:pPr>
              <w:jc w:val="right"/>
              <w:rPr>
                <w:rFonts w:hint="eastAsia" w:asciiTheme="minorEastAsia" w:hAnsiTheme="minorEastAsia" w:eastAsiaTheme="minorEastAsia"/>
                <w:b/>
                <w:bCs/>
              </w:rPr>
            </w:pPr>
            <w:r>
              <w:rPr>
                <w:rFonts w:asciiTheme="minorEastAsia" w:hAnsiTheme="minorEastAsia" w:eastAsiaTheme="minorEastAsia"/>
              </w:rPr>
              <w:t>-</w:t>
            </w:r>
          </w:p>
        </w:tc>
        <w:tc>
          <w:tcPr>
            <w:tcW w:w="1028" w:type="pct"/>
            <w:shd w:val="clear" w:color="000000" w:fill="FFFFFF"/>
          </w:tcPr>
          <w:p w14:paraId="7929FAAC">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700.00</w:t>
            </w:r>
          </w:p>
        </w:tc>
      </w:tr>
      <w:tr w14:paraId="6BD8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76" w:type="pct"/>
            <w:shd w:val="clear" w:color="000000" w:fill="FFFFFF"/>
            <w:vAlign w:val="center"/>
          </w:tcPr>
          <w:p w14:paraId="4253980F">
            <w:pPr>
              <w:jc w:val="center"/>
              <w:rPr>
                <w:rFonts w:hint="eastAsia" w:asciiTheme="minorEastAsia" w:hAnsiTheme="minorEastAsia" w:eastAsiaTheme="minorEastAsia"/>
                <w:b/>
                <w:color w:val="000000"/>
                <w:szCs w:val="20"/>
              </w:rPr>
            </w:pPr>
            <w:r>
              <w:rPr>
                <w:rFonts w:asciiTheme="minorEastAsia" w:hAnsiTheme="minorEastAsia" w:eastAsiaTheme="minorEastAsia"/>
                <w:b/>
                <w:color w:val="000000"/>
                <w:szCs w:val="20"/>
                <w:lang w:eastAsia="zh-TW"/>
              </w:rPr>
              <w:t>3</w:t>
            </w:r>
          </w:p>
        </w:tc>
        <w:tc>
          <w:tcPr>
            <w:tcW w:w="1415" w:type="pct"/>
            <w:shd w:val="clear" w:color="000000" w:fill="FFFFFF"/>
            <w:vAlign w:val="center"/>
          </w:tcPr>
          <w:p w14:paraId="3249A295">
            <w:pPr>
              <w:rPr>
                <w:rFonts w:hint="eastAsia" w:cs="Arial Unicode MS" w:asciiTheme="minorEastAsia" w:hAnsiTheme="minorEastAsia" w:eastAsiaTheme="minorEastAsia"/>
                <w:b/>
                <w:color w:val="000000"/>
                <w:szCs w:val="20"/>
              </w:rPr>
            </w:pPr>
            <w:r>
              <w:rPr>
                <w:rFonts w:hint="eastAsia" w:cs="Arial Unicode MS" w:asciiTheme="minorEastAsia" w:hAnsiTheme="minorEastAsia" w:eastAsiaTheme="minorEastAsia"/>
                <w:b/>
                <w:color w:val="000000"/>
                <w:szCs w:val="20"/>
                <w:lang w:eastAsia="zh-TW"/>
              </w:rPr>
              <w:t>合计</w:t>
            </w:r>
          </w:p>
        </w:tc>
        <w:tc>
          <w:tcPr>
            <w:tcW w:w="1023" w:type="pct"/>
            <w:shd w:val="clear" w:color="000000" w:fill="FFFFFF"/>
          </w:tcPr>
          <w:p w14:paraId="78446E5A">
            <w:pPr>
              <w:jc w:val="right"/>
              <w:rPr>
                <w:rFonts w:hint="eastAsia" w:asciiTheme="minorEastAsia" w:hAnsiTheme="minorEastAsia" w:eastAsiaTheme="minorEastAsia"/>
                <w:b/>
                <w:bCs/>
                <w:color w:val="000000"/>
                <w:szCs w:val="21"/>
              </w:rPr>
            </w:pPr>
            <w:r>
              <w:rPr>
                <w:rFonts w:asciiTheme="minorEastAsia" w:hAnsiTheme="minorEastAsia" w:eastAsiaTheme="minorEastAsia"/>
                <w:b/>
                <w:bCs/>
              </w:rPr>
              <w:t>5,285.91</w:t>
            </w:r>
          </w:p>
        </w:tc>
        <w:tc>
          <w:tcPr>
            <w:tcW w:w="957" w:type="pct"/>
            <w:shd w:val="clear" w:color="000000" w:fill="FFFFFF"/>
          </w:tcPr>
          <w:p w14:paraId="47120AC8">
            <w:pPr>
              <w:jc w:val="right"/>
              <w:rPr>
                <w:rFonts w:hint="eastAsia" w:asciiTheme="minorEastAsia" w:hAnsiTheme="minorEastAsia" w:eastAsiaTheme="minorEastAsia"/>
                <w:b/>
                <w:bCs/>
              </w:rPr>
            </w:pPr>
            <w:r>
              <w:rPr>
                <w:rFonts w:asciiTheme="minorEastAsia" w:hAnsiTheme="minorEastAsia" w:eastAsiaTheme="minorEastAsia"/>
                <w:b/>
                <w:bCs/>
              </w:rPr>
              <w:t>1,332.26</w:t>
            </w:r>
          </w:p>
        </w:tc>
        <w:tc>
          <w:tcPr>
            <w:tcW w:w="1028" w:type="pct"/>
            <w:shd w:val="clear" w:color="000000" w:fill="FFFFFF"/>
          </w:tcPr>
          <w:p w14:paraId="1879A8FD">
            <w:pPr>
              <w:jc w:val="right"/>
              <w:rPr>
                <w:rFonts w:hint="eastAsia" w:asciiTheme="minorEastAsia" w:hAnsiTheme="minorEastAsia" w:eastAsiaTheme="minorEastAsia"/>
                <w:b/>
                <w:bCs/>
                <w:color w:val="000000"/>
                <w:szCs w:val="20"/>
              </w:rPr>
            </w:pPr>
            <w:r>
              <w:rPr>
                <w:rFonts w:asciiTheme="minorEastAsia" w:hAnsiTheme="minorEastAsia" w:eastAsiaTheme="minorEastAsia"/>
                <w:b/>
                <w:bCs/>
              </w:rPr>
              <w:t>6,618.17</w:t>
            </w:r>
          </w:p>
        </w:tc>
      </w:tr>
    </w:tbl>
    <w:p w14:paraId="70D9EB2F">
      <w:pPr>
        <w:ind w:firstLine="482" w:firstLineChars="200"/>
        <w:jc w:val="center"/>
        <w:rPr>
          <w:rFonts w:hint="eastAsia" w:asciiTheme="minorEastAsia" w:hAnsiTheme="minorEastAsia" w:eastAsiaTheme="minorEastAsia"/>
          <w:b/>
          <w:sz w:val="24"/>
          <w:szCs w:val="24"/>
        </w:rPr>
      </w:pPr>
    </w:p>
    <w:p w14:paraId="3DFD58E3">
      <w:pPr>
        <w:ind w:firstLine="482" w:firstLineChars="200"/>
        <w:jc w:val="cente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表7 海口江东新区园区基础设施七期现金流模拟测算表</w:t>
      </w:r>
    </w:p>
    <w:p w14:paraId="19AC68EE">
      <w:pPr>
        <w:ind w:right="-57" w:rightChars="-27" w:firstLine="360" w:firstLineChars="200"/>
        <w:jc w:val="right"/>
        <w:rPr>
          <w:rFonts w:hint="eastAsia" w:asciiTheme="minorEastAsia" w:hAnsiTheme="minorEastAsia" w:eastAsiaTheme="minorEastAsia"/>
          <w:sz w:val="18"/>
          <w:szCs w:val="18"/>
        </w:rPr>
      </w:pPr>
      <w:r>
        <w:rPr>
          <w:rFonts w:asciiTheme="minorEastAsia" w:hAnsiTheme="minorEastAsia" w:eastAsiaTheme="minorEastAsia"/>
          <w:sz w:val="18"/>
          <w:szCs w:val="18"/>
        </w:rPr>
        <w:t>单位：人民币万元</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37"/>
        <w:gridCol w:w="1001"/>
        <w:gridCol w:w="999"/>
        <w:gridCol w:w="999"/>
        <w:gridCol w:w="996"/>
        <w:gridCol w:w="989"/>
        <w:gridCol w:w="989"/>
      </w:tblGrid>
      <w:tr w14:paraId="4A9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blHeader/>
          <w:jc w:val="center"/>
        </w:trPr>
        <w:tc>
          <w:tcPr>
            <w:tcW w:w="1407" w:type="pct"/>
            <w:shd w:val="clear" w:color="auto" w:fill="D8D8D8" w:themeFill="background1" w:themeFillShade="D9"/>
            <w:vAlign w:val="center"/>
          </w:tcPr>
          <w:p w14:paraId="0C7F8A9F">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年度</w:t>
            </w:r>
          </w:p>
        </w:tc>
        <w:tc>
          <w:tcPr>
            <w:tcW w:w="602" w:type="pct"/>
            <w:shd w:val="clear" w:color="auto" w:fill="D8D8D8" w:themeFill="background1" w:themeFillShade="D9"/>
            <w:vAlign w:val="center"/>
          </w:tcPr>
          <w:p w14:paraId="39D8120E">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2025</w:t>
            </w:r>
          </w:p>
        </w:tc>
        <w:tc>
          <w:tcPr>
            <w:tcW w:w="601" w:type="pct"/>
            <w:shd w:val="clear" w:color="auto" w:fill="D8D8D8" w:themeFill="background1" w:themeFillShade="D9"/>
            <w:vAlign w:val="center"/>
          </w:tcPr>
          <w:p w14:paraId="0CB8193B">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2026</w:t>
            </w:r>
          </w:p>
        </w:tc>
        <w:tc>
          <w:tcPr>
            <w:tcW w:w="601" w:type="pct"/>
            <w:shd w:val="clear" w:color="auto" w:fill="D8D8D8" w:themeFill="background1" w:themeFillShade="D9"/>
            <w:vAlign w:val="center"/>
          </w:tcPr>
          <w:p w14:paraId="7CA1787A">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2027</w:t>
            </w:r>
          </w:p>
        </w:tc>
        <w:tc>
          <w:tcPr>
            <w:tcW w:w="599" w:type="pct"/>
            <w:shd w:val="clear" w:color="auto" w:fill="D8D8D8" w:themeFill="background1" w:themeFillShade="D9"/>
            <w:vAlign w:val="center"/>
          </w:tcPr>
          <w:p w14:paraId="795CF13A">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2028</w:t>
            </w:r>
          </w:p>
        </w:tc>
        <w:tc>
          <w:tcPr>
            <w:tcW w:w="595" w:type="pct"/>
            <w:shd w:val="clear" w:color="auto" w:fill="D8D8D8" w:themeFill="background1" w:themeFillShade="D9"/>
            <w:vAlign w:val="center"/>
          </w:tcPr>
          <w:p w14:paraId="3F722974">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2029</w:t>
            </w:r>
          </w:p>
        </w:tc>
        <w:tc>
          <w:tcPr>
            <w:tcW w:w="595" w:type="pct"/>
            <w:shd w:val="clear" w:color="auto" w:fill="D8D8D8" w:themeFill="background1" w:themeFillShade="D9"/>
            <w:vAlign w:val="center"/>
          </w:tcPr>
          <w:p w14:paraId="6F6CDD7A">
            <w:pPr>
              <w:jc w:val="cente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2030</w:t>
            </w:r>
          </w:p>
        </w:tc>
      </w:tr>
      <w:tr w14:paraId="1653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7B72CA6F">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w:t>
            </w:r>
          </w:p>
        </w:tc>
        <w:tc>
          <w:tcPr>
            <w:tcW w:w="602" w:type="pct"/>
            <w:shd w:val="clear" w:color="auto" w:fill="FFFFFF"/>
            <w:vAlign w:val="center"/>
          </w:tcPr>
          <w:p w14:paraId="4D7A024F">
            <w:pPr>
              <w:jc w:val="right"/>
              <w:rPr>
                <w:rFonts w:hint="eastAsia" w:cs="宋体" w:asciiTheme="minorEastAsia" w:hAnsiTheme="minorEastAsia" w:eastAsiaTheme="minorEastAsia"/>
                <w:b/>
                <w:bCs/>
                <w:color w:val="000000"/>
                <w:szCs w:val="20"/>
              </w:rPr>
            </w:pPr>
          </w:p>
        </w:tc>
        <w:tc>
          <w:tcPr>
            <w:tcW w:w="601" w:type="pct"/>
            <w:shd w:val="clear" w:color="auto" w:fill="FFFFFF"/>
            <w:vAlign w:val="center"/>
          </w:tcPr>
          <w:p w14:paraId="25144299">
            <w:pPr>
              <w:jc w:val="right"/>
              <w:rPr>
                <w:rFonts w:hint="eastAsia" w:cs="宋体" w:asciiTheme="minorEastAsia" w:hAnsiTheme="minorEastAsia" w:eastAsiaTheme="minorEastAsia"/>
                <w:b/>
                <w:bCs/>
                <w:color w:val="000000"/>
                <w:szCs w:val="20"/>
              </w:rPr>
            </w:pPr>
          </w:p>
        </w:tc>
        <w:tc>
          <w:tcPr>
            <w:tcW w:w="601" w:type="pct"/>
            <w:shd w:val="clear" w:color="auto" w:fill="FFFFFF"/>
            <w:vAlign w:val="center"/>
          </w:tcPr>
          <w:p w14:paraId="172A4875">
            <w:pPr>
              <w:jc w:val="right"/>
              <w:rPr>
                <w:rFonts w:hint="eastAsia" w:cs="宋体" w:asciiTheme="minorEastAsia" w:hAnsiTheme="minorEastAsia" w:eastAsiaTheme="minorEastAsia"/>
                <w:b/>
                <w:bCs/>
                <w:color w:val="000000"/>
                <w:szCs w:val="20"/>
              </w:rPr>
            </w:pPr>
          </w:p>
        </w:tc>
        <w:tc>
          <w:tcPr>
            <w:tcW w:w="599" w:type="pct"/>
            <w:shd w:val="clear" w:color="auto" w:fill="FFFFFF"/>
            <w:vAlign w:val="center"/>
          </w:tcPr>
          <w:p w14:paraId="5FAD2EED">
            <w:pPr>
              <w:jc w:val="right"/>
              <w:rPr>
                <w:rFonts w:hint="eastAsia" w:cs="宋体" w:asciiTheme="minorEastAsia" w:hAnsiTheme="minorEastAsia" w:eastAsiaTheme="minorEastAsia"/>
                <w:b/>
                <w:bCs/>
                <w:color w:val="000000"/>
                <w:szCs w:val="20"/>
              </w:rPr>
            </w:pPr>
          </w:p>
        </w:tc>
        <w:tc>
          <w:tcPr>
            <w:tcW w:w="595" w:type="pct"/>
            <w:shd w:val="clear" w:color="auto" w:fill="FFFFFF"/>
            <w:vAlign w:val="center"/>
          </w:tcPr>
          <w:p w14:paraId="2FFA15ED">
            <w:pPr>
              <w:jc w:val="right"/>
              <w:rPr>
                <w:rFonts w:hint="eastAsia" w:cs="宋体" w:asciiTheme="minorEastAsia" w:hAnsiTheme="minorEastAsia" w:eastAsiaTheme="minorEastAsia"/>
                <w:b/>
                <w:bCs/>
                <w:color w:val="000000"/>
                <w:szCs w:val="20"/>
              </w:rPr>
            </w:pPr>
          </w:p>
        </w:tc>
        <w:tc>
          <w:tcPr>
            <w:tcW w:w="595" w:type="pct"/>
            <w:shd w:val="clear" w:color="auto" w:fill="FFFFFF"/>
            <w:vAlign w:val="center"/>
          </w:tcPr>
          <w:p w14:paraId="32661C25">
            <w:pPr>
              <w:jc w:val="right"/>
              <w:rPr>
                <w:rFonts w:hint="eastAsia" w:cs="宋体" w:asciiTheme="minorEastAsia" w:hAnsiTheme="minorEastAsia" w:eastAsiaTheme="minorEastAsia"/>
                <w:b/>
                <w:bCs/>
                <w:color w:val="000000"/>
                <w:szCs w:val="20"/>
              </w:rPr>
            </w:pPr>
          </w:p>
        </w:tc>
      </w:tr>
      <w:tr w14:paraId="2555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2EFE54FC">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自筹资金流入</w:t>
            </w:r>
          </w:p>
        </w:tc>
        <w:tc>
          <w:tcPr>
            <w:tcW w:w="602" w:type="pct"/>
            <w:shd w:val="clear" w:color="auto" w:fill="FFFFFF"/>
            <w:vAlign w:val="center"/>
          </w:tcPr>
          <w:p w14:paraId="331EAE48">
            <w:pPr>
              <w:jc w:val="right"/>
              <w:rPr>
                <w:rFonts w:hint="eastAsia" w:ascii="宋体" w:hAnsi="宋体" w:eastAsia="宋体" w:cs="宋体"/>
                <w:color w:val="000000"/>
                <w:szCs w:val="21"/>
              </w:rPr>
            </w:pPr>
            <w:r>
              <w:rPr>
                <w:rFonts w:hint="eastAsia" w:ascii="宋体" w:hAnsi="宋体" w:eastAsia="宋体"/>
                <w:color w:val="000000"/>
                <w:sz w:val="20"/>
                <w:szCs w:val="20"/>
              </w:rPr>
              <w:t>4,585.91</w:t>
            </w:r>
          </w:p>
        </w:tc>
        <w:tc>
          <w:tcPr>
            <w:tcW w:w="601" w:type="pct"/>
            <w:shd w:val="clear" w:color="auto" w:fill="FFFFFF"/>
            <w:vAlign w:val="center"/>
          </w:tcPr>
          <w:p w14:paraId="31B41C98">
            <w:pPr>
              <w:jc w:val="right"/>
              <w:rPr>
                <w:rFonts w:hint="eastAsia" w:ascii="宋体" w:hAnsi="宋体" w:eastAsia="宋体" w:cs="宋体"/>
                <w:color w:val="000000"/>
                <w:szCs w:val="21"/>
              </w:rPr>
            </w:pPr>
            <w:r>
              <w:rPr>
                <w:rFonts w:hint="eastAsia" w:ascii="宋体" w:hAnsi="宋体" w:eastAsia="宋体"/>
                <w:color w:val="000000"/>
                <w:sz w:val="20"/>
                <w:szCs w:val="20"/>
              </w:rPr>
              <w:t>1,332.26</w:t>
            </w:r>
          </w:p>
        </w:tc>
        <w:tc>
          <w:tcPr>
            <w:tcW w:w="601" w:type="pct"/>
            <w:shd w:val="clear" w:color="auto" w:fill="FFFFFF"/>
            <w:vAlign w:val="center"/>
          </w:tcPr>
          <w:p w14:paraId="7F2EB2DE">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9" w:type="pct"/>
            <w:shd w:val="clear" w:color="auto" w:fill="FFFFFF"/>
            <w:vAlign w:val="center"/>
          </w:tcPr>
          <w:p w14:paraId="1E5ACE1C">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65B555B7">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3A0A1170">
            <w:pPr>
              <w:jc w:val="right"/>
              <w:rPr>
                <w:rFonts w:hint="eastAsia" w:ascii="宋体" w:hAnsi="宋体" w:eastAsia="宋体" w:cs="宋体"/>
                <w:color w:val="000000"/>
                <w:szCs w:val="21"/>
              </w:rPr>
            </w:pPr>
            <w:r>
              <w:rPr>
                <w:rFonts w:hint="eastAsia" w:ascii="宋体" w:hAnsi="宋体" w:eastAsia="宋体"/>
                <w:color w:val="000000"/>
                <w:sz w:val="20"/>
                <w:szCs w:val="20"/>
              </w:rPr>
              <w:t>-</w:t>
            </w:r>
          </w:p>
        </w:tc>
      </w:tr>
      <w:tr w14:paraId="2A70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2A5AC679">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本期债券资金流入</w:t>
            </w:r>
          </w:p>
        </w:tc>
        <w:tc>
          <w:tcPr>
            <w:tcW w:w="602" w:type="pct"/>
            <w:shd w:val="clear" w:color="auto" w:fill="FFFFFF"/>
            <w:vAlign w:val="center"/>
          </w:tcPr>
          <w:p w14:paraId="25F66368">
            <w:pPr>
              <w:jc w:val="right"/>
              <w:rPr>
                <w:rFonts w:hint="eastAsia" w:ascii="宋体" w:hAnsi="宋体" w:eastAsia="宋体" w:cs="宋体"/>
                <w:color w:val="000000"/>
                <w:szCs w:val="21"/>
              </w:rPr>
            </w:pPr>
            <w:r>
              <w:rPr>
                <w:rFonts w:hint="eastAsia" w:ascii="宋体" w:hAnsi="宋体" w:eastAsia="宋体"/>
                <w:color w:val="000000"/>
                <w:sz w:val="20"/>
                <w:szCs w:val="20"/>
              </w:rPr>
              <w:t>700.00</w:t>
            </w:r>
          </w:p>
        </w:tc>
        <w:tc>
          <w:tcPr>
            <w:tcW w:w="601" w:type="pct"/>
            <w:shd w:val="clear" w:color="auto" w:fill="FFFFFF"/>
            <w:vAlign w:val="center"/>
          </w:tcPr>
          <w:p w14:paraId="5C2EFE6B">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151F0FAC">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9" w:type="pct"/>
            <w:shd w:val="clear" w:color="auto" w:fill="FFFFFF"/>
            <w:vAlign w:val="center"/>
          </w:tcPr>
          <w:p w14:paraId="3AD433AF">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55F3242E">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1C18F2F5">
            <w:pPr>
              <w:jc w:val="right"/>
              <w:rPr>
                <w:rFonts w:hint="eastAsia" w:ascii="宋体" w:hAnsi="宋体" w:eastAsia="宋体" w:cs="宋体"/>
                <w:color w:val="000000"/>
                <w:szCs w:val="21"/>
              </w:rPr>
            </w:pPr>
            <w:r>
              <w:rPr>
                <w:rFonts w:hint="eastAsia" w:ascii="宋体" w:hAnsi="宋体" w:eastAsia="宋体"/>
                <w:color w:val="000000"/>
                <w:sz w:val="20"/>
                <w:szCs w:val="20"/>
              </w:rPr>
              <w:t>-</w:t>
            </w:r>
          </w:p>
        </w:tc>
      </w:tr>
      <w:tr w14:paraId="7C5C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00D1CDC9">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运营期现金流入</w:t>
            </w:r>
          </w:p>
        </w:tc>
        <w:tc>
          <w:tcPr>
            <w:tcW w:w="602" w:type="pct"/>
            <w:shd w:val="clear" w:color="auto" w:fill="FFFFFF"/>
            <w:vAlign w:val="center"/>
          </w:tcPr>
          <w:p w14:paraId="2D7586EA">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5982BF93">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18D89942">
            <w:pPr>
              <w:jc w:val="right"/>
              <w:rPr>
                <w:rFonts w:hint="eastAsia" w:ascii="宋体" w:hAnsi="宋体" w:eastAsia="宋体" w:cs="宋体"/>
                <w:color w:val="000000"/>
                <w:szCs w:val="21"/>
              </w:rPr>
            </w:pPr>
            <w:r>
              <w:rPr>
                <w:rFonts w:hint="eastAsia" w:ascii="宋体" w:hAnsi="宋体" w:eastAsia="宋体"/>
                <w:color w:val="000000"/>
                <w:sz w:val="20"/>
                <w:szCs w:val="20"/>
              </w:rPr>
              <w:t>238.32</w:t>
            </w:r>
          </w:p>
        </w:tc>
        <w:tc>
          <w:tcPr>
            <w:tcW w:w="599" w:type="pct"/>
            <w:shd w:val="clear" w:color="auto" w:fill="FFFFFF"/>
            <w:vAlign w:val="center"/>
          </w:tcPr>
          <w:p w14:paraId="6134CADF">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c>
          <w:tcPr>
            <w:tcW w:w="595" w:type="pct"/>
            <w:shd w:val="clear" w:color="auto" w:fill="FFFFFF"/>
            <w:vAlign w:val="center"/>
          </w:tcPr>
          <w:p w14:paraId="1957A26E">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c>
          <w:tcPr>
            <w:tcW w:w="595" w:type="pct"/>
            <w:shd w:val="clear" w:color="auto" w:fill="FFFFFF"/>
            <w:vAlign w:val="center"/>
          </w:tcPr>
          <w:p w14:paraId="7470C9EE">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r>
      <w:tr w14:paraId="5FB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10FE5840">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现金流入总额</w:t>
            </w:r>
          </w:p>
        </w:tc>
        <w:tc>
          <w:tcPr>
            <w:tcW w:w="602" w:type="pct"/>
            <w:shd w:val="clear" w:color="auto" w:fill="FFFFFF"/>
            <w:vAlign w:val="center"/>
          </w:tcPr>
          <w:p w14:paraId="14120BFE">
            <w:pPr>
              <w:jc w:val="right"/>
              <w:rPr>
                <w:rFonts w:hint="eastAsia" w:ascii="宋体" w:hAnsi="宋体" w:eastAsia="宋体" w:cs="宋体"/>
                <w:b/>
                <w:bCs/>
                <w:color w:val="000000"/>
                <w:szCs w:val="21"/>
              </w:rPr>
            </w:pPr>
            <w:r>
              <w:rPr>
                <w:rFonts w:hint="eastAsia" w:ascii="宋体" w:hAnsi="宋体" w:eastAsia="宋体"/>
                <w:b/>
                <w:bCs/>
                <w:color w:val="000000"/>
                <w:sz w:val="20"/>
                <w:szCs w:val="20"/>
              </w:rPr>
              <w:t>5,285.91</w:t>
            </w:r>
          </w:p>
        </w:tc>
        <w:tc>
          <w:tcPr>
            <w:tcW w:w="601" w:type="pct"/>
            <w:shd w:val="clear" w:color="auto" w:fill="FFFFFF"/>
            <w:vAlign w:val="center"/>
          </w:tcPr>
          <w:p w14:paraId="2E982578">
            <w:pPr>
              <w:jc w:val="right"/>
              <w:rPr>
                <w:rFonts w:hint="eastAsia" w:ascii="宋体" w:hAnsi="宋体" w:eastAsia="宋体" w:cs="宋体"/>
                <w:b/>
                <w:bCs/>
                <w:color w:val="000000"/>
                <w:szCs w:val="21"/>
              </w:rPr>
            </w:pPr>
            <w:r>
              <w:rPr>
                <w:rFonts w:hint="eastAsia" w:ascii="宋体" w:hAnsi="宋体" w:eastAsia="宋体"/>
                <w:b/>
                <w:bCs/>
                <w:color w:val="000000"/>
                <w:sz w:val="20"/>
                <w:szCs w:val="20"/>
              </w:rPr>
              <w:t>1,332.26</w:t>
            </w:r>
          </w:p>
        </w:tc>
        <w:tc>
          <w:tcPr>
            <w:tcW w:w="601" w:type="pct"/>
            <w:shd w:val="clear" w:color="auto" w:fill="FFFFFF"/>
            <w:vAlign w:val="center"/>
          </w:tcPr>
          <w:p w14:paraId="190BBFF7">
            <w:pPr>
              <w:jc w:val="right"/>
              <w:rPr>
                <w:rFonts w:hint="eastAsia" w:ascii="宋体" w:hAnsi="宋体" w:eastAsia="宋体" w:cs="宋体"/>
                <w:b/>
                <w:bCs/>
                <w:color w:val="000000"/>
                <w:szCs w:val="21"/>
              </w:rPr>
            </w:pPr>
            <w:r>
              <w:rPr>
                <w:rFonts w:hint="eastAsia" w:ascii="宋体" w:hAnsi="宋体" w:eastAsia="宋体"/>
                <w:b/>
                <w:bCs/>
                <w:color w:val="000000"/>
                <w:sz w:val="20"/>
                <w:szCs w:val="20"/>
              </w:rPr>
              <w:t>238.32</w:t>
            </w:r>
          </w:p>
        </w:tc>
        <w:tc>
          <w:tcPr>
            <w:tcW w:w="599" w:type="pct"/>
            <w:shd w:val="clear" w:color="auto" w:fill="FFFFFF"/>
            <w:vAlign w:val="center"/>
          </w:tcPr>
          <w:p w14:paraId="538E5AF8">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c>
          <w:tcPr>
            <w:tcW w:w="595" w:type="pct"/>
            <w:shd w:val="clear" w:color="auto" w:fill="FFFFFF"/>
            <w:vAlign w:val="center"/>
          </w:tcPr>
          <w:p w14:paraId="6A14C227">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c>
          <w:tcPr>
            <w:tcW w:w="595" w:type="pct"/>
            <w:shd w:val="clear" w:color="auto" w:fill="FFFFFF"/>
            <w:vAlign w:val="center"/>
          </w:tcPr>
          <w:p w14:paraId="6D87256F">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r>
      <w:tr w14:paraId="73E4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5ECC8E0E">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w:t>
            </w:r>
          </w:p>
        </w:tc>
        <w:tc>
          <w:tcPr>
            <w:tcW w:w="602" w:type="pct"/>
            <w:shd w:val="clear" w:color="auto" w:fill="FFFFFF"/>
            <w:vAlign w:val="center"/>
          </w:tcPr>
          <w:p w14:paraId="68C9987D">
            <w:pPr>
              <w:jc w:val="right"/>
              <w:rPr>
                <w:rFonts w:hint="eastAsia" w:ascii="宋体" w:hAnsi="宋体" w:eastAsia="宋体" w:cs="宋体"/>
                <w:b/>
                <w:bCs/>
                <w:color w:val="000000"/>
                <w:szCs w:val="21"/>
              </w:rPr>
            </w:pPr>
          </w:p>
        </w:tc>
        <w:tc>
          <w:tcPr>
            <w:tcW w:w="601" w:type="pct"/>
            <w:shd w:val="clear" w:color="auto" w:fill="FFFFFF"/>
            <w:vAlign w:val="center"/>
          </w:tcPr>
          <w:p w14:paraId="6AE0AF62">
            <w:pPr>
              <w:jc w:val="right"/>
              <w:rPr>
                <w:rFonts w:hint="eastAsia" w:ascii="宋体" w:hAnsi="宋体" w:eastAsia="宋体" w:cs="宋体"/>
                <w:b/>
                <w:bCs/>
                <w:color w:val="000000"/>
                <w:szCs w:val="21"/>
              </w:rPr>
            </w:pPr>
          </w:p>
        </w:tc>
        <w:tc>
          <w:tcPr>
            <w:tcW w:w="601" w:type="pct"/>
            <w:shd w:val="clear" w:color="auto" w:fill="FFFFFF"/>
            <w:vAlign w:val="center"/>
          </w:tcPr>
          <w:p w14:paraId="4D415577">
            <w:pPr>
              <w:jc w:val="right"/>
              <w:rPr>
                <w:rFonts w:hint="eastAsia" w:ascii="宋体" w:hAnsi="宋体" w:eastAsia="宋体" w:cs="宋体"/>
                <w:b/>
                <w:bCs/>
                <w:color w:val="000000"/>
                <w:szCs w:val="21"/>
              </w:rPr>
            </w:pPr>
          </w:p>
        </w:tc>
        <w:tc>
          <w:tcPr>
            <w:tcW w:w="599" w:type="pct"/>
            <w:shd w:val="clear" w:color="auto" w:fill="FFFFFF"/>
            <w:vAlign w:val="center"/>
          </w:tcPr>
          <w:p w14:paraId="3495020A">
            <w:pPr>
              <w:jc w:val="right"/>
              <w:rPr>
                <w:rFonts w:hint="eastAsia" w:ascii="宋体" w:hAnsi="宋体" w:eastAsia="宋体" w:cs="宋体"/>
                <w:b/>
                <w:bCs/>
                <w:color w:val="000000"/>
                <w:szCs w:val="21"/>
              </w:rPr>
            </w:pPr>
          </w:p>
        </w:tc>
        <w:tc>
          <w:tcPr>
            <w:tcW w:w="595" w:type="pct"/>
            <w:shd w:val="clear" w:color="auto" w:fill="FFFFFF"/>
            <w:vAlign w:val="center"/>
          </w:tcPr>
          <w:p w14:paraId="26EE46D4">
            <w:pPr>
              <w:jc w:val="right"/>
              <w:rPr>
                <w:rFonts w:hint="eastAsia" w:ascii="宋体" w:hAnsi="宋体" w:eastAsia="宋体" w:cs="宋体"/>
                <w:b/>
                <w:bCs/>
                <w:color w:val="000000"/>
                <w:szCs w:val="21"/>
              </w:rPr>
            </w:pPr>
          </w:p>
        </w:tc>
        <w:tc>
          <w:tcPr>
            <w:tcW w:w="595" w:type="pct"/>
            <w:shd w:val="clear" w:color="auto" w:fill="FFFFFF"/>
            <w:vAlign w:val="center"/>
          </w:tcPr>
          <w:p w14:paraId="779F9B0F">
            <w:pPr>
              <w:jc w:val="right"/>
              <w:rPr>
                <w:rFonts w:hint="eastAsia" w:ascii="宋体" w:hAnsi="宋体" w:eastAsia="宋体" w:cs="宋体"/>
                <w:b/>
                <w:bCs/>
                <w:color w:val="000000"/>
                <w:szCs w:val="21"/>
              </w:rPr>
            </w:pPr>
          </w:p>
        </w:tc>
      </w:tr>
      <w:tr w14:paraId="7FDB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2CA0DEF3">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建设期资金流出</w:t>
            </w:r>
          </w:p>
        </w:tc>
        <w:tc>
          <w:tcPr>
            <w:tcW w:w="602" w:type="pct"/>
            <w:shd w:val="clear" w:color="auto" w:fill="FFFFFF"/>
            <w:vAlign w:val="center"/>
          </w:tcPr>
          <w:p w14:paraId="14FCA128">
            <w:pPr>
              <w:jc w:val="right"/>
              <w:rPr>
                <w:rFonts w:hint="eastAsia" w:ascii="宋体" w:hAnsi="宋体" w:eastAsia="宋体" w:cs="宋体"/>
                <w:color w:val="000000"/>
                <w:szCs w:val="21"/>
              </w:rPr>
            </w:pPr>
            <w:r>
              <w:rPr>
                <w:rFonts w:hint="eastAsia" w:ascii="宋体" w:hAnsi="宋体" w:eastAsia="宋体"/>
                <w:color w:val="000000"/>
                <w:sz w:val="20"/>
                <w:szCs w:val="20"/>
              </w:rPr>
              <w:t>5,279.75</w:t>
            </w:r>
          </w:p>
        </w:tc>
        <w:tc>
          <w:tcPr>
            <w:tcW w:w="601" w:type="pct"/>
            <w:shd w:val="clear" w:color="auto" w:fill="FFFFFF"/>
            <w:vAlign w:val="center"/>
          </w:tcPr>
          <w:p w14:paraId="760EA494">
            <w:pPr>
              <w:jc w:val="right"/>
              <w:rPr>
                <w:rFonts w:hint="eastAsia" w:ascii="宋体" w:hAnsi="宋体" w:eastAsia="宋体" w:cs="宋体"/>
                <w:color w:val="000000"/>
                <w:szCs w:val="21"/>
              </w:rPr>
            </w:pPr>
            <w:r>
              <w:rPr>
                <w:rFonts w:hint="eastAsia" w:ascii="宋体" w:hAnsi="宋体" w:eastAsia="宋体"/>
                <w:color w:val="000000"/>
                <w:sz w:val="20"/>
                <w:szCs w:val="20"/>
              </w:rPr>
              <w:t>1,319.94</w:t>
            </w:r>
          </w:p>
        </w:tc>
        <w:tc>
          <w:tcPr>
            <w:tcW w:w="601" w:type="pct"/>
            <w:shd w:val="clear" w:color="auto" w:fill="FFFFFF"/>
            <w:vAlign w:val="center"/>
          </w:tcPr>
          <w:p w14:paraId="1A762178">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9" w:type="pct"/>
            <w:shd w:val="clear" w:color="auto" w:fill="FFFFFF"/>
            <w:vAlign w:val="center"/>
          </w:tcPr>
          <w:p w14:paraId="4FB0D7FE">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726FF9FF">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0B7D1C80">
            <w:pPr>
              <w:jc w:val="right"/>
              <w:rPr>
                <w:rFonts w:hint="eastAsia" w:ascii="宋体" w:hAnsi="宋体" w:eastAsia="宋体" w:cs="宋体"/>
                <w:color w:val="000000"/>
                <w:szCs w:val="21"/>
              </w:rPr>
            </w:pPr>
            <w:r>
              <w:rPr>
                <w:rFonts w:hint="eastAsia" w:ascii="宋体" w:hAnsi="宋体" w:eastAsia="宋体"/>
                <w:color w:val="000000"/>
                <w:sz w:val="20"/>
                <w:szCs w:val="20"/>
              </w:rPr>
              <w:t>-</w:t>
            </w:r>
          </w:p>
        </w:tc>
      </w:tr>
      <w:tr w14:paraId="58E5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5700BEB9">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运营期现金流出</w:t>
            </w:r>
          </w:p>
        </w:tc>
        <w:tc>
          <w:tcPr>
            <w:tcW w:w="602" w:type="pct"/>
            <w:shd w:val="clear" w:color="auto" w:fill="FFFFFF"/>
            <w:vAlign w:val="center"/>
          </w:tcPr>
          <w:p w14:paraId="7CCD0B3B">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56658BA7">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057CCE13">
            <w:pPr>
              <w:jc w:val="right"/>
              <w:rPr>
                <w:rFonts w:hint="eastAsia" w:ascii="宋体" w:hAnsi="宋体" w:eastAsia="宋体" w:cs="宋体"/>
                <w:color w:val="000000"/>
                <w:szCs w:val="21"/>
              </w:rPr>
            </w:pPr>
            <w:r>
              <w:rPr>
                <w:rFonts w:hint="eastAsia" w:ascii="宋体" w:hAnsi="宋体" w:eastAsia="宋体"/>
                <w:color w:val="000000"/>
                <w:sz w:val="20"/>
                <w:szCs w:val="20"/>
              </w:rPr>
              <w:t>61.32</w:t>
            </w:r>
          </w:p>
        </w:tc>
        <w:tc>
          <w:tcPr>
            <w:tcW w:w="599" w:type="pct"/>
            <w:shd w:val="clear" w:color="auto" w:fill="FFFFFF"/>
            <w:vAlign w:val="center"/>
          </w:tcPr>
          <w:p w14:paraId="5D6872CE">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c>
          <w:tcPr>
            <w:tcW w:w="595" w:type="pct"/>
            <w:shd w:val="clear" w:color="auto" w:fill="FFFFFF"/>
            <w:vAlign w:val="center"/>
          </w:tcPr>
          <w:p w14:paraId="2748D850">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c>
          <w:tcPr>
            <w:tcW w:w="595" w:type="pct"/>
            <w:shd w:val="clear" w:color="auto" w:fill="FFFFFF"/>
            <w:vAlign w:val="center"/>
          </w:tcPr>
          <w:p w14:paraId="3765D00A">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r>
      <w:tr w14:paraId="5AE8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4E877C65">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债券还本付息</w:t>
            </w:r>
          </w:p>
        </w:tc>
        <w:tc>
          <w:tcPr>
            <w:tcW w:w="602" w:type="pct"/>
            <w:shd w:val="clear" w:color="auto" w:fill="FFFFFF"/>
            <w:vAlign w:val="center"/>
          </w:tcPr>
          <w:p w14:paraId="5C12B335">
            <w:pPr>
              <w:jc w:val="right"/>
              <w:rPr>
                <w:rFonts w:hint="eastAsia" w:ascii="宋体" w:hAnsi="宋体" w:eastAsia="宋体" w:cs="宋体"/>
                <w:color w:val="000000"/>
                <w:szCs w:val="21"/>
              </w:rPr>
            </w:pPr>
            <w:r>
              <w:rPr>
                <w:rFonts w:hint="eastAsia" w:ascii="宋体" w:hAnsi="宋体" w:eastAsia="宋体"/>
                <w:color w:val="000000"/>
                <w:sz w:val="20"/>
                <w:szCs w:val="20"/>
              </w:rPr>
              <w:t>6.16</w:t>
            </w:r>
          </w:p>
        </w:tc>
        <w:tc>
          <w:tcPr>
            <w:tcW w:w="601" w:type="pct"/>
            <w:shd w:val="clear" w:color="auto" w:fill="FFFFFF"/>
            <w:vAlign w:val="center"/>
          </w:tcPr>
          <w:p w14:paraId="45413FF1">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601" w:type="pct"/>
            <w:shd w:val="clear" w:color="auto" w:fill="FFFFFF"/>
            <w:vAlign w:val="center"/>
          </w:tcPr>
          <w:p w14:paraId="25AEDBEC">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9" w:type="pct"/>
            <w:shd w:val="clear" w:color="auto" w:fill="FFFFFF"/>
            <w:vAlign w:val="center"/>
          </w:tcPr>
          <w:p w14:paraId="604EE65B">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5" w:type="pct"/>
            <w:shd w:val="clear" w:color="auto" w:fill="FFFFFF"/>
            <w:vAlign w:val="center"/>
          </w:tcPr>
          <w:p w14:paraId="3F8A4002">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5" w:type="pct"/>
            <w:shd w:val="clear" w:color="auto" w:fill="FFFFFF"/>
            <w:vAlign w:val="center"/>
          </w:tcPr>
          <w:p w14:paraId="7473344F">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r>
      <w:tr w14:paraId="2341A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7E68BBFF">
            <w:pPr>
              <w:rPr>
                <w:rFonts w:hint="eastAsia" w:cs="宋体" w:asciiTheme="minorEastAsia" w:hAnsiTheme="minorEastAsia" w:eastAsiaTheme="minorEastAsia"/>
                <w:color w:val="000000"/>
                <w:szCs w:val="20"/>
              </w:rPr>
            </w:pPr>
            <w:r>
              <w:rPr>
                <w:rFonts w:hint="eastAsia" w:cs="宋体" w:asciiTheme="minorEastAsia" w:hAnsiTheme="minorEastAsia" w:eastAsiaTheme="minorEastAsia"/>
                <w:color w:val="000000"/>
                <w:szCs w:val="20"/>
              </w:rPr>
              <w:t>债券发行费用</w:t>
            </w:r>
          </w:p>
        </w:tc>
        <w:tc>
          <w:tcPr>
            <w:tcW w:w="602" w:type="pct"/>
            <w:shd w:val="clear" w:color="auto" w:fill="FFFFFF"/>
            <w:vAlign w:val="center"/>
          </w:tcPr>
          <w:p w14:paraId="4DF46377">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2AD90B38">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601" w:type="pct"/>
            <w:shd w:val="clear" w:color="auto" w:fill="FFFFFF"/>
            <w:vAlign w:val="center"/>
          </w:tcPr>
          <w:p w14:paraId="0E294D40">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9" w:type="pct"/>
            <w:shd w:val="clear" w:color="auto" w:fill="FFFFFF"/>
            <w:vAlign w:val="center"/>
          </w:tcPr>
          <w:p w14:paraId="703C5465">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38A67300">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5" w:type="pct"/>
            <w:shd w:val="clear" w:color="auto" w:fill="FFFFFF"/>
            <w:vAlign w:val="center"/>
          </w:tcPr>
          <w:p w14:paraId="222462E8">
            <w:pPr>
              <w:jc w:val="right"/>
              <w:rPr>
                <w:rFonts w:hint="eastAsia" w:ascii="宋体" w:hAnsi="宋体" w:eastAsia="宋体" w:cs="宋体"/>
                <w:color w:val="000000"/>
                <w:szCs w:val="21"/>
              </w:rPr>
            </w:pPr>
            <w:r>
              <w:rPr>
                <w:rFonts w:hint="eastAsia" w:ascii="宋体" w:hAnsi="宋体" w:eastAsia="宋体"/>
                <w:color w:val="000000"/>
                <w:sz w:val="20"/>
                <w:szCs w:val="20"/>
              </w:rPr>
              <w:t>-</w:t>
            </w:r>
          </w:p>
        </w:tc>
      </w:tr>
      <w:tr w14:paraId="12C3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6E4ECD73">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现金流出总额</w:t>
            </w:r>
          </w:p>
        </w:tc>
        <w:tc>
          <w:tcPr>
            <w:tcW w:w="602" w:type="pct"/>
            <w:shd w:val="clear" w:color="auto" w:fill="FFFFFF"/>
            <w:vAlign w:val="center"/>
          </w:tcPr>
          <w:p w14:paraId="64E8BDBC">
            <w:pPr>
              <w:jc w:val="right"/>
              <w:rPr>
                <w:rFonts w:hint="eastAsia" w:ascii="宋体" w:hAnsi="宋体" w:eastAsia="宋体" w:cs="宋体"/>
                <w:b/>
                <w:bCs/>
                <w:color w:val="000000"/>
                <w:szCs w:val="21"/>
              </w:rPr>
            </w:pPr>
            <w:r>
              <w:rPr>
                <w:rFonts w:hint="eastAsia" w:ascii="宋体" w:hAnsi="宋体" w:eastAsia="宋体"/>
                <w:b/>
                <w:bCs/>
                <w:color w:val="000000"/>
                <w:sz w:val="20"/>
                <w:szCs w:val="20"/>
              </w:rPr>
              <w:t>5,285.91</w:t>
            </w:r>
          </w:p>
        </w:tc>
        <w:tc>
          <w:tcPr>
            <w:tcW w:w="601" w:type="pct"/>
            <w:shd w:val="clear" w:color="auto" w:fill="FFFFFF"/>
            <w:vAlign w:val="center"/>
          </w:tcPr>
          <w:p w14:paraId="35301F50">
            <w:pPr>
              <w:jc w:val="right"/>
              <w:rPr>
                <w:rFonts w:hint="eastAsia" w:ascii="宋体" w:hAnsi="宋体" w:eastAsia="宋体" w:cs="宋体"/>
                <w:b/>
                <w:bCs/>
                <w:color w:val="000000"/>
                <w:szCs w:val="21"/>
              </w:rPr>
            </w:pPr>
            <w:r>
              <w:rPr>
                <w:rFonts w:hint="eastAsia" w:ascii="宋体" w:hAnsi="宋体" w:eastAsia="宋体"/>
                <w:b/>
                <w:bCs/>
                <w:color w:val="000000"/>
                <w:sz w:val="20"/>
                <w:szCs w:val="20"/>
              </w:rPr>
              <w:t>1,332.26</w:t>
            </w:r>
          </w:p>
        </w:tc>
        <w:tc>
          <w:tcPr>
            <w:tcW w:w="601" w:type="pct"/>
            <w:shd w:val="clear" w:color="auto" w:fill="FFFFFF"/>
            <w:vAlign w:val="center"/>
          </w:tcPr>
          <w:p w14:paraId="5393474A">
            <w:pPr>
              <w:jc w:val="right"/>
              <w:rPr>
                <w:rFonts w:hint="eastAsia" w:ascii="宋体" w:hAnsi="宋体" w:eastAsia="宋体" w:cs="宋体"/>
                <w:b/>
                <w:bCs/>
                <w:color w:val="000000"/>
                <w:szCs w:val="21"/>
              </w:rPr>
            </w:pPr>
            <w:r>
              <w:rPr>
                <w:rFonts w:hint="eastAsia" w:ascii="宋体" w:hAnsi="宋体" w:eastAsia="宋体"/>
                <w:b/>
                <w:bCs/>
                <w:color w:val="000000"/>
                <w:sz w:val="20"/>
                <w:szCs w:val="20"/>
              </w:rPr>
              <w:t>73.64</w:t>
            </w:r>
          </w:p>
        </w:tc>
        <w:tc>
          <w:tcPr>
            <w:tcW w:w="599" w:type="pct"/>
            <w:shd w:val="clear" w:color="auto" w:fill="FFFFFF"/>
            <w:vAlign w:val="center"/>
          </w:tcPr>
          <w:p w14:paraId="172C55E8">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c>
          <w:tcPr>
            <w:tcW w:w="595" w:type="pct"/>
            <w:shd w:val="clear" w:color="auto" w:fill="FFFFFF"/>
            <w:vAlign w:val="center"/>
          </w:tcPr>
          <w:p w14:paraId="6F90F463">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c>
          <w:tcPr>
            <w:tcW w:w="595" w:type="pct"/>
            <w:shd w:val="clear" w:color="auto" w:fill="FFFFFF"/>
            <w:vAlign w:val="center"/>
          </w:tcPr>
          <w:p w14:paraId="35B15DC6">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r>
      <w:tr w14:paraId="37F7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7596238B">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现金净流量</w:t>
            </w:r>
          </w:p>
        </w:tc>
        <w:tc>
          <w:tcPr>
            <w:tcW w:w="602" w:type="pct"/>
            <w:shd w:val="clear" w:color="auto" w:fill="FFFFFF"/>
            <w:vAlign w:val="center"/>
          </w:tcPr>
          <w:p w14:paraId="6C100530">
            <w:pPr>
              <w:jc w:val="right"/>
              <w:rPr>
                <w:rFonts w:hint="eastAsia" w:ascii="宋体" w:hAnsi="宋体" w:eastAsia="宋体" w:cs="宋体"/>
                <w:b/>
                <w:bCs/>
                <w:color w:val="000000"/>
                <w:szCs w:val="21"/>
              </w:rPr>
            </w:pPr>
          </w:p>
        </w:tc>
        <w:tc>
          <w:tcPr>
            <w:tcW w:w="601" w:type="pct"/>
            <w:shd w:val="clear" w:color="auto" w:fill="FFFFFF"/>
            <w:vAlign w:val="center"/>
          </w:tcPr>
          <w:p w14:paraId="5A3CCBC4">
            <w:pPr>
              <w:jc w:val="right"/>
              <w:rPr>
                <w:rFonts w:hint="eastAsia" w:ascii="宋体" w:hAnsi="宋体" w:eastAsia="宋体" w:cs="宋体"/>
                <w:b/>
                <w:bCs/>
                <w:color w:val="000000"/>
                <w:szCs w:val="21"/>
              </w:rPr>
            </w:pPr>
          </w:p>
        </w:tc>
        <w:tc>
          <w:tcPr>
            <w:tcW w:w="601" w:type="pct"/>
            <w:shd w:val="clear" w:color="auto" w:fill="FFFFFF"/>
            <w:vAlign w:val="center"/>
          </w:tcPr>
          <w:p w14:paraId="39F643B9">
            <w:pPr>
              <w:jc w:val="right"/>
              <w:rPr>
                <w:rFonts w:hint="eastAsia" w:ascii="宋体" w:hAnsi="宋体" w:eastAsia="宋体" w:cs="宋体"/>
                <w:b/>
                <w:bCs/>
                <w:color w:val="000000"/>
                <w:szCs w:val="21"/>
              </w:rPr>
            </w:pPr>
          </w:p>
        </w:tc>
        <w:tc>
          <w:tcPr>
            <w:tcW w:w="599" w:type="pct"/>
            <w:shd w:val="clear" w:color="auto" w:fill="FFFFFF"/>
            <w:vAlign w:val="center"/>
          </w:tcPr>
          <w:p w14:paraId="44816764">
            <w:pPr>
              <w:jc w:val="right"/>
              <w:rPr>
                <w:rFonts w:hint="eastAsia" w:ascii="宋体" w:hAnsi="宋体" w:eastAsia="宋体" w:cs="宋体"/>
                <w:b/>
                <w:bCs/>
                <w:color w:val="000000"/>
                <w:szCs w:val="21"/>
              </w:rPr>
            </w:pPr>
          </w:p>
        </w:tc>
        <w:tc>
          <w:tcPr>
            <w:tcW w:w="595" w:type="pct"/>
            <w:shd w:val="clear" w:color="auto" w:fill="FFFFFF"/>
            <w:vAlign w:val="center"/>
          </w:tcPr>
          <w:p w14:paraId="5D6A8322">
            <w:pPr>
              <w:jc w:val="right"/>
              <w:rPr>
                <w:rFonts w:hint="eastAsia" w:ascii="宋体" w:hAnsi="宋体" w:eastAsia="宋体" w:cs="宋体"/>
                <w:b/>
                <w:bCs/>
                <w:color w:val="000000"/>
                <w:szCs w:val="21"/>
              </w:rPr>
            </w:pPr>
          </w:p>
        </w:tc>
        <w:tc>
          <w:tcPr>
            <w:tcW w:w="595" w:type="pct"/>
            <w:shd w:val="clear" w:color="auto" w:fill="FFFFFF"/>
            <w:vAlign w:val="center"/>
          </w:tcPr>
          <w:p w14:paraId="04BCBB7A">
            <w:pPr>
              <w:jc w:val="right"/>
              <w:rPr>
                <w:rFonts w:hint="eastAsia" w:ascii="宋体" w:hAnsi="宋体" w:eastAsia="宋体" w:cs="宋体"/>
                <w:b/>
                <w:bCs/>
                <w:color w:val="000000"/>
                <w:szCs w:val="21"/>
              </w:rPr>
            </w:pPr>
          </w:p>
        </w:tc>
      </w:tr>
      <w:tr w14:paraId="4601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6592A7AD">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当年项目现金净流入</w:t>
            </w:r>
          </w:p>
        </w:tc>
        <w:tc>
          <w:tcPr>
            <w:tcW w:w="602" w:type="pct"/>
            <w:shd w:val="clear" w:color="auto" w:fill="FFFFFF"/>
            <w:vAlign w:val="center"/>
          </w:tcPr>
          <w:p w14:paraId="68B98BF8">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c>
          <w:tcPr>
            <w:tcW w:w="601" w:type="pct"/>
            <w:shd w:val="clear" w:color="auto" w:fill="FFFFFF"/>
            <w:vAlign w:val="center"/>
          </w:tcPr>
          <w:p w14:paraId="79120793">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c>
          <w:tcPr>
            <w:tcW w:w="601" w:type="pct"/>
            <w:shd w:val="clear" w:color="auto" w:fill="FFFFFF"/>
            <w:vAlign w:val="center"/>
          </w:tcPr>
          <w:p w14:paraId="6C785C2D">
            <w:pPr>
              <w:jc w:val="right"/>
              <w:rPr>
                <w:rFonts w:hint="eastAsia" w:ascii="宋体" w:hAnsi="宋体" w:eastAsia="宋体" w:cs="宋体"/>
                <w:b/>
                <w:bCs/>
                <w:color w:val="000000"/>
                <w:szCs w:val="21"/>
              </w:rPr>
            </w:pPr>
            <w:r>
              <w:rPr>
                <w:rFonts w:hint="eastAsia" w:ascii="宋体" w:hAnsi="宋体" w:eastAsia="宋体"/>
                <w:b/>
                <w:bCs/>
                <w:color w:val="000000"/>
                <w:sz w:val="20"/>
                <w:szCs w:val="20"/>
              </w:rPr>
              <w:t>164.68</w:t>
            </w:r>
          </w:p>
        </w:tc>
        <w:tc>
          <w:tcPr>
            <w:tcW w:w="599" w:type="pct"/>
            <w:shd w:val="clear" w:color="auto" w:fill="FFFFFF"/>
            <w:vAlign w:val="center"/>
          </w:tcPr>
          <w:p w14:paraId="7900F3D0">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c>
          <w:tcPr>
            <w:tcW w:w="595" w:type="pct"/>
            <w:shd w:val="clear" w:color="auto" w:fill="FFFFFF"/>
            <w:vAlign w:val="center"/>
          </w:tcPr>
          <w:p w14:paraId="2C7147B2">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c>
          <w:tcPr>
            <w:tcW w:w="595" w:type="pct"/>
            <w:shd w:val="clear" w:color="auto" w:fill="FFFFFF"/>
            <w:vAlign w:val="center"/>
          </w:tcPr>
          <w:p w14:paraId="5689BBC3">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r>
      <w:tr w14:paraId="6D88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407" w:type="pct"/>
            <w:shd w:val="clear" w:color="auto" w:fill="FFFFFF"/>
            <w:vAlign w:val="center"/>
          </w:tcPr>
          <w:p w14:paraId="132FF734">
            <w:pPr>
              <w:rPr>
                <w:rFonts w:hint="eastAsia" w:cs="宋体" w:asciiTheme="minorEastAsia" w:hAnsiTheme="minorEastAsia" w:eastAsiaTheme="minorEastAsia"/>
                <w:b/>
                <w:bCs/>
                <w:color w:val="000000"/>
                <w:szCs w:val="20"/>
              </w:rPr>
            </w:pPr>
            <w:r>
              <w:rPr>
                <w:rFonts w:hint="eastAsia" w:cs="宋体" w:asciiTheme="minorEastAsia" w:hAnsiTheme="minorEastAsia" w:eastAsiaTheme="minorEastAsia"/>
                <w:b/>
                <w:bCs/>
                <w:color w:val="000000"/>
                <w:szCs w:val="20"/>
              </w:rPr>
              <w:t>期末项目累计现金结存额</w:t>
            </w:r>
          </w:p>
        </w:tc>
        <w:tc>
          <w:tcPr>
            <w:tcW w:w="602" w:type="pct"/>
            <w:shd w:val="clear" w:color="auto" w:fill="FFFFFF"/>
            <w:vAlign w:val="center"/>
          </w:tcPr>
          <w:p w14:paraId="23B4FEE2">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c>
          <w:tcPr>
            <w:tcW w:w="601" w:type="pct"/>
            <w:shd w:val="clear" w:color="auto" w:fill="FFFFFF"/>
            <w:vAlign w:val="center"/>
          </w:tcPr>
          <w:p w14:paraId="0A2346C2">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c>
          <w:tcPr>
            <w:tcW w:w="601" w:type="pct"/>
            <w:shd w:val="clear" w:color="auto" w:fill="FFFFFF"/>
            <w:vAlign w:val="center"/>
          </w:tcPr>
          <w:p w14:paraId="0AEC0D0C">
            <w:pPr>
              <w:jc w:val="right"/>
              <w:rPr>
                <w:rFonts w:hint="eastAsia" w:ascii="宋体" w:hAnsi="宋体" w:eastAsia="宋体" w:cs="宋体"/>
                <w:b/>
                <w:bCs/>
                <w:color w:val="000000"/>
                <w:szCs w:val="21"/>
              </w:rPr>
            </w:pPr>
            <w:r>
              <w:rPr>
                <w:rFonts w:hint="eastAsia" w:ascii="宋体" w:hAnsi="宋体" w:eastAsia="宋体"/>
                <w:b/>
                <w:bCs/>
                <w:color w:val="000000"/>
                <w:sz w:val="20"/>
                <w:szCs w:val="20"/>
              </w:rPr>
              <w:t>164.68</w:t>
            </w:r>
          </w:p>
        </w:tc>
        <w:tc>
          <w:tcPr>
            <w:tcW w:w="599" w:type="pct"/>
            <w:shd w:val="clear" w:color="auto" w:fill="FFFFFF"/>
            <w:vAlign w:val="center"/>
          </w:tcPr>
          <w:p w14:paraId="32D80488">
            <w:pPr>
              <w:jc w:val="right"/>
              <w:rPr>
                <w:rFonts w:hint="eastAsia" w:ascii="宋体" w:hAnsi="宋体" w:eastAsia="宋体" w:cs="宋体"/>
                <w:b/>
                <w:bCs/>
                <w:color w:val="000000"/>
                <w:szCs w:val="21"/>
              </w:rPr>
            </w:pPr>
            <w:r>
              <w:rPr>
                <w:rFonts w:hint="eastAsia" w:ascii="宋体" w:hAnsi="宋体" w:eastAsia="宋体"/>
                <w:b/>
                <w:bCs/>
                <w:color w:val="000000"/>
                <w:sz w:val="20"/>
                <w:szCs w:val="20"/>
              </w:rPr>
              <w:t>261.86</w:t>
            </w:r>
          </w:p>
        </w:tc>
        <w:tc>
          <w:tcPr>
            <w:tcW w:w="595" w:type="pct"/>
            <w:shd w:val="clear" w:color="auto" w:fill="FFFFFF"/>
            <w:vAlign w:val="center"/>
          </w:tcPr>
          <w:p w14:paraId="199D8F3E">
            <w:pPr>
              <w:jc w:val="right"/>
              <w:rPr>
                <w:rFonts w:hint="eastAsia" w:ascii="宋体" w:hAnsi="宋体" w:eastAsia="宋体" w:cs="宋体"/>
                <w:b/>
                <w:bCs/>
                <w:color w:val="000000"/>
                <w:szCs w:val="21"/>
              </w:rPr>
            </w:pPr>
            <w:r>
              <w:rPr>
                <w:rFonts w:hint="eastAsia" w:ascii="宋体" w:hAnsi="宋体" w:eastAsia="宋体"/>
                <w:b/>
                <w:bCs/>
                <w:color w:val="000000"/>
                <w:sz w:val="20"/>
                <w:szCs w:val="20"/>
              </w:rPr>
              <w:t>359.04</w:t>
            </w:r>
          </w:p>
        </w:tc>
        <w:tc>
          <w:tcPr>
            <w:tcW w:w="595" w:type="pct"/>
            <w:shd w:val="clear" w:color="auto" w:fill="FFFFFF"/>
            <w:vAlign w:val="center"/>
          </w:tcPr>
          <w:p w14:paraId="33C45213">
            <w:pPr>
              <w:jc w:val="right"/>
              <w:rPr>
                <w:rFonts w:hint="eastAsia" w:ascii="宋体" w:hAnsi="宋体" w:eastAsia="宋体" w:cs="宋体"/>
                <w:b/>
                <w:bCs/>
                <w:color w:val="000000"/>
                <w:szCs w:val="21"/>
              </w:rPr>
            </w:pPr>
            <w:r>
              <w:rPr>
                <w:rFonts w:hint="eastAsia" w:ascii="宋体" w:hAnsi="宋体" w:eastAsia="宋体"/>
                <w:b/>
                <w:bCs/>
                <w:color w:val="000000"/>
                <w:sz w:val="20"/>
                <w:szCs w:val="20"/>
              </w:rPr>
              <w:t>456.22</w:t>
            </w:r>
          </w:p>
        </w:tc>
      </w:tr>
    </w:tbl>
    <w:p w14:paraId="3F7559B1">
      <w:pPr>
        <w:ind w:firstLine="482" w:firstLineChars="200"/>
        <w:jc w:val="center"/>
        <w:rPr>
          <w:rFonts w:hint="eastAsia" w:asciiTheme="minorEastAsia" w:hAnsiTheme="minorEastAsia" w:eastAsiaTheme="minorEastAsia"/>
          <w:b/>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64"/>
        <w:gridCol w:w="990"/>
        <w:gridCol w:w="991"/>
        <w:gridCol w:w="992"/>
        <w:gridCol w:w="991"/>
        <w:gridCol w:w="991"/>
        <w:gridCol w:w="991"/>
      </w:tblGrid>
      <w:tr w14:paraId="4CED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2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EC4E7AE">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59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56B00EA">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2031</w:t>
            </w:r>
          </w:p>
        </w:tc>
        <w:tc>
          <w:tcPr>
            <w:tcW w:w="59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333CA77">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2032</w:t>
            </w:r>
          </w:p>
        </w:tc>
        <w:tc>
          <w:tcPr>
            <w:tcW w:w="59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6A1B7AE">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2033</w:t>
            </w:r>
          </w:p>
        </w:tc>
        <w:tc>
          <w:tcPr>
            <w:tcW w:w="596"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D00FF0">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2034</w:t>
            </w:r>
          </w:p>
        </w:tc>
        <w:tc>
          <w:tcPr>
            <w:tcW w:w="596"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9FD8972">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2035</w:t>
            </w:r>
          </w:p>
        </w:tc>
        <w:tc>
          <w:tcPr>
            <w:tcW w:w="59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A0AADD5">
            <w:pPr>
              <w:jc w:val="center"/>
              <w:rPr>
                <w:rFonts w:hint="eastAsia" w:ascii="宋体" w:hAnsi="宋体" w:eastAsia="宋体" w:cs="宋体"/>
                <w:b/>
                <w:bCs/>
                <w:color w:val="000000"/>
                <w:szCs w:val="20"/>
              </w:rPr>
            </w:pPr>
            <w:r>
              <w:rPr>
                <w:rFonts w:hint="eastAsia" w:ascii="宋体" w:hAnsi="宋体" w:eastAsia="宋体" w:cs="宋体"/>
                <w:b/>
                <w:bCs/>
                <w:color w:val="000000"/>
                <w:szCs w:val="20"/>
              </w:rPr>
              <w:t>合计</w:t>
            </w:r>
          </w:p>
        </w:tc>
      </w:tr>
      <w:tr w14:paraId="7A42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784B05A7">
            <w:pPr>
              <w:rPr>
                <w:rFonts w:hint="eastAsia" w:ascii="宋体" w:hAnsi="宋体" w:eastAsia="宋体" w:cs="宋体"/>
                <w:b/>
                <w:bCs/>
                <w:color w:val="000000"/>
                <w:szCs w:val="20"/>
              </w:rPr>
            </w:pPr>
            <w:r>
              <w:rPr>
                <w:rFonts w:hint="eastAsia" w:ascii="宋体" w:hAnsi="宋体" w:eastAsia="宋体" w:cs="宋体"/>
                <w:b/>
                <w:bCs/>
                <w:color w:val="000000"/>
                <w:szCs w:val="20"/>
              </w:rPr>
              <w:t>现金流入</w:t>
            </w:r>
          </w:p>
        </w:tc>
        <w:tc>
          <w:tcPr>
            <w:tcW w:w="596" w:type="pct"/>
            <w:tcBorders>
              <w:top w:val="single" w:color="auto" w:sz="4" w:space="0"/>
              <w:left w:val="single" w:color="auto" w:sz="4" w:space="0"/>
              <w:bottom w:val="single" w:color="auto" w:sz="4" w:space="0"/>
              <w:right w:val="single" w:color="auto" w:sz="4" w:space="0"/>
            </w:tcBorders>
            <w:shd w:val="clear" w:color="auto" w:fill="FFFFFF"/>
          </w:tcPr>
          <w:p w14:paraId="72145C67">
            <w:pPr>
              <w:jc w:val="right"/>
              <w:rPr>
                <w:rFonts w:hint="eastAsia" w:ascii="宋体" w:hAnsi="宋体" w:eastAsia="宋体" w:cs="宋体"/>
                <w:b/>
                <w:bCs/>
                <w:color w:val="000000"/>
                <w:szCs w:val="20"/>
              </w:rPr>
            </w:pPr>
          </w:p>
        </w:tc>
        <w:tc>
          <w:tcPr>
            <w:tcW w:w="596" w:type="pct"/>
            <w:tcBorders>
              <w:top w:val="single" w:color="auto" w:sz="4" w:space="0"/>
              <w:left w:val="single" w:color="auto" w:sz="4" w:space="0"/>
              <w:bottom w:val="single" w:color="auto" w:sz="4" w:space="0"/>
              <w:right w:val="single" w:color="auto" w:sz="4" w:space="0"/>
            </w:tcBorders>
            <w:shd w:val="clear" w:color="auto" w:fill="FFFFFF"/>
          </w:tcPr>
          <w:p w14:paraId="04832D44">
            <w:pPr>
              <w:jc w:val="right"/>
              <w:rPr>
                <w:rFonts w:hint="eastAsia" w:ascii="宋体" w:hAnsi="宋体" w:eastAsia="宋体" w:cs="宋体"/>
                <w:b/>
                <w:bCs/>
                <w:color w:val="000000"/>
                <w:szCs w:val="20"/>
              </w:rPr>
            </w:pPr>
          </w:p>
        </w:tc>
        <w:tc>
          <w:tcPr>
            <w:tcW w:w="597" w:type="pct"/>
            <w:tcBorders>
              <w:top w:val="single" w:color="auto" w:sz="4" w:space="0"/>
              <w:left w:val="single" w:color="auto" w:sz="4" w:space="0"/>
              <w:bottom w:val="single" w:color="auto" w:sz="4" w:space="0"/>
              <w:right w:val="single" w:color="auto" w:sz="4" w:space="0"/>
            </w:tcBorders>
            <w:shd w:val="clear" w:color="auto" w:fill="FFFFFF"/>
          </w:tcPr>
          <w:p w14:paraId="232092C4">
            <w:pPr>
              <w:jc w:val="right"/>
              <w:rPr>
                <w:rFonts w:hint="eastAsia" w:ascii="宋体" w:hAnsi="宋体" w:eastAsia="宋体" w:cs="宋体"/>
                <w:b/>
                <w:bCs/>
                <w:color w:val="000000"/>
                <w:szCs w:val="20"/>
              </w:rPr>
            </w:pPr>
          </w:p>
        </w:tc>
        <w:tc>
          <w:tcPr>
            <w:tcW w:w="596" w:type="pct"/>
            <w:tcBorders>
              <w:top w:val="single" w:color="auto" w:sz="4" w:space="0"/>
              <w:left w:val="single" w:color="auto" w:sz="4" w:space="0"/>
              <w:bottom w:val="single" w:color="auto" w:sz="4" w:space="0"/>
              <w:right w:val="single" w:color="auto" w:sz="4" w:space="0"/>
            </w:tcBorders>
            <w:shd w:val="clear" w:color="auto" w:fill="FFFFFF"/>
          </w:tcPr>
          <w:p w14:paraId="772C7425">
            <w:pPr>
              <w:jc w:val="right"/>
              <w:rPr>
                <w:rFonts w:hint="eastAsia" w:ascii="宋体" w:hAnsi="宋体" w:eastAsia="宋体" w:cs="宋体"/>
                <w:b/>
                <w:bCs/>
                <w:color w:val="000000"/>
                <w:szCs w:val="20"/>
              </w:rPr>
            </w:pPr>
          </w:p>
        </w:tc>
        <w:tc>
          <w:tcPr>
            <w:tcW w:w="596" w:type="pct"/>
            <w:tcBorders>
              <w:top w:val="single" w:color="auto" w:sz="4" w:space="0"/>
              <w:left w:val="single" w:color="auto" w:sz="4" w:space="0"/>
              <w:bottom w:val="single" w:color="auto" w:sz="4" w:space="0"/>
              <w:right w:val="single" w:color="auto" w:sz="4" w:space="0"/>
            </w:tcBorders>
            <w:shd w:val="clear" w:color="auto" w:fill="FFFFFF"/>
          </w:tcPr>
          <w:p w14:paraId="438B8522">
            <w:pPr>
              <w:jc w:val="right"/>
              <w:rPr>
                <w:rFonts w:hint="eastAsia" w:ascii="宋体" w:hAnsi="宋体" w:eastAsia="宋体" w:cs="宋体"/>
                <w:b/>
                <w:bCs/>
                <w:color w:val="000000"/>
                <w:szCs w:val="20"/>
              </w:rPr>
            </w:pPr>
          </w:p>
        </w:tc>
        <w:tc>
          <w:tcPr>
            <w:tcW w:w="596" w:type="pct"/>
            <w:tcBorders>
              <w:top w:val="single" w:color="auto" w:sz="4" w:space="0"/>
              <w:left w:val="single" w:color="auto" w:sz="4" w:space="0"/>
              <w:bottom w:val="single" w:color="auto" w:sz="4" w:space="0"/>
              <w:right w:val="single" w:color="auto" w:sz="4" w:space="0"/>
            </w:tcBorders>
            <w:shd w:val="clear" w:color="auto" w:fill="FFFFFF"/>
          </w:tcPr>
          <w:p w14:paraId="0F136069">
            <w:pPr>
              <w:jc w:val="right"/>
              <w:rPr>
                <w:rFonts w:hint="eastAsia" w:ascii="宋体" w:hAnsi="宋体" w:eastAsia="宋体" w:cs="宋体"/>
                <w:b/>
                <w:bCs/>
                <w:color w:val="000000"/>
                <w:szCs w:val="20"/>
              </w:rPr>
            </w:pPr>
          </w:p>
        </w:tc>
      </w:tr>
      <w:tr w14:paraId="171A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5D9644A8">
            <w:pPr>
              <w:rPr>
                <w:rFonts w:hint="eastAsia" w:ascii="宋体" w:hAnsi="宋体" w:eastAsia="宋体" w:cs="宋体"/>
                <w:color w:val="000000"/>
                <w:szCs w:val="20"/>
              </w:rPr>
            </w:pPr>
            <w:r>
              <w:rPr>
                <w:rFonts w:hint="eastAsia" w:ascii="宋体" w:hAnsi="宋体" w:eastAsia="宋体" w:cs="宋体"/>
                <w:color w:val="000000"/>
                <w:szCs w:val="20"/>
              </w:rPr>
              <w:t>自筹资金流入</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33A59CC">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ECB6B24">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2EAD19B">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97E546F">
            <w:pPr>
              <w:jc w:val="right"/>
              <w:rPr>
                <w:rFonts w:hint="eastAsia" w:ascii="宋体" w:hAnsi="宋体" w:eastAsia="宋体" w:cs="Arial"/>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E1D5942">
            <w:pPr>
              <w:jc w:val="right"/>
              <w:rPr>
                <w:rFonts w:hint="eastAsia" w:ascii="宋体" w:hAnsi="宋体" w:eastAsia="宋体"/>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84BEFAC">
            <w:pPr>
              <w:jc w:val="right"/>
              <w:rPr>
                <w:rFonts w:hint="eastAsia" w:ascii="宋体" w:hAnsi="宋体" w:eastAsia="宋体" w:cs="宋体"/>
                <w:b/>
                <w:bCs/>
                <w:color w:val="000000"/>
                <w:szCs w:val="21"/>
              </w:rPr>
            </w:pPr>
            <w:r>
              <w:rPr>
                <w:rFonts w:hint="eastAsia" w:ascii="宋体" w:hAnsi="宋体" w:eastAsia="宋体"/>
                <w:b/>
                <w:bCs/>
                <w:color w:val="000000"/>
                <w:sz w:val="20"/>
                <w:szCs w:val="20"/>
              </w:rPr>
              <w:t>5,918.17</w:t>
            </w:r>
          </w:p>
        </w:tc>
      </w:tr>
      <w:tr w14:paraId="5B9B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188F9458">
            <w:pPr>
              <w:rPr>
                <w:rFonts w:hint="eastAsia" w:ascii="宋体" w:hAnsi="宋体" w:eastAsia="宋体" w:cs="宋体"/>
                <w:color w:val="000000"/>
                <w:szCs w:val="20"/>
              </w:rPr>
            </w:pPr>
            <w:r>
              <w:rPr>
                <w:rFonts w:hint="eastAsia" w:ascii="宋体" w:hAnsi="宋体" w:eastAsia="宋体" w:cs="宋体"/>
                <w:color w:val="000000"/>
                <w:szCs w:val="20"/>
              </w:rPr>
              <w:t>本期债券资金流入</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5C5FBF4">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2D84B9A">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228D1EF">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0826F54">
            <w:pPr>
              <w:jc w:val="right"/>
              <w:rPr>
                <w:rFonts w:hint="eastAsia" w:ascii="宋体" w:hAnsi="宋体" w:eastAsia="宋体" w:cs="Arial"/>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BD6B3D1">
            <w:pPr>
              <w:jc w:val="right"/>
              <w:rPr>
                <w:rFonts w:hint="eastAsia" w:ascii="宋体" w:hAnsi="宋体" w:eastAsia="宋体"/>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7D0E64C">
            <w:pPr>
              <w:jc w:val="right"/>
              <w:rPr>
                <w:rFonts w:hint="eastAsia" w:ascii="宋体" w:hAnsi="宋体" w:eastAsia="宋体" w:cs="宋体"/>
                <w:b/>
                <w:bCs/>
                <w:color w:val="000000"/>
                <w:szCs w:val="21"/>
              </w:rPr>
            </w:pPr>
            <w:r>
              <w:rPr>
                <w:rFonts w:hint="eastAsia" w:ascii="宋体" w:hAnsi="宋体" w:eastAsia="宋体"/>
                <w:b/>
                <w:bCs/>
                <w:color w:val="000000"/>
                <w:sz w:val="20"/>
                <w:szCs w:val="20"/>
              </w:rPr>
              <w:t>700.00</w:t>
            </w:r>
          </w:p>
        </w:tc>
      </w:tr>
      <w:tr w14:paraId="104F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155B530D">
            <w:pPr>
              <w:rPr>
                <w:rFonts w:hint="eastAsia" w:ascii="宋体" w:hAnsi="宋体" w:eastAsia="宋体" w:cs="宋体"/>
                <w:color w:val="000000"/>
                <w:szCs w:val="20"/>
              </w:rPr>
            </w:pPr>
            <w:r>
              <w:rPr>
                <w:rFonts w:hint="eastAsia" w:ascii="宋体" w:hAnsi="宋体" w:eastAsia="宋体" w:cs="宋体"/>
                <w:color w:val="000000"/>
                <w:szCs w:val="20"/>
              </w:rPr>
              <w:t>运营期现金流入</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1BAE7F7">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C5ED9F9">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ACF269E">
            <w:pPr>
              <w:jc w:val="right"/>
              <w:rPr>
                <w:rFonts w:hint="eastAsia" w:ascii="宋体" w:hAnsi="宋体" w:eastAsia="宋体" w:cs="宋体"/>
                <w:color w:val="000000"/>
                <w:szCs w:val="21"/>
              </w:rPr>
            </w:pPr>
            <w:r>
              <w:rPr>
                <w:rFonts w:hint="eastAsia" w:ascii="宋体" w:hAnsi="宋体" w:eastAsia="宋体"/>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74D51BA">
            <w:pPr>
              <w:jc w:val="right"/>
              <w:rPr>
                <w:rFonts w:hint="eastAsia" w:ascii="宋体" w:hAnsi="宋体" w:eastAsia="宋体" w:cs="Arial"/>
                <w:b/>
                <w:bCs/>
                <w:color w:val="000000"/>
                <w:szCs w:val="21"/>
              </w:rPr>
            </w:pPr>
            <w:r>
              <w:rPr>
                <w:rFonts w:hint="eastAsia" w:ascii="宋体" w:hAnsi="宋体" w:eastAsia="宋体"/>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774F3D4">
            <w:pPr>
              <w:jc w:val="right"/>
              <w:rPr>
                <w:rFonts w:hint="eastAsia" w:ascii="宋体" w:hAnsi="宋体" w:eastAsia="宋体"/>
                <w:b/>
                <w:bCs/>
                <w:color w:val="000000"/>
                <w:szCs w:val="21"/>
              </w:rPr>
            </w:pPr>
            <w:r>
              <w:rPr>
                <w:rFonts w:hint="eastAsia" w:ascii="宋体" w:hAnsi="宋体" w:eastAsia="宋体"/>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D58CEB8">
            <w:pPr>
              <w:jc w:val="right"/>
              <w:rPr>
                <w:rFonts w:hint="eastAsia" w:ascii="宋体" w:hAnsi="宋体" w:eastAsia="宋体" w:cs="宋体"/>
                <w:b/>
                <w:bCs/>
                <w:color w:val="000000"/>
                <w:szCs w:val="21"/>
              </w:rPr>
            </w:pPr>
            <w:r>
              <w:rPr>
                <w:rFonts w:hint="eastAsia" w:ascii="宋体" w:hAnsi="宋体" w:eastAsia="宋体"/>
                <w:b/>
                <w:bCs/>
                <w:color w:val="000000"/>
                <w:sz w:val="20"/>
                <w:szCs w:val="20"/>
              </w:rPr>
              <w:t>1,424.88</w:t>
            </w:r>
          </w:p>
        </w:tc>
      </w:tr>
      <w:tr w14:paraId="4867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070581C7">
            <w:pPr>
              <w:rPr>
                <w:rFonts w:hint="eastAsia" w:ascii="宋体" w:hAnsi="宋体" w:eastAsia="宋体" w:cs="宋体"/>
                <w:b/>
                <w:bCs/>
                <w:color w:val="000000"/>
                <w:szCs w:val="20"/>
              </w:rPr>
            </w:pPr>
            <w:r>
              <w:rPr>
                <w:rFonts w:hint="eastAsia" w:ascii="宋体" w:hAnsi="宋体" w:eastAsia="宋体" w:cs="宋体"/>
                <w:b/>
                <w:bCs/>
                <w:color w:val="000000"/>
                <w:szCs w:val="20"/>
              </w:rPr>
              <w:t>现金流入总额</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6B0C5F3">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CC693B6">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B5DCA63">
            <w:pPr>
              <w:jc w:val="right"/>
              <w:rPr>
                <w:rFonts w:hint="eastAsia" w:ascii="宋体" w:hAnsi="宋体" w:eastAsia="宋体" w:cs="宋体"/>
                <w:b/>
                <w:bCs/>
                <w:color w:val="000000"/>
                <w:szCs w:val="21"/>
              </w:rPr>
            </w:pPr>
            <w:r>
              <w:rPr>
                <w:rFonts w:hint="eastAsia" w:ascii="宋体" w:hAnsi="宋体" w:eastAsia="宋体"/>
                <w:b/>
                <w:bCs/>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6BC8286">
            <w:pPr>
              <w:jc w:val="right"/>
              <w:rPr>
                <w:rFonts w:hint="eastAsia" w:ascii="宋体" w:hAnsi="宋体" w:eastAsia="宋体" w:cs="Arial"/>
                <w:b/>
                <w:bCs/>
                <w:color w:val="000000"/>
                <w:szCs w:val="21"/>
              </w:rPr>
            </w:pPr>
            <w:r>
              <w:rPr>
                <w:rFonts w:hint="eastAsia" w:ascii="宋体" w:hAnsi="宋体" w:eastAsia="宋体"/>
                <w:b/>
                <w:bCs/>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427ACD8">
            <w:pPr>
              <w:jc w:val="right"/>
              <w:rPr>
                <w:rFonts w:hint="eastAsia" w:ascii="宋体" w:hAnsi="宋体" w:eastAsia="宋体"/>
                <w:b/>
                <w:bCs/>
                <w:color w:val="000000"/>
                <w:szCs w:val="21"/>
              </w:rPr>
            </w:pPr>
            <w:r>
              <w:rPr>
                <w:rFonts w:hint="eastAsia" w:ascii="宋体" w:hAnsi="宋体" w:eastAsia="宋体"/>
                <w:b/>
                <w:bCs/>
                <w:color w:val="000000"/>
                <w:sz w:val="20"/>
                <w:szCs w:val="20"/>
              </w:rPr>
              <w:t>148.32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CD4F11E">
            <w:pPr>
              <w:jc w:val="right"/>
              <w:rPr>
                <w:rFonts w:hint="eastAsia" w:ascii="宋体" w:hAnsi="宋体" w:eastAsia="宋体" w:cs="宋体"/>
                <w:b/>
                <w:bCs/>
                <w:color w:val="000000"/>
                <w:szCs w:val="21"/>
              </w:rPr>
            </w:pPr>
            <w:r>
              <w:rPr>
                <w:rFonts w:hint="eastAsia" w:ascii="宋体" w:hAnsi="宋体" w:eastAsia="宋体"/>
                <w:b/>
                <w:bCs/>
                <w:color w:val="000000"/>
                <w:sz w:val="20"/>
                <w:szCs w:val="20"/>
              </w:rPr>
              <w:t>8,043.05</w:t>
            </w:r>
          </w:p>
        </w:tc>
      </w:tr>
      <w:tr w14:paraId="1AA9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7D67DC68">
            <w:pPr>
              <w:rPr>
                <w:rFonts w:hint="eastAsia" w:ascii="宋体" w:hAnsi="宋体" w:eastAsia="宋体" w:cs="宋体"/>
                <w:b/>
                <w:bCs/>
                <w:color w:val="000000"/>
                <w:szCs w:val="20"/>
              </w:rPr>
            </w:pPr>
            <w:r>
              <w:rPr>
                <w:rFonts w:hint="eastAsia" w:ascii="宋体" w:hAnsi="宋体" w:eastAsia="宋体" w:cs="宋体"/>
                <w:b/>
                <w:bCs/>
                <w:color w:val="000000"/>
                <w:szCs w:val="20"/>
              </w:rPr>
              <w:t>现金流出</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E15C31C">
            <w:pPr>
              <w:jc w:val="right"/>
              <w:rPr>
                <w:rFonts w:hint="eastAsia" w:ascii="宋体" w:hAnsi="宋体" w:eastAsia="宋体" w:cs="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F42F9BD">
            <w:pPr>
              <w:jc w:val="right"/>
              <w:rPr>
                <w:rFonts w:hint="eastAsia" w:ascii="宋体" w:hAnsi="宋体" w:eastAsia="宋体" w:cs="宋体"/>
                <w:b/>
                <w:bCs/>
                <w:color w:val="000000"/>
                <w:szCs w:val="21"/>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50DB341">
            <w:pPr>
              <w:jc w:val="right"/>
              <w:rPr>
                <w:rFonts w:hint="eastAsia" w:ascii="宋体" w:hAnsi="宋体" w:eastAsia="宋体" w:cs="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8AC70AD">
            <w:pPr>
              <w:jc w:val="right"/>
              <w:rPr>
                <w:rFonts w:hint="eastAsia" w:ascii="宋体" w:hAnsi="宋体" w:eastAsia="宋体" w:cs="Arial"/>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8818067">
            <w:pPr>
              <w:jc w:val="right"/>
              <w:rPr>
                <w:rFonts w:hint="eastAsia" w:ascii="宋体" w:hAnsi="宋体" w:eastAsia="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2468180">
            <w:pPr>
              <w:jc w:val="right"/>
              <w:rPr>
                <w:rFonts w:hint="eastAsia" w:ascii="宋体" w:hAnsi="宋体" w:eastAsia="宋体" w:cs="宋体"/>
                <w:b/>
                <w:bCs/>
                <w:color w:val="000000"/>
                <w:szCs w:val="21"/>
              </w:rPr>
            </w:pPr>
          </w:p>
        </w:tc>
      </w:tr>
      <w:tr w14:paraId="270D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175E074C">
            <w:pPr>
              <w:rPr>
                <w:rFonts w:hint="eastAsia" w:ascii="宋体" w:hAnsi="宋体" w:eastAsia="宋体" w:cs="宋体"/>
                <w:color w:val="000000"/>
                <w:szCs w:val="20"/>
              </w:rPr>
            </w:pPr>
            <w:r>
              <w:rPr>
                <w:rFonts w:hint="eastAsia" w:ascii="宋体" w:hAnsi="宋体" w:eastAsia="宋体" w:cs="宋体"/>
                <w:color w:val="000000"/>
                <w:szCs w:val="20"/>
              </w:rPr>
              <w:t>建设期资金流出</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C4ADC49">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8989742">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5D8F3CD">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1A2BA87">
            <w:pPr>
              <w:jc w:val="right"/>
              <w:rPr>
                <w:rFonts w:hint="eastAsia" w:ascii="宋体" w:hAnsi="宋体" w:eastAsia="宋体" w:cs="Arial"/>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C94C641">
            <w:pPr>
              <w:jc w:val="right"/>
              <w:rPr>
                <w:rFonts w:hint="eastAsia" w:ascii="宋体" w:hAnsi="宋体" w:eastAsia="宋体"/>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562D994">
            <w:pPr>
              <w:jc w:val="right"/>
              <w:rPr>
                <w:rFonts w:hint="eastAsia" w:ascii="宋体" w:hAnsi="宋体" w:eastAsia="宋体" w:cs="宋体"/>
                <w:b/>
                <w:bCs/>
                <w:color w:val="000000"/>
                <w:szCs w:val="21"/>
              </w:rPr>
            </w:pPr>
            <w:r>
              <w:rPr>
                <w:rFonts w:hint="eastAsia" w:ascii="宋体" w:hAnsi="宋体" w:eastAsia="宋体"/>
                <w:b/>
                <w:bCs/>
                <w:color w:val="000000"/>
                <w:sz w:val="20"/>
                <w:szCs w:val="20"/>
              </w:rPr>
              <w:t>6,599.69</w:t>
            </w:r>
          </w:p>
        </w:tc>
      </w:tr>
      <w:tr w14:paraId="4FC2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628E64F8">
            <w:pPr>
              <w:rPr>
                <w:rFonts w:hint="eastAsia" w:ascii="宋体" w:hAnsi="宋体" w:eastAsia="宋体" w:cs="宋体"/>
                <w:color w:val="000000"/>
                <w:szCs w:val="20"/>
              </w:rPr>
            </w:pPr>
            <w:r>
              <w:rPr>
                <w:rFonts w:hint="eastAsia" w:ascii="宋体" w:hAnsi="宋体" w:eastAsia="宋体" w:cs="宋体"/>
                <w:color w:val="000000"/>
                <w:szCs w:val="20"/>
              </w:rPr>
              <w:t>运营期现金流出</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63685AE">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DF4343E">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03A096E">
            <w:pPr>
              <w:jc w:val="right"/>
              <w:rPr>
                <w:rFonts w:hint="eastAsia" w:ascii="宋体" w:hAnsi="宋体" w:eastAsia="宋体" w:cs="宋体"/>
                <w:color w:val="000000"/>
                <w:szCs w:val="21"/>
              </w:rPr>
            </w:pPr>
            <w:r>
              <w:rPr>
                <w:rFonts w:hint="eastAsia" w:ascii="宋体" w:hAnsi="宋体" w:eastAsia="宋体"/>
                <w:color w:val="000000"/>
                <w:sz w:val="20"/>
                <w:szCs w:val="20"/>
              </w:rPr>
              <w:t>38.82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B1BCF6C">
            <w:pPr>
              <w:jc w:val="right"/>
              <w:rPr>
                <w:rFonts w:hint="eastAsia" w:ascii="宋体" w:hAnsi="宋体" w:eastAsia="宋体" w:cs="Arial"/>
                <w:b/>
                <w:bCs/>
                <w:color w:val="000000"/>
                <w:szCs w:val="21"/>
              </w:rPr>
            </w:pPr>
            <w:r>
              <w:rPr>
                <w:rFonts w:hint="eastAsia" w:ascii="宋体" w:hAnsi="宋体" w:eastAsia="宋体"/>
                <w:color w:val="000000"/>
                <w:sz w:val="20"/>
                <w:szCs w:val="20"/>
              </w:rPr>
              <w:t>38.82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53D38D9">
            <w:pPr>
              <w:jc w:val="right"/>
              <w:rPr>
                <w:rFonts w:hint="eastAsia" w:ascii="宋体" w:hAnsi="宋体" w:eastAsia="宋体"/>
                <w:b/>
                <w:bCs/>
                <w:color w:val="000000"/>
                <w:szCs w:val="21"/>
              </w:rPr>
            </w:pPr>
            <w:r>
              <w:rPr>
                <w:rFonts w:hint="eastAsia" w:ascii="宋体" w:hAnsi="宋体" w:eastAsia="宋体"/>
                <w:color w:val="000000"/>
                <w:sz w:val="20"/>
                <w:szCs w:val="20"/>
              </w:rPr>
              <w:t>38.82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9BD907E">
            <w:pPr>
              <w:jc w:val="right"/>
              <w:rPr>
                <w:rFonts w:hint="eastAsia" w:ascii="宋体" w:hAnsi="宋体" w:eastAsia="宋体" w:cs="宋体"/>
                <w:b/>
                <w:bCs/>
                <w:color w:val="000000"/>
                <w:szCs w:val="21"/>
              </w:rPr>
            </w:pPr>
            <w:r>
              <w:rPr>
                <w:rFonts w:hint="eastAsia" w:ascii="宋体" w:hAnsi="宋体" w:eastAsia="宋体"/>
                <w:b/>
                <w:bCs/>
                <w:color w:val="000000"/>
                <w:sz w:val="20"/>
                <w:szCs w:val="20"/>
              </w:rPr>
              <w:t>371.88</w:t>
            </w:r>
          </w:p>
        </w:tc>
      </w:tr>
      <w:tr w14:paraId="60D4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46449296">
            <w:pPr>
              <w:rPr>
                <w:rFonts w:hint="eastAsia" w:ascii="宋体" w:hAnsi="宋体" w:eastAsia="宋体" w:cs="宋体"/>
                <w:color w:val="000000"/>
                <w:szCs w:val="20"/>
              </w:rPr>
            </w:pPr>
            <w:r>
              <w:rPr>
                <w:rFonts w:hint="eastAsia" w:ascii="宋体" w:hAnsi="宋体" w:eastAsia="宋体" w:cs="宋体"/>
                <w:color w:val="000000"/>
                <w:szCs w:val="20"/>
              </w:rPr>
              <w:t>债券还本付息</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3432507">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71B0BA35">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2DAB682A">
            <w:pPr>
              <w:jc w:val="right"/>
              <w:rPr>
                <w:rFonts w:hint="eastAsia" w:ascii="宋体" w:hAnsi="宋体" w:eastAsia="宋体" w:cs="宋体"/>
                <w:color w:val="000000"/>
                <w:szCs w:val="21"/>
              </w:rPr>
            </w:pPr>
            <w:r>
              <w:rPr>
                <w:rFonts w:hint="eastAsia" w:ascii="宋体" w:hAnsi="宋体" w:eastAsia="宋体"/>
                <w:color w:val="000000"/>
                <w:sz w:val="20"/>
                <w:szCs w:val="20"/>
              </w:rPr>
              <w:t>12.32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1342630">
            <w:pPr>
              <w:jc w:val="right"/>
              <w:rPr>
                <w:rFonts w:hint="eastAsia" w:ascii="宋体" w:hAnsi="宋体" w:eastAsia="宋体" w:cs="Arial"/>
                <w:b/>
                <w:bCs/>
                <w:color w:val="000000"/>
                <w:szCs w:val="21"/>
              </w:rPr>
            </w:pPr>
            <w:r>
              <w:rPr>
                <w:rFonts w:hint="eastAsia" w:ascii="宋体" w:hAnsi="宋体" w:eastAsia="宋体"/>
                <w:color w:val="000000"/>
                <w:sz w:val="20"/>
                <w:szCs w:val="20"/>
              </w:rPr>
              <w:t>12.32</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92F546C">
            <w:pPr>
              <w:jc w:val="right"/>
              <w:rPr>
                <w:rFonts w:hint="eastAsia" w:ascii="宋体" w:hAnsi="宋体" w:eastAsia="宋体"/>
                <w:b/>
                <w:bCs/>
                <w:color w:val="000000"/>
                <w:szCs w:val="21"/>
              </w:rPr>
            </w:pPr>
            <w:r>
              <w:rPr>
                <w:rFonts w:hint="eastAsia" w:ascii="宋体" w:hAnsi="宋体" w:eastAsia="宋体"/>
                <w:color w:val="000000"/>
                <w:sz w:val="20"/>
                <w:szCs w:val="20"/>
              </w:rPr>
              <w:t>706.16</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13C6D47">
            <w:pPr>
              <w:jc w:val="right"/>
              <w:rPr>
                <w:rFonts w:hint="eastAsia" w:ascii="宋体" w:hAnsi="宋体" w:eastAsia="宋体" w:cs="宋体"/>
                <w:b/>
                <w:bCs/>
                <w:color w:val="000000"/>
                <w:szCs w:val="21"/>
              </w:rPr>
            </w:pPr>
            <w:r>
              <w:rPr>
                <w:rFonts w:hint="eastAsia" w:ascii="宋体" w:hAnsi="宋体" w:eastAsia="宋体"/>
                <w:b/>
                <w:bCs/>
                <w:color w:val="000000"/>
                <w:sz w:val="20"/>
                <w:szCs w:val="20"/>
              </w:rPr>
              <w:t>823.20</w:t>
            </w:r>
          </w:p>
        </w:tc>
      </w:tr>
      <w:tr w14:paraId="48ED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1A042919">
            <w:pPr>
              <w:rPr>
                <w:rFonts w:hint="eastAsia" w:ascii="宋体" w:hAnsi="宋体" w:eastAsia="宋体" w:cs="宋体"/>
                <w:color w:val="000000"/>
                <w:szCs w:val="20"/>
              </w:rPr>
            </w:pPr>
            <w:r>
              <w:rPr>
                <w:rFonts w:hint="eastAsia" w:ascii="宋体" w:hAnsi="宋体" w:eastAsia="宋体" w:cs="宋体"/>
                <w:color w:val="000000"/>
                <w:szCs w:val="20"/>
              </w:rPr>
              <w:t>债券发行费用</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3E564C40">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BB7C2EF">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D09D32C">
            <w:pPr>
              <w:jc w:val="right"/>
              <w:rPr>
                <w:rFonts w:hint="eastAsia" w:ascii="宋体" w:hAnsi="宋体" w:eastAsia="宋体" w:cs="宋体"/>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D3EEF32">
            <w:pPr>
              <w:jc w:val="right"/>
              <w:rPr>
                <w:rFonts w:hint="eastAsia" w:ascii="宋体" w:hAnsi="宋体" w:eastAsia="宋体" w:cs="Arial"/>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8D5E53A">
            <w:pPr>
              <w:jc w:val="right"/>
              <w:rPr>
                <w:rFonts w:hint="eastAsia" w:ascii="宋体" w:hAnsi="宋体" w:eastAsia="宋体"/>
                <w:b/>
                <w:bCs/>
                <w:color w:val="000000"/>
                <w:szCs w:val="21"/>
              </w:rPr>
            </w:pPr>
            <w:r>
              <w:rPr>
                <w:rFonts w:hint="eastAsia" w:ascii="宋体" w:hAnsi="宋体" w:eastAsia="宋体"/>
                <w:color w:val="000000"/>
                <w:sz w:val="20"/>
                <w:szCs w:val="20"/>
              </w:rPr>
              <w:t>-</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B028FEE">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r>
      <w:tr w14:paraId="1AC8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1CF54521">
            <w:pPr>
              <w:rPr>
                <w:rFonts w:hint="eastAsia" w:ascii="宋体" w:hAnsi="宋体" w:eastAsia="宋体" w:cs="宋体"/>
                <w:b/>
                <w:bCs/>
                <w:color w:val="000000"/>
                <w:szCs w:val="20"/>
              </w:rPr>
            </w:pPr>
            <w:r>
              <w:rPr>
                <w:rFonts w:hint="eastAsia" w:ascii="宋体" w:hAnsi="宋体" w:eastAsia="宋体" w:cs="宋体"/>
                <w:b/>
                <w:bCs/>
                <w:color w:val="000000"/>
                <w:szCs w:val="20"/>
              </w:rPr>
              <w:t>现金流出总额</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B6AC39F">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5785533">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952D8FB">
            <w:pPr>
              <w:jc w:val="right"/>
              <w:rPr>
                <w:rFonts w:hint="eastAsia" w:ascii="宋体" w:hAnsi="宋体" w:eastAsia="宋体" w:cs="宋体"/>
                <w:b/>
                <w:bCs/>
                <w:color w:val="000000"/>
                <w:szCs w:val="21"/>
              </w:rPr>
            </w:pPr>
            <w:r>
              <w:rPr>
                <w:rFonts w:hint="eastAsia" w:ascii="宋体" w:hAnsi="宋体" w:eastAsia="宋体"/>
                <w:b/>
                <w:bCs/>
                <w:color w:val="000000"/>
                <w:sz w:val="20"/>
                <w:szCs w:val="20"/>
              </w:rPr>
              <w:t>51.14</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AA60935">
            <w:pPr>
              <w:jc w:val="right"/>
              <w:rPr>
                <w:rFonts w:hint="eastAsia" w:ascii="宋体" w:hAnsi="宋体" w:eastAsia="宋体" w:cs="Arial"/>
                <w:b/>
                <w:bCs/>
                <w:color w:val="000000"/>
                <w:szCs w:val="21"/>
              </w:rPr>
            </w:pPr>
            <w:r>
              <w:rPr>
                <w:rFonts w:hint="eastAsia" w:ascii="宋体" w:hAnsi="宋体" w:eastAsia="宋体"/>
                <w:b/>
                <w:bCs/>
                <w:color w:val="000000"/>
                <w:sz w:val="20"/>
                <w:szCs w:val="20"/>
              </w:rPr>
              <w:t>51.14</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9309988">
            <w:pPr>
              <w:jc w:val="right"/>
              <w:rPr>
                <w:rFonts w:hint="eastAsia" w:ascii="宋体" w:hAnsi="宋体" w:eastAsia="宋体"/>
                <w:b/>
                <w:bCs/>
                <w:color w:val="000000"/>
                <w:szCs w:val="21"/>
              </w:rPr>
            </w:pPr>
            <w:r>
              <w:rPr>
                <w:rFonts w:hint="eastAsia" w:ascii="宋体" w:hAnsi="宋体" w:eastAsia="宋体"/>
                <w:b/>
                <w:bCs/>
                <w:color w:val="000000"/>
                <w:sz w:val="20"/>
                <w:szCs w:val="20"/>
              </w:rPr>
              <w:t>744.98</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2863E81">
            <w:pPr>
              <w:jc w:val="right"/>
              <w:rPr>
                <w:rFonts w:hint="eastAsia" w:ascii="宋体" w:hAnsi="宋体" w:eastAsia="宋体" w:cs="宋体"/>
                <w:b/>
                <w:bCs/>
                <w:color w:val="000000"/>
                <w:szCs w:val="21"/>
              </w:rPr>
            </w:pPr>
            <w:r>
              <w:rPr>
                <w:rFonts w:hint="eastAsia" w:ascii="宋体" w:hAnsi="宋体" w:eastAsia="宋体"/>
                <w:b/>
                <w:bCs/>
                <w:color w:val="000000"/>
                <w:sz w:val="20"/>
                <w:szCs w:val="20"/>
              </w:rPr>
              <w:t>7,794.77</w:t>
            </w:r>
          </w:p>
        </w:tc>
      </w:tr>
      <w:tr w14:paraId="72C6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03266FED">
            <w:pPr>
              <w:rPr>
                <w:rFonts w:hint="eastAsia" w:ascii="宋体" w:hAnsi="宋体" w:eastAsia="宋体" w:cs="宋体"/>
                <w:b/>
                <w:bCs/>
                <w:color w:val="000000"/>
                <w:szCs w:val="20"/>
              </w:rPr>
            </w:pPr>
            <w:r>
              <w:rPr>
                <w:rFonts w:hint="eastAsia" w:ascii="宋体" w:hAnsi="宋体" w:eastAsia="宋体" w:cs="宋体"/>
                <w:b/>
                <w:bCs/>
                <w:color w:val="000000"/>
                <w:szCs w:val="20"/>
              </w:rPr>
              <w:t>现金净流量</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7B7210E">
            <w:pPr>
              <w:jc w:val="right"/>
              <w:rPr>
                <w:rFonts w:hint="eastAsia" w:ascii="宋体" w:hAnsi="宋体" w:eastAsia="宋体" w:cs="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2004AC0">
            <w:pPr>
              <w:jc w:val="right"/>
              <w:rPr>
                <w:rFonts w:hint="eastAsia" w:ascii="宋体" w:hAnsi="宋体" w:eastAsia="宋体" w:cs="宋体"/>
                <w:b/>
                <w:bCs/>
                <w:color w:val="000000"/>
                <w:szCs w:val="21"/>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81C180B">
            <w:pPr>
              <w:jc w:val="right"/>
              <w:rPr>
                <w:rFonts w:hint="eastAsia" w:ascii="宋体" w:hAnsi="宋体" w:eastAsia="宋体" w:cs="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4765E59">
            <w:pPr>
              <w:jc w:val="right"/>
              <w:rPr>
                <w:rFonts w:hint="eastAsia" w:ascii="宋体" w:hAnsi="宋体" w:eastAsia="宋体" w:cs="Arial"/>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837F8B2">
            <w:pPr>
              <w:jc w:val="right"/>
              <w:rPr>
                <w:rFonts w:hint="eastAsia" w:ascii="宋体" w:hAnsi="宋体" w:eastAsia="宋体" w:cs="宋体"/>
                <w:b/>
                <w:bCs/>
                <w:color w:val="000000"/>
                <w:szCs w:val="21"/>
              </w:rPr>
            </w:pP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B6BC895">
            <w:pPr>
              <w:jc w:val="right"/>
              <w:rPr>
                <w:rFonts w:hint="eastAsia" w:ascii="宋体" w:hAnsi="宋体" w:eastAsia="宋体" w:cs="宋体"/>
                <w:b/>
                <w:bCs/>
                <w:color w:val="000000"/>
                <w:szCs w:val="21"/>
              </w:rPr>
            </w:pPr>
          </w:p>
        </w:tc>
      </w:tr>
      <w:tr w14:paraId="6817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215D6CBD">
            <w:pPr>
              <w:rPr>
                <w:rFonts w:hint="eastAsia" w:ascii="宋体" w:hAnsi="宋体" w:eastAsia="宋体" w:cs="宋体"/>
                <w:b/>
                <w:bCs/>
                <w:color w:val="000000"/>
                <w:szCs w:val="20"/>
              </w:rPr>
            </w:pPr>
            <w:r>
              <w:rPr>
                <w:rFonts w:hint="eastAsia" w:ascii="宋体" w:hAnsi="宋体" w:eastAsia="宋体" w:cs="宋体"/>
                <w:b/>
                <w:bCs/>
                <w:color w:val="000000"/>
                <w:szCs w:val="20"/>
              </w:rPr>
              <w:t>当年项目现金净流入</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2C13582">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1514D74C">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CAE3CC7">
            <w:pPr>
              <w:jc w:val="right"/>
              <w:rPr>
                <w:rFonts w:hint="eastAsia" w:ascii="宋体" w:hAnsi="宋体" w:eastAsia="宋体" w:cs="宋体"/>
                <w:b/>
                <w:bCs/>
                <w:color w:val="000000"/>
                <w:szCs w:val="21"/>
              </w:rPr>
            </w:pPr>
            <w:r>
              <w:rPr>
                <w:rFonts w:hint="eastAsia" w:ascii="宋体" w:hAnsi="宋体" w:eastAsia="宋体"/>
                <w:b/>
                <w:bCs/>
                <w:color w:val="000000"/>
                <w:sz w:val="20"/>
                <w:szCs w:val="20"/>
              </w:rPr>
              <w:t>97.18</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24C17A8A">
            <w:pPr>
              <w:jc w:val="right"/>
              <w:rPr>
                <w:rFonts w:hint="eastAsia" w:ascii="宋体" w:hAnsi="宋体" w:eastAsia="宋体" w:cs="Arial"/>
                <w:b/>
                <w:bCs/>
                <w:color w:val="000000"/>
                <w:szCs w:val="21"/>
              </w:rPr>
            </w:pPr>
            <w:r>
              <w:rPr>
                <w:rFonts w:hint="eastAsia" w:ascii="宋体" w:hAnsi="宋体" w:eastAsia="宋体"/>
                <w:b/>
                <w:bCs/>
                <w:color w:val="000000"/>
                <w:sz w:val="20"/>
                <w:szCs w:val="20"/>
              </w:rPr>
              <w:t>97.18</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BFA085B">
            <w:pPr>
              <w:jc w:val="right"/>
              <w:rPr>
                <w:rFonts w:hint="eastAsia" w:ascii="宋体" w:hAnsi="宋体" w:eastAsia="宋体"/>
                <w:b/>
                <w:bCs/>
                <w:color w:val="000000"/>
                <w:szCs w:val="21"/>
              </w:rPr>
            </w:pPr>
            <w:r>
              <w:rPr>
                <w:rFonts w:hint="eastAsia" w:ascii="宋体" w:hAnsi="宋体" w:eastAsia="宋体"/>
                <w:b/>
                <w:bCs/>
                <w:color w:val="000000"/>
                <w:sz w:val="20"/>
                <w:szCs w:val="20"/>
              </w:rPr>
              <w:t>-596.66</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4EDA4E88">
            <w:pPr>
              <w:jc w:val="right"/>
              <w:rPr>
                <w:rFonts w:hint="eastAsia" w:ascii="宋体" w:hAnsi="宋体" w:eastAsia="宋体" w:cs="宋体"/>
                <w:b/>
                <w:bCs/>
                <w:color w:val="000000"/>
                <w:szCs w:val="21"/>
              </w:rPr>
            </w:pPr>
            <w:r>
              <w:rPr>
                <w:rFonts w:hint="eastAsia" w:ascii="宋体" w:hAnsi="宋体" w:eastAsia="宋体"/>
                <w:b/>
                <w:bCs/>
                <w:color w:val="000000"/>
                <w:sz w:val="20"/>
                <w:szCs w:val="20"/>
              </w:rPr>
              <w:t>248.28</w:t>
            </w:r>
          </w:p>
        </w:tc>
      </w:tr>
      <w:tr w14:paraId="165D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23" w:type="pct"/>
            <w:tcBorders>
              <w:top w:val="single" w:color="auto" w:sz="4" w:space="0"/>
              <w:left w:val="single" w:color="auto" w:sz="4" w:space="0"/>
              <w:bottom w:val="single" w:color="auto" w:sz="4" w:space="0"/>
              <w:right w:val="single" w:color="auto" w:sz="4" w:space="0"/>
            </w:tcBorders>
            <w:shd w:val="clear" w:color="auto" w:fill="FFFFFF"/>
            <w:vAlign w:val="center"/>
          </w:tcPr>
          <w:p w14:paraId="46EC45B8">
            <w:pPr>
              <w:rPr>
                <w:rFonts w:hint="eastAsia" w:ascii="宋体" w:hAnsi="宋体" w:eastAsia="宋体" w:cs="宋体"/>
                <w:b/>
                <w:bCs/>
                <w:color w:val="000000"/>
                <w:szCs w:val="20"/>
              </w:rPr>
            </w:pPr>
            <w:r>
              <w:rPr>
                <w:rFonts w:hint="eastAsia" w:ascii="宋体" w:hAnsi="宋体" w:eastAsia="宋体" w:cs="宋体"/>
                <w:b/>
                <w:bCs/>
                <w:color w:val="000000"/>
                <w:szCs w:val="20"/>
              </w:rPr>
              <w:t>期末项目累计现金结存额</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1EDAD99">
            <w:pPr>
              <w:jc w:val="right"/>
              <w:rPr>
                <w:rFonts w:hint="eastAsia" w:ascii="宋体" w:hAnsi="宋体" w:eastAsia="宋体" w:cs="宋体"/>
                <w:b/>
                <w:bCs/>
                <w:color w:val="000000"/>
                <w:szCs w:val="21"/>
              </w:rPr>
            </w:pPr>
            <w:r>
              <w:rPr>
                <w:rFonts w:hint="eastAsia" w:ascii="宋体" w:hAnsi="宋体" w:eastAsia="宋体"/>
                <w:b/>
                <w:bCs/>
                <w:color w:val="000000"/>
                <w:sz w:val="20"/>
                <w:szCs w:val="20"/>
              </w:rPr>
              <w:t>553.40</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0BECF139">
            <w:pPr>
              <w:jc w:val="right"/>
              <w:rPr>
                <w:rFonts w:hint="eastAsia" w:ascii="宋体" w:hAnsi="宋体" w:eastAsia="宋体" w:cs="宋体"/>
                <w:b/>
                <w:bCs/>
                <w:color w:val="000000"/>
                <w:szCs w:val="21"/>
              </w:rPr>
            </w:pPr>
            <w:r>
              <w:rPr>
                <w:rFonts w:hint="eastAsia" w:ascii="宋体" w:hAnsi="宋体" w:eastAsia="宋体"/>
                <w:b/>
                <w:bCs/>
                <w:color w:val="000000"/>
                <w:sz w:val="20"/>
                <w:szCs w:val="20"/>
              </w:rPr>
              <w:t>650.58</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88F33BC">
            <w:pPr>
              <w:jc w:val="right"/>
              <w:rPr>
                <w:rFonts w:hint="eastAsia" w:ascii="宋体" w:hAnsi="宋体" w:eastAsia="宋体" w:cs="宋体"/>
                <w:b/>
                <w:bCs/>
                <w:color w:val="000000"/>
                <w:szCs w:val="21"/>
              </w:rPr>
            </w:pPr>
            <w:r>
              <w:rPr>
                <w:rFonts w:hint="eastAsia" w:ascii="宋体" w:hAnsi="宋体" w:eastAsia="宋体"/>
                <w:b/>
                <w:bCs/>
                <w:color w:val="000000"/>
                <w:sz w:val="20"/>
                <w:szCs w:val="20"/>
              </w:rPr>
              <w:t>747.76</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5E072205">
            <w:pPr>
              <w:jc w:val="right"/>
              <w:rPr>
                <w:rFonts w:hint="eastAsia" w:ascii="宋体" w:hAnsi="宋体" w:eastAsia="宋体" w:cs="Arial"/>
                <w:b/>
                <w:bCs/>
                <w:color w:val="000000"/>
                <w:szCs w:val="21"/>
              </w:rPr>
            </w:pPr>
            <w:r>
              <w:rPr>
                <w:rFonts w:hint="eastAsia" w:ascii="宋体" w:hAnsi="宋体" w:eastAsia="宋体"/>
                <w:b/>
                <w:bCs/>
                <w:color w:val="000000"/>
                <w:sz w:val="20"/>
                <w:szCs w:val="20"/>
              </w:rPr>
              <w:t>844.94</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44FB39D">
            <w:pPr>
              <w:jc w:val="right"/>
              <w:rPr>
                <w:rFonts w:hint="eastAsia" w:ascii="宋体" w:hAnsi="宋体" w:eastAsia="宋体"/>
                <w:b/>
                <w:bCs/>
                <w:color w:val="000000"/>
                <w:szCs w:val="21"/>
              </w:rPr>
            </w:pPr>
            <w:r>
              <w:rPr>
                <w:rFonts w:hint="eastAsia" w:ascii="宋体" w:hAnsi="宋体" w:eastAsia="宋体"/>
                <w:b/>
                <w:bCs/>
                <w:color w:val="000000"/>
                <w:sz w:val="20"/>
                <w:szCs w:val="20"/>
              </w:rPr>
              <w:t>248.28</w:t>
            </w:r>
          </w:p>
        </w:tc>
        <w:tc>
          <w:tcPr>
            <w:tcW w:w="596" w:type="pct"/>
            <w:tcBorders>
              <w:top w:val="single" w:color="auto" w:sz="4" w:space="0"/>
              <w:left w:val="single" w:color="auto" w:sz="4" w:space="0"/>
              <w:bottom w:val="single" w:color="auto" w:sz="4" w:space="0"/>
              <w:right w:val="single" w:color="auto" w:sz="4" w:space="0"/>
            </w:tcBorders>
            <w:shd w:val="clear" w:color="auto" w:fill="FFFFFF"/>
            <w:vAlign w:val="center"/>
          </w:tcPr>
          <w:p w14:paraId="675965FD">
            <w:pPr>
              <w:jc w:val="right"/>
              <w:rPr>
                <w:rFonts w:hint="eastAsia" w:ascii="宋体" w:hAnsi="宋体" w:eastAsia="宋体" w:cs="宋体"/>
                <w:b/>
                <w:bCs/>
                <w:color w:val="000000"/>
                <w:szCs w:val="21"/>
              </w:rPr>
            </w:pPr>
            <w:r>
              <w:rPr>
                <w:rFonts w:hint="eastAsia" w:ascii="宋体" w:hAnsi="宋体" w:eastAsia="宋体"/>
                <w:b/>
                <w:bCs/>
                <w:color w:val="000000"/>
                <w:sz w:val="20"/>
                <w:szCs w:val="20"/>
              </w:rPr>
              <w:t>-</w:t>
            </w:r>
          </w:p>
        </w:tc>
      </w:tr>
    </w:tbl>
    <w:p w14:paraId="6B85207A">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基于以上投资计划、资金筹措安排，我们未发现债券存续期内所需建设资金存在缺口的情况，且本项目债券存续期内各年期末累计现金结存额均为正值，项目收益在满足专项债券还本付息的前提下，仍有资金结余，显示项目具备偿债能力和可持续性。</w:t>
      </w:r>
    </w:p>
    <w:p w14:paraId="60635F18">
      <w:pPr>
        <w:spacing w:line="360" w:lineRule="auto"/>
        <w:ind w:firstLine="482" w:firstLineChars="200"/>
        <w:outlineLvl w:val="2"/>
        <w:rPr>
          <w:rFonts w:hint="eastAsia" w:asciiTheme="minorEastAsia" w:hAnsiTheme="minorEastAsia" w:eastAsiaTheme="minorEastAsia"/>
          <w:b/>
          <w:sz w:val="24"/>
          <w:szCs w:val="24"/>
        </w:rPr>
      </w:pPr>
      <w:bookmarkStart w:id="16" w:name="_Toc124517204"/>
      <w:bookmarkStart w:id="17" w:name="_Toc144992467"/>
      <w:r>
        <w:rPr>
          <w:rFonts w:hint="eastAsia" w:asciiTheme="minorEastAsia" w:hAnsiTheme="minorEastAsia" w:eastAsiaTheme="minorEastAsia"/>
          <w:b/>
          <w:sz w:val="24"/>
          <w:szCs w:val="24"/>
        </w:rPr>
        <w:t>1.4小结</w:t>
      </w:r>
      <w:bookmarkEnd w:id="16"/>
      <w:bookmarkEnd w:id="17"/>
    </w:p>
    <w:p w14:paraId="174B4EA4">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综上，在本期专项债券存续期内，我们未注意到本项目资金出现不能满足还</w:t>
      </w:r>
      <w:r>
        <w:rPr>
          <w:rFonts w:asciiTheme="minorEastAsia" w:hAnsiTheme="minorEastAsia" w:eastAsiaTheme="minorEastAsia"/>
          <w:sz w:val="24"/>
          <w:szCs w:val="24"/>
        </w:rPr>
        <w:t>本付息要求</w:t>
      </w:r>
      <w:r>
        <w:rPr>
          <w:rFonts w:hint="eastAsia" w:asciiTheme="minorEastAsia" w:hAnsiTheme="minorEastAsia" w:eastAsiaTheme="minorEastAsia"/>
          <w:sz w:val="24"/>
          <w:szCs w:val="24"/>
        </w:rPr>
        <w:t>的情况。</w:t>
      </w:r>
    </w:p>
    <w:p w14:paraId="697C9216">
      <w:pPr>
        <w:spacing w:line="360" w:lineRule="auto"/>
        <w:ind w:firstLine="482" w:firstLineChars="200"/>
        <w:outlineLvl w:val="1"/>
        <w:rPr>
          <w:rFonts w:hint="eastAsia" w:asciiTheme="minorEastAsia" w:hAnsiTheme="minorEastAsia" w:eastAsiaTheme="minorEastAsia"/>
          <w:b/>
          <w:sz w:val="24"/>
          <w:szCs w:val="24"/>
        </w:rPr>
      </w:pPr>
      <w:bookmarkStart w:id="18" w:name="_Toc144992468"/>
      <w:bookmarkStart w:id="19" w:name="_Toc124517205"/>
      <w:r>
        <w:rPr>
          <w:rFonts w:hint="eastAsia" w:asciiTheme="minorEastAsia" w:hAnsiTheme="minorEastAsia" w:eastAsiaTheme="minorEastAsia"/>
          <w:b/>
          <w:sz w:val="24"/>
          <w:szCs w:val="24"/>
        </w:rPr>
        <w:t>2.资金稳定性</w:t>
      </w:r>
      <w:bookmarkEnd w:id="18"/>
      <w:bookmarkEnd w:id="19"/>
    </w:p>
    <w:p w14:paraId="72232C19">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w:t>
      </w:r>
      <w:r>
        <w:rPr>
          <w:rFonts w:ascii="宋体" w:hAnsi="宋体" w:eastAsia="宋体"/>
          <w:color w:val="000000"/>
          <w:kern w:val="0"/>
          <w:sz w:val="24"/>
          <w:szCs w:val="24"/>
          <w:lang w:val="en-GB"/>
        </w:rPr>
        <w:t>1</w:t>
      </w:r>
      <w:r>
        <w:rPr>
          <w:rFonts w:hint="eastAsia" w:ascii="宋体" w:hAnsi="宋体" w:eastAsia="宋体"/>
          <w:color w:val="000000"/>
          <w:kern w:val="0"/>
          <w:sz w:val="24"/>
          <w:szCs w:val="24"/>
          <w:lang w:val="en-GB"/>
        </w:rPr>
        <w:t>）项目收入</w:t>
      </w:r>
    </w:p>
    <w:p w14:paraId="218159EE">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①土地出让收入预测</w:t>
      </w:r>
    </w:p>
    <w:p w14:paraId="2F1C8F7C">
      <w:pPr>
        <w:spacing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根据《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35ED8E64">
      <w:pPr>
        <w:widowControl/>
        <w:spacing w:before="166" w:beforeLines="50" w:after="166" w:afterLines="50"/>
        <w:jc w:val="center"/>
        <w:rPr>
          <w:rFonts w:hint="eastAsia" w:ascii="宋体" w:hAnsi="宋体" w:eastAsia="宋体"/>
          <w:b/>
          <w:color w:val="000000"/>
          <w:kern w:val="0"/>
          <w:sz w:val="24"/>
          <w:szCs w:val="24"/>
        </w:rPr>
      </w:pPr>
      <w:r>
        <w:rPr>
          <w:rFonts w:hint="eastAsia" w:ascii="宋体" w:hAnsi="宋体" w:eastAsia="宋体"/>
          <w:b/>
          <w:color w:val="000000"/>
          <w:kern w:val="0"/>
          <w:sz w:val="24"/>
          <w:szCs w:val="24"/>
        </w:rPr>
        <w:t>表</w:t>
      </w:r>
      <w:r>
        <w:rPr>
          <w:rFonts w:ascii="宋体" w:hAnsi="宋体" w:eastAsia="宋体"/>
          <w:b/>
          <w:color w:val="000000"/>
          <w:kern w:val="0"/>
          <w:sz w:val="24"/>
          <w:szCs w:val="24"/>
        </w:rPr>
        <w:t xml:space="preserve">8 </w:t>
      </w:r>
      <w:r>
        <w:rPr>
          <w:rFonts w:hint="eastAsia" w:ascii="宋体" w:hAnsi="宋体" w:eastAsia="宋体"/>
          <w:b/>
          <w:color w:val="000000"/>
          <w:kern w:val="0"/>
          <w:sz w:val="24"/>
          <w:szCs w:val="24"/>
        </w:rPr>
        <w:t>土地出让情况表</w:t>
      </w:r>
    </w:p>
    <w:tbl>
      <w:tblPr>
        <w:tblStyle w:val="21"/>
        <w:tblW w:w="50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33"/>
        <w:gridCol w:w="1659"/>
        <w:gridCol w:w="1166"/>
        <w:gridCol w:w="901"/>
        <w:gridCol w:w="1242"/>
        <w:gridCol w:w="965"/>
        <w:gridCol w:w="1658"/>
      </w:tblGrid>
      <w:tr w14:paraId="5834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blHeader/>
          <w:jc w:val="center"/>
        </w:trPr>
        <w:tc>
          <w:tcPr>
            <w:tcW w:w="494" w:type="pct"/>
            <w:vMerge w:val="restart"/>
            <w:shd w:val="clear" w:color="000000" w:fill="D0CECE"/>
            <w:vAlign w:val="center"/>
          </w:tcPr>
          <w:p w14:paraId="1EAEFAE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序号</w:t>
            </w:r>
          </w:p>
        </w:tc>
        <w:tc>
          <w:tcPr>
            <w:tcW w:w="985" w:type="pct"/>
            <w:vMerge w:val="restart"/>
            <w:shd w:val="clear" w:color="000000" w:fill="D0CECE"/>
            <w:vAlign w:val="center"/>
          </w:tcPr>
          <w:p w14:paraId="5BC8212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项目名称</w:t>
            </w:r>
          </w:p>
        </w:tc>
        <w:tc>
          <w:tcPr>
            <w:tcW w:w="692" w:type="pct"/>
            <w:vMerge w:val="restart"/>
            <w:shd w:val="clear" w:color="000000" w:fill="D0CECE"/>
            <w:vAlign w:val="center"/>
          </w:tcPr>
          <w:p w14:paraId="4B0B58E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地块编号</w:t>
            </w:r>
          </w:p>
        </w:tc>
        <w:tc>
          <w:tcPr>
            <w:tcW w:w="535" w:type="pct"/>
            <w:shd w:val="clear" w:color="000000" w:fill="D0CECE"/>
            <w:vAlign w:val="center"/>
          </w:tcPr>
          <w:p w14:paraId="18786A9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面积</w:t>
            </w:r>
          </w:p>
        </w:tc>
        <w:tc>
          <w:tcPr>
            <w:tcW w:w="737" w:type="pct"/>
            <w:shd w:val="clear" w:color="000000" w:fill="D0CECE"/>
            <w:vAlign w:val="center"/>
          </w:tcPr>
          <w:p w14:paraId="45808C6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预估地价</w:t>
            </w:r>
          </w:p>
        </w:tc>
        <w:tc>
          <w:tcPr>
            <w:tcW w:w="573" w:type="pct"/>
            <w:vMerge w:val="restart"/>
            <w:shd w:val="clear" w:color="000000" w:fill="D0CECE"/>
            <w:vAlign w:val="center"/>
          </w:tcPr>
          <w:p w14:paraId="50155F6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土地性质</w:t>
            </w:r>
          </w:p>
        </w:tc>
        <w:tc>
          <w:tcPr>
            <w:tcW w:w="984" w:type="pct"/>
            <w:vMerge w:val="restart"/>
            <w:shd w:val="clear" w:color="000000" w:fill="D0CECE"/>
            <w:vAlign w:val="center"/>
          </w:tcPr>
          <w:p w14:paraId="7FE735D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预计出让年限</w:t>
            </w:r>
          </w:p>
        </w:tc>
      </w:tr>
      <w:tr w14:paraId="3681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blHeader/>
          <w:jc w:val="center"/>
        </w:trPr>
        <w:tc>
          <w:tcPr>
            <w:tcW w:w="494" w:type="pct"/>
            <w:vMerge w:val="continue"/>
            <w:vAlign w:val="center"/>
          </w:tcPr>
          <w:p w14:paraId="16DB26DC">
            <w:pPr>
              <w:widowControl/>
              <w:jc w:val="left"/>
              <w:rPr>
                <w:rFonts w:hint="eastAsia" w:ascii="宋体" w:hAnsi="宋体" w:eastAsia="宋体" w:cs="宋体"/>
                <w:b/>
                <w:bCs/>
                <w:color w:val="000000"/>
                <w:kern w:val="0"/>
                <w:sz w:val="20"/>
                <w:szCs w:val="20"/>
                <w:lang w:val="en-GB"/>
              </w:rPr>
            </w:pPr>
          </w:p>
        </w:tc>
        <w:tc>
          <w:tcPr>
            <w:tcW w:w="985" w:type="pct"/>
            <w:vMerge w:val="continue"/>
            <w:vAlign w:val="center"/>
          </w:tcPr>
          <w:p w14:paraId="2B545247">
            <w:pPr>
              <w:widowControl/>
              <w:jc w:val="left"/>
              <w:rPr>
                <w:rFonts w:hint="eastAsia" w:ascii="宋体" w:hAnsi="宋体" w:eastAsia="宋体" w:cs="宋体"/>
                <w:b/>
                <w:bCs/>
                <w:color w:val="000000"/>
                <w:kern w:val="0"/>
                <w:sz w:val="20"/>
                <w:szCs w:val="20"/>
                <w:lang w:val="en-GB"/>
              </w:rPr>
            </w:pPr>
          </w:p>
        </w:tc>
        <w:tc>
          <w:tcPr>
            <w:tcW w:w="692" w:type="pct"/>
            <w:vMerge w:val="continue"/>
            <w:vAlign w:val="center"/>
          </w:tcPr>
          <w:p w14:paraId="751594CD">
            <w:pPr>
              <w:widowControl/>
              <w:jc w:val="left"/>
              <w:rPr>
                <w:rFonts w:hint="eastAsia" w:ascii="宋体" w:hAnsi="宋体" w:eastAsia="宋体" w:cs="宋体"/>
                <w:b/>
                <w:bCs/>
                <w:color w:val="000000"/>
                <w:kern w:val="0"/>
                <w:sz w:val="20"/>
                <w:szCs w:val="20"/>
                <w:lang w:val="en-GB"/>
              </w:rPr>
            </w:pPr>
          </w:p>
        </w:tc>
        <w:tc>
          <w:tcPr>
            <w:tcW w:w="535" w:type="pct"/>
            <w:shd w:val="clear" w:color="000000" w:fill="D0CECE"/>
            <w:vAlign w:val="center"/>
          </w:tcPr>
          <w:p w14:paraId="3354D0E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（亩）</w:t>
            </w:r>
          </w:p>
        </w:tc>
        <w:tc>
          <w:tcPr>
            <w:tcW w:w="737" w:type="pct"/>
            <w:shd w:val="clear" w:color="000000" w:fill="D0CECE"/>
            <w:vAlign w:val="center"/>
          </w:tcPr>
          <w:p w14:paraId="7980A63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（万元/亩）</w:t>
            </w:r>
          </w:p>
        </w:tc>
        <w:tc>
          <w:tcPr>
            <w:tcW w:w="573" w:type="pct"/>
            <w:vMerge w:val="continue"/>
            <w:vAlign w:val="center"/>
          </w:tcPr>
          <w:p w14:paraId="3CF8F77E">
            <w:pPr>
              <w:widowControl/>
              <w:jc w:val="left"/>
              <w:rPr>
                <w:rFonts w:hint="eastAsia" w:ascii="宋体" w:hAnsi="宋体" w:eastAsia="宋体" w:cs="宋体"/>
                <w:b/>
                <w:bCs/>
                <w:color w:val="000000"/>
                <w:kern w:val="0"/>
                <w:sz w:val="20"/>
                <w:szCs w:val="20"/>
                <w:lang w:val="en-GB"/>
              </w:rPr>
            </w:pPr>
          </w:p>
        </w:tc>
        <w:tc>
          <w:tcPr>
            <w:tcW w:w="984" w:type="pct"/>
            <w:vMerge w:val="continue"/>
            <w:vAlign w:val="center"/>
          </w:tcPr>
          <w:p w14:paraId="052A1872">
            <w:pPr>
              <w:widowControl/>
              <w:jc w:val="left"/>
              <w:rPr>
                <w:rFonts w:hint="eastAsia" w:ascii="宋体" w:hAnsi="宋体" w:eastAsia="宋体" w:cs="宋体"/>
                <w:b/>
                <w:bCs/>
                <w:color w:val="000000"/>
                <w:kern w:val="0"/>
                <w:sz w:val="20"/>
                <w:szCs w:val="20"/>
                <w:lang w:val="en-GB"/>
              </w:rPr>
            </w:pPr>
          </w:p>
        </w:tc>
      </w:tr>
      <w:tr w14:paraId="38A3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jc w:val="center"/>
        </w:trPr>
        <w:tc>
          <w:tcPr>
            <w:tcW w:w="494" w:type="pct"/>
            <w:shd w:val="clear" w:color="auto" w:fill="auto"/>
            <w:vAlign w:val="center"/>
          </w:tcPr>
          <w:p w14:paraId="08B6B807">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w:t>
            </w:r>
          </w:p>
        </w:tc>
        <w:tc>
          <w:tcPr>
            <w:tcW w:w="985" w:type="pct"/>
            <w:shd w:val="clear" w:color="auto" w:fill="auto"/>
            <w:noWrap/>
            <w:vAlign w:val="center"/>
          </w:tcPr>
          <w:p w14:paraId="3817018B">
            <w:pPr>
              <w:widowControl/>
              <w:jc w:val="left"/>
              <w:rPr>
                <w:rFonts w:hint="eastAsia" w:ascii="宋体" w:hAnsi="宋体" w:eastAsia="宋体" w:cs="宋体"/>
                <w:color w:val="000000"/>
                <w:kern w:val="0"/>
                <w:sz w:val="20"/>
                <w:szCs w:val="20"/>
                <w:lang w:val="en-GB"/>
              </w:rPr>
            </w:pPr>
            <w:r>
              <w:rPr>
                <w:rFonts w:hint="eastAsia" w:ascii="宋体" w:hAnsi="宋体" w:eastAsia="宋体"/>
                <w:kern w:val="0"/>
                <w:sz w:val="20"/>
                <w:szCs w:val="20"/>
                <w:lang w:val="en-GB"/>
              </w:rPr>
              <w:t>海口江东新区园区基础设施七期</w:t>
            </w:r>
          </w:p>
        </w:tc>
        <w:tc>
          <w:tcPr>
            <w:tcW w:w="692" w:type="pct"/>
            <w:shd w:val="clear" w:color="auto" w:fill="auto"/>
            <w:noWrap/>
            <w:vAlign w:val="center"/>
          </w:tcPr>
          <w:p w14:paraId="437FC2B0">
            <w:pPr>
              <w:widowControl/>
              <w:ind w:right="200"/>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JDZH-02-A09-1-06</w:t>
            </w:r>
          </w:p>
        </w:tc>
        <w:tc>
          <w:tcPr>
            <w:tcW w:w="535" w:type="pct"/>
            <w:shd w:val="clear" w:color="auto" w:fill="auto"/>
            <w:noWrap/>
            <w:vAlign w:val="center"/>
          </w:tcPr>
          <w:p w14:paraId="292877A4">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0.</w:t>
            </w:r>
            <w:r>
              <w:rPr>
                <w:rFonts w:hint="eastAsia" w:ascii="宋体" w:hAnsi="宋体" w:eastAsia="宋体" w:cs="宋体"/>
                <w:color w:val="000000"/>
                <w:kern w:val="0"/>
                <w:sz w:val="20"/>
                <w:szCs w:val="20"/>
                <w:lang w:val="en-GB"/>
              </w:rPr>
              <w:t>60</w:t>
            </w:r>
          </w:p>
        </w:tc>
        <w:tc>
          <w:tcPr>
            <w:tcW w:w="737" w:type="pct"/>
            <w:shd w:val="clear" w:color="auto" w:fill="auto"/>
            <w:noWrap/>
            <w:vAlign w:val="center"/>
          </w:tcPr>
          <w:p w14:paraId="55AF6C76">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1,500.00</w:t>
            </w:r>
          </w:p>
        </w:tc>
        <w:tc>
          <w:tcPr>
            <w:tcW w:w="573" w:type="pct"/>
            <w:shd w:val="clear" w:color="auto" w:fill="auto"/>
            <w:noWrap/>
            <w:vAlign w:val="center"/>
          </w:tcPr>
          <w:p w14:paraId="6F62D867">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984" w:type="pct"/>
            <w:shd w:val="clear" w:color="auto" w:fill="auto"/>
            <w:noWrap/>
            <w:vAlign w:val="center"/>
          </w:tcPr>
          <w:p w14:paraId="5CEF94DA">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2027-2035</w:t>
            </w:r>
          </w:p>
        </w:tc>
      </w:tr>
    </w:tbl>
    <w:p w14:paraId="22E68D6E">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②广告牌出租收入预测</w:t>
      </w:r>
    </w:p>
    <w:p w14:paraId="746F4200">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本项目预留10个广告牌，结合周边同区域、同水平、同档位的广告出租单价暂按5,000.00元/个/月计算，基于谨慎性原则，运营期出租率暂按90%考虑。</w:t>
      </w:r>
    </w:p>
    <w:p w14:paraId="335B04BD">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③停车位收入预测</w:t>
      </w:r>
    </w:p>
    <w:p w14:paraId="0B877D09">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本项目预留20个停车位，结合周边同区域、同水平、同档位停车位出租收入单价暂按200.00元/个/月计算，基于谨慎性原则，运营期出租率暂按90%考虑。</w:t>
      </w:r>
    </w:p>
    <w:p w14:paraId="72123960">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（2）项目成本</w:t>
      </w:r>
    </w:p>
    <w:p w14:paraId="27A3C8D7">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①土地出让成本</w:t>
      </w:r>
    </w:p>
    <w:p w14:paraId="5DFFA9B9">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25%计提。按照预估的土地出让单价、出让计划及成本费用在项目存续期间有稳定的政府性基金收入及专项收入，可稳定覆盖债券存续期间各年利息及到期偿还本金的支出需求。</w:t>
      </w:r>
    </w:p>
    <w:p w14:paraId="3CA091FE">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②运营成本</w:t>
      </w:r>
    </w:p>
    <w:p w14:paraId="44D955BF">
      <w:pPr>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参考同类项目运营管理经验，运营成本一般按照项目运营收入的一定比例预估。参考同类项目运营成本占比数据，本项目运营成本暂按广告牌出租收入及停车位收入的20%测算。</w:t>
      </w:r>
    </w:p>
    <w:p w14:paraId="42D8848E">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③相关税费</w:t>
      </w:r>
    </w:p>
    <w:p w14:paraId="6E298DE3">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A．增值税：根据《中华人民共和国增值税法》，广告牌出租收入、停车位收入增值税税率为9%。</w:t>
      </w:r>
    </w:p>
    <w:p w14:paraId="7880940A">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42904954">
      <w:pPr>
        <w:widowControl/>
        <w:adjustRightInd w:val="0"/>
        <w:spacing w:before="120" w:after="120" w:line="360" w:lineRule="auto"/>
        <w:ind w:firstLine="480" w:firstLineChars="200"/>
        <w:rPr>
          <w:rFonts w:hint="eastAsia" w:asciiTheme="minorEastAsia" w:hAnsiTheme="minorEastAsia" w:eastAsiaTheme="minorEastAsia"/>
          <w:sz w:val="24"/>
          <w:szCs w:val="24"/>
        </w:rPr>
      </w:pPr>
      <w:r>
        <w:rPr>
          <w:rFonts w:hint="eastAsia" w:ascii="宋体" w:hAnsi="宋体" w:eastAsia="宋体"/>
          <w:color w:val="000000"/>
          <w:kern w:val="0"/>
          <w:sz w:val="24"/>
          <w:szCs w:val="24"/>
          <w:lang w:val="en-GB"/>
        </w:rPr>
        <w:t>C．企业所得税：根据《海南自由贸易港建设总体方案》，对注册在海南自贸港并实质性运营的企业（负面清单行业除外），减按15%征收企业所得税。</w:t>
      </w:r>
    </w:p>
    <w:p w14:paraId="7F831700">
      <w:pPr>
        <w:spacing w:line="360" w:lineRule="auto"/>
        <w:ind w:firstLine="482" w:firstLineChars="200"/>
        <w:jc w:val="cente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表9 海口江东新区园区基础设施七期收入成本预测表</w:t>
      </w:r>
    </w:p>
    <w:p w14:paraId="3BFA9675">
      <w:pPr>
        <w:ind w:right="84" w:rightChars="40" w:firstLine="400" w:firstLineChars="200"/>
        <w:jc w:val="right"/>
        <w:rPr>
          <w:rFonts w:hint="eastAsia" w:asciiTheme="minorEastAsia" w:hAnsiTheme="minorEastAsia" w:eastAsiaTheme="minorEastAsia"/>
          <w:sz w:val="20"/>
          <w:szCs w:val="20"/>
        </w:rPr>
      </w:pPr>
      <w:r>
        <w:rPr>
          <w:rFonts w:asciiTheme="minorEastAsia" w:hAnsiTheme="minorEastAsia" w:eastAsiaTheme="minorEastAsia"/>
          <w:sz w:val="20"/>
          <w:szCs w:val="20"/>
        </w:rPr>
        <w:t>单位：人民币万元</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742"/>
        <w:gridCol w:w="1121"/>
        <w:gridCol w:w="1123"/>
        <w:gridCol w:w="1123"/>
        <w:gridCol w:w="1123"/>
        <w:gridCol w:w="1124"/>
      </w:tblGrid>
      <w:tr w14:paraId="1720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641" w:type="pct"/>
            <w:shd w:val="clear" w:color="auto" w:fill="D9D9D9"/>
            <w:vAlign w:val="center"/>
          </w:tcPr>
          <w:p w14:paraId="51C6E5C3">
            <w:pPr>
              <w:widowControl/>
              <w:jc w:val="center"/>
              <w:rPr>
                <w:rFonts w:hint="eastAsia" w:ascii="宋体" w:hAnsi="宋体" w:eastAsia="宋体" w:cs="等线 Light"/>
                <w:b/>
                <w:color w:val="000000"/>
                <w:kern w:val="0"/>
                <w:szCs w:val="21"/>
                <w:lang w:val="en-GB"/>
              </w:rPr>
            </w:pPr>
            <w:r>
              <w:rPr>
                <w:rFonts w:hint="eastAsia" w:ascii="宋体" w:hAnsi="宋体" w:eastAsia="宋体" w:cs="等线 Light"/>
                <w:b/>
                <w:color w:val="000000"/>
                <w:kern w:val="0"/>
                <w:szCs w:val="21"/>
                <w:lang w:val="en-GB" w:eastAsia="zh-TW"/>
              </w:rPr>
              <w:t>运营期</w:t>
            </w:r>
          </w:p>
        </w:tc>
        <w:tc>
          <w:tcPr>
            <w:tcW w:w="671" w:type="pct"/>
            <w:shd w:val="clear" w:color="auto" w:fill="D9D9D9"/>
            <w:vAlign w:val="center"/>
          </w:tcPr>
          <w:p w14:paraId="7343FADC">
            <w:pPr>
              <w:widowControl/>
              <w:jc w:val="center"/>
              <w:rPr>
                <w:rFonts w:hint="eastAsia" w:ascii="宋体" w:hAnsi="宋体" w:eastAsia="宋体" w:cs="Cambria Math"/>
                <w:b/>
                <w:color w:val="000000"/>
                <w:kern w:val="0"/>
                <w:szCs w:val="21"/>
                <w:lang w:val="en-GB" w:eastAsia="zh-TW"/>
              </w:rPr>
            </w:pPr>
            <w:r>
              <w:rPr>
                <w:rFonts w:hint="eastAsia" w:ascii="宋体" w:hAnsi="宋体" w:eastAsia="宋体" w:cs="等线 Light"/>
                <w:b/>
                <w:kern w:val="0"/>
                <w:szCs w:val="21"/>
                <w:lang w:val="en-GB"/>
              </w:rPr>
              <w:t>2027</w:t>
            </w:r>
          </w:p>
        </w:tc>
        <w:tc>
          <w:tcPr>
            <w:tcW w:w="672" w:type="pct"/>
            <w:shd w:val="clear" w:color="auto" w:fill="D9D9D9"/>
            <w:vAlign w:val="center"/>
          </w:tcPr>
          <w:p w14:paraId="7C41D5A3">
            <w:pPr>
              <w:widowControl/>
              <w:jc w:val="center"/>
              <w:rPr>
                <w:rFonts w:hint="eastAsia" w:ascii="宋体" w:hAnsi="宋体" w:eastAsia="宋体" w:cs="Cambria Math"/>
                <w:b/>
                <w:color w:val="000000"/>
                <w:kern w:val="0"/>
                <w:szCs w:val="21"/>
                <w:lang w:val="en-GB" w:eastAsia="zh-TW"/>
              </w:rPr>
            </w:pPr>
            <w:r>
              <w:rPr>
                <w:rFonts w:hint="eastAsia" w:ascii="宋体" w:hAnsi="宋体" w:eastAsia="宋体" w:cs="等线 Light"/>
                <w:b/>
                <w:kern w:val="0"/>
                <w:szCs w:val="21"/>
                <w:lang w:val="en-GB"/>
              </w:rPr>
              <w:t>2028</w:t>
            </w:r>
          </w:p>
        </w:tc>
        <w:tc>
          <w:tcPr>
            <w:tcW w:w="672" w:type="pct"/>
            <w:shd w:val="clear" w:color="auto" w:fill="D9D9D9"/>
            <w:vAlign w:val="center"/>
          </w:tcPr>
          <w:p w14:paraId="2F12F521">
            <w:pPr>
              <w:widowControl/>
              <w:jc w:val="center"/>
              <w:rPr>
                <w:rFonts w:hint="eastAsia" w:ascii="宋体" w:hAnsi="宋体" w:eastAsia="宋体" w:cs="Cambria Math"/>
                <w:b/>
                <w:color w:val="000000"/>
                <w:kern w:val="0"/>
                <w:szCs w:val="21"/>
                <w:lang w:val="en-GB" w:eastAsia="zh-TW"/>
              </w:rPr>
            </w:pPr>
            <w:r>
              <w:rPr>
                <w:rFonts w:hint="eastAsia" w:ascii="宋体" w:hAnsi="宋体" w:eastAsia="宋体" w:cs="等线 Light"/>
                <w:b/>
                <w:kern w:val="0"/>
                <w:szCs w:val="21"/>
                <w:lang w:val="en-GB"/>
              </w:rPr>
              <w:t>2</w:t>
            </w:r>
            <w:r>
              <w:rPr>
                <w:rFonts w:ascii="宋体" w:hAnsi="宋体" w:eastAsia="宋体" w:cs="等线 Light"/>
                <w:b/>
                <w:kern w:val="0"/>
                <w:szCs w:val="21"/>
                <w:lang w:val="en-GB"/>
              </w:rPr>
              <w:t>029</w:t>
            </w:r>
          </w:p>
        </w:tc>
        <w:tc>
          <w:tcPr>
            <w:tcW w:w="672" w:type="pct"/>
            <w:shd w:val="clear" w:color="auto" w:fill="D9D9D9"/>
          </w:tcPr>
          <w:p w14:paraId="49C995A7">
            <w:pPr>
              <w:widowControl/>
              <w:jc w:val="center"/>
              <w:rPr>
                <w:rFonts w:hint="eastAsia" w:ascii="宋体" w:hAnsi="宋体" w:eastAsia="宋体" w:cs="等线 Light"/>
                <w:b/>
                <w:kern w:val="0"/>
                <w:szCs w:val="21"/>
                <w:lang w:val="en-GB"/>
              </w:rPr>
            </w:pPr>
            <w:r>
              <w:rPr>
                <w:rFonts w:hint="eastAsia" w:ascii="宋体" w:hAnsi="宋体" w:eastAsia="宋体" w:cs="等线 Light"/>
                <w:b/>
                <w:kern w:val="0"/>
                <w:szCs w:val="21"/>
                <w:lang w:val="en-GB"/>
              </w:rPr>
              <w:t>2</w:t>
            </w:r>
            <w:r>
              <w:rPr>
                <w:rFonts w:ascii="宋体" w:hAnsi="宋体" w:eastAsia="宋体" w:cs="等线 Light"/>
                <w:b/>
                <w:kern w:val="0"/>
                <w:szCs w:val="21"/>
                <w:lang w:val="en-GB"/>
              </w:rPr>
              <w:t>030</w:t>
            </w:r>
          </w:p>
        </w:tc>
        <w:tc>
          <w:tcPr>
            <w:tcW w:w="672" w:type="pct"/>
            <w:shd w:val="clear" w:color="auto" w:fill="D9D9D9"/>
            <w:vAlign w:val="center"/>
          </w:tcPr>
          <w:p w14:paraId="68B5FCC2">
            <w:pPr>
              <w:widowControl/>
              <w:jc w:val="center"/>
              <w:rPr>
                <w:rFonts w:hint="eastAsia" w:ascii="宋体" w:hAnsi="宋体" w:eastAsia="宋体" w:cs="等线 Light"/>
                <w:b/>
                <w:kern w:val="0"/>
                <w:szCs w:val="21"/>
                <w:lang w:val="en-GB"/>
              </w:rPr>
            </w:pPr>
            <w:r>
              <w:rPr>
                <w:rFonts w:hint="eastAsia" w:ascii="宋体" w:hAnsi="宋体" w:eastAsia="宋体" w:cs="Cambria Math"/>
                <w:b/>
                <w:color w:val="000000"/>
                <w:kern w:val="0"/>
                <w:szCs w:val="21"/>
                <w:lang w:val="en-GB" w:eastAsia="zh-TW"/>
              </w:rPr>
              <w:t>20</w:t>
            </w:r>
            <w:r>
              <w:rPr>
                <w:rFonts w:ascii="宋体" w:hAnsi="宋体" w:eastAsia="宋体" w:cs="Cambria Math"/>
                <w:b/>
                <w:color w:val="000000"/>
                <w:kern w:val="0"/>
                <w:szCs w:val="21"/>
                <w:lang w:val="en-GB" w:eastAsia="zh-TW"/>
              </w:rPr>
              <w:t>31</w:t>
            </w:r>
          </w:p>
        </w:tc>
      </w:tr>
      <w:tr w14:paraId="7BB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68F92C8D">
            <w:pPr>
              <w:widowControl/>
              <w:jc w:val="left"/>
              <w:rPr>
                <w:rFonts w:hint="eastAsia" w:ascii="宋体" w:hAnsi="宋体" w:eastAsia="宋体" w:cs="等线 Light"/>
                <w:color w:val="000000"/>
                <w:kern w:val="0"/>
                <w:szCs w:val="21"/>
                <w:lang w:val="en-GB"/>
              </w:rPr>
            </w:pPr>
            <w:r>
              <w:rPr>
                <w:rFonts w:hint="eastAsia" w:ascii="Verdana" w:hAnsi="Verdana" w:eastAsia="宋体"/>
                <w:color w:val="000000"/>
                <w:kern w:val="0"/>
                <w:szCs w:val="21"/>
                <w:lang w:val="en-GB"/>
              </w:rPr>
              <w:t>土地出让金收入</w:t>
            </w:r>
          </w:p>
        </w:tc>
        <w:tc>
          <w:tcPr>
            <w:tcW w:w="671" w:type="pct"/>
            <w:shd w:val="clear" w:color="000000" w:fill="FFFFFF"/>
            <w:vAlign w:val="center"/>
          </w:tcPr>
          <w:p w14:paraId="4E09E651">
            <w:pPr>
              <w:widowControl/>
              <w:jc w:val="right"/>
              <w:rPr>
                <w:rFonts w:hint="eastAsia" w:ascii="宋体" w:hAnsi="宋体" w:eastAsia="宋体"/>
                <w:kern w:val="0"/>
                <w:szCs w:val="21"/>
                <w:lang w:val="en-GB"/>
              </w:rPr>
            </w:pPr>
            <w:r>
              <w:rPr>
                <w:rFonts w:hint="eastAsia" w:ascii="宋体" w:hAnsi="宋体" w:eastAsia="宋体"/>
                <w:color w:val="000000"/>
                <w:sz w:val="20"/>
                <w:szCs w:val="20"/>
              </w:rPr>
              <w:t>180.00</w:t>
            </w:r>
          </w:p>
        </w:tc>
        <w:tc>
          <w:tcPr>
            <w:tcW w:w="672" w:type="pct"/>
            <w:shd w:val="clear" w:color="000000" w:fill="FFFFFF"/>
            <w:vAlign w:val="center"/>
          </w:tcPr>
          <w:p w14:paraId="1C4F48E5">
            <w:pPr>
              <w:widowControl/>
              <w:jc w:val="right"/>
              <w:rPr>
                <w:rFonts w:hint="eastAsia" w:ascii="宋体" w:hAnsi="宋体" w:eastAsia="宋体"/>
                <w:kern w:val="0"/>
                <w:szCs w:val="21"/>
                <w:lang w:val="en-GB"/>
              </w:rPr>
            </w:pPr>
            <w:r>
              <w:rPr>
                <w:rFonts w:hint="eastAsia" w:ascii="宋体" w:hAnsi="宋体" w:eastAsia="宋体"/>
                <w:color w:val="000000"/>
                <w:sz w:val="20"/>
                <w:szCs w:val="20"/>
              </w:rPr>
              <w:t>90.00</w:t>
            </w:r>
          </w:p>
        </w:tc>
        <w:tc>
          <w:tcPr>
            <w:tcW w:w="672" w:type="pct"/>
            <w:shd w:val="clear" w:color="000000" w:fill="FFFFFF"/>
            <w:vAlign w:val="center"/>
          </w:tcPr>
          <w:p w14:paraId="2307E54F">
            <w:pPr>
              <w:widowControl/>
              <w:jc w:val="right"/>
              <w:rPr>
                <w:rFonts w:hint="eastAsia" w:ascii="宋体" w:hAnsi="宋体" w:eastAsia="宋体"/>
                <w:kern w:val="0"/>
                <w:szCs w:val="21"/>
                <w:lang w:val="en-GB"/>
              </w:rPr>
            </w:pPr>
            <w:r>
              <w:rPr>
                <w:rFonts w:hint="eastAsia" w:ascii="宋体" w:hAnsi="宋体" w:eastAsia="宋体"/>
                <w:color w:val="000000"/>
                <w:sz w:val="20"/>
                <w:szCs w:val="20"/>
              </w:rPr>
              <w:t>90.00</w:t>
            </w:r>
          </w:p>
        </w:tc>
        <w:tc>
          <w:tcPr>
            <w:tcW w:w="672" w:type="pct"/>
            <w:shd w:val="clear" w:color="000000" w:fill="FFFFFF"/>
            <w:vAlign w:val="center"/>
          </w:tcPr>
          <w:p w14:paraId="3D172455">
            <w:pPr>
              <w:widowControl/>
              <w:jc w:val="right"/>
              <w:rPr>
                <w:rFonts w:hint="eastAsia" w:ascii="宋体" w:hAnsi="宋体" w:eastAsia="宋体"/>
                <w:b/>
                <w:bCs/>
                <w:kern w:val="0"/>
                <w:szCs w:val="21"/>
                <w:lang w:val="en-GB"/>
              </w:rPr>
            </w:pPr>
            <w:r>
              <w:rPr>
                <w:rFonts w:hint="eastAsia" w:ascii="宋体" w:hAnsi="宋体" w:eastAsia="宋体"/>
                <w:color w:val="000000"/>
                <w:sz w:val="20"/>
                <w:szCs w:val="20"/>
              </w:rPr>
              <w:t>90.00</w:t>
            </w:r>
          </w:p>
        </w:tc>
        <w:tc>
          <w:tcPr>
            <w:tcW w:w="672" w:type="pct"/>
            <w:shd w:val="clear" w:color="000000" w:fill="FFFFFF"/>
            <w:vAlign w:val="center"/>
          </w:tcPr>
          <w:p w14:paraId="40268B26">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90.00</w:t>
            </w:r>
          </w:p>
        </w:tc>
      </w:tr>
      <w:tr w14:paraId="2B98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2D7170EE">
            <w:pPr>
              <w:widowControl/>
              <w:jc w:val="left"/>
              <w:rPr>
                <w:rFonts w:hint="eastAsia" w:ascii="宋体" w:hAnsi="宋体" w:eastAsia="宋体" w:cs="等线 Light"/>
                <w:color w:val="000000"/>
                <w:kern w:val="0"/>
                <w:szCs w:val="21"/>
                <w:lang w:val="en-GB" w:eastAsia="zh-TW"/>
              </w:rPr>
            </w:pPr>
            <w:r>
              <w:rPr>
                <w:rFonts w:hint="eastAsia" w:ascii="Verdana" w:hAnsi="Verdana" w:eastAsia="宋体"/>
                <w:color w:val="000000"/>
                <w:kern w:val="0"/>
                <w:szCs w:val="21"/>
                <w:lang w:val="en-GB"/>
              </w:rPr>
              <w:t>广告牌收入</w:t>
            </w:r>
          </w:p>
        </w:tc>
        <w:tc>
          <w:tcPr>
            <w:tcW w:w="671" w:type="pct"/>
            <w:shd w:val="clear" w:color="000000" w:fill="FFFFFF"/>
            <w:vAlign w:val="center"/>
          </w:tcPr>
          <w:p w14:paraId="7E604D65">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54.00</w:t>
            </w:r>
          </w:p>
        </w:tc>
        <w:tc>
          <w:tcPr>
            <w:tcW w:w="672" w:type="pct"/>
            <w:shd w:val="clear" w:color="000000" w:fill="FFFFFF"/>
            <w:vAlign w:val="center"/>
          </w:tcPr>
          <w:p w14:paraId="425C500F">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54.00</w:t>
            </w:r>
          </w:p>
        </w:tc>
        <w:tc>
          <w:tcPr>
            <w:tcW w:w="672" w:type="pct"/>
            <w:shd w:val="clear" w:color="000000" w:fill="FFFFFF"/>
            <w:vAlign w:val="center"/>
          </w:tcPr>
          <w:p w14:paraId="4E62A635">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54.00</w:t>
            </w:r>
          </w:p>
        </w:tc>
        <w:tc>
          <w:tcPr>
            <w:tcW w:w="672" w:type="pct"/>
            <w:shd w:val="clear" w:color="000000" w:fill="FFFFFF"/>
            <w:vAlign w:val="center"/>
          </w:tcPr>
          <w:p w14:paraId="5C5B7EC3">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54.00</w:t>
            </w:r>
          </w:p>
        </w:tc>
        <w:tc>
          <w:tcPr>
            <w:tcW w:w="672" w:type="pct"/>
            <w:shd w:val="clear" w:color="000000" w:fill="FFFFFF"/>
            <w:vAlign w:val="center"/>
          </w:tcPr>
          <w:p w14:paraId="49EB2349">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54.00</w:t>
            </w:r>
          </w:p>
        </w:tc>
      </w:tr>
      <w:tr w14:paraId="176F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4F7B7E97">
            <w:pPr>
              <w:widowControl/>
              <w:jc w:val="left"/>
              <w:rPr>
                <w:rFonts w:hint="eastAsia" w:ascii="宋体" w:hAnsi="宋体" w:eastAsia="宋体" w:cs="等线 Light"/>
                <w:color w:val="000000"/>
                <w:kern w:val="0"/>
                <w:szCs w:val="21"/>
                <w:lang w:val="en-GB" w:eastAsia="zh-TW"/>
              </w:rPr>
            </w:pPr>
            <w:r>
              <w:rPr>
                <w:rFonts w:hint="eastAsia" w:ascii="Verdana" w:hAnsi="Verdana" w:eastAsia="宋体"/>
                <w:color w:val="000000"/>
                <w:kern w:val="0"/>
                <w:szCs w:val="21"/>
                <w:lang w:val="en-GB"/>
              </w:rPr>
              <w:t>停车位收入</w:t>
            </w:r>
          </w:p>
        </w:tc>
        <w:tc>
          <w:tcPr>
            <w:tcW w:w="671" w:type="pct"/>
            <w:shd w:val="clear" w:color="000000" w:fill="FFFFFF"/>
            <w:vAlign w:val="center"/>
          </w:tcPr>
          <w:p w14:paraId="688E3B3C">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4.32</w:t>
            </w:r>
          </w:p>
        </w:tc>
        <w:tc>
          <w:tcPr>
            <w:tcW w:w="672" w:type="pct"/>
            <w:shd w:val="clear" w:color="000000" w:fill="FFFFFF"/>
            <w:vAlign w:val="center"/>
          </w:tcPr>
          <w:p w14:paraId="1FB980F0">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4.32</w:t>
            </w:r>
          </w:p>
        </w:tc>
        <w:tc>
          <w:tcPr>
            <w:tcW w:w="672" w:type="pct"/>
            <w:shd w:val="clear" w:color="000000" w:fill="FFFFFF"/>
            <w:vAlign w:val="center"/>
          </w:tcPr>
          <w:p w14:paraId="2937A2E8">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4.32</w:t>
            </w:r>
          </w:p>
        </w:tc>
        <w:tc>
          <w:tcPr>
            <w:tcW w:w="672" w:type="pct"/>
            <w:shd w:val="clear" w:color="000000" w:fill="FFFFFF"/>
            <w:vAlign w:val="center"/>
          </w:tcPr>
          <w:p w14:paraId="4A95B751">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4.32</w:t>
            </w:r>
          </w:p>
        </w:tc>
        <w:tc>
          <w:tcPr>
            <w:tcW w:w="672" w:type="pct"/>
            <w:shd w:val="clear" w:color="000000" w:fill="FFFFFF"/>
            <w:vAlign w:val="center"/>
          </w:tcPr>
          <w:p w14:paraId="1FA73058">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4.32</w:t>
            </w:r>
          </w:p>
        </w:tc>
      </w:tr>
      <w:tr w14:paraId="260B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2F4612C4">
            <w:pPr>
              <w:widowControl/>
              <w:jc w:val="left"/>
              <w:rPr>
                <w:rFonts w:hint="eastAsia" w:ascii="宋体" w:hAnsi="宋体" w:eastAsia="宋体" w:cs="等线 Light"/>
                <w:color w:val="000000"/>
                <w:kern w:val="0"/>
                <w:szCs w:val="21"/>
                <w:lang w:val="en-GB" w:eastAsia="zh-TW"/>
              </w:rPr>
            </w:pPr>
            <w:r>
              <w:rPr>
                <w:rFonts w:hint="eastAsia" w:ascii="Verdana" w:hAnsi="Verdana" w:eastAsia="宋体"/>
                <w:b/>
                <w:bCs/>
                <w:color w:val="000000"/>
                <w:kern w:val="0"/>
                <w:szCs w:val="21"/>
                <w:lang w:val="en-GB"/>
              </w:rPr>
              <w:t>收入合计</w:t>
            </w:r>
          </w:p>
        </w:tc>
        <w:tc>
          <w:tcPr>
            <w:tcW w:w="671" w:type="pct"/>
            <w:shd w:val="clear" w:color="000000" w:fill="FFFFFF"/>
            <w:vAlign w:val="center"/>
          </w:tcPr>
          <w:p w14:paraId="4A55D6E9">
            <w:pPr>
              <w:widowControl/>
              <w:jc w:val="right"/>
              <w:rPr>
                <w:rFonts w:hint="eastAsia" w:ascii="宋体" w:hAnsi="宋体" w:eastAsia="宋体"/>
                <w:color w:val="000000"/>
                <w:kern w:val="0"/>
                <w:szCs w:val="21"/>
                <w:lang w:val="en-GB"/>
              </w:rPr>
            </w:pPr>
            <w:r>
              <w:rPr>
                <w:rFonts w:hint="eastAsia" w:ascii="宋体" w:hAnsi="宋体" w:eastAsia="宋体"/>
                <w:b/>
                <w:bCs/>
                <w:color w:val="000000"/>
                <w:sz w:val="20"/>
                <w:szCs w:val="20"/>
              </w:rPr>
              <w:t>238.32</w:t>
            </w:r>
          </w:p>
        </w:tc>
        <w:tc>
          <w:tcPr>
            <w:tcW w:w="672" w:type="pct"/>
            <w:shd w:val="clear" w:color="000000" w:fill="FFFFFF"/>
            <w:vAlign w:val="center"/>
          </w:tcPr>
          <w:p w14:paraId="50F37702">
            <w:pPr>
              <w:widowControl/>
              <w:jc w:val="right"/>
              <w:rPr>
                <w:rFonts w:hint="eastAsia" w:ascii="宋体" w:hAnsi="宋体" w:eastAsia="宋体"/>
                <w:color w:val="000000"/>
                <w:kern w:val="0"/>
                <w:szCs w:val="21"/>
                <w:lang w:val="en-GB"/>
              </w:rPr>
            </w:pPr>
            <w:r>
              <w:rPr>
                <w:rFonts w:hint="eastAsia" w:ascii="宋体" w:hAnsi="宋体" w:eastAsia="宋体"/>
                <w:b/>
                <w:bCs/>
                <w:color w:val="000000"/>
                <w:sz w:val="20"/>
                <w:szCs w:val="20"/>
              </w:rPr>
              <w:t>148.32</w:t>
            </w:r>
          </w:p>
        </w:tc>
        <w:tc>
          <w:tcPr>
            <w:tcW w:w="672" w:type="pct"/>
            <w:shd w:val="clear" w:color="000000" w:fill="FFFFFF"/>
            <w:vAlign w:val="center"/>
          </w:tcPr>
          <w:p w14:paraId="6C858E62">
            <w:pPr>
              <w:widowControl/>
              <w:jc w:val="right"/>
              <w:rPr>
                <w:rFonts w:hint="eastAsia" w:ascii="宋体" w:hAnsi="宋体" w:eastAsia="宋体"/>
                <w:color w:val="000000"/>
                <w:kern w:val="0"/>
                <w:szCs w:val="21"/>
                <w:lang w:val="en-GB"/>
              </w:rPr>
            </w:pPr>
            <w:r>
              <w:rPr>
                <w:rFonts w:hint="eastAsia" w:ascii="宋体" w:hAnsi="宋体" w:eastAsia="宋体"/>
                <w:b/>
                <w:bCs/>
                <w:color w:val="000000"/>
                <w:sz w:val="20"/>
                <w:szCs w:val="20"/>
              </w:rPr>
              <w:t>148.32</w:t>
            </w:r>
          </w:p>
        </w:tc>
        <w:tc>
          <w:tcPr>
            <w:tcW w:w="672" w:type="pct"/>
            <w:shd w:val="clear" w:color="000000" w:fill="FFFFFF"/>
            <w:vAlign w:val="center"/>
          </w:tcPr>
          <w:p w14:paraId="3E36B846">
            <w:pPr>
              <w:widowControl/>
              <w:jc w:val="right"/>
              <w:rPr>
                <w:rFonts w:hint="eastAsia" w:ascii="宋体" w:hAnsi="宋体" w:eastAsia="宋体"/>
                <w:color w:val="000000"/>
                <w:kern w:val="0"/>
                <w:szCs w:val="21"/>
                <w:lang w:val="en-GB"/>
              </w:rPr>
            </w:pPr>
            <w:r>
              <w:rPr>
                <w:rFonts w:hint="eastAsia" w:ascii="宋体" w:hAnsi="宋体" w:eastAsia="宋体"/>
                <w:b/>
                <w:bCs/>
                <w:color w:val="000000"/>
                <w:sz w:val="20"/>
                <w:szCs w:val="20"/>
              </w:rPr>
              <w:t>148.32</w:t>
            </w:r>
          </w:p>
        </w:tc>
        <w:tc>
          <w:tcPr>
            <w:tcW w:w="672" w:type="pct"/>
            <w:shd w:val="clear" w:color="000000" w:fill="FFFFFF"/>
            <w:vAlign w:val="center"/>
          </w:tcPr>
          <w:p w14:paraId="21761DA3">
            <w:pPr>
              <w:widowControl/>
              <w:jc w:val="right"/>
              <w:rPr>
                <w:rFonts w:hint="eastAsia" w:ascii="宋体" w:hAnsi="宋体" w:eastAsia="宋体"/>
                <w:color w:val="000000"/>
                <w:kern w:val="0"/>
                <w:szCs w:val="21"/>
                <w:lang w:val="en-GB"/>
              </w:rPr>
            </w:pPr>
            <w:r>
              <w:rPr>
                <w:rFonts w:hint="eastAsia" w:ascii="宋体" w:hAnsi="宋体" w:eastAsia="宋体"/>
                <w:b/>
                <w:bCs/>
                <w:color w:val="000000"/>
                <w:sz w:val="20"/>
                <w:szCs w:val="20"/>
              </w:rPr>
              <w:t>148.32</w:t>
            </w:r>
          </w:p>
        </w:tc>
      </w:tr>
      <w:tr w14:paraId="5DC5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3058BC7C">
            <w:pPr>
              <w:widowControl/>
              <w:jc w:val="left"/>
              <w:rPr>
                <w:rFonts w:hint="eastAsia" w:ascii="宋体" w:hAnsi="宋体" w:eastAsia="宋体" w:cs="等线 Light"/>
                <w:color w:val="000000"/>
                <w:kern w:val="0"/>
                <w:szCs w:val="21"/>
                <w:lang w:val="en-GB" w:eastAsia="zh-TW"/>
              </w:rPr>
            </w:pPr>
            <w:r>
              <w:rPr>
                <w:rFonts w:hint="eastAsia" w:ascii="Verdana" w:hAnsi="Verdana" w:eastAsia="宋体"/>
                <w:color w:val="000000"/>
                <w:kern w:val="0"/>
                <w:szCs w:val="21"/>
                <w:lang w:val="en-GB"/>
              </w:rPr>
              <w:t>土地出让成本</w:t>
            </w:r>
          </w:p>
        </w:tc>
        <w:tc>
          <w:tcPr>
            <w:tcW w:w="671" w:type="pct"/>
            <w:shd w:val="clear" w:color="000000" w:fill="FFFFFF"/>
            <w:vAlign w:val="center"/>
          </w:tcPr>
          <w:p w14:paraId="61928162">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45.00</w:t>
            </w:r>
          </w:p>
        </w:tc>
        <w:tc>
          <w:tcPr>
            <w:tcW w:w="672" w:type="pct"/>
            <w:shd w:val="clear" w:color="000000" w:fill="FFFFFF"/>
            <w:vAlign w:val="center"/>
          </w:tcPr>
          <w:p w14:paraId="064F6017">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22.50</w:t>
            </w:r>
          </w:p>
        </w:tc>
        <w:tc>
          <w:tcPr>
            <w:tcW w:w="672" w:type="pct"/>
            <w:shd w:val="clear" w:color="000000" w:fill="FFFFFF"/>
            <w:vAlign w:val="center"/>
          </w:tcPr>
          <w:p w14:paraId="451DBAB6">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22.50</w:t>
            </w:r>
          </w:p>
        </w:tc>
        <w:tc>
          <w:tcPr>
            <w:tcW w:w="672" w:type="pct"/>
            <w:shd w:val="clear" w:color="000000" w:fill="FFFFFF"/>
            <w:vAlign w:val="center"/>
          </w:tcPr>
          <w:p w14:paraId="7E8F95DD">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22.50</w:t>
            </w:r>
          </w:p>
        </w:tc>
        <w:tc>
          <w:tcPr>
            <w:tcW w:w="672" w:type="pct"/>
            <w:shd w:val="clear" w:color="000000" w:fill="FFFFFF"/>
            <w:vAlign w:val="center"/>
          </w:tcPr>
          <w:p w14:paraId="41F007F5">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22.50</w:t>
            </w:r>
          </w:p>
        </w:tc>
      </w:tr>
      <w:tr w14:paraId="1759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02281DD1">
            <w:pPr>
              <w:widowControl/>
              <w:jc w:val="left"/>
              <w:rPr>
                <w:rFonts w:hint="eastAsia" w:ascii="宋体" w:hAnsi="宋体" w:eastAsia="宋体" w:cs="等线 Light"/>
                <w:b/>
                <w:color w:val="000000"/>
                <w:kern w:val="0"/>
                <w:szCs w:val="21"/>
                <w:lang w:val="en-GB"/>
              </w:rPr>
            </w:pPr>
            <w:r>
              <w:rPr>
                <w:rFonts w:hint="eastAsia" w:ascii="Verdana" w:hAnsi="Verdana" w:eastAsia="宋体"/>
                <w:color w:val="000000"/>
                <w:kern w:val="0"/>
                <w:szCs w:val="21"/>
                <w:lang w:val="en-GB"/>
              </w:rPr>
              <w:t>运营成本</w:t>
            </w:r>
          </w:p>
        </w:tc>
        <w:tc>
          <w:tcPr>
            <w:tcW w:w="671" w:type="pct"/>
            <w:shd w:val="clear" w:color="000000" w:fill="FFFFFF"/>
            <w:vAlign w:val="center"/>
          </w:tcPr>
          <w:p w14:paraId="41CBFD6E">
            <w:pPr>
              <w:widowControl/>
              <w:jc w:val="right"/>
              <w:rPr>
                <w:rFonts w:hint="eastAsia" w:ascii="宋体" w:hAnsi="宋体" w:eastAsia="宋体"/>
                <w:b/>
                <w:kern w:val="0"/>
                <w:szCs w:val="21"/>
                <w:lang w:val="en-GB"/>
              </w:rPr>
            </w:pPr>
            <w:r>
              <w:rPr>
                <w:rFonts w:hint="eastAsia" w:ascii="宋体" w:hAnsi="宋体" w:eastAsia="宋体"/>
                <w:color w:val="000000"/>
                <w:sz w:val="20"/>
                <w:szCs w:val="20"/>
              </w:rPr>
              <w:t>11.66</w:t>
            </w:r>
          </w:p>
        </w:tc>
        <w:tc>
          <w:tcPr>
            <w:tcW w:w="672" w:type="pct"/>
            <w:shd w:val="clear" w:color="000000" w:fill="FFFFFF"/>
            <w:vAlign w:val="center"/>
          </w:tcPr>
          <w:p w14:paraId="5B3B43B8">
            <w:pPr>
              <w:widowControl/>
              <w:jc w:val="right"/>
              <w:rPr>
                <w:rFonts w:hint="eastAsia" w:ascii="宋体" w:hAnsi="宋体" w:eastAsia="宋体"/>
                <w:b/>
                <w:kern w:val="0"/>
                <w:szCs w:val="21"/>
                <w:lang w:val="en-GB"/>
              </w:rPr>
            </w:pPr>
            <w:r>
              <w:rPr>
                <w:rFonts w:hint="eastAsia" w:ascii="宋体" w:hAnsi="宋体" w:eastAsia="宋体"/>
                <w:color w:val="000000"/>
                <w:sz w:val="20"/>
                <w:szCs w:val="20"/>
              </w:rPr>
              <w:t>11.66</w:t>
            </w:r>
          </w:p>
        </w:tc>
        <w:tc>
          <w:tcPr>
            <w:tcW w:w="672" w:type="pct"/>
            <w:shd w:val="clear" w:color="000000" w:fill="FFFFFF"/>
            <w:vAlign w:val="center"/>
          </w:tcPr>
          <w:p w14:paraId="2672E756">
            <w:pPr>
              <w:widowControl/>
              <w:jc w:val="right"/>
              <w:rPr>
                <w:rFonts w:hint="eastAsia" w:ascii="宋体" w:hAnsi="宋体" w:eastAsia="宋体"/>
                <w:b/>
                <w:kern w:val="0"/>
                <w:szCs w:val="21"/>
                <w:lang w:val="en-GB"/>
              </w:rPr>
            </w:pPr>
            <w:r>
              <w:rPr>
                <w:rFonts w:hint="eastAsia" w:ascii="宋体" w:hAnsi="宋体" w:eastAsia="宋体"/>
                <w:color w:val="000000"/>
                <w:sz w:val="20"/>
                <w:szCs w:val="20"/>
              </w:rPr>
              <w:t>11.66</w:t>
            </w:r>
          </w:p>
        </w:tc>
        <w:tc>
          <w:tcPr>
            <w:tcW w:w="672" w:type="pct"/>
            <w:shd w:val="clear" w:color="000000" w:fill="FFFFFF"/>
            <w:vAlign w:val="center"/>
          </w:tcPr>
          <w:p w14:paraId="44D889B6">
            <w:pPr>
              <w:widowControl/>
              <w:jc w:val="right"/>
              <w:rPr>
                <w:rFonts w:hint="eastAsia" w:ascii="宋体" w:hAnsi="宋体" w:eastAsia="宋体"/>
                <w:b/>
                <w:kern w:val="0"/>
                <w:szCs w:val="21"/>
                <w:lang w:val="en-GB"/>
              </w:rPr>
            </w:pPr>
            <w:r>
              <w:rPr>
                <w:rFonts w:hint="eastAsia" w:ascii="宋体" w:hAnsi="宋体" w:eastAsia="宋体"/>
                <w:color w:val="000000"/>
                <w:sz w:val="20"/>
                <w:szCs w:val="20"/>
              </w:rPr>
              <w:t>11.66</w:t>
            </w:r>
          </w:p>
        </w:tc>
        <w:tc>
          <w:tcPr>
            <w:tcW w:w="672" w:type="pct"/>
            <w:shd w:val="clear" w:color="000000" w:fill="FFFFFF"/>
            <w:vAlign w:val="center"/>
          </w:tcPr>
          <w:p w14:paraId="285FE7BD">
            <w:pPr>
              <w:widowControl/>
              <w:jc w:val="right"/>
              <w:rPr>
                <w:rFonts w:hint="eastAsia" w:ascii="宋体" w:hAnsi="宋体" w:eastAsia="宋体"/>
                <w:b/>
                <w:color w:val="000000"/>
                <w:kern w:val="0"/>
                <w:szCs w:val="21"/>
                <w:lang w:val="en-GB"/>
              </w:rPr>
            </w:pPr>
            <w:r>
              <w:rPr>
                <w:rFonts w:hint="eastAsia" w:ascii="宋体" w:hAnsi="宋体" w:eastAsia="宋体"/>
                <w:color w:val="000000"/>
                <w:sz w:val="20"/>
                <w:szCs w:val="20"/>
              </w:rPr>
              <w:t>11.66</w:t>
            </w:r>
          </w:p>
        </w:tc>
      </w:tr>
      <w:tr w14:paraId="4A1D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67D7A989">
            <w:pPr>
              <w:widowControl/>
              <w:jc w:val="left"/>
              <w:rPr>
                <w:rFonts w:hint="eastAsia" w:ascii="宋体" w:hAnsi="宋体" w:eastAsia="宋体" w:cs="等线 Light"/>
                <w:color w:val="000000"/>
                <w:kern w:val="0"/>
                <w:szCs w:val="21"/>
                <w:lang w:val="en-GB"/>
              </w:rPr>
            </w:pPr>
            <w:r>
              <w:rPr>
                <w:rFonts w:hint="eastAsia" w:ascii="Verdana" w:hAnsi="Verdana" w:eastAsia="宋体"/>
                <w:color w:val="000000"/>
                <w:kern w:val="0"/>
                <w:szCs w:val="21"/>
                <w:lang w:val="en-GB"/>
              </w:rPr>
              <w:t>相关税费</w:t>
            </w:r>
          </w:p>
        </w:tc>
        <w:tc>
          <w:tcPr>
            <w:tcW w:w="671" w:type="pct"/>
            <w:shd w:val="clear" w:color="000000" w:fill="FFFFFF"/>
            <w:vAlign w:val="center"/>
          </w:tcPr>
          <w:p w14:paraId="0F612436">
            <w:pPr>
              <w:widowControl/>
              <w:jc w:val="right"/>
              <w:rPr>
                <w:rFonts w:hint="eastAsia" w:ascii="宋体" w:hAnsi="宋体" w:eastAsia="宋体"/>
                <w:kern w:val="0"/>
                <w:szCs w:val="21"/>
                <w:lang w:val="en-GB"/>
              </w:rPr>
            </w:pPr>
            <w:r>
              <w:rPr>
                <w:rFonts w:hint="eastAsia" w:ascii="宋体" w:hAnsi="宋体" w:eastAsia="宋体"/>
                <w:color w:val="000000"/>
                <w:sz w:val="20"/>
                <w:szCs w:val="20"/>
              </w:rPr>
              <w:t>4.66</w:t>
            </w:r>
          </w:p>
        </w:tc>
        <w:tc>
          <w:tcPr>
            <w:tcW w:w="672" w:type="pct"/>
            <w:shd w:val="clear" w:color="000000" w:fill="FFFFFF"/>
            <w:vAlign w:val="center"/>
          </w:tcPr>
          <w:p w14:paraId="25853899">
            <w:pPr>
              <w:widowControl/>
              <w:jc w:val="right"/>
              <w:rPr>
                <w:rFonts w:hint="eastAsia" w:ascii="宋体" w:hAnsi="宋体" w:eastAsia="宋体"/>
                <w:kern w:val="0"/>
                <w:szCs w:val="21"/>
                <w:lang w:val="en-GB"/>
              </w:rPr>
            </w:pPr>
            <w:r>
              <w:rPr>
                <w:rFonts w:hint="eastAsia" w:ascii="宋体" w:hAnsi="宋体" w:eastAsia="宋体"/>
                <w:color w:val="000000"/>
                <w:sz w:val="20"/>
                <w:szCs w:val="20"/>
              </w:rPr>
              <w:t>4.66</w:t>
            </w:r>
          </w:p>
        </w:tc>
        <w:tc>
          <w:tcPr>
            <w:tcW w:w="672" w:type="pct"/>
            <w:shd w:val="clear" w:color="000000" w:fill="FFFFFF"/>
            <w:vAlign w:val="center"/>
          </w:tcPr>
          <w:p w14:paraId="1087CCFF">
            <w:pPr>
              <w:widowControl/>
              <w:jc w:val="right"/>
              <w:rPr>
                <w:rFonts w:hint="eastAsia" w:ascii="宋体" w:hAnsi="宋体" w:eastAsia="宋体"/>
                <w:kern w:val="0"/>
                <w:szCs w:val="21"/>
                <w:lang w:val="en-GB"/>
              </w:rPr>
            </w:pPr>
            <w:r>
              <w:rPr>
                <w:rFonts w:hint="eastAsia" w:ascii="宋体" w:hAnsi="宋体" w:eastAsia="宋体"/>
                <w:color w:val="000000"/>
                <w:sz w:val="20"/>
                <w:szCs w:val="20"/>
              </w:rPr>
              <w:t>4.66</w:t>
            </w:r>
          </w:p>
        </w:tc>
        <w:tc>
          <w:tcPr>
            <w:tcW w:w="672" w:type="pct"/>
            <w:shd w:val="clear" w:color="000000" w:fill="FFFFFF"/>
            <w:vAlign w:val="center"/>
          </w:tcPr>
          <w:p w14:paraId="2B344387">
            <w:pPr>
              <w:widowControl/>
              <w:jc w:val="right"/>
              <w:rPr>
                <w:rFonts w:hint="eastAsia" w:ascii="宋体" w:hAnsi="宋体" w:eastAsia="宋体"/>
                <w:b/>
                <w:bCs/>
                <w:kern w:val="0"/>
                <w:szCs w:val="21"/>
                <w:lang w:val="en-GB"/>
              </w:rPr>
            </w:pPr>
            <w:r>
              <w:rPr>
                <w:rFonts w:hint="eastAsia" w:ascii="宋体" w:hAnsi="宋体" w:eastAsia="宋体"/>
                <w:color w:val="000000"/>
                <w:sz w:val="20"/>
                <w:szCs w:val="20"/>
              </w:rPr>
              <w:t>4.66</w:t>
            </w:r>
          </w:p>
        </w:tc>
        <w:tc>
          <w:tcPr>
            <w:tcW w:w="672" w:type="pct"/>
            <w:shd w:val="clear" w:color="000000" w:fill="FFFFFF"/>
            <w:vAlign w:val="center"/>
          </w:tcPr>
          <w:p w14:paraId="0616F557">
            <w:pPr>
              <w:widowControl/>
              <w:jc w:val="right"/>
              <w:rPr>
                <w:rFonts w:hint="eastAsia" w:ascii="宋体" w:hAnsi="宋体" w:eastAsia="宋体"/>
                <w:color w:val="000000"/>
                <w:kern w:val="0"/>
                <w:szCs w:val="21"/>
                <w:lang w:val="en-GB"/>
              </w:rPr>
            </w:pPr>
            <w:r>
              <w:rPr>
                <w:rFonts w:hint="eastAsia" w:ascii="宋体" w:hAnsi="宋体" w:eastAsia="宋体"/>
                <w:color w:val="000000"/>
                <w:sz w:val="20"/>
                <w:szCs w:val="20"/>
              </w:rPr>
              <w:t>4.66</w:t>
            </w:r>
          </w:p>
        </w:tc>
      </w:tr>
      <w:tr w14:paraId="5928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1" w:type="pct"/>
            <w:shd w:val="clear" w:color="000000" w:fill="FFFFFF"/>
            <w:vAlign w:val="center"/>
          </w:tcPr>
          <w:p w14:paraId="2E740F48">
            <w:pPr>
              <w:widowControl/>
              <w:jc w:val="left"/>
              <w:rPr>
                <w:rFonts w:hint="eastAsia" w:ascii="宋体" w:hAnsi="宋体" w:eastAsia="宋体" w:cs="等线 Light"/>
                <w:b/>
                <w:color w:val="000000"/>
                <w:kern w:val="0"/>
                <w:szCs w:val="21"/>
                <w:lang w:val="en-GB"/>
              </w:rPr>
            </w:pPr>
            <w:r>
              <w:rPr>
                <w:rFonts w:hint="eastAsia" w:ascii="Verdana" w:hAnsi="Verdana" w:eastAsia="宋体"/>
                <w:b/>
                <w:bCs/>
                <w:color w:val="000000"/>
                <w:kern w:val="0"/>
                <w:szCs w:val="21"/>
                <w:lang w:val="en-GB"/>
              </w:rPr>
              <w:t>成本合计</w:t>
            </w:r>
          </w:p>
        </w:tc>
        <w:tc>
          <w:tcPr>
            <w:tcW w:w="671" w:type="pct"/>
            <w:shd w:val="clear" w:color="000000" w:fill="FFFFFF"/>
            <w:vAlign w:val="center"/>
          </w:tcPr>
          <w:p w14:paraId="1E892681">
            <w:pPr>
              <w:widowControl/>
              <w:jc w:val="right"/>
              <w:rPr>
                <w:rFonts w:hint="eastAsia" w:ascii="宋体" w:hAnsi="宋体" w:eastAsia="宋体"/>
                <w:b/>
                <w:kern w:val="0"/>
                <w:szCs w:val="21"/>
                <w:lang w:val="en-GB"/>
              </w:rPr>
            </w:pPr>
            <w:r>
              <w:rPr>
                <w:rFonts w:hint="eastAsia" w:ascii="宋体" w:hAnsi="宋体" w:eastAsia="宋体"/>
                <w:b/>
                <w:bCs/>
                <w:color w:val="000000"/>
                <w:sz w:val="20"/>
                <w:szCs w:val="20"/>
              </w:rPr>
              <w:t>61.32</w:t>
            </w:r>
          </w:p>
        </w:tc>
        <w:tc>
          <w:tcPr>
            <w:tcW w:w="672" w:type="pct"/>
            <w:shd w:val="clear" w:color="000000" w:fill="FFFFFF"/>
            <w:vAlign w:val="center"/>
          </w:tcPr>
          <w:p w14:paraId="2F5F9D75">
            <w:pPr>
              <w:widowControl/>
              <w:jc w:val="right"/>
              <w:rPr>
                <w:rFonts w:hint="eastAsia" w:ascii="宋体" w:hAnsi="宋体" w:eastAsia="宋体"/>
                <w:b/>
                <w:kern w:val="0"/>
                <w:szCs w:val="21"/>
                <w:lang w:val="en-GB"/>
              </w:rPr>
            </w:pPr>
            <w:r>
              <w:rPr>
                <w:rFonts w:hint="eastAsia" w:ascii="宋体" w:hAnsi="宋体" w:eastAsia="宋体"/>
                <w:b/>
                <w:bCs/>
                <w:color w:val="000000"/>
                <w:sz w:val="20"/>
                <w:szCs w:val="20"/>
              </w:rPr>
              <w:t>38.82</w:t>
            </w:r>
          </w:p>
        </w:tc>
        <w:tc>
          <w:tcPr>
            <w:tcW w:w="672" w:type="pct"/>
            <w:shd w:val="clear" w:color="000000" w:fill="FFFFFF"/>
            <w:vAlign w:val="center"/>
          </w:tcPr>
          <w:p w14:paraId="50E961D0">
            <w:pPr>
              <w:widowControl/>
              <w:jc w:val="right"/>
              <w:rPr>
                <w:rFonts w:hint="eastAsia" w:ascii="宋体" w:hAnsi="宋体" w:eastAsia="宋体"/>
                <w:b/>
                <w:kern w:val="0"/>
                <w:szCs w:val="21"/>
                <w:lang w:val="en-GB"/>
              </w:rPr>
            </w:pPr>
            <w:r>
              <w:rPr>
                <w:rFonts w:hint="eastAsia" w:ascii="宋体" w:hAnsi="宋体" w:eastAsia="宋体"/>
                <w:b/>
                <w:bCs/>
                <w:color w:val="000000"/>
                <w:sz w:val="20"/>
                <w:szCs w:val="20"/>
              </w:rPr>
              <w:t>38.82</w:t>
            </w:r>
          </w:p>
        </w:tc>
        <w:tc>
          <w:tcPr>
            <w:tcW w:w="672" w:type="pct"/>
            <w:shd w:val="clear" w:color="000000" w:fill="FFFFFF"/>
            <w:vAlign w:val="center"/>
          </w:tcPr>
          <w:p w14:paraId="2BBE99C1">
            <w:pPr>
              <w:widowControl/>
              <w:jc w:val="right"/>
              <w:rPr>
                <w:rFonts w:hint="eastAsia" w:ascii="宋体" w:hAnsi="宋体" w:eastAsia="宋体"/>
                <w:b/>
                <w:kern w:val="0"/>
                <w:szCs w:val="21"/>
                <w:lang w:val="en-GB"/>
              </w:rPr>
            </w:pPr>
            <w:r>
              <w:rPr>
                <w:rFonts w:hint="eastAsia" w:ascii="宋体" w:hAnsi="宋体" w:eastAsia="宋体"/>
                <w:b/>
                <w:bCs/>
                <w:color w:val="000000"/>
                <w:sz w:val="20"/>
                <w:szCs w:val="20"/>
              </w:rPr>
              <w:t>38.82</w:t>
            </w:r>
          </w:p>
        </w:tc>
        <w:tc>
          <w:tcPr>
            <w:tcW w:w="672" w:type="pct"/>
            <w:shd w:val="clear" w:color="000000" w:fill="FFFFFF"/>
            <w:vAlign w:val="center"/>
          </w:tcPr>
          <w:p w14:paraId="330B27F2">
            <w:pPr>
              <w:widowControl/>
              <w:jc w:val="right"/>
              <w:rPr>
                <w:rFonts w:hint="eastAsia" w:ascii="宋体" w:hAnsi="宋体" w:eastAsia="宋体"/>
                <w:b/>
                <w:color w:val="000000"/>
                <w:kern w:val="0"/>
                <w:szCs w:val="21"/>
                <w:lang w:val="en-GB"/>
              </w:rPr>
            </w:pPr>
            <w:r>
              <w:rPr>
                <w:rFonts w:hint="eastAsia" w:ascii="宋体" w:hAnsi="宋体" w:eastAsia="宋体"/>
                <w:b/>
                <w:bCs/>
                <w:color w:val="000000"/>
                <w:sz w:val="20"/>
                <w:szCs w:val="20"/>
              </w:rPr>
              <w:t>38.82</w:t>
            </w:r>
          </w:p>
        </w:tc>
      </w:tr>
    </w:tbl>
    <w:p w14:paraId="1E32156E">
      <w:pPr>
        <w:rPr>
          <w:rFonts w:hint="eastAsia" w:asciiTheme="minorEastAsia" w:hAnsiTheme="minorEastAsia" w:eastAsiaTheme="minorEastAsia"/>
          <w:sz w:val="24"/>
          <w:szCs w:val="24"/>
        </w:rPr>
      </w:pPr>
    </w:p>
    <w:tbl>
      <w:tblPr>
        <w:tblStyle w:val="21"/>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4"/>
        <w:gridCol w:w="1147"/>
        <w:gridCol w:w="1147"/>
        <w:gridCol w:w="1148"/>
        <w:gridCol w:w="1147"/>
        <w:gridCol w:w="1148"/>
      </w:tblGrid>
      <w:tr w14:paraId="685D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tblHeader/>
          <w:jc w:val="center"/>
        </w:trPr>
        <w:tc>
          <w:tcPr>
            <w:tcW w:w="1673" w:type="pct"/>
            <w:shd w:val="clear" w:color="auto" w:fill="D9D9D9"/>
            <w:vAlign w:val="center"/>
          </w:tcPr>
          <w:p w14:paraId="51F56C44">
            <w:pPr>
              <w:widowControl/>
              <w:jc w:val="center"/>
              <w:rPr>
                <w:rFonts w:hint="eastAsia" w:ascii="宋体" w:hAnsi="宋体" w:eastAsia="宋体" w:cs="等线 Light"/>
                <w:b/>
                <w:color w:val="000000"/>
                <w:kern w:val="0"/>
                <w:szCs w:val="21"/>
                <w:lang w:val="en-GB"/>
              </w:rPr>
            </w:pPr>
            <w:r>
              <w:rPr>
                <w:rFonts w:hint="eastAsia" w:ascii="宋体" w:hAnsi="宋体" w:eastAsia="宋体" w:cs="等线 Light"/>
                <w:b/>
                <w:color w:val="000000"/>
                <w:kern w:val="0"/>
                <w:szCs w:val="21"/>
                <w:lang w:val="en-GB" w:eastAsia="zh-TW"/>
              </w:rPr>
              <w:t>运营期</w:t>
            </w:r>
          </w:p>
        </w:tc>
        <w:tc>
          <w:tcPr>
            <w:tcW w:w="665" w:type="pct"/>
            <w:shd w:val="clear" w:color="auto" w:fill="D9D9D9"/>
            <w:vAlign w:val="center"/>
          </w:tcPr>
          <w:p w14:paraId="04C59B85">
            <w:pPr>
              <w:widowControl/>
              <w:jc w:val="center"/>
              <w:rPr>
                <w:rFonts w:hint="eastAsia" w:ascii="宋体" w:hAnsi="宋体" w:eastAsia="宋体" w:cs="Cambria Math"/>
                <w:b/>
                <w:color w:val="000000"/>
                <w:kern w:val="0"/>
                <w:szCs w:val="21"/>
                <w:lang w:val="en-GB"/>
              </w:rPr>
            </w:pPr>
            <w:r>
              <w:rPr>
                <w:rFonts w:hint="eastAsia" w:ascii="宋体" w:hAnsi="宋体" w:eastAsia="宋体" w:cs="Cambria Math"/>
                <w:b/>
                <w:color w:val="000000"/>
                <w:kern w:val="0"/>
                <w:szCs w:val="21"/>
                <w:lang w:val="en-GB" w:eastAsia="zh-TW"/>
              </w:rPr>
              <w:t>20</w:t>
            </w:r>
            <w:r>
              <w:rPr>
                <w:rFonts w:ascii="宋体" w:hAnsi="宋体" w:eastAsia="宋体" w:cs="Cambria Math"/>
                <w:b/>
                <w:color w:val="000000"/>
                <w:kern w:val="0"/>
                <w:szCs w:val="21"/>
                <w:lang w:val="en-GB" w:eastAsia="zh-TW"/>
              </w:rPr>
              <w:t>32</w:t>
            </w:r>
          </w:p>
        </w:tc>
        <w:tc>
          <w:tcPr>
            <w:tcW w:w="665" w:type="pct"/>
            <w:shd w:val="clear" w:color="auto" w:fill="D9D9D9"/>
            <w:vAlign w:val="center"/>
          </w:tcPr>
          <w:p w14:paraId="35F5295A">
            <w:pPr>
              <w:widowControl/>
              <w:jc w:val="center"/>
              <w:rPr>
                <w:rFonts w:hint="eastAsia" w:ascii="宋体" w:hAnsi="宋体" w:eastAsia="宋体" w:cs="Cambria Math"/>
                <w:b/>
                <w:color w:val="000000"/>
                <w:kern w:val="0"/>
                <w:szCs w:val="21"/>
                <w:lang w:val="en-GB"/>
              </w:rPr>
            </w:pPr>
            <w:r>
              <w:rPr>
                <w:rFonts w:hint="eastAsia" w:ascii="宋体" w:hAnsi="宋体" w:eastAsia="宋体" w:cs="Cambria Math"/>
                <w:b/>
                <w:color w:val="000000"/>
                <w:kern w:val="0"/>
                <w:szCs w:val="21"/>
                <w:lang w:val="en-GB" w:eastAsia="zh-TW"/>
              </w:rPr>
              <w:t>20</w:t>
            </w:r>
            <w:r>
              <w:rPr>
                <w:rFonts w:ascii="宋体" w:hAnsi="宋体" w:eastAsia="宋体" w:cs="Cambria Math"/>
                <w:b/>
                <w:color w:val="000000"/>
                <w:kern w:val="0"/>
                <w:szCs w:val="21"/>
                <w:lang w:val="en-GB" w:eastAsia="zh-TW"/>
              </w:rPr>
              <w:t>33</w:t>
            </w:r>
          </w:p>
        </w:tc>
        <w:tc>
          <w:tcPr>
            <w:tcW w:w="666" w:type="pct"/>
            <w:shd w:val="clear" w:color="auto" w:fill="D9D9D9"/>
            <w:vAlign w:val="center"/>
          </w:tcPr>
          <w:p w14:paraId="26E3B877">
            <w:pPr>
              <w:widowControl/>
              <w:jc w:val="center"/>
              <w:rPr>
                <w:rFonts w:hint="eastAsia" w:ascii="宋体" w:hAnsi="宋体" w:eastAsia="宋体" w:cs="Cambria Math"/>
                <w:b/>
                <w:color w:val="000000"/>
                <w:kern w:val="0"/>
                <w:szCs w:val="21"/>
                <w:lang w:val="en-GB" w:eastAsia="zh-TW"/>
              </w:rPr>
            </w:pPr>
            <w:r>
              <w:rPr>
                <w:rFonts w:hint="eastAsia" w:ascii="宋体" w:hAnsi="宋体" w:eastAsia="宋体" w:cs="等线 Light"/>
                <w:b/>
                <w:kern w:val="0"/>
                <w:szCs w:val="21"/>
                <w:lang w:val="en-GB"/>
              </w:rPr>
              <w:t>20</w:t>
            </w:r>
            <w:r>
              <w:rPr>
                <w:rFonts w:ascii="宋体" w:hAnsi="宋体" w:eastAsia="宋体" w:cs="等线 Light"/>
                <w:b/>
                <w:kern w:val="0"/>
                <w:szCs w:val="21"/>
                <w:lang w:val="en-GB"/>
              </w:rPr>
              <w:t>34</w:t>
            </w:r>
          </w:p>
        </w:tc>
        <w:tc>
          <w:tcPr>
            <w:tcW w:w="665" w:type="pct"/>
            <w:shd w:val="clear" w:color="auto" w:fill="D9D9D9"/>
          </w:tcPr>
          <w:p w14:paraId="7F4DADB6">
            <w:pPr>
              <w:widowControl/>
              <w:jc w:val="center"/>
              <w:rPr>
                <w:rFonts w:hint="eastAsia" w:ascii="宋体" w:hAnsi="宋体" w:eastAsia="宋体" w:cs="等线 Light"/>
                <w:b/>
                <w:kern w:val="0"/>
                <w:szCs w:val="21"/>
                <w:lang w:val="en-GB"/>
              </w:rPr>
            </w:pPr>
            <w:r>
              <w:rPr>
                <w:rFonts w:hint="eastAsia" w:ascii="宋体" w:hAnsi="宋体" w:eastAsia="宋体" w:cs="等线 Light"/>
                <w:b/>
                <w:kern w:val="0"/>
                <w:szCs w:val="21"/>
                <w:lang w:val="en-GB"/>
              </w:rPr>
              <w:t>2035</w:t>
            </w:r>
          </w:p>
        </w:tc>
        <w:tc>
          <w:tcPr>
            <w:tcW w:w="666" w:type="pct"/>
            <w:shd w:val="clear" w:color="auto" w:fill="D9D9D9"/>
            <w:vAlign w:val="center"/>
          </w:tcPr>
          <w:p w14:paraId="79FE83AC">
            <w:pPr>
              <w:widowControl/>
              <w:jc w:val="center"/>
              <w:rPr>
                <w:rFonts w:hint="eastAsia" w:ascii="宋体" w:hAnsi="宋体" w:eastAsia="宋体" w:cs="Cambria Math"/>
                <w:b/>
                <w:color w:val="000000"/>
                <w:kern w:val="0"/>
                <w:szCs w:val="21"/>
                <w:lang w:val="en-GB" w:eastAsia="zh-TW"/>
              </w:rPr>
            </w:pPr>
            <w:r>
              <w:rPr>
                <w:rFonts w:hint="eastAsia" w:ascii="宋体" w:hAnsi="宋体" w:eastAsia="宋体" w:cs="等线 Light"/>
                <w:b/>
                <w:kern w:val="0"/>
                <w:szCs w:val="21"/>
                <w:lang w:val="en-GB"/>
              </w:rPr>
              <w:t>合计</w:t>
            </w:r>
          </w:p>
        </w:tc>
      </w:tr>
      <w:tr w14:paraId="207F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0F4C3F7D">
            <w:pPr>
              <w:widowControl/>
              <w:jc w:val="left"/>
              <w:rPr>
                <w:rFonts w:hint="eastAsia" w:ascii="宋体" w:hAnsi="宋体" w:eastAsia="宋体" w:cs="等线 Light"/>
                <w:color w:val="000000"/>
                <w:kern w:val="0"/>
                <w:szCs w:val="21"/>
                <w:lang w:val="en-GB"/>
              </w:rPr>
            </w:pPr>
            <w:r>
              <w:rPr>
                <w:rFonts w:hint="eastAsia" w:ascii="Verdana" w:hAnsi="Verdana" w:eastAsia="宋体"/>
                <w:color w:val="000000"/>
                <w:kern w:val="0"/>
                <w:szCs w:val="21"/>
                <w:lang w:val="en-GB"/>
              </w:rPr>
              <w:t>土地出让金收入</w:t>
            </w:r>
          </w:p>
        </w:tc>
        <w:tc>
          <w:tcPr>
            <w:tcW w:w="665" w:type="pct"/>
            <w:shd w:val="clear" w:color="000000" w:fill="FFFFFF"/>
            <w:vAlign w:val="center"/>
          </w:tcPr>
          <w:p w14:paraId="0A63AE73">
            <w:pPr>
              <w:widowControl/>
              <w:jc w:val="right"/>
              <w:rPr>
                <w:rFonts w:hint="eastAsia" w:ascii="宋体" w:hAnsi="宋体" w:eastAsia="宋体" w:cs="等线 Light"/>
                <w:kern w:val="0"/>
                <w:szCs w:val="21"/>
                <w:lang w:val="en-GB"/>
              </w:rPr>
            </w:pPr>
            <w:r>
              <w:rPr>
                <w:rFonts w:hint="eastAsia" w:ascii="宋体" w:hAnsi="宋体" w:eastAsia="宋体"/>
                <w:color w:val="000000"/>
                <w:sz w:val="20"/>
                <w:szCs w:val="20"/>
              </w:rPr>
              <w:t>90.00</w:t>
            </w:r>
          </w:p>
        </w:tc>
        <w:tc>
          <w:tcPr>
            <w:tcW w:w="665" w:type="pct"/>
            <w:shd w:val="clear" w:color="000000" w:fill="FFFFFF"/>
            <w:vAlign w:val="center"/>
          </w:tcPr>
          <w:p w14:paraId="70C41670">
            <w:pPr>
              <w:widowControl/>
              <w:jc w:val="right"/>
              <w:rPr>
                <w:rFonts w:hint="eastAsia" w:ascii="宋体" w:hAnsi="宋体" w:eastAsia="宋体" w:cs="等线 Light"/>
                <w:kern w:val="0"/>
                <w:szCs w:val="21"/>
                <w:lang w:val="en-GB"/>
              </w:rPr>
            </w:pPr>
            <w:r>
              <w:rPr>
                <w:rFonts w:hint="eastAsia" w:ascii="宋体" w:hAnsi="宋体" w:eastAsia="宋体"/>
                <w:color w:val="000000"/>
                <w:sz w:val="20"/>
                <w:szCs w:val="20"/>
              </w:rPr>
              <w:t>90.00</w:t>
            </w:r>
          </w:p>
        </w:tc>
        <w:tc>
          <w:tcPr>
            <w:tcW w:w="666" w:type="pct"/>
            <w:shd w:val="clear" w:color="000000" w:fill="FFFFFF"/>
            <w:vAlign w:val="center"/>
          </w:tcPr>
          <w:p w14:paraId="653A3760">
            <w:pPr>
              <w:widowControl/>
              <w:jc w:val="right"/>
              <w:rPr>
                <w:rFonts w:hint="eastAsia" w:ascii="宋体" w:hAnsi="宋体" w:eastAsia="宋体"/>
                <w:kern w:val="0"/>
                <w:szCs w:val="21"/>
                <w:lang w:val="en-GB"/>
              </w:rPr>
            </w:pPr>
            <w:r>
              <w:rPr>
                <w:rFonts w:hint="eastAsia" w:ascii="宋体" w:hAnsi="宋体" w:eastAsia="宋体"/>
                <w:color w:val="000000"/>
                <w:sz w:val="20"/>
                <w:szCs w:val="20"/>
              </w:rPr>
              <w:t>90.00</w:t>
            </w:r>
          </w:p>
        </w:tc>
        <w:tc>
          <w:tcPr>
            <w:tcW w:w="665" w:type="pct"/>
            <w:shd w:val="clear" w:color="000000" w:fill="FFFFFF"/>
            <w:vAlign w:val="center"/>
          </w:tcPr>
          <w:p w14:paraId="1A7EEA52">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90.00</w:t>
            </w:r>
          </w:p>
        </w:tc>
        <w:tc>
          <w:tcPr>
            <w:tcW w:w="666" w:type="pct"/>
            <w:shd w:val="clear" w:color="000000" w:fill="FFFFFF"/>
            <w:vAlign w:val="center"/>
          </w:tcPr>
          <w:p w14:paraId="3D2A11A5">
            <w:pPr>
              <w:widowControl/>
              <w:jc w:val="right"/>
              <w:rPr>
                <w:rFonts w:hint="eastAsia" w:ascii="宋体" w:hAnsi="宋体" w:eastAsia="宋体"/>
                <w:b/>
                <w:bCs/>
                <w:kern w:val="0"/>
                <w:szCs w:val="21"/>
                <w:lang w:val="en-GB"/>
              </w:rPr>
            </w:pPr>
            <w:r>
              <w:rPr>
                <w:rFonts w:hint="eastAsia" w:ascii="宋体" w:hAnsi="宋体" w:eastAsia="宋体"/>
                <w:b/>
                <w:bCs/>
                <w:color w:val="000000"/>
                <w:sz w:val="20"/>
                <w:szCs w:val="20"/>
              </w:rPr>
              <w:t>900.00</w:t>
            </w:r>
          </w:p>
        </w:tc>
      </w:tr>
      <w:tr w14:paraId="22A6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397E6D51">
            <w:pPr>
              <w:widowControl/>
              <w:jc w:val="left"/>
              <w:rPr>
                <w:rFonts w:hint="eastAsia" w:ascii="宋体" w:hAnsi="宋体" w:eastAsia="宋体" w:cs="等线 Light"/>
                <w:b/>
                <w:color w:val="000000"/>
                <w:kern w:val="0"/>
                <w:szCs w:val="21"/>
                <w:lang w:val="en-GB"/>
              </w:rPr>
            </w:pPr>
            <w:r>
              <w:rPr>
                <w:rFonts w:hint="eastAsia" w:ascii="Verdana" w:hAnsi="Verdana" w:eastAsia="宋体"/>
                <w:color w:val="000000"/>
                <w:kern w:val="0"/>
                <w:szCs w:val="21"/>
                <w:lang w:val="en-GB"/>
              </w:rPr>
              <w:t>广告牌收入</w:t>
            </w:r>
          </w:p>
        </w:tc>
        <w:tc>
          <w:tcPr>
            <w:tcW w:w="665" w:type="pct"/>
            <w:shd w:val="clear" w:color="000000" w:fill="FFFFFF"/>
            <w:vAlign w:val="center"/>
          </w:tcPr>
          <w:p w14:paraId="6111F273">
            <w:pPr>
              <w:widowControl/>
              <w:jc w:val="right"/>
              <w:rPr>
                <w:rFonts w:hint="eastAsia" w:ascii="宋体" w:hAnsi="宋体" w:eastAsia="宋体" w:cs="等线 Light"/>
                <w:b/>
                <w:kern w:val="0"/>
                <w:szCs w:val="21"/>
                <w:lang w:val="en-GB"/>
              </w:rPr>
            </w:pPr>
            <w:r>
              <w:rPr>
                <w:rFonts w:hint="eastAsia" w:ascii="宋体" w:hAnsi="宋体" w:eastAsia="宋体"/>
                <w:color w:val="000000"/>
                <w:sz w:val="20"/>
                <w:szCs w:val="20"/>
              </w:rPr>
              <w:t>54.00</w:t>
            </w:r>
          </w:p>
        </w:tc>
        <w:tc>
          <w:tcPr>
            <w:tcW w:w="665" w:type="pct"/>
            <w:shd w:val="clear" w:color="000000" w:fill="FFFFFF"/>
            <w:vAlign w:val="center"/>
          </w:tcPr>
          <w:p w14:paraId="06A7A585">
            <w:pPr>
              <w:widowControl/>
              <w:jc w:val="right"/>
              <w:rPr>
                <w:rFonts w:hint="eastAsia" w:ascii="宋体" w:hAnsi="宋体" w:eastAsia="宋体" w:cs="等线 Light"/>
                <w:b/>
                <w:kern w:val="0"/>
                <w:szCs w:val="21"/>
                <w:lang w:val="en-GB"/>
              </w:rPr>
            </w:pPr>
            <w:r>
              <w:rPr>
                <w:rFonts w:hint="eastAsia" w:ascii="宋体" w:hAnsi="宋体" w:eastAsia="宋体"/>
                <w:color w:val="000000"/>
                <w:sz w:val="20"/>
                <w:szCs w:val="20"/>
              </w:rPr>
              <w:t>54.00</w:t>
            </w:r>
          </w:p>
        </w:tc>
        <w:tc>
          <w:tcPr>
            <w:tcW w:w="666" w:type="pct"/>
            <w:shd w:val="clear" w:color="000000" w:fill="FFFFFF"/>
            <w:vAlign w:val="center"/>
          </w:tcPr>
          <w:p w14:paraId="3B629CFB">
            <w:pPr>
              <w:widowControl/>
              <w:jc w:val="right"/>
              <w:rPr>
                <w:rFonts w:hint="eastAsia" w:ascii="宋体" w:hAnsi="宋体" w:eastAsia="宋体"/>
                <w:b/>
                <w:kern w:val="0"/>
                <w:szCs w:val="21"/>
                <w:lang w:val="en-GB"/>
              </w:rPr>
            </w:pPr>
            <w:r>
              <w:rPr>
                <w:rFonts w:hint="eastAsia" w:ascii="宋体" w:hAnsi="宋体" w:eastAsia="宋体"/>
                <w:color w:val="000000"/>
                <w:sz w:val="20"/>
                <w:szCs w:val="20"/>
              </w:rPr>
              <w:t>54.00</w:t>
            </w:r>
          </w:p>
        </w:tc>
        <w:tc>
          <w:tcPr>
            <w:tcW w:w="665" w:type="pct"/>
            <w:shd w:val="clear" w:color="000000" w:fill="FFFFFF"/>
            <w:vAlign w:val="center"/>
          </w:tcPr>
          <w:p w14:paraId="53B5790F">
            <w:pPr>
              <w:widowControl/>
              <w:jc w:val="right"/>
              <w:rPr>
                <w:rFonts w:hint="eastAsia" w:ascii="宋体" w:hAnsi="宋体" w:eastAsia="宋体"/>
                <w:b/>
                <w:color w:val="000000"/>
                <w:kern w:val="0"/>
                <w:szCs w:val="21"/>
                <w:lang w:val="en-GB"/>
              </w:rPr>
            </w:pPr>
            <w:r>
              <w:rPr>
                <w:rFonts w:hint="eastAsia" w:ascii="宋体" w:hAnsi="宋体" w:eastAsia="宋体"/>
                <w:color w:val="000000"/>
                <w:sz w:val="20"/>
                <w:szCs w:val="20"/>
              </w:rPr>
              <w:t>54.00</w:t>
            </w:r>
          </w:p>
        </w:tc>
        <w:tc>
          <w:tcPr>
            <w:tcW w:w="666" w:type="pct"/>
            <w:shd w:val="clear" w:color="000000" w:fill="FFFFFF"/>
            <w:vAlign w:val="center"/>
          </w:tcPr>
          <w:p w14:paraId="2B75E5B5">
            <w:pPr>
              <w:widowControl/>
              <w:jc w:val="right"/>
              <w:rPr>
                <w:rFonts w:hint="eastAsia" w:ascii="宋体" w:hAnsi="宋体" w:eastAsia="宋体"/>
                <w:b/>
                <w:bCs/>
                <w:kern w:val="0"/>
                <w:szCs w:val="21"/>
                <w:lang w:val="en-GB"/>
              </w:rPr>
            </w:pPr>
            <w:r>
              <w:rPr>
                <w:rFonts w:hint="eastAsia" w:ascii="宋体" w:hAnsi="宋体" w:eastAsia="宋体"/>
                <w:b/>
                <w:bCs/>
                <w:color w:val="000000"/>
                <w:sz w:val="20"/>
                <w:szCs w:val="20"/>
              </w:rPr>
              <w:t>486.00</w:t>
            </w:r>
          </w:p>
        </w:tc>
      </w:tr>
      <w:tr w14:paraId="4B85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42526A0B">
            <w:pPr>
              <w:widowControl/>
              <w:jc w:val="left"/>
              <w:rPr>
                <w:rFonts w:hint="eastAsia" w:ascii="宋体" w:hAnsi="宋体" w:eastAsia="宋体" w:cs="等线 Light"/>
                <w:color w:val="000000"/>
                <w:kern w:val="0"/>
                <w:szCs w:val="21"/>
                <w:lang w:val="en-GB"/>
              </w:rPr>
            </w:pPr>
            <w:r>
              <w:rPr>
                <w:rFonts w:hint="eastAsia" w:ascii="Verdana" w:hAnsi="Verdana" w:eastAsia="宋体"/>
                <w:color w:val="000000"/>
                <w:kern w:val="0"/>
                <w:szCs w:val="21"/>
                <w:lang w:val="en-GB"/>
              </w:rPr>
              <w:t>停车位收入</w:t>
            </w:r>
          </w:p>
        </w:tc>
        <w:tc>
          <w:tcPr>
            <w:tcW w:w="665" w:type="pct"/>
            <w:shd w:val="clear" w:color="000000" w:fill="FFFFFF"/>
            <w:vAlign w:val="center"/>
          </w:tcPr>
          <w:p w14:paraId="0D58C2C8">
            <w:pPr>
              <w:widowControl/>
              <w:jc w:val="right"/>
              <w:rPr>
                <w:rFonts w:hint="eastAsia" w:ascii="宋体" w:hAnsi="宋体" w:eastAsia="宋体" w:cs="等线 Light"/>
                <w:kern w:val="0"/>
                <w:szCs w:val="21"/>
                <w:lang w:val="en-GB"/>
              </w:rPr>
            </w:pPr>
            <w:r>
              <w:rPr>
                <w:rFonts w:hint="eastAsia" w:ascii="宋体" w:hAnsi="宋体" w:eastAsia="宋体"/>
                <w:color w:val="000000"/>
                <w:sz w:val="20"/>
                <w:szCs w:val="20"/>
              </w:rPr>
              <w:t>4.32</w:t>
            </w:r>
          </w:p>
        </w:tc>
        <w:tc>
          <w:tcPr>
            <w:tcW w:w="665" w:type="pct"/>
            <w:shd w:val="clear" w:color="000000" w:fill="FFFFFF"/>
            <w:vAlign w:val="center"/>
          </w:tcPr>
          <w:p w14:paraId="5B1D2D74">
            <w:pPr>
              <w:widowControl/>
              <w:jc w:val="right"/>
              <w:rPr>
                <w:rFonts w:hint="eastAsia" w:ascii="宋体" w:hAnsi="宋体" w:eastAsia="宋体" w:cs="等线 Light"/>
                <w:kern w:val="0"/>
                <w:szCs w:val="21"/>
                <w:lang w:val="en-GB"/>
              </w:rPr>
            </w:pPr>
            <w:r>
              <w:rPr>
                <w:rFonts w:hint="eastAsia" w:ascii="宋体" w:hAnsi="宋体" w:eastAsia="宋体"/>
                <w:color w:val="000000"/>
                <w:sz w:val="20"/>
                <w:szCs w:val="20"/>
              </w:rPr>
              <w:t>4.32</w:t>
            </w:r>
          </w:p>
        </w:tc>
        <w:tc>
          <w:tcPr>
            <w:tcW w:w="666" w:type="pct"/>
            <w:shd w:val="clear" w:color="000000" w:fill="FFFFFF"/>
            <w:vAlign w:val="center"/>
          </w:tcPr>
          <w:p w14:paraId="51CE4295">
            <w:pPr>
              <w:widowControl/>
              <w:jc w:val="right"/>
              <w:rPr>
                <w:rFonts w:hint="eastAsia" w:ascii="宋体" w:hAnsi="宋体" w:eastAsia="宋体"/>
                <w:kern w:val="0"/>
                <w:szCs w:val="21"/>
                <w:lang w:val="en-GB"/>
              </w:rPr>
            </w:pPr>
            <w:r>
              <w:rPr>
                <w:rFonts w:hint="eastAsia" w:ascii="宋体" w:hAnsi="宋体" w:eastAsia="宋体"/>
                <w:color w:val="000000"/>
                <w:sz w:val="20"/>
                <w:szCs w:val="20"/>
              </w:rPr>
              <w:t>4.32</w:t>
            </w:r>
          </w:p>
        </w:tc>
        <w:tc>
          <w:tcPr>
            <w:tcW w:w="665" w:type="pct"/>
            <w:shd w:val="clear" w:color="000000" w:fill="FFFFFF"/>
            <w:vAlign w:val="center"/>
          </w:tcPr>
          <w:p w14:paraId="5261E8C0">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4.32</w:t>
            </w:r>
          </w:p>
        </w:tc>
        <w:tc>
          <w:tcPr>
            <w:tcW w:w="666" w:type="pct"/>
            <w:shd w:val="clear" w:color="000000" w:fill="FFFFFF"/>
            <w:vAlign w:val="center"/>
          </w:tcPr>
          <w:p w14:paraId="314B4062">
            <w:pPr>
              <w:widowControl/>
              <w:jc w:val="right"/>
              <w:rPr>
                <w:rFonts w:hint="eastAsia" w:ascii="宋体" w:hAnsi="宋体" w:eastAsia="宋体"/>
                <w:b/>
                <w:bCs/>
                <w:kern w:val="0"/>
                <w:szCs w:val="21"/>
                <w:lang w:val="en-GB"/>
              </w:rPr>
            </w:pPr>
            <w:r>
              <w:rPr>
                <w:rFonts w:hint="eastAsia" w:ascii="宋体" w:hAnsi="宋体" w:eastAsia="宋体"/>
                <w:b/>
                <w:bCs/>
                <w:color w:val="000000"/>
                <w:sz w:val="20"/>
                <w:szCs w:val="20"/>
              </w:rPr>
              <w:t>38.88</w:t>
            </w:r>
          </w:p>
        </w:tc>
      </w:tr>
      <w:tr w14:paraId="0BC6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625EBE3A">
            <w:pPr>
              <w:widowControl/>
              <w:jc w:val="left"/>
              <w:rPr>
                <w:rFonts w:hint="eastAsia" w:ascii="宋体" w:hAnsi="宋体" w:eastAsia="宋体" w:cs="等线 Light"/>
                <w:b/>
                <w:color w:val="000000"/>
                <w:kern w:val="0"/>
                <w:szCs w:val="21"/>
                <w:lang w:val="en-GB"/>
              </w:rPr>
            </w:pPr>
            <w:r>
              <w:rPr>
                <w:rFonts w:hint="eastAsia" w:ascii="Verdana" w:hAnsi="Verdana" w:eastAsia="宋体"/>
                <w:b/>
                <w:bCs/>
                <w:color w:val="000000"/>
                <w:kern w:val="0"/>
                <w:szCs w:val="21"/>
                <w:lang w:val="en-GB"/>
              </w:rPr>
              <w:t>收入合计</w:t>
            </w:r>
          </w:p>
        </w:tc>
        <w:tc>
          <w:tcPr>
            <w:tcW w:w="665" w:type="pct"/>
            <w:shd w:val="clear" w:color="000000" w:fill="FFFFFF"/>
            <w:vAlign w:val="center"/>
          </w:tcPr>
          <w:p w14:paraId="089C8B0B">
            <w:pPr>
              <w:widowControl/>
              <w:jc w:val="right"/>
              <w:rPr>
                <w:rFonts w:hint="eastAsia" w:ascii="宋体" w:hAnsi="宋体" w:eastAsia="宋体" w:cs="等线 Light"/>
                <w:b/>
                <w:kern w:val="0"/>
                <w:szCs w:val="21"/>
                <w:lang w:val="en-GB"/>
              </w:rPr>
            </w:pPr>
            <w:r>
              <w:rPr>
                <w:rFonts w:hint="eastAsia" w:ascii="宋体" w:hAnsi="宋体" w:eastAsia="宋体"/>
                <w:b/>
                <w:bCs/>
                <w:color w:val="000000"/>
                <w:sz w:val="20"/>
                <w:szCs w:val="20"/>
              </w:rPr>
              <w:t>148.32</w:t>
            </w:r>
          </w:p>
        </w:tc>
        <w:tc>
          <w:tcPr>
            <w:tcW w:w="665" w:type="pct"/>
            <w:shd w:val="clear" w:color="000000" w:fill="FFFFFF"/>
            <w:vAlign w:val="center"/>
          </w:tcPr>
          <w:p w14:paraId="7EA41A23">
            <w:pPr>
              <w:widowControl/>
              <w:jc w:val="right"/>
              <w:rPr>
                <w:rFonts w:hint="eastAsia" w:ascii="宋体" w:hAnsi="宋体" w:eastAsia="宋体" w:cs="等线 Light"/>
                <w:b/>
                <w:kern w:val="0"/>
                <w:szCs w:val="21"/>
                <w:lang w:val="en-GB"/>
              </w:rPr>
            </w:pPr>
            <w:r>
              <w:rPr>
                <w:rFonts w:hint="eastAsia" w:ascii="宋体" w:hAnsi="宋体" w:eastAsia="宋体"/>
                <w:b/>
                <w:bCs/>
                <w:color w:val="000000"/>
                <w:sz w:val="20"/>
                <w:szCs w:val="20"/>
              </w:rPr>
              <w:t>148.32</w:t>
            </w:r>
          </w:p>
        </w:tc>
        <w:tc>
          <w:tcPr>
            <w:tcW w:w="666" w:type="pct"/>
            <w:shd w:val="clear" w:color="000000" w:fill="FFFFFF"/>
            <w:vAlign w:val="center"/>
          </w:tcPr>
          <w:p w14:paraId="723F2D36">
            <w:pPr>
              <w:widowControl/>
              <w:jc w:val="right"/>
              <w:rPr>
                <w:rFonts w:hint="eastAsia" w:ascii="宋体" w:hAnsi="宋体" w:eastAsia="宋体"/>
                <w:b/>
                <w:kern w:val="0"/>
                <w:szCs w:val="21"/>
                <w:lang w:val="en-GB"/>
              </w:rPr>
            </w:pPr>
            <w:r>
              <w:rPr>
                <w:rFonts w:hint="eastAsia" w:ascii="宋体" w:hAnsi="宋体" w:eastAsia="宋体"/>
                <w:b/>
                <w:bCs/>
                <w:color w:val="000000"/>
                <w:sz w:val="20"/>
                <w:szCs w:val="20"/>
              </w:rPr>
              <w:t>148.32</w:t>
            </w:r>
          </w:p>
        </w:tc>
        <w:tc>
          <w:tcPr>
            <w:tcW w:w="665" w:type="pct"/>
            <w:shd w:val="clear" w:color="000000" w:fill="FFFFFF"/>
            <w:vAlign w:val="center"/>
          </w:tcPr>
          <w:p w14:paraId="2E28095C">
            <w:pPr>
              <w:widowControl/>
              <w:jc w:val="right"/>
              <w:rPr>
                <w:rFonts w:hint="eastAsia" w:ascii="宋体" w:hAnsi="宋体" w:eastAsia="宋体"/>
                <w:b/>
                <w:color w:val="000000"/>
                <w:kern w:val="0"/>
                <w:szCs w:val="21"/>
                <w:lang w:val="en-GB"/>
              </w:rPr>
            </w:pPr>
            <w:r>
              <w:rPr>
                <w:rFonts w:hint="eastAsia" w:ascii="宋体" w:hAnsi="宋体" w:eastAsia="宋体"/>
                <w:b/>
                <w:bCs/>
                <w:color w:val="000000"/>
                <w:sz w:val="20"/>
                <w:szCs w:val="20"/>
              </w:rPr>
              <w:t>148.32</w:t>
            </w:r>
          </w:p>
        </w:tc>
        <w:tc>
          <w:tcPr>
            <w:tcW w:w="666" w:type="pct"/>
            <w:shd w:val="clear" w:color="000000" w:fill="FFFFFF"/>
            <w:vAlign w:val="center"/>
          </w:tcPr>
          <w:p w14:paraId="3FCD0530">
            <w:pPr>
              <w:widowControl/>
              <w:jc w:val="right"/>
              <w:rPr>
                <w:rFonts w:hint="eastAsia" w:ascii="宋体" w:hAnsi="宋体" w:eastAsia="宋体"/>
                <w:b/>
                <w:bCs/>
                <w:kern w:val="0"/>
                <w:szCs w:val="21"/>
                <w:lang w:val="en-GB"/>
              </w:rPr>
            </w:pPr>
            <w:r>
              <w:rPr>
                <w:rFonts w:hint="eastAsia" w:ascii="宋体" w:hAnsi="宋体" w:eastAsia="宋体"/>
                <w:b/>
                <w:bCs/>
                <w:color w:val="000000"/>
                <w:sz w:val="20"/>
                <w:szCs w:val="20"/>
              </w:rPr>
              <w:t>1,424.88</w:t>
            </w:r>
          </w:p>
        </w:tc>
      </w:tr>
      <w:tr w14:paraId="0FA8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574A3ED3">
            <w:pPr>
              <w:widowControl/>
              <w:jc w:val="left"/>
              <w:rPr>
                <w:rFonts w:hint="eastAsia" w:ascii="宋体" w:hAnsi="宋体" w:eastAsia="宋体" w:cs="等线 Light"/>
                <w:b/>
                <w:color w:val="000000"/>
                <w:kern w:val="0"/>
                <w:szCs w:val="21"/>
                <w:lang w:val="en-GB" w:eastAsia="zh-TW"/>
              </w:rPr>
            </w:pPr>
            <w:r>
              <w:rPr>
                <w:rFonts w:hint="eastAsia" w:ascii="Verdana" w:hAnsi="Verdana" w:eastAsia="宋体"/>
                <w:color w:val="000000"/>
                <w:kern w:val="0"/>
                <w:szCs w:val="21"/>
                <w:lang w:val="en-GB"/>
              </w:rPr>
              <w:t>土地出让成本</w:t>
            </w:r>
          </w:p>
        </w:tc>
        <w:tc>
          <w:tcPr>
            <w:tcW w:w="665" w:type="pct"/>
            <w:shd w:val="clear" w:color="000000" w:fill="FFFFFF"/>
            <w:vAlign w:val="center"/>
          </w:tcPr>
          <w:p w14:paraId="40EDA897">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22.50</w:t>
            </w:r>
          </w:p>
        </w:tc>
        <w:tc>
          <w:tcPr>
            <w:tcW w:w="665" w:type="pct"/>
            <w:shd w:val="clear" w:color="000000" w:fill="FFFFFF"/>
            <w:vAlign w:val="center"/>
          </w:tcPr>
          <w:p w14:paraId="158074ED">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22.50</w:t>
            </w:r>
          </w:p>
        </w:tc>
        <w:tc>
          <w:tcPr>
            <w:tcW w:w="666" w:type="pct"/>
            <w:shd w:val="clear" w:color="000000" w:fill="FFFFFF"/>
            <w:vAlign w:val="center"/>
          </w:tcPr>
          <w:p w14:paraId="3B4DDA80">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22.50</w:t>
            </w:r>
          </w:p>
        </w:tc>
        <w:tc>
          <w:tcPr>
            <w:tcW w:w="665" w:type="pct"/>
            <w:shd w:val="clear" w:color="000000" w:fill="FFFFFF"/>
            <w:vAlign w:val="center"/>
          </w:tcPr>
          <w:p w14:paraId="72118772">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22.50</w:t>
            </w:r>
          </w:p>
        </w:tc>
        <w:tc>
          <w:tcPr>
            <w:tcW w:w="666" w:type="pct"/>
            <w:shd w:val="clear" w:color="000000" w:fill="FFFFFF"/>
            <w:vAlign w:val="center"/>
          </w:tcPr>
          <w:p w14:paraId="0FA0356E">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225.00</w:t>
            </w:r>
          </w:p>
        </w:tc>
      </w:tr>
      <w:tr w14:paraId="2B28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401E2F99">
            <w:pPr>
              <w:widowControl/>
              <w:jc w:val="left"/>
              <w:rPr>
                <w:rFonts w:hint="eastAsia" w:ascii="宋体" w:hAnsi="宋体" w:eastAsia="宋体" w:cs="等线 Light"/>
                <w:b/>
                <w:color w:val="000000"/>
                <w:kern w:val="0"/>
                <w:szCs w:val="21"/>
                <w:lang w:val="en-GB" w:eastAsia="zh-TW"/>
              </w:rPr>
            </w:pPr>
            <w:r>
              <w:rPr>
                <w:rFonts w:hint="eastAsia" w:ascii="Verdana" w:hAnsi="Verdana" w:eastAsia="宋体"/>
                <w:color w:val="000000"/>
                <w:kern w:val="0"/>
                <w:szCs w:val="21"/>
                <w:lang w:val="en-GB"/>
              </w:rPr>
              <w:t>运营成本</w:t>
            </w:r>
          </w:p>
        </w:tc>
        <w:tc>
          <w:tcPr>
            <w:tcW w:w="665" w:type="pct"/>
            <w:shd w:val="clear" w:color="000000" w:fill="FFFFFF"/>
            <w:vAlign w:val="center"/>
          </w:tcPr>
          <w:p w14:paraId="792FD3A0">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11.66</w:t>
            </w:r>
          </w:p>
        </w:tc>
        <w:tc>
          <w:tcPr>
            <w:tcW w:w="665" w:type="pct"/>
            <w:shd w:val="clear" w:color="000000" w:fill="FFFFFF"/>
            <w:vAlign w:val="center"/>
          </w:tcPr>
          <w:p w14:paraId="05975DC5">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11.66</w:t>
            </w:r>
          </w:p>
        </w:tc>
        <w:tc>
          <w:tcPr>
            <w:tcW w:w="666" w:type="pct"/>
            <w:shd w:val="clear" w:color="000000" w:fill="FFFFFF"/>
            <w:vAlign w:val="center"/>
          </w:tcPr>
          <w:p w14:paraId="2AD70436">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11.66</w:t>
            </w:r>
          </w:p>
        </w:tc>
        <w:tc>
          <w:tcPr>
            <w:tcW w:w="665" w:type="pct"/>
            <w:shd w:val="clear" w:color="000000" w:fill="FFFFFF"/>
            <w:vAlign w:val="center"/>
          </w:tcPr>
          <w:p w14:paraId="38AC9E14">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11.66</w:t>
            </w:r>
          </w:p>
        </w:tc>
        <w:tc>
          <w:tcPr>
            <w:tcW w:w="666" w:type="pct"/>
            <w:shd w:val="clear" w:color="000000" w:fill="FFFFFF"/>
            <w:vAlign w:val="center"/>
          </w:tcPr>
          <w:p w14:paraId="6512D3A3">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104.94</w:t>
            </w:r>
          </w:p>
        </w:tc>
      </w:tr>
      <w:tr w14:paraId="010C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33843D0D">
            <w:pPr>
              <w:widowControl/>
              <w:jc w:val="left"/>
              <w:rPr>
                <w:rFonts w:hint="eastAsia" w:ascii="宋体" w:hAnsi="宋体" w:eastAsia="宋体" w:cs="等线 Light"/>
                <w:b/>
                <w:color w:val="000000"/>
                <w:kern w:val="0"/>
                <w:szCs w:val="21"/>
                <w:lang w:val="en-GB" w:eastAsia="zh-TW"/>
              </w:rPr>
            </w:pPr>
            <w:r>
              <w:rPr>
                <w:rFonts w:hint="eastAsia" w:ascii="Verdana" w:hAnsi="Verdana" w:eastAsia="宋体"/>
                <w:color w:val="000000"/>
                <w:kern w:val="0"/>
                <w:szCs w:val="21"/>
                <w:lang w:val="en-GB"/>
              </w:rPr>
              <w:t>相关税费</w:t>
            </w:r>
          </w:p>
        </w:tc>
        <w:tc>
          <w:tcPr>
            <w:tcW w:w="665" w:type="pct"/>
            <w:shd w:val="clear" w:color="000000" w:fill="FFFFFF"/>
            <w:vAlign w:val="center"/>
          </w:tcPr>
          <w:p w14:paraId="4A5E4A0C">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4.66</w:t>
            </w:r>
          </w:p>
        </w:tc>
        <w:tc>
          <w:tcPr>
            <w:tcW w:w="665" w:type="pct"/>
            <w:shd w:val="clear" w:color="000000" w:fill="FFFFFF"/>
            <w:vAlign w:val="center"/>
          </w:tcPr>
          <w:p w14:paraId="2544914F">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4.66</w:t>
            </w:r>
          </w:p>
        </w:tc>
        <w:tc>
          <w:tcPr>
            <w:tcW w:w="666" w:type="pct"/>
            <w:shd w:val="clear" w:color="000000" w:fill="FFFFFF"/>
            <w:vAlign w:val="center"/>
          </w:tcPr>
          <w:p w14:paraId="5B293337">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4.66</w:t>
            </w:r>
          </w:p>
        </w:tc>
        <w:tc>
          <w:tcPr>
            <w:tcW w:w="665" w:type="pct"/>
            <w:shd w:val="clear" w:color="000000" w:fill="FFFFFF"/>
            <w:vAlign w:val="center"/>
          </w:tcPr>
          <w:p w14:paraId="4A5BE323">
            <w:pPr>
              <w:widowControl/>
              <w:jc w:val="right"/>
              <w:rPr>
                <w:rFonts w:hint="eastAsia" w:ascii="宋体" w:hAnsi="宋体" w:eastAsia="宋体"/>
                <w:b/>
                <w:bCs/>
                <w:color w:val="000000"/>
                <w:kern w:val="0"/>
                <w:szCs w:val="21"/>
                <w:lang w:val="en-GB"/>
              </w:rPr>
            </w:pPr>
            <w:r>
              <w:rPr>
                <w:rFonts w:hint="eastAsia" w:ascii="宋体" w:hAnsi="宋体" w:eastAsia="宋体"/>
                <w:color w:val="000000"/>
                <w:sz w:val="20"/>
                <w:szCs w:val="20"/>
              </w:rPr>
              <w:t>4.66</w:t>
            </w:r>
          </w:p>
        </w:tc>
        <w:tc>
          <w:tcPr>
            <w:tcW w:w="666" w:type="pct"/>
            <w:shd w:val="clear" w:color="000000" w:fill="FFFFFF"/>
            <w:vAlign w:val="center"/>
          </w:tcPr>
          <w:p w14:paraId="767AC01F">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41.94</w:t>
            </w:r>
          </w:p>
        </w:tc>
      </w:tr>
      <w:tr w14:paraId="5DB4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673" w:type="pct"/>
            <w:shd w:val="clear" w:color="000000" w:fill="FFFFFF"/>
            <w:vAlign w:val="center"/>
          </w:tcPr>
          <w:p w14:paraId="7B46309B">
            <w:pPr>
              <w:widowControl/>
              <w:jc w:val="left"/>
              <w:rPr>
                <w:rFonts w:hint="eastAsia" w:ascii="宋体" w:hAnsi="宋体" w:eastAsia="宋体" w:cs="等线 Light"/>
                <w:b/>
                <w:color w:val="000000"/>
                <w:kern w:val="0"/>
                <w:szCs w:val="21"/>
                <w:lang w:val="en-GB" w:eastAsia="zh-TW"/>
              </w:rPr>
            </w:pPr>
            <w:r>
              <w:rPr>
                <w:rFonts w:hint="eastAsia" w:ascii="Verdana" w:hAnsi="Verdana" w:eastAsia="宋体"/>
                <w:b/>
                <w:bCs/>
                <w:color w:val="000000"/>
                <w:kern w:val="0"/>
                <w:szCs w:val="21"/>
                <w:lang w:val="en-GB"/>
              </w:rPr>
              <w:t>成本合计</w:t>
            </w:r>
          </w:p>
        </w:tc>
        <w:tc>
          <w:tcPr>
            <w:tcW w:w="665" w:type="pct"/>
            <w:shd w:val="clear" w:color="000000" w:fill="FFFFFF"/>
            <w:vAlign w:val="center"/>
          </w:tcPr>
          <w:p w14:paraId="6FF3F8A7">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38.82</w:t>
            </w:r>
          </w:p>
        </w:tc>
        <w:tc>
          <w:tcPr>
            <w:tcW w:w="665" w:type="pct"/>
            <w:shd w:val="clear" w:color="000000" w:fill="FFFFFF"/>
            <w:vAlign w:val="center"/>
          </w:tcPr>
          <w:p w14:paraId="52E3F6B5">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38.82</w:t>
            </w:r>
          </w:p>
        </w:tc>
        <w:tc>
          <w:tcPr>
            <w:tcW w:w="666" w:type="pct"/>
            <w:shd w:val="clear" w:color="000000" w:fill="FFFFFF"/>
            <w:vAlign w:val="center"/>
          </w:tcPr>
          <w:p w14:paraId="267E387D">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38.82</w:t>
            </w:r>
          </w:p>
        </w:tc>
        <w:tc>
          <w:tcPr>
            <w:tcW w:w="665" w:type="pct"/>
            <w:shd w:val="clear" w:color="000000" w:fill="FFFFFF"/>
            <w:vAlign w:val="center"/>
          </w:tcPr>
          <w:p w14:paraId="2552F2EB">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38.82</w:t>
            </w:r>
          </w:p>
        </w:tc>
        <w:tc>
          <w:tcPr>
            <w:tcW w:w="666" w:type="pct"/>
            <w:shd w:val="clear" w:color="000000" w:fill="FFFFFF"/>
            <w:vAlign w:val="center"/>
          </w:tcPr>
          <w:p w14:paraId="5AD9715D">
            <w:pPr>
              <w:widowControl/>
              <w:jc w:val="right"/>
              <w:rPr>
                <w:rFonts w:hint="eastAsia" w:ascii="宋体" w:hAnsi="宋体" w:eastAsia="宋体"/>
                <w:b/>
                <w:bCs/>
                <w:color w:val="000000"/>
                <w:kern w:val="0"/>
                <w:szCs w:val="21"/>
                <w:lang w:val="en-GB"/>
              </w:rPr>
            </w:pPr>
            <w:r>
              <w:rPr>
                <w:rFonts w:hint="eastAsia" w:ascii="宋体" w:hAnsi="宋体" w:eastAsia="宋体"/>
                <w:b/>
                <w:bCs/>
                <w:color w:val="000000"/>
                <w:sz w:val="20"/>
                <w:szCs w:val="20"/>
              </w:rPr>
              <w:t>371.88</w:t>
            </w:r>
          </w:p>
        </w:tc>
      </w:tr>
    </w:tbl>
    <w:p w14:paraId="20C1A180">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海口江东新区园区基础设施七期还本付息以土地出让收入、广告牌收入、停车位收入为基础。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p>
    <w:p w14:paraId="0DCFBE0E">
      <w:pPr>
        <w:ind w:firstLine="482"/>
        <w:jc w:val="center"/>
        <w:rPr>
          <w:rFonts w:hint="eastAsia" w:asciiTheme="minorEastAsia" w:hAnsiTheme="minorEastAsia" w:eastAsiaTheme="minorEastAsia"/>
          <w:b/>
          <w:sz w:val="24"/>
          <w:szCs w:val="24"/>
        </w:rPr>
      </w:pPr>
      <w:r>
        <w:drawing>
          <wp:inline distT="0" distB="0" distL="0" distR="0">
            <wp:extent cx="4544695" cy="2356485"/>
            <wp:effectExtent l="0" t="0" r="8255" b="5715"/>
            <wp:docPr id="42456513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303B9F">
      <w:pPr>
        <w:ind w:firstLine="482"/>
        <w:jc w:val="cente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图1 债券存续期海口江东新区园区基础设施七期资金留存情况</w:t>
      </w:r>
    </w:p>
    <w:p w14:paraId="5541D016">
      <w:pPr>
        <w:spacing w:line="360" w:lineRule="auto"/>
        <w:ind w:firstLine="480" w:firstLineChars="200"/>
        <w:rPr>
          <w:rFonts w:hint="eastAsia" w:asciiTheme="minorEastAsia" w:hAnsiTheme="minorEastAsia" w:eastAsiaTheme="minorEastAsia"/>
          <w:b/>
          <w:sz w:val="24"/>
          <w:szCs w:val="24"/>
        </w:rPr>
      </w:pPr>
      <w:r>
        <w:rPr>
          <w:rFonts w:hint="eastAsia" w:asciiTheme="minorEastAsia" w:hAnsiTheme="minorEastAsia" w:eastAsiaTheme="minorEastAsia"/>
          <w:sz w:val="24"/>
          <w:szCs w:val="24"/>
        </w:rPr>
        <w:t>综上，针对本项目在本期专项债券存续期内还本付息留存资金的测算，我们未注意到可能对本项目资金稳定性产生重大影响的情况。</w:t>
      </w:r>
    </w:p>
    <w:p w14:paraId="52E5AAD0">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20" w:name="_Toc190352116"/>
      <w:r>
        <w:rPr>
          <w:rFonts w:hint="eastAsia" w:asciiTheme="minorEastAsia" w:hAnsiTheme="minorEastAsia" w:eastAsiaTheme="minorEastAsia" w:cstheme="minorEastAsia"/>
          <w:b/>
          <w:bCs/>
          <w:sz w:val="24"/>
          <w:szCs w:val="24"/>
        </w:rPr>
        <w:t>五、压力测试情况</w:t>
      </w:r>
      <w:bookmarkEnd w:id="20"/>
    </w:p>
    <w:p w14:paraId="1A23FAA6">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根据本项目收益与融资自求平衡的压力测试结果，当项目收益影响债券还本付息的因素在±15%范围内变动的情况下，专项债券本息资金覆盖率仍然大于1，还本付息资金具有一定的风险抵抗能力</w:t>
      </w:r>
      <w:r>
        <w:rPr>
          <w:rFonts w:asciiTheme="minorEastAsia" w:hAnsiTheme="minorEastAsia" w:eastAsiaTheme="minorEastAsia"/>
          <w:sz w:val="24"/>
          <w:szCs w:val="24"/>
        </w:rPr>
        <w:t>。项目的压力测试情况详见下表</w:t>
      </w:r>
      <w:r>
        <w:rPr>
          <w:rFonts w:hint="eastAsia" w:asciiTheme="minorEastAsia" w:hAnsiTheme="minorEastAsia" w:eastAsiaTheme="minorEastAsia"/>
          <w:sz w:val="24"/>
          <w:szCs w:val="24"/>
        </w:rPr>
        <w:t>10：</w:t>
      </w:r>
    </w:p>
    <w:p w14:paraId="087B5058">
      <w:pPr>
        <w:ind w:firstLine="482" w:firstLineChars="200"/>
        <w:jc w:val="cente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表10 海口江东新区园区基础设施七期压力测试表</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14:paraId="50FF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themeFill="background1" w:themeFillShade="D9"/>
            <w:noWrap/>
            <w:vAlign w:val="center"/>
          </w:tcPr>
          <w:p w14:paraId="122A7329">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hint="eastAsia" w:cs="仿宋" w:asciiTheme="minorEastAsia" w:hAnsiTheme="minorEastAsia" w:eastAsiaTheme="minorEastAsia"/>
                <w:b/>
                <w:color w:val="000000" w:themeColor="text1"/>
                <w:sz w:val="22"/>
                <w:szCs w:val="18"/>
                <w14:textFill>
                  <w14:solidFill>
                    <w14:schemeClr w14:val="tx1"/>
                  </w14:solidFill>
                </w14:textFill>
              </w:rPr>
              <w:t>资金覆盖率</w:t>
            </w:r>
            <w:r>
              <w:rPr>
                <w:rFonts w:cs="仿宋" w:asciiTheme="minorEastAsia" w:hAnsiTheme="minorEastAsia" w:eastAsiaTheme="minorEastAsia"/>
                <w:b/>
                <w:color w:val="000000" w:themeColor="text1"/>
                <w:sz w:val="22"/>
                <w:szCs w:val="18"/>
                <w14:textFill>
                  <w14:solidFill>
                    <w14:schemeClr w14:val="tx1"/>
                  </w14:solidFill>
                </w14:textFill>
              </w:rPr>
              <w:t>-</w:t>
            </w:r>
            <w:r>
              <w:rPr>
                <w:rFonts w:hint="eastAsia" w:cs="仿宋" w:asciiTheme="minorEastAsia" w:hAnsiTheme="minorEastAsia" w:eastAsiaTheme="minorEastAsia"/>
                <w:b/>
                <w:color w:val="000000" w:themeColor="text1"/>
                <w:sz w:val="22"/>
                <w:szCs w:val="18"/>
                <w14:textFill>
                  <w14:solidFill>
                    <w14:schemeClr w14:val="tx1"/>
                  </w14:solidFill>
                </w14:textFill>
              </w:rPr>
              <w:t>压力测试</w:t>
            </w:r>
          </w:p>
          <w:p w14:paraId="05E29697">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hint="eastAsia" w:cs="仿宋" w:asciiTheme="minorEastAsia" w:hAnsiTheme="minorEastAsia" w:eastAsiaTheme="minorEastAsia"/>
                <w:b/>
                <w:color w:val="000000" w:themeColor="text1"/>
                <w:sz w:val="22"/>
                <w:szCs w:val="18"/>
                <w14:textFill>
                  <w14:solidFill>
                    <w14:schemeClr w14:val="tx1"/>
                  </w14:solidFill>
                </w14:textFill>
              </w:rPr>
              <w:t>（单因素敏感性分析）</w:t>
            </w:r>
          </w:p>
        </w:tc>
        <w:tc>
          <w:tcPr>
            <w:tcW w:w="510" w:type="pct"/>
            <w:shd w:val="clear" w:color="auto" w:fill="D8D8D8" w:themeFill="background1" w:themeFillShade="D9"/>
            <w:noWrap/>
            <w:vAlign w:val="center"/>
          </w:tcPr>
          <w:p w14:paraId="4E813672">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-15%</w:t>
            </w:r>
          </w:p>
        </w:tc>
        <w:tc>
          <w:tcPr>
            <w:tcW w:w="510" w:type="pct"/>
            <w:shd w:val="clear" w:color="auto" w:fill="D8D8D8" w:themeFill="background1" w:themeFillShade="D9"/>
            <w:noWrap/>
            <w:vAlign w:val="center"/>
          </w:tcPr>
          <w:p w14:paraId="761D450C">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-10%</w:t>
            </w:r>
          </w:p>
        </w:tc>
        <w:tc>
          <w:tcPr>
            <w:tcW w:w="430" w:type="pct"/>
            <w:shd w:val="clear" w:color="auto" w:fill="D8D8D8" w:themeFill="background1" w:themeFillShade="D9"/>
            <w:noWrap/>
            <w:vAlign w:val="center"/>
          </w:tcPr>
          <w:p w14:paraId="488EFA43">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-5%</w:t>
            </w:r>
          </w:p>
        </w:tc>
        <w:tc>
          <w:tcPr>
            <w:tcW w:w="430" w:type="pct"/>
            <w:shd w:val="clear" w:color="auto" w:fill="D8D8D8" w:themeFill="background1" w:themeFillShade="D9"/>
            <w:noWrap/>
            <w:vAlign w:val="center"/>
          </w:tcPr>
          <w:p w14:paraId="6C5C4D0E">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0%</w:t>
            </w:r>
          </w:p>
        </w:tc>
        <w:tc>
          <w:tcPr>
            <w:tcW w:w="430" w:type="pct"/>
            <w:shd w:val="clear" w:color="auto" w:fill="D8D8D8" w:themeFill="background1" w:themeFillShade="D9"/>
            <w:noWrap/>
            <w:vAlign w:val="center"/>
          </w:tcPr>
          <w:p w14:paraId="00007FA2">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5%</w:t>
            </w:r>
          </w:p>
        </w:tc>
        <w:tc>
          <w:tcPr>
            <w:tcW w:w="435" w:type="pct"/>
            <w:shd w:val="clear" w:color="auto" w:fill="D8D8D8" w:themeFill="background1" w:themeFillShade="D9"/>
            <w:noWrap/>
            <w:vAlign w:val="center"/>
          </w:tcPr>
          <w:p w14:paraId="571B34C5">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10%</w:t>
            </w:r>
          </w:p>
        </w:tc>
        <w:tc>
          <w:tcPr>
            <w:tcW w:w="435" w:type="pct"/>
            <w:shd w:val="clear" w:color="auto" w:fill="D8D8D8" w:themeFill="background1" w:themeFillShade="D9"/>
            <w:noWrap/>
            <w:vAlign w:val="center"/>
          </w:tcPr>
          <w:p w14:paraId="1F004A2E">
            <w:pPr>
              <w:autoSpaceDE w:val="0"/>
              <w:autoSpaceDN w:val="0"/>
              <w:spacing w:after="120"/>
              <w:contextualSpacing/>
              <w:jc w:val="center"/>
              <w:rPr>
                <w:rFonts w:hint="eastAsia" w:cs="仿宋" w:asciiTheme="minorEastAsia" w:hAnsiTheme="minorEastAsia" w:eastAsiaTheme="minorEastAsia"/>
                <w:b/>
                <w:color w:val="000000" w:themeColor="text1"/>
                <w:sz w:val="22"/>
                <w:szCs w:val="18"/>
                <w14:textFill>
                  <w14:solidFill>
                    <w14:schemeClr w14:val="tx1"/>
                  </w14:solidFill>
                </w14:textFill>
              </w:rPr>
            </w:pPr>
            <w:r>
              <w:rPr>
                <w:rFonts w:cs="仿宋" w:asciiTheme="minorEastAsia" w:hAnsiTheme="minorEastAsia" w:eastAsiaTheme="minorEastAsia"/>
                <w:b/>
                <w:color w:val="000000" w:themeColor="text1"/>
                <w:sz w:val="22"/>
                <w:szCs w:val="18"/>
                <w14:textFill>
                  <w14:solidFill>
                    <w14:schemeClr w14:val="tx1"/>
                  </w14:solidFill>
                </w14:textFill>
              </w:rPr>
              <w:t>15%</w:t>
            </w:r>
          </w:p>
        </w:tc>
      </w:tr>
      <w:tr w14:paraId="1915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62CC9FE9">
            <w:pPr>
              <w:spacing w:line="256" w:lineRule="auto"/>
              <w:rPr>
                <w:rFonts w:hint="eastAsia" w:asciiTheme="minorEastAsia" w:hAnsiTheme="minorEastAsia" w:eastAsiaTheme="minorEastAsia"/>
                <w:color w:val="000000"/>
                <w:szCs w:val="20"/>
              </w:rPr>
            </w:pPr>
            <w:r>
              <w:rPr>
                <w:rFonts w:hint="eastAsia" w:asciiTheme="minorEastAsia" w:hAnsiTheme="minorEastAsia" w:eastAsiaTheme="minorEastAsia"/>
                <w:b/>
                <w:bCs/>
                <w:color w:val="000000"/>
                <w:szCs w:val="20"/>
              </w:rPr>
              <w:t>收益变动情况敏感性分析</w:t>
            </w:r>
          </w:p>
        </w:tc>
        <w:tc>
          <w:tcPr>
            <w:tcW w:w="510" w:type="pct"/>
            <w:shd w:val="clear" w:color="auto" w:fill="auto"/>
            <w:noWrap/>
            <w:vAlign w:val="center"/>
          </w:tcPr>
          <w:p w14:paraId="61C270D5">
            <w:pPr>
              <w:jc w:val="right"/>
              <w:rPr>
                <w:rFonts w:hint="eastAsia" w:cs="Arial" w:asciiTheme="minorEastAsia" w:hAnsiTheme="minorEastAsia" w:eastAsiaTheme="minorEastAsia"/>
                <w:color w:val="000000"/>
                <w:szCs w:val="20"/>
              </w:rPr>
            </w:pPr>
          </w:p>
        </w:tc>
        <w:tc>
          <w:tcPr>
            <w:tcW w:w="510" w:type="pct"/>
            <w:shd w:val="clear" w:color="auto" w:fill="auto"/>
            <w:noWrap/>
            <w:vAlign w:val="center"/>
          </w:tcPr>
          <w:p w14:paraId="7D951B4C">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14:paraId="57AE052C">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14:paraId="1E50ABD4">
            <w:pPr>
              <w:jc w:val="right"/>
              <w:rPr>
                <w:rFonts w:hint="eastAsia" w:cs="Arial" w:asciiTheme="minorEastAsia" w:hAnsiTheme="minorEastAsia" w:eastAsiaTheme="minorEastAsia"/>
                <w:color w:val="000000"/>
                <w:szCs w:val="20"/>
              </w:rPr>
            </w:pPr>
          </w:p>
        </w:tc>
        <w:tc>
          <w:tcPr>
            <w:tcW w:w="430" w:type="pct"/>
            <w:shd w:val="clear" w:color="auto" w:fill="auto"/>
            <w:noWrap/>
            <w:vAlign w:val="center"/>
          </w:tcPr>
          <w:p w14:paraId="441E70B2">
            <w:pPr>
              <w:jc w:val="right"/>
              <w:rPr>
                <w:rFonts w:hint="eastAsia" w:cs="Arial" w:asciiTheme="minorEastAsia" w:hAnsiTheme="minorEastAsia" w:eastAsiaTheme="minorEastAsia"/>
                <w:color w:val="000000"/>
                <w:szCs w:val="20"/>
              </w:rPr>
            </w:pPr>
          </w:p>
        </w:tc>
        <w:tc>
          <w:tcPr>
            <w:tcW w:w="435" w:type="pct"/>
            <w:shd w:val="clear" w:color="auto" w:fill="auto"/>
            <w:noWrap/>
            <w:vAlign w:val="center"/>
          </w:tcPr>
          <w:p w14:paraId="227FCA9B">
            <w:pPr>
              <w:jc w:val="right"/>
              <w:rPr>
                <w:rFonts w:hint="eastAsia" w:cs="Arial" w:asciiTheme="minorEastAsia" w:hAnsiTheme="minorEastAsia" w:eastAsiaTheme="minorEastAsia"/>
                <w:color w:val="000000"/>
                <w:szCs w:val="20"/>
              </w:rPr>
            </w:pPr>
          </w:p>
        </w:tc>
        <w:tc>
          <w:tcPr>
            <w:tcW w:w="435" w:type="pct"/>
            <w:shd w:val="clear" w:color="auto" w:fill="auto"/>
            <w:noWrap/>
            <w:vAlign w:val="center"/>
          </w:tcPr>
          <w:p w14:paraId="202B2773">
            <w:pPr>
              <w:jc w:val="right"/>
              <w:rPr>
                <w:rFonts w:hint="eastAsia" w:cs="Arial" w:asciiTheme="minorEastAsia" w:hAnsiTheme="minorEastAsia" w:eastAsiaTheme="minorEastAsia"/>
                <w:color w:val="000000"/>
                <w:szCs w:val="20"/>
              </w:rPr>
            </w:pPr>
          </w:p>
        </w:tc>
      </w:tr>
      <w:tr w14:paraId="0B86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0694BCB8">
            <w:pPr>
              <w:spacing w:line="256" w:lineRule="auto"/>
              <w:rPr>
                <w:rFonts w:hint="eastAsia" w:asciiTheme="minorEastAsia" w:hAnsiTheme="minorEastAsia" w:eastAsiaTheme="minorEastAsia"/>
                <w:color w:val="000000"/>
                <w:szCs w:val="20"/>
              </w:rPr>
            </w:pPr>
            <w:r>
              <w:rPr>
                <w:rFonts w:hint="eastAsia" w:asciiTheme="minorEastAsia" w:hAnsiTheme="minorEastAsia" w:eastAsiaTheme="minorEastAsia"/>
                <w:color w:val="000000"/>
                <w:szCs w:val="20"/>
              </w:rPr>
              <w:t>债券本息覆盖率</w:t>
            </w:r>
            <w:r>
              <w:rPr>
                <w:rFonts w:cs="微软雅黑" w:asciiTheme="minorEastAsia" w:hAnsiTheme="minorEastAsia" w:eastAsiaTheme="minorEastAsia"/>
                <w:sz w:val="18"/>
                <w:szCs w:val="18"/>
                <w:vertAlign w:val="superscript"/>
              </w:rPr>
              <w:footnoteReference w:id="2"/>
            </w:r>
          </w:p>
        </w:tc>
        <w:tc>
          <w:tcPr>
            <w:tcW w:w="510" w:type="pct"/>
            <w:shd w:val="clear" w:color="auto" w:fill="auto"/>
            <w:noWrap/>
            <w:vAlign w:val="center"/>
          </w:tcPr>
          <w:p w14:paraId="20E418FA">
            <w:pPr>
              <w:jc w:val="center"/>
              <w:rPr>
                <w:rFonts w:hint="eastAsia" w:ascii="宋体" w:hAnsi="宋体" w:eastAsia="宋体" w:cs="Arial"/>
                <w:color w:val="000000"/>
                <w:szCs w:val="21"/>
              </w:rPr>
            </w:pPr>
            <w:r>
              <w:rPr>
                <w:rFonts w:hint="eastAsia" w:ascii="宋体" w:hAnsi="宋体" w:eastAsia="宋体"/>
                <w:color w:val="000000"/>
                <w:sz w:val="20"/>
                <w:szCs w:val="20"/>
              </w:rPr>
              <w:t>1.11</w:t>
            </w:r>
          </w:p>
        </w:tc>
        <w:tc>
          <w:tcPr>
            <w:tcW w:w="510" w:type="pct"/>
            <w:shd w:val="clear" w:color="auto" w:fill="auto"/>
            <w:noWrap/>
            <w:vAlign w:val="center"/>
          </w:tcPr>
          <w:p w14:paraId="2A9C60A9">
            <w:pPr>
              <w:jc w:val="center"/>
              <w:rPr>
                <w:rFonts w:hint="eastAsia" w:ascii="宋体" w:hAnsi="宋体" w:eastAsia="宋体" w:cs="Arial"/>
                <w:color w:val="000000"/>
                <w:szCs w:val="21"/>
              </w:rPr>
            </w:pPr>
            <w:r>
              <w:rPr>
                <w:rFonts w:hint="eastAsia" w:ascii="宋体" w:hAnsi="宋体" w:eastAsia="宋体"/>
                <w:color w:val="000000"/>
                <w:sz w:val="20"/>
                <w:szCs w:val="20"/>
              </w:rPr>
              <w:t>1.17</w:t>
            </w:r>
          </w:p>
        </w:tc>
        <w:tc>
          <w:tcPr>
            <w:tcW w:w="430" w:type="pct"/>
            <w:shd w:val="clear" w:color="auto" w:fill="auto"/>
            <w:noWrap/>
            <w:vAlign w:val="center"/>
          </w:tcPr>
          <w:p w14:paraId="31363224">
            <w:pPr>
              <w:jc w:val="center"/>
              <w:rPr>
                <w:rFonts w:hint="eastAsia" w:ascii="宋体" w:hAnsi="宋体" w:eastAsia="宋体" w:cs="Arial"/>
                <w:color w:val="000000"/>
                <w:szCs w:val="21"/>
              </w:rPr>
            </w:pPr>
            <w:r>
              <w:rPr>
                <w:rFonts w:hint="eastAsia" w:ascii="宋体" w:hAnsi="宋体" w:eastAsia="宋体"/>
                <w:color w:val="000000"/>
                <w:sz w:val="20"/>
                <w:szCs w:val="20"/>
              </w:rPr>
              <w:t>1.24</w:t>
            </w:r>
          </w:p>
        </w:tc>
        <w:tc>
          <w:tcPr>
            <w:tcW w:w="430" w:type="pct"/>
            <w:shd w:val="clear" w:color="auto" w:fill="auto"/>
            <w:noWrap/>
            <w:vAlign w:val="center"/>
          </w:tcPr>
          <w:p w14:paraId="2A6E92BE">
            <w:pPr>
              <w:jc w:val="center"/>
              <w:rPr>
                <w:rFonts w:hint="eastAsia" w:ascii="宋体" w:hAnsi="宋体" w:eastAsia="宋体" w:cs="Arial"/>
                <w:color w:val="000000"/>
                <w:szCs w:val="21"/>
              </w:rPr>
            </w:pPr>
            <w:r>
              <w:rPr>
                <w:rFonts w:hint="eastAsia" w:ascii="宋体" w:hAnsi="宋体" w:eastAsia="宋体"/>
                <w:color w:val="000000"/>
                <w:sz w:val="20"/>
                <w:szCs w:val="20"/>
              </w:rPr>
              <w:t>1.30</w:t>
            </w:r>
          </w:p>
        </w:tc>
        <w:tc>
          <w:tcPr>
            <w:tcW w:w="430" w:type="pct"/>
            <w:shd w:val="clear" w:color="auto" w:fill="auto"/>
            <w:noWrap/>
            <w:vAlign w:val="center"/>
          </w:tcPr>
          <w:p w14:paraId="3920708A">
            <w:pPr>
              <w:jc w:val="center"/>
              <w:rPr>
                <w:rFonts w:hint="eastAsia" w:ascii="宋体" w:hAnsi="宋体" w:eastAsia="宋体" w:cs="Arial"/>
                <w:color w:val="000000"/>
                <w:szCs w:val="21"/>
              </w:rPr>
            </w:pPr>
            <w:r>
              <w:rPr>
                <w:rFonts w:hint="eastAsia" w:ascii="宋体" w:hAnsi="宋体" w:eastAsia="宋体"/>
                <w:color w:val="000000"/>
                <w:sz w:val="20"/>
                <w:szCs w:val="20"/>
              </w:rPr>
              <w:t>1.37</w:t>
            </w:r>
          </w:p>
        </w:tc>
        <w:tc>
          <w:tcPr>
            <w:tcW w:w="435" w:type="pct"/>
            <w:shd w:val="clear" w:color="auto" w:fill="auto"/>
            <w:noWrap/>
            <w:vAlign w:val="center"/>
          </w:tcPr>
          <w:p w14:paraId="6A971B45">
            <w:pPr>
              <w:jc w:val="center"/>
              <w:rPr>
                <w:rFonts w:hint="eastAsia" w:ascii="宋体" w:hAnsi="宋体" w:eastAsia="宋体" w:cs="Arial"/>
                <w:color w:val="000000"/>
                <w:szCs w:val="21"/>
              </w:rPr>
            </w:pPr>
            <w:r>
              <w:rPr>
                <w:rFonts w:hint="eastAsia" w:ascii="宋体" w:hAnsi="宋体" w:eastAsia="宋体"/>
                <w:color w:val="000000"/>
                <w:sz w:val="20"/>
                <w:szCs w:val="20"/>
              </w:rPr>
              <w:t>1.43</w:t>
            </w:r>
          </w:p>
        </w:tc>
        <w:tc>
          <w:tcPr>
            <w:tcW w:w="435" w:type="pct"/>
            <w:shd w:val="clear" w:color="auto" w:fill="auto"/>
            <w:noWrap/>
            <w:vAlign w:val="center"/>
          </w:tcPr>
          <w:p w14:paraId="2F01B21E">
            <w:pPr>
              <w:jc w:val="center"/>
              <w:rPr>
                <w:rFonts w:hint="eastAsia" w:ascii="宋体" w:hAnsi="宋体" w:eastAsia="宋体" w:cs="Arial"/>
                <w:color w:val="000000"/>
                <w:szCs w:val="21"/>
              </w:rPr>
            </w:pPr>
            <w:r>
              <w:rPr>
                <w:rFonts w:hint="eastAsia" w:ascii="宋体" w:hAnsi="宋体" w:eastAsia="宋体"/>
                <w:color w:val="000000"/>
                <w:sz w:val="20"/>
                <w:szCs w:val="20"/>
              </w:rPr>
              <w:t>1.49</w:t>
            </w:r>
          </w:p>
        </w:tc>
      </w:tr>
      <w:tr w14:paraId="2C3E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697B75CD">
            <w:pPr>
              <w:spacing w:line="256" w:lineRule="auto"/>
              <w:rPr>
                <w:rFonts w:hint="eastAsia" w:asciiTheme="minorEastAsia" w:hAnsiTheme="minorEastAsia" w:eastAsiaTheme="minorEastAsia"/>
                <w:color w:val="000000"/>
                <w:szCs w:val="20"/>
              </w:rPr>
            </w:pPr>
            <w:r>
              <w:rPr>
                <w:rFonts w:asciiTheme="minorEastAsia" w:hAnsiTheme="minorEastAsia" w:eastAsiaTheme="minorEastAsia"/>
                <w:color w:val="000000"/>
                <w:szCs w:val="20"/>
              </w:rPr>
              <w:t>债券</w:t>
            </w:r>
            <w:r>
              <w:rPr>
                <w:rFonts w:hint="eastAsia" w:asciiTheme="minorEastAsia" w:hAnsiTheme="minorEastAsia" w:eastAsiaTheme="minorEastAsia"/>
                <w:color w:val="000000"/>
                <w:szCs w:val="20"/>
              </w:rPr>
              <w:t>本息覆盖倍数</w:t>
            </w:r>
            <w:r>
              <w:rPr>
                <w:rFonts w:cs="微软雅黑" w:asciiTheme="minorEastAsia" w:hAnsiTheme="minorEastAsia" w:eastAsiaTheme="minorEastAsia"/>
                <w:sz w:val="18"/>
                <w:szCs w:val="18"/>
                <w:vertAlign w:val="superscript"/>
              </w:rPr>
              <w:footnoteReference w:id="3"/>
            </w:r>
          </w:p>
        </w:tc>
        <w:tc>
          <w:tcPr>
            <w:tcW w:w="510" w:type="pct"/>
            <w:shd w:val="clear" w:color="auto" w:fill="auto"/>
            <w:noWrap/>
            <w:vAlign w:val="center"/>
          </w:tcPr>
          <w:p w14:paraId="72FAAFCD">
            <w:pPr>
              <w:jc w:val="center"/>
              <w:rPr>
                <w:rFonts w:hint="eastAsia" w:ascii="宋体" w:hAnsi="宋体" w:eastAsia="宋体" w:cs="Arial"/>
                <w:color w:val="000000"/>
                <w:szCs w:val="21"/>
              </w:rPr>
            </w:pPr>
            <w:r>
              <w:rPr>
                <w:rFonts w:hint="eastAsia" w:ascii="宋体" w:hAnsi="宋体" w:eastAsia="宋体"/>
                <w:color w:val="000000"/>
                <w:sz w:val="20"/>
                <w:szCs w:val="20"/>
              </w:rPr>
              <w:t>1.09</w:t>
            </w:r>
          </w:p>
        </w:tc>
        <w:tc>
          <w:tcPr>
            <w:tcW w:w="510" w:type="pct"/>
            <w:shd w:val="clear" w:color="auto" w:fill="auto"/>
            <w:noWrap/>
            <w:vAlign w:val="center"/>
          </w:tcPr>
          <w:p w14:paraId="6FBF0DD3">
            <w:pPr>
              <w:jc w:val="center"/>
              <w:rPr>
                <w:rFonts w:hint="eastAsia" w:ascii="宋体" w:hAnsi="宋体" w:eastAsia="宋体" w:cs="Arial"/>
                <w:color w:val="000000"/>
                <w:szCs w:val="21"/>
              </w:rPr>
            </w:pPr>
            <w:r>
              <w:rPr>
                <w:rFonts w:hint="eastAsia" w:ascii="宋体" w:hAnsi="宋体" w:eastAsia="宋体"/>
                <w:color w:val="000000"/>
                <w:sz w:val="20"/>
                <w:szCs w:val="20"/>
              </w:rPr>
              <w:t>1.15</w:t>
            </w:r>
          </w:p>
        </w:tc>
        <w:tc>
          <w:tcPr>
            <w:tcW w:w="430" w:type="pct"/>
            <w:shd w:val="clear" w:color="auto" w:fill="auto"/>
            <w:noWrap/>
            <w:vAlign w:val="center"/>
          </w:tcPr>
          <w:p w14:paraId="57C75B1F">
            <w:pPr>
              <w:jc w:val="center"/>
              <w:rPr>
                <w:rFonts w:hint="eastAsia" w:ascii="宋体" w:hAnsi="宋体" w:eastAsia="宋体" w:cs="Arial"/>
                <w:color w:val="000000"/>
                <w:szCs w:val="21"/>
              </w:rPr>
            </w:pPr>
            <w:r>
              <w:rPr>
                <w:rFonts w:hint="eastAsia" w:ascii="宋体" w:hAnsi="宋体" w:eastAsia="宋体"/>
                <w:color w:val="000000"/>
                <w:sz w:val="20"/>
                <w:szCs w:val="20"/>
              </w:rPr>
              <w:t>1.22</w:t>
            </w:r>
          </w:p>
        </w:tc>
        <w:tc>
          <w:tcPr>
            <w:tcW w:w="430" w:type="pct"/>
            <w:shd w:val="clear" w:color="auto" w:fill="auto"/>
            <w:noWrap/>
            <w:vAlign w:val="center"/>
          </w:tcPr>
          <w:p w14:paraId="3E0F89C9">
            <w:pPr>
              <w:jc w:val="center"/>
              <w:rPr>
                <w:rFonts w:hint="eastAsia" w:ascii="宋体" w:hAnsi="宋体" w:eastAsia="宋体" w:cs="Arial"/>
                <w:color w:val="000000"/>
                <w:szCs w:val="21"/>
              </w:rPr>
            </w:pPr>
            <w:r>
              <w:rPr>
                <w:rFonts w:hint="eastAsia" w:ascii="宋体" w:hAnsi="宋体" w:eastAsia="宋体"/>
                <w:color w:val="000000"/>
                <w:sz w:val="20"/>
                <w:szCs w:val="20"/>
              </w:rPr>
              <w:t>1.28</w:t>
            </w:r>
          </w:p>
        </w:tc>
        <w:tc>
          <w:tcPr>
            <w:tcW w:w="430" w:type="pct"/>
            <w:shd w:val="clear" w:color="auto" w:fill="auto"/>
            <w:noWrap/>
            <w:vAlign w:val="center"/>
          </w:tcPr>
          <w:p w14:paraId="0E14E42F">
            <w:pPr>
              <w:jc w:val="center"/>
              <w:rPr>
                <w:rFonts w:hint="eastAsia" w:ascii="宋体" w:hAnsi="宋体" w:eastAsia="宋体" w:cs="Arial"/>
                <w:color w:val="000000"/>
                <w:szCs w:val="21"/>
              </w:rPr>
            </w:pPr>
            <w:r>
              <w:rPr>
                <w:rFonts w:hint="eastAsia" w:ascii="宋体" w:hAnsi="宋体" w:eastAsia="宋体"/>
                <w:color w:val="000000"/>
                <w:sz w:val="20"/>
                <w:szCs w:val="20"/>
              </w:rPr>
              <w:t>1.34</w:t>
            </w:r>
          </w:p>
        </w:tc>
        <w:tc>
          <w:tcPr>
            <w:tcW w:w="435" w:type="pct"/>
            <w:shd w:val="clear" w:color="auto" w:fill="auto"/>
            <w:noWrap/>
            <w:vAlign w:val="center"/>
          </w:tcPr>
          <w:p w14:paraId="103B3E92">
            <w:pPr>
              <w:jc w:val="center"/>
              <w:rPr>
                <w:rFonts w:hint="eastAsia" w:ascii="宋体" w:hAnsi="宋体" w:eastAsia="宋体" w:cs="Arial"/>
                <w:color w:val="000000"/>
                <w:szCs w:val="21"/>
              </w:rPr>
            </w:pPr>
            <w:r>
              <w:rPr>
                <w:rFonts w:hint="eastAsia" w:ascii="宋体" w:hAnsi="宋体" w:eastAsia="宋体"/>
                <w:color w:val="000000"/>
                <w:sz w:val="20"/>
                <w:szCs w:val="20"/>
              </w:rPr>
              <w:t>1.41</w:t>
            </w:r>
          </w:p>
        </w:tc>
        <w:tc>
          <w:tcPr>
            <w:tcW w:w="435" w:type="pct"/>
            <w:shd w:val="clear" w:color="auto" w:fill="auto"/>
            <w:noWrap/>
            <w:vAlign w:val="center"/>
          </w:tcPr>
          <w:p w14:paraId="3819FF96">
            <w:pPr>
              <w:jc w:val="center"/>
              <w:rPr>
                <w:rFonts w:hint="eastAsia" w:ascii="宋体" w:hAnsi="宋体" w:eastAsia="宋体" w:cs="Arial"/>
                <w:color w:val="000000"/>
                <w:szCs w:val="21"/>
              </w:rPr>
            </w:pPr>
            <w:r>
              <w:rPr>
                <w:rFonts w:hint="eastAsia" w:ascii="宋体" w:hAnsi="宋体" w:eastAsia="宋体"/>
                <w:color w:val="000000"/>
                <w:sz w:val="20"/>
                <w:szCs w:val="20"/>
              </w:rPr>
              <w:t>1.47</w:t>
            </w:r>
          </w:p>
        </w:tc>
      </w:tr>
    </w:tbl>
    <w:p w14:paraId="5C98F1BF">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总体而言，本项目预计土地出让收入、广告牌收入、停车位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76B5F65B">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21" w:name="_Toc190352117"/>
      <w:r>
        <w:rPr>
          <w:rFonts w:hint="eastAsia" w:asciiTheme="minorEastAsia" w:hAnsiTheme="minorEastAsia" w:eastAsiaTheme="minorEastAsia" w:cstheme="minorEastAsia"/>
          <w:b/>
          <w:bCs/>
          <w:sz w:val="24"/>
          <w:szCs w:val="24"/>
        </w:rPr>
        <w:t>六、潜在风险评估</w:t>
      </w:r>
      <w:bookmarkEnd w:id="21"/>
    </w:p>
    <w:p w14:paraId="0F39131E">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22" w:name="_Toc16405"/>
      <w:bookmarkStart w:id="23" w:name="_Toc20908"/>
      <w:bookmarkStart w:id="24" w:name="_Toc498385763"/>
      <w:bookmarkStart w:id="25" w:name="_Toc498551274"/>
      <w:bookmarkStart w:id="26" w:name="_Toc498385095"/>
      <w:bookmarkStart w:id="27" w:name="_Toc190352118"/>
      <w:r>
        <w:rPr>
          <w:rFonts w:hint="eastAsia" w:asciiTheme="minorEastAsia" w:hAnsiTheme="minorEastAsia" w:eastAsiaTheme="minorEastAsia" w:cstheme="minorEastAsia"/>
          <w:b/>
          <w:bCs/>
          <w:sz w:val="24"/>
          <w:szCs w:val="24"/>
        </w:rPr>
        <w:t>（一）影响项目施工进度或正常运营的风险及控制措施</w:t>
      </w:r>
      <w:bookmarkEnd w:id="22"/>
      <w:bookmarkEnd w:id="23"/>
      <w:bookmarkEnd w:id="24"/>
      <w:bookmarkEnd w:id="25"/>
      <w:bookmarkEnd w:id="26"/>
      <w:bookmarkEnd w:id="27"/>
    </w:p>
    <w:p w14:paraId="6E10D6F2">
      <w:pPr>
        <w:spacing w:line="360" w:lineRule="auto"/>
        <w:ind w:firstLine="480" w:firstLineChars="200"/>
        <w:outlineLvl w:val="2"/>
        <w:rPr>
          <w:rFonts w:hint="eastAsia" w:asciiTheme="minorEastAsia" w:hAnsiTheme="minorEastAsia" w:eastAsiaTheme="minorEastAsia" w:cstheme="minorEastAsia"/>
          <w:sz w:val="24"/>
          <w:szCs w:val="24"/>
        </w:rPr>
      </w:pPr>
      <w:bookmarkStart w:id="28" w:name="_Toc498385764"/>
      <w:bookmarkStart w:id="29" w:name="_Toc498385096"/>
      <w:bookmarkStart w:id="30" w:name="_Toc498551275"/>
      <w:bookmarkStart w:id="31" w:name="_Toc23168"/>
      <w:r>
        <w:rPr>
          <w:rFonts w:hint="eastAsia" w:asciiTheme="minorEastAsia" w:hAnsiTheme="minorEastAsia" w:eastAsiaTheme="minorEastAsia" w:cstheme="minorEastAsia"/>
          <w:sz w:val="24"/>
          <w:szCs w:val="24"/>
        </w:rPr>
        <w:t>1</w:t>
      </w:r>
      <w:bookmarkEnd w:id="28"/>
      <w:bookmarkEnd w:id="29"/>
      <w:bookmarkEnd w:id="30"/>
      <w:r>
        <w:rPr>
          <w:rFonts w:hint="eastAsia" w:asciiTheme="minorEastAsia" w:hAnsiTheme="minorEastAsia" w:eastAsiaTheme="minorEastAsia" w:cstheme="minorEastAsia"/>
          <w:sz w:val="24"/>
          <w:szCs w:val="24"/>
        </w:rPr>
        <w:t>、政策风险</w:t>
      </w:r>
      <w:bookmarkEnd w:id="31"/>
    </w:p>
    <w:p w14:paraId="3BED0F1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409D1F9F">
      <w:pPr>
        <w:spacing w:line="360" w:lineRule="auto"/>
        <w:ind w:firstLine="480" w:firstLineChars="200"/>
        <w:outlineLvl w:val="2"/>
        <w:rPr>
          <w:rFonts w:hint="eastAsia" w:asciiTheme="minorEastAsia" w:hAnsiTheme="minorEastAsia" w:eastAsiaTheme="minorEastAsia" w:cstheme="minorEastAsia"/>
          <w:sz w:val="24"/>
          <w:szCs w:val="24"/>
        </w:rPr>
      </w:pPr>
      <w:bookmarkStart w:id="32" w:name="_Toc498385765"/>
      <w:bookmarkStart w:id="33" w:name="_Toc498551276"/>
      <w:bookmarkStart w:id="34" w:name="_Toc498385097"/>
      <w:bookmarkStart w:id="35" w:name="_Toc26505"/>
      <w:r>
        <w:rPr>
          <w:rFonts w:hint="eastAsia" w:asciiTheme="minorEastAsia" w:hAnsiTheme="minorEastAsia" w:eastAsiaTheme="minorEastAsia" w:cstheme="minorEastAsia"/>
          <w:sz w:val="24"/>
          <w:szCs w:val="24"/>
        </w:rPr>
        <w:t>2</w:t>
      </w:r>
      <w:bookmarkEnd w:id="32"/>
      <w:bookmarkEnd w:id="33"/>
      <w:bookmarkEnd w:id="34"/>
      <w:r>
        <w:rPr>
          <w:rFonts w:hint="eastAsia" w:asciiTheme="minorEastAsia" w:hAnsiTheme="minorEastAsia" w:eastAsiaTheme="minorEastAsia" w:cstheme="minorEastAsia"/>
          <w:sz w:val="24"/>
          <w:szCs w:val="24"/>
        </w:rPr>
        <w:t>、项目实施与管理风险</w:t>
      </w:r>
      <w:bookmarkEnd w:id="35"/>
    </w:p>
    <w:p w14:paraId="7788FFB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项目建设期间严格执行文明施工标准，确保项目对民众生活的影响降至最低。</w:t>
      </w:r>
    </w:p>
    <w:p w14:paraId="16EAA302">
      <w:pPr>
        <w:spacing w:line="360" w:lineRule="auto"/>
        <w:ind w:firstLine="480" w:firstLineChars="200"/>
        <w:outlineLvl w:val="2"/>
        <w:rPr>
          <w:rFonts w:hint="eastAsia" w:asciiTheme="minorEastAsia" w:hAnsiTheme="minorEastAsia" w:eastAsiaTheme="minorEastAsia" w:cstheme="minorEastAsia"/>
          <w:sz w:val="24"/>
          <w:szCs w:val="24"/>
        </w:rPr>
      </w:pPr>
      <w:bookmarkStart w:id="36" w:name="_Toc22995"/>
      <w:r>
        <w:rPr>
          <w:rFonts w:hint="eastAsia" w:asciiTheme="minorEastAsia" w:hAnsiTheme="minorEastAsia" w:eastAsiaTheme="minorEastAsia" w:cstheme="minorEastAsia"/>
          <w:sz w:val="24"/>
          <w:szCs w:val="24"/>
        </w:rPr>
        <w:t>3、财务风险</w:t>
      </w:r>
      <w:bookmarkEnd w:id="36"/>
    </w:p>
    <w:p w14:paraId="76459CD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7CB82AE1">
      <w:pPr>
        <w:spacing w:line="360" w:lineRule="auto"/>
        <w:ind w:firstLine="480" w:firstLineChars="200"/>
        <w:outlineLvl w:val="2"/>
        <w:rPr>
          <w:rFonts w:hint="eastAsia" w:asciiTheme="minorEastAsia" w:hAnsiTheme="minorEastAsia" w:eastAsiaTheme="minorEastAsia" w:cstheme="minorEastAsia"/>
          <w:sz w:val="24"/>
          <w:szCs w:val="24"/>
        </w:rPr>
      </w:pPr>
      <w:bookmarkStart w:id="37" w:name="_Toc18164"/>
      <w:r>
        <w:rPr>
          <w:rFonts w:hint="eastAsia" w:asciiTheme="minorEastAsia" w:hAnsiTheme="minorEastAsia" w:eastAsiaTheme="minorEastAsia" w:cstheme="minorEastAsia"/>
          <w:sz w:val="24"/>
          <w:szCs w:val="24"/>
        </w:rPr>
        <w:t>4.社会风险</w:t>
      </w:r>
      <w:bookmarkEnd w:id="37"/>
    </w:p>
    <w:p w14:paraId="6D6D0F9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1109DE0E">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38" w:name="_Toc4601"/>
      <w:bookmarkStart w:id="39" w:name="_Toc498385098"/>
      <w:bookmarkStart w:id="40" w:name="_Toc498551277"/>
      <w:bookmarkStart w:id="41" w:name="_Toc190352119"/>
      <w:bookmarkStart w:id="42" w:name="_Toc498385766"/>
      <w:bookmarkStart w:id="43" w:name="_Toc17161"/>
      <w:r>
        <w:rPr>
          <w:rFonts w:hint="eastAsia" w:asciiTheme="minorEastAsia" w:hAnsiTheme="minorEastAsia" w:eastAsiaTheme="minorEastAsia" w:cstheme="minorEastAsia"/>
          <w:b/>
          <w:bCs/>
          <w:sz w:val="24"/>
          <w:szCs w:val="24"/>
        </w:rPr>
        <w:t>（二）影响项目收益的风险及控制措施</w:t>
      </w:r>
      <w:bookmarkEnd w:id="38"/>
      <w:bookmarkEnd w:id="39"/>
      <w:bookmarkEnd w:id="40"/>
      <w:bookmarkEnd w:id="41"/>
      <w:bookmarkEnd w:id="42"/>
      <w:bookmarkEnd w:id="43"/>
    </w:p>
    <w:p w14:paraId="1F07B009">
      <w:pPr>
        <w:spacing w:line="360" w:lineRule="auto"/>
        <w:ind w:firstLine="480" w:firstLineChars="200"/>
        <w:rPr>
          <w:rFonts w:hint="eastAsia" w:asciiTheme="minorEastAsia" w:hAnsiTheme="minorEastAsia" w:eastAsiaTheme="minorEastAsia" w:cstheme="minorEastAsia"/>
          <w:sz w:val="24"/>
          <w:szCs w:val="24"/>
        </w:rPr>
      </w:pPr>
      <w:bookmarkStart w:id="44" w:name="_Toc498385767"/>
      <w:bookmarkStart w:id="45" w:name="_Toc498551279"/>
      <w:bookmarkStart w:id="46" w:name="_Toc498385099"/>
      <w:r>
        <w:rPr>
          <w:rFonts w:hint="eastAsia" w:asciiTheme="minorEastAsia" w:hAnsiTheme="minorEastAsia" w:eastAsiaTheme="minorEastAsia" w:cstheme="minorEastAsia"/>
          <w:sz w:val="24"/>
          <w:szCs w:val="24"/>
        </w:rPr>
        <w:t>工程可行性研究报告和初步设计及概算中的总投资额与实际造价成本可能会发生偏差，影响资金项目资金投入和发债计划安排。</w:t>
      </w:r>
    </w:p>
    <w:p w14:paraId="61DDEF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风险控制措施：按照县政府主管部门的批复结果及时调整项目资金投入计划，保障项目顺利实施。</w:t>
      </w:r>
    </w:p>
    <w:bookmarkEnd w:id="44"/>
    <w:bookmarkEnd w:id="45"/>
    <w:bookmarkEnd w:id="46"/>
    <w:p w14:paraId="5867A25A">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47" w:name="_Toc30358"/>
      <w:bookmarkStart w:id="48" w:name="_Toc498385773"/>
      <w:bookmarkStart w:id="49" w:name="_Toc498551286"/>
      <w:bookmarkStart w:id="50" w:name="_Toc7640"/>
      <w:bookmarkStart w:id="51" w:name="_Toc190352120"/>
      <w:bookmarkStart w:id="52" w:name="_Toc498385105"/>
      <w:r>
        <w:rPr>
          <w:rFonts w:hint="eastAsia" w:asciiTheme="minorEastAsia" w:hAnsiTheme="minorEastAsia" w:eastAsiaTheme="minorEastAsia" w:cstheme="minorEastAsia"/>
          <w:b/>
          <w:bCs/>
          <w:sz w:val="24"/>
          <w:szCs w:val="24"/>
        </w:rPr>
        <w:t>（三）影响融资平衡结果的风险及控制措施</w:t>
      </w:r>
      <w:bookmarkEnd w:id="47"/>
      <w:bookmarkEnd w:id="48"/>
      <w:bookmarkEnd w:id="49"/>
      <w:bookmarkEnd w:id="50"/>
      <w:bookmarkEnd w:id="51"/>
      <w:bookmarkEnd w:id="52"/>
    </w:p>
    <w:p w14:paraId="58AC6DA9">
      <w:pPr>
        <w:spacing w:line="360" w:lineRule="auto"/>
        <w:ind w:firstLine="480" w:firstLineChars="200"/>
        <w:outlineLvl w:val="2"/>
        <w:rPr>
          <w:rFonts w:hint="eastAsia" w:asciiTheme="minorEastAsia" w:hAnsiTheme="minorEastAsia" w:eastAsiaTheme="minorEastAsia" w:cstheme="minorEastAsia"/>
          <w:sz w:val="24"/>
          <w:szCs w:val="24"/>
        </w:rPr>
      </w:pPr>
      <w:bookmarkStart w:id="53" w:name="_Toc498385106"/>
      <w:bookmarkStart w:id="54" w:name="_Toc7555"/>
      <w:bookmarkStart w:id="55" w:name="_Toc498385774"/>
      <w:bookmarkStart w:id="56" w:name="_Toc498551287"/>
      <w:r>
        <w:rPr>
          <w:rFonts w:hint="eastAsia" w:asciiTheme="minorEastAsia" w:hAnsiTheme="minorEastAsia" w:eastAsiaTheme="minorEastAsia" w:cstheme="minorEastAsia"/>
          <w:sz w:val="24"/>
          <w:szCs w:val="24"/>
        </w:rPr>
        <w:t>1、投资测算不准确风险</w:t>
      </w:r>
      <w:bookmarkEnd w:id="53"/>
      <w:bookmarkEnd w:id="54"/>
      <w:bookmarkEnd w:id="55"/>
      <w:bookmarkEnd w:id="56"/>
    </w:p>
    <w:p w14:paraId="4C84CF6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364EDBE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风险控制措施：债券内所含项目的可行性研究报告均聘请了国内知名研究院经过大量分析论证工作后得出，分析结果较为可靠。</w:t>
      </w:r>
    </w:p>
    <w:p w14:paraId="619DF953">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县政府有权视项目平衡情况动态调整项目资本金比例。</w:t>
      </w:r>
    </w:p>
    <w:p w14:paraId="780952BA">
      <w:pPr>
        <w:spacing w:line="360" w:lineRule="auto"/>
        <w:ind w:firstLine="480" w:firstLineChars="200"/>
        <w:outlineLvl w:val="2"/>
        <w:rPr>
          <w:rFonts w:hint="eastAsia" w:asciiTheme="minorEastAsia" w:hAnsiTheme="minorEastAsia" w:eastAsiaTheme="minorEastAsia" w:cstheme="minorEastAsia"/>
          <w:sz w:val="24"/>
          <w:szCs w:val="24"/>
        </w:rPr>
      </w:pPr>
      <w:bookmarkStart w:id="57" w:name="_Toc3687"/>
      <w:r>
        <w:rPr>
          <w:rFonts w:hint="eastAsia" w:asciiTheme="minorEastAsia" w:hAnsiTheme="minorEastAsia" w:eastAsiaTheme="minorEastAsia" w:cstheme="minorEastAsia"/>
          <w:sz w:val="24"/>
          <w:szCs w:val="24"/>
        </w:rPr>
        <w:t>2、利率波动风险</w:t>
      </w:r>
      <w:bookmarkEnd w:id="57"/>
    </w:p>
    <w:p w14:paraId="4433B1C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71B81C8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0D81AD53">
      <w:pPr>
        <w:spacing w:line="360" w:lineRule="auto"/>
        <w:ind w:firstLine="480" w:firstLineChars="200"/>
        <w:outlineLvl w:val="2"/>
        <w:rPr>
          <w:rFonts w:hint="eastAsia" w:asciiTheme="minorEastAsia" w:hAnsiTheme="minorEastAsia" w:eastAsiaTheme="minorEastAsia" w:cstheme="minorEastAsia"/>
          <w:sz w:val="24"/>
          <w:szCs w:val="24"/>
        </w:rPr>
      </w:pPr>
      <w:bookmarkStart w:id="58" w:name="_Toc498551289"/>
      <w:bookmarkStart w:id="59" w:name="_Toc25085"/>
      <w:r>
        <w:rPr>
          <w:rFonts w:hint="eastAsia" w:asciiTheme="minorEastAsia" w:hAnsiTheme="minorEastAsia" w:eastAsiaTheme="minorEastAsia" w:cstheme="minorEastAsia"/>
          <w:sz w:val="24"/>
          <w:szCs w:val="24"/>
        </w:rPr>
        <w:t>3、存续债券置换不畅风险</w:t>
      </w:r>
      <w:bookmarkEnd w:id="58"/>
      <w:bookmarkEnd w:id="59"/>
    </w:p>
    <w:p w14:paraId="5B976FFB">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64FF91F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17115700">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60" w:name="_Toc24199"/>
      <w:bookmarkStart w:id="61" w:name="_Toc9133"/>
      <w:bookmarkStart w:id="62" w:name="_Toc13008"/>
      <w:bookmarkStart w:id="63" w:name="_Toc3051"/>
      <w:bookmarkStart w:id="64" w:name="_Toc22531"/>
      <w:bookmarkStart w:id="65" w:name="_Toc4935"/>
      <w:bookmarkStart w:id="66" w:name="_Toc1287"/>
      <w:bookmarkStart w:id="67" w:name="_Toc10210"/>
      <w:bookmarkStart w:id="68" w:name="_Toc6349"/>
      <w:bookmarkStart w:id="69" w:name="_Toc5677"/>
      <w:bookmarkStart w:id="70" w:name="_Toc32327"/>
      <w:bookmarkStart w:id="71" w:name="_Toc23808"/>
      <w:bookmarkStart w:id="72" w:name="_Toc190352121"/>
      <w:bookmarkStart w:id="73" w:name="_Toc23636"/>
      <w:bookmarkStart w:id="74" w:name="_Toc15942"/>
      <w:bookmarkStart w:id="75" w:name="_Toc24781"/>
      <w:bookmarkStart w:id="76" w:name="_Toc9496"/>
      <w:bookmarkStart w:id="77" w:name="_Toc16334"/>
      <w:bookmarkStart w:id="78" w:name="_Toc5637"/>
      <w:bookmarkStart w:id="79" w:name="_Toc8534"/>
      <w:bookmarkStart w:id="80" w:name="_Toc11499"/>
      <w:bookmarkStart w:id="81" w:name="_Toc20734"/>
      <w:bookmarkStart w:id="82" w:name="_Toc1725"/>
      <w:bookmarkStart w:id="83" w:name="_Toc4735"/>
      <w:bookmarkStart w:id="84" w:name="_Toc17939"/>
      <w:bookmarkStart w:id="85" w:name="_Toc2036"/>
      <w:bookmarkStart w:id="86" w:name="_Toc32395"/>
      <w:bookmarkStart w:id="87" w:name="_Toc5009"/>
      <w:r>
        <w:rPr>
          <w:rFonts w:hint="eastAsia" w:asciiTheme="minorEastAsia" w:hAnsiTheme="minorEastAsia" w:eastAsiaTheme="minorEastAsia" w:cstheme="minorEastAsia"/>
          <w:b/>
          <w:sz w:val="24"/>
          <w:szCs w:val="24"/>
        </w:rPr>
        <w:t>七、还款保障措施</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8FBF81">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88" w:name="_Toc6053"/>
      <w:bookmarkStart w:id="89" w:name="_Toc190352122"/>
      <w:bookmarkStart w:id="90" w:name="_Toc18041"/>
      <w:r>
        <w:rPr>
          <w:rFonts w:hint="eastAsia" w:asciiTheme="minorEastAsia" w:hAnsiTheme="minorEastAsia" w:eastAsiaTheme="minorEastAsia" w:cstheme="minorEastAsia"/>
          <w:b/>
          <w:sz w:val="24"/>
          <w:szCs w:val="24"/>
        </w:rPr>
        <w:t>（一）本期专项债券偿债保障措施</w:t>
      </w:r>
      <w:bookmarkEnd w:id="88"/>
      <w:bookmarkEnd w:id="89"/>
      <w:bookmarkEnd w:id="90"/>
    </w:p>
    <w:p w14:paraId="6B8360A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财政部关于印发〈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072E842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国务院办公厅关于印发地方政府性债务风险应急处置预案的通知》（国办函〔2016〕88号）规定，对地方政府债券，地方政府依法承担全部偿还责任。市县财政将根据《财政部关于印发〈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4A8720F2">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91" w:name="_Toc14553"/>
      <w:bookmarkStart w:id="92" w:name="_Toc26586"/>
      <w:bookmarkStart w:id="93" w:name="_Toc190352123"/>
      <w:r>
        <w:rPr>
          <w:rFonts w:hint="eastAsia" w:asciiTheme="minorEastAsia" w:hAnsiTheme="minorEastAsia" w:eastAsiaTheme="minorEastAsia" w:cstheme="minorEastAsia"/>
          <w:b/>
          <w:sz w:val="24"/>
          <w:szCs w:val="24"/>
        </w:rPr>
        <w:t>（二）本期专项债券的投资者保护措施</w:t>
      </w:r>
      <w:bookmarkEnd w:id="91"/>
      <w:bookmarkEnd w:id="92"/>
      <w:bookmarkEnd w:id="93"/>
    </w:p>
    <w:p w14:paraId="256D301A">
      <w:pPr>
        <w:spacing w:line="360" w:lineRule="auto"/>
        <w:ind w:firstLine="480" w:firstLineChars="200"/>
        <w:rPr>
          <w:rFonts w:hint="eastAsia" w:asciiTheme="minorEastAsia" w:hAnsiTheme="minorEastAsia" w:eastAsiaTheme="minorEastAsia" w:cstheme="minorEastAsia"/>
          <w:sz w:val="24"/>
          <w:szCs w:val="24"/>
        </w:rPr>
      </w:pPr>
      <w:bookmarkStart w:id="94" w:name="_Hlk26170355"/>
      <w:r>
        <w:rPr>
          <w:rFonts w:hint="eastAsia" w:asciiTheme="minorEastAsia" w:hAnsiTheme="minorEastAsia" w:eastAsiaTheme="minorEastAsia" w:cstheme="minorEastAsia"/>
          <w:sz w:val="24"/>
          <w:szCs w:val="24"/>
        </w:rPr>
        <w:t>根据《中华人民共和国预算法》、《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bookmarkEnd w:id="94"/>
    </w:p>
    <w:p w14:paraId="4B2768AA">
      <w:pPr>
        <w:spacing w:line="360" w:lineRule="auto"/>
        <w:ind w:firstLine="480" w:firstLineChars="200"/>
        <w:jc w:val="right"/>
        <w:rPr>
          <w:rFonts w:hint="eastAsia" w:asciiTheme="minorEastAsia" w:hAnsiTheme="minorEastAsia" w:eastAsiaTheme="minorEastAsia" w:cstheme="minorEastAsia"/>
          <w:sz w:val="24"/>
          <w:szCs w:val="24"/>
          <w:lang w:eastAsia="zh-Hans"/>
        </w:rPr>
      </w:pPr>
    </w:p>
    <w:p w14:paraId="5D475C6B">
      <w:pPr>
        <w:spacing w:line="360" w:lineRule="auto"/>
        <w:ind w:firstLine="480" w:firstLineChars="200"/>
        <w:jc w:val="right"/>
        <w:rPr>
          <w:rFonts w:hint="eastAsia" w:asciiTheme="minorEastAsia" w:hAnsiTheme="minorEastAsia" w:eastAsiaTheme="minorEastAsia" w:cstheme="minorEastAsia"/>
          <w:sz w:val="24"/>
          <w:szCs w:val="24"/>
          <w:lang w:eastAsia="zh-Hans"/>
        </w:rPr>
      </w:pPr>
    </w:p>
    <w:p w14:paraId="6C7F0300">
      <w:pPr>
        <w:spacing w:line="360" w:lineRule="auto"/>
        <w:ind w:firstLine="480" w:firstLineChars="200"/>
        <w:jc w:val="right"/>
        <w:rPr>
          <w:rFonts w:hint="eastAsia" w:cs="Arial" w:asciiTheme="minorEastAsia" w:hAnsiTheme="minorEastAsia" w:eastAsiaTheme="minorEastAsia"/>
          <w:sz w:val="24"/>
          <w:szCs w:val="24"/>
        </w:rPr>
      </w:pPr>
      <w:r>
        <w:rPr>
          <w:rFonts w:hint="eastAsia" w:cs="Arial" w:asciiTheme="minorEastAsia" w:hAnsiTheme="minorEastAsia" w:eastAsiaTheme="minorEastAsia"/>
          <w:sz w:val="24"/>
          <w:szCs w:val="24"/>
        </w:rPr>
        <w:t>海口市路桥建设投资有限公司</w:t>
      </w:r>
    </w:p>
    <w:p w14:paraId="34112B28">
      <w:pPr>
        <w:spacing w:line="360" w:lineRule="auto"/>
        <w:ind w:firstLine="480" w:firstLineChars="2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2025年6月</w:t>
      </w:r>
    </w:p>
    <w:sectPr>
      <w:headerReference r:id="rId5" w:type="default"/>
      <w:footerReference r:id="rId6" w:type="default"/>
      <w:pgSz w:w="11906" w:h="16838"/>
      <w:pgMar w:top="1440" w:right="1803" w:bottom="1440" w:left="1803" w:header="851" w:footer="992" w:gutter="0"/>
      <w:pgNumType w:start="1"/>
      <w:cols w:space="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LF_Kai">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9A996">
    <w:pPr>
      <w:pStyle w:val="10"/>
      <w:jc w:val="center"/>
      <w:rPr>
        <w:rFonts w:hint="eastAsia"/>
      </w:rPr>
    </w:pPr>
  </w:p>
  <w:p w14:paraId="1927CB39">
    <w:pPr>
      <w:rPr>
        <w:rFonts w:ascii="Times New Roman" w:hAnsi="Times New Roman" w:eastAsia="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7034173"/>
      <w:docPartObj>
        <w:docPartGallery w:val="autotext"/>
      </w:docPartObj>
    </w:sdtPr>
    <w:sdtEndPr>
      <w:rPr>
        <w:rFonts w:ascii="宋体" w:hAnsi="宋体" w:eastAsia="宋体"/>
      </w:rPr>
    </w:sdtEndPr>
    <w:sdtContent>
      <w:p w14:paraId="07518E3C">
        <w:pPr>
          <w:pStyle w:val="10"/>
          <w:jc w:val="center"/>
          <w:rPr>
            <w:rFonts w:hint="eastAsia"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2</w:t>
        </w:r>
        <w:r>
          <w:rPr>
            <w:rFonts w:ascii="宋体" w:hAnsi="宋体" w:eastAsia="宋体"/>
          </w:rPr>
          <w:fldChar w:fldCharType="end"/>
        </w:r>
      </w:p>
    </w:sdtContent>
  </w:sdt>
  <w:p w14:paraId="74B40052">
    <w:pPr>
      <w:spacing w:line="177" w:lineRule="auto"/>
      <w:ind w:left="8296" w:firstLine="560"/>
      <w:rPr>
        <w:rFonts w:hint="eastAsia"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6431D771">
      <w:pPr>
        <w:pStyle w:val="14"/>
        <w:rPr>
          <w:rFonts w:hint="eastAsia" w:ascii="宋体" w:hAnsi="宋体" w:eastAsia="宋体"/>
          <w:sz w:val="18"/>
          <w:szCs w:val="18"/>
        </w:rPr>
      </w:pPr>
      <w:r>
        <w:rPr>
          <w:rStyle w:val="26"/>
          <w:rFonts w:ascii="宋体" w:hAnsi="宋体" w:eastAsia="宋体"/>
          <w:sz w:val="18"/>
          <w:szCs w:val="18"/>
        </w:rPr>
        <w:footnoteRef/>
      </w:r>
      <w:r>
        <w:rPr>
          <w:rFonts w:ascii="宋体" w:hAnsi="宋体" w:eastAsia="宋体"/>
          <w:sz w:val="18"/>
          <w:szCs w:val="18"/>
        </w:rPr>
        <w:t xml:space="preserve"> </w:t>
      </w:r>
      <w:r>
        <w:rPr>
          <w:rFonts w:hint="eastAsia" w:ascii="宋体" w:hAnsi="宋体" w:eastAsia="宋体"/>
          <w:sz w:val="18"/>
          <w:szCs w:val="18"/>
        </w:rPr>
        <w:t>本息覆盖率</w:t>
      </w:r>
      <w:r>
        <w:rPr>
          <w:rFonts w:ascii="宋体" w:hAnsi="宋体" w:eastAsia="宋体"/>
          <w:sz w:val="18"/>
          <w:szCs w:val="18"/>
        </w:rPr>
        <w:t>=（期末项目累计现金结存额/债券本息）+1</w:t>
      </w:r>
      <w:r>
        <w:rPr>
          <w:rFonts w:hint="eastAsia" w:ascii="宋体" w:hAnsi="宋体" w:eastAsia="宋体"/>
          <w:sz w:val="18"/>
          <w:szCs w:val="18"/>
        </w:rPr>
        <w:t>，下同。</w:t>
      </w:r>
    </w:p>
  </w:footnote>
  <w:footnote w:id="1">
    <w:p w14:paraId="372A7F97">
      <w:pPr>
        <w:pStyle w:val="14"/>
        <w:rPr>
          <w:rFonts w:hint="eastAsia" w:ascii="等线 Light" w:hAnsi="等线 Light" w:eastAsia="等线 Light"/>
        </w:rPr>
      </w:pPr>
      <w:r>
        <w:rPr>
          <w:rStyle w:val="26"/>
          <w:rFonts w:ascii="宋体" w:hAnsi="宋体" w:eastAsia="宋体"/>
          <w:sz w:val="18"/>
          <w:szCs w:val="18"/>
        </w:rPr>
        <w:footnoteRef/>
      </w:r>
      <w:r>
        <w:rPr>
          <w:rFonts w:ascii="宋体" w:hAnsi="宋体" w:eastAsia="宋体"/>
          <w:sz w:val="18"/>
          <w:szCs w:val="18"/>
        </w:rPr>
        <w:t xml:space="preserve"> </w:t>
      </w:r>
      <w:r>
        <w:rPr>
          <w:rFonts w:hint="eastAsia" w:ascii="宋体" w:hAnsi="宋体" w:eastAsia="宋体"/>
          <w:sz w:val="18"/>
          <w:szCs w:val="18"/>
        </w:rPr>
        <w:t>本息覆盖倍数</w:t>
      </w:r>
      <w:r>
        <w:rPr>
          <w:rFonts w:ascii="宋体" w:hAnsi="宋体" w:eastAsia="宋体"/>
          <w:sz w:val="18"/>
          <w:szCs w:val="18"/>
        </w:rPr>
        <w:t>=</w:t>
      </w:r>
      <w:r>
        <w:rPr>
          <w:rFonts w:hint="eastAsia" w:ascii="宋体" w:hAnsi="宋体" w:eastAsia="宋体"/>
          <w:sz w:val="18"/>
          <w:szCs w:val="18"/>
        </w:rPr>
        <w:t>用于资金平衡的项目收益</w:t>
      </w:r>
      <w:r>
        <w:rPr>
          <w:rFonts w:ascii="宋体" w:hAnsi="宋体" w:eastAsia="宋体"/>
          <w:sz w:val="18"/>
          <w:szCs w:val="18"/>
        </w:rPr>
        <w:t>/债券本息，下同</w:t>
      </w:r>
      <w:r>
        <w:rPr>
          <w:rFonts w:hint="eastAsia" w:ascii="宋体" w:hAnsi="宋体" w:eastAsia="宋体"/>
          <w:sz w:val="18"/>
          <w:szCs w:val="18"/>
        </w:rPr>
        <w:t>。</w:t>
      </w:r>
    </w:p>
  </w:footnote>
  <w:footnote w:id="2">
    <w:p w14:paraId="127EF743">
      <w:pPr>
        <w:pStyle w:val="44"/>
        <w:jc w:val="both"/>
        <w:rPr>
          <w:rFonts w:hint="eastAsia" w:ascii="宋体" w:hAnsi="宋体" w:eastAsia="宋体" w:cs="微软雅黑"/>
          <w:color w:val="000000"/>
          <w:sz w:val="16"/>
          <w:szCs w:val="18"/>
          <w:lang w:val="en-US"/>
        </w:rPr>
      </w:pPr>
      <w:r>
        <w:rPr>
          <w:rStyle w:val="26"/>
          <w:rFonts w:ascii="宋体" w:hAnsi="宋体" w:eastAsia="宋体"/>
          <w:sz w:val="16"/>
          <w:szCs w:val="18"/>
        </w:rPr>
        <w:footnoteRef/>
      </w:r>
      <w:r>
        <w:rPr>
          <w:rFonts w:hint="eastAsia" w:ascii="宋体" w:hAnsi="宋体" w:eastAsia="宋体" w:cs="微软雅黑"/>
          <w:color w:val="000000"/>
          <w:sz w:val="16"/>
          <w:szCs w:val="18"/>
          <w:lang w:val="en-US"/>
        </w:rPr>
        <w:t>债券本息覆盖率</w:t>
      </w:r>
      <w:r>
        <w:rPr>
          <w:rFonts w:ascii="宋体" w:hAnsi="宋体" w:eastAsia="宋体" w:cs="微软雅黑"/>
          <w:color w:val="000000"/>
          <w:sz w:val="16"/>
          <w:szCs w:val="18"/>
          <w:lang w:val="en-US"/>
        </w:rPr>
        <w:t>=</w:t>
      </w:r>
      <w:r>
        <w:rPr>
          <w:rFonts w:hint="eastAsia" w:ascii="宋体" w:hAnsi="宋体" w:eastAsia="宋体" w:cs="微软雅黑"/>
          <w:color w:val="000000"/>
          <w:sz w:val="16"/>
          <w:szCs w:val="18"/>
          <w:lang w:val="en-US"/>
        </w:rPr>
        <w:t>期末项目累计现金结存额</w:t>
      </w:r>
      <w:r>
        <w:rPr>
          <w:rFonts w:ascii="宋体" w:hAnsi="宋体" w:eastAsia="宋体" w:cs="微软雅黑"/>
          <w:color w:val="000000"/>
          <w:sz w:val="16"/>
          <w:szCs w:val="18"/>
          <w:lang w:val="en-US"/>
        </w:rPr>
        <w:t>/</w:t>
      </w:r>
      <w:r>
        <w:rPr>
          <w:rFonts w:hint="eastAsia" w:ascii="宋体" w:hAnsi="宋体" w:eastAsia="宋体" w:cs="微软雅黑"/>
          <w:color w:val="000000"/>
          <w:sz w:val="16"/>
          <w:szCs w:val="18"/>
          <w:lang w:val="en-US"/>
        </w:rPr>
        <w:t>债券本息</w:t>
      </w:r>
      <w:r>
        <w:rPr>
          <w:rFonts w:ascii="宋体" w:hAnsi="宋体" w:eastAsia="宋体" w:cs="微软雅黑"/>
          <w:color w:val="000000"/>
          <w:sz w:val="16"/>
          <w:szCs w:val="18"/>
          <w:lang w:val="en-US"/>
        </w:rPr>
        <w:t>+1</w:t>
      </w:r>
      <w:r>
        <w:rPr>
          <w:rFonts w:hint="eastAsia" w:ascii="宋体" w:hAnsi="宋体" w:eastAsia="宋体" w:cs="微软雅黑"/>
          <w:color w:val="000000"/>
          <w:sz w:val="16"/>
          <w:szCs w:val="18"/>
          <w:lang w:val="en-US"/>
        </w:rPr>
        <w:t>。</w:t>
      </w:r>
    </w:p>
  </w:footnote>
  <w:footnote w:id="3">
    <w:p w14:paraId="39B7394E">
      <w:pPr>
        <w:pStyle w:val="44"/>
        <w:jc w:val="both"/>
        <w:rPr>
          <w:rFonts w:hint="eastAsia" w:ascii="宋体" w:hAnsi="宋体" w:eastAsia="宋体" w:cs="微软雅黑"/>
          <w:color w:val="000000"/>
          <w:sz w:val="16"/>
          <w:szCs w:val="18"/>
          <w:lang w:val="en-US"/>
        </w:rPr>
      </w:pPr>
      <w:r>
        <w:rPr>
          <w:rStyle w:val="26"/>
          <w:rFonts w:ascii="宋体" w:hAnsi="宋体" w:eastAsia="宋体"/>
          <w:sz w:val="16"/>
          <w:szCs w:val="18"/>
        </w:rPr>
        <w:footnoteRef/>
      </w:r>
      <w:r>
        <w:rPr>
          <w:rFonts w:hint="eastAsia" w:ascii="宋体" w:hAnsi="宋体" w:eastAsia="宋体" w:cs="微软雅黑"/>
          <w:color w:val="000000"/>
          <w:sz w:val="16"/>
          <w:szCs w:val="18"/>
          <w:lang w:val="en-US"/>
        </w:rPr>
        <w:t>债券本息覆盖倍数</w:t>
      </w:r>
      <w:r>
        <w:rPr>
          <w:rFonts w:ascii="宋体" w:hAnsi="宋体" w:eastAsia="宋体" w:cs="微软雅黑"/>
          <w:color w:val="000000"/>
          <w:sz w:val="16"/>
          <w:szCs w:val="18"/>
          <w:lang w:val="en-US"/>
        </w:rPr>
        <w:t>=</w:t>
      </w:r>
      <w:r>
        <w:rPr>
          <w:rFonts w:hint="eastAsia" w:ascii="宋体" w:hAnsi="宋体" w:eastAsia="宋体" w:cs="微软雅黑"/>
          <w:color w:val="000000"/>
          <w:sz w:val="16"/>
          <w:szCs w:val="18"/>
          <w:lang w:val="en-US"/>
        </w:rPr>
        <w:t>（运营收入-运营成本-税费）/债券本息。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CAF82">
    <w:pPr>
      <w:pStyle w:val="12"/>
      <w:pBdr>
        <w:bottom w:val="none" w:color="auto" w:sz="0" w:space="1"/>
      </w:pBdr>
      <w:tabs>
        <w:tab w:val="left" w:pos="6178"/>
        <w:tab w:val="clear" w:pos="8306"/>
      </w:tabs>
      <w:ind w:firstLine="360"/>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66"/>
  <w:noPunctuationKerning w:val="1"/>
  <w:characterSpacingControl w:val="compressPunctuation"/>
  <w:footnotePr>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YjE3MGY2ZTI4ZjFkZTNlMDVjYjQ4ZWY1MzRiMzMifQ=="/>
  </w:docVars>
  <w:rsids>
    <w:rsidRoot w:val="00B271AC"/>
    <w:rsid w:val="000007E4"/>
    <w:rsid w:val="000015A0"/>
    <w:rsid w:val="00002D01"/>
    <w:rsid w:val="00004E30"/>
    <w:rsid w:val="0001472F"/>
    <w:rsid w:val="00015419"/>
    <w:rsid w:val="000178C8"/>
    <w:rsid w:val="000218B0"/>
    <w:rsid w:val="00037152"/>
    <w:rsid w:val="00040E2E"/>
    <w:rsid w:val="00045482"/>
    <w:rsid w:val="0004663A"/>
    <w:rsid w:val="00046784"/>
    <w:rsid w:val="00046C6C"/>
    <w:rsid w:val="000507C1"/>
    <w:rsid w:val="00050C72"/>
    <w:rsid w:val="0005306A"/>
    <w:rsid w:val="0005585E"/>
    <w:rsid w:val="00056F1C"/>
    <w:rsid w:val="0006189D"/>
    <w:rsid w:val="00065866"/>
    <w:rsid w:val="00071F82"/>
    <w:rsid w:val="00073AB2"/>
    <w:rsid w:val="000742D5"/>
    <w:rsid w:val="00076136"/>
    <w:rsid w:val="00083F24"/>
    <w:rsid w:val="00084EC9"/>
    <w:rsid w:val="00086D89"/>
    <w:rsid w:val="000947AF"/>
    <w:rsid w:val="00095948"/>
    <w:rsid w:val="000A1145"/>
    <w:rsid w:val="000A5868"/>
    <w:rsid w:val="000A58AA"/>
    <w:rsid w:val="000A64A1"/>
    <w:rsid w:val="000B1600"/>
    <w:rsid w:val="000B261C"/>
    <w:rsid w:val="000B2830"/>
    <w:rsid w:val="000B4E02"/>
    <w:rsid w:val="000C5FFA"/>
    <w:rsid w:val="000D51FA"/>
    <w:rsid w:val="000D53AB"/>
    <w:rsid w:val="000E32CD"/>
    <w:rsid w:val="000F0FBF"/>
    <w:rsid w:val="000F76FD"/>
    <w:rsid w:val="00100A4A"/>
    <w:rsid w:val="00107E7D"/>
    <w:rsid w:val="00110490"/>
    <w:rsid w:val="00111635"/>
    <w:rsid w:val="0011671E"/>
    <w:rsid w:val="00122F99"/>
    <w:rsid w:val="00124FA3"/>
    <w:rsid w:val="001267AA"/>
    <w:rsid w:val="00134532"/>
    <w:rsid w:val="0013649A"/>
    <w:rsid w:val="001375C0"/>
    <w:rsid w:val="001402B8"/>
    <w:rsid w:val="00141A89"/>
    <w:rsid w:val="001420D3"/>
    <w:rsid w:val="00144B23"/>
    <w:rsid w:val="0015056D"/>
    <w:rsid w:val="0015205A"/>
    <w:rsid w:val="00153AB8"/>
    <w:rsid w:val="00153B75"/>
    <w:rsid w:val="001564E5"/>
    <w:rsid w:val="00162879"/>
    <w:rsid w:val="00162BE3"/>
    <w:rsid w:val="00162F19"/>
    <w:rsid w:val="00172FAD"/>
    <w:rsid w:val="001749C6"/>
    <w:rsid w:val="00177535"/>
    <w:rsid w:val="001778B3"/>
    <w:rsid w:val="0018403A"/>
    <w:rsid w:val="00187349"/>
    <w:rsid w:val="00191B0F"/>
    <w:rsid w:val="001922F6"/>
    <w:rsid w:val="001A21B6"/>
    <w:rsid w:val="001A3887"/>
    <w:rsid w:val="001A4F89"/>
    <w:rsid w:val="001B2140"/>
    <w:rsid w:val="001B2B23"/>
    <w:rsid w:val="001B5627"/>
    <w:rsid w:val="001D5718"/>
    <w:rsid w:val="001E388E"/>
    <w:rsid w:val="001E4180"/>
    <w:rsid w:val="001E4AB3"/>
    <w:rsid w:val="001E4C7D"/>
    <w:rsid w:val="001E5A74"/>
    <w:rsid w:val="001E5F76"/>
    <w:rsid w:val="001F2A32"/>
    <w:rsid w:val="001F3BBC"/>
    <w:rsid w:val="001F6DE1"/>
    <w:rsid w:val="002044BA"/>
    <w:rsid w:val="00205E7F"/>
    <w:rsid w:val="00207730"/>
    <w:rsid w:val="0021057C"/>
    <w:rsid w:val="0021138B"/>
    <w:rsid w:val="00211F30"/>
    <w:rsid w:val="0021539B"/>
    <w:rsid w:val="002206AE"/>
    <w:rsid w:val="002258F6"/>
    <w:rsid w:val="0022728A"/>
    <w:rsid w:val="00237397"/>
    <w:rsid w:val="00240A63"/>
    <w:rsid w:val="002627AF"/>
    <w:rsid w:val="002652A4"/>
    <w:rsid w:val="00270D54"/>
    <w:rsid w:val="00277EE7"/>
    <w:rsid w:val="00281A0E"/>
    <w:rsid w:val="002827B8"/>
    <w:rsid w:val="00286583"/>
    <w:rsid w:val="00296B05"/>
    <w:rsid w:val="00297F4E"/>
    <w:rsid w:val="002A29E5"/>
    <w:rsid w:val="002A3CDD"/>
    <w:rsid w:val="002B2614"/>
    <w:rsid w:val="002B4D39"/>
    <w:rsid w:val="002B7714"/>
    <w:rsid w:val="002B7CCA"/>
    <w:rsid w:val="002C38F7"/>
    <w:rsid w:val="002C5979"/>
    <w:rsid w:val="002D31F2"/>
    <w:rsid w:val="002D412D"/>
    <w:rsid w:val="002D6D0B"/>
    <w:rsid w:val="002D7B61"/>
    <w:rsid w:val="002E18B6"/>
    <w:rsid w:val="002E7373"/>
    <w:rsid w:val="002F2D4D"/>
    <w:rsid w:val="00300571"/>
    <w:rsid w:val="00300FA4"/>
    <w:rsid w:val="00303D53"/>
    <w:rsid w:val="00314883"/>
    <w:rsid w:val="00314A4E"/>
    <w:rsid w:val="00324958"/>
    <w:rsid w:val="0033130B"/>
    <w:rsid w:val="003318D7"/>
    <w:rsid w:val="003364A7"/>
    <w:rsid w:val="00336D70"/>
    <w:rsid w:val="00344F39"/>
    <w:rsid w:val="0034540E"/>
    <w:rsid w:val="0035070B"/>
    <w:rsid w:val="00350977"/>
    <w:rsid w:val="003516FE"/>
    <w:rsid w:val="003532B9"/>
    <w:rsid w:val="00355BDC"/>
    <w:rsid w:val="0036127A"/>
    <w:rsid w:val="00361B96"/>
    <w:rsid w:val="00364A2A"/>
    <w:rsid w:val="00364E0D"/>
    <w:rsid w:val="00365B0B"/>
    <w:rsid w:val="003723CB"/>
    <w:rsid w:val="00373B85"/>
    <w:rsid w:val="00373BBF"/>
    <w:rsid w:val="003813C1"/>
    <w:rsid w:val="00384217"/>
    <w:rsid w:val="00385BD4"/>
    <w:rsid w:val="0038764A"/>
    <w:rsid w:val="00390C68"/>
    <w:rsid w:val="003910CA"/>
    <w:rsid w:val="003921CE"/>
    <w:rsid w:val="003959AA"/>
    <w:rsid w:val="00397048"/>
    <w:rsid w:val="003A1B56"/>
    <w:rsid w:val="003A4B33"/>
    <w:rsid w:val="003A5AF8"/>
    <w:rsid w:val="003B00B8"/>
    <w:rsid w:val="003B1257"/>
    <w:rsid w:val="003B1ADE"/>
    <w:rsid w:val="003B5778"/>
    <w:rsid w:val="003C3A95"/>
    <w:rsid w:val="003C70A8"/>
    <w:rsid w:val="003C7D5D"/>
    <w:rsid w:val="003E23D3"/>
    <w:rsid w:val="003E2680"/>
    <w:rsid w:val="003E682C"/>
    <w:rsid w:val="003F3064"/>
    <w:rsid w:val="00400EC9"/>
    <w:rsid w:val="004023BC"/>
    <w:rsid w:val="00402812"/>
    <w:rsid w:val="0040537D"/>
    <w:rsid w:val="00406495"/>
    <w:rsid w:val="00410201"/>
    <w:rsid w:val="00411B71"/>
    <w:rsid w:val="004132B2"/>
    <w:rsid w:val="00413724"/>
    <w:rsid w:val="004178E8"/>
    <w:rsid w:val="00422A22"/>
    <w:rsid w:val="0042642C"/>
    <w:rsid w:val="0044064F"/>
    <w:rsid w:val="00440791"/>
    <w:rsid w:val="00440A9C"/>
    <w:rsid w:val="00447095"/>
    <w:rsid w:val="0045170E"/>
    <w:rsid w:val="004552B2"/>
    <w:rsid w:val="00455C6B"/>
    <w:rsid w:val="00462D3D"/>
    <w:rsid w:val="00462F50"/>
    <w:rsid w:val="00463359"/>
    <w:rsid w:val="0047195D"/>
    <w:rsid w:val="0047477F"/>
    <w:rsid w:val="00475A41"/>
    <w:rsid w:val="00475D8F"/>
    <w:rsid w:val="0048462D"/>
    <w:rsid w:val="00494E1B"/>
    <w:rsid w:val="004961E8"/>
    <w:rsid w:val="004A2B07"/>
    <w:rsid w:val="004A7362"/>
    <w:rsid w:val="004B022D"/>
    <w:rsid w:val="004B0B6E"/>
    <w:rsid w:val="004B0C2D"/>
    <w:rsid w:val="004B0E7E"/>
    <w:rsid w:val="004C008F"/>
    <w:rsid w:val="004C3C82"/>
    <w:rsid w:val="004C7BA7"/>
    <w:rsid w:val="004D71E1"/>
    <w:rsid w:val="004E194B"/>
    <w:rsid w:val="004F4E8F"/>
    <w:rsid w:val="004F6E1C"/>
    <w:rsid w:val="004F7346"/>
    <w:rsid w:val="00500418"/>
    <w:rsid w:val="00500BFE"/>
    <w:rsid w:val="00501442"/>
    <w:rsid w:val="00504286"/>
    <w:rsid w:val="00504EE7"/>
    <w:rsid w:val="00505357"/>
    <w:rsid w:val="00505DA4"/>
    <w:rsid w:val="00505DB3"/>
    <w:rsid w:val="00510276"/>
    <w:rsid w:val="00515111"/>
    <w:rsid w:val="00515B4E"/>
    <w:rsid w:val="00517A1B"/>
    <w:rsid w:val="0052531C"/>
    <w:rsid w:val="00527F34"/>
    <w:rsid w:val="005315EA"/>
    <w:rsid w:val="00532C13"/>
    <w:rsid w:val="00536A6A"/>
    <w:rsid w:val="00542D61"/>
    <w:rsid w:val="00542E04"/>
    <w:rsid w:val="00550617"/>
    <w:rsid w:val="00552507"/>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8AD"/>
    <w:rsid w:val="005E25FD"/>
    <w:rsid w:val="005E295A"/>
    <w:rsid w:val="005E2F31"/>
    <w:rsid w:val="005F0EA3"/>
    <w:rsid w:val="00600697"/>
    <w:rsid w:val="00604B7C"/>
    <w:rsid w:val="00607FCC"/>
    <w:rsid w:val="006101C0"/>
    <w:rsid w:val="00610A56"/>
    <w:rsid w:val="00614867"/>
    <w:rsid w:val="006210A8"/>
    <w:rsid w:val="00621727"/>
    <w:rsid w:val="00622447"/>
    <w:rsid w:val="0062259B"/>
    <w:rsid w:val="00624C5F"/>
    <w:rsid w:val="00625AD8"/>
    <w:rsid w:val="00634E69"/>
    <w:rsid w:val="00635D45"/>
    <w:rsid w:val="006402AD"/>
    <w:rsid w:val="00640646"/>
    <w:rsid w:val="00645BC2"/>
    <w:rsid w:val="00650246"/>
    <w:rsid w:val="00651492"/>
    <w:rsid w:val="00651CE7"/>
    <w:rsid w:val="00651F01"/>
    <w:rsid w:val="00652573"/>
    <w:rsid w:val="00652ACD"/>
    <w:rsid w:val="00655939"/>
    <w:rsid w:val="00657CD1"/>
    <w:rsid w:val="0066024F"/>
    <w:rsid w:val="006625BC"/>
    <w:rsid w:val="00663412"/>
    <w:rsid w:val="006642E5"/>
    <w:rsid w:val="00666262"/>
    <w:rsid w:val="006700D5"/>
    <w:rsid w:val="0067022F"/>
    <w:rsid w:val="00670A78"/>
    <w:rsid w:val="0067166B"/>
    <w:rsid w:val="00672036"/>
    <w:rsid w:val="00672763"/>
    <w:rsid w:val="0067621C"/>
    <w:rsid w:val="00684F79"/>
    <w:rsid w:val="00691003"/>
    <w:rsid w:val="00693644"/>
    <w:rsid w:val="0069439F"/>
    <w:rsid w:val="006B162C"/>
    <w:rsid w:val="006B50DF"/>
    <w:rsid w:val="006B612F"/>
    <w:rsid w:val="006C3939"/>
    <w:rsid w:val="006C4809"/>
    <w:rsid w:val="006C753A"/>
    <w:rsid w:val="006D3C8A"/>
    <w:rsid w:val="006D4716"/>
    <w:rsid w:val="006D4CD5"/>
    <w:rsid w:val="006D71A2"/>
    <w:rsid w:val="006D79AA"/>
    <w:rsid w:val="006E09A3"/>
    <w:rsid w:val="006E39B8"/>
    <w:rsid w:val="006E53FE"/>
    <w:rsid w:val="006E63D2"/>
    <w:rsid w:val="006E6F5B"/>
    <w:rsid w:val="006E72DA"/>
    <w:rsid w:val="006F24DA"/>
    <w:rsid w:val="006F3578"/>
    <w:rsid w:val="006F6BB0"/>
    <w:rsid w:val="00711168"/>
    <w:rsid w:val="00715096"/>
    <w:rsid w:val="00715A29"/>
    <w:rsid w:val="007163ED"/>
    <w:rsid w:val="00716753"/>
    <w:rsid w:val="007211CE"/>
    <w:rsid w:val="00723518"/>
    <w:rsid w:val="00723C9D"/>
    <w:rsid w:val="00725FF9"/>
    <w:rsid w:val="0073210A"/>
    <w:rsid w:val="0073549E"/>
    <w:rsid w:val="00743A16"/>
    <w:rsid w:val="00747352"/>
    <w:rsid w:val="00751462"/>
    <w:rsid w:val="00751FA3"/>
    <w:rsid w:val="007540EA"/>
    <w:rsid w:val="00755B12"/>
    <w:rsid w:val="00757D4B"/>
    <w:rsid w:val="00760548"/>
    <w:rsid w:val="007613CD"/>
    <w:rsid w:val="00763F07"/>
    <w:rsid w:val="00764EC5"/>
    <w:rsid w:val="00765D75"/>
    <w:rsid w:val="00767299"/>
    <w:rsid w:val="00775EAB"/>
    <w:rsid w:val="00776D0E"/>
    <w:rsid w:val="00776ED4"/>
    <w:rsid w:val="00777374"/>
    <w:rsid w:val="00782037"/>
    <w:rsid w:val="00784292"/>
    <w:rsid w:val="007852ED"/>
    <w:rsid w:val="00791469"/>
    <w:rsid w:val="007930BE"/>
    <w:rsid w:val="0079353D"/>
    <w:rsid w:val="00796119"/>
    <w:rsid w:val="007A30EB"/>
    <w:rsid w:val="007A4891"/>
    <w:rsid w:val="007A6802"/>
    <w:rsid w:val="007A69AB"/>
    <w:rsid w:val="007A6B9A"/>
    <w:rsid w:val="007B0928"/>
    <w:rsid w:val="007B2D91"/>
    <w:rsid w:val="007B5196"/>
    <w:rsid w:val="007B69B8"/>
    <w:rsid w:val="007B6A61"/>
    <w:rsid w:val="007C2C68"/>
    <w:rsid w:val="007C2D46"/>
    <w:rsid w:val="007C336B"/>
    <w:rsid w:val="007C33FB"/>
    <w:rsid w:val="007C453F"/>
    <w:rsid w:val="007C7F6C"/>
    <w:rsid w:val="007E025E"/>
    <w:rsid w:val="007E1788"/>
    <w:rsid w:val="007E2441"/>
    <w:rsid w:val="007E31FA"/>
    <w:rsid w:val="007E76E8"/>
    <w:rsid w:val="007F0E90"/>
    <w:rsid w:val="007F1160"/>
    <w:rsid w:val="007F5C15"/>
    <w:rsid w:val="008009A0"/>
    <w:rsid w:val="00801034"/>
    <w:rsid w:val="00811655"/>
    <w:rsid w:val="0081182D"/>
    <w:rsid w:val="00813732"/>
    <w:rsid w:val="00823D77"/>
    <w:rsid w:val="00824B2B"/>
    <w:rsid w:val="008261EA"/>
    <w:rsid w:val="00833982"/>
    <w:rsid w:val="00835AB2"/>
    <w:rsid w:val="0083703A"/>
    <w:rsid w:val="008476C1"/>
    <w:rsid w:val="00856623"/>
    <w:rsid w:val="00856FB3"/>
    <w:rsid w:val="00857C28"/>
    <w:rsid w:val="008621D4"/>
    <w:rsid w:val="00864A6E"/>
    <w:rsid w:val="0087674B"/>
    <w:rsid w:val="0087704F"/>
    <w:rsid w:val="00877DC8"/>
    <w:rsid w:val="00881E00"/>
    <w:rsid w:val="0088756E"/>
    <w:rsid w:val="00890F91"/>
    <w:rsid w:val="00893616"/>
    <w:rsid w:val="00895705"/>
    <w:rsid w:val="008A29B3"/>
    <w:rsid w:val="008A385D"/>
    <w:rsid w:val="008A3CE4"/>
    <w:rsid w:val="008A5F60"/>
    <w:rsid w:val="008A7DBB"/>
    <w:rsid w:val="008B54B8"/>
    <w:rsid w:val="008B687B"/>
    <w:rsid w:val="008B70C0"/>
    <w:rsid w:val="008C71F6"/>
    <w:rsid w:val="008D3D8E"/>
    <w:rsid w:val="008D4307"/>
    <w:rsid w:val="008D5144"/>
    <w:rsid w:val="008E0156"/>
    <w:rsid w:val="008E2BD4"/>
    <w:rsid w:val="008E4C62"/>
    <w:rsid w:val="008F08EF"/>
    <w:rsid w:val="008F11EF"/>
    <w:rsid w:val="00900CC6"/>
    <w:rsid w:val="00902D88"/>
    <w:rsid w:val="00912369"/>
    <w:rsid w:val="009128AE"/>
    <w:rsid w:val="00916B0C"/>
    <w:rsid w:val="0092037A"/>
    <w:rsid w:val="0092180C"/>
    <w:rsid w:val="00924683"/>
    <w:rsid w:val="0093061B"/>
    <w:rsid w:val="00935D23"/>
    <w:rsid w:val="00940563"/>
    <w:rsid w:val="00942993"/>
    <w:rsid w:val="00945F01"/>
    <w:rsid w:val="00950400"/>
    <w:rsid w:val="00953C7B"/>
    <w:rsid w:val="00957547"/>
    <w:rsid w:val="00957B8A"/>
    <w:rsid w:val="00957EA1"/>
    <w:rsid w:val="00957ECE"/>
    <w:rsid w:val="009615E9"/>
    <w:rsid w:val="00961CAE"/>
    <w:rsid w:val="0096413E"/>
    <w:rsid w:val="009659B8"/>
    <w:rsid w:val="0097311A"/>
    <w:rsid w:val="0097386E"/>
    <w:rsid w:val="0097428B"/>
    <w:rsid w:val="0097622E"/>
    <w:rsid w:val="00980859"/>
    <w:rsid w:val="00982169"/>
    <w:rsid w:val="00982946"/>
    <w:rsid w:val="0098345D"/>
    <w:rsid w:val="00983FBD"/>
    <w:rsid w:val="0098513E"/>
    <w:rsid w:val="009862DA"/>
    <w:rsid w:val="00993EB3"/>
    <w:rsid w:val="009941C3"/>
    <w:rsid w:val="009A50C6"/>
    <w:rsid w:val="009B05E0"/>
    <w:rsid w:val="009B159C"/>
    <w:rsid w:val="009C0C56"/>
    <w:rsid w:val="009C1901"/>
    <w:rsid w:val="009C5B91"/>
    <w:rsid w:val="009D22CF"/>
    <w:rsid w:val="009D4E0F"/>
    <w:rsid w:val="009D6AE8"/>
    <w:rsid w:val="009D79BE"/>
    <w:rsid w:val="009D7BBB"/>
    <w:rsid w:val="009E316E"/>
    <w:rsid w:val="009E44E3"/>
    <w:rsid w:val="009F08EA"/>
    <w:rsid w:val="00A024C7"/>
    <w:rsid w:val="00A053BF"/>
    <w:rsid w:val="00A05D73"/>
    <w:rsid w:val="00A065F7"/>
    <w:rsid w:val="00A10A51"/>
    <w:rsid w:val="00A202D1"/>
    <w:rsid w:val="00A245D2"/>
    <w:rsid w:val="00A31D86"/>
    <w:rsid w:val="00A34932"/>
    <w:rsid w:val="00A37C6D"/>
    <w:rsid w:val="00A43923"/>
    <w:rsid w:val="00A46BE2"/>
    <w:rsid w:val="00A5412D"/>
    <w:rsid w:val="00A62E59"/>
    <w:rsid w:val="00A65F14"/>
    <w:rsid w:val="00A71CBF"/>
    <w:rsid w:val="00A71D76"/>
    <w:rsid w:val="00A71F4E"/>
    <w:rsid w:val="00A72863"/>
    <w:rsid w:val="00A72CD5"/>
    <w:rsid w:val="00A75B36"/>
    <w:rsid w:val="00A75DFE"/>
    <w:rsid w:val="00A80A20"/>
    <w:rsid w:val="00A86929"/>
    <w:rsid w:val="00A9073F"/>
    <w:rsid w:val="00A935CD"/>
    <w:rsid w:val="00A9759E"/>
    <w:rsid w:val="00AA511B"/>
    <w:rsid w:val="00AB0851"/>
    <w:rsid w:val="00AB08C0"/>
    <w:rsid w:val="00AB17DB"/>
    <w:rsid w:val="00AB2FA5"/>
    <w:rsid w:val="00AB3E9E"/>
    <w:rsid w:val="00AB677A"/>
    <w:rsid w:val="00AB6E3F"/>
    <w:rsid w:val="00AC15C1"/>
    <w:rsid w:val="00AC2F9D"/>
    <w:rsid w:val="00AC688A"/>
    <w:rsid w:val="00AD3AC9"/>
    <w:rsid w:val="00AE1CFF"/>
    <w:rsid w:val="00AE7608"/>
    <w:rsid w:val="00AF3DB0"/>
    <w:rsid w:val="00AF43DD"/>
    <w:rsid w:val="00B01640"/>
    <w:rsid w:val="00B01C99"/>
    <w:rsid w:val="00B03C45"/>
    <w:rsid w:val="00B04948"/>
    <w:rsid w:val="00B114D3"/>
    <w:rsid w:val="00B13280"/>
    <w:rsid w:val="00B146B0"/>
    <w:rsid w:val="00B204B7"/>
    <w:rsid w:val="00B24884"/>
    <w:rsid w:val="00B24BAC"/>
    <w:rsid w:val="00B26FA7"/>
    <w:rsid w:val="00B271AC"/>
    <w:rsid w:val="00B27BB0"/>
    <w:rsid w:val="00B3277E"/>
    <w:rsid w:val="00B3695B"/>
    <w:rsid w:val="00B41AC9"/>
    <w:rsid w:val="00B43687"/>
    <w:rsid w:val="00B44A19"/>
    <w:rsid w:val="00B458AE"/>
    <w:rsid w:val="00B520B4"/>
    <w:rsid w:val="00B53588"/>
    <w:rsid w:val="00B55B34"/>
    <w:rsid w:val="00B60DC6"/>
    <w:rsid w:val="00B6299C"/>
    <w:rsid w:val="00B63E63"/>
    <w:rsid w:val="00B67AD1"/>
    <w:rsid w:val="00B740E7"/>
    <w:rsid w:val="00B761A2"/>
    <w:rsid w:val="00B80E8F"/>
    <w:rsid w:val="00B81B19"/>
    <w:rsid w:val="00B81C11"/>
    <w:rsid w:val="00B81DA2"/>
    <w:rsid w:val="00B85E32"/>
    <w:rsid w:val="00B87D8A"/>
    <w:rsid w:val="00B929B9"/>
    <w:rsid w:val="00BA5E92"/>
    <w:rsid w:val="00BA6EBD"/>
    <w:rsid w:val="00BA7382"/>
    <w:rsid w:val="00BB0B35"/>
    <w:rsid w:val="00BB1041"/>
    <w:rsid w:val="00BB5B76"/>
    <w:rsid w:val="00BD09E8"/>
    <w:rsid w:val="00BD16CA"/>
    <w:rsid w:val="00BD1F51"/>
    <w:rsid w:val="00BD5074"/>
    <w:rsid w:val="00BD52D1"/>
    <w:rsid w:val="00BD71D0"/>
    <w:rsid w:val="00BD7F4C"/>
    <w:rsid w:val="00BE1A5E"/>
    <w:rsid w:val="00BF00FF"/>
    <w:rsid w:val="00BF0493"/>
    <w:rsid w:val="00BF30DC"/>
    <w:rsid w:val="00BF4017"/>
    <w:rsid w:val="00C00DC0"/>
    <w:rsid w:val="00C0392B"/>
    <w:rsid w:val="00C05F9D"/>
    <w:rsid w:val="00C0726C"/>
    <w:rsid w:val="00C14288"/>
    <w:rsid w:val="00C177DA"/>
    <w:rsid w:val="00C2187E"/>
    <w:rsid w:val="00C2428B"/>
    <w:rsid w:val="00C2519E"/>
    <w:rsid w:val="00C25A3D"/>
    <w:rsid w:val="00C323C5"/>
    <w:rsid w:val="00C332A7"/>
    <w:rsid w:val="00C34036"/>
    <w:rsid w:val="00C43F6B"/>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302B"/>
    <w:rsid w:val="00C749F3"/>
    <w:rsid w:val="00C75088"/>
    <w:rsid w:val="00C8278F"/>
    <w:rsid w:val="00C83E13"/>
    <w:rsid w:val="00C84CDB"/>
    <w:rsid w:val="00C874FE"/>
    <w:rsid w:val="00C9236B"/>
    <w:rsid w:val="00C92F11"/>
    <w:rsid w:val="00C943A0"/>
    <w:rsid w:val="00C94828"/>
    <w:rsid w:val="00C96DE6"/>
    <w:rsid w:val="00CA3B31"/>
    <w:rsid w:val="00CA74C3"/>
    <w:rsid w:val="00CB5DB8"/>
    <w:rsid w:val="00CC0F68"/>
    <w:rsid w:val="00CC5F88"/>
    <w:rsid w:val="00CC71B9"/>
    <w:rsid w:val="00CD0BF7"/>
    <w:rsid w:val="00CD344A"/>
    <w:rsid w:val="00CD3B55"/>
    <w:rsid w:val="00CE3599"/>
    <w:rsid w:val="00CE424B"/>
    <w:rsid w:val="00CE4B6D"/>
    <w:rsid w:val="00CE56B1"/>
    <w:rsid w:val="00CF10A7"/>
    <w:rsid w:val="00CF3224"/>
    <w:rsid w:val="00D00A5E"/>
    <w:rsid w:val="00D0344C"/>
    <w:rsid w:val="00D04E6B"/>
    <w:rsid w:val="00D06A29"/>
    <w:rsid w:val="00D11E0E"/>
    <w:rsid w:val="00D12ABC"/>
    <w:rsid w:val="00D16984"/>
    <w:rsid w:val="00D16E3C"/>
    <w:rsid w:val="00D22C93"/>
    <w:rsid w:val="00D25045"/>
    <w:rsid w:val="00D31FA9"/>
    <w:rsid w:val="00D33EFE"/>
    <w:rsid w:val="00D34117"/>
    <w:rsid w:val="00D369F9"/>
    <w:rsid w:val="00D414C1"/>
    <w:rsid w:val="00D42E87"/>
    <w:rsid w:val="00D459A4"/>
    <w:rsid w:val="00D476D4"/>
    <w:rsid w:val="00D5030A"/>
    <w:rsid w:val="00D5263B"/>
    <w:rsid w:val="00D52AF2"/>
    <w:rsid w:val="00D53C85"/>
    <w:rsid w:val="00D56B82"/>
    <w:rsid w:val="00D64487"/>
    <w:rsid w:val="00D70F41"/>
    <w:rsid w:val="00D72E53"/>
    <w:rsid w:val="00D91749"/>
    <w:rsid w:val="00D95DB8"/>
    <w:rsid w:val="00D96CF4"/>
    <w:rsid w:val="00D9762A"/>
    <w:rsid w:val="00DA28A5"/>
    <w:rsid w:val="00DA6AB1"/>
    <w:rsid w:val="00DA6CCE"/>
    <w:rsid w:val="00DC176D"/>
    <w:rsid w:val="00DC52E1"/>
    <w:rsid w:val="00DC5C9F"/>
    <w:rsid w:val="00DC671E"/>
    <w:rsid w:val="00DD2D88"/>
    <w:rsid w:val="00DD2DD6"/>
    <w:rsid w:val="00DD46B5"/>
    <w:rsid w:val="00DD4D14"/>
    <w:rsid w:val="00DD67B0"/>
    <w:rsid w:val="00DE18AA"/>
    <w:rsid w:val="00DE3458"/>
    <w:rsid w:val="00DF1B1F"/>
    <w:rsid w:val="00DF1F42"/>
    <w:rsid w:val="00E01BCA"/>
    <w:rsid w:val="00E072AF"/>
    <w:rsid w:val="00E1064E"/>
    <w:rsid w:val="00E15EBB"/>
    <w:rsid w:val="00E17FDC"/>
    <w:rsid w:val="00E23511"/>
    <w:rsid w:val="00E23DCE"/>
    <w:rsid w:val="00E333F4"/>
    <w:rsid w:val="00E33A8E"/>
    <w:rsid w:val="00E365A4"/>
    <w:rsid w:val="00E4365F"/>
    <w:rsid w:val="00E43EA1"/>
    <w:rsid w:val="00E46FF9"/>
    <w:rsid w:val="00E514C7"/>
    <w:rsid w:val="00E53254"/>
    <w:rsid w:val="00E56DB0"/>
    <w:rsid w:val="00E60601"/>
    <w:rsid w:val="00E6226F"/>
    <w:rsid w:val="00E70076"/>
    <w:rsid w:val="00E70165"/>
    <w:rsid w:val="00E70AB7"/>
    <w:rsid w:val="00E722C6"/>
    <w:rsid w:val="00E7256E"/>
    <w:rsid w:val="00E74318"/>
    <w:rsid w:val="00E74CC1"/>
    <w:rsid w:val="00E7622E"/>
    <w:rsid w:val="00E80678"/>
    <w:rsid w:val="00E81949"/>
    <w:rsid w:val="00E9455C"/>
    <w:rsid w:val="00EA137E"/>
    <w:rsid w:val="00EA2674"/>
    <w:rsid w:val="00EA4852"/>
    <w:rsid w:val="00EA64BF"/>
    <w:rsid w:val="00EB2E85"/>
    <w:rsid w:val="00EB46E3"/>
    <w:rsid w:val="00EC2BE1"/>
    <w:rsid w:val="00EC7BA1"/>
    <w:rsid w:val="00ED03B8"/>
    <w:rsid w:val="00ED2683"/>
    <w:rsid w:val="00ED27B0"/>
    <w:rsid w:val="00ED6D8E"/>
    <w:rsid w:val="00ED71DB"/>
    <w:rsid w:val="00ED7231"/>
    <w:rsid w:val="00ED73D5"/>
    <w:rsid w:val="00EE219E"/>
    <w:rsid w:val="00EF22F9"/>
    <w:rsid w:val="00EF4A85"/>
    <w:rsid w:val="00EF7DB9"/>
    <w:rsid w:val="00F01A56"/>
    <w:rsid w:val="00F12665"/>
    <w:rsid w:val="00F13418"/>
    <w:rsid w:val="00F14A60"/>
    <w:rsid w:val="00F14FB6"/>
    <w:rsid w:val="00F15F75"/>
    <w:rsid w:val="00F16A1B"/>
    <w:rsid w:val="00F17B0E"/>
    <w:rsid w:val="00F20081"/>
    <w:rsid w:val="00F2126E"/>
    <w:rsid w:val="00F21F7A"/>
    <w:rsid w:val="00F2383F"/>
    <w:rsid w:val="00F247B0"/>
    <w:rsid w:val="00F26E44"/>
    <w:rsid w:val="00F26E50"/>
    <w:rsid w:val="00F32E04"/>
    <w:rsid w:val="00F33A66"/>
    <w:rsid w:val="00F33F84"/>
    <w:rsid w:val="00F37681"/>
    <w:rsid w:val="00F376F7"/>
    <w:rsid w:val="00F4065E"/>
    <w:rsid w:val="00F41039"/>
    <w:rsid w:val="00F411FB"/>
    <w:rsid w:val="00F41DC8"/>
    <w:rsid w:val="00F41FA9"/>
    <w:rsid w:val="00F431BE"/>
    <w:rsid w:val="00F43B4D"/>
    <w:rsid w:val="00F45F59"/>
    <w:rsid w:val="00F46DBA"/>
    <w:rsid w:val="00F509F4"/>
    <w:rsid w:val="00F56396"/>
    <w:rsid w:val="00F629FD"/>
    <w:rsid w:val="00F715DB"/>
    <w:rsid w:val="00F71940"/>
    <w:rsid w:val="00F71EED"/>
    <w:rsid w:val="00F7343C"/>
    <w:rsid w:val="00F80A69"/>
    <w:rsid w:val="00F81D38"/>
    <w:rsid w:val="00F87081"/>
    <w:rsid w:val="00F94193"/>
    <w:rsid w:val="00F945ED"/>
    <w:rsid w:val="00FA1FF2"/>
    <w:rsid w:val="00FA5E06"/>
    <w:rsid w:val="00FA5E40"/>
    <w:rsid w:val="00FB1712"/>
    <w:rsid w:val="00FB561F"/>
    <w:rsid w:val="00FB6F5E"/>
    <w:rsid w:val="00FC57E2"/>
    <w:rsid w:val="00FC5C22"/>
    <w:rsid w:val="00FC65BD"/>
    <w:rsid w:val="00FD1A9E"/>
    <w:rsid w:val="00FD270D"/>
    <w:rsid w:val="00FD2F14"/>
    <w:rsid w:val="00FD3471"/>
    <w:rsid w:val="00FD7124"/>
    <w:rsid w:val="00FE05B2"/>
    <w:rsid w:val="00FE1C0B"/>
    <w:rsid w:val="00FE2D32"/>
    <w:rsid w:val="00FE614E"/>
    <w:rsid w:val="00FF2E38"/>
    <w:rsid w:val="00FF47CC"/>
    <w:rsid w:val="00FF551C"/>
    <w:rsid w:val="039F0215"/>
    <w:rsid w:val="0442125E"/>
    <w:rsid w:val="05625D9E"/>
    <w:rsid w:val="061F2A86"/>
    <w:rsid w:val="06A511C5"/>
    <w:rsid w:val="06AA5FB2"/>
    <w:rsid w:val="08601134"/>
    <w:rsid w:val="08A53180"/>
    <w:rsid w:val="0C8303A3"/>
    <w:rsid w:val="0E5E4941"/>
    <w:rsid w:val="0F745B83"/>
    <w:rsid w:val="0FD95EAE"/>
    <w:rsid w:val="0FF905CA"/>
    <w:rsid w:val="104E7226"/>
    <w:rsid w:val="115B7819"/>
    <w:rsid w:val="13BF184C"/>
    <w:rsid w:val="14575C95"/>
    <w:rsid w:val="16B02686"/>
    <w:rsid w:val="171B4FA5"/>
    <w:rsid w:val="17912971"/>
    <w:rsid w:val="180778BA"/>
    <w:rsid w:val="185958FB"/>
    <w:rsid w:val="185A1DAA"/>
    <w:rsid w:val="18D94137"/>
    <w:rsid w:val="19152F02"/>
    <w:rsid w:val="1B3F08BB"/>
    <w:rsid w:val="1BF91C95"/>
    <w:rsid w:val="1D1D6102"/>
    <w:rsid w:val="1D540E0F"/>
    <w:rsid w:val="1FAC66C3"/>
    <w:rsid w:val="2196680D"/>
    <w:rsid w:val="249F6523"/>
    <w:rsid w:val="26986269"/>
    <w:rsid w:val="29A01B46"/>
    <w:rsid w:val="2BDD575A"/>
    <w:rsid w:val="2D0F1E53"/>
    <w:rsid w:val="2D8434B6"/>
    <w:rsid w:val="2E127B70"/>
    <w:rsid w:val="2ED326F7"/>
    <w:rsid w:val="2F64672F"/>
    <w:rsid w:val="31D06169"/>
    <w:rsid w:val="31D5702E"/>
    <w:rsid w:val="32FC6AA6"/>
    <w:rsid w:val="33AA10BA"/>
    <w:rsid w:val="379031D2"/>
    <w:rsid w:val="3A1322EE"/>
    <w:rsid w:val="3A4A1178"/>
    <w:rsid w:val="3BD7773D"/>
    <w:rsid w:val="3C95003D"/>
    <w:rsid w:val="3D152BBC"/>
    <w:rsid w:val="3DA3692C"/>
    <w:rsid w:val="3DC254CA"/>
    <w:rsid w:val="3EDC504D"/>
    <w:rsid w:val="3F225AF4"/>
    <w:rsid w:val="3F71CD38"/>
    <w:rsid w:val="40E73B81"/>
    <w:rsid w:val="424F793C"/>
    <w:rsid w:val="42C21CB2"/>
    <w:rsid w:val="441E27BB"/>
    <w:rsid w:val="450B77BE"/>
    <w:rsid w:val="45406233"/>
    <w:rsid w:val="45AE7DE3"/>
    <w:rsid w:val="45D35105"/>
    <w:rsid w:val="462A2B3F"/>
    <w:rsid w:val="47193EB2"/>
    <w:rsid w:val="48CE7418"/>
    <w:rsid w:val="49617C75"/>
    <w:rsid w:val="49D822B4"/>
    <w:rsid w:val="4AA419CD"/>
    <w:rsid w:val="4ACD1AF6"/>
    <w:rsid w:val="4BB9615E"/>
    <w:rsid w:val="4D692D20"/>
    <w:rsid w:val="51B84691"/>
    <w:rsid w:val="53B57CDA"/>
    <w:rsid w:val="560D77BF"/>
    <w:rsid w:val="56300145"/>
    <w:rsid w:val="58F1537F"/>
    <w:rsid w:val="59E47290"/>
    <w:rsid w:val="5A1C14AB"/>
    <w:rsid w:val="5AD27F22"/>
    <w:rsid w:val="5BBE3745"/>
    <w:rsid w:val="5BD42B40"/>
    <w:rsid w:val="5C390BF5"/>
    <w:rsid w:val="5CD54DC2"/>
    <w:rsid w:val="60677FC3"/>
    <w:rsid w:val="63342979"/>
    <w:rsid w:val="64833CCD"/>
    <w:rsid w:val="658978B4"/>
    <w:rsid w:val="65F26A47"/>
    <w:rsid w:val="667C0BDD"/>
    <w:rsid w:val="67750D56"/>
    <w:rsid w:val="685E77D7"/>
    <w:rsid w:val="69644D24"/>
    <w:rsid w:val="69C64B5A"/>
    <w:rsid w:val="6B4961BA"/>
    <w:rsid w:val="6C8044AD"/>
    <w:rsid w:val="6DB40366"/>
    <w:rsid w:val="6DB434EE"/>
    <w:rsid w:val="6DC956BA"/>
    <w:rsid w:val="6F253303"/>
    <w:rsid w:val="71242D64"/>
    <w:rsid w:val="72892D90"/>
    <w:rsid w:val="72D1131E"/>
    <w:rsid w:val="74343D24"/>
    <w:rsid w:val="745F1A7B"/>
    <w:rsid w:val="74C93DD6"/>
    <w:rsid w:val="74CF60EB"/>
    <w:rsid w:val="753D136B"/>
    <w:rsid w:val="756338A7"/>
    <w:rsid w:val="76117496"/>
    <w:rsid w:val="77A520BF"/>
    <w:rsid w:val="77B64025"/>
    <w:rsid w:val="781B6E2E"/>
    <w:rsid w:val="79F71A7C"/>
    <w:rsid w:val="7A0D1DD6"/>
    <w:rsid w:val="7AFF3DEE"/>
    <w:rsid w:val="7D33726F"/>
    <w:rsid w:val="7D9D7924"/>
    <w:rsid w:val="7F5B3843"/>
    <w:rsid w:val="EEFEF334"/>
    <w:rsid w:val="FDF77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qFormat="1" w:uiPriority="99" w:semiHidden="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47"/>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6">
    <w:name w:val="annotation text"/>
    <w:basedOn w:val="1"/>
    <w:link w:val="27"/>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qFormat/>
    <w:uiPriority w:val="0"/>
    <w:pPr>
      <w:ind w:left="105" w:hanging="105"/>
    </w:pPr>
    <w:rPr>
      <w:sz w:val="32"/>
      <w:szCs w:val="32"/>
    </w:rPr>
  </w:style>
  <w:style w:type="paragraph" w:styleId="9">
    <w:name w:val="Balloon Text"/>
    <w:basedOn w:val="1"/>
    <w:link w:val="28"/>
    <w:unhideWhenUsed/>
    <w:qFormat/>
    <w:uiPriority w:val="99"/>
    <w:rPr>
      <w:sz w:val="18"/>
      <w:szCs w:val="18"/>
    </w:rPr>
  </w:style>
  <w:style w:type="paragraph" w:styleId="10">
    <w:name w:val="footer"/>
    <w:basedOn w:val="1"/>
    <w:next w:val="1"/>
    <w:link w:val="29"/>
    <w:unhideWhenUsed/>
    <w:qFormat/>
    <w:uiPriority w:val="99"/>
    <w:pPr>
      <w:tabs>
        <w:tab w:val="center" w:pos="4153"/>
        <w:tab w:val="right" w:pos="8306"/>
      </w:tabs>
      <w:snapToGrid w:val="0"/>
      <w:jc w:val="left"/>
    </w:pPr>
    <w:rPr>
      <w:sz w:val="18"/>
      <w:szCs w:val="18"/>
    </w:rPr>
  </w:style>
  <w:style w:type="paragraph" w:styleId="11">
    <w:name w:val="envelope return"/>
    <w:basedOn w:val="1"/>
    <w:unhideWhenUsed/>
    <w:qFormat/>
    <w:uiPriority w:val="99"/>
    <w:pPr>
      <w:snapToGrid w:val="0"/>
    </w:pPr>
    <w:rPr>
      <w:rFonts w:ascii="Arial" w:hAnsi="Arial"/>
    </w:rPr>
  </w:style>
  <w:style w:type="paragraph" w:styleId="12">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43"/>
    <w:semiHidden/>
    <w:unhideWhenUsed/>
    <w:qFormat/>
    <w:uiPriority w:val="99"/>
    <w:rPr>
      <w:szCs w:val="20"/>
    </w:rPr>
  </w:style>
  <w:style w:type="paragraph" w:styleId="15">
    <w:name w:val="Body Text Indent 3"/>
    <w:basedOn w:val="1"/>
    <w:link w:val="35"/>
    <w:qFormat/>
    <w:uiPriority w:val="0"/>
    <w:pPr>
      <w:spacing w:after="120"/>
      <w:ind w:left="420" w:leftChars="200"/>
    </w:pPr>
    <w:rPr>
      <w:rFonts w:ascii="Times New Roman" w:hAnsi="Times New Roman" w:eastAsia="宋体"/>
      <w:sz w:val="16"/>
      <w:szCs w:val="20"/>
    </w:rPr>
  </w:style>
  <w:style w:type="paragraph" w:styleId="16">
    <w:name w:val="toc 2"/>
    <w:basedOn w:val="1"/>
    <w:next w:val="1"/>
    <w:qFormat/>
    <w:uiPriority w:val="39"/>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annotation subject"/>
    <w:basedOn w:val="6"/>
    <w:next w:val="6"/>
    <w:link w:val="31"/>
    <w:semiHidden/>
    <w:unhideWhenUsed/>
    <w:qFormat/>
    <w:uiPriority w:val="0"/>
    <w:rPr>
      <w:b/>
      <w:bCs/>
    </w:rPr>
  </w:style>
  <w:style w:type="paragraph" w:styleId="19">
    <w:name w:val="Body Text First Indent"/>
    <w:basedOn w:val="7"/>
    <w:next w:val="20"/>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20">
    <w:name w:val="Body Text First Indent 2"/>
    <w:basedOn w:val="8"/>
    <w:next w:val="19"/>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semiHidden/>
    <w:unhideWhenUsed/>
    <w:qFormat/>
    <w:uiPriority w:val="0"/>
    <w:rPr>
      <w:sz w:val="21"/>
      <w:szCs w:val="21"/>
    </w:rPr>
  </w:style>
  <w:style w:type="character" w:styleId="26">
    <w:name w:val="footnote reference"/>
    <w:basedOn w:val="23"/>
    <w:unhideWhenUsed/>
    <w:qFormat/>
    <w:uiPriority w:val="99"/>
    <w:rPr>
      <w:vertAlign w:val="superscript"/>
    </w:rPr>
  </w:style>
  <w:style w:type="character" w:customStyle="1" w:styleId="27">
    <w:name w:val="批注文字 字符"/>
    <w:link w:val="6"/>
    <w:qFormat/>
    <w:uiPriority w:val="0"/>
    <w:rPr>
      <w:rFonts w:ascii="等线" w:hAnsi="等线" w:eastAsia="等线"/>
      <w:kern w:val="2"/>
      <w:sz w:val="21"/>
      <w:szCs w:val="22"/>
    </w:rPr>
  </w:style>
  <w:style w:type="character" w:customStyle="1" w:styleId="28">
    <w:name w:val="批注框文本 字符"/>
    <w:link w:val="9"/>
    <w:semiHidden/>
    <w:qFormat/>
    <w:uiPriority w:val="99"/>
    <w:rPr>
      <w:sz w:val="18"/>
      <w:szCs w:val="18"/>
    </w:rPr>
  </w:style>
  <w:style w:type="character" w:customStyle="1" w:styleId="29">
    <w:name w:val="页脚 字符"/>
    <w:link w:val="10"/>
    <w:qFormat/>
    <w:uiPriority w:val="99"/>
    <w:rPr>
      <w:sz w:val="18"/>
      <w:szCs w:val="18"/>
    </w:rPr>
  </w:style>
  <w:style w:type="character" w:customStyle="1" w:styleId="30">
    <w:name w:val="页眉 字符"/>
    <w:link w:val="12"/>
    <w:qFormat/>
    <w:uiPriority w:val="99"/>
    <w:rPr>
      <w:sz w:val="18"/>
      <w:szCs w:val="18"/>
    </w:rPr>
  </w:style>
  <w:style w:type="character" w:customStyle="1" w:styleId="31">
    <w:name w:val="批注主题 字符"/>
    <w:link w:val="18"/>
    <w:semiHidden/>
    <w:qFormat/>
    <w:uiPriority w:val="0"/>
    <w:rPr>
      <w:rFonts w:ascii="等线" w:hAnsi="等线" w:eastAsia="等线"/>
      <w:b/>
      <w:bCs/>
      <w:kern w:val="2"/>
      <w:sz w:val="21"/>
      <w:szCs w:val="22"/>
    </w:rPr>
  </w:style>
  <w:style w:type="paragraph" w:customStyle="1" w:styleId="32">
    <w:name w:val="列出段落1"/>
    <w:basedOn w:val="1"/>
    <w:qFormat/>
    <w:uiPriority w:val="34"/>
    <w:pPr>
      <w:ind w:firstLine="420" w:firstLineChars="200"/>
    </w:pPr>
  </w:style>
  <w:style w:type="paragraph" w:customStyle="1" w:styleId="33">
    <w:name w:val="Char Char Char Char Char Char Char"/>
    <w:basedOn w:val="1"/>
    <w:qFormat/>
    <w:uiPriority w:val="0"/>
    <w:pPr>
      <w:spacing w:line="480" w:lineRule="auto"/>
    </w:pPr>
    <w:rPr>
      <w:rFonts w:ascii="Times New Roman" w:hAnsi="Times New Roman" w:eastAsia="宋体"/>
      <w:szCs w:val="21"/>
    </w:rPr>
  </w:style>
  <w:style w:type="paragraph" w:styleId="34">
    <w:name w:val="List Paragraph"/>
    <w:basedOn w:val="1"/>
    <w:unhideWhenUsed/>
    <w:qFormat/>
    <w:uiPriority w:val="99"/>
    <w:pPr>
      <w:ind w:firstLine="420" w:firstLineChars="200"/>
    </w:pPr>
  </w:style>
  <w:style w:type="character" w:customStyle="1" w:styleId="35">
    <w:name w:val="正文文本缩进 3 字符"/>
    <w:basedOn w:val="23"/>
    <w:link w:val="15"/>
    <w:qFormat/>
    <w:uiPriority w:val="0"/>
    <w:rPr>
      <w:kern w:val="2"/>
      <w:sz w:val="16"/>
    </w:rPr>
  </w:style>
  <w:style w:type="table" w:customStyle="1" w:styleId="36">
    <w:name w:val="Table Normal"/>
    <w:semiHidden/>
    <w:unhideWhenUsed/>
    <w:qFormat/>
    <w:uiPriority w:val="0"/>
    <w:tblPr>
      <w:tblCellMar>
        <w:top w:w="0" w:type="dxa"/>
        <w:left w:w="0" w:type="dxa"/>
        <w:bottom w:w="0" w:type="dxa"/>
        <w:right w:w="0" w:type="dxa"/>
      </w:tblCellMar>
    </w:tblPr>
  </w:style>
  <w:style w:type="paragraph" w:customStyle="1" w:styleId="37">
    <w:name w:val="WPSOffice手动目录 1"/>
    <w:qFormat/>
    <w:uiPriority w:val="0"/>
    <w:rPr>
      <w:rFonts w:ascii="Times New Roman" w:hAnsi="Times New Roman" w:eastAsia="宋体" w:cs="Times New Roman"/>
      <w:lang w:val="en-US" w:eastAsia="zh-CN" w:bidi="ar-SA"/>
    </w:rPr>
  </w:style>
  <w:style w:type="character" w:customStyle="1" w:styleId="38">
    <w:name w:val="font61"/>
    <w:basedOn w:val="23"/>
    <w:qFormat/>
    <w:uiPriority w:val="0"/>
    <w:rPr>
      <w:rFonts w:hint="default" w:ascii="Times New Roman" w:hAnsi="Times New Roman" w:cs="Times New Roman"/>
      <w:b/>
      <w:bCs/>
      <w:color w:val="000000"/>
      <w:sz w:val="22"/>
      <w:szCs w:val="22"/>
      <w:u w:val="none"/>
    </w:rPr>
  </w:style>
  <w:style w:type="character" w:customStyle="1" w:styleId="39">
    <w:name w:val="font21"/>
    <w:basedOn w:val="23"/>
    <w:qFormat/>
    <w:uiPriority w:val="0"/>
    <w:rPr>
      <w:rFonts w:hint="eastAsia" w:ascii="宋体" w:hAnsi="宋体" w:eastAsia="宋体" w:cs="宋体"/>
      <w:b/>
      <w:bCs/>
      <w:color w:val="000000"/>
      <w:sz w:val="22"/>
      <w:szCs w:val="22"/>
      <w:u w:val="none"/>
    </w:rPr>
  </w:style>
  <w:style w:type="character" w:customStyle="1" w:styleId="40">
    <w:name w:val="font31"/>
    <w:basedOn w:val="23"/>
    <w:qFormat/>
    <w:uiPriority w:val="0"/>
    <w:rPr>
      <w:rFonts w:hint="default" w:ascii="Times New Roman" w:hAnsi="Times New Roman" w:cs="Times New Roman"/>
      <w:color w:val="000000"/>
      <w:sz w:val="22"/>
      <w:szCs w:val="22"/>
      <w:u w:val="none"/>
    </w:rPr>
  </w:style>
  <w:style w:type="character" w:customStyle="1" w:styleId="41">
    <w:name w:val="font41"/>
    <w:basedOn w:val="23"/>
    <w:qFormat/>
    <w:uiPriority w:val="0"/>
    <w:rPr>
      <w:rFonts w:hint="eastAsia" w:ascii="宋体" w:hAnsi="宋体" w:eastAsia="宋体" w:cs="宋体"/>
      <w:color w:val="000000"/>
      <w:sz w:val="22"/>
      <w:szCs w:val="22"/>
      <w:u w:val="none"/>
    </w:rPr>
  </w:style>
  <w:style w:type="paragraph" w:customStyle="1" w:styleId="42">
    <w:name w:val="Table Text"/>
    <w:basedOn w:val="1"/>
    <w:semiHidden/>
    <w:qFormat/>
    <w:uiPriority w:val="0"/>
    <w:rPr>
      <w:rFonts w:ascii="宋体" w:hAnsi="宋体" w:eastAsia="宋体" w:cs="宋体"/>
      <w:sz w:val="24"/>
      <w:szCs w:val="24"/>
      <w:lang w:eastAsia="en-US"/>
    </w:rPr>
  </w:style>
  <w:style w:type="character" w:customStyle="1" w:styleId="43">
    <w:name w:val="脚注文本 字符1"/>
    <w:basedOn w:val="23"/>
    <w:link w:val="14"/>
    <w:semiHidden/>
    <w:qFormat/>
    <w:uiPriority w:val="99"/>
    <w:rPr>
      <w:rFonts w:ascii="等线" w:hAnsi="等线" w:eastAsia="等线"/>
      <w:kern w:val="2"/>
      <w:sz w:val="21"/>
    </w:rPr>
  </w:style>
  <w:style w:type="paragraph" w:customStyle="1" w:styleId="44">
    <w:name w:val="脚注文本1"/>
    <w:basedOn w:val="1"/>
    <w:next w:val="14"/>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3"/>
    <w:link w:val="44"/>
    <w:qFormat/>
    <w:uiPriority w:val="99"/>
    <w:rPr>
      <w:rFonts w:asciiTheme="minorHAnsi" w:hAnsiTheme="minorHAnsi" w:eastAsiaTheme="minorEastAsia" w:cstheme="minorBidi"/>
      <w:sz w:val="22"/>
      <w:szCs w:val="22"/>
      <w:lang w:val="en-GB"/>
    </w:rPr>
  </w:style>
  <w:style w:type="paragraph" w:customStyle="1" w:styleId="46">
    <w:name w:val="Revision"/>
    <w:hidden/>
    <w:unhideWhenUsed/>
    <w:qFormat/>
    <w:uiPriority w:val="99"/>
    <w:rPr>
      <w:rFonts w:ascii="等线" w:hAnsi="等线" w:eastAsia="等线" w:cs="Times New Roman"/>
      <w:kern w:val="2"/>
      <w:sz w:val="21"/>
      <w:szCs w:val="22"/>
      <w:lang w:val="en-US" w:eastAsia="zh-CN" w:bidi="ar-SA"/>
    </w:rPr>
  </w:style>
  <w:style w:type="character" w:customStyle="1" w:styleId="47">
    <w:name w:val="标题 1 字符"/>
    <w:basedOn w:val="23"/>
    <w:link w:val="2"/>
    <w:qFormat/>
    <w:uiPriority w:val="9"/>
    <w:rPr>
      <w:rFonts w:ascii="等线" w:hAnsi="等线" w:eastAsia="等线"/>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ttps://eychinamanaged-my.sharepoint.cn/personal/rachel_rx_guo_cn_ey_com/Documents/&#28023;&#21335;/&#28023;&#21475;&#27743;&#19996;&#26032;&#21306;&#39033;&#30446;/2025&#24180;6&#26376;&#35843;&#22686;&#21457;&#34892;/&#20892;&#34892;-&#36335;&#26725;/&#28023;&#21475;&#27743;&#19996;&#26032;&#21306;&#22253;&#21306;&#22522;&#30784;&#35774;&#26045;&#19971;&#26399;/&#27979;&#31639;-&#28023;&#21475;&#27743;&#19996;&#26032;&#21306;&#22253;&#21306;&#22522;&#30784;&#35774;&#26045;&#19971;&#26399;.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latin typeface="宋体" panose="02010600030101010101" charset="-122"/>
                <a:ea typeface="宋体" panose="02010600030101010101" charset="-122"/>
              </a:rPr>
              <a:t>单位人民币万元</a:t>
            </a:r>
            <a:endParaRPr lang="zh-CN" altLang="en-US" sz="1000">
              <a:latin typeface="宋体" panose="02010600030101010101" charset="-122"/>
              <a:ea typeface="宋体" panose="02010600030101010101" charset="-122"/>
            </a:endParaRPr>
          </a:p>
        </c:rich>
      </c:tx>
      <c:layout>
        <c:manualLayout>
          <c:xMode val="edge"/>
          <c:yMode val="edge"/>
          <c:x val="0.683333333333333"/>
          <c:y val="0.0185185185185185"/>
        </c:manualLayout>
      </c:layout>
      <c:overlay val="0"/>
      <c:spPr>
        <a:noFill/>
        <a:ln>
          <a:noFill/>
        </a:ln>
        <a:effectLst/>
      </c:spPr>
    </c:title>
    <c:autoTitleDeleted val="0"/>
    <c:plotArea>
      <c:layout/>
      <c:barChart>
        <c:barDir val="col"/>
        <c:grouping val="clustered"/>
        <c:varyColors val="0"/>
        <c:ser>
          <c:idx val="0"/>
          <c:order val="0"/>
          <c:tx>
            <c:strRef>
              <c:f>财评贴表!$B$41</c:f>
              <c:strCache>
                <c:ptCount val="1"/>
                <c:pt idx="0">
                  <c:v>期末项目累计现金结存额</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财评贴表!$C$27:$X$27</c:f>
              <c:numCache>
                <c:formatCode>General</c:formatCode>
                <c:ptCount val="22"/>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pt idx="17">
                  <c:v>2041</c:v>
                </c:pt>
                <c:pt idx="18">
                  <c:v>2042</c:v>
                </c:pt>
                <c:pt idx="19">
                  <c:v>2043</c:v>
                </c:pt>
                <c:pt idx="20">
                  <c:v>2044</c:v>
                </c:pt>
                <c:pt idx="21">
                  <c:v>2045</c:v>
                </c:pt>
              </c:numCache>
            </c:numRef>
          </c:cat>
          <c:val>
            <c:numRef>
              <c:f>财评贴表!$C$41:$N$41</c:f>
              <c:numCache>
                <c:formatCode>_(* #,##0.00_);_(* \(#,##0.00\);_(* "-"??_);_(@_)</c:formatCode>
                <c:ptCount val="12"/>
                <c:pt idx="0">
                  <c:v>0</c:v>
                </c:pt>
                <c:pt idx="1">
                  <c:v>0</c:v>
                </c:pt>
                <c:pt idx="2">
                  <c:v>0</c:v>
                </c:pt>
                <c:pt idx="3">
                  <c:v>164.68</c:v>
                </c:pt>
                <c:pt idx="4">
                  <c:v>261.86</c:v>
                </c:pt>
                <c:pt idx="5">
                  <c:v>359.04</c:v>
                </c:pt>
                <c:pt idx="6">
                  <c:v>456.22</c:v>
                </c:pt>
                <c:pt idx="7">
                  <c:v>553.4</c:v>
                </c:pt>
                <c:pt idx="8">
                  <c:v>650.58</c:v>
                </c:pt>
                <c:pt idx="9">
                  <c:v>747.76</c:v>
                </c:pt>
                <c:pt idx="10">
                  <c:v>844.94</c:v>
                </c:pt>
                <c:pt idx="11">
                  <c:v>248.28</c:v>
                </c:pt>
              </c:numCache>
            </c:numRef>
          </c:val>
        </c:ser>
        <c:dLbls>
          <c:showLegendKey val="0"/>
          <c:showVal val="1"/>
          <c:showCatName val="0"/>
          <c:showSerName val="0"/>
          <c:showPercent val="0"/>
          <c:showBubbleSize val="0"/>
        </c:dLbls>
        <c:gapWidth val="219"/>
        <c:overlap val="-27"/>
        <c:axId val="902068632"/>
        <c:axId val="902068992"/>
      </c:barChart>
      <c:catAx>
        <c:axId val="902068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902068992"/>
        <c:crosses val="autoZero"/>
        <c:auto val="1"/>
        <c:lblAlgn val="ctr"/>
        <c:lblOffset val="100"/>
        <c:noMultiLvlLbl val="0"/>
      </c:catAx>
      <c:valAx>
        <c:axId val="902068992"/>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902068632"/>
        <c:crosses val="autoZero"/>
        <c:crossBetween val="between"/>
      </c:valAx>
      <c:spPr>
        <a:noFill/>
        <a:ln>
          <a:noFill/>
        </a:ln>
        <a:effectLst/>
      </c:spPr>
    </c:plotArea>
    <c:plotVisOnly val="1"/>
    <c:dispBlanksAs val="gap"/>
    <c:showDLblsOverMax val="0"/>
    <c:extLst>
      <c:ext uri="{0b15fc19-7d7d-44ad-8c2d-2c3a37ce22c3}">
        <chartProps xmlns="https://web.wps.cn/et/2018/main" chartId="{179d8300-7372-4e99-9819-ff8f7b63148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708A8-F1E8-4EF5-BF2F-39F4654A71D7}">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4856</Words>
  <Characters>5840</Characters>
  <Lines>92</Lines>
  <Paragraphs>25</Paragraphs>
  <TotalTime>96</TotalTime>
  <ScaleCrop>false</ScaleCrop>
  <LinksUpToDate>false</LinksUpToDate>
  <CharactersWithSpaces>5846</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2025-02-13T07:17:00Z</dcterms:created>
  <dc:creator>xtzj</dc:creator>
  <cp:lastModifiedBy>zoe</cp:lastModifiedBy>
  <cp:lastPrinted>2025-06-22T02:04:00Z</cp:lastPrinted>
  <dcterms:modified xsi:type="dcterms:W3CDTF">2026-05-19T03:22:29Z</dcterms:modified>
  <dc:title>2019年儋州市兰洋特色小镇项目专项债券（二期)</dc:title>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5428E238F80B4029834BAE30B5D398DB_13</vt:lpwstr>
  </property>
  <property fmtid="{D5CDD505-2E9C-101B-9397-08002B2CF9AE}" pid="4" name="KSOTemplateDocerSaveRecord">
    <vt:lpwstr>eyJoZGlkIjoiZjc4NmJlMjNhZDU3M2ZmYTE4YmFkYzFlYWU3NzhmZGMiLCJ1c2VySWQiOiIxNDA0OTg0NTc4In0=</vt:lpwstr>
  </property>
</Properties>
</file>