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D8AC0">
      <w:pPr>
        <w:jc w:val="center"/>
        <w:rPr>
          <w:rFonts w:eastAsia="华文细黑" w:asciiTheme="minorHAnsi" w:hAnsiTheme="minorHAnsi"/>
          <w:b/>
          <w:sz w:val="40"/>
        </w:rPr>
      </w:pPr>
      <w:bookmarkStart w:id="0" w:name="_Hlk165106344"/>
      <w:bookmarkStart w:id="1" w:name="_Toc25155"/>
    </w:p>
    <w:p w14:paraId="65752D60">
      <w:pPr>
        <w:pStyle w:val="2"/>
        <w:ind w:firstLine="562"/>
      </w:pPr>
    </w:p>
    <w:p w14:paraId="6E1319E0">
      <w:pPr>
        <w:jc w:val="center"/>
        <w:rPr>
          <w:rFonts w:eastAsia="华文细黑" w:asciiTheme="minorHAnsi" w:hAnsiTheme="minorHAnsi"/>
          <w:b/>
          <w:sz w:val="40"/>
          <w:szCs w:val="40"/>
          <w:highlight w:val="yellow"/>
        </w:rPr>
      </w:pPr>
    </w:p>
    <w:p w14:paraId="108B8127">
      <w:pPr>
        <w:jc w:val="center"/>
        <w:rPr>
          <w:rFonts w:eastAsia="华文细黑" w:asciiTheme="minorHAnsi" w:hAnsiTheme="minorHAnsi"/>
          <w:b/>
          <w:sz w:val="32"/>
          <w:highlight w:val="none"/>
        </w:rPr>
      </w:pPr>
      <w:r>
        <w:rPr>
          <w:rFonts w:hint="eastAsia" w:eastAsia="华文细黑" w:asciiTheme="minorHAnsi" w:hAnsiTheme="minorHAnsi"/>
          <w:b/>
          <w:sz w:val="40"/>
          <w:szCs w:val="40"/>
          <w:lang w:eastAsia="zh-CN"/>
        </w:rPr>
        <w:t>2025年海南省政府专项债券（一期）</w:t>
      </w:r>
      <w:r>
        <w:rPr>
          <w:rFonts w:hint="eastAsia" w:eastAsia="华文细黑" w:asciiTheme="minorHAnsi" w:hAnsiTheme="minorHAnsi"/>
          <w:b/>
          <w:sz w:val="40"/>
          <w:szCs w:val="40"/>
          <w:lang w:val="en-US" w:eastAsia="zh-CN"/>
        </w:rPr>
        <w:t>和</w:t>
      </w:r>
      <w:r>
        <w:rPr>
          <w:rFonts w:hint="eastAsia" w:eastAsia="华文细黑" w:asciiTheme="minorHAnsi" w:hAnsiTheme="minorHAnsi"/>
          <w:b/>
          <w:sz w:val="40"/>
          <w:szCs w:val="40"/>
          <w:lang w:eastAsia="zh-CN"/>
        </w:rPr>
        <w:t>2025年海南省政府专项债券（三期）</w:t>
      </w:r>
      <w:r>
        <w:rPr>
          <w:rFonts w:hint="eastAsia" w:eastAsia="华文细黑" w:asciiTheme="minorHAnsi" w:hAnsiTheme="minorHAnsi"/>
          <w:b/>
          <w:sz w:val="40"/>
          <w:szCs w:val="40"/>
          <w:lang w:val="en-US" w:eastAsia="zh-CN"/>
        </w:rPr>
        <w:t>资金调整</w:t>
      </w:r>
      <w:bookmarkStart w:id="2" w:name="_Toc21540"/>
      <w:r>
        <w:rPr>
          <w:rFonts w:hint="eastAsia" w:eastAsia="华文细黑" w:asciiTheme="minorHAnsi" w:hAnsiTheme="minorHAnsi"/>
          <w:b/>
          <w:sz w:val="40"/>
          <w:szCs w:val="40"/>
          <w:lang w:eastAsia="zh-CN"/>
        </w:rPr>
        <w:t>—</w:t>
      </w:r>
      <w:r>
        <w:rPr>
          <w:rFonts w:hint="eastAsia" w:eastAsia="华文细黑" w:asciiTheme="minorHAnsi" w:hAnsiTheme="minorHAnsi"/>
          <w:b/>
          <w:sz w:val="40"/>
          <w:szCs w:val="40"/>
          <w:lang w:val="en-US" w:eastAsia="zh-CN"/>
        </w:rPr>
        <w:t>海口江东新区CBD南片区幼儿园及配套基础设施项目</w:t>
      </w:r>
      <w:r>
        <w:rPr>
          <w:rFonts w:hint="eastAsia" w:eastAsia="华文细黑" w:asciiTheme="minorHAnsi" w:hAnsiTheme="minorHAnsi"/>
          <w:b/>
          <w:sz w:val="40"/>
          <w:szCs w:val="40"/>
          <w:highlight w:val="none"/>
        </w:rPr>
        <w:t>收益与融资自求平衡方案</w:t>
      </w:r>
      <w:bookmarkEnd w:id="2"/>
    </w:p>
    <w:p w14:paraId="0D592595">
      <w:pPr>
        <w:jc w:val="center"/>
        <w:rPr>
          <w:rFonts w:eastAsia="华文细黑" w:asciiTheme="minorHAnsi" w:hAnsiTheme="minorHAnsi"/>
          <w:b/>
          <w:sz w:val="32"/>
        </w:rPr>
      </w:pPr>
    </w:p>
    <w:p w14:paraId="37CECE64">
      <w:pPr>
        <w:jc w:val="center"/>
        <w:rPr>
          <w:rFonts w:eastAsia="华文细黑" w:asciiTheme="minorHAnsi" w:hAnsiTheme="minorHAnsi"/>
          <w:b/>
          <w:sz w:val="32"/>
        </w:rPr>
      </w:pPr>
    </w:p>
    <w:p w14:paraId="7331AB4B">
      <w:pPr>
        <w:jc w:val="center"/>
        <w:rPr>
          <w:rFonts w:eastAsia="华文细黑" w:asciiTheme="minorHAnsi" w:hAnsiTheme="minorHAnsi"/>
          <w:b/>
          <w:sz w:val="32"/>
        </w:rPr>
      </w:pPr>
    </w:p>
    <w:p w14:paraId="3F2C10B7">
      <w:pPr>
        <w:jc w:val="center"/>
        <w:rPr>
          <w:rFonts w:eastAsia="华文细黑" w:asciiTheme="minorHAnsi" w:hAnsiTheme="minorHAnsi"/>
          <w:sz w:val="36"/>
        </w:rPr>
      </w:pPr>
    </w:p>
    <w:p w14:paraId="725CECEA">
      <w:pPr>
        <w:pStyle w:val="21"/>
        <w:rPr>
          <w:rFonts w:eastAsia="华文细黑" w:asciiTheme="minorHAnsi" w:hAnsiTheme="minorHAnsi"/>
          <w:sz w:val="36"/>
        </w:rPr>
      </w:pPr>
    </w:p>
    <w:p w14:paraId="14DB392C"/>
    <w:p w14:paraId="78892E8C"/>
    <w:p w14:paraId="391811E1">
      <w:pPr>
        <w:jc w:val="center"/>
        <w:outlineLvl w:val="0"/>
        <w:rPr>
          <w:rFonts w:hint="eastAsia" w:eastAsia="华文细黑" w:asciiTheme="minorHAnsi" w:hAnsiTheme="minorHAnsi"/>
          <w:b/>
          <w:sz w:val="40"/>
          <w:szCs w:val="40"/>
          <w:lang w:val="en-US" w:eastAsia="zh-CN"/>
        </w:rPr>
      </w:pPr>
    </w:p>
    <w:p w14:paraId="6CD016BA">
      <w:pPr>
        <w:jc w:val="center"/>
        <w:outlineLvl w:val="0"/>
        <w:rPr>
          <w:rFonts w:hint="eastAsia" w:eastAsia="华文细黑" w:asciiTheme="minorHAnsi" w:hAnsiTheme="minorHAnsi"/>
          <w:b/>
          <w:sz w:val="40"/>
          <w:szCs w:val="40"/>
          <w:lang w:val="en-US" w:eastAsia="zh-CN"/>
        </w:rPr>
      </w:pPr>
      <w:r>
        <w:rPr>
          <w:rFonts w:hint="eastAsia" w:eastAsia="华文细黑" w:asciiTheme="minorHAnsi" w:hAnsiTheme="minorHAnsi"/>
          <w:b/>
          <w:sz w:val="40"/>
          <w:szCs w:val="40"/>
          <w:lang w:val="en-US" w:eastAsia="zh-CN"/>
        </w:rPr>
        <w:t>海口江东新区管理局</w:t>
      </w:r>
    </w:p>
    <w:p w14:paraId="08D9952A">
      <w:pPr>
        <w:jc w:val="center"/>
        <w:outlineLvl w:val="0"/>
        <w:rPr>
          <w:rFonts w:hint="default" w:eastAsia="华文细黑" w:asciiTheme="minorHAnsi" w:hAnsiTheme="minorHAnsi"/>
          <w:b/>
          <w:sz w:val="40"/>
          <w:szCs w:val="40"/>
          <w:lang w:val="en-US" w:eastAsia="zh-CN"/>
        </w:rPr>
      </w:pPr>
      <w:r>
        <w:rPr>
          <w:rFonts w:hint="eastAsia" w:eastAsia="华文细黑" w:asciiTheme="minorHAnsi" w:hAnsiTheme="minorHAnsi"/>
          <w:b/>
          <w:sz w:val="40"/>
          <w:szCs w:val="40"/>
          <w:lang w:val="en-US" w:eastAsia="zh-CN"/>
        </w:rPr>
        <w:t>海口市恒慧基础建设有限公司</w:t>
      </w:r>
    </w:p>
    <w:p w14:paraId="0F87D0C2">
      <w:pPr>
        <w:jc w:val="center"/>
        <w:outlineLvl w:val="0"/>
        <w:rPr>
          <w:rFonts w:eastAsia="华文细黑" w:asciiTheme="minorHAnsi" w:hAnsiTheme="minorHAnsi"/>
          <w:b/>
          <w:sz w:val="28"/>
          <w:szCs w:val="28"/>
        </w:rPr>
      </w:pPr>
      <w:r>
        <w:rPr>
          <w:rFonts w:hint="eastAsia" w:eastAsia="华文细黑" w:asciiTheme="minorHAnsi" w:hAnsiTheme="minorHAnsi"/>
          <w:b/>
          <w:sz w:val="40"/>
          <w:szCs w:val="40"/>
        </w:rPr>
        <w:t>202</w:t>
      </w:r>
      <w:r>
        <w:rPr>
          <w:rFonts w:hint="eastAsia" w:eastAsia="华文细黑" w:asciiTheme="minorHAnsi" w:hAnsiTheme="minorHAnsi"/>
          <w:b/>
          <w:sz w:val="40"/>
          <w:szCs w:val="40"/>
          <w:lang w:val="en-US" w:eastAsia="zh-CN"/>
        </w:rPr>
        <w:t>5</w:t>
      </w:r>
      <w:r>
        <w:rPr>
          <w:rFonts w:hint="eastAsia" w:eastAsia="华文细黑" w:asciiTheme="minorHAnsi" w:hAnsiTheme="minorHAnsi"/>
          <w:b/>
          <w:sz w:val="40"/>
          <w:szCs w:val="40"/>
        </w:rPr>
        <w:t>年</w:t>
      </w:r>
      <w:r>
        <w:rPr>
          <w:rFonts w:hint="eastAsia" w:eastAsia="华文细黑" w:asciiTheme="minorHAnsi" w:hAnsiTheme="minorHAnsi"/>
          <w:b/>
          <w:sz w:val="40"/>
          <w:szCs w:val="40"/>
          <w:lang w:val="en-US" w:eastAsia="zh-CN"/>
        </w:rPr>
        <w:t>12</w:t>
      </w:r>
      <w:r>
        <w:rPr>
          <w:rFonts w:hint="eastAsia" w:eastAsia="华文细黑" w:asciiTheme="minorHAnsi" w:hAnsiTheme="minorHAnsi"/>
          <w:b/>
          <w:sz w:val="40"/>
          <w:szCs w:val="40"/>
        </w:rPr>
        <w:t>月</w:t>
      </w:r>
    </w:p>
    <w:p w14:paraId="77C3E77B">
      <w:pPr>
        <w:rPr>
          <w:rFonts w:hint="eastAsia" w:ascii="华文细黑" w:hAnsi="华文细黑" w:eastAsia="华文细黑" w:cs="华文细黑"/>
          <w:b/>
          <w:sz w:val="36"/>
          <w:szCs w:val="36"/>
        </w:rPr>
        <w:sectPr>
          <w:pgSz w:w="11906" w:h="16838"/>
          <w:pgMar w:top="1213" w:right="1800" w:bottom="1213" w:left="1800" w:header="851" w:footer="850" w:gutter="0"/>
          <w:cols w:space="425" w:num="1"/>
          <w:docGrid w:type="lines" w:linePitch="312" w:charSpace="0"/>
        </w:sectPr>
      </w:pPr>
    </w:p>
    <w:sdt>
      <w:sdtPr>
        <w:rPr>
          <w:rFonts w:ascii="宋体" w:hAnsi="宋体"/>
        </w:rPr>
        <w:id w:val="147460664"/>
        <w15:color w:val="DBDBDB"/>
        <w:docPartObj>
          <w:docPartGallery w:val="Table of Contents"/>
          <w:docPartUnique/>
        </w:docPartObj>
      </w:sdtPr>
      <w:sdtEndPr>
        <w:rPr>
          <w:rFonts w:hint="eastAsia" w:ascii="华文细黑" w:hAnsi="华文细黑" w:eastAsia="华文细黑" w:cs="华文细黑"/>
          <w:b/>
          <w:szCs w:val="36"/>
        </w:rPr>
      </w:sdtEndPr>
      <w:sdtContent>
        <w:p w14:paraId="6766A075">
          <w:pPr>
            <w:spacing w:after="0" w:line="240" w:lineRule="auto"/>
            <w:jc w:val="center"/>
            <w:rPr>
              <w:rFonts w:eastAsia="华文细黑" w:asciiTheme="minorHAnsi" w:hAnsiTheme="minorHAnsi" w:cstheme="majorBidi"/>
              <w:b/>
              <w:kern w:val="0"/>
              <w:sz w:val="32"/>
              <w:szCs w:val="32"/>
            </w:rPr>
          </w:pPr>
          <w:r>
            <w:rPr>
              <w:rFonts w:hint="eastAsia" w:eastAsia="华文细黑" w:asciiTheme="minorHAnsi" w:hAnsiTheme="minorHAnsi" w:cstheme="majorBidi"/>
              <w:b/>
              <w:kern w:val="0"/>
              <w:sz w:val="32"/>
              <w:szCs w:val="32"/>
            </w:rPr>
            <w:t>目录</w:t>
          </w:r>
        </w:p>
        <w:p w14:paraId="064C9465">
          <w:pPr>
            <w:pStyle w:val="9"/>
            <w:widowControl/>
            <w:tabs>
              <w:tab w:val="right" w:leader="dot" w:pos="8640"/>
            </w:tabs>
            <w:spacing w:line="240" w:lineRule="auto"/>
            <w:jc w:val="left"/>
            <w:rPr>
              <w:rFonts w:hint="eastAsia" w:ascii="华文细黑" w:hAnsi="华文细黑" w:cs="华文细黑"/>
              <w:bCs/>
              <w:kern w:val="0"/>
              <w:sz w:val="24"/>
              <w:szCs w:val="32"/>
            </w:rPr>
          </w:pPr>
          <w:r>
            <w:rPr>
              <w:rFonts w:hint="eastAsia" w:ascii="华文细黑" w:hAnsi="华文细黑" w:cs="华文细黑"/>
              <w:sz w:val="36"/>
              <w:szCs w:val="36"/>
            </w:rPr>
            <w:fldChar w:fldCharType="begin"/>
          </w:r>
          <w:r>
            <w:rPr>
              <w:rFonts w:hint="eastAsia" w:ascii="华文细黑" w:hAnsi="华文细黑" w:cs="华文细黑"/>
              <w:sz w:val="36"/>
              <w:szCs w:val="36"/>
            </w:rPr>
            <w:instrText xml:space="preserve">TOC \o "1-2" \h \u </w:instrText>
          </w:r>
          <w:r>
            <w:rPr>
              <w:rFonts w:hint="eastAsia" w:ascii="华文细黑" w:hAnsi="华文细黑" w:cs="华文细黑"/>
              <w:sz w:val="36"/>
              <w:szCs w:val="36"/>
            </w:rPr>
            <w:fldChar w:fldCharType="separate"/>
          </w:r>
          <w:r>
            <w:fldChar w:fldCharType="begin"/>
          </w:r>
          <w:r>
            <w:instrText xml:space="preserve"> HYPERLINK \l "_Toc25673" </w:instrText>
          </w:r>
          <w:r>
            <w:fldChar w:fldCharType="separate"/>
          </w:r>
          <w:r>
            <w:rPr>
              <w:rFonts w:hint="eastAsia" w:ascii="华文细黑" w:hAnsi="华文细黑" w:cs="华文细黑"/>
              <w:bCs/>
              <w:kern w:val="0"/>
              <w:sz w:val="24"/>
              <w:szCs w:val="32"/>
            </w:rPr>
            <w:t>一、已发行债券概况</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_Toc25673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1</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386328BE">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"_Toc30902" </w:instrText>
          </w:r>
          <w:r>
            <w:fldChar w:fldCharType="separate"/>
          </w:r>
          <w:r>
            <w:rPr>
              <w:rFonts w:hint="eastAsia" w:ascii="华文细黑" w:hAnsi="华文细黑" w:cs="华文细黑"/>
              <w:bCs/>
              <w:kern w:val="0"/>
              <w:sz w:val="24"/>
              <w:szCs w:val="32"/>
            </w:rPr>
            <w:t>二、地区情况、经济概况</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_Toc30902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1</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1DFA9A8D">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"_Toc22871" </w:instrText>
          </w:r>
          <w:r>
            <w:fldChar w:fldCharType="separate"/>
          </w:r>
          <w:r>
            <w:rPr>
              <w:rFonts w:ascii="华文细黑" w:hAnsi="华文细黑" w:cs="华文细黑"/>
              <w:bCs/>
              <w:kern w:val="0"/>
              <w:sz w:val="24"/>
              <w:szCs w:val="32"/>
            </w:rPr>
            <w:t>三、</w:t>
          </w:r>
          <w:r>
            <w:rPr>
              <w:rFonts w:hint="eastAsia" w:ascii="华文细黑" w:hAnsi="华文细黑" w:cs="华文细黑"/>
              <w:bCs/>
              <w:kern w:val="0"/>
              <w:sz w:val="24"/>
              <w:szCs w:val="32"/>
            </w:rPr>
            <w:t>项目概述</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_Toc22871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1</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0A4A785C">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"_Toc16742" </w:instrText>
          </w:r>
          <w:r>
            <w:fldChar w:fldCharType="separate"/>
          </w:r>
          <w:r>
            <w:rPr>
              <w:rFonts w:hint="eastAsia" w:ascii="华文细黑" w:hAnsi="华文细黑" w:cs="华文细黑"/>
              <w:bCs/>
              <w:kern w:val="0"/>
              <w:sz w:val="24"/>
              <w:szCs w:val="32"/>
            </w:rPr>
            <w:t>四、事前绩效评估</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_Toc16742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5</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3CF67B83">
          <w:pPr>
            <w:pStyle w:val="9"/>
            <w:widowControl/>
            <w:tabs>
              <w:tab w:val="right" w:leader="dot" w:pos="8640"/>
            </w:tabs>
            <w:spacing w:line="240" w:lineRule="auto"/>
            <w:jc w:val="left"/>
          </w:pPr>
          <w:r>
            <w:fldChar w:fldCharType="begin"/>
          </w:r>
          <w:r>
            <w:instrText xml:space="preserve"> HYPERLINK \l "_Toc29627" </w:instrText>
          </w:r>
          <w:r>
            <w:fldChar w:fldCharType="separate"/>
          </w:r>
          <w:r>
            <w:rPr>
              <w:rFonts w:hint="eastAsia" w:ascii="华文细黑" w:hAnsi="华文细黑" w:cs="华文细黑"/>
              <w:bCs/>
              <w:kern w:val="0"/>
              <w:sz w:val="24"/>
              <w:szCs w:val="32"/>
            </w:rPr>
            <w:t>五、项目预测收益与融资平衡情况</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_Toc29627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8</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7DB609C6">
          <w:pPr>
            <w:pStyle w:val="11"/>
            <w:widowControl/>
            <w:tabs>
              <w:tab w:val="right" w:leader="dot" w:pos="8640"/>
            </w:tabs>
            <w:spacing w:line="240" w:lineRule="auto"/>
            <w:jc w:val="left"/>
            <w:rPr>
              <w:rFonts w:hint="eastAsia" w:ascii="华文细黑" w:hAnsi="华文细黑" w:eastAsia="华文细黑" w:cs="华文细黑"/>
              <w:kern w:val="0"/>
              <w:sz w:val="24"/>
              <w:szCs w:val="24"/>
            </w:rPr>
          </w:pPr>
          <w:r>
            <w:fldChar w:fldCharType="begin"/>
          </w:r>
          <w:r>
            <w:instrText xml:space="preserve"> HYPERLINK \l "_Toc16614" </w:instrText>
          </w:r>
          <w:r>
            <w:fldChar w:fldCharType="separate"/>
          </w:r>
          <w:r>
            <w:rPr>
              <w:rFonts w:ascii="华文细黑" w:hAnsi="华文细黑" w:eastAsia="华文细黑" w:cs="华文细黑"/>
              <w:kern w:val="0"/>
              <w:sz w:val="24"/>
              <w:szCs w:val="24"/>
            </w:rPr>
            <w:t>1</w:t>
          </w:r>
          <w:r>
            <w:rPr>
              <w:rFonts w:hint="eastAsia" w:ascii="华文细黑" w:hAnsi="华文细黑" w:eastAsia="华文细黑" w:cs="华文细黑"/>
              <w:kern w:val="0"/>
              <w:sz w:val="24"/>
              <w:szCs w:val="24"/>
            </w:rPr>
            <w:t>.资金充足性</w:t>
          </w:r>
          <w:r>
            <w:rPr>
              <w:rFonts w:hint="eastAsia" w:ascii="华文细黑" w:hAnsi="华文细黑" w:eastAsia="华文细黑" w:cs="华文细黑"/>
              <w:kern w:val="0"/>
              <w:sz w:val="24"/>
              <w:szCs w:val="24"/>
            </w:rPr>
            <w:tab/>
          </w:r>
          <w:r>
            <w:rPr>
              <w:rFonts w:hint="eastAsia" w:ascii="华文细黑" w:hAnsi="华文细黑" w:eastAsia="华文细黑" w:cs="华文细黑"/>
              <w:kern w:val="0"/>
              <w:sz w:val="24"/>
              <w:szCs w:val="24"/>
            </w:rPr>
            <w:fldChar w:fldCharType="begin"/>
          </w:r>
          <w:r>
            <w:rPr>
              <w:rFonts w:hint="eastAsia" w:ascii="华文细黑" w:hAnsi="华文细黑" w:eastAsia="华文细黑" w:cs="华文细黑"/>
              <w:kern w:val="0"/>
              <w:sz w:val="24"/>
              <w:szCs w:val="24"/>
            </w:rPr>
            <w:instrText xml:space="preserve"> PAGEREF _Toc16614 \h </w:instrText>
          </w:r>
          <w:r>
            <w:rPr>
              <w:rFonts w:hint="eastAsia" w:ascii="华文细黑" w:hAnsi="华文细黑" w:eastAsia="华文细黑" w:cs="华文细黑"/>
              <w:kern w:val="0"/>
              <w:sz w:val="24"/>
              <w:szCs w:val="24"/>
            </w:rPr>
            <w:fldChar w:fldCharType="separate"/>
          </w:r>
          <w:r>
            <w:rPr>
              <w:rFonts w:hint="eastAsia" w:ascii="华文细黑" w:hAnsi="华文细黑" w:eastAsia="华文细黑" w:cs="华文细黑"/>
              <w:kern w:val="0"/>
              <w:sz w:val="24"/>
              <w:szCs w:val="24"/>
            </w:rPr>
            <w:t>9</w:t>
          </w:r>
          <w:r>
            <w:rPr>
              <w:rFonts w:hint="eastAsia" w:ascii="华文细黑" w:hAnsi="华文细黑" w:eastAsia="华文细黑" w:cs="华文细黑"/>
              <w:kern w:val="0"/>
              <w:sz w:val="24"/>
              <w:szCs w:val="24"/>
            </w:rPr>
            <w:fldChar w:fldCharType="end"/>
          </w:r>
          <w:r>
            <w:rPr>
              <w:rFonts w:hint="eastAsia" w:ascii="华文细黑" w:hAnsi="华文细黑" w:eastAsia="华文细黑" w:cs="华文细黑"/>
              <w:kern w:val="0"/>
              <w:sz w:val="24"/>
              <w:szCs w:val="24"/>
            </w:rPr>
            <w:fldChar w:fldCharType="end"/>
          </w:r>
        </w:p>
        <w:p w14:paraId="1E768F3A">
          <w:pPr>
            <w:pStyle w:val="11"/>
            <w:widowControl/>
            <w:tabs>
              <w:tab w:val="right" w:leader="dot" w:pos="8640"/>
            </w:tabs>
            <w:spacing w:line="240" w:lineRule="auto"/>
            <w:jc w:val="left"/>
            <w:rPr>
              <w:rFonts w:hint="eastAsia" w:ascii="华文细黑" w:hAnsi="华文细黑" w:eastAsia="华文细黑" w:cs="华文细黑"/>
              <w:kern w:val="0"/>
              <w:sz w:val="24"/>
              <w:szCs w:val="24"/>
            </w:rPr>
          </w:pPr>
          <w:r>
            <w:fldChar w:fldCharType="begin"/>
          </w:r>
          <w:r>
            <w:instrText xml:space="preserve"> HYPERLINK \l "_Toc17180" </w:instrText>
          </w:r>
          <w:r>
            <w:fldChar w:fldCharType="separate"/>
          </w:r>
          <w:r>
            <w:rPr>
              <w:rFonts w:hint="eastAsia" w:ascii="华文细黑" w:hAnsi="华文细黑" w:eastAsia="华文细黑" w:cs="华文细黑"/>
              <w:kern w:val="0"/>
              <w:sz w:val="24"/>
              <w:szCs w:val="24"/>
            </w:rPr>
            <w:t>2.资金稳定性</w:t>
          </w:r>
          <w:r>
            <w:rPr>
              <w:rFonts w:hint="eastAsia" w:ascii="华文细黑" w:hAnsi="华文细黑" w:eastAsia="华文细黑" w:cs="华文细黑"/>
              <w:kern w:val="0"/>
              <w:sz w:val="24"/>
              <w:szCs w:val="24"/>
            </w:rPr>
            <w:tab/>
          </w:r>
          <w:r>
            <w:rPr>
              <w:rFonts w:hint="eastAsia" w:ascii="华文细黑" w:hAnsi="华文细黑" w:eastAsia="华文细黑" w:cs="华文细黑"/>
              <w:kern w:val="0"/>
              <w:sz w:val="24"/>
              <w:szCs w:val="24"/>
            </w:rPr>
            <w:fldChar w:fldCharType="begin"/>
          </w:r>
          <w:r>
            <w:rPr>
              <w:rFonts w:hint="eastAsia" w:ascii="华文细黑" w:hAnsi="华文细黑" w:eastAsia="华文细黑" w:cs="华文细黑"/>
              <w:kern w:val="0"/>
              <w:sz w:val="24"/>
              <w:szCs w:val="24"/>
            </w:rPr>
            <w:instrText xml:space="preserve"> PAGEREF _Toc17180 \h </w:instrText>
          </w:r>
          <w:r>
            <w:rPr>
              <w:rFonts w:hint="eastAsia" w:ascii="华文细黑" w:hAnsi="华文细黑" w:eastAsia="华文细黑" w:cs="华文细黑"/>
              <w:kern w:val="0"/>
              <w:sz w:val="24"/>
              <w:szCs w:val="24"/>
            </w:rPr>
            <w:fldChar w:fldCharType="separate"/>
          </w:r>
          <w:r>
            <w:rPr>
              <w:rFonts w:hint="eastAsia" w:ascii="华文细黑" w:hAnsi="华文细黑" w:eastAsia="华文细黑" w:cs="华文细黑"/>
              <w:kern w:val="0"/>
              <w:sz w:val="24"/>
              <w:szCs w:val="24"/>
            </w:rPr>
            <w:t>13</w:t>
          </w:r>
          <w:r>
            <w:rPr>
              <w:rFonts w:hint="eastAsia" w:ascii="华文细黑" w:hAnsi="华文细黑" w:eastAsia="华文细黑" w:cs="华文细黑"/>
              <w:kern w:val="0"/>
              <w:sz w:val="24"/>
              <w:szCs w:val="24"/>
            </w:rPr>
            <w:fldChar w:fldCharType="end"/>
          </w:r>
          <w:r>
            <w:rPr>
              <w:rFonts w:hint="eastAsia" w:ascii="华文细黑" w:hAnsi="华文细黑" w:eastAsia="华文细黑" w:cs="华文细黑"/>
              <w:kern w:val="0"/>
              <w:sz w:val="24"/>
              <w:szCs w:val="24"/>
            </w:rPr>
            <w:fldChar w:fldCharType="end"/>
          </w:r>
        </w:p>
        <w:p w14:paraId="3B0D9D84">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"_Toc15688" </w:instrText>
          </w:r>
          <w:r>
            <w:fldChar w:fldCharType="separate"/>
          </w:r>
          <w:r>
            <w:rPr>
              <w:rFonts w:hint="eastAsia" w:ascii="华文细黑" w:hAnsi="华文细黑" w:cs="华文细黑"/>
              <w:bCs/>
              <w:kern w:val="0"/>
              <w:sz w:val="24"/>
              <w:szCs w:val="32"/>
            </w:rPr>
            <w:t>六、风险分析</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_Toc15688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16</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33CDA32E">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"_Toc21136" </w:instrText>
          </w:r>
          <w:r>
            <w:fldChar w:fldCharType="separate"/>
          </w:r>
          <w:r>
            <w:rPr>
              <w:rFonts w:hint="eastAsia" w:ascii="华文细黑" w:hAnsi="华文细黑" w:cs="华文细黑"/>
              <w:bCs/>
              <w:kern w:val="0"/>
              <w:sz w:val="24"/>
              <w:szCs w:val="32"/>
            </w:rPr>
            <w:t>七、风险评估</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_Toc21136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17</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3D5979C1">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"_Toc8660" </w:instrText>
          </w:r>
          <w:r>
            <w:fldChar w:fldCharType="separate"/>
          </w:r>
          <w:r>
            <w:rPr>
              <w:rFonts w:hint="eastAsia" w:ascii="华文细黑" w:hAnsi="华文细黑" w:cs="华文细黑"/>
              <w:bCs/>
              <w:kern w:val="0"/>
              <w:sz w:val="24"/>
              <w:szCs w:val="32"/>
              <w:lang w:val="en-US" w:eastAsia="zh-CN"/>
            </w:rPr>
            <w:t>八</w:t>
          </w:r>
          <w:r>
            <w:rPr>
              <w:rFonts w:hint="eastAsia" w:ascii="华文细黑" w:hAnsi="华文细黑" w:cs="华文细黑"/>
              <w:bCs/>
              <w:kern w:val="0"/>
              <w:sz w:val="24"/>
              <w:szCs w:val="32"/>
            </w:rPr>
            <w:t>、偿债保障及投资者保护</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_Toc8660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19</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75C5B700">
          <w:pPr>
            <w:pStyle w:val="9"/>
            <w:widowControl/>
            <w:tabs>
              <w:tab w:val="right" w:leader="dot" w:pos="8640"/>
            </w:tabs>
            <w:spacing w:line="240" w:lineRule="auto"/>
            <w:jc w:val="left"/>
            <w:rPr>
              <w:rFonts w:hint="eastAsia" w:ascii="华文细黑" w:hAnsi="华文细黑" w:cs="华文细黑"/>
              <w:bCs/>
              <w:kern w:val="0"/>
              <w:sz w:val="24"/>
              <w:szCs w:val="32"/>
            </w:rPr>
          </w:pPr>
          <w:r>
            <w:fldChar w:fldCharType="begin"/>
          </w:r>
          <w:r>
            <w:instrText xml:space="preserve"> HYPERLINK \l "_Toc32157" </w:instrText>
          </w:r>
          <w:r>
            <w:fldChar w:fldCharType="separate"/>
          </w:r>
          <w:r>
            <w:rPr>
              <w:rFonts w:hint="eastAsia" w:ascii="华文细黑" w:hAnsi="华文细黑" w:cs="华文细黑"/>
              <w:bCs/>
              <w:kern w:val="0"/>
              <w:sz w:val="24"/>
              <w:szCs w:val="32"/>
              <w:lang w:val="en-US" w:eastAsia="zh-CN"/>
            </w:rPr>
            <w:t>九</w:t>
          </w:r>
          <w:r>
            <w:rPr>
              <w:rFonts w:hint="eastAsia" w:ascii="华文细黑" w:hAnsi="华文细黑" w:cs="华文细黑"/>
              <w:bCs/>
              <w:kern w:val="0"/>
              <w:sz w:val="24"/>
              <w:szCs w:val="32"/>
            </w:rPr>
            <w:t>、结论</w:t>
          </w:r>
          <w:r>
            <w:rPr>
              <w:rFonts w:hint="eastAsia" w:ascii="华文细黑" w:hAnsi="华文细黑" w:cs="华文细黑"/>
              <w:bCs/>
              <w:kern w:val="0"/>
              <w:sz w:val="24"/>
              <w:szCs w:val="32"/>
            </w:rPr>
            <w:tab/>
          </w:r>
          <w:r>
            <w:rPr>
              <w:rFonts w:hint="eastAsia" w:ascii="华文细黑" w:hAnsi="华文细黑" w:cs="华文细黑"/>
              <w:bCs/>
              <w:kern w:val="0"/>
              <w:sz w:val="24"/>
              <w:szCs w:val="32"/>
            </w:rPr>
            <w:fldChar w:fldCharType="begin"/>
          </w:r>
          <w:r>
            <w:rPr>
              <w:rFonts w:hint="eastAsia" w:ascii="华文细黑" w:hAnsi="华文细黑" w:cs="华文细黑"/>
              <w:bCs/>
              <w:kern w:val="0"/>
              <w:sz w:val="24"/>
              <w:szCs w:val="32"/>
            </w:rPr>
            <w:instrText xml:space="preserve"> PAGEREF _Toc32157 \h </w:instrText>
          </w:r>
          <w:r>
            <w:rPr>
              <w:rFonts w:hint="eastAsia" w:ascii="华文细黑" w:hAnsi="华文细黑" w:cs="华文细黑"/>
              <w:bCs/>
              <w:kern w:val="0"/>
              <w:sz w:val="24"/>
              <w:szCs w:val="32"/>
            </w:rPr>
            <w:fldChar w:fldCharType="separate"/>
          </w:r>
          <w:r>
            <w:rPr>
              <w:rFonts w:hint="eastAsia" w:ascii="华文细黑" w:hAnsi="华文细黑" w:cs="华文细黑"/>
              <w:bCs/>
              <w:kern w:val="0"/>
              <w:sz w:val="24"/>
              <w:szCs w:val="32"/>
            </w:rPr>
            <w:t>20</w:t>
          </w:r>
          <w:r>
            <w:rPr>
              <w:rFonts w:hint="eastAsia" w:ascii="华文细黑" w:hAnsi="华文细黑" w:cs="华文细黑"/>
              <w:bCs/>
              <w:kern w:val="0"/>
              <w:sz w:val="24"/>
              <w:szCs w:val="32"/>
            </w:rPr>
            <w:fldChar w:fldCharType="end"/>
          </w:r>
          <w:r>
            <w:rPr>
              <w:rFonts w:hint="eastAsia" w:ascii="华文细黑" w:hAnsi="华文细黑" w:cs="华文细黑"/>
              <w:bCs/>
              <w:kern w:val="0"/>
              <w:sz w:val="24"/>
              <w:szCs w:val="32"/>
            </w:rPr>
            <w:fldChar w:fldCharType="end"/>
          </w:r>
        </w:p>
        <w:p w14:paraId="2FE00BD6">
          <w:pPr>
            <w:ind w:left="-142" w:right="-149"/>
            <w:jc w:val="center"/>
            <w:rPr>
              <w:rFonts w:hint="eastAsia" w:ascii="华文细黑" w:hAnsi="华文细黑" w:eastAsia="华文细黑" w:cs="华文细黑"/>
              <w:b/>
              <w:sz w:val="36"/>
              <w:szCs w:val="36"/>
            </w:rPr>
            <w:sectPr>
              <w:footerReference r:id="rId5" w:type="default"/>
              <w:pgSz w:w="11906" w:h="16838"/>
              <w:pgMar w:top="1213" w:right="1800" w:bottom="1213" w:left="1800" w:header="851" w:footer="850" w:gutter="0"/>
              <w:pgNumType w:start="1"/>
              <w:cols w:space="425" w:num="1"/>
              <w:docGrid w:type="lines" w:linePitch="312" w:charSpace="0"/>
            </w:sectPr>
          </w:pPr>
          <w:r>
            <w:rPr>
              <w:rFonts w:hint="eastAsia" w:ascii="华文细黑" w:hAnsi="华文细黑" w:eastAsia="华文细黑" w:cs="华文细黑"/>
              <w:b/>
              <w:szCs w:val="36"/>
            </w:rPr>
            <w:fldChar w:fldCharType="end"/>
          </w:r>
        </w:p>
      </w:sdtContent>
    </w:sdt>
    <w:bookmarkEnd w:id="0"/>
    <w:p w14:paraId="3DB50BDA">
      <w:pPr>
        <w:ind w:left="-142" w:right="-149"/>
        <w:jc w:val="center"/>
        <w:rPr>
          <w:rFonts w:hint="default" w:ascii="华文细黑" w:hAnsi="华文细黑" w:eastAsia="华文细黑" w:cs="华文细黑"/>
          <w:b/>
          <w:sz w:val="40"/>
          <w:lang w:val="en-US" w:eastAsia="zh-CN"/>
        </w:rPr>
      </w:pPr>
      <w:r>
        <w:rPr>
          <w:rFonts w:hint="eastAsia" w:ascii="华文细黑" w:hAnsi="华文细黑" w:eastAsia="华文细黑" w:cs="华文细黑"/>
          <w:b/>
          <w:color w:val="000000" w:themeColor="text1"/>
          <w:sz w:val="36"/>
          <w:szCs w:val="36"/>
          <w:lang w:eastAsia="zh-CN"/>
          <w14:textFill>
            <w14:solidFill>
              <w14:schemeClr w14:val="tx1"/>
            </w14:solidFill>
          </w14:textFill>
        </w:rPr>
        <w:t>2025年海南省政府专项债券（一期）</w:t>
      </w:r>
      <w:r>
        <w:rPr>
          <w:rFonts w:hint="eastAsia" w:ascii="华文细黑" w:hAnsi="华文细黑" w:eastAsia="华文细黑" w:cs="华文细黑"/>
          <w:b/>
          <w:color w:val="000000" w:themeColor="text1"/>
          <w:sz w:val="36"/>
          <w:szCs w:val="36"/>
          <w:lang w:val="en-US" w:eastAsia="zh-CN"/>
          <w14:textFill>
            <w14:solidFill>
              <w14:schemeClr w14:val="tx1"/>
            </w14:solidFill>
          </w14:textFill>
        </w:rPr>
        <w:t>和</w:t>
      </w:r>
      <w:r>
        <w:rPr>
          <w:rFonts w:hint="eastAsia" w:ascii="华文细黑" w:hAnsi="华文细黑" w:eastAsia="华文细黑" w:cs="华文细黑"/>
          <w:b/>
          <w:color w:val="000000" w:themeColor="text1"/>
          <w:sz w:val="36"/>
          <w:szCs w:val="36"/>
          <w:lang w:eastAsia="zh-CN"/>
          <w14:textFill>
            <w14:solidFill>
              <w14:schemeClr w14:val="tx1"/>
            </w14:solidFill>
          </w14:textFill>
        </w:rPr>
        <w:t>2025年海南省政府专项债券（三期）</w:t>
      </w:r>
      <w:r>
        <w:rPr>
          <w:rFonts w:hint="eastAsia" w:ascii="华文细黑" w:hAnsi="华文细黑" w:eastAsia="华文细黑" w:cs="华文细黑"/>
          <w:b/>
          <w:color w:val="000000" w:themeColor="text1"/>
          <w:sz w:val="36"/>
          <w:szCs w:val="36"/>
          <w:lang w:val="en-US" w:eastAsia="zh-CN"/>
          <w14:textFill>
            <w14:solidFill>
              <w14:schemeClr w14:val="tx1"/>
            </w14:solidFill>
          </w14:textFill>
        </w:rPr>
        <w:t>资金调整—海口江东新区CBD南片区幼儿园及配套基础设施项目</w:t>
      </w:r>
    </w:p>
    <w:p w14:paraId="4EA82F89">
      <w:pPr>
        <w:tabs>
          <w:tab w:val="center" w:pos="4214"/>
          <w:tab w:val="left" w:pos="7418"/>
        </w:tabs>
        <w:spacing w:after="0" w:line="360" w:lineRule="auto"/>
        <w:jc w:val="center"/>
        <w:outlineLvl w:val="0"/>
        <w:rPr>
          <w:rFonts w:hint="eastAsia" w:ascii="华文细黑" w:hAnsi="华文细黑" w:eastAsia="华文细黑" w:cs="华文细黑"/>
          <w:b/>
          <w:color w:val="000000" w:themeColor="text1"/>
          <w:sz w:val="36"/>
          <w:szCs w:val="36"/>
          <w14:textFill>
            <w14:solidFill>
              <w14:schemeClr w14:val="tx1"/>
            </w14:solidFill>
          </w14:textFill>
        </w:rPr>
      </w:pPr>
      <w:bookmarkStart w:id="3" w:name="_Toc4316"/>
      <w:r>
        <w:rPr>
          <w:rFonts w:hint="eastAsia" w:ascii="华文细黑" w:hAnsi="华文细黑" w:eastAsia="华文细黑" w:cs="华文细黑"/>
          <w:b/>
          <w:color w:val="000000" w:themeColor="text1"/>
          <w:sz w:val="36"/>
          <w:szCs w:val="36"/>
          <w14:textFill>
            <w14:solidFill>
              <w14:schemeClr w14:val="tx1"/>
            </w14:solidFill>
          </w14:textFill>
        </w:rPr>
        <w:t>收益与融资自求平衡方案</w:t>
      </w:r>
      <w:bookmarkEnd w:id="3"/>
    </w:p>
    <w:p w14:paraId="3E53C7EA">
      <w:pPr>
        <w:spacing w:after="0" w:line="360" w:lineRule="auto"/>
        <w:ind w:firstLine="480" w:firstLineChars="200"/>
        <w:jc w:val="center"/>
        <w:rPr>
          <w:rFonts w:hint="eastAsia" w:ascii="华文细黑" w:hAnsi="华文细黑" w:eastAsia="华文细黑" w:cs="华文细黑"/>
          <w:b/>
          <w:bCs/>
          <w:color w:val="000000"/>
          <w:kern w:val="0"/>
          <w:sz w:val="24"/>
          <w:szCs w:val="24"/>
        </w:rPr>
      </w:pPr>
    </w:p>
    <w:p w14:paraId="43B278E0">
      <w:pPr>
        <w:spacing w:after="0" w:line="360" w:lineRule="auto"/>
        <w:ind w:firstLine="480" w:firstLineChars="200"/>
        <w:outlineLvl w:val="0"/>
        <w:rPr>
          <w:rFonts w:hint="eastAsia" w:ascii="华文细黑" w:hAnsi="华文细黑" w:eastAsia="华文细黑" w:cs="华文细黑"/>
          <w:b/>
          <w:bCs/>
          <w:sz w:val="24"/>
          <w:szCs w:val="24"/>
        </w:rPr>
      </w:pPr>
      <w:bookmarkStart w:id="4" w:name="_Toc25673"/>
      <w:r>
        <w:rPr>
          <w:rFonts w:hint="eastAsia" w:ascii="华文细黑" w:hAnsi="华文细黑" w:eastAsia="华文细黑" w:cs="华文细黑"/>
          <w:b/>
          <w:bCs/>
          <w:sz w:val="24"/>
          <w:szCs w:val="24"/>
        </w:rPr>
        <w:t>一、已发行债券概况</w:t>
      </w:r>
      <w:bookmarkEnd w:id="4"/>
    </w:p>
    <w:p w14:paraId="6F0EFF34">
      <w:pPr>
        <w:spacing w:after="0" w:line="520" w:lineRule="exact"/>
        <w:ind w:firstLine="480" w:firstLineChars="200"/>
        <w:rPr>
          <w:rFonts w:hint="eastAsia" w:ascii="华文细黑" w:hAnsi="华文细黑" w:eastAsia="华文细黑" w:cs="华文细黑"/>
          <w:color w:val="000000"/>
          <w:kern w:val="0"/>
          <w:sz w:val="24"/>
          <w:szCs w:val="24"/>
        </w:rPr>
      </w:pPr>
      <w:r>
        <w:rPr>
          <w:rFonts w:hint="eastAsia" w:ascii="华文细黑" w:hAnsi="华文细黑" w:eastAsia="华文细黑" w:cs="华文细黑"/>
          <w:color w:val="000000"/>
          <w:kern w:val="0"/>
          <w:sz w:val="24"/>
          <w:szCs w:val="24"/>
        </w:rPr>
        <w:t>本次调整涉及的已发行债券为：</w:t>
      </w:r>
      <w:r>
        <w:rPr>
          <w:rFonts w:hint="eastAsia" w:ascii="华文细黑" w:hAnsi="华文细黑" w:eastAsia="华文细黑" w:cs="华文细黑"/>
          <w:color w:val="000000"/>
          <w:kern w:val="0"/>
          <w:sz w:val="24"/>
          <w:szCs w:val="24"/>
          <w:lang w:eastAsia="zh-CN"/>
        </w:rPr>
        <w:t>2025年海南省政府专项债券（一期）</w:t>
      </w:r>
      <w:r>
        <w:rPr>
          <w:rFonts w:hint="eastAsia" w:ascii="华文细黑" w:hAnsi="华文细黑" w:eastAsia="华文细黑" w:cs="华文细黑"/>
          <w:color w:val="000000"/>
          <w:kern w:val="0"/>
          <w:sz w:val="24"/>
          <w:szCs w:val="24"/>
        </w:rPr>
        <w:t>，品种为记账式固定利率附息债券，期限为</w:t>
      </w:r>
      <w:r>
        <w:rPr>
          <w:rFonts w:hint="eastAsia" w:ascii="华文细黑" w:hAnsi="华文细黑" w:eastAsia="华文细黑" w:cs="华文细黑"/>
          <w:color w:val="000000"/>
          <w:kern w:val="0"/>
          <w:sz w:val="24"/>
          <w:szCs w:val="24"/>
          <w:lang w:val="en-US" w:eastAsia="zh-CN"/>
        </w:rPr>
        <w:t>1</w:t>
      </w:r>
      <w:r>
        <w:rPr>
          <w:rFonts w:hint="eastAsia" w:ascii="华文细黑" w:hAnsi="华文细黑" w:eastAsia="华文细黑" w:cs="华文细黑"/>
          <w:color w:val="000000"/>
          <w:kern w:val="0"/>
          <w:sz w:val="24"/>
          <w:szCs w:val="24"/>
        </w:rPr>
        <w:t>0年期，利率为</w:t>
      </w:r>
      <w:r>
        <w:rPr>
          <w:rFonts w:hint="eastAsia" w:ascii="华文细黑" w:hAnsi="华文细黑" w:eastAsia="华文细黑" w:cs="华文细黑"/>
          <w:color w:val="000000"/>
          <w:kern w:val="0"/>
          <w:sz w:val="24"/>
          <w:szCs w:val="24"/>
          <w:lang w:val="en-US" w:eastAsia="zh-CN"/>
        </w:rPr>
        <w:t>1.76</w:t>
      </w:r>
      <w:r>
        <w:rPr>
          <w:rFonts w:hint="eastAsia" w:ascii="华文细黑" w:hAnsi="华文细黑" w:eastAsia="华文细黑" w:cs="华文细黑"/>
          <w:color w:val="000000"/>
          <w:kern w:val="0"/>
          <w:sz w:val="24"/>
          <w:szCs w:val="24"/>
        </w:rPr>
        <w:t>%</w:t>
      </w:r>
      <w:r>
        <w:rPr>
          <w:rFonts w:hint="eastAsia" w:ascii="华文细黑" w:hAnsi="华文细黑" w:eastAsia="华文细黑" w:cs="华文细黑"/>
          <w:color w:val="000000"/>
          <w:kern w:val="0"/>
          <w:sz w:val="24"/>
          <w:szCs w:val="24"/>
          <w:lang w:eastAsia="zh-CN"/>
        </w:rPr>
        <w:t>，2025年海南省政府专项债券（三期），</w:t>
      </w:r>
      <w:r>
        <w:rPr>
          <w:rFonts w:hint="eastAsia" w:ascii="华文细黑" w:hAnsi="华文细黑" w:eastAsia="华文细黑" w:cs="华文细黑"/>
          <w:color w:val="000000"/>
          <w:kern w:val="0"/>
          <w:sz w:val="24"/>
          <w:szCs w:val="24"/>
        </w:rPr>
        <w:t>品种为记账式固定利率附息债券，期限为</w:t>
      </w:r>
      <w:r>
        <w:rPr>
          <w:rFonts w:hint="eastAsia" w:ascii="华文细黑" w:hAnsi="华文细黑" w:eastAsia="华文细黑" w:cs="华文细黑"/>
          <w:color w:val="000000"/>
          <w:kern w:val="0"/>
          <w:sz w:val="24"/>
          <w:szCs w:val="24"/>
          <w:lang w:val="en-US" w:eastAsia="zh-CN"/>
        </w:rPr>
        <w:t>2</w:t>
      </w:r>
      <w:r>
        <w:rPr>
          <w:rFonts w:hint="eastAsia" w:ascii="华文细黑" w:hAnsi="华文细黑" w:eastAsia="华文细黑" w:cs="华文细黑"/>
          <w:color w:val="000000"/>
          <w:kern w:val="0"/>
          <w:sz w:val="24"/>
          <w:szCs w:val="24"/>
        </w:rPr>
        <w:t>0年期，利率为</w:t>
      </w:r>
      <w:r>
        <w:rPr>
          <w:rFonts w:hint="eastAsia" w:ascii="华文细黑" w:hAnsi="华文细黑" w:eastAsia="华文细黑" w:cs="华文细黑"/>
          <w:color w:val="000000"/>
          <w:kern w:val="0"/>
          <w:sz w:val="24"/>
          <w:szCs w:val="24"/>
          <w:lang w:val="en-US" w:eastAsia="zh-CN"/>
        </w:rPr>
        <w:t>2.19</w:t>
      </w:r>
      <w:r>
        <w:rPr>
          <w:rFonts w:hint="eastAsia" w:ascii="华文细黑" w:hAnsi="华文细黑" w:eastAsia="华文细黑" w:cs="华文细黑"/>
          <w:color w:val="000000"/>
          <w:kern w:val="0"/>
          <w:sz w:val="24"/>
          <w:szCs w:val="24"/>
        </w:rPr>
        <w:t>%</w:t>
      </w:r>
      <w:r>
        <w:rPr>
          <w:rFonts w:hint="eastAsia" w:ascii="华文细黑" w:hAnsi="华文细黑" w:eastAsia="华文细黑" w:cs="华文细黑"/>
          <w:color w:val="000000"/>
          <w:kern w:val="0"/>
          <w:sz w:val="24"/>
          <w:szCs w:val="24"/>
          <w:lang w:eastAsia="zh-CN"/>
        </w:rPr>
        <w:t>，</w:t>
      </w:r>
      <w:r>
        <w:rPr>
          <w:rFonts w:hint="eastAsia" w:ascii="华文细黑" w:hAnsi="华文细黑" w:eastAsia="华文细黑" w:cs="华文细黑"/>
          <w:color w:val="000000"/>
          <w:kern w:val="0"/>
          <w:sz w:val="24"/>
          <w:szCs w:val="24"/>
        </w:rPr>
        <w:t>债券按每半年付息，最后一次利息随本金一起支付</w:t>
      </w:r>
      <w:r>
        <w:rPr>
          <w:rFonts w:hint="eastAsia" w:ascii="华文细黑" w:hAnsi="华文细黑" w:eastAsia="华文细黑" w:cs="华文细黑"/>
          <w:color w:val="000000"/>
          <w:kern w:val="0"/>
          <w:sz w:val="24"/>
          <w:szCs w:val="24"/>
          <w:lang w:eastAsia="zh-CN"/>
        </w:rPr>
        <w:t>，</w:t>
      </w:r>
      <w:r>
        <w:rPr>
          <w:rFonts w:hint="eastAsia" w:ascii="华文细黑" w:hAnsi="华文细黑" w:eastAsia="华文细黑" w:cs="华文细黑"/>
          <w:color w:val="000000"/>
          <w:kern w:val="0"/>
          <w:sz w:val="24"/>
          <w:szCs w:val="24"/>
        </w:rPr>
        <w:t>发行后可按规定在全国银行间债券市场和证券交易所债券市场上市流通。</w:t>
      </w:r>
    </w:p>
    <w:p w14:paraId="2E92E956">
      <w:pPr>
        <w:pStyle w:val="2"/>
        <w:numPr>
          <w:ilvl w:val="0"/>
          <w:numId w:val="1"/>
        </w:numPr>
        <w:spacing w:before="468" w:beforeLines="150" w:after="0" w:line="360" w:lineRule="auto"/>
        <w:ind w:firstLine="480"/>
        <w:rPr>
          <w:rFonts w:hint="eastAsia" w:ascii="华文细黑" w:hAnsi="华文细黑" w:eastAsia="华文细黑" w:cs="华文细黑"/>
          <w:color w:val="000000"/>
          <w:kern w:val="0"/>
          <w:sz w:val="24"/>
          <w:szCs w:val="24"/>
        </w:rPr>
      </w:pPr>
      <w:bookmarkStart w:id="5" w:name="_bookmark1"/>
      <w:bookmarkEnd w:id="5"/>
      <w:bookmarkStart w:id="6" w:name="_Toc30902"/>
      <w:r>
        <w:rPr>
          <w:rFonts w:hint="eastAsia" w:ascii="华文细黑" w:hAnsi="华文细黑" w:eastAsia="华文细黑" w:cs="华文细黑"/>
          <w:color w:val="000000"/>
          <w:kern w:val="0"/>
          <w:sz w:val="24"/>
          <w:szCs w:val="24"/>
        </w:rPr>
        <w:t>地区情况、经济概况</w:t>
      </w:r>
      <w:bookmarkEnd w:id="6"/>
    </w:p>
    <w:p w14:paraId="53737642">
      <w:pPr>
        <w:spacing w:before="360" w:after="0" w:line="360" w:lineRule="auto"/>
        <w:ind w:firstLine="510"/>
        <w:outlineLvl w:val="1"/>
        <w:rPr>
          <w:rFonts w:hint="eastAsia" w:ascii="华文细黑" w:hAnsi="华文细黑" w:eastAsia="华文细黑" w:cs="华文细黑"/>
          <w:b/>
          <w:bCs/>
          <w:color w:val="000000"/>
          <w:sz w:val="24"/>
          <w:szCs w:val="24"/>
        </w:rPr>
      </w:pPr>
      <w:bookmarkStart w:id="7" w:name="_Toc19716"/>
      <w:bookmarkStart w:id="8" w:name="_Toc22871"/>
      <w:r>
        <w:rPr>
          <w:rFonts w:hint="eastAsia" w:ascii="华文细黑" w:hAnsi="华文细黑" w:eastAsia="华文细黑" w:cs="华文细黑"/>
          <w:b/>
          <w:bCs/>
          <w:color w:val="000000"/>
          <w:sz w:val="24"/>
          <w:szCs w:val="24"/>
        </w:rPr>
        <w:t>（一）项目区位情况</w:t>
      </w:r>
      <w:bookmarkEnd w:id="7"/>
    </w:p>
    <w:p w14:paraId="62B6E982">
      <w:pPr>
        <w:pStyle w:val="21"/>
        <w:keepNext w:val="0"/>
        <w:keepLines w:val="0"/>
        <w:pageBreakBefore w:val="0"/>
        <w:widowControl w:val="0"/>
        <w:kinsoku/>
        <w:wordWrap/>
        <w:overflowPunct/>
        <w:topLinePunct w:val="0"/>
        <w:autoSpaceDE/>
        <w:autoSpaceDN/>
        <w:bidi w:val="0"/>
        <w:adjustRightInd/>
        <w:snapToGrid/>
        <w:spacing w:line="520" w:lineRule="exact"/>
        <w:ind w:firstLine="482"/>
        <w:textAlignment w:val="auto"/>
        <w:rPr>
          <w:rFonts w:hint="eastAsia"/>
        </w:rPr>
      </w:pPr>
      <w:bookmarkStart w:id="9" w:name="_Toc4763009"/>
      <w:bookmarkStart w:id="10" w:name="_Toc4762883"/>
      <w:bookmarkStart w:id="11" w:name="_Toc10565"/>
      <w:r>
        <w:rPr>
          <w:rFonts w:hint="eastAsia" w:ascii="华文细黑" w:hAnsi="华文细黑" w:eastAsia="华文细黑" w:cs="华文细黑"/>
          <w:color w:val="000000"/>
          <w:sz w:val="24"/>
          <w:szCs w:val="24"/>
          <w:lang w:eastAsia="zh-CN"/>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国家历史文化名城”、“全国文明城市”、“全国双拥模范城市”等荣誉称号，荣获由住建部颁发的年度“中国人居环境奖”，2018年被联合国国际湿地公约组织评定为全球首批“国际湿地城市”。</w:t>
      </w:r>
    </w:p>
    <w:p w14:paraId="657BB093">
      <w:pPr>
        <w:spacing w:before="360" w:after="0" w:line="360" w:lineRule="auto"/>
        <w:ind w:firstLine="510"/>
        <w:outlineLvl w:val="1"/>
        <w:rPr>
          <w:rFonts w:hint="eastAsia" w:ascii="华文细黑" w:hAnsi="华文细黑" w:eastAsia="华文细黑" w:cs="华文细黑"/>
          <w:b/>
          <w:bCs/>
          <w:color w:val="000000"/>
          <w:sz w:val="24"/>
          <w:szCs w:val="24"/>
        </w:rPr>
      </w:pPr>
      <w:bookmarkStart w:id="12" w:name="_Toc8779"/>
      <w:r>
        <w:rPr>
          <w:rFonts w:hint="eastAsia" w:ascii="华文细黑" w:hAnsi="华文细黑" w:eastAsia="华文细黑" w:cs="华文细黑"/>
          <w:b/>
          <w:bCs/>
          <w:color w:val="000000"/>
          <w:sz w:val="24"/>
          <w:szCs w:val="24"/>
        </w:rPr>
        <w:t>（二）</w:t>
      </w:r>
      <w:bookmarkEnd w:id="9"/>
      <w:bookmarkEnd w:id="10"/>
      <w:bookmarkEnd w:id="11"/>
      <w:bookmarkEnd w:id="12"/>
      <w:r>
        <w:rPr>
          <w:rFonts w:hint="eastAsia" w:ascii="华文细黑" w:hAnsi="华文细黑" w:eastAsia="华文细黑" w:cs="华文细黑"/>
          <w:b/>
          <w:bCs/>
          <w:color w:val="000000"/>
          <w:sz w:val="24"/>
          <w:szCs w:val="24"/>
          <w:lang w:val="en-US" w:eastAsia="zh-CN"/>
        </w:rPr>
        <w:t>2022年-2024年海口市经济基本情况</w:t>
      </w:r>
    </w:p>
    <w:p w14:paraId="071938DD">
      <w:pPr>
        <w:pStyle w:val="14"/>
        <w:jc w:val="right"/>
        <w:rPr>
          <w:rFonts w:hint="eastAsia" w:ascii="华文细黑" w:hAnsi="华文细黑" w:eastAsia="华文细黑" w:cs="华文细黑"/>
          <w:color w:val="000000"/>
          <w:kern w:val="2"/>
          <w:sz w:val="21"/>
          <w:szCs w:val="21"/>
          <w:lang w:val="en-US" w:eastAsia="zh-CN" w:bidi="ar-SA"/>
        </w:rPr>
      </w:pPr>
      <w:r>
        <w:rPr>
          <w:rFonts w:hint="eastAsia" w:ascii="华文细黑" w:hAnsi="华文细黑" w:eastAsia="华文细黑" w:cs="华文细黑"/>
          <w:color w:val="000000"/>
          <w:kern w:val="2"/>
          <w:sz w:val="21"/>
          <w:szCs w:val="21"/>
          <w:lang w:val="en-US" w:eastAsia="zh-CN" w:bidi="ar-SA"/>
        </w:rPr>
        <w:t>单位：亿元</w:t>
      </w:r>
    </w:p>
    <w:tbl>
      <w:tblPr>
        <w:tblStyle w:val="15"/>
        <w:tblW w:w="5176" w:type="pct"/>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3990"/>
        <w:gridCol w:w="1636"/>
        <w:gridCol w:w="1604"/>
        <w:gridCol w:w="1592"/>
      </w:tblGrid>
      <w:tr w14:paraId="083F12A1">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12" w:hRule="atLeast"/>
          <w:jc w:val="center"/>
        </w:trPr>
        <w:tc>
          <w:tcPr>
            <w:tcW w:w="2261" w:type="pct"/>
            <w:tcBorders>
              <w:top w:val="single" w:color="auto" w:sz="12" w:space="0"/>
              <w:bottom w:val="single" w:color="auto" w:sz="4" w:space="0"/>
            </w:tcBorders>
            <w:vAlign w:val="center"/>
          </w:tcPr>
          <w:p w14:paraId="75648988">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项目</w:t>
            </w:r>
          </w:p>
        </w:tc>
        <w:tc>
          <w:tcPr>
            <w:tcW w:w="927" w:type="pct"/>
            <w:tcBorders>
              <w:top w:val="single" w:color="auto" w:sz="12" w:space="0"/>
              <w:bottom w:val="single" w:color="auto" w:sz="4" w:space="0"/>
            </w:tcBorders>
            <w:vAlign w:val="center"/>
          </w:tcPr>
          <w:p w14:paraId="3F51C9F4">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2022年</w:t>
            </w:r>
          </w:p>
        </w:tc>
        <w:tc>
          <w:tcPr>
            <w:tcW w:w="909" w:type="pct"/>
            <w:tcBorders>
              <w:top w:val="single" w:color="auto" w:sz="12" w:space="0"/>
              <w:bottom w:val="single" w:color="auto" w:sz="4" w:space="0"/>
            </w:tcBorders>
            <w:vAlign w:val="center"/>
          </w:tcPr>
          <w:p w14:paraId="50AB979B">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2023年</w:t>
            </w:r>
          </w:p>
        </w:tc>
        <w:tc>
          <w:tcPr>
            <w:tcW w:w="902" w:type="pct"/>
            <w:tcBorders>
              <w:top w:val="single" w:color="auto" w:sz="12" w:space="0"/>
              <w:bottom w:val="single" w:color="auto" w:sz="4" w:space="0"/>
            </w:tcBorders>
            <w:shd w:val="clear" w:color="auto" w:fill="auto"/>
            <w:vAlign w:val="center"/>
          </w:tcPr>
          <w:p w14:paraId="41FCED01">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2024年</w:t>
            </w:r>
          </w:p>
        </w:tc>
      </w:tr>
      <w:tr w14:paraId="6414EF49">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tcBorders>
              <w:top w:val="single" w:color="auto" w:sz="4" w:space="0"/>
            </w:tcBorders>
            <w:vAlign w:val="center"/>
          </w:tcPr>
          <w:p w14:paraId="66D73379">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地区生产总值</w:t>
            </w:r>
          </w:p>
        </w:tc>
        <w:tc>
          <w:tcPr>
            <w:tcW w:w="927" w:type="pct"/>
            <w:tcBorders>
              <w:top w:val="single" w:color="auto" w:sz="4" w:space="0"/>
            </w:tcBorders>
            <w:vAlign w:val="center"/>
          </w:tcPr>
          <w:p w14:paraId="5ADFA108">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2,134.80</w:t>
            </w:r>
          </w:p>
        </w:tc>
        <w:tc>
          <w:tcPr>
            <w:tcW w:w="909" w:type="pct"/>
            <w:tcBorders>
              <w:top w:val="single" w:color="auto" w:sz="4" w:space="0"/>
            </w:tcBorders>
            <w:vAlign w:val="center"/>
          </w:tcPr>
          <w:p w14:paraId="334B0AE2">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2,358.44</w:t>
            </w:r>
          </w:p>
        </w:tc>
        <w:tc>
          <w:tcPr>
            <w:tcW w:w="902" w:type="pct"/>
            <w:tcBorders>
              <w:top w:val="single" w:color="auto" w:sz="4" w:space="0"/>
            </w:tcBorders>
            <w:shd w:val="clear" w:color="auto" w:fill="auto"/>
            <w:vAlign w:val="center"/>
          </w:tcPr>
          <w:p w14:paraId="441A7A4A">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2470.63</w:t>
            </w:r>
          </w:p>
        </w:tc>
      </w:tr>
      <w:tr w14:paraId="74FFF5C6">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05D7F458">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一般预算收入(一般公共预算收入)</w:t>
            </w:r>
          </w:p>
        </w:tc>
        <w:tc>
          <w:tcPr>
            <w:tcW w:w="927" w:type="pct"/>
            <w:vAlign w:val="center"/>
          </w:tcPr>
          <w:p w14:paraId="21408473">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204.82</w:t>
            </w:r>
          </w:p>
        </w:tc>
        <w:tc>
          <w:tcPr>
            <w:tcW w:w="909" w:type="pct"/>
            <w:vAlign w:val="center"/>
          </w:tcPr>
          <w:p w14:paraId="79E08B84">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266.87</w:t>
            </w:r>
          </w:p>
        </w:tc>
        <w:tc>
          <w:tcPr>
            <w:tcW w:w="902" w:type="pct"/>
            <w:shd w:val="clear" w:color="auto" w:fill="auto"/>
            <w:vAlign w:val="center"/>
          </w:tcPr>
          <w:p w14:paraId="7AE37CB1">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258.26</w:t>
            </w:r>
          </w:p>
        </w:tc>
      </w:tr>
      <w:tr w14:paraId="342FC691">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43EB1136">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一般预算收入(一般公共预算总收入)</w:t>
            </w:r>
          </w:p>
        </w:tc>
        <w:tc>
          <w:tcPr>
            <w:tcW w:w="927" w:type="pct"/>
            <w:vAlign w:val="center"/>
          </w:tcPr>
          <w:p w14:paraId="23B2C28C">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518.12</w:t>
            </w:r>
          </w:p>
        </w:tc>
        <w:tc>
          <w:tcPr>
            <w:tcW w:w="909" w:type="pct"/>
            <w:vAlign w:val="center"/>
          </w:tcPr>
          <w:p w14:paraId="0B8A304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578.08</w:t>
            </w:r>
          </w:p>
        </w:tc>
        <w:tc>
          <w:tcPr>
            <w:tcW w:w="902" w:type="pct"/>
            <w:shd w:val="clear" w:color="auto" w:fill="auto"/>
            <w:vAlign w:val="center"/>
          </w:tcPr>
          <w:p w14:paraId="77CEBDC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597.76</w:t>
            </w:r>
          </w:p>
        </w:tc>
      </w:tr>
      <w:tr w14:paraId="47D7FE4A">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79AF3E53">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政府性基金收入</w:t>
            </w:r>
          </w:p>
        </w:tc>
        <w:tc>
          <w:tcPr>
            <w:tcW w:w="927" w:type="pct"/>
            <w:vAlign w:val="center"/>
          </w:tcPr>
          <w:p w14:paraId="5D92EA4C">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192.34</w:t>
            </w:r>
          </w:p>
        </w:tc>
        <w:tc>
          <w:tcPr>
            <w:tcW w:w="909" w:type="pct"/>
            <w:vAlign w:val="center"/>
          </w:tcPr>
          <w:p w14:paraId="413CD9C9">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140.39</w:t>
            </w:r>
          </w:p>
        </w:tc>
        <w:tc>
          <w:tcPr>
            <w:tcW w:w="902" w:type="pct"/>
            <w:shd w:val="clear" w:color="auto" w:fill="auto"/>
            <w:vAlign w:val="center"/>
          </w:tcPr>
          <w:p w14:paraId="75DA1E3C">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120.43</w:t>
            </w:r>
          </w:p>
        </w:tc>
      </w:tr>
      <w:tr w14:paraId="2C447D04">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065EC38B">
            <w:pPr>
              <w:spacing w:before="120" w:after="120" w:line="360" w:lineRule="auto"/>
              <w:ind w:firstLine="420" w:firstLineChars="200"/>
              <w:jc w:val="both"/>
              <w:rPr>
                <w:rFonts w:hint="eastAsia" w:ascii="华文细黑" w:hAnsi="华文细黑" w:eastAsia="华文细黑" w:cs="华文细黑"/>
                <w:color w:val="000000"/>
                <w:sz w:val="21"/>
                <w:szCs w:val="21"/>
                <w:lang w:val="en-GB" w:eastAsia="zh-CN"/>
              </w:rPr>
            </w:pPr>
            <w:r>
              <w:rPr>
                <w:rFonts w:hint="eastAsia" w:ascii="华文细黑" w:hAnsi="华文细黑" w:eastAsia="华文细黑" w:cs="华文细黑"/>
                <w:color w:val="000000"/>
                <w:sz w:val="21"/>
                <w:szCs w:val="21"/>
                <w:lang w:val="en-GB"/>
              </w:rPr>
              <w:t>其中：国有</w:t>
            </w:r>
            <w:r>
              <w:rPr>
                <w:rFonts w:hint="eastAsia" w:ascii="华文细黑" w:hAnsi="华文细黑" w:eastAsia="华文细黑" w:cs="华文细黑"/>
                <w:color w:val="000000"/>
                <w:sz w:val="21"/>
                <w:szCs w:val="21"/>
                <w:lang w:val="en-GB" w:eastAsia="zh-CN"/>
              </w:rPr>
              <w:t>污水处理费收入</w:t>
            </w:r>
          </w:p>
        </w:tc>
        <w:tc>
          <w:tcPr>
            <w:tcW w:w="927" w:type="pct"/>
            <w:vAlign w:val="center"/>
          </w:tcPr>
          <w:p w14:paraId="5522DDD9">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176.60</w:t>
            </w:r>
          </w:p>
        </w:tc>
        <w:tc>
          <w:tcPr>
            <w:tcW w:w="909" w:type="pct"/>
            <w:vAlign w:val="center"/>
          </w:tcPr>
          <w:p w14:paraId="68948D49">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124.67</w:t>
            </w:r>
          </w:p>
        </w:tc>
        <w:tc>
          <w:tcPr>
            <w:tcW w:w="902" w:type="pct"/>
            <w:shd w:val="clear" w:color="auto" w:fill="auto"/>
            <w:vAlign w:val="center"/>
          </w:tcPr>
          <w:p w14:paraId="0107591E">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108.59</w:t>
            </w:r>
          </w:p>
        </w:tc>
      </w:tr>
      <w:tr w14:paraId="66EB8263">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421F9E26">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政府性基金支出</w:t>
            </w:r>
          </w:p>
        </w:tc>
        <w:tc>
          <w:tcPr>
            <w:tcW w:w="927" w:type="pct"/>
            <w:vAlign w:val="center"/>
          </w:tcPr>
          <w:p w14:paraId="56F3E9D3">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310.21</w:t>
            </w:r>
          </w:p>
        </w:tc>
        <w:tc>
          <w:tcPr>
            <w:tcW w:w="909" w:type="pct"/>
            <w:vAlign w:val="center"/>
          </w:tcPr>
          <w:p w14:paraId="5438E37B">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264.76</w:t>
            </w:r>
          </w:p>
        </w:tc>
        <w:tc>
          <w:tcPr>
            <w:tcW w:w="902" w:type="pct"/>
            <w:shd w:val="clear" w:color="auto" w:fill="auto"/>
            <w:vAlign w:val="center"/>
          </w:tcPr>
          <w:p w14:paraId="11E1D7B4">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294.07</w:t>
            </w:r>
          </w:p>
        </w:tc>
      </w:tr>
      <w:tr w14:paraId="265F08D4">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1363AB63">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其中：国有土地出让支出</w:t>
            </w:r>
          </w:p>
        </w:tc>
        <w:tc>
          <w:tcPr>
            <w:tcW w:w="927" w:type="pct"/>
            <w:vAlign w:val="center"/>
          </w:tcPr>
          <w:p w14:paraId="626E5AC0">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147.61</w:t>
            </w:r>
          </w:p>
        </w:tc>
        <w:tc>
          <w:tcPr>
            <w:tcW w:w="909" w:type="pct"/>
            <w:vAlign w:val="center"/>
          </w:tcPr>
          <w:p w14:paraId="1949266E">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109.46</w:t>
            </w:r>
          </w:p>
        </w:tc>
        <w:tc>
          <w:tcPr>
            <w:tcW w:w="902" w:type="pct"/>
            <w:shd w:val="clear" w:color="auto" w:fill="auto"/>
            <w:vAlign w:val="center"/>
          </w:tcPr>
          <w:p w14:paraId="2E7A7AB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72.02</w:t>
            </w:r>
          </w:p>
        </w:tc>
      </w:tr>
      <w:tr w14:paraId="7FDDF5DD">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1AE6F9C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地方债务限额</w:t>
            </w:r>
          </w:p>
        </w:tc>
        <w:tc>
          <w:tcPr>
            <w:tcW w:w="927" w:type="pct"/>
            <w:vAlign w:val="center"/>
          </w:tcPr>
          <w:p w14:paraId="7FED9D96">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752.70</w:t>
            </w:r>
          </w:p>
        </w:tc>
        <w:tc>
          <w:tcPr>
            <w:tcW w:w="909" w:type="pct"/>
            <w:vAlign w:val="center"/>
          </w:tcPr>
          <w:p w14:paraId="6A83E224">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892.40</w:t>
            </w:r>
          </w:p>
        </w:tc>
        <w:tc>
          <w:tcPr>
            <w:tcW w:w="902" w:type="pct"/>
            <w:shd w:val="clear" w:color="auto" w:fill="auto"/>
            <w:vAlign w:val="center"/>
          </w:tcPr>
          <w:p w14:paraId="35B94EA6">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1161.30</w:t>
            </w:r>
          </w:p>
        </w:tc>
      </w:tr>
      <w:tr w14:paraId="1DD4E713">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665427F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其中：一般债务限额</w:t>
            </w:r>
          </w:p>
        </w:tc>
        <w:tc>
          <w:tcPr>
            <w:tcW w:w="927" w:type="pct"/>
            <w:vAlign w:val="center"/>
          </w:tcPr>
          <w:p w14:paraId="1457AC73">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219.77</w:t>
            </w:r>
          </w:p>
        </w:tc>
        <w:tc>
          <w:tcPr>
            <w:tcW w:w="909" w:type="pct"/>
            <w:vAlign w:val="center"/>
          </w:tcPr>
          <w:p w14:paraId="6D288C6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230.47</w:t>
            </w:r>
          </w:p>
        </w:tc>
        <w:tc>
          <w:tcPr>
            <w:tcW w:w="902" w:type="pct"/>
            <w:shd w:val="clear" w:color="auto" w:fill="auto"/>
            <w:vAlign w:val="center"/>
          </w:tcPr>
          <w:p w14:paraId="1DFBB4C0">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235.24</w:t>
            </w:r>
          </w:p>
        </w:tc>
      </w:tr>
      <w:tr w14:paraId="25D7B2AB">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488037C6">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专项债务限额</w:t>
            </w:r>
          </w:p>
        </w:tc>
        <w:tc>
          <w:tcPr>
            <w:tcW w:w="927" w:type="pct"/>
            <w:vAlign w:val="center"/>
          </w:tcPr>
          <w:p w14:paraId="3D2F272D">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532.93</w:t>
            </w:r>
          </w:p>
        </w:tc>
        <w:tc>
          <w:tcPr>
            <w:tcW w:w="909" w:type="pct"/>
            <w:vAlign w:val="center"/>
          </w:tcPr>
          <w:p w14:paraId="3DD5DF9D">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661.93</w:t>
            </w:r>
          </w:p>
        </w:tc>
        <w:tc>
          <w:tcPr>
            <w:tcW w:w="902" w:type="pct"/>
            <w:shd w:val="clear" w:color="auto" w:fill="auto"/>
            <w:vAlign w:val="center"/>
          </w:tcPr>
          <w:p w14:paraId="399F620E">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926.07</w:t>
            </w:r>
          </w:p>
        </w:tc>
      </w:tr>
      <w:tr w14:paraId="26C31AEC">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7DEFF9ED">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地方债务余额</w:t>
            </w:r>
          </w:p>
        </w:tc>
        <w:tc>
          <w:tcPr>
            <w:tcW w:w="927" w:type="pct"/>
            <w:vAlign w:val="center"/>
          </w:tcPr>
          <w:p w14:paraId="424F054D">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752.70</w:t>
            </w:r>
          </w:p>
        </w:tc>
        <w:tc>
          <w:tcPr>
            <w:tcW w:w="909" w:type="pct"/>
            <w:vAlign w:val="center"/>
          </w:tcPr>
          <w:p w14:paraId="1AE14AF0">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889.45</w:t>
            </w:r>
          </w:p>
        </w:tc>
        <w:tc>
          <w:tcPr>
            <w:tcW w:w="902" w:type="pct"/>
            <w:shd w:val="clear" w:color="auto" w:fill="auto"/>
            <w:vAlign w:val="center"/>
          </w:tcPr>
          <w:p w14:paraId="528FCE6E">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1141.70</w:t>
            </w:r>
          </w:p>
        </w:tc>
      </w:tr>
      <w:tr w14:paraId="11028285">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008FF4AA">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其中：一般债务余额</w:t>
            </w:r>
          </w:p>
        </w:tc>
        <w:tc>
          <w:tcPr>
            <w:tcW w:w="927" w:type="pct"/>
            <w:vAlign w:val="center"/>
          </w:tcPr>
          <w:p w14:paraId="5C749B42">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219.77</w:t>
            </w:r>
          </w:p>
        </w:tc>
        <w:tc>
          <w:tcPr>
            <w:tcW w:w="909" w:type="pct"/>
            <w:vAlign w:val="center"/>
          </w:tcPr>
          <w:p w14:paraId="11B1CCC0">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228.11</w:t>
            </w:r>
          </w:p>
        </w:tc>
        <w:tc>
          <w:tcPr>
            <w:tcW w:w="902" w:type="pct"/>
            <w:shd w:val="clear" w:color="auto" w:fill="auto"/>
            <w:vAlign w:val="center"/>
          </w:tcPr>
          <w:p w14:paraId="1E8F14B8">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227.33</w:t>
            </w:r>
          </w:p>
        </w:tc>
      </w:tr>
      <w:tr w14:paraId="47AACA7A">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83" w:hRule="atLeast"/>
          <w:jc w:val="center"/>
        </w:trPr>
        <w:tc>
          <w:tcPr>
            <w:tcW w:w="2261" w:type="pct"/>
            <w:vAlign w:val="center"/>
          </w:tcPr>
          <w:p w14:paraId="60EE815B">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专项债务余额</w:t>
            </w:r>
          </w:p>
        </w:tc>
        <w:tc>
          <w:tcPr>
            <w:tcW w:w="927" w:type="pct"/>
            <w:vAlign w:val="center"/>
          </w:tcPr>
          <w:p w14:paraId="3DEA861A">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532.93</w:t>
            </w:r>
          </w:p>
        </w:tc>
        <w:tc>
          <w:tcPr>
            <w:tcW w:w="909" w:type="pct"/>
            <w:vAlign w:val="center"/>
          </w:tcPr>
          <w:p w14:paraId="485F3AE0">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661.34</w:t>
            </w:r>
          </w:p>
        </w:tc>
        <w:tc>
          <w:tcPr>
            <w:tcW w:w="902" w:type="pct"/>
            <w:shd w:val="clear" w:color="auto" w:fill="auto"/>
            <w:vAlign w:val="center"/>
          </w:tcPr>
          <w:p w14:paraId="1BB167C5">
            <w:pPr>
              <w:spacing w:before="120" w:after="120" w:line="360" w:lineRule="auto"/>
              <w:ind w:firstLine="420" w:firstLineChars="200"/>
              <w:jc w:val="both"/>
              <w:rPr>
                <w:rFonts w:hint="eastAsia" w:ascii="华文细黑" w:hAnsi="华文细黑" w:eastAsia="华文细黑" w:cs="华文细黑"/>
                <w:color w:val="000000"/>
                <w:sz w:val="21"/>
                <w:szCs w:val="21"/>
                <w:lang w:val="en-GB"/>
              </w:rPr>
            </w:pPr>
            <w:r>
              <w:rPr>
                <w:rFonts w:hint="eastAsia" w:ascii="华文细黑" w:hAnsi="华文细黑" w:eastAsia="华文细黑" w:cs="华文细黑"/>
                <w:color w:val="000000"/>
                <w:sz w:val="21"/>
                <w:szCs w:val="21"/>
                <w:lang w:val="en-GB"/>
              </w:rPr>
              <w:t>914.37</w:t>
            </w:r>
          </w:p>
        </w:tc>
      </w:tr>
    </w:tbl>
    <w:p w14:paraId="4646EEF7">
      <w:pPr>
        <w:spacing w:after="0" w:line="240" w:lineRule="auto"/>
        <w:rPr>
          <w:rFonts w:ascii="仿宋" w:hAnsi="仿宋" w:eastAsia="仿宋"/>
          <w:color w:val="000000"/>
          <w:sz w:val="20"/>
          <w:szCs w:val="20"/>
          <w:shd w:val="clear" w:color="auto" w:fill="FFFFFF"/>
        </w:rPr>
      </w:pPr>
      <w:r>
        <w:rPr>
          <w:rFonts w:hint="eastAsia" w:ascii="仿宋" w:hAnsi="仿宋" w:eastAsia="仿宋"/>
          <w:color w:val="000000"/>
          <w:sz w:val="20"/>
          <w:szCs w:val="20"/>
          <w:shd w:val="clear" w:color="auto" w:fill="FFFFFF"/>
        </w:rPr>
        <w:t>注：以上数据来源于海口市财政局。</w:t>
      </w:r>
    </w:p>
    <w:p w14:paraId="4756074C">
      <w:pPr>
        <w:pStyle w:val="29"/>
        <w:numPr>
          <w:ilvl w:val="0"/>
          <w:numId w:val="2"/>
        </w:numPr>
        <w:spacing w:before="468" w:beforeLines="150" w:after="0" w:line="520" w:lineRule="exact"/>
        <w:ind w:firstLineChars="0"/>
        <w:jc w:val="left"/>
        <w:outlineLvl w:val="0"/>
        <w:rPr>
          <w:rFonts w:hint="eastAsia" w:ascii="华文细黑" w:hAnsi="华文细黑" w:eastAsia="华文细黑" w:cs="华文细黑"/>
          <w:b/>
          <w:bCs/>
          <w:color w:val="000000"/>
          <w:kern w:val="0"/>
          <w:sz w:val="24"/>
          <w:szCs w:val="24"/>
        </w:rPr>
      </w:pPr>
      <w:r>
        <w:rPr>
          <w:rFonts w:hint="eastAsia" w:ascii="华文细黑" w:hAnsi="华文细黑" w:eastAsia="华文细黑" w:cs="华文细黑"/>
          <w:b/>
          <w:bCs/>
          <w:color w:val="000000"/>
          <w:kern w:val="0"/>
          <w:sz w:val="24"/>
          <w:szCs w:val="24"/>
        </w:rPr>
        <w:t>项目概述</w:t>
      </w:r>
      <w:bookmarkEnd w:id="8"/>
    </w:p>
    <w:p w14:paraId="7A4551AC">
      <w:pPr>
        <w:pStyle w:val="2"/>
        <w:numPr>
          <w:ilvl w:val="0"/>
          <w:numId w:val="3"/>
        </w:numPr>
        <w:snapToGrid w:val="0"/>
        <w:spacing w:before="120" w:after="120" w:line="520" w:lineRule="exact"/>
        <w:ind w:firstLine="480"/>
        <w:rPr>
          <w:rFonts w:hint="eastAsia" w:ascii="华文细黑" w:hAnsi="华文细黑" w:eastAsia="华文细黑" w:cs="华文细黑"/>
          <w:sz w:val="24"/>
          <w:szCs w:val="24"/>
        </w:rPr>
      </w:pPr>
      <w:bookmarkStart w:id="13" w:name="_Toc30058"/>
      <w:r>
        <w:rPr>
          <w:rFonts w:hint="eastAsia" w:ascii="华文细黑" w:hAnsi="华文细黑" w:eastAsia="华文细黑" w:cs="华文细黑"/>
          <w:sz w:val="24"/>
          <w:szCs w:val="24"/>
        </w:rPr>
        <w:t>项目背景</w:t>
      </w:r>
      <w:bookmarkEnd w:id="13"/>
    </w:p>
    <w:p w14:paraId="12B8FB72">
      <w:pPr>
        <w:snapToGrid w:val="0"/>
        <w:spacing w:before="120" w:after="120" w:line="520" w:lineRule="exact"/>
        <w:ind w:firstLine="480" w:firstLineChars="200"/>
        <w:outlineLvl w:val="1"/>
        <w:rPr>
          <w:rFonts w:hint="eastAsia" w:ascii="华文细黑" w:hAnsi="华文细黑" w:eastAsia="华文细黑" w:cs="华文细黑"/>
          <w:sz w:val="24"/>
          <w:szCs w:val="24"/>
        </w:rPr>
      </w:pPr>
      <w:bookmarkStart w:id="14" w:name="_Toc27254"/>
      <w:r>
        <w:rPr>
          <w:rFonts w:hint="eastAsia" w:ascii="华文细黑" w:hAnsi="华文细黑" w:eastAsia="华文细黑" w:cs="华文细黑"/>
          <w:sz w:val="24"/>
          <w:szCs w:val="24"/>
        </w:rPr>
        <w:t>《海口市中小学校布局专项规划(2020-2035年)》提出，小学初中坚持优质发展，提高义务教育学校标准化建设水平，消除大班额、严控大校额。各市县按照科学统筹、先建后撤、稳步推进的原则，在城镇根据大班额分布和城区建设适度超前布局中小学校</w:t>
      </w:r>
      <w:r>
        <w:rPr>
          <w:rFonts w:hint="eastAsia" w:ascii="华文细黑" w:hAnsi="华文细黑" w:eastAsia="华文细黑" w:cs="华文细黑"/>
          <w:sz w:val="24"/>
          <w:szCs w:val="24"/>
          <w:lang w:eastAsia="zh-CN"/>
        </w:rPr>
        <w:t>：</w:t>
      </w:r>
      <w:r>
        <w:rPr>
          <w:rFonts w:hint="eastAsia" w:ascii="华文细黑" w:hAnsi="华文细黑" w:eastAsia="华文细黑" w:cs="华文细黑"/>
          <w:sz w:val="24"/>
          <w:szCs w:val="24"/>
        </w:rPr>
        <w:t>在交通相对便利、公共服务较成熟的乡镇新建、改扩建一批寄宿制中心小学和九年一贯制学校。</w:t>
      </w:r>
    </w:p>
    <w:p w14:paraId="4578D9E6">
      <w:pPr>
        <w:snapToGrid w:val="0"/>
        <w:spacing w:before="120" w:after="120" w:line="520" w:lineRule="exact"/>
        <w:ind w:firstLine="480" w:firstLineChars="200"/>
        <w:outlineLvl w:val="1"/>
        <w:rPr>
          <w:rFonts w:hint="eastAsia" w:ascii="华文细黑" w:hAnsi="华文细黑" w:eastAsia="华文细黑" w:cs="华文细黑"/>
          <w:sz w:val="24"/>
          <w:szCs w:val="24"/>
        </w:rPr>
      </w:pPr>
      <w:r>
        <w:rPr>
          <w:rFonts w:hint="eastAsia" w:ascii="华文细黑" w:hAnsi="华文细黑" w:eastAsia="华文细黑" w:cs="华文细黑"/>
          <w:sz w:val="24"/>
          <w:szCs w:val="24"/>
          <w:lang w:val="en-US" w:eastAsia="zh-CN"/>
        </w:rPr>
        <w:t>海口市</w:t>
      </w:r>
      <w:r>
        <w:rPr>
          <w:rFonts w:hint="eastAsia" w:ascii="华文细黑" w:hAnsi="华文细黑" w:eastAsia="华文细黑" w:cs="华文细黑"/>
          <w:sz w:val="24"/>
          <w:szCs w:val="24"/>
        </w:rPr>
        <w:t>近期通过利用国有储备地建设和对现状中小学学校改扩建等方式充分挖掘教育用地资源，不断增加主城区中小学教育学位供给</w:t>
      </w:r>
      <w:r>
        <w:rPr>
          <w:rFonts w:hint="eastAsia" w:ascii="华文细黑" w:hAnsi="华文细黑" w:eastAsia="华文细黑" w:cs="华文细黑"/>
          <w:sz w:val="24"/>
          <w:szCs w:val="24"/>
          <w:lang w:eastAsia="zh-CN"/>
        </w:rPr>
        <w:t>：</w:t>
      </w:r>
      <w:r>
        <w:rPr>
          <w:rFonts w:hint="eastAsia" w:ascii="华文细黑" w:hAnsi="华文细黑" w:eastAsia="华文细黑" w:cs="华文细黑"/>
          <w:sz w:val="24"/>
          <w:szCs w:val="24"/>
        </w:rPr>
        <w:t>近期新建及改造中小学80所，其中新建中小学学校66所、改扩建学校14 所。2024年海口市政府工作报告提出，接续实施扩大学位供给三年计划，新增中小学学位1万个。</w:t>
      </w:r>
    </w:p>
    <w:p w14:paraId="61A52E1A">
      <w:pPr>
        <w:snapToGrid w:val="0"/>
        <w:spacing w:before="120" w:after="120" w:line="520" w:lineRule="exact"/>
        <w:ind w:firstLine="480" w:firstLineChars="200"/>
        <w:outlineLvl w:val="1"/>
        <w:rPr>
          <w:rFonts w:hint="eastAsia" w:ascii="华文细黑" w:hAnsi="华文细黑" w:eastAsia="华文细黑" w:cs="华文细黑"/>
          <w:sz w:val="24"/>
          <w:szCs w:val="24"/>
        </w:rPr>
      </w:pPr>
      <w:r>
        <w:rPr>
          <w:rFonts w:hint="eastAsia" w:ascii="华文细黑" w:hAnsi="华文细黑" w:eastAsia="华文细黑" w:cs="华文细黑"/>
          <w:sz w:val="24"/>
          <w:szCs w:val="24"/>
        </w:rPr>
        <w:t>海口市江东新区CBD南片区中小学(海南中学江东校区)是一所九年一贯制公办学校，规划初中24班、小学36班，可容纳学生2820人。规划幼儿园15个班，可容纳450人。项目建成后，将填补江东大道周边区域公立教育资源的空缺，结束该区域公立幼儿园空白的局面，提升江东新区 CBD 南片区的义务及学前教育整体水平。</w:t>
      </w:r>
    </w:p>
    <w:p w14:paraId="345D06FA">
      <w:pPr>
        <w:snapToGrid w:val="0"/>
        <w:spacing w:before="120" w:after="120" w:line="520" w:lineRule="exact"/>
        <w:ind w:firstLine="480" w:firstLineChars="200"/>
        <w:outlineLvl w:val="1"/>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（二）债券资金调整原因</w:t>
      </w:r>
      <w:bookmarkEnd w:id="14"/>
    </w:p>
    <w:p w14:paraId="1DFC1CEE">
      <w:pPr>
        <w:spacing w:before="120" w:after="120" w:line="520" w:lineRule="exact"/>
        <w:ind w:firstLine="480" w:firstLineChars="200"/>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根据《关于印发</w:t>
      </w:r>
      <w:r>
        <w:rPr>
          <w:rFonts w:ascii="华文细黑" w:hAnsi="华文细黑" w:eastAsia="华文细黑" w:cs="华文细黑"/>
          <w:sz w:val="24"/>
          <w:szCs w:val="24"/>
          <w:lang w:val="en-GB"/>
        </w:rPr>
        <w:t>&lt;</w:t>
      </w:r>
      <w:r>
        <w:rPr>
          <w:rFonts w:hint="eastAsia" w:ascii="华文细黑" w:hAnsi="华文细黑" w:eastAsia="华文细黑" w:cs="华文细黑"/>
          <w:sz w:val="24"/>
          <w:szCs w:val="24"/>
          <w:lang w:val="en-GB"/>
        </w:rPr>
        <w:t>地方政府专项债券用途调整操作指引</w:t>
      </w:r>
      <w:r>
        <w:rPr>
          <w:rFonts w:ascii="华文细黑" w:hAnsi="华文细黑" w:eastAsia="华文细黑" w:cs="华文细黑"/>
          <w:sz w:val="24"/>
          <w:szCs w:val="24"/>
          <w:lang w:val="en-GB"/>
        </w:rPr>
        <w:t>&gt;</w:t>
      </w:r>
      <w:r>
        <w:rPr>
          <w:rFonts w:hint="eastAsia" w:ascii="华文细黑" w:hAnsi="华文细黑" w:eastAsia="华文细黑" w:cs="华文细黑"/>
          <w:sz w:val="24"/>
          <w:szCs w:val="24"/>
          <w:lang w:val="en-GB"/>
        </w:rPr>
        <w:t>的通知》（财预〔</w:t>
      </w:r>
      <w:r>
        <w:rPr>
          <w:rFonts w:ascii="华文细黑" w:hAnsi="华文细黑" w:eastAsia="华文细黑" w:cs="华文细黑"/>
          <w:sz w:val="24"/>
          <w:szCs w:val="24"/>
          <w:lang w:val="en-GB"/>
        </w:rPr>
        <w:t>2021</w:t>
      </w:r>
      <w:r>
        <w:rPr>
          <w:rFonts w:hint="eastAsia" w:ascii="华文细黑" w:hAnsi="华文细黑" w:eastAsia="华文细黑" w:cs="华文细黑"/>
          <w:sz w:val="24"/>
          <w:szCs w:val="24"/>
          <w:lang w:val="en-GB"/>
        </w:rPr>
        <w:t>〕</w:t>
      </w:r>
      <w:r>
        <w:rPr>
          <w:rFonts w:ascii="华文细黑" w:hAnsi="华文细黑" w:eastAsia="华文细黑" w:cs="华文细黑"/>
          <w:sz w:val="24"/>
          <w:szCs w:val="24"/>
          <w:lang w:val="en-GB"/>
        </w:rPr>
        <w:t>110</w:t>
      </w:r>
      <w:r>
        <w:rPr>
          <w:rFonts w:hint="eastAsia" w:ascii="华文细黑" w:hAnsi="华文细黑" w:eastAsia="华文细黑" w:cs="华文细黑"/>
          <w:sz w:val="24"/>
          <w:szCs w:val="24"/>
          <w:lang w:val="en-GB"/>
        </w:rPr>
        <w:t>号）、《地方政府专项债券用途调整操作指引》第五条“专项债券资金已安排的项目，可以申请调整的具体情形包括：（一）项目实施过程中发生重大变化，确无专项债券资金需求或需求少于预期的；（二）项目竣工后，专项债券资金发生结余的；（三）财政、审计等发现专项债券使用存在违规问题，按照监督检查意见或审计等意见确需调整的；（</w:t>
      </w:r>
      <w:r>
        <w:rPr>
          <w:rFonts w:hint="eastAsia" w:ascii="华文细黑" w:hAnsi="华文细黑" w:eastAsia="华文细黑" w:cs="华文细黑"/>
          <w:sz w:val="24"/>
          <w:szCs w:val="24"/>
        </w:rPr>
        <w:t>四）其他需要调整的</w:t>
      </w:r>
      <w:r>
        <w:rPr>
          <w:rFonts w:hint="eastAsia" w:ascii="华文细黑" w:hAnsi="华文细黑" w:eastAsia="华文细黑" w:cs="华文细黑"/>
          <w:sz w:val="24"/>
          <w:szCs w:val="24"/>
          <w:lang w:val="en-GB"/>
        </w:rPr>
        <w:t>”，为了提高债券资金使用效率，海南省政府批准同意将</w:t>
      </w:r>
      <w:r>
        <w:rPr>
          <w:rFonts w:hint="eastAsia" w:ascii="华文细黑" w:hAnsi="华文细黑" w:eastAsia="华文细黑" w:cs="华文细黑"/>
          <w:sz w:val="24"/>
          <w:szCs w:val="24"/>
          <w:lang w:val="en-GB" w:eastAsia="zh-CN"/>
        </w:rPr>
        <w:t>海口江东新区CBD南片区幼儿园及配套基础设施项目</w:t>
      </w:r>
      <w:r>
        <w:rPr>
          <w:rFonts w:hint="eastAsia" w:ascii="华文细黑" w:hAnsi="华文细黑" w:eastAsia="华文细黑" w:cs="华文细黑"/>
          <w:sz w:val="24"/>
          <w:szCs w:val="24"/>
          <w:lang w:val="en-GB"/>
        </w:rPr>
        <w:t>调增</w:t>
      </w:r>
      <w:r>
        <w:rPr>
          <w:rFonts w:hint="eastAsia" w:ascii="华文细黑" w:hAnsi="华文细黑" w:eastAsia="华文细黑" w:cs="华文细黑"/>
          <w:sz w:val="24"/>
          <w:szCs w:val="24"/>
          <w:lang w:val="en-US" w:eastAsia="zh-CN"/>
        </w:rPr>
        <w:t>500</w:t>
      </w:r>
      <w:r>
        <w:rPr>
          <w:rFonts w:hint="eastAsia" w:ascii="华文细黑" w:hAnsi="华文细黑" w:eastAsia="华文细黑" w:cs="华文细黑"/>
          <w:sz w:val="24"/>
          <w:szCs w:val="24"/>
          <w:lang w:val="en-GB"/>
        </w:rPr>
        <w:t>.00万元</w:t>
      </w:r>
      <w:r>
        <w:rPr>
          <w:rFonts w:ascii="华文细黑" w:hAnsi="华文细黑" w:eastAsia="华文细黑" w:cs="华文细黑"/>
          <w:sz w:val="24"/>
          <w:szCs w:val="24"/>
          <w:lang w:val="en-GB"/>
        </w:rPr>
        <w:t>。</w:t>
      </w:r>
    </w:p>
    <w:p w14:paraId="18C71689">
      <w:pPr>
        <w:spacing w:before="120" w:after="120" w:line="520" w:lineRule="exact"/>
        <w:ind w:firstLine="480" w:firstLineChars="200"/>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经批准，拟对本</w:t>
      </w:r>
      <w:r>
        <w:rPr>
          <w:rFonts w:hint="eastAsia" w:ascii="华文细黑" w:hAnsi="华文细黑" w:eastAsia="华文细黑" w:cs="华文细黑"/>
          <w:sz w:val="24"/>
          <w:szCs w:val="24"/>
        </w:rPr>
        <w:t>期</w:t>
      </w:r>
      <w:r>
        <w:rPr>
          <w:rFonts w:hint="eastAsia" w:ascii="华文细黑" w:hAnsi="华文细黑" w:eastAsia="华文细黑" w:cs="华文细黑"/>
          <w:sz w:val="24"/>
          <w:szCs w:val="24"/>
          <w:lang w:val="en-GB"/>
        </w:rPr>
        <w:t>项目资金额度分配进行调整。具体情况如下：</w:t>
      </w:r>
    </w:p>
    <w:p w14:paraId="17E795C7">
      <w:pPr>
        <w:spacing w:line="254" w:lineRule="auto"/>
        <w:jc w:val="center"/>
        <w:rPr>
          <w:rFonts w:ascii="Verdana" w:hAnsi="Verdana" w:eastAsia="华文细黑"/>
          <w:b/>
          <w:color w:val="000000"/>
          <w:sz w:val="24"/>
          <w:szCs w:val="24"/>
        </w:rPr>
      </w:pPr>
      <w:r>
        <w:rPr>
          <w:rFonts w:hint="eastAsia" w:ascii="Verdana" w:hAnsi="Verdana" w:eastAsia="华文细黑"/>
          <w:b/>
          <w:color w:val="000000"/>
          <w:sz w:val="24"/>
          <w:szCs w:val="24"/>
        </w:rPr>
        <w:t>表1-1调减项目情况汇总表</w:t>
      </w:r>
    </w:p>
    <w:p w14:paraId="60D65742">
      <w:pPr>
        <w:spacing w:line="254" w:lineRule="auto"/>
        <w:ind w:left="870" w:right="26"/>
        <w:jc w:val="right"/>
        <w:rPr>
          <w:rFonts w:hint="eastAsia" w:ascii="Verdana" w:hAnsi="Verdana" w:eastAsia="华文细黑" w:cs="Arial"/>
          <w:sz w:val="20"/>
        </w:rPr>
      </w:pPr>
      <w:r>
        <w:rPr>
          <w:rFonts w:hint="eastAsia" w:ascii="Verdana" w:hAnsi="Verdana" w:eastAsia="华文细黑" w:cs="Arial"/>
          <w:sz w:val="20"/>
        </w:rPr>
        <w:t>单位：人民币万元</w:t>
      </w:r>
    </w:p>
    <w:tbl>
      <w:tblPr>
        <w:tblStyle w:val="15"/>
        <w:tblW w:w="11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4053"/>
        <w:gridCol w:w="3327"/>
        <w:gridCol w:w="1067"/>
        <w:gridCol w:w="1068"/>
        <w:gridCol w:w="1088"/>
      </w:tblGrid>
      <w:tr w14:paraId="71E3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shd w:val="clear" w:color="000000" w:fill="0070C0"/>
            <w:vAlign w:val="center"/>
          </w:tcPr>
          <w:p w14:paraId="5DBCBF1F">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序号</w:t>
            </w:r>
          </w:p>
        </w:tc>
        <w:tc>
          <w:tcPr>
            <w:tcW w:w="4053" w:type="dxa"/>
            <w:shd w:val="clear" w:color="000000" w:fill="0070C0"/>
            <w:noWrap/>
            <w:vAlign w:val="center"/>
          </w:tcPr>
          <w:p w14:paraId="5CDE814D">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调减项目</w:t>
            </w:r>
          </w:p>
        </w:tc>
        <w:tc>
          <w:tcPr>
            <w:tcW w:w="3327" w:type="dxa"/>
            <w:shd w:val="clear" w:color="000000" w:fill="0070C0"/>
            <w:vAlign w:val="center"/>
          </w:tcPr>
          <w:p w14:paraId="5ACBA345">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债券名称</w:t>
            </w:r>
          </w:p>
        </w:tc>
        <w:tc>
          <w:tcPr>
            <w:tcW w:w="1067" w:type="dxa"/>
            <w:shd w:val="clear" w:color="000000" w:fill="0070C0"/>
            <w:vAlign w:val="center"/>
          </w:tcPr>
          <w:p w14:paraId="7EED5705">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债券期限</w:t>
            </w:r>
          </w:p>
        </w:tc>
        <w:tc>
          <w:tcPr>
            <w:tcW w:w="1068" w:type="dxa"/>
            <w:shd w:val="clear" w:color="000000" w:fill="0070C0"/>
            <w:vAlign w:val="center"/>
          </w:tcPr>
          <w:p w14:paraId="251DE455">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债券利率</w:t>
            </w:r>
          </w:p>
        </w:tc>
        <w:tc>
          <w:tcPr>
            <w:tcW w:w="1088" w:type="dxa"/>
            <w:shd w:val="clear" w:color="000000" w:fill="0070C0"/>
            <w:vAlign w:val="center"/>
          </w:tcPr>
          <w:p w14:paraId="123F8534">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调减金额</w:t>
            </w:r>
          </w:p>
        </w:tc>
      </w:tr>
      <w:tr w14:paraId="297A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2" w:type="dxa"/>
            <w:shd w:val="clear" w:color="auto" w:fill="auto"/>
            <w:vAlign w:val="center"/>
          </w:tcPr>
          <w:p w14:paraId="5D8809B7">
            <w:pPr>
              <w:keepNext w:val="0"/>
              <w:keepLines w:val="0"/>
              <w:widowControl/>
              <w:suppressLineNumbers w:val="0"/>
              <w:jc w:val="both"/>
              <w:textAlignment w:val="center"/>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1</w:t>
            </w:r>
          </w:p>
        </w:tc>
        <w:tc>
          <w:tcPr>
            <w:tcW w:w="4053" w:type="dxa"/>
            <w:shd w:val="clear" w:color="auto" w:fill="auto"/>
            <w:vAlign w:val="center"/>
          </w:tcPr>
          <w:p w14:paraId="72DAD307">
            <w:pPr>
              <w:keepNext w:val="0"/>
              <w:keepLines w:val="0"/>
              <w:widowControl/>
              <w:suppressLineNumbers w:val="0"/>
              <w:jc w:val="center"/>
              <w:textAlignment w:val="center"/>
              <w:rPr>
                <w:rFonts w:hint="eastAsia" w:ascii="华文细黑" w:hAnsi="华文细黑" w:eastAsia="华文细黑" w:cs="Arial"/>
                <w:kern w:val="0"/>
                <w:sz w:val="20"/>
                <w:szCs w:val="20"/>
              </w:rPr>
            </w:pPr>
            <w:r>
              <w:rPr>
                <w:rFonts w:hint="eastAsia" w:ascii="华文细黑" w:hAnsi="华文细黑" w:eastAsia="华文细黑" w:cs="华文细黑"/>
                <w:i w:val="0"/>
                <w:iCs w:val="0"/>
                <w:color w:val="000000"/>
                <w:kern w:val="0"/>
                <w:sz w:val="20"/>
                <w:szCs w:val="20"/>
                <w:u w:val="none"/>
                <w:lang w:val="en-US" w:eastAsia="zh-CN" w:bidi="ar"/>
              </w:rPr>
              <w:t>海口市智能网联汽车“车路云一体化”应用试点（一期）项目</w:t>
            </w:r>
          </w:p>
        </w:tc>
        <w:tc>
          <w:tcPr>
            <w:tcW w:w="3327" w:type="dxa"/>
            <w:shd w:val="clear" w:color="auto" w:fill="auto"/>
            <w:vAlign w:val="center"/>
          </w:tcPr>
          <w:p w14:paraId="0D51E981">
            <w:pPr>
              <w:keepNext w:val="0"/>
              <w:keepLines w:val="0"/>
              <w:widowControl/>
              <w:suppressLineNumbers w:val="0"/>
              <w:jc w:val="center"/>
              <w:textAlignment w:val="center"/>
              <w:rPr>
                <w:rFonts w:hint="eastAsia" w:ascii="华文细黑" w:hAnsi="华文细黑" w:eastAsia="华文细黑" w:cs="Arial"/>
                <w:kern w:val="0"/>
                <w:sz w:val="20"/>
                <w:szCs w:val="20"/>
                <w:lang w:val="en-US" w:eastAsia="zh-CN"/>
              </w:rPr>
            </w:pPr>
            <w:r>
              <w:rPr>
                <w:rFonts w:hint="eastAsia" w:ascii="华文细黑" w:hAnsi="华文细黑" w:eastAsia="华文细黑" w:cs="华文细黑"/>
                <w:i w:val="0"/>
                <w:iCs w:val="0"/>
                <w:color w:val="000000"/>
                <w:kern w:val="0"/>
                <w:sz w:val="20"/>
                <w:szCs w:val="20"/>
                <w:u w:val="none"/>
                <w:lang w:val="en-US" w:eastAsia="zh-CN" w:bidi="ar"/>
              </w:rPr>
              <w:t>2025年海南省政府专项债券（一期）</w:t>
            </w:r>
          </w:p>
        </w:tc>
        <w:tc>
          <w:tcPr>
            <w:tcW w:w="1067" w:type="dxa"/>
            <w:shd w:val="clear" w:color="auto" w:fill="auto"/>
            <w:vAlign w:val="center"/>
          </w:tcPr>
          <w:p w14:paraId="27C0D46B">
            <w:pPr>
              <w:keepNext w:val="0"/>
              <w:keepLines w:val="0"/>
              <w:widowControl/>
              <w:suppressLineNumbers w:val="0"/>
              <w:jc w:val="center"/>
              <w:textAlignment w:val="center"/>
              <w:rPr>
                <w:rFonts w:hint="eastAsia" w:ascii="华文细黑" w:hAnsi="华文细黑" w:eastAsia="华文细黑" w:cs="Arial"/>
                <w:color w:val="000000"/>
                <w:kern w:val="0"/>
                <w:sz w:val="20"/>
                <w:szCs w:val="20"/>
              </w:rPr>
            </w:pPr>
            <w:r>
              <w:rPr>
                <w:rFonts w:hint="eastAsia" w:ascii="华文细黑" w:hAnsi="华文细黑" w:eastAsia="华文细黑" w:cs="华文细黑"/>
                <w:i w:val="0"/>
                <w:iCs w:val="0"/>
                <w:color w:val="000000"/>
                <w:kern w:val="0"/>
                <w:sz w:val="20"/>
                <w:szCs w:val="20"/>
                <w:u w:val="none"/>
                <w:lang w:val="en-US" w:eastAsia="zh-CN" w:bidi="ar"/>
              </w:rPr>
              <w:t>10</w:t>
            </w:r>
          </w:p>
        </w:tc>
        <w:tc>
          <w:tcPr>
            <w:tcW w:w="1068" w:type="dxa"/>
            <w:shd w:val="clear" w:color="auto" w:fill="auto"/>
            <w:vAlign w:val="center"/>
          </w:tcPr>
          <w:p w14:paraId="5B3852A2">
            <w:pPr>
              <w:keepNext w:val="0"/>
              <w:keepLines w:val="0"/>
              <w:widowControl/>
              <w:suppressLineNumbers w:val="0"/>
              <w:jc w:val="center"/>
              <w:textAlignment w:val="center"/>
              <w:rPr>
                <w:rFonts w:hint="eastAsia" w:ascii="华文细黑" w:hAnsi="华文细黑" w:eastAsia="华文细黑" w:cs="Arial"/>
                <w:color w:val="000000"/>
                <w:kern w:val="0"/>
                <w:sz w:val="20"/>
                <w:szCs w:val="20"/>
                <w:lang w:val="en-US" w:eastAsia="zh-CN"/>
              </w:rPr>
            </w:pPr>
            <w:r>
              <w:rPr>
                <w:rFonts w:hint="eastAsia" w:ascii="华文细黑" w:hAnsi="华文细黑" w:eastAsia="华文细黑" w:cs="华文细黑"/>
                <w:i w:val="0"/>
                <w:iCs w:val="0"/>
                <w:color w:val="000000"/>
                <w:kern w:val="0"/>
                <w:sz w:val="20"/>
                <w:szCs w:val="20"/>
                <w:u w:val="none"/>
                <w:lang w:val="en-US" w:eastAsia="zh-CN" w:bidi="ar"/>
              </w:rPr>
              <w:t>1.76%</w:t>
            </w:r>
          </w:p>
        </w:tc>
        <w:tc>
          <w:tcPr>
            <w:tcW w:w="1088" w:type="dxa"/>
            <w:shd w:val="clear" w:color="auto" w:fill="auto"/>
            <w:vAlign w:val="center"/>
          </w:tcPr>
          <w:p w14:paraId="7D640DC1">
            <w:pPr>
              <w:keepNext w:val="0"/>
              <w:keepLines w:val="0"/>
              <w:widowControl/>
              <w:suppressLineNumbers w:val="0"/>
              <w:jc w:val="center"/>
              <w:textAlignment w:val="center"/>
              <w:rPr>
                <w:rFonts w:hint="default" w:ascii="华文细黑" w:hAnsi="华文细黑" w:eastAsia="华文细黑" w:cs="Arial"/>
                <w:color w:val="000000"/>
                <w:kern w:val="0"/>
                <w:sz w:val="20"/>
                <w:szCs w:val="20"/>
                <w:lang w:val="en-US"/>
              </w:rPr>
            </w:pPr>
            <w:r>
              <w:rPr>
                <w:rFonts w:hint="eastAsia" w:ascii="华文细黑" w:hAnsi="华文细黑" w:eastAsia="华文细黑" w:cs="华文细黑"/>
                <w:i w:val="0"/>
                <w:iCs w:val="0"/>
                <w:color w:val="000000"/>
                <w:kern w:val="0"/>
                <w:sz w:val="20"/>
                <w:szCs w:val="20"/>
                <w:u w:val="none"/>
                <w:lang w:val="en-US" w:eastAsia="zh-CN" w:bidi="ar"/>
              </w:rPr>
              <w:t>200.00</w:t>
            </w:r>
          </w:p>
        </w:tc>
      </w:tr>
      <w:tr w14:paraId="2205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2" w:type="dxa"/>
            <w:shd w:val="clear" w:color="auto" w:fill="auto"/>
            <w:vAlign w:val="center"/>
          </w:tcPr>
          <w:p w14:paraId="1703963D">
            <w:pPr>
              <w:keepNext w:val="0"/>
              <w:keepLines w:val="0"/>
              <w:widowControl/>
              <w:suppressLineNumbers w:val="0"/>
              <w:jc w:val="both"/>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2</w:t>
            </w:r>
          </w:p>
        </w:tc>
        <w:tc>
          <w:tcPr>
            <w:tcW w:w="4053" w:type="dxa"/>
            <w:shd w:val="clear" w:color="auto" w:fill="auto"/>
            <w:vAlign w:val="center"/>
          </w:tcPr>
          <w:p w14:paraId="385F4436">
            <w:pPr>
              <w:keepNext w:val="0"/>
              <w:keepLines w:val="0"/>
              <w:widowControl/>
              <w:suppressLineNumbers w:val="0"/>
              <w:jc w:val="center"/>
              <w:textAlignment w:val="center"/>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海口市龙华区金垦路周边片区排水管网维修及更新改造工程</w:t>
            </w:r>
          </w:p>
        </w:tc>
        <w:tc>
          <w:tcPr>
            <w:tcW w:w="3327" w:type="dxa"/>
            <w:shd w:val="clear" w:color="auto" w:fill="auto"/>
            <w:vAlign w:val="center"/>
          </w:tcPr>
          <w:p w14:paraId="4CBC6183">
            <w:pPr>
              <w:keepNext w:val="0"/>
              <w:keepLines w:val="0"/>
              <w:widowControl/>
              <w:suppressLineNumbers w:val="0"/>
              <w:jc w:val="center"/>
              <w:textAlignment w:val="center"/>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2025年海南省政府专项债券（三期）</w:t>
            </w:r>
          </w:p>
        </w:tc>
        <w:tc>
          <w:tcPr>
            <w:tcW w:w="1067" w:type="dxa"/>
            <w:shd w:val="clear" w:color="auto" w:fill="auto"/>
            <w:vAlign w:val="center"/>
          </w:tcPr>
          <w:p w14:paraId="73519BD2">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20</w:t>
            </w:r>
          </w:p>
        </w:tc>
        <w:tc>
          <w:tcPr>
            <w:tcW w:w="1068" w:type="dxa"/>
            <w:shd w:val="clear" w:color="auto" w:fill="auto"/>
            <w:vAlign w:val="center"/>
          </w:tcPr>
          <w:p w14:paraId="0D282B65">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2.19%</w:t>
            </w:r>
          </w:p>
        </w:tc>
        <w:tc>
          <w:tcPr>
            <w:tcW w:w="1088" w:type="dxa"/>
            <w:shd w:val="clear" w:color="auto" w:fill="auto"/>
            <w:vAlign w:val="center"/>
          </w:tcPr>
          <w:p w14:paraId="7609F64B">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300.00</w:t>
            </w:r>
          </w:p>
        </w:tc>
      </w:tr>
    </w:tbl>
    <w:p w14:paraId="774688DE">
      <w:pPr>
        <w:spacing w:line="254" w:lineRule="auto"/>
        <w:jc w:val="center"/>
        <w:rPr>
          <w:rFonts w:ascii="Verdana" w:hAnsi="Verdana" w:eastAsia="华文细黑"/>
          <w:b/>
          <w:color w:val="000000"/>
          <w:sz w:val="24"/>
          <w:szCs w:val="24"/>
        </w:rPr>
      </w:pPr>
      <w:r>
        <w:rPr>
          <w:rFonts w:hint="eastAsia" w:ascii="Verdana" w:hAnsi="Verdana" w:eastAsia="华文细黑"/>
          <w:b/>
          <w:color w:val="000000"/>
          <w:sz w:val="24"/>
          <w:szCs w:val="24"/>
        </w:rPr>
        <w:t>表1-2调增项目情况汇总表</w:t>
      </w:r>
    </w:p>
    <w:p w14:paraId="05A787A1">
      <w:pPr>
        <w:ind w:left="870" w:right="26"/>
        <w:jc w:val="right"/>
        <w:rPr>
          <w:rFonts w:ascii="Verdana" w:hAnsi="Verdana" w:eastAsia="华文细黑" w:cs="Arial"/>
          <w:sz w:val="20"/>
        </w:rPr>
      </w:pPr>
      <w:r>
        <w:rPr>
          <w:rFonts w:hint="eastAsia" w:ascii="Verdana" w:hAnsi="Verdana" w:eastAsia="华文细黑" w:cs="Arial"/>
          <w:sz w:val="20"/>
        </w:rPr>
        <w:t>单位：人民币万元</w:t>
      </w:r>
    </w:p>
    <w:tbl>
      <w:tblPr>
        <w:tblStyle w:val="15"/>
        <w:tblW w:w="8652" w:type="dxa"/>
        <w:jc w:val="center"/>
        <w:tblLayout w:type="autofit"/>
        <w:tblCellMar>
          <w:top w:w="0" w:type="dxa"/>
          <w:left w:w="108" w:type="dxa"/>
          <w:bottom w:w="0" w:type="dxa"/>
          <w:right w:w="108" w:type="dxa"/>
        </w:tblCellMar>
      </w:tblPr>
      <w:tblGrid>
        <w:gridCol w:w="992"/>
        <w:gridCol w:w="5642"/>
        <w:gridCol w:w="2018"/>
      </w:tblGrid>
      <w:tr w14:paraId="10561503">
        <w:tblPrEx>
          <w:tblCellMar>
            <w:top w:w="0" w:type="dxa"/>
            <w:left w:w="108" w:type="dxa"/>
            <w:bottom w:w="0" w:type="dxa"/>
            <w:right w:w="108" w:type="dxa"/>
          </w:tblCellMar>
        </w:tblPrEx>
        <w:trPr>
          <w:trHeight w:val="340" w:hRule="atLeast"/>
          <w:jc w:val="center"/>
        </w:trPr>
        <w:tc>
          <w:tcPr>
            <w:tcW w:w="992" w:type="dxa"/>
            <w:tcBorders>
              <w:top w:val="single" w:color="000000" w:sz="8" w:space="0"/>
              <w:left w:val="single" w:color="000000" w:sz="8" w:space="0"/>
              <w:bottom w:val="nil"/>
              <w:right w:val="single" w:color="000000" w:sz="8" w:space="0"/>
            </w:tcBorders>
            <w:shd w:val="clear" w:color="auto" w:fill="0070C0"/>
            <w:vAlign w:val="center"/>
          </w:tcPr>
          <w:p w14:paraId="37843485">
            <w:pPr>
              <w:jc w:val="center"/>
              <w:rPr>
                <w:rFonts w:ascii="Verdana" w:hAnsi="Verdana" w:eastAsia="华文细黑" w:cs="宋体"/>
                <w:b/>
                <w:bCs/>
                <w:color w:val="FFFFFF"/>
                <w:sz w:val="20"/>
                <w:szCs w:val="20"/>
              </w:rPr>
            </w:pPr>
            <w:r>
              <w:rPr>
                <w:rFonts w:hint="eastAsia" w:ascii="Verdana" w:hAnsi="Verdana" w:eastAsia="华文细黑" w:cs="宋体"/>
                <w:b/>
                <w:bCs/>
                <w:color w:val="FFFFFF"/>
                <w:sz w:val="20"/>
                <w:szCs w:val="20"/>
              </w:rPr>
              <w:t>序号</w:t>
            </w:r>
          </w:p>
        </w:tc>
        <w:tc>
          <w:tcPr>
            <w:tcW w:w="5642" w:type="dxa"/>
            <w:tcBorders>
              <w:top w:val="single" w:color="000000" w:sz="8" w:space="0"/>
              <w:left w:val="single" w:color="000000" w:sz="8" w:space="0"/>
              <w:bottom w:val="nil"/>
              <w:right w:val="single" w:color="000000" w:sz="8" w:space="0"/>
            </w:tcBorders>
            <w:shd w:val="clear" w:color="auto" w:fill="0070C0"/>
            <w:vAlign w:val="center"/>
          </w:tcPr>
          <w:p w14:paraId="4C8E9591">
            <w:pPr>
              <w:jc w:val="center"/>
              <w:rPr>
                <w:rFonts w:ascii="Verdana" w:hAnsi="Verdana" w:eastAsia="华文细黑" w:cs="宋体"/>
                <w:b/>
                <w:bCs/>
                <w:color w:val="FFFFFF"/>
                <w:sz w:val="20"/>
                <w:szCs w:val="20"/>
              </w:rPr>
            </w:pPr>
            <w:r>
              <w:rPr>
                <w:rFonts w:hint="eastAsia" w:ascii="Verdana" w:hAnsi="Verdana" w:eastAsia="华文细黑" w:cs="宋体"/>
                <w:b/>
                <w:bCs/>
                <w:color w:val="FFFFFF"/>
                <w:sz w:val="20"/>
                <w:szCs w:val="20"/>
              </w:rPr>
              <w:t>调增项目</w:t>
            </w:r>
          </w:p>
        </w:tc>
        <w:tc>
          <w:tcPr>
            <w:tcW w:w="2018" w:type="dxa"/>
            <w:tcBorders>
              <w:top w:val="single" w:color="000000" w:sz="8" w:space="0"/>
              <w:left w:val="single" w:color="000000" w:sz="8" w:space="0"/>
              <w:bottom w:val="nil"/>
              <w:right w:val="single" w:color="000000" w:sz="8" w:space="0"/>
            </w:tcBorders>
            <w:shd w:val="clear" w:color="auto" w:fill="0070C0"/>
            <w:noWrap/>
            <w:vAlign w:val="center"/>
          </w:tcPr>
          <w:p w14:paraId="5FCA1BC5">
            <w:pPr>
              <w:jc w:val="center"/>
              <w:rPr>
                <w:rFonts w:ascii="Verdana" w:hAnsi="Verdana" w:eastAsia="华文细黑" w:cs="宋体"/>
                <w:b/>
                <w:bCs/>
                <w:color w:val="FFFFFF"/>
                <w:sz w:val="20"/>
                <w:szCs w:val="20"/>
              </w:rPr>
            </w:pPr>
            <w:r>
              <w:rPr>
                <w:rFonts w:hint="eastAsia" w:ascii="Verdana" w:hAnsi="Verdana" w:eastAsia="华文细黑" w:cs="宋体"/>
                <w:b/>
                <w:bCs/>
                <w:color w:val="FFFFFF"/>
                <w:sz w:val="20"/>
                <w:szCs w:val="20"/>
              </w:rPr>
              <w:t>调增金额</w:t>
            </w:r>
          </w:p>
        </w:tc>
      </w:tr>
      <w:tr w14:paraId="7BD3FE3B">
        <w:tblPrEx>
          <w:tblCellMar>
            <w:top w:w="0" w:type="dxa"/>
            <w:left w:w="108" w:type="dxa"/>
            <w:bottom w:w="0" w:type="dxa"/>
            <w:right w:w="108" w:type="dxa"/>
          </w:tblCellMar>
        </w:tblPrEx>
        <w:trPr>
          <w:trHeight w:val="29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2AE19">
            <w:pPr>
              <w:jc w:val="center"/>
              <w:rPr>
                <w:rFonts w:hint="default" w:ascii="Verdana" w:hAnsi="Verdana" w:eastAsia="华文细黑" w:cs="宋体"/>
                <w:color w:val="000000"/>
                <w:sz w:val="20"/>
                <w:szCs w:val="20"/>
                <w:lang w:val="en-US" w:eastAsia="zh-CN"/>
              </w:rPr>
            </w:pPr>
            <w:r>
              <w:rPr>
                <w:rFonts w:hint="eastAsia" w:ascii="Verdana" w:hAnsi="Verdana" w:eastAsia="华文细黑" w:cs="宋体"/>
                <w:color w:val="000000"/>
                <w:sz w:val="20"/>
                <w:szCs w:val="20"/>
                <w:lang w:val="en-US" w:eastAsia="zh-CN"/>
              </w:rPr>
              <w:t>1</w:t>
            </w:r>
          </w:p>
        </w:tc>
        <w:tc>
          <w:tcPr>
            <w:tcW w:w="5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4F49C">
            <w:pPr>
              <w:rPr>
                <w:rFonts w:hint="eastAsia" w:ascii="Verdana" w:hAnsi="Verdana" w:eastAsia="华文细黑" w:cs="宋体"/>
                <w:color w:val="000000"/>
                <w:sz w:val="20"/>
                <w:szCs w:val="20"/>
                <w:lang w:eastAsia="zh-CN"/>
              </w:rPr>
            </w:pPr>
            <w:r>
              <w:rPr>
                <w:rFonts w:hint="eastAsia" w:ascii="Verdana" w:hAnsi="Verdana" w:eastAsia="华文细黑" w:cs="宋体"/>
                <w:color w:val="000000"/>
                <w:sz w:val="20"/>
                <w:szCs w:val="20"/>
                <w:lang w:eastAsia="zh-CN"/>
              </w:rPr>
              <w:t>海口江东新区CBD南片区幼儿园及配套基础设施项目</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9BA00">
            <w:pPr>
              <w:keepNext w:val="0"/>
              <w:keepLines w:val="0"/>
              <w:widowControl/>
              <w:suppressLineNumbers w:val="0"/>
              <w:jc w:val="center"/>
              <w:textAlignment w:val="center"/>
              <w:rPr>
                <w:rFonts w:hint="eastAsia" w:ascii="华文细黑" w:hAnsi="华文细黑" w:eastAsia="华文细黑" w:cs="Arial"/>
                <w:color w:val="000000"/>
                <w:kern w:val="0"/>
                <w:sz w:val="20"/>
                <w:szCs w:val="20"/>
                <w:lang w:val="en-GB" w:eastAsia="zh-CN"/>
              </w:rPr>
            </w:pPr>
            <w:r>
              <w:rPr>
                <w:rFonts w:hint="eastAsia" w:ascii="华文细黑" w:hAnsi="华文细黑" w:eastAsia="华文细黑" w:cs="华文细黑"/>
                <w:i w:val="0"/>
                <w:iCs w:val="0"/>
                <w:color w:val="000000"/>
                <w:kern w:val="0"/>
                <w:sz w:val="20"/>
                <w:szCs w:val="20"/>
                <w:u w:val="none"/>
                <w:lang w:val="en-US" w:eastAsia="zh-CN" w:bidi="ar"/>
              </w:rPr>
              <w:t>500.00</w:t>
            </w:r>
          </w:p>
        </w:tc>
      </w:tr>
    </w:tbl>
    <w:p w14:paraId="1A8B65D4">
      <w:pPr>
        <w:snapToGrid w:val="0"/>
        <w:spacing w:before="120" w:after="120" w:line="520" w:lineRule="exact"/>
        <w:ind w:firstLine="480" w:firstLineChars="200"/>
        <w:outlineLvl w:val="1"/>
        <w:rPr>
          <w:rFonts w:hint="eastAsia" w:ascii="华文细黑" w:hAnsi="华文细黑" w:eastAsia="华文细黑" w:cs="华文细黑"/>
          <w:b/>
          <w:bCs/>
          <w:sz w:val="24"/>
          <w:szCs w:val="24"/>
        </w:rPr>
      </w:pPr>
      <w:bookmarkStart w:id="15" w:name="_Toc22965"/>
      <w:r>
        <w:rPr>
          <w:rFonts w:hint="eastAsia" w:ascii="华文细黑" w:hAnsi="华文细黑" w:eastAsia="华文细黑" w:cs="华文细黑"/>
          <w:b/>
          <w:bCs/>
          <w:sz w:val="24"/>
          <w:szCs w:val="24"/>
        </w:rPr>
        <w:t>（三）调整项目概况</w:t>
      </w:r>
      <w:bookmarkEnd w:id="15"/>
    </w:p>
    <w:p w14:paraId="638AB743">
      <w:pPr>
        <w:snapToGrid w:val="0"/>
        <w:spacing w:before="120" w:after="120" w:line="520" w:lineRule="exact"/>
        <w:ind w:firstLine="480" w:firstLineChars="200"/>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本期</w:t>
      </w:r>
      <w:r>
        <w:rPr>
          <w:rFonts w:hint="eastAsia" w:ascii="华文细黑" w:hAnsi="华文细黑" w:eastAsia="华文细黑" w:cs="华文细黑"/>
          <w:sz w:val="24"/>
          <w:szCs w:val="24"/>
        </w:rPr>
        <w:t>调整</w:t>
      </w:r>
      <w:r>
        <w:rPr>
          <w:rFonts w:hint="eastAsia" w:ascii="华文细黑" w:hAnsi="华文细黑" w:eastAsia="华文细黑" w:cs="华文细黑"/>
          <w:sz w:val="24"/>
          <w:szCs w:val="24"/>
          <w:lang w:val="en-GB"/>
        </w:rPr>
        <w:t>项目包含</w:t>
      </w:r>
      <w:r>
        <w:rPr>
          <w:rFonts w:hint="eastAsia" w:ascii="华文细黑" w:hAnsi="华文细黑" w:eastAsia="华文细黑" w:cs="华文细黑"/>
          <w:sz w:val="24"/>
          <w:szCs w:val="24"/>
          <w:lang w:val="en-US" w:eastAsia="zh-CN"/>
        </w:rPr>
        <w:t>1</w:t>
      </w:r>
      <w:r>
        <w:rPr>
          <w:rFonts w:hint="eastAsia" w:ascii="华文细黑" w:hAnsi="华文细黑" w:eastAsia="华文细黑" w:cs="华文细黑"/>
          <w:sz w:val="24"/>
          <w:szCs w:val="24"/>
        </w:rPr>
        <w:t>个项目</w:t>
      </w:r>
      <w:r>
        <w:rPr>
          <w:rFonts w:hint="eastAsia" w:ascii="华文细黑" w:hAnsi="华文细黑" w:eastAsia="华文细黑" w:cs="华文细黑"/>
          <w:sz w:val="24"/>
          <w:szCs w:val="24"/>
          <w:lang w:val="en-GB"/>
        </w:rPr>
        <w:t>：</w:t>
      </w:r>
      <w:r>
        <w:rPr>
          <w:rFonts w:hint="eastAsia" w:ascii="华文细黑" w:hAnsi="华文细黑" w:eastAsia="华文细黑" w:cs="华文细黑"/>
          <w:sz w:val="24"/>
          <w:szCs w:val="24"/>
          <w:lang w:val="en-GB" w:eastAsia="zh-CN"/>
        </w:rPr>
        <w:t>海口江东新区CBD南片区幼儿园及配套基础设施项目，</w:t>
      </w:r>
      <w:r>
        <w:rPr>
          <w:rFonts w:hint="eastAsia" w:ascii="华文细黑" w:hAnsi="华文细黑" w:eastAsia="华文细黑" w:cs="华文细黑"/>
          <w:sz w:val="24"/>
          <w:szCs w:val="24"/>
          <w:lang w:val="en-US" w:eastAsia="zh-CN"/>
        </w:rPr>
        <w:t>项目</w:t>
      </w:r>
      <w:r>
        <w:rPr>
          <w:rFonts w:hint="eastAsia" w:ascii="华文细黑" w:hAnsi="华文细黑" w:eastAsia="华文细黑" w:cs="华文细黑"/>
          <w:sz w:val="24"/>
          <w:szCs w:val="24"/>
          <w:lang w:val="en-GB" w:eastAsia="zh-CN"/>
        </w:rPr>
        <w:t>基</w:t>
      </w:r>
      <w:r>
        <w:rPr>
          <w:rFonts w:hint="eastAsia" w:ascii="华文细黑" w:hAnsi="华文细黑" w:eastAsia="华文细黑" w:cs="华文细黑"/>
          <w:sz w:val="24"/>
          <w:szCs w:val="24"/>
          <w:lang w:val="en-GB"/>
        </w:rPr>
        <w:t>本情况如下：</w:t>
      </w:r>
    </w:p>
    <w:p w14:paraId="19759579">
      <w:pPr>
        <w:snapToGrid w:val="0"/>
        <w:spacing w:before="120" w:after="120" w:line="520" w:lineRule="exact"/>
        <w:ind w:firstLine="480" w:firstLineChars="200"/>
        <w:rPr>
          <w:rFonts w:hint="eastAsia" w:ascii="华文细黑" w:hAnsi="华文细黑" w:eastAsia="华文细黑" w:cs="华文细黑"/>
          <w:b w:val="0"/>
          <w:bCs w:val="0"/>
          <w:sz w:val="24"/>
          <w:szCs w:val="24"/>
          <w:lang w:val="en-GB" w:eastAsia="zh-CN"/>
        </w:rPr>
      </w:pPr>
      <w:r>
        <w:rPr>
          <w:rFonts w:hint="eastAsia" w:ascii="华文细黑" w:hAnsi="华文细黑" w:eastAsia="华文细黑" w:cs="华文细黑"/>
          <w:b w:val="0"/>
          <w:bCs w:val="0"/>
          <w:sz w:val="24"/>
          <w:szCs w:val="24"/>
          <w:lang w:val="en-GB"/>
        </w:rPr>
        <w:t>项目名称：</w:t>
      </w:r>
      <w:r>
        <w:rPr>
          <w:rFonts w:hint="eastAsia" w:ascii="华文细黑" w:hAnsi="华文细黑" w:eastAsia="华文细黑" w:cs="华文细黑"/>
          <w:b w:val="0"/>
          <w:bCs w:val="0"/>
          <w:sz w:val="24"/>
          <w:szCs w:val="24"/>
          <w:lang w:val="en-GB" w:eastAsia="zh-CN"/>
        </w:rPr>
        <w:t>海口江东新区CBD南片区幼儿园及配套基础设施项目</w:t>
      </w:r>
    </w:p>
    <w:p w14:paraId="002E067F">
      <w:pPr>
        <w:snapToGrid w:val="0"/>
        <w:spacing w:before="120" w:after="120" w:line="520" w:lineRule="exact"/>
        <w:ind w:firstLine="480" w:firstLineChars="200"/>
        <w:rPr>
          <w:rFonts w:hint="eastAsia" w:ascii="华文细黑" w:hAnsi="华文细黑" w:eastAsia="华文细黑" w:cs="华文细黑"/>
          <w:sz w:val="24"/>
          <w:szCs w:val="24"/>
          <w:lang w:val="en-GB" w:eastAsia="zh-CN"/>
        </w:rPr>
      </w:pPr>
      <w:r>
        <w:rPr>
          <w:rFonts w:hint="eastAsia" w:ascii="华文细黑" w:hAnsi="华文细黑" w:eastAsia="华文细黑" w:cs="华文细黑"/>
          <w:sz w:val="24"/>
          <w:szCs w:val="24"/>
          <w:lang w:val="en-GB"/>
        </w:rPr>
        <w:t>项目业主：</w:t>
      </w:r>
      <w:r>
        <w:rPr>
          <w:rFonts w:hint="eastAsia" w:ascii="华文细黑" w:hAnsi="华文细黑" w:eastAsia="华文细黑" w:cs="华文细黑"/>
          <w:sz w:val="24"/>
          <w:szCs w:val="24"/>
          <w:lang w:val="en-GB" w:eastAsia="zh-CN"/>
        </w:rPr>
        <w:t>海口市恒慧基础建设有限公司</w:t>
      </w:r>
    </w:p>
    <w:p w14:paraId="7BF3F49D">
      <w:pPr>
        <w:snapToGrid w:val="0"/>
        <w:spacing w:before="120" w:after="120" w:line="520" w:lineRule="exact"/>
        <w:ind w:firstLine="480" w:firstLineChars="200"/>
        <w:rPr>
          <w:rFonts w:hint="eastAsia" w:ascii="华文细黑" w:hAnsi="华文细黑" w:eastAsia="华文细黑" w:cs="华文细黑"/>
          <w:sz w:val="24"/>
          <w:szCs w:val="24"/>
          <w:lang w:val="en-GB" w:eastAsia="zh-CN"/>
        </w:rPr>
      </w:pPr>
      <w:r>
        <w:rPr>
          <w:rFonts w:hint="eastAsia" w:ascii="华文细黑" w:hAnsi="华文细黑" w:eastAsia="华文细黑" w:cs="华文细黑"/>
          <w:sz w:val="24"/>
          <w:szCs w:val="24"/>
          <w:lang w:val="en-GB"/>
        </w:rPr>
        <w:t>项目主管部门：</w:t>
      </w:r>
      <w:r>
        <w:rPr>
          <w:rFonts w:hint="eastAsia" w:ascii="华文细黑" w:hAnsi="华文细黑" w:eastAsia="华文细黑" w:cs="华文细黑"/>
          <w:sz w:val="24"/>
          <w:szCs w:val="24"/>
          <w:lang w:val="en-US" w:eastAsia="zh-CN"/>
        </w:rPr>
        <w:t>海口</w:t>
      </w:r>
      <w:r>
        <w:rPr>
          <w:rFonts w:hint="eastAsia" w:ascii="华文细黑" w:hAnsi="华文细黑" w:eastAsia="华文细黑" w:cs="华文细黑"/>
          <w:sz w:val="24"/>
          <w:szCs w:val="24"/>
          <w:lang w:val="en-GB" w:eastAsia="zh-CN"/>
        </w:rPr>
        <w:t>江东新区管理局</w:t>
      </w:r>
    </w:p>
    <w:p w14:paraId="2ED09F5C">
      <w:pPr>
        <w:snapToGrid w:val="0"/>
        <w:spacing w:before="120" w:after="120" w:line="520" w:lineRule="exact"/>
        <w:ind w:firstLine="480" w:firstLineChars="200"/>
        <w:rPr>
          <w:rFonts w:hint="eastAsia" w:ascii="华文细黑" w:hAnsi="华文细黑" w:eastAsia="华文细黑" w:cs="华文细黑"/>
          <w:sz w:val="24"/>
          <w:szCs w:val="24"/>
          <w:lang w:val="en-US" w:eastAsia="zh-CN"/>
        </w:rPr>
      </w:pPr>
      <w:r>
        <w:rPr>
          <w:rFonts w:hint="eastAsia" w:ascii="华文细黑" w:hAnsi="华文细黑" w:eastAsia="华文细黑" w:cs="华文细黑"/>
          <w:sz w:val="24"/>
          <w:szCs w:val="24"/>
          <w:lang w:val="en-GB"/>
        </w:rPr>
        <w:t>项目内容：项目位于海口市江东新区CBD南片区JDQBN-A03-B1部分地块及JDQBN-A03-B2地块，拟建1栋幼儿园、1栋食堂、1栋小学部教学楼、连廊及部分体育馆功能用房、室外配套工程，总建筑面积30318.07平方米，其中幼儿园建筑面积4131.27</w:t>
      </w:r>
      <w:r>
        <w:rPr>
          <w:rFonts w:hint="eastAsia" w:ascii="华文细黑" w:hAnsi="华文细黑" w:eastAsia="华文细黑" w:cs="华文细黑"/>
          <w:sz w:val="24"/>
          <w:szCs w:val="24"/>
          <w:lang w:val="en-US" w:eastAsia="zh-CN"/>
        </w:rPr>
        <w:t>㎡</w:t>
      </w:r>
      <w:r>
        <w:rPr>
          <w:rFonts w:hint="eastAsia" w:ascii="华文细黑" w:hAnsi="华文细黑" w:eastAsia="华文细黑" w:cs="华文细黑"/>
          <w:sz w:val="24"/>
          <w:szCs w:val="24"/>
          <w:lang w:val="en-GB"/>
        </w:rPr>
        <w:t>，小学建筑面积为26186.80</w:t>
      </w:r>
      <w:r>
        <w:rPr>
          <w:rFonts w:hint="eastAsia" w:ascii="华文细黑" w:hAnsi="华文细黑" w:eastAsia="华文细黑" w:cs="华文细黑"/>
          <w:sz w:val="24"/>
          <w:szCs w:val="24"/>
          <w:lang w:val="en-US" w:eastAsia="zh-CN"/>
        </w:rPr>
        <w:t>㎡</w:t>
      </w:r>
      <w:r>
        <w:rPr>
          <w:rFonts w:hint="eastAsia" w:ascii="华文细黑" w:hAnsi="华文细黑" w:eastAsia="华文细黑" w:cs="华文细黑"/>
          <w:sz w:val="24"/>
          <w:szCs w:val="24"/>
          <w:lang w:val="en-GB"/>
        </w:rPr>
        <w:t>，同时配建设室外水电、消防、燃气、监控、道路(广场)、围墙、大门等</w:t>
      </w:r>
      <w:r>
        <w:rPr>
          <w:rFonts w:hint="eastAsia" w:ascii="华文细黑" w:hAnsi="华文细黑" w:eastAsia="华文细黑" w:cs="华文细黑"/>
          <w:sz w:val="24"/>
          <w:szCs w:val="24"/>
          <w:lang w:val="en-GB" w:eastAsia="zh-CN"/>
        </w:rPr>
        <w:t>。</w:t>
      </w:r>
    </w:p>
    <w:p w14:paraId="74C8CEBE">
      <w:pPr>
        <w:snapToGrid w:val="0"/>
        <w:spacing w:before="120" w:after="120" w:line="520" w:lineRule="exact"/>
        <w:ind w:firstLine="480" w:firstLineChars="200"/>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eastAsia="zh-CN"/>
        </w:rPr>
        <w:t>海口江东新区CBD南片区幼儿园及配套基础设施项目</w:t>
      </w:r>
      <w:r>
        <w:rPr>
          <w:rFonts w:hint="eastAsia" w:ascii="华文细黑" w:hAnsi="华文细黑" w:eastAsia="华文细黑" w:cs="华文细黑"/>
          <w:sz w:val="24"/>
          <w:szCs w:val="24"/>
          <w:lang w:val="en-US" w:eastAsia="zh-CN"/>
        </w:rPr>
        <w:t>预计</w:t>
      </w:r>
      <w:r>
        <w:rPr>
          <w:rFonts w:hint="eastAsia" w:ascii="华文细黑" w:hAnsi="华文细黑" w:eastAsia="华文细黑" w:cs="华文细黑"/>
          <w:sz w:val="24"/>
          <w:szCs w:val="24"/>
          <w:lang w:val="en-GB"/>
        </w:rPr>
        <w:t>于202</w:t>
      </w:r>
      <w:r>
        <w:rPr>
          <w:rFonts w:hint="eastAsia" w:ascii="华文细黑" w:hAnsi="华文细黑" w:eastAsia="华文细黑" w:cs="华文细黑"/>
          <w:sz w:val="24"/>
          <w:szCs w:val="24"/>
          <w:lang w:val="en-US" w:eastAsia="zh-CN"/>
        </w:rPr>
        <w:t>5</w:t>
      </w:r>
      <w:r>
        <w:rPr>
          <w:rFonts w:hint="eastAsia" w:ascii="华文细黑" w:hAnsi="华文细黑" w:eastAsia="华文细黑" w:cs="华文细黑"/>
          <w:sz w:val="24"/>
          <w:szCs w:val="24"/>
          <w:lang w:val="en-GB"/>
        </w:rPr>
        <w:t>年1</w:t>
      </w:r>
      <w:r>
        <w:rPr>
          <w:rFonts w:hint="eastAsia" w:ascii="华文细黑" w:hAnsi="华文细黑" w:eastAsia="华文细黑" w:cs="华文细黑"/>
          <w:sz w:val="24"/>
          <w:szCs w:val="24"/>
          <w:lang w:val="en-US" w:eastAsia="zh-CN"/>
        </w:rPr>
        <w:t>2</w:t>
      </w:r>
      <w:r>
        <w:rPr>
          <w:rFonts w:hint="eastAsia" w:ascii="华文细黑" w:hAnsi="华文细黑" w:eastAsia="华文细黑" w:cs="华文细黑"/>
          <w:sz w:val="24"/>
          <w:szCs w:val="24"/>
          <w:lang w:val="en-GB"/>
        </w:rPr>
        <w:t>月开工，预计于202</w:t>
      </w:r>
      <w:r>
        <w:rPr>
          <w:rFonts w:hint="eastAsia" w:ascii="华文细黑" w:hAnsi="华文细黑" w:eastAsia="华文细黑" w:cs="华文细黑"/>
          <w:sz w:val="24"/>
          <w:szCs w:val="24"/>
          <w:lang w:val="en-US" w:eastAsia="zh-CN"/>
        </w:rPr>
        <w:t>7</w:t>
      </w:r>
      <w:r>
        <w:rPr>
          <w:rFonts w:hint="eastAsia" w:ascii="华文细黑" w:hAnsi="华文细黑" w:eastAsia="华文细黑" w:cs="华文细黑"/>
          <w:sz w:val="24"/>
          <w:szCs w:val="24"/>
          <w:lang w:val="en-GB"/>
        </w:rPr>
        <w:t>年</w:t>
      </w:r>
      <w:r>
        <w:rPr>
          <w:rFonts w:hint="eastAsia" w:ascii="华文细黑" w:hAnsi="华文细黑" w:eastAsia="华文细黑" w:cs="华文细黑"/>
          <w:sz w:val="24"/>
          <w:szCs w:val="24"/>
          <w:lang w:val="en-US" w:eastAsia="zh-CN"/>
        </w:rPr>
        <w:t>6</w:t>
      </w:r>
      <w:r>
        <w:rPr>
          <w:rFonts w:hint="eastAsia" w:ascii="华文细黑" w:hAnsi="华文细黑" w:eastAsia="华文细黑" w:cs="华文细黑"/>
          <w:sz w:val="24"/>
          <w:szCs w:val="24"/>
          <w:lang w:val="en-GB"/>
        </w:rPr>
        <w:t>月完工。项目建设进度情况：目前</w:t>
      </w:r>
      <w:r>
        <w:rPr>
          <w:rFonts w:hint="eastAsia" w:ascii="华文细黑" w:hAnsi="华文细黑" w:eastAsia="华文细黑" w:cs="华文细黑"/>
          <w:sz w:val="24"/>
          <w:szCs w:val="24"/>
          <w:lang w:val="en-US" w:eastAsia="zh-CN"/>
        </w:rPr>
        <w:t>处于施工准备阶段</w:t>
      </w:r>
      <w:r>
        <w:rPr>
          <w:rFonts w:hint="eastAsia" w:ascii="华文细黑" w:hAnsi="华文细黑" w:eastAsia="华文细黑" w:cs="华文细黑"/>
          <w:sz w:val="24"/>
          <w:szCs w:val="24"/>
          <w:lang w:val="en-GB"/>
        </w:rPr>
        <w:t>。</w:t>
      </w:r>
    </w:p>
    <w:p w14:paraId="718E9F5A">
      <w:pPr>
        <w:snapToGrid w:val="0"/>
        <w:spacing w:before="120" w:after="120" w:line="520" w:lineRule="exact"/>
        <w:ind w:firstLine="480" w:firstLineChars="200"/>
        <w:rPr>
          <w:rFonts w:hint="eastAsia" w:ascii="华文细黑" w:hAnsi="华文细黑" w:eastAsia="华文细黑" w:cs="华文细黑"/>
          <w:sz w:val="24"/>
          <w:szCs w:val="24"/>
          <w:highlight w:val="yellow"/>
          <w:lang w:val="en-GB"/>
        </w:rPr>
      </w:pPr>
      <w:r>
        <w:rPr>
          <w:rFonts w:hint="eastAsia" w:ascii="华文细黑" w:hAnsi="华文细黑" w:eastAsia="华文细黑" w:cs="华文细黑"/>
          <w:sz w:val="24"/>
          <w:szCs w:val="24"/>
          <w:lang w:val="en-GB"/>
        </w:rPr>
        <w:t>项目已取得的相关批复如下：</w:t>
      </w:r>
    </w:p>
    <w:tbl>
      <w:tblPr>
        <w:tblStyle w:val="15"/>
        <w:tblW w:w="861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89"/>
        <w:gridCol w:w="3531"/>
        <w:gridCol w:w="1557"/>
        <w:gridCol w:w="1833"/>
      </w:tblGrid>
      <w:tr w14:paraId="79E4B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9" w:hRule="atLeast"/>
          <w:tblHeader/>
          <w:jc w:val="center"/>
        </w:trPr>
        <w:tc>
          <w:tcPr>
            <w:tcW w:w="1689" w:type="dxa"/>
            <w:tcBorders>
              <w:tl2br w:val="nil"/>
              <w:tr2bl w:val="nil"/>
            </w:tcBorders>
            <w:noWrap/>
            <w:vAlign w:val="center"/>
          </w:tcPr>
          <w:p w14:paraId="5097AF30">
            <w:pPr>
              <w:adjustRightInd w:val="0"/>
              <w:snapToGrid w:val="0"/>
              <w:spacing w:after="200"/>
              <w:jc w:val="center"/>
              <w:rPr>
                <w:rFonts w:hint="eastAsia" w:ascii="华文细黑" w:hAnsi="华文细黑" w:eastAsia="华文细黑" w:cs="华文细黑"/>
                <w:b/>
                <w:bCs/>
                <w:color w:val="000000"/>
                <w:sz w:val="18"/>
                <w:szCs w:val="18"/>
              </w:rPr>
            </w:pPr>
            <w:r>
              <w:rPr>
                <w:rFonts w:hint="eastAsia" w:ascii="华文细黑" w:hAnsi="华文细黑" w:eastAsia="华文细黑" w:cs="华文细黑"/>
                <w:b/>
                <w:bCs/>
                <w:color w:val="000000"/>
                <w:sz w:val="18"/>
                <w:szCs w:val="18"/>
              </w:rPr>
              <w:t>批复单位</w:t>
            </w:r>
          </w:p>
        </w:tc>
        <w:tc>
          <w:tcPr>
            <w:tcW w:w="3531" w:type="dxa"/>
            <w:tcBorders>
              <w:tl2br w:val="nil"/>
              <w:tr2bl w:val="nil"/>
            </w:tcBorders>
            <w:vAlign w:val="center"/>
          </w:tcPr>
          <w:p w14:paraId="4DC80848">
            <w:pPr>
              <w:adjustRightInd w:val="0"/>
              <w:snapToGrid w:val="0"/>
              <w:spacing w:after="200"/>
              <w:jc w:val="center"/>
              <w:rPr>
                <w:rFonts w:hint="eastAsia" w:ascii="华文细黑" w:hAnsi="华文细黑" w:eastAsia="华文细黑" w:cs="华文细黑"/>
                <w:b/>
                <w:bCs/>
                <w:color w:val="000000"/>
                <w:sz w:val="18"/>
                <w:szCs w:val="18"/>
              </w:rPr>
            </w:pPr>
            <w:r>
              <w:rPr>
                <w:rFonts w:hint="eastAsia" w:ascii="华文细黑" w:hAnsi="华文细黑" w:eastAsia="华文细黑" w:cs="华文细黑"/>
                <w:b/>
                <w:bCs/>
                <w:color w:val="000000"/>
                <w:sz w:val="18"/>
                <w:szCs w:val="18"/>
              </w:rPr>
              <w:t>项目批复文件</w:t>
            </w:r>
          </w:p>
        </w:tc>
        <w:tc>
          <w:tcPr>
            <w:tcW w:w="1557" w:type="dxa"/>
            <w:tcBorders>
              <w:tl2br w:val="nil"/>
              <w:tr2bl w:val="nil"/>
            </w:tcBorders>
            <w:noWrap/>
            <w:vAlign w:val="center"/>
          </w:tcPr>
          <w:p w14:paraId="1337C8BB">
            <w:pPr>
              <w:adjustRightInd w:val="0"/>
              <w:snapToGrid w:val="0"/>
              <w:spacing w:after="200"/>
              <w:jc w:val="center"/>
              <w:rPr>
                <w:rFonts w:hint="eastAsia" w:ascii="华文细黑" w:hAnsi="华文细黑" w:eastAsia="华文细黑" w:cs="华文细黑"/>
                <w:b/>
                <w:bCs/>
                <w:color w:val="000000"/>
                <w:sz w:val="18"/>
                <w:szCs w:val="18"/>
              </w:rPr>
            </w:pPr>
            <w:r>
              <w:rPr>
                <w:rFonts w:hint="eastAsia" w:ascii="华文细黑" w:hAnsi="华文细黑" w:eastAsia="华文细黑" w:cs="华文细黑"/>
                <w:b/>
                <w:bCs/>
                <w:color w:val="000000"/>
                <w:sz w:val="18"/>
                <w:szCs w:val="18"/>
              </w:rPr>
              <w:t>批复文件名称</w:t>
            </w:r>
          </w:p>
        </w:tc>
        <w:tc>
          <w:tcPr>
            <w:tcW w:w="1833" w:type="dxa"/>
            <w:tcBorders>
              <w:tl2br w:val="nil"/>
              <w:tr2bl w:val="nil"/>
            </w:tcBorders>
            <w:noWrap/>
            <w:vAlign w:val="center"/>
          </w:tcPr>
          <w:p w14:paraId="4045368A">
            <w:pPr>
              <w:adjustRightInd w:val="0"/>
              <w:snapToGrid w:val="0"/>
              <w:spacing w:after="200"/>
              <w:jc w:val="center"/>
              <w:rPr>
                <w:rFonts w:hint="eastAsia" w:ascii="华文细黑" w:hAnsi="华文细黑" w:eastAsia="华文细黑" w:cs="华文细黑"/>
                <w:b/>
                <w:bCs/>
                <w:color w:val="000000"/>
                <w:sz w:val="18"/>
                <w:szCs w:val="18"/>
              </w:rPr>
            </w:pPr>
            <w:r>
              <w:rPr>
                <w:rFonts w:hint="eastAsia" w:ascii="华文细黑" w:hAnsi="华文细黑" w:eastAsia="华文细黑" w:cs="华文细黑"/>
                <w:b/>
                <w:bCs/>
                <w:color w:val="000000"/>
                <w:sz w:val="18"/>
                <w:szCs w:val="18"/>
              </w:rPr>
              <w:t>批复日期</w:t>
            </w:r>
          </w:p>
        </w:tc>
      </w:tr>
      <w:tr w14:paraId="61149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6" w:hRule="atLeast"/>
          <w:jc w:val="center"/>
        </w:trPr>
        <w:tc>
          <w:tcPr>
            <w:tcW w:w="1689" w:type="dxa"/>
            <w:tcBorders>
              <w:tl2br w:val="nil"/>
              <w:tr2bl w:val="nil"/>
            </w:tcBorders>
            <w:noWrap/>
            <w:vAlign w:val="center"/>
          </w:tcPr>
          <w:p w14:paraId="61559A3F">
            <w:pPr>
              <w:adjustRightInd w:val="0"/>
              <w:snapToGrid w:val="0"/>
              <w:spacing w:after="200"/>
              <w:jc w:val="center"/>
              <w:rPr>
                <w:rFonts w:hint="eastAsia" w:ascii="华文细黑" w:hAnsi="华文细黑" w:eastAsia="华文细黑" w:cs="华文细黑"/>
                <w:color w:val="000000"/>
                <w:sz w:val="18"/>
                <w:szCs w:val="18"/>
              </w:rPr>
            </w:pPr>
            <w:r>
              <w:rPr>
                <w:rFonts w:hint="eastAsia" w:ascii="华文细黑" w:hAnsi="华文细黑" w:eastAsia="华文细黑" w:cs="华文细黑"/>
                <w:color w:val="000000"/>
                <w:sz w:val="18"/>
                <w:szCs w:val="18"/>
                <w:lang w:eastAsia="zh-CN"/>
              </w:rPr>
              <w:t>海口市</w:t>
            </w:r>
            <w:r>
              <w:rPr>
                <w:rFonts w:hint="eastAsia" w:ascii="华文细黑" w:hAnsi="华文细黑" w:eastAsia="华文细黑" w:cs="华文细黑"/>
                <w:color w:val="000000"/>
                <w:sz w:val="18"/>
                <w:szCs w:val="18"/>
                <w:lang w:val="en-US" w:eastAsia="zh-CN"/>
              </w:rPr>
              <w:t>江东新区管理</w:t>
            </w:r>
            <w:r>
              <w:rPr>
                <w:rFonts w:hint="eastAsia" w:ascii="华文细黑" w:hAnsi="华文细黑" w:eastAsia="华文细黑" w:cs="华文细黑"/>
                <w:color w:val="000000"/>
                <w:sz w:val="18"/>
                <w:szCs w:val="18"/>
                <w:lang w:eastAsia="zh-CN"/>
              </w:rPr>
              <w:t>局</w:t>
            </w:r>
          </w:p>
        </w:tc>
        <w:tc>
          <w:tcPr>
            <w:tcW w:w="3531" w:type="dxa"/>
            <w:tcBorders>
              <w:tl2br w:val="nil"/>
              <w:tr2bl w:val="nil"/>
            </w:tcBorders>
            <w:vAlign w:val="center"/>
          </w:tcPr>
          <w:p w14:paraId="09FD72F5">
            <w:pPr>
              <w:adjustRightInd w:val="0"/>
              <w:snapToGrid w:val="0"/>
              <w:spacing w:after="200"/>
              <w:jc w:val="center"/>
              <w:rPr>
                <w:rFonts w:hint="eastAsia" w:ascii="华文细黑" w:hAnsi="华文细黑" w:eastAsia="华文细黑" w:cs="华文细黑"/>
                <w:color w:val="000000"/>
                <w:sz w:val="18"/>
                <w:szCs w:val="18"/>
              </w:rPr>
            </w:pPr>
            <w:r>
              <w:rPr>
                <w:rFonts w:hint="eastAsia" w:ascii="华文细黑" w:hAnsi="华文细黑" w:eastAsia="华文细黑" w:cs="华文细黑"/>
                <w:color w:val="000000"/>
                <w:sz w:val="18"/>
                <w:szCs w:val="18"/>
              </w:rPr>
              <w:t>关于同意</w:t>
            </w:r>
            <w:r>
              <w:rPr>
                <w:rFonts w:hint="eastAsia" w:ascii="华文细黑" w:hAnsi="华文细黑" w:eastAsia="华文细黑" w:cs="华文细黑"/>
                <w:color w:val="000000"/>
                <w:sz w:val="18"/>
                <w:szCs w:val="18"/>
                <w:lang w:eastAsia="zh-CN"/>
              </w:rPr>
              <w:t>海口江东新区CBD南片区幼儿园及配套基础设施项目</w:t>
            </w:r>
            <w:r>
              <w:rPr>
                <w:rFonts w:hint="eastAsia" w:ascii="华文细黑" w:hAnsi="华文细黑" w:eastAsia="华文细黑" w:cs="华文细黑"/>
                <w:color w:val="000000"/>
                <w:sz w:val="18"/>
                <w:szCs w:val="18"/>
              </w:rPr>
              <w:t>可行性研究报告的函</w:t>
            </w:r>
          </w:p>
        </w:tc>
        <w:tc>
          <w:tcPr>
            <w:tcW w:w="1557" w:type="dxa"/>
            <w:tcBorders>
              <w:tl2br w:val="nil"/>
              <w:tr2bl w:val="nil"/>
            </w:tcBorders>
            <w:noWrap/>
            <w:vAlign w:val="center"/>
          </w:tcPr>
          <w:p w14:paraId="44CB0FFB">
            <w:pPr>
              <w:adjustRightInd w:val="0"/>
              <w:snapToGrid w:val="0"/>
              <w:spacing w:after="200"/>
              <w:jc w:val="center"/>
              <w:rPr>
                <w:rFonts w:hint="eastAsia" w:ascii="华文细黑" w:hAnsi="华文细黑" w:eastAsia="华文细黑" w:cs="华文细黑"/>
                <w:color w:val="000000"/>
                <w:sz w:val="18"/>
                <w:szCs w:val="18"/>
              </w:rPr>
            </w:pPr>
            <w:r>
              <w:rPr>
                <w:rFonts w:hint="eastAsia" w:ascii="华文细黑" w:hAnsi="华文细黑" w:eastAsia="华文细黑" w:cs="华文细黑"/>
                <w:color w:val="000000"/>
                <w:sz w:val="18"/>
                <w:szCs w:val="18"/>
              </w:rPr>
              <w:t>海</w:t>
            </w:r>
            <w:r>
              <w:rPr>
                <w:rFonts w:hint="eastAsia" w:ascii="华文细黑" w:hAnsi="华文细黑" w:eastAsia="华文细黑" w:cs="华文细黑"/>
                <w:color w:val="000000"/>
                <w:sz w:val="18"/>
                <w:szCs w:val="18"/>
                <w:lang w:val="en-US" w:eastAsia="zh-CN"/>
              </w:rPr>
              <w:t>江东</w:t>
            </w:r>
            <w:r>
              <w:rPr>
                <w:rFonts w:hint="eastAsia" w:ascii="华文细黑" w:hAnsi="华文细黑" w:eastAsia="华文细黑" w:cs="华文细黑"/>
                <w:color w:val="000000"/>
                <w:sz w:val="18"/>
                <w:szCs w:val="18"/>
              </w:rPr>
              <w:t>审</w:t>
            </w:r>
            <w:r>
              <w:rPr>
                <w:rFonts w:hint="eastAsia" w:ascii="华文细黑" w:hAnsi="华文细黑" w:eastAsia="华文细黑" w:cs="华文细黑"/>
                <w:color w:val="000000"/>
                <w:sz w:val="18"/>
                <w:szCs w:val="18"/>
                <w:lang w:eastAsia="zh-CN"/>
              </w:rPr>
              <w:t>【</w:t>
            </w:r>
            <w:r>
              <w:rPr>
                <w:rFonts w:hint="eastAsia" w:ascii="华文细黑" w:hAnsi="华文细黑" w:eastAsia="华文细黑" w:cs="华文细黑"/>
                <w:color w:val="000000"/>
                <w:sz w:val="18"/>
                <w:szCs w:val="18"/>
              </w:rPr>
              <w:t>202</w:t>
            </w:r>
            <w:r>
              <w:rPr>
                <w:rFonts w:hint="eastAsia" w:ascii="华文细黑" w:hAnsi="华文细黑" w:eastAsia="华文细黑" w:cs="华文细黑"/>
                <w:color w:val="000000"/>
                <w:sz w:val="18"/>
                <w:szCs w:val="18"/>
                <w:lang w:val="en-US" w:eastAsia="zh-CN"/>
              </w:rPr>
              <w:t>5</w:t>
            </w:r>
            <w:r>
              <w:rPr>
                <w:rFonts w:hint="eastAsia" w:ascii="华文细黑" w:hAnsi="华文细黑" w:eastAsia="华文细黑" w:cs="华文细黑"/>
                <w:color w:val="000000"/>
                <w:sz w:val="18"/>
                <w:szCs w:val="18"/>
                <w:lang w:eastAsia="zh-CN"/>
              </w:rPr>
              <w:t>】</w:t>
            </w:r>
            <w:r>
              <w:rPr>
                <w:rFonts w:hint="eastAsia" w:ascii="华文细黑" w:hAnsi="华文细黑" w:eastAsia="华文细黑" w:cs="华文细黑"/>
                <w:color w:val="000000"/>
                <w:sz w:val="18"/>
                <w:szCs w:val="18"/>
                <w:lang w:val="en-US" w:eastAsia="zh-CN"/>
              </w:rPr>
              <w:t>85</w:t>
            </w:r>
            <w:r>
              <w:rPr>
                <w:rFonts w:hint="eastAsia" w:ascii="华文细黑" w:hAnsi="华文细黑" w:eastAsia="华文细黑" w:cs="华文细黑"/>
                <w:color w:val="000000"/>
                <w:sz w:val="18"/>
                <w:szCs w:val="18"/>
              </w:rPr>
              <w:t>号</w:t>
            </w:r>
          </w:p>
        </w:tc>
        <w:tc>
          <w:tcPr>
            <w:tcW w:w="1833" w:type="dxa"/>
            <w:tcBorders>
              <w:tl2br w:val="nil"/>
              <w:tr2bl w:val="nil"/>
            </w:tcBorders>
            <w:noWrap/>
            <w:vAlign w:val="center"/>
          </w:tcPr>
          <w:p w14:paraId="1E0D6C0B">
            <w:pPr>
              <w:adjustRightInd w:val="0"/>
              <w:snapToGrid w:val="0"/>
              <w:spacing w:after="200"/>
              <w:jc w:val="center"/>
              <w:rPr>
                <w:rFonts w:hint="eastAsia" w:ascii="华文细黑" w:hAnsi="华文细黑" w:eastAsia="华文细黑" w:cs="华文细黑"/>
                <w:color w:val="000000"/>
                <w:sz w:val="18"/>
                <w:szCs w:val="18"/>
              </w:rPr>
            </w:pPr>
            <w:r>
              <w:rPr>
                <w:rFonts w:hint="eastAsia" w:ascii="华文细黑" w:hAnsi="华文细黑" w:eastAsia="华文细黑" w:cs="华文细黑"/>
                <w:color w:val="000000"/>
                <w:sz w:val="18"/>
                <w:szCs w:val="18"/>
              </w:rPr>
              <w:t>202</w:t>
            </w:r>
            <w:r>
              <w:rPr>
                <w:rFonts w:hint="eastAsia" w:ascii="华文细黑" w:hAnsi="华文细黑" w:eastAsia="华文细黑" w:cs="华文细黑"/>
                <w:color w:val="000000"/>
                <w:sz w:val="18"/>
                <w:szCs w:val="18"/>
                <w:lang w:val="en-US" w:eastAsia="zh-CN"/>
              </w:rPr>
              <w:t>5</w:t>
            </w:r>
            <w:r>
              <w:rPr>
                <w:rFonts w:hint="eastAsia" w:ascii="华文细黑" w:hAnsi="华文细黑" w:eastAsia="华文细黑" w:cs="华文细黑"/>
                <w:color w:val="000000"/>
                <w:sz w:val="18"/>
                <w:szCs w:val="18"/>
              </w:rPr>
              <w:t>年</w:t>
            </w:r>
            <w:r>
              <w:rPr>
                <w:rFonts w:hint="eastAsia" w:ascii="华文细黑" w:hAnsi="华文细黑" w:eastAsia="华文细黑" w:cs="华文细黑"/>
                <w:color w:val="000000"/>
                <w:sz w:val="18"/>
                <w:szCs w:val="18"/>
                <w:lang w:val="en-US" w:eastAsia="zh-CN"/>
              </w:rPr>
              <w:t>8</w:t>
            </w:r>
            <w:r>
              <w:rPr>
                <w:rFonts w:hint="eastAsia" w:ascii="华文细黑" w:hAnsi="华文细黑" w:eastAsia="华文细黑" w:cs="华文细黑"/>
                <w:color w:val="000000"/>
                <w:sz w:val="18"/>
                <w:szCs w:val="18"/>
              </w:rPr>
              <w:t>月</w:t>
            </w:r>
            <w:r>
              <w:rPr>
                <w:rFonts w:hint="eastAsia" w:ascii="华文细黑" w:hAnsi="华文细黑" w:eastAsia="华文细黑" w:cs="华文细黑"/>
                <w:color w:val="000000"/>
                <w:sz w:val="18"/>
                <w:szCs w:val="18"/>
                <w:lang w:val="en-US" w:eastAsia="zh-CN"/>
              </w:rPr>
              <w:t>7</w:t>
            </w:r>
            <w:r>
              <w:rPr>
                <w:rFonts w:hint="eastAsia" w:ascii="华文细黑" w:hAnsi="华文细黑" w:eastAsia="华文细黑" w:cs="华文细黑"/>
                <w:color w:val="000000"/>
                <w:sz w:val="18"/>
                <w:szCs w:val="18"/>
              </w:rPr>
              <w:t>日</w:t>
            </w:r>
          </w:p>
        </w:tc>
      </w:tr>
    </w:tbl>
    <w:p w14:paraId="2EED8E78">
      <w:pPr>
        <w:snapToGrid w:val="0"/>
        <w:spacing w:before="120" w:after="120" w:line="520" w:lineRule="exact"/>
        <w:ind w:firstLine="480" w:firstLineChars="200"/>
        <w:outlineLvl w:val="1"/>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（四）项目主管部门责任</w:t>
      </w:r>
      <w:bookmarkEnd w:id="1"/>
    </w:p>
    <w:p w14:paraId="0AC9A342">
      <w:pPr>
        <w:pStyle w:val="6"/>
        <w:spacing w:line="520" w:lineRule="exact"/>
        <w:ind w:firstLine="480" w:firstLineChars="200"/>
        <w:jc w:val="both"/>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在项目资金使用监督方面，项目主管部门应当加强对项目的管理和监督，在依法合规、确保工程质量安全的前提下，推动建设项目按时完工投入使用；加强对项目实施情况的监控，监督项目业主单位规范使用专项债券资金，确保专项债券资金专款专用，合理控制项目建设进度并做好与项目专项债券还本付息的衔接，并组织和监督项目业主单位及时将专项债券项目对应的政府性基金收入、专项收入及时足额缴入国库，保障专项债券本息偿付。</w:t>
      </w:r>
    </w:p>
    <w:p w14:paraId="6FA2D945">
      <w:pPr>
        <w:pStyle w:val="6"/>
        <w:spacing w:line="520" w:lineRule="exact"/>
        <w:ind w:firstLine="480" w:firstLineChars="200"/>
        <w:jc w:val="both"/>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在项目资金绩效管理方面，主管部门将遵照财政部《地方政府专项债券项目资金绩效管理办法》(财预〔2021〕61号)的要求，协同配合财政部门组织实施专项债券项目资金绩效管理工作，并督促项目单位建立专项债券项目资金绩效跟踪监测机制，对绩效目标实现程度进行动态监控，发现问题及时纠正并告知同级财政部门，并根据绩效评价结果及时整改问题，提高专项债券资金使用效益，确保绩效目标如期实现。</w:t>
      </w:r>
    </w:p>
    <w:p w14:paraId="1AFCEE36">
      <w:pPr>
        <w:pStyle w:val="6"/>
        <w:spacing w:line="520" w:lineRule="exact"/>
        <w:ind w:firstLine="480" w:firstLineChars="200"/>
        <w:jc w:val="both"/>
        <w:rPr>
          <w:rFonts w:hint="eastAsia" w:ascii="华文细黑" w:hAnsi="华文细黑" w:eastAsia="华文细黑" w:cs="华文细黑"/>
          <w:kern w:val="2"/>
          <w:sz w:val="24"/>
          <w:szCs w:val="24"/>
        </w:rPr>
      </w:pPr>
      <w:r>
        <w:rPr>
          <w:rFonts w:hint="eastAsia" w:ascii="华文细黑" w:hAnsi="华文细黑" w:eastAsia="华文细黑" w:cs="华文细黑"/>
          <w:kern w:val="2"/>
          <w:sz w:val="24"/>
          <w:szCs w:val="24"/>
          <w:lang w:val="en-GB"/>
        </w:rPr>
        <w:t>为保障本项目合理融资需求，按照《新预算法》（2014年修订）、《国务院关于加强地方政府性债务管理的意见》（国发〔2014〕43号）、《关于做好2018年地方政府债券发行工作的意见》（财库〔2018〕61号）等文件精神，结合本</w:t>
      </w:r>
      <w:r>
        <w:rPr>
          <w:rFonts w:hint="eastAsia" w:ascii="华文细黑" w:hAnsi="华文细黑" w:eastAsia="华文细黑" w:cs="华文细黑"/>
          <w:kern w:val="2"/>
          <w:sz w:val="24"/>
          <w:szCs w:val="24"/>
        </w:rPr>
        <w:t>期</w:t>
      </w:r>
      <w:r>
        <w:rPr>
          <w:rFonts w:hint="eastAsia" w:ascii="华文细黑" w:hAnsi="华文细黑" w:eastAsia="华文细黑" w:cs="华文细黑"/>
          <w:kern w:val="2"/>
          <w:sz w:val="24"/>
          <w:szCs w:val="24"/>
          <w:lang w:val="en-GB"/>
        </w:rPr>
        <w:t>项目建设计划和202</w:t>
      </w:r>
      <w:r>
        <w:rPr>
          <w:rFonts w:hint="eastAsia" w:ascii="华文细黑" w:hAnsi="华文细黑" w:eastAsia="华文细黑" w:cs="华文细黑"/>
          <w:kern w:val="2"/>
          <w:sz w:val="24"/>
          <w:szCs w:val="24"/>
          <w:lang w:val="en-US" w:eastAsia="zh-CN"/>
        </w:rPr>
        <w:t>5</w:t>
      </w:r>
      <w:r>
        <w:rPr>
          <w:rFonts w:hint="eastAsia" w:ascii="华文细黑" w:hAnsi="华文细黑" w:eastAsia="华文细黑" w:cs="华文细黑"/>
          <w:kern w:val="2"/>
          <w:sz w:val="24"/>
          <w:szCs w:val="24"/>
          <w:lang w:val="en-GB"/>
        </w:rPr>
        <w:t>年发债计划，</w:t>
      </w:r>
      <w:r>
        <w:rPr>
          <w:rFonts w:hint="eastAsia" w:ascii="华文细黑" w:hAnsi="华文细黑" w:eastAsia="华文细黑" w:cs="华文细黑"/>
          <w:kern w:val="2"/>
          <w:sz w:val="24"/>
          <w:szCs w:val="24"/>
        </w:rPr>
        <w:t>海南省</w:t>
      </w:r>
      <w:r>
        <w:rPr>
          <w:rFonts w:hint="eastAsia" w:ascii="华文细黑" w:hAnsi="华文细黑" w:eastAsia="华文细黑" w:cs="华文细黑"/>
          <w:kern w:val="2"/>
          <w:sz w:val="24"/>
          <w:szCs w:val="24"/>
          <w:lang w:val="en-GB"/>
        </w:rPr>
        <w:t>政府决定</w:t>
      </w:r>
      <w:r>
        <w:rPr>
          <w:rFonts w:hint="eastAsia" w:ascii="华文细黑" w:hAnsi="华文细黑" w:eastAsia="华文细黑" w:cs="华文细黑"/>
          <w:kern w:val="2"/>
          <w:sz w:val="24"/>
          <w:szCs w:val="24"/>
        </w:rPr>
        <w:t>将本期项目的债券资金进行调增</w:t>
      </w:r>
      <w:r>
        <w:rPr>
          <w:rFonts w:hint="eastAsia" w:ascii="华文细黑" w:hAnsi="华文细黑" w:eastAsia="华文细黑" w:cs="华文细黑"/>
          <w:kern w:val="2"/>
          <w:sz w:val="24"/>
          <w:szCs w:val="24"/>
          <w:lang w:val="en-GB"/>
        </w:rPr>
        <w:t>，以</w:t>
      </w:r>
      <w:r>
        <w:rPr>
          <w:rFonts w:hint="eastAsia" w:ascii="华文细黑" w:hAnsi="华文细黑" w:eastAsia="华文细黑" w:cs="华文细黑"/>
          <w:kern w:val="2"/>
          <w:sz w:val="24"/>
          <w:szCs w:val="24"/>
        </w:rPr>
        <w:t>满足</w:t>
      </w:r>
      <w:r>
        <w:rPr>
          <w:rFonts w:hint="eastAsia" w:ascii="华文细黑" w:hAnsi="华文细黑" w:eastAsia="华文细黑" w:cs="华文细黑"/>
          <w:kern w:val="2"/>
          <w:sz w:val="24"/>
          <w:szCs w:val="24"/>
          <w:lang w:val="en-US" w:eastAsia="zh-CN"/>
        </w:rPr>
        <w:t>海口市民生事业</w:t>
      </w:r>
      <w:r>
        <w:rPr>
          <w:rFonts w:hint="eastAsia" w:ascii="华文细黑" w:hAnsi="华文细黑" w:eastAsia="华文细黑" w:cs="华文细黑"/>
          <w:kern w:val="2"/>
          <w:sz w:val="24"/>
          <w:szCs w:val="24"/>
        </w:rPr>
        <w:t>的融资需求。</w:t>
      </w:r>
    </w:p>
    <w:p w14:paraId="0643D511">
      <w:pPr>
        <w:pStyle w:val="37"/>
        <w:numPr>
          <w:ilvl w:val="0"/>
          <w:numId w:val="4"/>
        </w:numPr>
        <w:ind w:firstLineChars="0"/>
        <w:outlineLvl w:val="0"/>
        <w:rPr>
          <w:rFonts w:hint="eastAsia" w:ascii="华文细黑" w:hAnsi="华文细黑" w:eastAsia="华文细黑" w:cs="华文细黑"/>
          <w:b/>
          <w:bCs/>
          <w:color w:val="000000"/>
          <w:kern w:val="0"/>
          <w:sz w:val="24"/>
          <w:szCs w:val="24"/>
        </w:rPr>
      </w:pPr>
      <w:bookmarkStart w:id="16" w:name="_Toc16742"/>
      <w:r>
        <w:rPr>
          <w:rFonts w:hint="eastAsia" w:ascii="华文细黑" w:hAnsi="华文细黑" w:eastAsia="华文细黑" w:cs="华文细黑"/>
          <w:b/>
          <w:bCs/>
          <w:color w:val="000000"/>
          <w:kern w:val="0"/>
          <w:sz w:val="24"/>
          <w:szCs w:val="24"/>
        </w:rPr>
        <w:t>事前绩效评估</w:t>
      </w:r>
      <w:bookmarkEnd w:id="16"/>
    </w:p>
    <w:p w14:paraId="6ED4599E">
      <w:pPr>
        <w:spacing w:before="120" w:after="120" w:line="520" w:lineRule="exact"/>
        <w:ind w:firstLine="510"/>
        <w:outlineLvl w:val="1"/>
        <w:rPr>
          <w:rFonts w:hint="eastAsia" w:ascii="华文细黑" w:hAnsi="华文细黑" w:eastAsia="华文细黑" w:cs="华文细黑"/>
          <w:color w:val="000000"/>
          <w:sz w:val="24"/>
          <w:szCs w:val="24"/>
        </w:rPr>
      </w:pPr>
      <w:bookmarkStart w:id="17" w:name="_Toc1666"/>
      <w:r>
        <w:rPr>
          <w:rFonts w:hint="eastAsia" w:ascii="华文细黑" w:hAnsi="华文细黑" w:eastAsia="华文细黑" w:cs="华文细黑"/>
          <w:color w:val="000000"/>
          <w:sz w:val="24"/>
          <w:szCs w:val="24"/>
        </w:rPr>
        <w:t>（一）项目实施的必要性、公益性、收益性</w:t>
      </w:r>
    </w:p>
    <w:p w14:paraId="724C6FDB">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1、项目实施的必要性</w:t>
      </w:r>
    </w:p>
    <w:p w14:paraId="2FFFEED2">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海口江东新区作为海南自贸港建设的重点先行区域，其CBD片区是高端人才的重要聚集地，而这些人才对于子女教育有着极高的标准，他们迫切需要“高质量、近距离”的公立教育资源来解决子女上学问题。然而，目前该区域的教育资源现状却难以满足这一需求。在幼儿园和小学阶段，优质公立学位严重不足，现有的教育资源在数量上无法满足不断增长的需求，在办学质量上也与人才群体对优质教育的期望存在较大差距。</w:t>
      </w:r>
    </w:p>
    <w:p w14:paraId="0173CC4B">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这种教育资源供需失衡的情况，带来了一系列不良影响。一方面，它可能让高端人才在选择扎根江东新区时产生顾虑，不利于人才的稳定发展</w:t>
      </w:r>
      <w:r>
        <w:rPr>
          <w:rFonts w:hint="eastAsia" w:ascii="华文细黑" w:hAnsi="华文细黑" w:eastAsia="华文细黑" w:cs="华文细黑"/>
          <w:color w:val="000000"/>
          <w:sz w:val="24"/>
          <w:szCs w:val="24"/>
          <w:lang w:eastAsia="zh-CN"/>
        </w:rPr>
        <w:t>；</w:t>
      </w:r>
      <w:r>
        <w:rPr>
          <w:rFonts w:hint="eastAsia" w:ascii="华文细黑" w:hAnsi="华文细黑" w:eastAsia="华文细黑" w:cs="华文细黑"/>
          <w:color w:val="000000"/>
          <w:sz w:val="24"/>
          <w:szCs w:val="24"/>
        </w:rPr>
        <w:t>另一方面，也与江东新区作为自贸港核心区域的发展地位不相符，会在一定程度上制约区域的整体发展。</w:t>
      </w:r>
    </w:p>
    <w:p w14:paraId="5075B76C">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海南中学江东校区小学部及幼儿园的建设，正是针对这一问题的有效解决方案。通过建设这些教育设施，能够直接增加优质公立学位的数量，完善从幼儿到小学的基础教育体系，让人才子女能够在身边享受到优质的教育资源。这不仅能切实减轻人才家庭的教育压力，消除他们的后顾之忧，更能从根源上解决区域内教育资源供需紧张的问题，为江东新区吸引和留住高端人才、推动自贸港建设提供坚实的教育保障。</w:t>
      </w:r>
    </w:p>
    <w:p w14:paraId="249ED5BA">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lang w:val="en-US" w:eastAsia="zh-CN"/>
        </w:rPr>
        <w:t>因此，本项目的建设是必要的，紧迫的</w:t>
      </w:r>
      <w:r>
        <w:rPr>
          <w:rFonts w:hint="eastAsia" w:ascii="华文细黑" w:hAnsi="华文细黑" w:eastAsia="华文细黑" w:cs="华文细黑"/>
          <w:color w:val="000000"/>
          <w:sz w:val="24"/>
          <w:szCs w:val="24"/>
        </w:rPr>
        <w:t>。</w:t>
      </w:r>
    </w:p>
    <w:p w14:paraId="3A43F0F9">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2、项目实施的公益性</w:t>
      </w:r>
    </w:p>
    <w:p w14:paraId="4B331997">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lang w:val="en-US" w:eastAsia="zh-CN"/>
        </w:rPr>
        <w:t>教育事业一直都是我国政府极为重视的公益事业，本项目的实施将快速促进和推动当地基础教育复兴和发展，为提高民族素质，培养适应社会发展需要的人才奠定基础。项目建成后，可以有效缓解</w:t>
      </w:r>
      <w:r>
        <w:rPr>
          <w:rFonts w:hint="eastAsia" w:ascii="华文细黑" w:hAnsi="华文细黑" w:eastAsia="华文细黑" w:cs="华文细黑"/>
          <w:color w:val="000000"/>
          <w:sz w:val="24"/>
          <w:szCs w:val="24"/>
        </w:rPr>
        <w:t>CBD片区</w:t>
      </w:r>
      <w:r>
        <w:rPr>
          <w:rFonts w:hint="eastAsia" w:ascii="华文细黑" w:hAnsi="华文细黑" w:eastAsia="华文细黑" w:cs="华文细黑"/>
          <w:color w:val="000000"/>
          <w:sz w:val="24"/>
          <w:szCs w:val="24"/>
          <w:lang w:val="en-US" w:eastAsia="zh-CN"/>
        </w:rPr>
        <w:t>就学难的问题；同时对提高海口市教育水平，推进海口教育强市建设都具有积极的作用</w:t>
      </w:r>
      <w:r>
        <w:rPr>
          <w:rFonts w:hint="eastAsia" w:ascii="华文细黑" w:hAnsi="华文细黑" w:eastAsia="华文细黑" w:cs="华文细黑"/>
          <w:color w:val="000000"/>
          <w:sz w:val="24"/>
          <w:szCs w:val="24"/>
        </w:rPr>
        <w:t>。</w:t>
      </w:r>
    </w:p>
    <w:p w14:paraId="54A2F163">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3、项目实施的收益性</w:t>
      </w:r>
    </w:p>
    <w:p w14:paraId="3D0EE4D2">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lang w:val="en-US" w:eastAsia="zh-CN"/>
        </w:rPr>
        <w:t>随着二胎政策的放开，居民对学前教育的重视程度增加，学前教育、义务教育项目社会需求旺盛，项目有较好的市场前景，预计本项目营运期平均每年将实现保教费、伙食费、住宿费、土地出让收入等收入。另教育项目作为体系化的城市公共配套资源不可或缺的一部分，CBD南片区幼儿园等公共配套设施的建成和投入使用，将有效提升</w:t>
      </w:r>
      <w:r>
        <w:rPr>
          <w:rFonts w:hint="eastAsia" w:ascii="华文细黑" w:hAnsi="华文细黑" w:eastAsia="华文细黑" w:cs="华文细黑"/>
          <w:sz w:val="24"/>
          <w:szCs w:val="24"/>
          <w:lang w:val="en-GB"/>
        </w:rPr>
        <w:t>JDQBN-A03-B1部分地块及JDQBN-A03-B2地块</w:t>
      </w:r>
      <w:r>
        <w:rPr>
          <w:rFonts w:hint="eastAsia" w:ascii="华文细黑" w:hAnsi="华文细黑" w:eastAsia="华文细黑" w:cs="华文细黑"/>
          <w:color w:val="000000"/>
          <w:sz w:val="24"/>
          <w:szCs w:val="24"/>
          <w:lang w:val="en-US" w:eastAsia="zh-CN"/>
        </w:rPr>
        <w:t>（项目所在地块）周边地块的土地价值，最终体现为周边土地出让所形成的政府基金收入</w:t>
      </w:r>
      <w:r>
        <w:rPr>
          <w:rFonts w:hint="eastAsia" w:ascii="华文细黑" w:hAnsi="华文细黑" w:eastAsia="华文细黑" w:cs="华文细黑"/>
          <w:color w:val="000000"/>
          <w:sz w:val="24"/>
          <w:szCs w:val="24"/>
        </w:rPr>
        <w:t>。</w:t>
      </w:r>
    </w:p>
    <w:p w14:paraId="39A4DCF9">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（二）项目建设投资合规性与项目成熟度</w:t>
      </w:r>
    </w:p>
    <w:p w14:paraId="0BF7A2E0">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项目建设投资符合相关规定、流程，根据已取得项目单位提供的相关资料中关于项目的批复文件，取得必要论证。项目已完成立项审批等工作，目前已处于施工</w:t>
      </w:r>
      <w:r>
        <w:rPr>
          <w:rFonts w:hint="eastAsia" w:ascii="华文细黑" w:hAnsi="华文细黑" w:eastAsia="华文细黑" w:cs="华文细黑"/>
          <w:color w:val="000000"/>
          <w:sz w:val="24"/>
          <w:szCs w:val="24"/>
          <w:lang w:val="en-US" w:eastAsia="zh-CN"/>
        </w:rPr>
        <w:t>准备</w:t>
      </w:r>
      <w:r>
        <w:rPr>
          <w:rFonts w:hint="eastAsia" w:ascii="华文细黑" w:hAnsi="华文细黑" w:eastAsia="华文细黑" w:cs="华文细黑"/>
          <w:color w:val="000000"/>
          <w:sz w:val="24"/>
          <w:szCs w:val="24"/>
        </w:rPr>
        <w:t>阶段，具备成熟度。</w:t>
      </w:r>
    </w:p>
    <w:p w14:paraId="030B4896">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（三）项目资金来源和到位可行性</w:t>
      </w:r>
    </w:p>
    <w:p w14:paraId="2CF11C1C">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本项目为政府投资项目，全部资金均由财政资金及专项债券筹集，资金应能按时拨付到位。</w:t>
      </w:r>
    </w:p>
    <w:p w14:paraId="66C30624">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（四）项目收入、成本、收益预测合理性</w:t>
      </w:r>
    </w:p>
    <w:p w14:paraId="5CFD6DB0">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本项目专项债券以</w:t>
      </w:r>
      <w:r>
        <w:rPr>
          <w:rFonts w:hint="eastAsia" w:ascii="华文细黑" w:hAnsi="华文细黑" w:eastAsia="华文细黑" w:cs="华文细黑"/>
          <w:color w:val="000000"/>
          <w:sz w:val="24"/>
          <w:szCs w:val="24"/>
          <w:lang w:val="en-US" w:eastAsia="zh-CN"/>
        </w:rPr>
        <w:t>保教费收入、伙食费收入、课后托管费收入、住宿费收入、其他收入</w:t>
      </w:r>
      <w:r>
        <w:rPr>
          <w:rFonts w:hint="eastAsia" w:ascii="华文细黑" w:hAnsi="华文细黑" w:eastAsia="华文细黑" w:cs="华文细黑"/>
          <w:color w:val="000000"/>
          <w:sz w:val="24"/>
          <w:szCs w:val="24"/>
        </w:rPr>
        <w:t>为基础。</w:t>
      </w:r>
    </w:p>
    <w:p w14:paraId="2637FC47">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根据资金平衡测算分析，</w:t>
      </w:r>
      <w:r>
        <w:rPr>
          <w:rFonts w:hint="eastAsia" w:ascii="华文细黑" w:hAnsi="华文细黑" w:eastAsia="华文细黑" w:cs="华文细黑"/>
          <w:color w:val="000000"/>
          <w:sz w:val="24"/>
          <w:szCs w:val="24"/>
          <w:lang w:eastAsia="zh-CN"/>
        </w:rPr>
        <w:t>海口江东新区CBD南片区幼儿园及配套基础设施项目</w:t>
      </w:r>
      <w:r>
        <w:rPr>
          <w:rFonts w:hint="eastAsia" w:ascii="华文细黑" w:hAnsi="华文细黑" w:eastAsia="华文细黑" w:cs="华文细黑"/>
          <w:color w:val="000000"/>
          <w:sz w:val="24"/>
          <w:szCs w:val="24"/>
        </w:rPr>
        <w:t>项目预计债券本息资金覆盖率可达到1.</w:t>
      </w:r>
      <w:r>
        <w:rPr>
          <w:rFonts w:hint="eastAsia" w:ascii="华文细黑" w:hAnsi="华文细黑" w:eastAsia="华文细黑" w:cs="华文细黑"/>
          <w:color w:val="000000"/>
          <w:sz w:val="24"/>
          <w:szCs w:val="24"/>
          <w:lang w:val="en-US" w:eastAsia="zh-CN"/>
        </w:rPr>
        <w:t>65</w:t>
      </w:r>
      <w:r>
        <w:rPr>
          <w:rFonts w:hint="eastAsia" w:ascii="华文细黑" w:hAnsi="华文细黑" w:eastAsia="华文细黑" w:cs="华文细黑"/>
          <w:color w:val="000000"/>
          <w:sz w:val="24"/>
          <w:szCs w:val="24"/>
        </w:rPr>
        <w:t>，债券本息资金覆盖倍数可达到1.</w:t>
      </w:r>
      <w:r>
        <w:rPr>
          <w:rFonts w:hint="eastAsia" w:ascii="华文细黑" w:hAnsi="华文细黑" w:eastAsia="华文细黑" w:cs="华文细黑"/>
          <w:color w:val="000000"/>
          <w:sz w:val="24"/>
          <w:szCs w:val="24"/>
          <w:lang w:val="en-US" w:eastAsia="zh-CN"/>
        </w:rPr>
        <w:t>63</w:t>
      </w:r>
      <w:r>
        <w:rPr>
          <w:rFonts w:hint="eastAsia" w:ascii="华文细黑" w:hAnsi="华文细黑" w:eastAsia="华文细黑" w:cs="华文细黑"/>
          <w:color w:val="000000"/>
          <w:sz w:val="24"/>
          <w:szCs w:val="24"/>
        </w:rPr>
        <w:t>，能够满足债券还本付息的需求。</w:t>
      </w:r>
    </w:p>
    <w:p w14:paraId="32066068">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另外，在对运营收入和债券利率变动进行压力测试后，结果显示，本项目在</w:t>
      </w:r>
      <w:r>
        <w:rPr>
          <w:rFonts w:hint="eastAsia" w:ascii="华文细黑" w:hAnsi="华文细黑" w:eastAsia="华文细黑" w:cs="华文细黑"/>
          <w:color w:val="000000"/>
          <w:sz w:val="24"/>
          <w:szCs w:val="24"/>
          <w:lang w:val="en-US" w:eastAsia="zh-CN"/>
        </w:rPr>
        <w:t>运营</w:t>
      </w:r>
      <w:r>
        <w:rPr>
          <w:rFonts w:hint="eastAsia" w:ascii="华文细黑" w:hAnsi="华文细黑" w:eastAsia="华文细黑" w:cs="华文细黑"/>
          <w:color w:val="000000"/>
          <w:sz w:val="24"/>
          <w:szCs w:val="24"/>
          <w:lang w:eastAsia="zh-CN"/>
        </w:rPr>
        <w:t>收入</w:t>
      </w:r>
      <w:r>
        <w:rPr>
          <w:rFonts w:hint="eastAsia" w:ascii="华文细黑" w:hAnsi="华文细黑" w:eastAsia="华文细黑" w:cs="华文细黑"/>
          <w:color w:val="000000"/>
          <w:sz w:val="24"/>
          <w:szCs w:val="24"/>
        </w:rPr>
        <w:t>下降15%或债券利率上升15%时，项目收益仍能覆盖债券的还本付息，项目具备一定的抗风险能力。项目收入、成本、收益预测具备合理性。</w:t>
      </w:r>
    </w:p>
    <w:p w14:paraId="139B122D">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（五）债券资金需求合理性</w:t>
      </w:r>
    </w:p>
    <w:p w14:paraId="601E2388">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结合建设资金需求及项目财政资金款项到账时间节点，为保障项目建设期间资金需求，项目通过发行专项债券筹集资金。同时，本项目专项债券将依照项目现金流结余情况，降低利息费用，提高资金使用效率，已考虑运营收益、债券利率等因素变动对专项债券本息资金覆盖情况的影响。总体而言，本项目通过发行专项债可实现降低融资成本，是现阶段解决本项目融资资金问题的推荐方案，申请本次债券资金需求合理。</w:t>
      </w:r>
    </w:p>
    <w:p w14:paraId="72A3E49E">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（六）项目偿债计划可行性和偿债风险点</w:t>
      </w:r>
    </w:p>
    <w:p w14:paraId="488B7F19">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项目偿债计划为拟在还本付息年份内，</w:t>
      </w:r>
      <w:r>
        <w:rPr>
          <w:rFonts w:hint="eastAsia" w:ascii="华文细黑" w:hAnsi="华文细黑" w:eastAsia="华文细黑" w:cs="华文细黑"/>
          <w:color w:val="000000"/>
          <w:sz w:val="24"/>
          <w:szCs w:val="24"/>
          <w:lang w:val="en-US" w:eastAsia="zh-CN"/>
        </w:rPr>
        <w:t>保教费收入、伙食费收入、课后托管费收入、住宿费收入、其他收入</w:t>
      </w:r>
      <w:r>
        <w:rPr>
          <w:rFonts w:hint="eastAsia" w:ascii="华文细黑" w:hAnsi="华文细黑" w:eastAsia="华文细黑" w:cs="华文细黑"/>
          <w:color w:val="000000"/>
          <w:sz w:val="24"/>
          <w:szCs w:val="24"/>
        </w:rPr>
        <w:t>作为债券偿债的主要来源，可以测算得出本项目未来用于还本付息的运营收入可以覆盖债券还本付息，具备可行性。</w:t>
      </w:r>
    </w:p>
    <w:p w14:paraId="52E59343">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但尽管上述对于运营收入预测遵循了谨慎性原则进行保守推测，但是由于实际工期延误、采购成本等受宏观经济及市场影响较大，存在以上偿债风险点，详见“六、风险评估”。</w:t>
      </w:r>
    </w:p>
    <w:p w14:paraId="344B877D">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（七）绩效目标合理性</w:t>
      </w:r>
    </w:p>
    <w:p w14:paraId="08C4A3C9">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在本次事前绩效目标的评估中，项目单位已根据项目情况设置了成本指标、可持续影响指标、服务对象满意度指标等各项事前绩效目标。已设置的绩效目标及指标均可量化考核，匹配项目实际情况，基本已完整覆盖，契合了本项目对</w:t>
      </w:r>
      <w:r>
        <w:rPr>
          <w:rFonts w:hint="eastAsia" w:ascii="华文细黑" w:hAnsi="华文细黑" w:eastAsia="华文细黑" w:cs="华文细黑"/>
          <w:color w:val="000000"/>
          <w:sz w:val="24"/>
          <w:szCs w:val="24"/>
          <w:lang w:eastAsia="zh-CN"/>
        </w:rPr>
        <w:t>我市</w:t>
      </w:r>
      <w:r>
        <w:rPr>
          <w:rFonts w:hint="eastAsia" w:ascii="华文细黑" w:hAnsi="华文细黑" w:eastAsia="华文细黑" w:cs="华文细黑"/>
          <w:color w:val="000000"/>
          <w:sz w:val="24"/>
          <w:szCs w:val="24"/>
        </w:rPr>
        <w:t>基础设施推进作用的实质，与</w:t>
      </w:r>
      <w:r>
        <w:rPr>
          <w:rFonts w:hint="eastAsia" w:ascii="华文细黑" w:hAnsi="华文细黑" w:eastAsia="华文细黑" w:cs="华文细黑"/>
          <w:color w:val="000000"/>
          <w:sz w:val="24"/>
          <w:szCs w:val="24"/>
          <w:lang w:eastAsia="zh-CN"/>
        </w:rPr>
        <w:t>我市</w:t>
      </w:r>
      <w:r>
        <w:rPr>
          <w:rFonts w:hint="eastAsia" w:ascii="华文细黑" w:hAnsi="华文细黑" w:eastAsia="华文细黑" w:cs="华文细黑"/>
          <w:color w:val="000000"/>
          <w:sz w:val="24"/>
          <w:szCs w:val="24"/>
        </w:rPr>
        <w:t>长期规划目标、年度工作目标相一致，产出和效果目标紧密相连。</w:t>
      </w:r>
    </w:p>
    <w:p w14:paraId="78C5B67E">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（八）其他需要纳入事前绩效评估的事项</w:t>
      </w:r>
    </w:p>
    <w:p w14:paraId="0E9D32AD">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暂无。</w:t>
      </w:r>
    </w:p>
    <w:p w14:paraId="23090E86">
      <w:pPr>
        <w:spacing w:before="120" w:after="120" w:line="520" w:lineRule="exact"/>
        <w:ind w:firstLine="510"/>
        <w:outlineLvl w:val="1"/>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（九）整体结论</w:t>
      </w:r>
    </w:p>
    <w:p w14:paraId="23B797CB">
      <w:pPr>
        <w:spacing w:before="120" w:after="120" w:line="520" w:lineRule="exact"/>
        <w:ind w:firstLine="510"/>
        <w:rPr>
          <w:rFonts w:hint="eastAsia"/>
        </w:rPr>
      </w:pPr>
      <w:r>
        <w:rPr>
          <w:rFonts w:hint="eastAsia" w:ascii="华文细黑" w:hAnsi="华文细黑" w:eastAsia="华文细黑" w:cs="华文细黑"/>
          <w:color w:val="000000"/>
          <w:sz w:val="24"/>
          <w:szCs w:val="24"/>
        </w:rPr>
        <w:t>综上，本项目经事前绩效评估，是已具备申请专项债券资金支持的必要性和可行性。</w:t>
      </w:r>
      <w:bookmarkEnd w:id="17"/>
    </w:p>
    <w:p w14:paraId="386E7FD0">
      <w:pPr>
        <w:numPr>
          <w:ilvl w:val="0"/>
          <w:numId w:val="4"/>
        </w:numPr>
        <w:spacing w:before="120" w:after="120" w:line="520" w:lineRule="exact"/>
        <w:ind w:firstLine="480" w:firstLineChars="200"/>
        <w:jc w:val="left"/>
        <w:outlineLvl w:val="0"/>
        <w:rPr>
          <w:rFonts w:hint="eastAsia" w:ascii="华文细黑" w:hAnsi="华文细黑" w:eastAsia="华文细黑" w:cs="华文细黑"/>
          <w:b/>
          <w:bCs/>
          <w:color w:val="000000"/>
          <w:kern w:val="0"/>
          <w:sz w:val="24"/>
          <w:szCs w:val="24"/>
        </w:rPr>
      </w:pPr>
      <w:bookmarkStart w:id="18" w:name="_Toc29627"/>
      <w:r>
        <w:rPr>
          <w:rFonts w:hint="eastAsia" w:ascii="华文细黑" w:hAnsi="华文细黑" w:eastAsia="华文细黑" w:cs="华文细黑"/>
          <w:b/>
          <w:bCs/>
          <w:color w:val="000000"/>
          <w:kern w:val="0"/>
          <w:sz w:val="24"/>
          <w:szCs w:val="24"/>
        </w:rPr>
        <w:t>项目预测收益与融资平衡情况</w:t>
      </w:r>
      <w:bookmarkEnd w:id="18"/>
    </w:p>
    <w:p w14:paraId="23186F8C">
      <w:pPr>
        <w:spacing w:before="120" w:after="120" w:line="520" w:lineRule="exact"/>
        <w:ind w:firstLine="510"/>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2017年财政部公布《关于试点发展项目收益与融资自求平衡的地方政府专项债券品种的通知》（财预〔2017〕89号），提出在法定专项债务限额内，各地方按照本地区政府性基金收入项目分类发行专项债券，着力发展实现项目收益与融资自求平衡的专项债券品种。2018年财政部公布《关于做好2018年地方政府债务管理工作的通知》（财预〔2018〕34号），鼓励有条件的地方试点发展项目收益与融资自求平衡的专项债券，优先在重大区域发展以及乡村振兴、生态环保、保障性住房、公立医院、公立高校、交通、水利、市政医疗卫生等领域选择符合条件的项目，积极探索试点发行项目收益专项债券，以对应的政府性基金或专项收入偿还。</w:t>
      </w:r>
    </w:p>
    <w:p w14:paraId="04D5E928">
      <w:pPr>
        <w:spacing w:before="120" w:after="120" w:line="520" w:lineRule="exact"/>
        <w:ind w:firstLine="510"/>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根据财预〔2017〕89号文件的要求，分类发行专项债券建设的项目，应当能够产生持续稳定的反映为政府性基金收入或专项收入的现金流收入，且现金流收入应当能够完全覆盖专项债券还本付息的规模。</w:t>
      </w:r>
    </w:p>
    <w:p w14:paraId="1ECE3746">
      <w:pPr>
        <w:spacing w:before="120" w:after="120" w:line="520" w:lineRule="exact"/>
        <w:ind w:firstLine="510"/>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此外，根据文件相关要求，地方政府发行专项债券，需要在满足法定专项债务限额的前提下，充分考虑资金筹措的充足性和稳定性。</w:t>
      </w:r>
    </w:p>
    <w:p w14:paraId="3EA8E006">
      <w:pPr>
        <w:spacing w:before="120" w:after="120" w:line="520" w:lineRule="exact"/>
        <w:ind w:firstLine="510"/>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我们根据国家、地方相关政策文件，以真实、客观、可行、独立为原则，对本期专项债券资金调整项目分析评价如下：</w:t>
      </w:r>
    </w:p>
    <w:p w14:paraId="5F87F10B">
      <w:pPr>
        <w:widowControl/>
        <w:spacing w:before="120" w:after="120" w:line="520" w:lineRule="exact"/>
        <w:jc w:val="left"/>
        <w:outlineLvl w:val="1"/>
        <w:rPr>
          <w:rFonts w:ascii="Verdana" w:hAnsi="Verdana" w:eastAsia="华文细黑" w:cs="Times New Roman"/>
          <w:b/>
          <w:kern w:val="0"/>
          <w:sz w:val="28"/>
          <w:szCs w:val="24"/>
        </w:rPr>
      </w:pPr>
      <w:bookmarkStart w:id="19" w:name="_Toc16614"/>
      <w:r>
        <w:rPr>
          <w:rFonts w:hint="eastAsia" w:ascii="Verdana" w:hAnsi="Verdana" w:eastAsia="华文细黑" w:cs="Times New Roman"/>
          <w:b/>
          <w:kern w:val="0"/>
          <w:sz w:val="28"/>
          <w:szCs w:val="24"/>
        </w:rPr>
        <w:t>1.资金充足性</w:t>
      </w:r>
      <w:bookmarkEnd w:id="19"/>
    </w:p>
    <w:p w14:paraId="5789B943">
      <w:pPr>
        <w:widowControl/>
        <w:spacing w:before="120" w:after="120" w:line="520" w:lineRule="exact"/>
        <w:ind w:firstLine="510"/>
        <w:rPr>
          <w:rFonts w:hint="eastAsia" w:ascii="Verdana" w:hAnsi="Verdana" w:eastAsia="华文细黑" w:cs="Times New Roman"/>
          <w:kern w:val="0"/>
          <w:sz w:val="24"/>
          <w:szCs w:val="24"/>
          <w:lang w:eastAsia="zh-CN"/>
        </w:rPr>
      </w:pPr>
      <w:r>
        <w:rPr>
          <w:rFonts w:hint="eastAsia" w:ascii="Verdana" w:hAnsi="Verdana" w:eastAsia="华文细黑" w:cs="Times New Roman"/>
          <w:kern w:val="0"/>
          <w:sz w:val="24"/>
          <w:szCs w:val="24"/>
          <w:lang w:eastAsia="zh-CN"/>
        </w:rPr>
        <w:t>海口江东新区CBD南片区幼儿园及配套基础设施项目</w:t>
      </w:r>
      <w:r>
        <w:rPr>
          <w:rFonts w:hint="eastAsia" w:ascii="Verdana" w:hAnsi="Verdana" w:eastAsia="华文细黑" w:cs="Times New Roman"/>
          <w:kern w:val="0"/>
          <w:sz w:val="24"/>
          <w:szCs w:val="24"/>
        </w:rPr>
        <w:t>本次调增专项债券</w:t>
      </w:r>
      <w:r>
        <w:rPr>
          <w:rFonts w:hint="eastAsia" w:ascii="Verdana" w:hAnsi="Verdana" w:eastAsia="华文细黑" w:cs="Times New Roman"/>
          <w:kern w:val="0"/>
          <w:sz w:val="24"/>
          <w:szCs w:val="24"/>
          <w:lang w:val="en-US" w:eastAsia="zh-CN"/>
        </w:rPr>
        <w:t>500</w:t>
      </w:r>
      <w:r>
        <w:rPr>
          <w:rFonts w:hint="eastAsia" w:ascii="Verdana" w:hAnsi="Verdana" w:eastAsia="华文细黑" w:cs="Times New Roman"/>
          <w:kern w:val="0"/>
          <w:sz w:val="24"/>
          <w:szCs w:val="24"/>
        </w:rPr>
        <w:t>.00</w:t>
      </w:r>
      <w:r>
        <w:rPr>
          <w:rFonts w:hint="eastAsia" w:ascii="Verdana" w:hAnsi="Verdana" w:eastAsia="华文细黑" w:cs="Times New Roman"/>
          <w:kern w:val="0"/>
          <w:sz w:val="24"/>
          <w:szCs w:val="24"/>
          <w:lang w:val="en-US" w:eastAsia="zh-CN"/>
        </w:rPr>
        <w:t>万元，2026年拟发行</w:t>
      </w:r>
      <w:r>
        <w:rPr>
          <w:rFonts w:hint="eastAsia" w:ascii="Verdana" w:hAnsi="Verdana" w:eastAsia="华文细黑" w:cs="Times New Roman"/>
          <w:kern w:val="0"/>
          <w:sz w:val="24"/>
          <w:szCs w:val="24"/>
        </w:rPr>
        <w:t>专项债券</w:t>
      </w:r>
      <w:r>
        <w:rPr>
          <w:rFonts w:hint="eastAsia" w:ascii="Verdana" w:hAnsi="Verdana" w:eastAsia="华文细黑" w:cs="Times New Roman"/>
          <w:kern w:val="0"/>
          <w:sz w:val="24"/>
          <w:szCs w:val="24"/>
          <w:lang w:val="en-US" w:eastAsia="zh-CN"/>
        </w:rPr>
        <w:t>7,000</w:t>
      </w:r>
      <w:r>
        <w:rPr>
          <w:rFonts w:hint="eastAsia" w:ascii="Verdana" w:hAnsi="Verdana" w:eastAsia="华文细黑" w:cs="Times New Roman"/>
          <w:kern w:val="0"/>
          <w:sz w:val="24"/>
          <w:szCs w:val="24"/>
        </w:rPr>
        <w:t>.00</w:t>
      </w:r>
      <w:r>
        <w:rPr>
          <w:rFonts w:hint="eastAsia" w:ascii="Verdana" w:hAnsi="Verdana" w:eastAsia="华文细黑" w:cs="Times New Roman"/>
          <w:kern w:val="0"/>
          <w:sz w:val="24"/>
          <w:szCs w:val="24"/>
          <w:lang w:val="en-US" w:eastAsia="zh-CN"/>
        </w:rPr>
        <w:t>万元。</w:t>
      </w:r>
    </w:p>
    <w:p w14:paraId="62441AAC">
      <w:pPr>
        <w:widowControl/>
        <w:spacing w:before="120" w:after="120" w:line="520" w:lineRule="exact"/>
        <w:ind w:firstLine="510"/>
        <w:rPr>
          <w:rFonts w:ascii="Verdana" w:hAnsi="Verdana" w:eastAsia="华文细黑" w:cs="Times New Roman"/>
          <w:color w:val="000000"/>
          <w:kern w:val="0"/>
          <w:sz w:val="24"/>
          <w:szCs w:val="24"/>
        </w:rPr>
      </w:pPr>
      <w:r>
        <w:rPr>
          <w:rFonts w:hint="eastAsia" w:ascii="Verdana" w:hAnsi="Verdana" w:eastAsia="华文细黑" w:cs="Times New Roman"/>
          <w:color w:val="000000"/>
          <w:kern w:val="0"/>
          <w:sz w:val="24"/>
          <w:szCs w:val="24"/>
        </w:rPr>
        <w:t>根据项目收益与融资平衡分析结果显示，本债券存续期内还本付息资金充足。项目资金覆盖率详见表2：</w:t>
      </w:r>
    </w:p>
    <w:p w14:paraId="30EF85C4">
      <w:pPr>
        <w:widowControl/>
        <w:spacing w:after="0" w:line="254" w:lineRule="auto"/>
        <w:jc w:val="center"/>
        <w:rPr>
          <w:rFonts w:hint="eastAsia" w:ascii="华文细黑" w:hAnsi="华文细黑" w:eastAsia="华文细黑" w:cs="华文细黑"/>
          <w:b/>
          <w:color w:val="000000"/>
          <w:kern w:val="0"/>
          <w:sz w:val="24"/>
          <w:szCs w:val="24"/>
          <w:lang w:bidi="ar"/>
        </w:rPr>
      </w:pPr>
      <w:r>
        <w:rPr>
          <w:rFonts w:hint="eastAsia" w:ascii="华文细黑" w:hAnsi="华文细黑" w:eastAsia="华文细黑" w:cs="华文细黑"/>
          <w:b/>
          <w:color w:val="000000"/>
          <w:kern w:val="0"/>
          <w:sz w:val="24"/>
          <w:szCs w:val="24"/>
          <w:lang w:bidi="ar"/>
        </w:rPr>
        <w:t>表2</w:t>
      </w:r>
      <w:r>
        <w:rPr>
          <w:rFonts w:hint="eastAsia" w:ascii="华文细黑" w:hAnsi="华文细黑" w:eastAsia="华文细黑" w:cs="华文细黑"/>
          <w:b/>
          <w:color w:val="000000"/>
          <w:kern w:val="0"/>
          <w:sz w:val="24"/>
          <w:szCs w:val="24"/>
          <w:lang w:eastAsia="zh-CN" w:bidi="ar"/>
        </w:rPr>
        <w:t>海口江东新区CBD南片区幼儿园及配套基础设施项目</w:t>
      </w:r>
      <w:r>
        <w:rPr>
          <w:rFonts w:hint="eastAsia" w:ascii="华文细黑" w:hAnsi="华文细黑" w:eastAsia="华文细黑" w:cs="华文细黑"/>
          <w:b/>
          <w:color w:val="000000"/>
          <w:kern w:val="0"/>
          <w:sz w:val="24"/>
          <w:szCs w:val="24"/>
          <w:lang w:bidi="ar"/>
        </w:rPr>
        <w:t>本息覆盖率表</w:t>
      </w:r>
    </w:p>
    <w:p w14:paraId="66B95FE9">
      <w:pPr>
        <w:widowControl/>
        <w:spacing w:after="0" w:line="240" w:lineRule="auto"/>
        <w:ind w:right="-574"/>
        <w:jc w:val="right"/>
        <w:rPr>
          <w:rFonts w:ascii="Verdana" w:hAnsi="Verdana" w:eastAsia="华文细黑" w:cs="Times New Roman"/>
          <w:color w:val="000000"/>
          <w:kern w:val="0"/>
          <w:sz w:val="20"/>
          <w:szCs w:val="20"/>
        </w:rPr>
      </w:pPr>
      <w:r>
        <w:rPr>
          <w:rFonts w:ascii="Verdana" w:hAnsi="Verdana" w:eastAsia="华文细黑" w:cs="Times New Roman"/>
          <w:color w:val="000000"/>
          <w:kern w:val="0"/>
          <w:sz w:val="20"/>
          <w:szCs w:val="20"/>
        </w:rPr>
        <w:t>单位：人民币万元</w:t>
      </w:r>
    </w:p>
    <w:tbl>
      <w:tblPr>
        <w:tblStyle w:val="15"/>
        <w:tblW w:w="10918" w:type="dxa"/>
        <w:jc w:val="center"/>
        <w:tblLayout w:type="fixed"/>
        <w:tblCellMar>
          <w:top w:w="0" w:type="dxa"/>
          <w:left w:w="108" w:type="dxa"/>
          <w:bottom w:w="0" w:type="dxa"/>
          <w:right w:w="108" w:type="dxa"/>
        </w:tblCellMar>
      </w:tblPr>
      <w:tblGrid>
        <w:gridCol w:w="2132"/>
        <w:gridCol w:w="1418"/>
        <w:gridCol w:w="1417"/>
        <w:gridCol w:w="1404"/>
        <w:gridCol w:w="1289"/>
        <w:gridCol w:w="1418"/>
        <w:gridCol w:w="919"/>
        <w:gridCol w:w="921"/>
      </w:tblGrid>
      <w:tr w14:paraId="59480EA5">
        <w:tblPrEx>
          <w:tblCellMar>
            <w:top w:w="0" w:type="dxa"/>
            <w:left w:w="108" w:type="dxa"/>
            <w:bottom w:w="0" w:type="dxa"/>
            <w:right w:w="108" w:type="dxa"/>
          </w:tblCellMar>
        </w:tblPrEx>
        <w:trPr>
          <w:trHeight w:val="850" w:hRule="atLeast"/>
          <w:jc w:val="center"/>
        </w:trPr>
        <w:tc>
          <w:tcPr>
            <w:tcW w:w="2132" w:type="dxa"/>
            <w:vMerge w:val="restart"/>
            <w:tcBorders>
              <w:top w:val="single" w:color="auto" w:sz="8" w:space="0"/>
              <w:left w:val="single" w:color="auto" w:sz="8" w:space="0"/>
              <w:bottom w:val="single" w:color="000000" w:sz="8" w:space="0"/>
              <w:right w:val="single" w:color="auto" w:sz="8" w:space="0"/>
            </w:tcBorders>
            <w:shd w:val="clear" w:color="000000" w:fill="0070C0"/>
            <w:noWrap/>
            <w:vAlign w:val="center"/>
          </w:tcPr>
          <w:p w14:paraId="5B7E4A64">
            <w:pPr>
              <w:spacing w:after="0"/>
              <w:jc w:val="center"/>
              <w:rPr>
                <w:rFonts w:hint="eastAsia" w:ascii="华文细黑" w:hAnsi="华文细黑" w:eastAsia="华文细黑" w:cs="Arial"/>
                <w:b/>
                <w:bCs/>
                <w:color w:val="FFFFFF"/>
                <w:sz w:val="20"/>
                <w:szCs w:val="20"/>
              </w:rPr>
            </w:pPr>
            <w:r>
              <w:rPr>
                <w:rFonts w:hint="eastAsia" w:ascii="华文细黑" w:hAnsi="华文细黑" w:eastAsia="华文细黑" w:cs="Arial"/>
                <w:b/>
                <w:bCs/>
                <w:color w:val="FFFFFF"/>
                <w:sz w:val="20"/>
                <w:szCs w:val="20"/>
              </w:rPr>
              <w:t>项目</w:t>
            </w:r>
          </w:p>
        </w:tc>
        <w:tc>
          <w:tcPr>
            <w:tcW w:w="1418" w:type="dxa"/>
            <w:vMerge w:val="restart"/>
            <w:tcBorders>
              <w:top w:val="single" w:color="auto" w:sz="8" w:space="0"/>
              <w:left w:val="single" w:color="auto" w:sz="8" w:space="0"/>
              <w:bottom w:val="single" w:color="auto" w:sz="8" w:space="0"/>
              <w:right w:val="single" w:color="auto" w:sz="8" w:space="0"/>
            </w:tcBorders>
            <w:shd w:val="clear" w:color="000000" w:fill="0070C0"/>
            <w:vAlign w:val="center"/>
          </w:tcPr>
          <w:p w14:paraId="24A803FE">
            <w:pPr>
              <w:spacing w:after="0"/>
              <w:jc w:val="center"/>
              <w:rPr>
                <w:rFonts w:hint="eastAsia" w:ascii="华文细黑" w:hAnsi="华文细黑" w:eastAsia="华文细黑" w:cs="Arial"/>
                <w:b/>
                <w:bCs/>
                <w:color w:val="FFFFFF"/>
                <w:sz w:val="20"/>
                <w:szCs w:val="20"/>
              </w:rPr>
            </w:pPr>
            <w:r>
              <w:rPr>
                <w:rFonts w:hint="eastAsia" w:ascii="华文细黑" w:hAnsi="华文细黑" w:eastAsia="华文细黑" w:cs="Arial"/>
                <w:b/>
                <w:bCs/>
                <w:color w:val="FFFFFF"/>
                <w:sz w:val="20"/>
                <w:szCs w:val="20"/>
              </w:rPr>
              <w:t>调整后项目总投资</w:t>
            </w:r>
          </w:p>
        </w:tc>
        <w:tc>
          <w:tcPr>
            <w:tcW w:w="1417" w:type="dxa"/>
            <w:vMerge w:val="restart"/>
            <w:tcBorders>
              <w:top w:val="single" w:color="auto" w:sz="8" w:space="0"/>
              <w:left w:val="single" w:color="auto" w:sz="8" w:space="0"/>
              <w:bottom w:val="single" w:color="auto" w:sz="8" w:space="0"/>
              <w:right w:val="single" w:color="auto" w:sz="8" w:space="0"/>
            </w:tcBorders>
            <w:shd w:val="clear" w:color="000000" w:fill="0070C0"/>
            <w:vAlign w:val="center"/>
          </w:tcPr>
          <w:p w14:paraId="2EDC6E0A">
            <w:pPr>
              <w:spacing w:after="0"/>
              <w:jc w:val="center"/>
              <w:rPr>
                <w:rFonts w:hint="eastAsia" w:ascii="华文细黑" w:hAnsi="华文细黑" w:eastAsia="华文细黑" w:cs="Arial"/>
                <w:b/>
                <w:bCs/>
                <w:color w:val="FFFFFF"/>
                <w:sz w:val="20"/>
                <w:szCs w:val="20"/>
              </w:rPr>
            </w:pPr>
            <w:r>
              <w:rPr>
                <w:rFonts w:hint="eastAsia" w:ascii="华文细黑" w:hAnsi="华文细黑" w:eastAsia="华文细黑" w:cs="Arial"/>
                <w:b/>
                <w:bCs/>
                <w:color w:val="FFFFFF"/>
                <w:sz w:val="20"/>
                <w:szCs w:val="20"/>
              </w:rPr>
              <w:t>期末项目累计现金结存额</w:t>
            </w:r>
          </w:p>
        </w:tc>
        <w:tc>
          <w:tcPr>
            <w:tcW w:w="1404" w:type="dxa"/>
            <w:vMerge w:val="restart"/>
            <w:tcBorders>
              <w:top w:val="single" w:color="auto" w:sz="8" w:space="0"/>
              <w:left w:val="single" w:color="auto" w:sz="8" w:space="0"/>
              <w:right w:val="single" w:color="auto" w:sz="8" w:space="0"/>
            </w:tcBorders>
            <w:shd w:val="clear" w:color="000000" w:fill="0070C0"/>
            <w:vAlign w:val="center"/>
          </w:tcPr>
          <w:p w14:paraId="44C7E84F">
            <w:pPr>
              <w:spacing w:after="0"/>
              <w:jc w:val="center"/>
              <w:rPr>
                <w:rFonts w:hint="eastAsia" w:ascii="华文细黑" w:hAnsi="华文细黑" w:eastAsia="华文细黑" w:cs="Arial"/>
                <w:b/>
                <w:bCs/>
                <w:color w:val="FFFFFF"/>
                <w:sz w:val="20"/>
                <w:szCs w:val="20"/>
              </w:rPr>
            </w:pPr>
            <w:r>
              <w:rPr>
                <w:rFonts w:ascii="华文细黑" w:hAnsi="华文细黑" w:eastAsia="华文细黑" w:cs="华文细黑"/>
                <w:b/>
                <w:color w:val="FFFFFF"/>
                <w:sz w:val="20"/>
              </w:rPr>
              <w:t>用于资金平衡的项目收益</w:t>
            </w:r>
          </w:p>
        </w:tc>
        <w:tc>
          <w:tcPr>
            <w:tcW w:w="1289" w:type="dxa"/>
            <w:vMerge w:val="restart"/>
            <w:tcBorders>
              <w:top w:val="single" w:color="auto" w:sz="8" w:space="0"/>
              <w:left w:val="single" w:color="auto" w:sz="8" w:space="0"/>
              <w:bottom w:val="single" w:color="auto" w:sz="8" w:space="0"/>
              <w:right w:val="single" w:color="auto" w:sz="8" w:space="0"/>
            </w:tcBorders>
            <w:shd w:val="clear" w:color="000000" w:fill="0070C0"/>
            <w:vAlign w:val="center"/>
          </w:tcPr>
          <w:p w14:paraId="22495205">
            <w:pPr>
              <w:spacing w:after="0"/>
              <w:jc w:val="center"/>
              <w:rPr>
                <w:rFonts w:hint="eastAsia" w:ascii="华文细黑" w:hAnsi="华文细黑" w:eastAsia="华文细黑" w:cs="Arial"/>
                <w:b/>
                <w:bCs/>
                <w:color w:val="FFFFFF"/>
                <w:sz w:val="20"/>
                <w:szCs w:val="20"/>
              </w:rPr>
            </w:pPr>
            <w:r>
              <w:rPr>
                <w:rFonts w:hint="eastAsia" w:ascii="华文细黑" w:hAnsi="华文细黑" w:eastAsia="华文细黑" w:cs="Arial"/>
                <w:b/>
                <w:bCs/>
                <w:color w:val="FFFFFF"/>
                <w:sz w:val="20"/>
                <w:szCs w:val="20"/>
              </w:rPr>
              <w:t>本期调增金额</w:t>
            </w:r>
          </w:p>
        </w:tc>
        <w:tc>
          <w:tcPr>
            <w:tcW w:w="1418" w:type="dxa"/>
            <w:vMerge w:val="restart"/>
            <w:tcBorders>
              <w:top w:val="single" w:color="auto" w:sz="8" w:space="0"/>
              <w:left w:val="single" w:color="auto" w:sz="8" w:space="0"/>
              <w:bottom w:val="single" w:color="auto" w:sz="8" w:space="0"/>
              <w:right w:val="single" w:color="auto" w:sz="8" w:space="0"/>
            </w:tcBorders>
            <w:shd w:val="clear" w:color="000000" w:fill="0070C0"/>
            <w:vAlign w:val="center"/>
          </w:tcPr>
          <w:p w14:paraId="6C19F6DD">
            <w:pPr>
              <w:spacing w:after="0"/>
              <w:jc w:val="center"/>
              <w:rPr>
                <w:rFonts w:hint="eastAsia" w:ascii="华文细黑" w:hAnsi="华文细黑" w:eastAsia="华文细黑" w:cs="Arial"/>
                <w:b/>
                <w:bCs/>
                <w:color w:val="FFFFFF"/>
                <w:sz w:val="20"/>
                <w:szCs w:val="20"/>
              </w:rPr>
            </w:pPr>
            <w:r>
              <w:rPr>
                <w:rFonts w:hint="eastAsia" w:ascii="华文细黑" w:hAnsi="华文细黑" w:eastAsia="华文细黑" w:cs="Arial"/>
                <w:b/>
                <w:bCs/>
                <w:color w:val="FFFFFF"/>
                <w:sz w:val="20"/>
                <w:szCs w:val="20"/>
              </w:rPr>
              <w:t>预计债券本息</w:t>
            </w:r>
          </w:p>
        </w:tc>
        <w:tc>
          <w:tcPr>
            <w:tcW w:w="919" w:type="dxa"/>
            <w:vMerge w:val="restart"/>
            <w:tcBorders>
              <w:top w:val="single" w:color="auto" w:sz="8" w:space="0"/>
              <w:left w:val="single" w:color="auto" w:sz="8" w:space="0"/>
              <w:bottom w:val="single" w:color="auto" w:sz="8" w:space="0"/>
              <w:right w:val="single" w:color="auto" w:sz="8" w:space="0"/>
            </w:tcBorders>
            <w:shd w:val="clear" w:color="000000" w:fill="0070C0"/>
            <w:vAlign w:val="center"/>
          </w:tcPr>
          <w:p w14:paraId="501E96B2">
            <w:pPr>
              <w:jc w:val="center"/>
              <w:rPr>
                <w:rFonts w:hint="eastAsia" w:ascii="华文细黑" w:hAnsi="华文细黑" w:eastAsia="华文细黑" w:cs="Arial"/>
                <w:b/>
                <w:bCs/>
                <w:color w:val="FFFFFF"/>
                <w:sz w:val="20"/>
                <w:szCs w:val="20"/>
              </w:rPr>
            </w:pPr>
            <w:r>
              <w:rPr>
                <w:rFonts w:eastAsia="华文细黑" w:cs="微软雅黑" w:asciiTheme="minorHAnsi" w:hAnsiTheme="minorHAnsi"/>
                <w:b/>
                <w:bCs/>
                <w:color w:val="FFFFFF" w:themeColor="background1"/>
                <w:sz w:val="20"/>
                <w:szCs w:val="20"/>
                <w14:textFill>
                  <w14:solidFill>
                    <w14:schemeClr w14:val="bg1"/>
                  </w14:solidFill>
                </w14:textFill>
              </w:rPr>
              <w:t>本息覆盖率</w:t>
            </w:r>
            <w:r>
              <w:rPr>
                <w:rStyle w:val="20"/>
                <w:rFonts w:eastAsia="华文细黑" w:cs="微软雅黑" w:asciiTheme="minorHAnsi" w:hAnsiTheme="minorHAnsi"/>
                <w:b/>
                <w:bCs/>
                <w:color w:val="FFFFFF" w:themeColor="background1"/>
                <w:sz w:val="20"/>
                <w:szCs w:val="20"/>
                <w14:textFill>
                  <w14:solidFill>
                    <w14:schemeClr w14:val="bg1"/>
                  </w14:solidFill>
                </w14:textFill>
              </w:rPr>
              <w:footnoteReference w:id="0"/>
            </w:r>
          </w:p>
        </w:tc>
        <w:tc>
          <w:tcPr>
            <w:tcW w:w="921" w:type="dxa"/>
            <w:vMerge w:val="restart"/>
            <w:tcBorders>
              <w:top w:val="single" w:color="auto" w:sz="8" w:space="0"/>
              <w:left w:val="single" w:color="auto" w:sz="8" w:space="0"/>
              <w:bottom w:val="single" w:color="auto" w:sz="8" w:space="0"/>
              <w:right w:val="single" w:color="auto" w:sz="8" w:space="0"/>
            </w:tcBorders>
            <w:shd w:val="clear" w:color="000000" w:fill="0070C0"/>
            <w:vAlign w:val="center"/>
          </w:tcPr>
          <w:p w14:paraId="0C8A1CDB">
            <w:pPr>
              <w:jc w:val="center"/>
              <w:rPr>
                <w:rFonts w:hint="eastAsia" w:ascii="华文细黑" w:hAnsi="华文细黑" w:eastAsia="华文细黑" w:cs="Arial"/>
                <w:b/>
                <w:bCs/>
                <w:color w:val="FFFFFF"/>
                <w:sz w:val="20"/>
                <w:szCs w:val="20"/>
              </w:rPr>
            </w:pPr>
            <w:r>
              <w:rPr>
                <w:rFonts w:hint="eastAsia" w:eastAsia="华文细黑" w:cs="微软雅黑" w:asciiTheme="minorHAnsi" w:hAnsiTheme="minorHAnsi"/>
                <w:b/>
                <w:bCs/>
                <w:color w:val="FFFFFF" w:themeColor="background1"/>
                <w:sz w:val="20"/>
                <w:szCs w:val="20"/>
                <w14:textFill>
                  <w14:solidFill>
                    <w14:schemeClr w14:val="bg1"/>
                  </w14:solidFill>
                </w14:textFill>
              </w:rPr>
              <w:t>本息覆盖倍数</w:t>
            </w:r>
            <w:r>
              <w:rPr>
                <w:rStyle w:val="20"/>
                <w:rFonts w:eastAsia="华文细黑" w:cs="微软雅黑" w:asciiTheme="minorHAnsi" w:hAnsiTheme="minorHAnsi"/>
                <w:b/>
                <w:bCs/>
                <w:color w:val="FFFFFF" w:themeColor="background1"/>
                <w:sz w:val="20"/>
                <w:szCs w:val="20"/>
                <w14:textFill>
                  <w14:solidFill>
                    <w14:schemeClr w14:val="bg1"/>
                  </w14:solidFill>
                </w14:textFill>
              </w:rPr>
              <w:footnoteReference w:id="1"/>
            </w:r>
          </w:p>
        </w:tc>
      </w:tr>
      <w:tr w14:paraId="7FCD956B">
        <w:tblPrEx>
          <w:tblCellMar>
            <w:top w:w="0" w:type="dxa"/>
            <w:left w:w="108" w:type="dxa"/>
            <w:bottom w:w="0" w:type="dxa"/>
            <w:right w:w="108" w:type="dxa"/>
          </w:tblCellMar>
        </w:tblPrEx>
        <w:trPr>
          <w:trHeight w:val="312" w:hRule="atLeast"/>
          <w:jc w:val="center"/>
        </w:trPr>
        <w:tc>
          <w:tcPr>
            <w:tcW w:w="2132" w:type="dxa"/>
            <w:vMerge w:val="continue"/>
            <w:tcBorders>
              <w:top w:val="single" w:color="auto" w:sz="8" w:space="0"/>
              <w:left w:val="single" w:color="auto" w:sz="8" w:space="0"/>
              <w:bottom w:val="single" w:color="000000" w:sz="8" w:space="0"/>
              <w:right w:val="single" w:color="auto" w:sz="8" w:space="0"/>
            </w:tcBorders>
            <w:vAlign w:val="center"/>
          </w:tcPr>
          <w:p w14:paraId="54174B7E">
            <w:pPr>
              <w:spacing w:after="0"/>
              <w:rPr>
                <w:rFonts w:hint="eastAsia" w:ascii="华文细黑" w:hAnsi="华文细黑" w:eastAsia="华文细黑" w:cs="Arial"/>
                <w:b/>
                <w:bCs/>
                <w:color w:val="FFFFFF"/>
                <w:sz w:val="20"/>
                <w:szCs w:val="20"/>
              </w:rPr>
            </w:pPr>
          </w:p>
        </w:tc>
        <w:tc>
          <w:tcPr>
            <w:tcW w:w="1418" w:type="dxa"/>
            <w:vMerge w:val="continue"/>
            <w:tcBorders>
              <w:top w:val="single" w:color="auto" w:sz="8" w:space="0"/>
              <w:left w:val="single" w:color="auto" w:sz="8" w:space="0"/>
              <w:bottom w:val="single" w:color="auto" w:sz="8" w:space="0"/>
              <w:right w:val="single" w:color="auto" w:sz="8" w:space="0"/>
            </w:tcBorders>
            <w:vAlign w:val="center"/>
          </w:tcPr>
          <w:p w14:paraId="3CBF4F95">
            <w:pPr>
              <w:spacing w:after="0"/>
              <w:rPr>
                <w:rFonts w:hint="eastAsia" w:ascii="华文细黑" w:hAnsi="华文细黑" w:eastAsia="华文细黑" w:cs="Arial"/>
                <w:b/>
                <w:bCs/>
                <w:color w:val="FFFFFF"/>
                <w:sz w:val="20"/>
                <w:szCs w:val="20"/>
              </w:rPr>
            </w:pPr>
          </w:p>
        </w:tc>
        <w:tc>
          <w:tcPr>
            <w:tcW w:w="1417" w:type="dxa"/>
            <w:vMerge w:val="continue"/>
            <w:tcBorders>
              <w:top w:val="single" w:color="auto" w:sz="8" w:space="0"/>
              <w:left w:val="single" w:color="auto" w:sz="8" w:space="0"/>
              <w:bottom w:val="single" w:color="auto" w:sz="8" w:space="0"/>
              <w:right w:val="single" w:color="auto" w:sz="8" w:space="0"/>
            </w:tcBorders>
            <w:vAlign w:val="center"/>
          </w:tcPr>
          <w:p w14:paraId="28EA4268">
            <w:pPr>
              <w:spacing w:after="0"/>
              <w:rPr>
                <w:rFonts w:hint="eastAsia" w:ascii="华文细黑" w:hAnsi="华文细黑" w:eastAsia="华文细黑" w:cs="Arial"/>
                <w:b/>
                <w:bCs/>
                <w:color w:val="FFFFFF"/>
                <w:sz w:val="20"/>
                <w:szCs w:val="20"/>
              </w:rPr>
            </w:pPr>
          </w:p>
        </w:tc>
        <w:tc>
          <w:tcPr>
            <w:tcW w:w="1404" w:type="dxa"/>
            <w:vMerge w:val="continue"/>
            <w:tcBorders>
              <w:left w:val="single" w:color="auto" w:sz="8" w:space="0"/>
              <w:bottom w:val="single" w:color="auto" w:sz="8" w:space="0"/>
              <w:right w:val="single" w:color="auto" w:sz="8" w:space="0"/>
            </w:tcBorders>
            <w:vAlign w:val="center"/>
          </w:tcPr>
          <w:p w14:paraId="0B24930C">
            <w:pPr>
              <w:spacing w:after="0"/>
              <w:rPr>
                <w:rFonts w:hint="eastAsia" w:ascii="华文细黑" w:hAnsi="华文细黑" w:eastAsia="华文细黑" w:cs="Arial"/>
                <w:b/>
                <w:bCs/>
                <w:color w:val="FFFFFF"/>
                <w:sz w:val="20"/>
                <w:szCs w:val="20"/>
              </w:rPr>
            </w:pPr>
          </w:p>
        </w:tc>
        <w:tc>
          <w:tcPr>
            <w:tcW w:w="1289" w:type="dxa"/>
            <w:vMerge w:val="continue"/>
            <w:tcBorders>
              <w:top w:val="single" w:color="auto" w:sz="8" w:space="0"/>
              <w:left w:val="single" w:color="auto" w:sz="8" w:space="0"/>
              <w:bottom w:val="single" w:color="auto" w:sz="8" w:space="0"/>
              <w:right w:val="single" w:color="auto" w:sz="8" w:space="0"/>
            </w:tcBorders>
            <w:vAlign w:val="center"/>
          </w:tcPr>
          <w:p w14:paraId="09C32FD9">
            <w:pPr>
              <w:spacing w:after="0"/>
              <w:rPr>
                <w:rFonts w:hint="eastAsia" w:ascii="华文细黑" w:hAnsi="华文细黑" w:eastAsia="华文细黑" w:cs="Arial"/>
                <w:b/>
                <w:bCs/>
                <w:color w:val="FFFFFF"/>
                <w:sz w:val="20"/>
                <w:szCs w:val="20"/>
              </w:rPr>
            </w:pPr>
          </w:p>
        </w:tc>
        <w:tc>
          <w:tcPr>
            <w:tcW w:w="1418" w:type="dxa"/>
            <w:vMerge w:val="continue"/>
            <w:tcBorders>
              <w:top w:val="single" w:color="auto" w:sz="8" w:space="0"/>
              <w:left w:val="single" w:color="auto" w:sz="8" w:space="0"/>
              <w:bottom w:val="single" w:color="auto" w:sz="8" w:space="0"/>
              <w:right w:val="single" w:color="auto" w:sz="8" w:space="0"/>
            </w:tcBorders>
            <w:vAlign w:val="center"/>
          </w:tcPr>
          <w:p w14:paraId="2DB2E700">
            <w:pPr>
              <w:spacing w:after="0"/>
              <w:rPr>
                <w:rFonts w:hint="eastAsia" w:ascii="华文细黑" w:hAnsi="华文细黑" w:eastAsia="华文细黑" w:cs="Arial"/>
                <w:b/>
                <w:bCs/>
                <w:color w:val="FFFFFF"/>
                <w:sz w:val="20"/>
                <w:szCs w:val="20"/>
              </w:rPr>
            </w:pPr>
          </w:p>
        </w:tc>
        <w:tc>
          <w:tcPr>
            <w:tcW w:w="919" w:type="dxa"/>
            <w:vMerge w:val="continue"/>
            <w:tcBorders>
              <w:top w:val="single" w:color="auto" w:sz="8" w:space="0"/>
              <w:left w:val="single" w:color="auto" w:sz="8" w:space="0"/>
              <w:bottom w:val="single" w:color="auto" w:sz="8" w:space="0"/>
              <w:right w:val="single" w:color="auto" w:sz="8" w:space="0"/>
            </w:tcBorders>
            <w:vAlign w:val="center"/>
          </w:tcPr>
          <w:p w14:paraId="688982FB">
            <w:pPr>
              <w:spacing w:after="0"/>
              <w:rPr>
                <w:rFonts w:hint="eastAsia" w:ascii="华文细黑" w:hAnsi="华文细黑" w:eastAsia="华文细黑" w:cs="Arial"/>
                <w:b/>
                <w:bCs/>
                <w:color w:val="FFFFFF"/>
                <w:sz w:val="20"/>
                <w:szCs w:val="20"/>
              </w:rPr>
            </w:pPr>
          </w:p>
        </w:tc>
        <w:tc>
          <w:tcPr>
            <w:tcW w:w="921" w:type="dxa"/>
            <w:vMerge w:val="continue"/>
            <w:tcBorders>
              <w:top w:val="single" w:color="auto" w:sz="8" w:space="0"/>
              <w:left w:val="single" w:color="auto" w:sz="8" w:space="0"/>
              <w:bottom w:val="single" w:color="auto" w:sz="8" w:space="0"/>
              <w:right w:val="single" w:color="auto" w:sz="8" w:space="0"/>
            </w:tcBorders>
            <w:vAlign w:val="center"/>
          </w:tcPr>
          <w:p w14:paraId="44104002">
            <w:pPr>
              <w:spacing w:after="0"/>
              <w:rPr>
                <w:rFonts w:hint="eastAsia" w:ascii="华文细黑" w:hAnsi="华文细黑" w:eastAsia="华文细黑" w:cs="Arial"/>
                <w:b/>
                <w:bCs/>
                <w:color w:val="FFFFFF"/>
                <w:sz w:val="20"/>
                <w:szCs w:val="20"/>
              </w:rPr>
            </w:pPr>
          </w:p>
        </w:tc>
      </w:tr>
      <w:tr w14:paraId="3DDB1FDA">
        <w:tblPrEx>
          <w:tblCellMar>
            <w:top w:w="0" w:type="dxa"/>
            <w:left w:w="108" w:type="dxa"/>
            <w:bottom w:w="0" w:type="dxa"/>
            <w:right w:w="108" w:type="dxa"/>
          </w:tblCellMar>
        </w:tblPrEx>
        <w:trPr>
          <w:trHeight w:val="579" w:hRule="atLeast"/>
          <w:jc w:val="center"/>
        </w:trPr>
        <w:tc>
          <w:tcPr>
            <w:tcW w:w="2132" w:type="dxa"/>
            <w:tcBorders>
              <w:top w:val="nil"/>
              <w:left w:val="single" w:color="auto" w:sz="8" w:space="0"/>
              <w:bottom w:val="single" w:color="auto" w:sz="8" w:space="0"/>
              <w:right w:val="single" w:color="auto" w:sz="8" w:space="0"/>
            </w:tcBorders>
            <w:shd w:val="clear" w:color="auto" w:fill="auto"/>
            <w:noWrap/>
            <w:vAlign w:val="center"/>
          </w:tcPr>
          <w:p w14:paraId="48C28134">
            <w:pPr>
              <w:spacing w:after="0"/>
              <w:rPr>
                <w:rFonts w:hint="eastAsia" w:ascii="华文细黑" w:hAnsi="华文细黑" w:eastAsia="华文细黑" w:cs="Arial"/>
                <w:sz w:val="20"/>
                <w:szCs w:val="20"/>
              </w:rPr>
            </w:pPr>
            <w:r>
              <w:rPr>
                <w:rFonts w:hint="eastAsia" w:ascii="华文细黑" w:hAnsi="华文细黑" w:eastAsia="华文细黑" w:cs="Arial"/>
                <w:sz w:val="20"/>
                <w:szCs w:val="20"/>
                <w:lang w:eastAsia="zh-CN"/>
              </w:rPr>
              <w:t>海口江东新区CBD南片区幼儿园及配套基础设施项目</w:t>
            </w:r>
          </w:p>
        </w:tc>
        <w:tc>
          <w:tcPr>
            <w:tcW w:w="1418" w:type="dxa"/>
            <w:tcBorders>
              <w:top w:val="nil"/>
              <w:left w:val="nil"/>
              <w:bottom w:val="single" w:color="auto" w:sz="8" w:space="0"/>
              <w:right w:val="single" w:color="auto" w:sz="8" w:space="0"/>
            </w:tcBorders>
            <w:shd w:val="clear" w:color="auto" w:fill="auto"/>
            <w:noWrap/>
            <w:vAlign w:val="center"/>
          </w:tcPr>
          <w:p w14:paraId="4D153F71">
            <w:pPr>
              <w:keepNext w:val="0"/>
              <w:keepLines w:val="0"/>
              <w:widowControl/>
              <w:suppressLineNumbers w:val="0"/>
              <w:jc w:val="right"/>
              <w:textAlignment w:val="center"/>
              <w:rPr>
                <w:rFonts w:hint="eastAsia"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44,371.97 </w:t>
            </w:r>
          </w:p>
        </w:tc>
        <w:tc>
          <w:tcPr>
            <w:tcW w:w="1417" w:type="dxa"/>
            <w:tcBorders>
              <w:top w:val="nil"/>
              <w:left w:val="nil"/>
              <w:bottom w:val="single" w:color="auto" w:sz="8" w:space="0"/>
              <w:right w:val="single" w:color="auto" w:sz="8" w:space="0"/>
            </w:tcBorders>
            <w:shd w:val="clear" w:color="auto" w:fill="auto"/>
            <w:noWrap/>
            <w:vAlign w:val="center"/>
          </w:tcPr>
          <w:p w14:paraId="6DCA7B2B">
            <w:pPr>
              <w:keepNext w:val="0"/>
              <w:keepLines w:val="0"/>
              <w:widowControl/>
              <w:suppressLineNumbers w:val="0"/>
              <w:jc w:val="right"/>
              <w:textAlignment w:val="center"/>
              <w:rPr>
                <w:rFonts w:hint="eastAsia"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7,561.49 </w:t>
            </w:r>
          </w:p>
        </w:tc>
        <w:tc>
          <w:tcPr>
            <w:tcW w:w="1404" w:type="dxa"/>
            <w:tcBorders>
              <w:top w:val="nil"/>
              <w:left w:val="nil"/>
              <w:bottom w:val="single" w:color="auto" w:sz="8" w:space="0"/>
              <w:right w:val="single" w:color="auto" w:sz="4" w:space="0"/>
            </w:tcBorders>
            <w:shd w:val="clear" w:color="auto" w:fill="auto"/>
            <w:noWrap/>
            <w:vAlign w:val="center"/>
          </w:tcPr>
          <w:p w14:paraId="2326E462">
            <w:pPr>
              <w:keepNext w:val="0"/>
              <w:keepLines w:val="0"/>
              <w:widowControl/>
              <w:suppressLineNumbers w:val="0"/>
              <w:jc w:val="right"/>
              <w:textAlignment w:val="center"/>
              <w:rPr>
                <w:rFonts w:hint="eastAsia"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18,926.87 </w:t>
            </w:r>
          </w:p>
        </w:tc>
        <w:tc>
          <w:tcPr>
            <w:tcW w:w="1289" w:type="dxa"/>
            <w:tcBorders>
              <w:top w:val="nil"/>
              <w:left w:val="nil"/>
              <w:bottom w:val="single" w:color="auto" w:sz="8" w:space="0"/>
              <w:right w:val="single" w:color="auto" w:sz="4" w:space="0"/>
            </w:tcBorders>
            <w:shd w:val="clear" w:color="auto" w:fill="auto"/>
            <w:noWrap/>
            <w:vAlign w:val="center"/>
          </w:tcPr>
          <w:p w14:paraId="6DEEF82A">
            <w:pPr>
              <w:keepNext w:val="0"/>
              <w:keepLines w:val="0"/>
              <w:widowControl/>
              <w:suppressLineNumbers w:val="0"/>
              <w:jc w:val="right"/>
              <w:textAlignment w:val="center"/>
              <w:rPr>
                <w:rFonts w:hint="eastAsia"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500.00 </w:t>
            </w:r>
          </w:p>
        </w:tc>
        <w:tc>
          <w:tcPr>
            <w:tcW w:w="1418" w:type="dxa"/>
            <w:tcBorders>
              <w:top w:val="nil"/>
              <w:left w:val="single" w:color="auto" w:sz="4" w:space="0"/>
              <w:bottom w:val="single" w:color="auto" w:sz="8" w:space="0"/>
              <w:right w:val="single" w:color="auto" w:sz="8" w:space="0"/>
            </w:tcBorders>
            <w:shd w:val="clear" w:color="auto" w:fill="auto"/>
            <w:noWrap/>
            <w:vAlign w:val="center"/>
          </w:tcPr>
          <w:p w14:paraId="7D202623">
            <w:pPr>
              <w:keepNext w:val="0"/>
              <w:keepLines w:val="0"/>
              <w:widowControl/>
              <w:suppressLineNumbers w:val="0"/>
              <w:jc w:val="right"/>
              <w:textAlignment w:val="center"/>
              <w:rPr>
                <w:rFonts w:hint="eastAsia"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11,581.56 </w:t>
            </w:r>
          </w:p>
        </w:tc>
        <w:tc>
          <w:tcPr>
            <w:tcW w:w="919" w:type="dxa"/>
            <w:tcBorders>
              <w:top w:val="nil"/>
              <w:left w:val="nil"/>
              <w:bottom w:val="single" w:color="auto" w:sz="8" w:space="0"/>
              <w:right w:val="single" w:color="auto" w:sz="8" w:space="0"/>
            </w:tcBorders>
            <w:shd w:val="clear" w:color="auto" w:fill="auto"/>
            <w:noWrap/>
            <w:vAlign w:val="center"/>
          </w:tcPr>
          <w:p w14:paraId="72C99270">
            <w:pPr>
              <w:keepNext w:val="0"/>
              <w:keepLines w:val="0"/>
              <w:widowControl/>
              <w:suppressLineNumbers w:val="0"/>
              <w:jc w:val="right"/>
              <w:textAlignment w:val="center"/>
              <w:rPr>
                <w:rFonts w:hint="default"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1.65 </w:t>
            </w:r>
          </w:p>
        </w:tc>
        <w:tc>
          <w:tcPr>
            <w:tcW w:w="921" w:type="dxa"/>
            <w:tcBorders>
              <w:top w:val="nil"/>
              <w:left w:val="nil"/>
              <w:bottom w:val="single" w:color="auto" w:sz="8" w:space="0"/>
              <w:right w:val="single" w:color="auto" w:sz="8" w:space="0"/>
            </w:tcBorders>
            <w:shd w:val="clear" w:color="auto" w:fill="auto"/>
            <w:vAlign w:val="center"/>
          </w:tcPr>
          <w:p w14:paraId="4FA7B936">
            <w:pPr>
              <w:keepNext w:val="0"/>
              <w:keepLines w:val="0"/>
              <w:widowControl/>
              <w:suppressLineNumbers w:val="0"/>
              <w:jc w:val="right"/>
              <w:textAlignment w:val="center"/>
              <w:rPr>
                <w:rFonts w:hint="default" w:ascii="Verdana" w:hAnsi="Verdana" w:eastAsia="宋体" w:cs="Arial"/>
                <w:color w:val="000000"/>
                <w:kern w:val="0"/>
                <w:sz w:val="20"/>
                <w:szCs w:val="20"/>
                <w:lang w:val="en-US" w:eastAsia="zh-CN"/>
              </w:rPr>
            </w:pPr>
            <w:r>
              <w:rPr>
                <w:rFonts w:hint="default" w:ascii="Verdana" w:hAnsi="Verdana" w:eastAsia="宋体" w:cs="Verdana"/>
                <w:i w:val="0"/>
                <w:iCs w:val="0"/>
                <w:color w:val="000000"/>
                <w:kern w:val="0"/>
                <w:sz w:val="20"/>
                <w:szCs w:val="20"/>
                <w:u w:val="none"/>
                <w:lang w:val="en-US" w:eastAsia="zh-CN" w:bidi="ar"/>
              </w:rPr>
              <w:t xml:space="preserve">1.63 </w:t>
            </w:r>
          </w:p>
        </w:tc>
      </w:tr>
    </w:tbl>
    <w:p w14:paraId="035025A6">
      <w:pPr>
        <w:widowControl/>
        <w:spacing w:before="120" w:after="120" w:line="520" w:lineRule="exact"/>
        <w:ind w:firstLine="556"/>
        <w:rPr>
          <w:rFonts w:ascii="Verdana" w:hAnsi="Verdana" w:eastAsia="华文细黑" w:cs="Times New Roman"/>
          <w:color w:val="000000"/>
          <w:kern w:val="0"/>
          <w:sz w:val="24"/>
          <w:szCs w:val="24"/>
        </w:rPr>
      </w:pPr>
      <w:r>
        <w:rPr>
          <w:rFonts w:ascii="Verdana" w:hAnsi="Verdana" w:eastAsia="华文细黑" w:cs="Times New Roman"/>
          <w:color w:val="000000"/>
          <w:kern w:val="0"/>
          <w:sz w:val="24"/>
          <w:szCs w:val="24"/>
        </w:rPr>
        <w:t>对此，我们从投资估算、债券发行和还本付息、发债项目盈利能力、偿债能力和可持续性等方面分析如下：</w:t>
      </w:r>
    </w:p>
    <w:p w14:paraId="359F3949">
      <w:pPr>
        <w:widowControl/>
        <w:spacing w:before="120" w:after="120" w:line="520" w:lineRule="exact"/>
        <w:outlineLvl w:val="2"/>
        <w:rPr>
          <w:rFonts w:ascii="Verdana" w:hAnsi="Verdana" w:eastAsia="华文细黑" w:cs="Times New Roman"/>
          <w:color w:val="000000"/>
          <w:kern w:val="0"/>
          <w:sz w:val="24"/>
          <w:szCs w:val="24"/>
        </w:rPr>
      </w:pPr>
      <w:bookmarkStart w:id="20" w:name="_Toc19741"/>
      <w:r>
        <w:rPr>
          <w:rFonts w:ascii="Verdana" w:hAnsi="Verdana" w:eastAsia="华文细黑" w:cs="Times New Roman"/>
          <w:b/>
          <w:color w:val="000000"/>
          <w:kern w:val="0"/>
          <w:sz w:val="24"/>
          <w:szCs w:val="24"/>
        </w:rPr>
        <w:t>1.1投资估算</w:t>
      </w:r>
      <w:bookmarkEnd w:id="20"/>
    </w:p>
    <w:p w14:paraId="06AB9756">
      <w:pPr>
        <w:widowControl/>
        <w:spacing w:before="120" w:after="120" w:line="520" w:lineRule="exact"/>
        <w:ind w:firstLine="556"/>
        <w:rPr>
          <w:rFonts w:hint="eastAsia" w:ascii="Verdana" w:hAnsi="Verdana" w:eastAsia="华文细黑" w:cs="Times New Roman"/>
          <w:color w:val="000000"/>
          <w:kern w:val="0"/>
          <w:sz w:val="24"/>
          <w:szCs w:val="24"/>
          <w:lang w:eastAsia="zh-CN"/>
        </w:rPr>
      </w:pPr>
      <w:r>
        <w:rPr>
          <w:rFonts w:hint="eastAsia" w:ascii="Verdana" w:hAnsi="Verdana" w:eastAsia="华文细黑" w:cs="Times New Roman"/>
          <w:color w:val="000000"/>
          <w:kern w:val="0"/>
          <w:sz w:val="24"/>
          <w:szCs w:val="24"/>
        </w:rPr>
        <w:t>根据《</w:t>
      </w:r>
      <w:r>
        <w:rPr>
          <w:rFonts w:hint="eastAsia" w:ascii="Verdana" w:hAnsi="Verdana" w:eastAsia="华文细黑" w:cs="Times New Roman"/>
          <w:color w:val="000000"/>
          <w:kern w:val="0"/>
          <w:sz w:val="24"/>
          <w:szCs w:val="24"/>
          <w:lang w:eastAsia="zh-CN"/>
        </w:rPr>
        <w:t>2025年海南省政府专项债券（</w:t>
      </w:r>
      <w:r>
        <w:rPr>
          <w:rFonts w:hint="eastAsia" w:ascii="Verdana" w:hAnsi="Verdana" w:eastAsia="华文细黑" w:cs="Times New Roman"/>
          <w:color w:val="000000"/>
          <w:kern w:val="0"/>
          <w:sz w:val="24"/>
          <w:szCs w:val="24"/>
          <w:lang w:val="en-US" w:eastAsia="zh-CN"/>
        </w:rPr>
        <w:t>一</w:t>
      </w:r>
      <w:r>
        <w:rPr>
          <w:rFonts w:hint="eastAsia" w:ascii="Verdana" w:hAnsi="Verdana" w:eastAsia="华文细黑" w:cs="Times New Roman"/>
          <w:color w:val="000000"/>
          <w:kern w:val="0"/>
          <w:sz w:val="24"/>
          <w:szCs w:val="24"/>
          <w:lang w:eastAsia="zh-CN"/>
        </w:rPr>
        <w:t>期）</w:t>
      </w:r>
      <w:r>
        <w:rPr>
          <w:rFonts w:hint="eastAsia" w:ascii="Verdana" w:hAnsi="Verdana" w:eastAsia="华文细黑" w:cs="Times New Roman"/>
          <w:color w:val="000000"/>
          <w:kern w:val="0"/>
          <w:sz w:val="24"/>
          <w:szCs w:val="24"/>
        </w:rPr>
        <w:t>发行结果公告》本期调增</w:t>
      </w:r>
      <w:r>
        <w:rPr>
          <w:rFonts w:hint="eastAsia" w:ascii="Verdana" w:hAnsi="Verdana" w:eastAsia="华文细黑" w:cs="Times New Roman"/>
          <w:color w:val="000000"/>
          <w:kern w:val="0"/>
          <w:sz w:val="24"/>
          <w:szCs w:val="24"/>
          <w:lang w:val="en-US" w:eastAsia="zh-CN"/>
        </w:rPr>
        <w:t>200.00</w:t>
      </w:r>
      <w:r>
        <w:rPr>
          <w:rFonts w:hint="eastAsia" w:ascii="Verdana" w:hAnsi="Verdana" w:eastAsia="华文细黑" w:cs="Times New Roman"/>
          <w:color w:val="000000"/>
          <w:kern w:val="0"/>
          <w:sz w:val="24"/>
          <w:szCs w:val="24"/>
        </w:rPr>
        <w:t>万元专项债券发行票面利率为</w:t>
      </w:r>
      <w:r>
        <w:rPr>
          <w:rFonts w:hint="eastAsia" w:ascii="Verdana" w:hAnsi="Verdana" w:eastAsia="华文细黑" w:cs="Times New Roman"/>
          <w:color w:val="000000"/>
          <w:kern w:val="0"/>
          <w:sz w:val="24"/>
          <w:szCs w:val="24"/>
          <w:lang w:val="en-US" w:eastAsia="zh-CN"/>
        </w:rPr>
        <w:t>1.76</w:t>
      </w:r>
      <w:r>
        <w:rPr>
          <w:rFonts w:hint="eastAsia" w:ascii="Verdana" w:hAnsi="Verdana" w:eastAsia="华文细黑" w:cs="Times New Roman"/>
          <w:color w:val="000000"/>
          <w:kern w:val="0"/>
          <w:sz w:val="24"/>
          <w:szCs w:val="24"/>
        </w:rPr>
        <w:t>%</w:t>
      </w:r>
      <w:r>
        <w:rPr>
          <w:rFonts w:hint="eastAsia" w:ascii="Verdana" w:hAnsi="Verdana" w:eastAsia="华文细黑" w:cs="Times New Roman"/>
          <w:color w:val="000000"/>
          <w:kern w:val="0"/>
          <w:sz w:val="24"/>
          <w:szCs w:val="24"/>
          <w:lang w:eastAsia="zh-CN"/>
        </w:rPr>
        <w:t>，</w:t>
      </w:r>
      <w:r>
        <w:rPr>
          <w:rFonts w:hint="eastAsia" w:ascii="Verdana" w:hAnsi="Verdana" w:eastAsia="华文细黑" w:cs="Times New Roman"/>
          <w:color w:val="000000"/>
          <w:kern w:val="0"/>
          <w:sz w:val="24"/>
          <w:szCs w:val="24"/>
        </w:rPr>
        <w:t>根据《</w:t>
      </w:r>
      <w:r>
        <w:rPr>
          <w:rFonts w:hint="eastAsia" w:ascii="Verdana" w:hAnsi="Verdana" w:eastAsia="华文细黑" w:cs="Times New Roman"/>
          <w:color w:val="000000"/>
          <w:kern w:val="0"/>
          <w:sz w:val="24"/>
          <w:szCs w:val="24"/>
          <w:lang w:eastAsia="zh-CN"/>
        </w:rPr>
        <w:t>2025年海南省政府专项债券（</w:t>
      </w:r>
      <w:r>
        <w:rPr>
          <w:rFonts w:hint="eastAsia" w:ascii="Verdana" w:hAnsi="Verdana" w:eastAsia="华文细黑" w:cs="Times New Roman"/>
          <w:color w:val="000000"/>
          <w:kern w:val="0"/>
          <w:sz w:val="24"/>
          <w:szCs w:val="24"/>
          <w:lang w:val="en-US" w:eastAsia="zh-CN"/>
        </w:rPr>
        <w:t>三</w:t>
      </w:r>
      <w:r>
        <w:rPr>
          <w:rFonts w:hint="eastAsia" w:ascii="Verdana" w:hAnsi="Verdana" w:eastAsia="华文细黑" w:cs="Times New Roman"/>
          <w:color w:val="000000"/>
          <w:kern w:val="0"/>
          <w:sz w:val="24"/>
          <w:szCs w:val="24"/>
          <w:lang w:eastAsia="zh-CN"/>
        </w:rPr>
        <w:t>期）</w:t>
      </w:r>
      <w:r>
        <w:rPr>
          <w:rFonts w:hint="eastAsia" w:ascii="Verdana" w:hAnsi="Verdana" w:eastAsia="华文细黑" w:cs="Times New Roman"/>
          <w:color w:val="000000"/>
          <w:kern w:val="0"/>
          <w:sz w:val="24"/>
          <w:szCs w:val="24"/>
        </w:rPr>
        <w:t>发行结果公告》本期调增</w:t>
      </w:r>
      <w:r>
        <w:rPr>
          <w:rFonts w:hint="eastAsia" w:ascii="Verdana" w:hAnsi="Verdana" w:eastAsia="华文细黑" w:cs="Times New Roman"/>
          <w:color w:val="000000"/>
          <w:kern w:val="0"/>
          <w:sz w:val="24"/>
          <w:szCs w:val="24"/>
          <w:lang w:val="en-US" w:eastAsia="zh-CN"/>
        </w:rPr>
        <w:t>300.00</w:t>
      </w:r>
      <w:r>
        <w:rPr>
          <w:rFonts w:hint="eastAsia" w:ascii="Verdana" w:hAnsi="Verdana" w:eastAsia="华文细黑" w:cs="Times New Roman"/>
          <w:color w:val="000000"/>
          <w:kern w:val="0"/>
          <w:sz w:val="24"/>
          <w:szCs w:val="24"/>
        </w:rPr>
        <w:t>万元专项债券发行票面利率为2.</w:t>
      </w:r>
      <w:r>
        <w:rPr>
          <w:rFonts w:hint="eastAsia" w:ascii="Verdana" w:hAnsi="Verdana" w:eastAsia="华文细黑" w:cs="Times New Roman"/>
          <w:color w:val="000000"/>
          <w:kern w:val="0"/>
          <w:sz w:val="24"/>
          <w:szCs w:val="24"/>
          <w:lang w:val="en-US" w:eastAsia="zh-CN"/>
        </w:rPr>
        <w:t>19</w:t>
      </w:r>
      <w:r>
        <w:rPr>
          <w:rFonts w:hint="eastAsia" w:ascii="Verdana" w:hAnsi="Verdana" w:eastAsia="华文细黑" w:cs="Times New Roman"/>
          <w:color w:val="000000"/>
          <w:kern w:val="0"/>
          <w:sz w:val="24"/>
          <w:szCs w:val="24"/>
        </w:rPr>
        <w:t>%</w:t>
      </w:r>
      <w:r>
        <w:rPr>
          <w:rFonts w:hint="eastAsia" w:ascii="Verdana" w:hAnsi="Verdana" w:eastAsia="华文细黑" w:cs="Times New Roman"/>
          <w:color w:val="000000"/>
          <w:kern w:val="0"/>
          <w:sz w:val="24"/>
          <w:szCs w:val="24"/>
          <w:lang w:eastAsia="zh-CN"/>
        </w:rPr>
        <w:t>。</w:t>
      </w:r>
    </w:p>
    <w:p w14:paraId="76314D2E">
      <w:pPr>
        <w:widowControl/>
        <w:spacing w:before="120" w:after="120" w:line="520" w:lineRule="exact"/>
        <w:ind w:firstLine="556"/>
        <w:rPr>
          <w:rFonts w:ascii="Verdana" w:hAnsi="Verdana" w:eastAsia="华文细黑" w:cs="Times New Roman"/>
          <w:color w:val="000000"/>
          <w:kern w:val="0"/>
          <w:sz w:val="24"/>
          <w:szCs w:val="24"/>
        </w:rPr>
      </w:pPr>
      <w:r>
        <w:rPr>
          <w:rFonts w:hint="eastAsia" w:ascii="Verdana" w:hAnsi="Verdana" w:eastAsia="华文细黑" w:cs="Times New Roman"/>
          <w:color w:val="000000"/>
          <w:kern w:val="0"/>
          <w:sz w:val="24"/>
          <w:szCs w:val="24"/>
        </w:rPr>
        <w:t>本项目从客观、谨慎角度出发，参照2025年海南省已发行的</w:t>
      </w:r>
      <w:r>
        <w:rPr>
          <w:rFonts w:hint="eastAsia" w:ascii="Verdana" w:hAnsi="Verdana" w:eastAsia="华文细黑" w:cs="Times New Roman"/>
          <w:color w:val="000000"/>
          <w:kern w:val="0"/>
          <w:sz w:val="24"/>
          <w:szCs w:val="24"/>
          <w:lang w:val="en-US" w:eastAsia="zh-CN"/>
        </w:rPr>
        <w:t>20年期</w:t>
      </w:r>
      <w:r>
        <w:rPr>
          <w:rFonts w:hint="eastAsia" w:ascii="Verdana" w:hAnsi="Verdana" w:eastAsia="华文细黑" w:cs="Times New Roman"/>
          <w:color w:val="000000"/>
          <w:kern w:val="0"/>
          <w:sz w:val="24"/>
          <w:szCs w:val="24"/>
        </w:rPr>
        <w:t>地方政府专项债利率，本项目</w:t>
      </w:r>
      <w:r>
        <w:rPr>
          <w:rFonts w:hint="eastAsia" w:ascii="Verdana" w:hAnsi="Verdana" w:eastAsia="华文细黑" w:cs="Times New Roman"/>
          <w:color w:val="000000"/>
          <w:kern w:val="0"/>
          <w:sz w:val="24"/>
          <w:szCs w:val="24"/>
          <w:lang w:val="en-US" w:eastAsia="zh-CN"/>
        </w:rPr>
        <w:t>2026年拟发行20年期专项债券</w:t>
      </w:r>
      <w:r>
        <w:rPr>
          <w:rFonts w:hint="eastAsia" w:ascii="Verdana" w:hAnsi="Verdana" w:eastAsia="华文细黑" w:cs="Times New Roman"/>
          <w:color w:val="000000"/>
          <w:kern w:val="0"/>
          <w:sz w:val="24"/>
          <w:szCs w:val="24"/>
        </w:rPr>
        <w:t>暂取2.80%作为测算利率，发行费率暂取0.10%</w:t>
      </w:r>
      <w:r>
        <w:rPr>
          <w:rFonts w:hint="eastAsia" w:ascii="Verdana" w:hAnsi="Verdana" w:eastAsia="华文细黑" w:cs="Times New Roman"/>
          <w:color w:val="000000"/>
          <w:kern w:val="0"/>
          <w:sz w:val="24"/>
          <w:szCs w:val="24"/>
          <w:lang w:eastAsia="zh-CN"/>
        </w:rPr>
        <w:t>。</w:t>
      </w:r>
      <w:r>
        <w:rPr>
          <w:rFonts w:hint="eastAsia" w:ascii="Verdana" w:hAnsi="Verdana" w:eastAsia="华文细黑" w:cs="Times New Roman"/>
          <w:color w:val="000000"/>
          <w:kern w:val="0"/>
          <w:sz w:val="24"/>
          <w:szCs w:val="24"/>
        </w:rPr>
        <w:t>项目总投资</w:t>
      </w:r>
      <w:r>
        <w:rPr>
          <w:rFonts w:ascii="Verdana" w:hAnsi="Verdana" w:eastAsia="华文细黑" w:cs="Times New Roman"/>
          <w:color w:val="000000"/>
          <w:kern w:val="0"/>
          <w:sz w:val="24"/>
          <w:szCs w:val="24"/>
        </w:rPr>
        <w:t>详见表</w:t>
      </w:r>
      <w:r>
        <w:rPr>
          <w:rFonts w:hint="eastAsia" w:ascii="Verdana" w:hAnsi="Verdana" w:eastAsia="华文细黑" w:cs="Times New Roman"/>
          <w:color w:val="000000"/>
          <w:kern w:val="0"/>
          <w:sz w:val="24"/>
          <w:szCs w:val="24"/>
        </w:rPr>
        <w:t>3</w:t>
      </w:r>
      <w:r>
        <w:rPr>
          <w:rFonts w:ascii="Verdana" w:hAnsi="Verdana" w:eastAsia="华文细黑" w:cs="Times New Roman"/>
          <w:color w:val="000000"/>
          <w:kern w:val="0"/>
          <w:sz w:val="24"/>
          <w:szCs w:val="24"/>
        </w:rPr>
        <w:t>：</w:t>
      </w:r>
    </w:p>
    <w:p w14:paraId="0BB68771">
      <w:pPr>
        <w:widowControl/>
        <w:spacing w:after="0" w:line="254" w:lineRule="auto"/>
        <w:jc w:val="center"/>
        <w:rPr>
          <w:rFonts w:hint="eastAsia" w:ascii="华文细黑" w:hAnsi="华文细黑" w:eastAsia="华文细黑" w:cs="华文细黑"/>
          <w:b/>
          <w:color w:val="000000"/>
          <w:kern w:val="0"/>
          <w:sz w:val="24"/>
          <w:szCs w:val="24"/>
          <w:lang w:bidi="ar"/>
        </w:rPr>
      </w:pPr>
      <w:bookmarkStart w:id="21" w:name="_Toc2769"/>
      <w:r>
        <w:rPr>
          <w:rFonts w:hint="eastAsia" w:ascii="华文细黑" w:hAnsi="华文细黑" w:eastAsia="华文细黑" w:cs="华文细黑"/>
          <w:b/>
          <w:color w:val="000000"/>
          <w:kern w:val="0"/>
          <w:sz w:val="24"/>
          <w:szCs w:val="24"/>
          <w:lang w:bidi="ar"/>
        </w:rPr>
        <w:t>表3</w:t>
      </w:r>
      <w:r>
        <w:rPr>
          <w:rFonts w:hint="eastAsia" w:ascii="华文细黑" w:hAnsi="华文细黑" w:eastAsia="华文细黑" w:cs="华文细黑"/>
          <w:b/>
          <w:color w:val="000000"/>
          <w:kern w:val="0"/>
          <w:sz w:val="24"/>
          <w:szCs w:val="24"/>
          <w:lang w:eastAsia="zh-CN" w:bidi="ar"/>
        </w:rPr>
        <w:t>海口江东新区CBD南片区幼儿园及配套基础设施项目</w:t>
      </w:r>
      <w:r>
        <w:rPr>
          <w:rFonts w:hint="eastAsia" w:ascii="华文细黑" w:hAnsi="华文细黑" w:eastAsia="华文细黑" w:cs="华文细黑"/>
          <w:b/>
          <w:color w:val="000000"/>
          <w:kern w:val="0"/>
          <w:sz w:val="24"/>
          <w:szCs w:val="24"/>
          <w:lang w:bidi="ar"/>
        </w:rPr>
        <w:t>总投资估算表</w:t>
      </w:r>
    </w:p>
    <w:p w14:paraId="5B526CA5">
      <w:pPr>
        <w:widowControl/>
        <w:spacing w:after="0" w:line="240" w:lineRule="auto"/>
        <w:ind w:right="-7"/>
        <w:jc w:val="right"/>
        <w:rPr>
          <w:rFonts w:ascii="Verdana" w:hAnsi="Verdana" w:eastAsia="华文细黑" w:cs="Times New Roman"/>
          <w:color w:val="000000"/>
          <w:kern w:val="0"/>
          <w:sz w:val="20"/>
          <w:szCs w:val="20"/>
        </w:rPr>
      </w:pPr>
      <w:r>
        <w:rPr>
          <w:rFonts w:ascii="Verdana" w:hAnsi="Verdana" w:eastAsia="华文细黑" w:cs="Times New Roman"/>
          <w:color w:val="000000"/>
          <w:kern w:val="0"/>
          <w:sz w:val="20"/>
          <w:szCs w:val="20"/>
        </w:rPr>
        <w:t>单位：人民币万元</w:t>
      </w:r>
    </w:p>
    <w:tbl>
      <w:tblPr>
        <w:tblStyle w:val="15"/>
        <w:tblW w:w="9052" w:type="dxa"/>
        <w:jc w:val="center"/>
        <w:tblLayout w:type="fixed"/>
        <w:tblCellMar>
          <w:top w:w="0" w:type="dxa"/>
          <w:left w:w="108" w:type="dxa"/>
          <w:bottom w:w="0" w:type="dxa"/>
          <w:right w:w="108" w:type="dxa"/>
        </w:tblCellMar>
      </w:tblPr>
      <w:tblGrid>
        <w:gridCol w:w="655"/>
        <w:gridCol w:w="1656"/>
        <w:gridCol w:w="1791"/>
        <w:gridCol w:w="1524"/>
        <w:gridCol w:w="1713"/>
        <w:gridCol w:w="1713"/>
      </w:tblGrid>
      <w:tr w14:paraId="26F76404">
        <w:tblPrEx>
          <w:tblCellMar>
            <w:top w:w="0" w:type="dxa"/>
            <w:left w:w="108" w:type="dxa"/>
            <w:bottom w:w="0" w:type="dxa"/>
            <w:right w:w="108" w:type="dxa"/>
          </w:tblCellMar>
        </w:tblPrEx>
        <w:trPr>
          <w:trHeight w:val="283" w:hRule="atLeast"/>
          <w:tblHeader/>
          <w:jc w:val="center"/>
        </w:trPr>
        <w:tc>
          <w:tcPr>
            <w:tcW w:w="655" w:type="dxa"/>
            <w:tcBorders>
              <w:top w:val="single" w:color="auto" w:sz="8" w:space="0"/>
              <w:left w:val="single" w:color="auto" w:sz="8" w:space="0"/>
              <w:bottom w:val="single" w:color="auto" w:sz="8" w:space="0"/>
              <w:right w:val="single" w:color="auto" w:sz="8" w:space="0"/>
            </w:tcBorders>
            <w:shd w:val="clear" w:color="000000" w:fill="0070C0"/>
            <w:vAlign w:val="center"/>
          </w:tcPr>
          <w:p w14:paraId="3DE7A8E9">
            <w:pPr>
              <w:widowControl/>
              <w:spacing w:after="0" w:line="240" w:lineRule="auto"/>
              <w:jc w:val="center"/>
              <w:rPr>
                <w:rFonts w:ascii="华文细黑" w:hAnsi="华文细黑" w:eastAsia="华文细黑" w:cs="Arial"/>
                <w:b/>
                <w:bCs/>
                <w:color w:val="FFFFFF"/>
                <w:kern w:val="0"/>
                <w:sz w:val="16"/>
                <w:szCs w:val="16"/>
              </w:rPr>
            </w:pPr>
            <w:r>
              <w:rPr>
                <w:rFonts w:hint="eastAsia" w:ascii="华文细黑" w:hAnsi="华文细黑" w:eastAsia="华文细黑" w:cs="Arial"/>
                <w:b/>
                <w:bCs/>
                <w:color w:val="FFFFFF"/>
                <w:kern w:val="0"/>
                <w:sz w:val="16"/>
                <w:szCs w:val="16"/>
              </w:rPr>
              <w:t>序号</w:t>
            </w:r>
          </w:p>
        </w:tc>
        <w:tc>
          <w:tcPr>
            <w:tcW w:w="1656" w:type="dxa"/>
            <w:tcBorders>
              <w:top w:val="single" w:color="auto" w:sz="8" w:space="0"/>
              <w:left w:val="nil"/>
              <w:bottom w:val="single" w:color="auto" w:sz="8" w:space="0"/>
              <w:right w:val="single" w:color="auto" w:sz="8" w:space="0"/>
            </w:tcBorders>
            <w:shd w:val="clear" w:color="000000" w:fill="0070C0"/>
            <w:vAlign w:val="center"/>
          </w:tcPr>
          <w:p w14:paraId="1CE12689">
            <w:pPr>
              <w:widowControl/>
              <w:spacing w:after="0" w:line="240" w:lineRule="auto"/>
              <w:jc w:val="center"/>
              <w:rPr>
                <w:rFonts w:hint="eastAsia" w:ascii="华文细黑" w:hAnsi="华文细黑" w:eastAsia="华文细黑" w:cs="Arial"/>
                <w:b/>
                <w:bCs/>
                <w:color w:val="FFFFFF"/>
                <w:kern w:val="0"/>
                <w:sz w:val="16"/>
                <w:szCs w:val="16"/>
              </w:rPr>
            </w:pPr>
            <w:r>
              <w:rPr>
                <w:rFonts w:hint="eastAsia" w:ascii="华文细黑" w:hAnsi="华文细黑" w:eastAsia="华文细黑" w:cs="Arial"/>
                <w:b/>
                <w:bCs/>
                <w:color w:val="FFFFFF"/>
                <w:kern w:val="0"/>
                <w:sz w:val="16"/>
                <w:szCs w:val="16"/>
              </w:rPr>
              <w:t>项目名称</w:t>
            </w:r>
          </w:p>
        </w:tc>
        <w:tc>
          <w:tcPr>
            <w:tcW w:w="1791" w:type="dxa"/>
            <w:tcBorders>
              <w:top w:val="single" w:color="auto" w:sz="8" w:space="0"/>
              <w:left w:val="nil"/>
              <w:bottom w:val="single" w:color="auto" w:sz="8" w:space="0"/>
              <w:right w:val="single" w:color="auto" w:sz="8" w:space="0"/>
            </w:tcBorders>
            <w:shd w:val="clear" w:color="000000" w:fill="0070C0"/>
            <w:vAlign w:val="center"/>
          </w:tcPr>
          <w:p w14:paraId="486B4C3E">
            <w:pPr>
              <w:widowControl/>
              <w:spacing w:after="0" w:line="240" w:lineRule="auto"/>
              <w:jc w:val="center"/>
              <w:rPr>
                <w:rFonts w:hint="eastAsia" w:ascii="Verdana" w:hAnsi="Verdana" w:cs="Arial"/>
                <w:b/>
                <w:bCs/>
                <w:color w:val="FFFFFF"/>
                <w:kern w:val="0"/>
                <w:sz w:val="18"/>
                <w:szCs w:val="18"/>
              </w:rPr>
            </w:pPr>
            <w:r>
              <w:rPr>
                <w:rFonts w:hint="default" w:ascii="Verdana" w:hAnsi="Verdana" w:cs="Arial"/>
                <w:b/>
                <w:bCs/>
                <w:color w:val="FFFFFF"/>
                <w:kern w:val="0"/>
                <w:sz w:val="18"/>
                <w:szCs w:val="18"/>
                <w:lang w:val="en-US" w:eastAsia="zh-CN"/>
              </w:rPr>
              <w:t>2025</w:t>
            </w:r>
          </w:p>
        </w:tc>
        <w:tc>
          <w:tcPr>
            <w:tcW w:w="1524" w:type="dxa"/>
            <w:tcBorders>
              <w:top w:val="single" w:color="auto" w:sz="8" w:space="0"/>
              <w:left w:val="nil"/>
              <w:bottom w:val="single" w:color="auto" w:sz="8" w:space="0"/>
              <w:right w:val="single" w:color="auto" w:sz="8" w:space="0"/>
            </w:tcBorders>
            <w:shd w:val="clear" w:color="000000" w:fill="0070C0"/>
            <w:vAlign w:val="center"/>
          </w:tcPr>
          <w:p w14:paraId="124D91E5">
            <w:pPr>
              <w:widowControl/>
              <w:spacing w:after="0" w:line="240" w:lineRule="auto"/>
              <w:jc w:val="center"/>
              <w:rPr>
                <w:rFonts w:hint="default" w:ascii="Verdana" w:hAnsi="Verdana" w:cs="Arial"/>
                <w:b/>
                <w:bCs/>
                <w:color w:val="FFFFFF"/>
                <w:kern w:val="0"/>
                <w:sz w:val="18"/>
                <w:szCs w:val="18"/>
                <w:lang w:val="en-US" w:eastAsia="zh-CN"/>
              </w:rPr>
            </w:pPr>
            <w:r>
              <w:rPr>
                <w:rFonts w:hint="eastAsia" w:ascii="Verdana" w:hAnsi="Verdana" w:cs="Arial"/>
                <w:b/>
                <w:bCs/>
                <w:color w:val="FFFFFF"/>
                <w:kern w:val="0"/>
                <w:sz w:val="18"/>
                <w:szCs w:val="18"/>
                <w:lang w:val="en-US" w:eastAsia="zh-CN"/>
              </w:rPr>
              <w:t>2026</w:t>
            </w:r>
          </w:p>
        </w:tc>
        <w:tc>
          <w:tcPr>
            <w:tcW w:w="1713" w:type="dxa"/>
            <w:tcBorders>
              <w:top w:val="single" w:color="auto" w:sz="8" w:space="0"/>
              <w:left w:val="nil"/>
              <w:bottom w:val="single" w:color="auto" w:sz="8" w:space="0"/>
              <w:right w:val="single" w:color="auto" w:sz="8" w:space="0"/>
            </w:tcBorders>
            <w:shd w:val="clear" w:color="000000" w:fill="0070C0"/>
            <w:vAlign w:val="center"/>
          </w:tcPr>
          <w:p w14:paraId="3CF6FA2C">
            <w:pPr>
              <w:widowControl/>
              <w:spacing w:after="0" w:line="240" w:lineRule="auto"/>
              <w:jc w:val="center"/>
              <w:rPr>
                <w:rFonts w:hint="default" w:ascii="Verdana" w:hAnsi="Verdana" w:cs="Arial"/>
                <w:b/>
                <w:bCs/>
                <w:color w:val="FFFFFF"/>
                <w:kern w:val="0"/>
                <w:sz w:val="18"/>
                <w:szCs w:val="18"/>
                <w:lang w:val="en-US" w:eastAsia="zh-CN"/>
              </w:rPr>
            </w:pPr>
            <w:r>
              <w:rPr>
                <w:rFonts w:hint="eastAsia" w:ascii="Verdana" w:hAnsi="Verdana" w:cs="Arial"/>
                <w:b/>
                <w:bCs/>
                <w:color w:val="FFFFFF"/>
                <w:kern w:val="0"/>
                <w:sz w:val="18"/>
                <w:szCs w:val="18"/>
                <w:lang w:val="en-US" w:eastAsia="zh-CN"/>
              </w:rPr>
              <w:t>2027</w:t>
            </w:r>
          </w:p>
        </w:tc>
        <w:tc>
          <w:tcPr>
            <w:tcW w:w="1713" w:type="dxa"/>
            <w:tcBorders>
              <w:top w:val="single" w:color="auto" w:sz="8" w:space="0"/>
              <w:left w:val="nil"/>
              <w:bottom w:val="single" w:color="auto" w:sz="8" w:space="0"/>
              <w:right w:val="single" w:color="auto" w:sz="8" w:space="0"/>
            </w:tcBorders>
            <w:shd w:val="clear" w:color="000000" w:fill="0070C0"/>
            <w:vAlign w:val="center"/>
          </w:tcPr>
          <w:p w14:paraId="37679B2C">
            <w:pPr>
              <w:widowControl/>
              <w:spacing w:after="0" w:line="240" w:lineRule="auto"/>
              <w:jc w:val="center"/>
              <w:rPr>
                <w:rFonts w:ascii="华文细黑" w:hAnsi="华文细黑" w:eastAsia="华文细黑" w:cs="Arial"/>
                <w:b/>
                <w:bCs/>
                <w:color w:val="FFFFFF"/>
                <w:kern w:val="0"/>
                <w:sz w:val="18"/>
                <w:szCs w:val="18"/>
              </w:rPr>
            </w:pPr>
            <w:r>
              <w:rPr>
                <w:rFonts w:hint="eastAsia" w:ascii="华文细黑" w:hAnsi="华文细黑" w:eastAsia="华文细黑" w:cs="Arial"/>
                <w:b/>
                <w:bCs/>
                <w:color w:val="FFFFFF"/>
                <w:kern w:val="0"/>
                <w:sz w:val="18"/>
                <w:szCs w:val="18"/>
              </w:rPr>
              <w:t>合计</w:t>
            </w:r>
          </w:p>
        </w:tc>
      </w:tr>
      <w:tr w14:paraId="5F39E4C1">
        <w:tblPrEx>
          <w:tblCellMar>
            <w:top w:w="0" w:type="dxa"/>
            <w:left w:w="108" w:type="dxa"/>
            <w:bottom w:w="0" w:type="dxa"/>
            <w:right w:w="108" w:type="dxa"/>
          </w:tblCellMar>
        </w:tblPrEx>
        <w:trPr>
          <w:trHeight w:val="323" w:hRule="atLeast"/>
          <w:jc w:val="center"/>
        </w:trPr>
        <w:tc>
          <w:tcPr>
            <w:tcW w:w="655" w:type="dxa"/>
            <w:tcBorders>
              <w:top w:val="nil"/>
              <w:left w:val="single" w:color="auto" w:sz="8" w:space="0"/>
              <w:bottom w:val="single" w:color="auto" w:sz="8" w:space="0"/>
              <w:right w:val="single" w:color="auto" w:sz="8" w:space="0"/>
            </w:tcBorders>
            <w:shd w:val="clear" w:color="auto" w:fill="auto"/>
            <w:noWrap/>
            <w:vAlign w:val="center"/>
          </w:tcPr>
          <w:p w14:paraId="29C919BE">
            <w:pPr>
              <w:jc w:val="center"/>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1.1</w:t>
            </w:r>
          </w:p>
        </w:tc>
        <w:tc>
          <w:tcPr>
            <w:tcW w:w="1656" w:type="dxa"/>
            <w:tcBorders>
              <w:top w:val="nil"/>
              <w:left w:val="nil"/>
              <w:bottom w:val="single" w:color="auto" w:sz="8" w:space="0"/>
              <w:right w:val="single" w:color="auto" w:sz="8" w:space="0"/>
            </w:tcBorders>
            <w:shd w:val="clear" w:color="auto" w:fill="auto"/>
            <w:vAlign w:val="center"/>
          </w:tcPr>
          <w:p w14:paraId="3085F0A7">
            <w:pPr>
              <w:jc w:val="left"/>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工程费用</w:t>
            </w:r>
          </w:p>
        </w:tc>
        <w:tc>
          <w:tcPr>
            <w:tcW w:w="1791" w:type="dxa"/>
            <w:tcBorders>
              <w:top w:val="nil"/>
              <w:left w:val="nil"/>
              <w:bottom w:val="single" w:color="auto" w:sz="8" w:space="0"/>
              <w:right w:val="single" w:color="auto" w:sz="8" w:space="0"/>
            </w:tcBorders>
            <w:shd w:val="clear" w:color="auto" w:fill="auto"/>
            <w:vAlign w:val="center"/>
          </w:tcPr>
          <w:p w14:paraId="1CBE7B48">
            <w:pPr>
              <w:widowControl/>
              <w:spacing w:after="0" w:line="240" w:lineRule="auto"/>
              <w:jc w:val="right"/>
              <w:rPr>
                <w:rFonts w:hint="eastAsia"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1,000.00 </w:t>
            </w:r>
          </w:p>
        </w:tc>
        <w:tc>
          <w:tcPr>
            <w:tcW w:w="1524" w:type="dxa"/>
            <w:tcBorders>
              <w:top w:val="nil"/>
              <w:left w:val="nil"/>
              <w:bottom w:val="single" w:color="auto" w:sz="8" w:space="0"/>
              <w:right w:val="single" w:color="auto" w:sz="8" w:space="0"/>
            </w:tcBorders>
            <w:shd w:val="clear" w:color="auto" w:fill="auto"/>
            <w:vAlign w:val="center"/>
          </w:tcPr>
          <w:p w14:paraId="6368D62B">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10,000.00 </w:t>
            </w:r>
          </w:p>
        </w:tc>
        <w:tc>
          <w:tcPr>
            <w:tcW w:w="1713" w:type="dxa"/>
            <w:tcBorders>
              <w:top w:val="nil"/>
              <w:left w:val="nil"/>
              <w:bottom w:val="single" w:color="auto" w:sz="8" w:space="0"/>
              <w:right w:val="single" w:color="auto" w:sz="8" w:space="0"/>
            </w:tcBorders>
            <w:shd w:val="clear" w:color="auto" w:fill="auto"/>
            <w:noWrap/>
            <w:vAlign w:val="center"/>
          </w:tcPr>
          <w:p w14:paraId="7D28737B">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7,562.71 </w:t>
            </w:r>
          </w:p>
        </w:tc>
        <w:tc>
          <w:tcPr>
            <w:tcW w:w="1713" w:type="dxa"/>
            <w:tcBorders>
              <w:top w:val="nil"/>
              <w:left w:val="nil"/>
              <w:bottom w:val="single" w:color="auto" w:sz="8" w:space="0"/>
              <w:right w:val="single" w:color="auto" w:sz="8" w:space="0"/>
            </w:tcBorders>
            <w:shd w:val="clear" w:color="auto" w:fill="auto"/>
            <w:noWrap/>
            <w:vAlign w:val="center"/>
          </w:tcPr>
          <w:p w14:paraId="76E977EC">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18,562.71 </w:t>
            </w:r>
          </w:p>
        </w:tc>
      </w:tr>
      <w:tr w14:paraId="543BD5B6">
        <w:tblPrEx>
          <w:tblCellMar>
            <w:top w:w="0" w:type="dxa"/>
            <w:left w:w="108" w:type="dxa"/>
            <w:bottom w:w="0" w:type="dxa"/>
            <w:right w:w="108" w:type="dxa"/>
          </w:tblCellMar>
        </w:tblPrEx>
        <w:trPr>
          <w:trHeight w:val="340" w:hRule="atLeast"/>
          <w:jc w:val="center"/>
        </w:trPr>
        <w:tc>
          <w:tcPr>
            <w:tcW w:w="655" w:type="dxa"/>
            <w:tcBorders>
              <w:top w:val="nil"/>
              <w:left w:val="single" w:color="auto" w:sz="8" w:space="0"/>
              <w:bottom w:val="single" w:color="auto" w:sz="4" w:space="0"/>
              <w:right w:val="single" w:color="auto" w:sz="8" w:space="0"/>
            </w:tcBorders>
            <w:shd w:val="clear" w:color="auto" w:fill="auto"/>
            <w:noWrap/>
            <w:vAlign w:val="center"/>
          </w:tcPr>
          <w:p w14:paraId="39B41A17">
            <w:pPr>
              <w:jc w:val="center"/>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1.2</w:t>
            </w:r>
          </w:p>
        </w:tc>
        <w:tc>
          <w:tcPr>
            <w:tcW w:w="1656" w:type="dxa"/>
            <w:tcBorders>
              <w:top w:val="nil"/>
              <w:left w:val="nil"/>
              <w:bottom w:val="single" w:color="auto" w:sz="4" w:space="0"/>
              <w:right w:val="single" w:color="auto" w:sz="8" w:space="0"/>
            </w:tcBorders>
            <w:shd w:val="clear" w:color="auto" w:fill="auto"/>
            <w:vAlign w:val="center"/>
          </w:tcPr>
          <w:p w14:paraId="1CEA64C0">
            <w:pPr>
              <w:jc w:val="left"/>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工程建设其他费用</w:t>
            </w:r>
          </w:p>
        </w:tc>
        <w:tc>
          <w:tcPr>
            <w:tcW w:w="1791" w:type="dxa"/>
            <w:tcBorders>
              <w:top w:val="nil"/>
              <w:left w:val="nil"/>
              <w:bottom w:val="single" w:color="auto" w:sz="4" w:space="0"/>
              <w:right w:val="single" w:color="auto" w:sz="8" w:space="0"/>
            </w:tcBorders>
            <w:shd w:val="clear" w:color="auto" w:fill="auto"/>
            <w:vAlign w:val="center"/>
          </w:tcPr>
          <w:p w14:paraId="0874EDA7">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524" w:type="dxa"/>
            <w:tcBorders>
              <w:top w:val="nil"/>
              <w:left w:val="nil"/>
              <w:bottom w:val="single" w:color="auto" w:sz="4" w:space="0"/>
              <w:right w:val="single" w:color="auto" w:sz="8" w:space="0"/>
            </w:tcBorders>
            <w:shd w:val="clear" w:color="auto" w:fill="auto"/>
            <w:vAlign w:val="center"/>
          </w:tcPr>
          <w:p w14:paraId="7815E793">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1,000.00 </w:t>
            </w:r>
          </w:p>
        </w:tc>
        <w:tc>
          <w:tcPr>
            <w:tcW w:w="1713" w:type="dxa"/>
            <w:tcBorders>
              <w:top w:val="nil"/>
              <w:left w:val="nil"/>
              <w:bottom w:val="single" w:color="auto" w:sz="4" w:space="0"/>
              <w:right w:val="single" w:color="auto" w:sz="8" w:space="0"/>
            </w:tcBorders>
            <w:shd w:val="clear" w:color="auto" w:fill="auto"/>
            <w:noWrap/>
            <w:vAlign w:val="center"/>
          </w:tcPr>
          <w:p w14:paraId="3AFD084C">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756.43 </w:t>
            </w:r>
          </w:p>
        </w:tc>
        <w:tc>
          <w:tcPr>
            <w:tcW w:w="1713" w:type="dxa"/>
            <w:tcBorders>
              <w:top w:val="nil"/>
              <w:left w:val="nil"/>
              <w:bottom w:val="single" w:color="auto" w:sz="4" w:space="0"/>
              <w:right w:val="single" w:color="auto" w:sz="8" w:space="0"/>
            </w:tcBorders>
            <w:shd w:val="clear" w:color="auto" w:fill="auto"/>
            <w:noWrap/>
            <w:vAlign w:val="center"/>
          </w:tcPr>
          <w:p w14:paraId="3CF0F4C8">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1,756.43 </w:t>
            </w:r>
          </w:p>
        </w:tc>
      </w:tr>
      <w:tr w14:paraId="3943071E">
        <w:tblPrEx>
          <w:tblCellMar>
            <w:top w:w="0" w:type="dxa"/>
            <w:left w:w="108" w:type="dxa"/>
            <w:bottom w:w="0" w:type="dxa"/>
            <w:right w:w="108" w:type="dxa"/>
          </w:tblCellMar>
        </w:tblPrEx>
        <w:trPr>
          <w:trHeight w:val="340" w:hRule="atLeast"/>
          <w:jc w:val="center"/>
        </w:trPr>
        <w:tc>
          <w:tcPr>
            <w:tcW w:w="6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C05A1A">
            <w:pPr>
              <w:jc w:val="center"/>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1.3</w:t>
            </w: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733FA9A7">
            <w:pPr>
              <w:jc w:val="left"/>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预备费</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14:paraId="4C7252FA">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524" w:type="dxa"/>
            <w:tcBorders>
              <w:top w:val="single" w:color="auto" w:sz="4" w:space="0"/>
              <w:left w:val="single" w:color="auto" w:sz="4" w:space="0"/>
              <w:bottom w:val="single" w:color="auto" w:sz="4" w:space="0"/>
              <w:right w:val="single" w:color="auto" w:sz="4" w:space="0"/>
            </w:tcBorders>
            <w:shd w:val="clear" w:color="auto" w:fill="auto"/>
            <w:vAlign w:val="center"/>
          </w:tcPr>
          <w:p w14:paraId="09799111">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1,000.00 </w:t>
            </w:r>
          </w:p>
        </w:tc>
        <w:tc>
          <w:tcPr>
            <w:tcW w:w="17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949A3C">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625.53 </w:t>
            </w:r>
          </w:p>
        </w:tc>
        <w:tc>
          <w:tcPr>
            <w:tcW w:w="17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7EBB39">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1,625.53 </w:t>
            </w:r>
          </w:p>
        </w:tc>
      </w:tr>
      <w:tr w14:paraId="1C073FC2">
        <w:tblPrEx>
          <w:tblCellMar>
            <w:top w:w="0" w:type="dxa"/>
            <w:left w:w="108" w:type="dxa"/>
            <w:bottom w:w="0" w:type="dxa"/>
            <w:right w:w="108" w:type="dxa"/>
          </w:tblCellMar>
        </w:tblPrEx>
        <w:trPr>
          <w:trHeight w:val="340" w:hRule="atLeast"/>
          <w:jc w:val="center"/>
        </w:trPr>
        <w:tc>
          <w:tcPr>
            <w:tcW w:w="6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19F448">
            <w:pPr>
              <w:jc w:val="center"/>
              <w:rPr>
                <w:rFonts w:hint="default" w:ascii="华文细黑" w:hAnsi="华文细黑" w:eastAsia="华文细黑" w:cs="华文细黑"/>
                <w:color w:val="000000"/>
                <w:sz w:val="18"/>
                <w:szCs w:val="18"/>
                <w:lang w:val="en-US" w:eastAsia="zh-CN"/>
              </w:rPr>
            </w:pPr>
            <w:r>
              <w:rPr>
                <w:rFonts w:hint="eastAsia" w:ascii="华文细黑" w:hAnsi="华文细黑" w:eastAsia="华文细黑" w:cs="华文细黑"/>
                <w:color w:val="000000"/>
                <w:sz w:val="18"/>
                <w:szCs w:val="18"/>
                <w:lang w:val="en-US" w:eastAsia="zh-CN"/>
              </w:rPr>
              <w:t>1.4</w:t>
            </w: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4ACDC75A">
            <w:pPr>
              <w:jc w:val="left"/>
              <w:rPr>
                <w:rFonts w:hint="default" w:ascii="华文细黑" w:hAnsi="华文细黑" w:eastAsia="华文细黑" w:cs="华文细黑"/>
                <w:color w:val="000000"/>
                <w:sz w:val="18"/>
                <w:szCs w:val="18"/>
                <w:lang w:val="en-US" w:eastAsia="zh-CN"/>
              </w:rPr>
            </w:pPr>
            <w:r>
              <w:rPr>
                <w:rFonts w:hint="eastAsia" w:ascii="华文细黑" w:hAnsi="华文细黑" w:eastAsia="华文细黑" w:cs="华文细黑"/>
                <w:color w:val="000000"/>
                <w:sz w:val="18"/>
                <w:szCs w:val="18"/>
                <w:lang w:val="en-US" w:eastAsia="zh-CN"/>
              </w:rPr>
              <w:t>管理费用</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14:paraId="44719DEC">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524" w:type="dxa"/>
            <w:tcBorders>
              <w:top w:val="single" w:color="auto" w:sz="4" w:space="0"/>
              <w:left w:val="single" w:color="auto" w:sz="4" w:space="0"/>
              <w:bottom w:val="single" w:color="auto" w:sz="4" w:space="0"/>
              <w:right w:val="single" w:color="auto" w:sz="4" w:space="0"/>
            </w:tcBorders>
            <w:shd w:val="clear" w:color="auto" w:fill="auto"/>
            <w:vAlign w:val="center"/>
          </w:tcPr>
          <w:p w14:paraId="45C7C6A1">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10,000.00 </w:t>
            </w:r>
          </w:p>
        </w:tc>
        <w:tc>
          <w:tcPr>
            <w:tcW w:w="17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8BFEA7">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12,204.12 </w:t>
            </w:r>
          </w:p>
        </w:tc>
        <w:tc>
          <w:tcPr>
            <w:tcW w:w="17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C0251E">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22,204.12 </w:t>
            </w:r>
          </w:p>
        </w:tc>
      </w:tr>
      <w:tr w14:paraId="74F8D14E">
        <w:tblPrEx>
          <w:tblCellMar>
            <w:top w:w="0" w:type="dxa"/>
            <w:left w:w="108" w:type="dxa"/>
            <w:bottom w:w="0" w:type="dxa"/>
            <w:right w:w="108" w:type="dxa"/>
          </w:tblCellMar>
        </w:tblPrEx>
        <w:trPr>
          <w:trHeight w:val="340" w:hRule="atLeast"/>
          <w:jc w:val="center"/>
        </w:trPr>
        <w:tc>
          <w:tcPr>
            <w:tcW w:w="655" w:type="dxa"/>
            <w:tcBorders>
              <w:top w:val="nil"/>
              <w:left w:val="single" w:color="auto" w:sz="8" w:space="0"/>
              <w:bottom w:val="single" w:color="auto" w:sz="8" w:space="0"/>
              <w:right w:val="single" w:color="auto" w:sz="8" w:space="0"/>
            </w:tcBorders>
            <w:shd w:val="clear" w:color="auto" w:fill="auto"/>
            <w:noWrap/>
            <w:vAlign w:val="center"/>
          </w:tcPr>
          <w:p w14:paraId="18382FB8">
            <w:pPr>
              <w:jc w:val="center"/>
              <w:rPr>
                <w:rFonts w:hint="eastAsia" w:ascii="华文细黑" w:hAnsi="华文细黑" w:eastAsia="华文细黑" w:cs="华文细黑"/>
                <w:color w:val="000000"/>
                <w:kern w:val="0"/>
                <w:sz w:val="18"/>
                <w:szCs w:val="18"/>
                <w:lang w:val="en-US" w:eastAsia="zh-CN"/>
              </w:rPr>
            </w:pPr>
            <w:r>
              <w:rPr>
                <w:rFonts w:hint="eastAsia" w:ascii="华文细黑" w:hAnsi="华文细黑" w:eastAsia="华文细黑" w:cs="华文细黑"/>
                <w:color w:val="000000"/>
                <w:sz w:val="18"/>
                <w:szCs w:val="18"/>
              </w:rPr>
              <w:t>1.</w:t>
            </w:r>
            <w:r>
              <w:rPr>
                <w:rFonts w:hint="eastAsia" w:ascii="华文细黑" w:hAnsi="华文细黑" w:eastAsia="华文细黑" w:cs="华文细黑"/>
                <w:color w:val="000000"/>
                <w:sz w:val="18"/>
                <w:szCs w:val="18"/>
                <w:lang w:val="en-US" w:eastAsia="zh-CN"/>
              </w:rPr>
              <w:t>5</w:t>
            </w:r>
          </w:p>
        </w:tc>
        <w:tc>
          <w:tcPr>
            <w:tcW w:w="1656" w:type="dxa"/>
            <w:tcBorders>
              <w:top w:val="nil"/>
              <w:left w:val="nil"/>
              <w:bottom w:val="single" w:color="auto" w:sz="8" w:space="0"/>
              <w:right w:val="single" w:color="auto" w:sz="8" w:space="0"/>
            </w:tcBorders>
            <w:shd w:val="clear" w:color="auto" w:fill="auto"/>
            <w:vAlign w:val="center"/>
          </w:tcPr>
          <w:p w14:paraId="1D31011A">
            <w:pPr>
              <w:jc w:val="left"/>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专项费用</w:t>
            </w:r>
          </w:p>
        </w:tc>
        <w:tc>
          <w:tcPr>
            <w:tcW w:w="1791" w:type="dxa"/>
            <w:tcBorders>
              <w:top w:val="nil"/>
              <w:left w:val="nil"/>
              <w:bottom w:val="single" w:color="auto" w:sz="8" w:space="0"/>
              <w:right w:val="single" w:color="auto" w:sz="8" w:space="0"/>
            </w:tcBorders>
            <w:shd w:val="clear" w:color="auto" w:fill="auto"/>
            <w:vAlign w:val="center"/>
          </w:tcPr>
          <w:p w14:paraId="021AA7DD">
            <w:pPr>
              <w:widowControl/>
              <w:spacing w:after="0" w:line="240" w:lineRule="auto"/>
              <w:jc w:val="right"/>
              <w:rPr>
                <w:rFonts w:hint="eastAsia"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524" w:type="dxa"/>
            <w:tcBorders>
              <w:top w:val="nil"/>
              <w:left w:val="nil"/>
              <w:bottom w:val="single" w:color="auto" w:sz="8" w:space="0"/>
              <w:right w:val="single" w:color="auto" w:sz="8" w:space="0"/>
            </w:tcBorders>
            <w:shd w:val="clear" w:color="auto" w:fill="auto"/>
            <w:vAlign w:val="center"/>
          </w:tcPr>
          <w:p w14:paraId="28E3BDA7">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17.09 </w:t>
            </w:r>
          </w:p>
        </w:tc>
        <w:tc>
          <w:tcPr>
            <w:tcW w:w="1713" w:type="dxa"/>
            <w:tcBorders>
              <w:top w:val="nil"/>
              <w:left w:val="nil"/>
              <w:bottom w:val="single" w:color="auto" w:sz="8" w:space="0"/>
              <w:right w:val="single" w:color="auto" w:sz="8" w:space="0"/>
            </w:tcBorders>
            <w:shd w:val="clear" w:color="auto" w:fill="auto"/>
            <w:noWrap/>
            <w:vAlign w:val="center"/>
          </w:tcPr>
          <w:p w14:paraId="3E84CE5E">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206.09 </w:t>
            </w:r>
          </w:p>
        </w:tc>
        <w:tc>
          <w:tcPr>
            <w:tcW w:w="1713" w:type="dxa"/>
            <w:tcBorders>
              <w:top w:val="nil"/>
              <w:left w:val="nil"/>
              <w:bottom w:val="single" w:color="auto" w:sz="8" w:space="0"/>
              <w:right w:val="single" w:color="auto" w:sz="8" w:space="0"/>
            </w:tcBorders>
            <w:shd w:val="clear" w:color="auto" w:fill="auto"/>
            <w:noWrap/>
            <w:vAlign w:val="center"/>
          </w:tcPr>
          <w:p w14:paraId="2B634669">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223.18 </w:t>
            </w:r>
          </w:p>
        </w:tc>
      </w:tr>
      <w:tr w14:paraId="33F7A9C3">
        <w:tblPrEx>
          <w:tblCellMar>
            <w:top w:w="0" w:type="dxa"/>
            <w:left w:w="108" w:type="dxa"/>
            <w:bottom w:w="0" w:type="dxa"/>
            <w:right w:w="108" w:type="dxa"/>
          </w:tblCellMar>
        </w:tblPrEx>
        <w:trPr>
          <w:trHeight w:val="340" w:hRule="atLeast"/>
          <w:jc w:val="center"/>
        </w:trPr>
        <w:tc>
          <w:tcPr>
            <w:tcW w:w="655" w:type="dxa"/>
            <w:tcBorders>
              <w:top w:val="nil"/>
              <w:left w:val="single" w:color="auto" w:sz="8" w:space="0"/>
              <w:bottom w:val="single" w:color="auto" w:sz="8" w:space="0"/>
              <w:right w:val="single" w:color="auto" w:sz="8" w:space="0"/>
            </w:tcBorders>
            <w:shd w:val="clear" w:color="auto" w:fill="auto"/>
            <w:noWrap/>
            <w:vAlign w:val="center"/>
          </w:tcPr>
          <w:p w14:paraId="223703B8">
            <w:pPr>
              <w:jc w:val="center"/>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1.</w:t>
            </w:r>
            <w:r>
              <w:rPr>
                <w:rFonts w:hint="eastAsia" w:ascii="华文细黑" w:hAnsi="华文细黑" w:eastAsia="华文细黑" w:cs="华文细黑"/>
                <w:color w:val="000000"/>
                <w:sz w:val="18"/>
                <w:szCs w:val="18"/>
                <w:lang w:val="en-US" w:eastAsia="zh-CN"/>
              </w:rPr>
              <w:t>5</w:t>
            </w:r>
            <w:r>
              <w:rPr>
                <w:rFonts w:hint="eastAsia" w:ascii="华文细黑" w:hAnsi="华文细黑" w:eastAsia="华文细黑" w:cs="华文细黑"/>
                <w:color w:val="000000"/>
                <w:sz w:val="18"/>
                <w:szCs w:val="18"/>
              </w:rPr>
              <w:t>.1</w:t>
            </w:r>
          </w:p>
        </w:tc>
        <w:tc>
          <w:tcPr>
            <w:tcW w:w="1656" w:type="dxa"/>
            <w:tcBorders>
              <w:top w:val="nil"/>
              <w:left w:val="nil"/>
              <w:bottom w:val="single" w:color="auto" w:sz="8" w:space="0"/>
              <w:right w:val="single" w:color="auto" w:sz="8" w:space="0"/>
            </w:tcBorders>
            <w:shd w:val="clear" w:color="auto" w:fill="auto"/>
            <w:vAlign w:val="center"/>
          </w:tcPr>
          <w:p w14:paraId="39FFD12B">
            <w:pPr>
              <w:jc w:val="left"/>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建设期利息</w:t>
            </w:r>
          </w:p>
        </w:tc>
        <w:tc>
          <w:tcPr>
            <w:tcW w:w="1791" w:type="dxa"/>
            <w:tcBorders>
              <w:top w:val="nil"/>
              <w:left w:val="nil"/>
              <w:bottom w:val="single" w:color="auto" w:sz="8" w:space="0"/>
              <w:right w:val="single" w:color="auto" w:sz="8" w:space="0"/>
            </w:tcBorders>
            <w:shd w:val="clear" w:color="auto" w:fill="auto"/>
            <w:vAlign w:val="center"/>
          </w:tcPr>
          <w:p w14:paraId="55B1B145">
            <w:pPr>
              <w:widowControl/>
              <w:spacing w:after="0" w:line="240" w:lineRule="auto"/>
              <w:jc w:val="right"/>
              <w:rPr>
                <w:rFonts w:hint="eastAsia"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524" w:type="dxa"/>
            <w:tcBorders>
              <w:top w:val="nil"/>
              <w:left w:val="nil"/>
              <w:bottom w:val="single" w:color="auto" w:sz="8" w:space="0"/>
              <w:right w:val="single" w:color="auto" w:sz="8" w:space="0"/>
            </w:tcBorders>
            <w:shd w:val="clear" w:color="auto" w:fill="auto"/>
            <w:vAlign w:val="center"/>
          </w:tcPr>
          <w:p w14:paraId="51433D47">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10.09 </w:t>
            </w:r>
          </w:p>
        </w:tc>
        <w:tc>
          <w:tcPr>
            <w:tcW w:w="1713" w:type="dxa"/>
            <w:tcBorders>
              <w:top w:val="nil"/>
              <w:left w:val="nil"/>
              <w:bottom w:val="single" w:color="auto" w:sz="8" w:space="0"/>
              <w:right w:val="single" w:color="auto" w:sz="8" w:space="0"/>
            </w:tcBorders>
            <w:shd w:val="clear" w:color="auto" w:fill="auto"/>
            <w:noWrap/>
            <w:vAlign w:val="center"/>
          </w:tcPr>
          <w:p w14:paraId="21AB0C51">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206.09 </w:t>
            </w:r>
          </w:p>
        </w:tc>
        <w:tc>
          <w:tcPr>
            <w:tcW w:w="1713" w:type="dxa"/>
            <w:tcBorders>
              <w:top w:val="nil"/>
              <w:left w:val="nil"/>
              <w:bottom w:val="single" w:color="auto" w:sz="8" w:space="0"/>
              <w:right w:val="single" w:color="auto" w:sz="8" w:space="0"/>
            </w:tcBorders>
            <w:shd w:val="clear" w:color="auto" w:fill="auto"/>
            <w:noWrap/>
            <w:vAlign w:val="center"/>
          </w:tcPr>
          <w:p w14:paraId="61B0CDCB">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216.18 </w:t>
            </w:r>
          </w:p>
        </w:tc>
      </w:tr>
      <w:tr w14:paraId="690A1E2E">
        <w:tblPrEx>
          <w:tblCellMar>
            <w:top w:w="0" w:type="dxa"/>
            <w:left w:w="108" w:type="dxa"/>
            <w:bottom w:w="0" w:type="dxa"/>
            <w:right w:w="108" w:type="dxa"/>
          </w:tblCellMar>
        </w:tblPrEx>
        <w:trPr>
          <w:trHeight w:val="340" w:hRule="atLeast"/>
          <w:jc w:val="center"/>
        </w:trPr>
        <w:tc>
          <w:tcPr>
            <w:tcW w:w="655" w:type="dxa"/>
            <w:tcBorders>
              <w:top w:val="nil"/>
              <w:left w:val="single" w:color="auto" w:sz="8" w:space="0"/>
              <w:bottom w:val="single" w:color="auto" w:sz="8" w:space="0"/>
              <w:right w:val="single" w:color="auto" w:sz="8" w:space="0"/>
            </w:tcBorders>
            <w:shd w:val="clear" w:color="auto" w:fill="auto"/>
            <w:noWrap/>
            <w:vAlign w:val="center"/>
          </w:tcPr>
          <w:p w14:paraId="2CB57550">
            <w:pPr>
              <w:jc w:val="center"/>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1.</w:t>
            </w:r>
            <w:r>
              <w:rPr>
                <w:rFonts w:hint="eastAsia" w:ascii="华文细黑" w:hAnsi="华文细黑" w:eastAsia="华文细黑" w:cs="华文细黑"/>
                <w:color w:val="000000"/>
                <w:sz w:val="18"/>
                <w:szCs w:val="18"/>
                <w:lang w:val="en-US" w:eastAsia="zh-CN"/>
              </w:rPr>
              <w:t>5</w:t>
            </w:r>
            <w:r>
              <w:rPr>
                <w:rFonts w:hint="eastAsia" w:ascii="华文细黑" w:hAnsi="华文细黑" w:eastAsia="华文细黑" w:cs="华文细黑"/>
                <w:color w:val="000000"/>
                <w:sz w:val="18"/>
                <w:szCs w:val="18"/>
              </w:rPr>
              <w:t>.2</w:t>
            </w:r>
          </w:p>
        </w:tc>
        <w:tc>
          <w:tcPr>
            <w:tcW w:w="1656" w:type="dxa"/>
            <w:tcBorders>
              <w:top w:val="nil"/>
              <w:left w:val="nil"/>
              <w:bottom w:val="single" w:color="auto" w:sz="8" w:space="0"/>
              <w:right w:val="single" w:color="auto" w:sz="8" w:space="0"/>
            </w:tcBorders>
            <w:shd w:val="clear" w:color="auto" w:fill="auto"/>
            <w:vAlign w:val="center"/>
          </w:tcPr>
          <w:p w14:paraId="6C82B71C">
            <w:pPr>
              <w:jc w:val="left"/>
              <w:rPr>
                <w:rFonts w:hint="eastAsia" w:ascii="华文细黑" w:hAnsi="华文细黑" w:eastAsia="华文细黑" w:cs="华文细黑"/>
                <w:color w:val="000000"/>
                <w:kern w:val="0"/>
                <w:sz w:val="18"/>
                <w:szCs w:val="18"/>
              </w:rPr>
            </w:pPr>
            <w:r>
              <w:rPr>
                <w:rFonts w:hint="eastAsia" w:ascii="华文细黑" w:hAnsi="华文细黑" w:eastAsia="华文细黑" w:cs="华文细黑"/>
                <w:color w:val="000000"/>
                <w:sz w:val="18"/>
                <w:szCs w:val="18"/>
              </w:rPr>
              <w:t>债券发行费用</w:t>
            </w:r>
          </w:p>
        </w:tc>
        <w:tc>
          <w:tcPr>
            <w:tcW w:w="1791" w:type="dxa"/>
            <w:tcBorders>
              <w:top w:val="nil"/>
              <w:left w:val="nil"/>
              <w:bottom w:val="single" w:color="auto" w:sz="8" w:space="0"/>
              <w:right w:val="single" w:color="auto" w:sz="8" w:space="0"/>
            </w:tcBorders>
            <w:shd w:val="clear" w:color="auto" w:fill="auto"/>
            <w:vAlign w:val="center"/>
          </w:tcPr>
          <w:p w14:paraId="5FB7AF3C">
            <w:pPr>
              <w:widowControl/>
              <w:spacing w:after="0" w:line="240" w:lineRule="auto"/>
              <w:jc w:val="right"/>
              <w:rPr>
                <w:rFonts w:hint="eastAsia"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524" w:type="dxa"/>
            <w:tcBorders>
              <w:top w:val="nil"/>
              <w:left w:val="nil"/>
              <w:bottom w:val="single" w:color="auto" w:sz="8" w:space="0"/>
              <w:right w:val="single" w:color="auto" w:sz="8" w:space="0"/>
            </w:tcBorders>
            <w:shd w:val="clear" w:color="auto" w:fill="auto"/>
            <w:vAlign w:val="center"/>
          </w:tcPr>
          <w:p w14:paraId="10E169CF">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7.00 </w:t>
            </w:r>
          </w:p>
        </w:tc>
        <w:tc>
          <w:tcPr>
            <w:tcW w:w="1713" w:type="dxa"/>
            <w:tcBorders>
              <w:top w:val="nil"/>
              <w:left w:val="nil"/>
              <w:bottom w:val="single" w:color="auto" w:sz="8" w:space="0"/>
              <w:right w:val="single" w:color="auto" w:sz="8" w:space="0"/>
            </w:tcBorders>
            <w:shd w:val="clear" w:color="auto" w:fill="auto"/>
            <w:noWrap/>
            <w:vAlign w:val="center"/>
          </w:tcPr>
          <w:p w14:paraId="4F34DE0F">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713" w:type="dxa"/>
            <w:tcBorders>
              <w:top w:val="nil"/>
              <w:left w:val="nil"/>
              <w:bottom w:val="single" w:color="auto" w:sz="8" w:space="0"/>
              <w:right w:val="single" w:color="auto" w:sz="8" w:space="0"/>
            </w:tcBorders>
            <w:shd w:val="clear" w:color="auto" w:fill="auto"/>
            <w:noWrap/>
            <w:vAlign w:val="center"/>
          </w:tcPr>
          <w:p w14:paraId="1293C823">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7.00 </w:t>
            </w:r>
          </w:p>
        </w:tc>
      </w:tr>
      <w:tr w14:paraId="5B4604B9">
        <w:tblPrEx>
          <w:tblCellMar>
            <w:top w:w="0" w:type="dxa"/>
            <w:left w:w="108" w:type="dxa"/>
            <w:bottom w:w="0" w:type="dxa"/>
            <w:right w:w="108" w:type="dxa"/>
          </w:tblCellMar>
        </w:tblPrEx>
        <w:trPr>
          <w:trHeight w:val="283" w:hRule="atLeast"/>
          <w:jc w:val="center"/>
        </w:trPr>
        <w:tc>
          <w:tcPr>
            <w:tcW w:w="655" w:type="dxa"/>
            <w:tcBorders>
              <w:top w:val="nil"/>
              <w:left w:val="single" w:color="auto" w:sz="8" w:space="0"/>
              <w:bottom w:val="single" w:color="auto" w:sz="8" w:space="0"/>
              <w:right w:val="single" w:color="auto" w:sz="8" w:space="0"/>
            </w:tcBorders>
            <w:shd w:val="clear" w:color="auto" w:fill="auto"/>
            <w:noWrap/>
            <w:vAlign w:val="center"/>
          </w:tcPr>
          <w:p w14:paraId="0381338C">
            <w:pPr>
              <w:widowControl/>
              <w:spacing w:after="0" w:line="240" w:lineRule="auto"/>
              <w:jc w:val="center"/>
              <w:rPr>
                <w:rFonts w:ascii="Verdana" w:hAnsi="Verdana" w:cs="Arial"/>
                <w:b/>
                <w:bCs/>
                <w:color w:val="000000"/>
                <w:kern w:val="0"/>
                <w:sz w:val="18"/>
                <w:szCs w:val="18"/>
              </w:rPr>
            </w:pPr>
            <w:r>
              <w:rPr>
                <w:rFonts w:ascii="Verdana" w:hAnsi="Verdana" w:cs="Arial"/>
                <w:b/>
                <w:bCs/>
                <w:color w:val="000000"/>
                <w:kern w:val="0"/>
                <w:sz w:val="18"/>
                <w:szCs w:val="18"/>
              </w:rPr>
              <w:t>　</w:t>
            </w:r>
          </w:p>
        </w:tc>
        <w:tc>
          <w:tcPr>
            <w:tcW w:w="1656" w:type="dxa"/>
            <w:tcBorders>
              <w:top w:val="nil"/>
              <w:left w:val="nil"/>
              <w:bottom w:val="single" w:color="auto" w:sz="8" w:space="0"/>
              <w:right w:val="single" w:color="auto" w:sz="8" w:space="0"/>
            </w:tcBorders>
            <w:shd w:val="clear" w:color="auto" w:fill="auto"/>
            <w:vAlign w:val="center"/>
          </w:tcPr>
          <w:p w14:paraId="1A2E1C19">
            <w:pPr>
              <w:widowControl/>
              <w:spacing w:after="0" w:line="240" w:lineRule="auto"/>
              <w:jc w:val="left"/>
              <w:rPr>
                <w:rFonts w:ascii="华文细黑" w:hAnsi="华文细黑" w:eastAsia="华文细黑" w:cs="Arial"/>
                <w:b/>
                <w:bCs/>
                <w:color w:val="000000"/>
                <w:kern w:val="0"/>
                <w:sz w:val="18"/>
                <w:szCs w:val="18"/>
              </w:rPr>
            </w:pPr>
            <w:r>
              <w:rPr>
                <w:rFonts w:hint="eastAsia" w:ascii="华文细黑" w:hAnsi="华文细黑" w:eastAsia="华文细黑" w:cs="Arial"/>
                <w:b/>
                <w:bCs/>
                <w:color w:val="000000"/>
                <w:kern w:val="0"/>
                <w:sz w:val="18"/>
                <w:szCs w:val="18"/>
              </w:rPr>
              <w:t>合计</w:t>
            </w:r>
          </w:p>
        </w:tc>
        <w:tc>
          <w:tcPr>
            <w:tcW w:w="1791" w:type="dxa"/>
            <w:tcBorders>
              <w:top w:val="nil"/>
              <w:left w:val="nil"/>
              <w:bottom w:val="single" w:color="auto" w:sz="8" w:space="0"/>
              <w:right w:val="single" w:color="auto" w:sz="8" w:space="0"/>
            </w:tcBorders>
            <w:shd w:val="clear" w:color="auto" w:fill="auto"/>
            <w:vAlign w:val="center"/>
          </w:tcPr>
          <w:p w14:paraId="0F5503F2">
            <w:pPr>
              <w:widowControl/>
              <w:spacing w:after="0" w:line="240" w:lineRule="auto"/>
              <w:jc w:val="right"/>
              <w:rPr>
                <w:rFonts w:hint="eastAsia"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1,000.00 </w:t>
            </w:r>
          </w:p>
        </w:tc>
        <w:tc>
          <w:tcPr>
            <w:tcW w:w="1524" w:type="dxa"/>
            <w:tcBorders>
              <w:top w:val="nil"/>
              <w:left w:val="nil"/>
              <w:bottom w:val="single" w:color="auto" w:sz="8" w:space="0"/>
              <w:right w:val="single" w:color="auto" w:sz="8" w:space="0"/>
            </w:tcBorders>
            <w:shd w:val="clear" w:color="auto" w:fill="auto"/>
            <w:vAlign w:val="center"/>
          </w:tcPr>
          <w:p w14:paraId="33DD5D50">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22,017.09 </w:t>
            </w:r>
          </w:p>
        </w:tc>
        <w:tc>
          <w:tcPr>
            <w:tcW w:w="1713" w:type="dxa"/>
            <w:tcBorders>
              <w:top w:val="nil"/>
              <w:left w:val="nil"/>
              <w:bottom w:val="single" w:color="auto" w:sz="8" w:space="0"/>
              <w:right w:val="single" w:color="auto" w:sz="8" w:space="0"/>
            </w:tcBorders>
            <w:shd w:val="clear" w:color="auto" w:fill="auto"/>
            <w:noWrap/>
            <w:vAlign w:val="center"/>
          </w:tcPr>
          <w:p w14:paraId="58637A25">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21,354.88 </w:t>
            </w:r>
          </w:p>
        </w:tc>
        <w:tc>
          <w:tcPr>
            <w:tcW w:w="1713" w:type="dxa"/>
            <w:tcBorders>
              <w:top w:val="nil"/>
              <w:left w:val="nil"/>
              <w:bottom w:val="single" w:color="auto" w:sz="8" w:space="0"/>
              <w:right w:val="single" w:color="auto" w:sz="8" w:space="0"/>
            </w:tcBorders>
            <w:shd w:val="clear" w:color="auto" w:fill="auto"/>
            <w:noWrap/>
            <w:vAlign w:val="center"/>
          </w:tcPr>
          <w:p w14:paraId="36971A3F">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44,371.97 </w:t>
            </w:r>
          </w:p>
        </w:tc>
      </w:tr>
    </w:tbl>
    <w:p w14:paraId="57FFC4EB">
      <w:pPr>
        <w:widowControl/>
        <w:spacing w:before="120" w:after="120" w:line="520" w:lineRule="exact"/>
        <w:outlineLvl w:val="2"/>
        <w:rPr>
          <w:rFonts w:ascii="Verdana" w:hAnsi="Verdana" w:eastAsia="华文细黑" w:cs="Times New Roman"/>
          <w:b/>
          <w:color w:val="000000"/>
          <w:kern w:val="0"/>
          <w:sz w:val="24"/>
          <w:szCs w:val="24"/>
        </w:rPr>
      </w:pPr>
      <w:r>
        <w:rPr>
          <w:rFonts w:ascii="Verdana" w:hAnsi="Verdana" w:eastAsia="华文细黑" w:cs="Times New Roman"/>
          <w:b/>
          <w:color w:val="000000"/>
          <w:kern w:val="0"/>
          <w:sz w:val="24"/>
          <w:szCs w:val="24"/>
        </w:rPr>
        <w:t>1.2债券发行和还本付息</w:t>
      </w:r>
      <w:bookmarkEnd w:id="21"/>
    </w:p>
    <w:p w14:paraId="0BD70ADB">
      <w:pPr>
        <w:widowControl/>
        <w:spacing w:before="120" w:after="120" w:line="520" w:lineRule="exact"/>
        <w:ind w:firstLine="510"/>
        <w:rPr>
          <w:rFonts w:eastAsia="华文细黑" w:asciiTheme="minorHAnsi" w:hAnsiTheme="minorHAnsi"/>
          <w:b/>
          <w:color w:val="000000"/>
        </w:rPr>
      </w:pPr>
      <w:r>
        <w:rPr>
          <w:rFonts w:hint="eastAsia" w:ascii="Verdana" w:hAnsi="Verdana" w:eastAsia="华文细黑" w:cs="Times New Roman"/>
          <w:color w:val="000000"/>
          <w:kern w:val="0"/>
          <w:sz w:val="24"/>
          <w:szCs w:val="24"/>
        </w:rPr>
        <w:t>本期项目原发行债券的还本付息方式为：</w:t>
      </w:r>
      <w:r>
        <w:rPr>
          <w:rFonts w:hint="eastAsia" w:ascii="Verdana" w:hAnsi="Verdana" w:eastAsia="华文细黑" w:cs="Times New Roman"/>
          <w:color w:val="000000"/>
          <w:kern w:val="0"/>
          <w:sz w:val="24"/>
          <w:szCs w:val="24"/>
          <w:lang w:val="en-US" w:eastAsia="zh-CN"/>
        </w:rPr>
        <w:t>200.00</w:t>
      </w:r>
      <w:r>
        <w:rPr>
          <w:rFonts w:hint="eastAsia" w:ascii="Verdana" w:hAnsi="Verdana" w:eastAsia="华文细黑" w:cs="Times New Roman"/>
          <w:color w:val="000000"/>
          <w:kern w:val="0"/>
          <w:sz w:val="24"/>
          <w:szCs w:val="24"/>
        </w:rPr>
        <w:t>万元专项债券为</w:t>
      </w:r>
      <w:r>
        <w:rPr>
          <w:rFonts w:hint="eastAsia" w:ascii="Verdana" w:hAnsi="Verdana" w:eastAsia="华文细黑" w:cs="Times New Roman"/>
          <w:color w:val="000000"/>
          <w:kern w:val="0"/>
          <w:sz w:val="24"/>
          <w:szCs w:val="24"/>
          <w:lang w:val="en-US" w:eastAsia="zh-CN"/>
        </w:rPr>
        <w:t>1</w:t>
      </w:r>
      <w:r>
        <w:rPr>
          <w:rFonts w:hint="eastAsia" w:ascii="Verdana" w:hAnsi="Verdana" w:eastAsia="华文细黑" w:cs="Times New Roman"/>
          <w:color w:val="000000"/>
          <w:kern w:val="0"/>
          <w:sz w:val="24"/>
          <w:szCs w:val="24"/>
        </w:rPr>
        <w:t>0年期，</w:t>
      </w:r>
      <w:r>
        <w:rPr>
          <w:rFonts w:hint="eastAsia" w:ascii="Verdana" w:hAnsi="Verdana" w:eastAsia="华文细黑" w:cs="Times New Roman"/>
          <w:color w:val="000000"/>
          <w:kern w:val="0"/>
          <w:sz w:val="24"/>
          <w:szCs w:val="24"/>
          <w:lang w:val="en-US" w:eastAsia="zh-CN"/>
        </w:rPr>
        <w:t>300.00</w:t>
      </w:r>
      <w:r>
        <w:rPr>
          <w:rFonts w:hint="eastAsia" w:ascii="Verdana" w:hAnsi="Verdana" w:eastAsia="华文细黑" w:cs="Times New Roman"/>
          <w:color w:val="000000"/>
          <w:kern w:val="0"/>
          <w:sz w:val="24"/>
          <w:szCs w:val="24"/>
        </w:rPr>
        <w:t>万元专项债券为</w:t>
      </w:r>
      <w:r>
        <w:rPr>
          <w:rFonts w:hint="eastAsia" w:ascii="Verdana" w:hAnsi="Verdana" w:eastAsia="华文细黑" w:cs="Times New Roman"/>
          <w:color w:val="000000"/>
          <w:kern w:val="0"/>
          <w:sz w:val="24"/>
          <w:szCs w:val="24"/>
          <w:lang w:val="en-US" w:eastAsia="zh-CN"/>
        </w:rPr>
        <w:t>2</w:t>
      </w:r>
      <w:r>
        <w:rPr>
          <w:rFonts w:hint="eastAsia" w:ascii="Verdana" w:hAnsi="Verdana" w:eastAsia="华文细黑" w:cs="Times New Roman"/>
          <w:color w:val="000000"/>
          <w:kern w:val="0"/>
          <w:sz w:val="24"/>
          <w:szCs w:val="24"/>
        </w:rPr>
        <w:t>0年期</w:t>
      </w:r>
      <w:r>
        <w:rPr>
          <w:rFonts w:hint="eastAsia" w:ascii="Verdana" w:hAnsi="Verdana" w:eastAsia="华文细黑" w:cs="Times New Roman"/>
          <w:color w:val="000000"/>
          <w:kern w:val="0"/>
          <w:sz w:val="24"/>
          <w:szCs w:val="24"/>
          <w:lang w:eastAsia="zh-CN"/>
        </w:rPr>
        <w:t>，</w:t>
      </w:r>
      <w:r>
        <w:rPr>
          <w:rFonts w:hint="eastAsia" w:ascii="Verdana" w:hAnsi="Verdana" w:eastAsia="华文细黑" w:cs="Times New Roman"/>
          <w:color w:val="000000"/>
          <w:kern w:val="0"/>
          <w:sz w:val="24"/>
          <w:szCs w:val="24"/>
        </w:rPr>
        <w:t>利息按半年支付</w:t>
      </w:r>
      <w:r>
        <w:rPr>
          <w:rFonts w:hint="eastAsia" w:ascii="Verdana" w:hAnsi="Verdana" w:eastAsia="华文细黑" w:cs="Times New Roman"/>
          <w:color w:val="000000"/>
          <w:kern w:val="0"/>
          <w:sz w:val="24"/>
          <w:szCs w:val="24"/>
          <w:lang w:eastAsia="zh-CN"/>
        </w:rPr>
        <w:t>，</w:t>
      </w:r>
      <w:r>
        <w:rPr>
          <w:rFonts w:hint="eastAsia" w:ascii="Verdana" w:hAnsi="Verdana" w:eastAsia="华文细黑" w:cs="Times New Roman"/>
          <w:color w:val="000000"/>
          <w:kern w:val="0"/>
          <w:sz w:val="24"/>
          <w:szCs w:val="24"/>
        </w:rPr>
        <w:t>最后一次利息随本金一起支付</w:t>
      </w:r>
      <w:r>
        <w:rPr>
          <w:rFonts w:hint="eastAsia" w:ascii="Verdana" w:hAnsi="Verdana" w:eastAsia="华文细黑" w:cs="Times New Roman"/>
          <w:color w:val="000000"/>
          <w:kern w:val="0"/>
          <w:sz w:val="24"/>
          <w:szCs w:val="24"/>
          <w:lang w:eastAsia="zh-CN"/>
        </w:rPr>
        <w:t>；</w:t>
      </w:r>
      <w:r>
        <w:rPr>
          <w:rFonts w:ascii="Verdana" w:hAnsi="Verdana" w:eastAsia="华文细黑" w:cs="Times New Roman"/>
          <w:color w:val="000000"/>
          <w:kern w:val="0"/>
          <w:sz w:val="24"/>
          <w:szCs w:val="24"/>
        </w:rPr>
        <w:t>自发行之日起债券存续期还本付息情况如表4：</w:t>
      </w:r>
    </w:p>
    <w:p w14:paraId="4A34772A">
      <w:pPr>
        <w:widowControl/>
        <w:spacing w:after="0" w:line="254" w:lineRule="auto"/>
        <w:jc w:val="center"/>
        <w:rPr>
          <w:rFonts w:hint="eastAsia" w:ascii="华文细黑" w:hAnsi="华文细黑" w:eastAsia="华文细黑" w:cs="华文细黑"/>
          <w:b/>
          <w:color w:val="000000"/>
          <w:kern w:val="0"/>
          <w:sz w:val="24"/>
          <w:szCs w:val="24"/>
          <w:lang w:bidi="ar"/>
        </w:rPr>
      </w:pPr>
      <w:bookmarkStart w:id="22" w:name="_Toc23024"/>
      <w:r>
        <w:rPr>
          <w:rFonts w:hint="eastAsia" w:ascii="华文细黑" w:hAnsi="华文细黑" w:eastAsia="华文细黑" w:cs="华文细黑"/>
          <w:b/>
          <w:color w:val="000000"/>
          <w:kern w:val="0"/>
          <w:sz w:val="24"/>
          <w:szCs w:val="24"/>
          <w:lang w:bidi="ar"/>
        </w:rPr>
        <w:t>表4</w:t>
      </w:r>
      <w:r>
        <w:rPr>
          <w:rFonts w:hint="eastAsia" w:ascii="华文细黑" w:hAnsi="华文细黑" w:eastAsia="华文细黑" w:cs="华文细黑"/>
          <w:b/>
          <w:color w:val="000000"/>
          <w:kern w:val="0"/>
          <w:sz w:val="24"/>
          <w:szCs w:val="24"/>
          <w:lang w:eastAsia="zh-CN" w:bidi="ar"/>
        </w:rPr>
        <w:t>海口江东新区CBD南片区幼儿园及配套基础设施项目</w:t>
      </w:r>
      <w:r>
        <w:rPr>
          <w:rFonts w:hint="eastAsia" w:ascii="华文细黑" w:hAnsi="华文细黑" w:eastAsia="华文细黑" w:cs="华文细黑"/>
          <w:b/>
          <w:color w:val="000000"/>
          <w:kern w:val="0"/>
          <w:sz w:val="24"/>
          <w:szCs w:val="24"/>
          <w:lang w:bidi="ar"/>
        </w:rPr>
        <w:t>债券还本付息表</w:t>
      </w:r>
    </w:p>
    <w:p w14:paraId="4AE67AF0">
      <w:pPr>
        <w:keepNext w:val="0"/>
        <w:keepLines w:val="0"/>
        <w:pageBreakBefore w:val="0"/>
        <w:widowControl w:val="0"/>
        <w:kinsoku/>
        <w:wordWrap/>
        <w:overflowPunct/>
        <w:topLinePunct w:val="0"/>
        <w:autoSpaceDE/>
        <w:autoSpaceDN/>
        <w:bidi w:val="0"/>
        <w:adjustRightInd/>
        <w:snapToGrid/>
        <w:spacing w:after="0" w:line="260" w:lineRule="auto"/>
        <w:ind w:right="136"/>
        <w:jc w:val="right"/>
        <w:textAlignment w:val="auto"/>
        <w:rPr>
          <w:rFonts w:eastAsia="华文细黑" w:asciiTheme="minorHAnsi" w:hAnsiTheme="minorHAnsi"/>
          <w:color w:val="000000"/>
          <w:sz w:val="20"/>
          <w:szCs w:val="20"/>
        </w:rPr>
      </w:pPr>
      <w:r>
        <w:rPr>
          <w:rFonts w:eastAsia="华文细黑" w:asciiTheme="minorHAnsi" w:hAnsiTheme="minorHAnsi"/>
          <w:color w:val="000000"/>
          <w:sz w:val="20"/>
          <w:szCs w:val="20"/>
        </w:rPr>
        <w:t>单位：人民币万元</w:t>
      </w:r>
    </w:p>
    <w:tbl>
      <w:tblPr>
        <w:tblStyle w:val="15"/>
        <w:tblW w:w="9714" w:type="dxa"/>
        <w:jc w:val="center"/>
        <w:tblLayout w:type="autofit"/>
        <w:tblCellMar>
          <w:top w:w="0" w:type="dxa"/>
          <w:left w:w="108" w:type="dxa"/>
          <w:bottom w:w="0" w:type="dxa"/>
          <w:right w:w="108" w:type="dxa"/>
        </w:tblCellMar>
      </w:tblPr>
      <w:tblGrid>
        <w:gridCol w:w="1580"/>
        <w:gridCol w:w="1162"/>
        <w:gridCol w:w="1162"/>
        <w:gridCol w:w="1162"/>
        <w:gridCol w:w="1162"/>
        <w:gridCol w:w="1162"/>
        <w:gridCol w:w="1162"/>
        <w:gridCol w:w="1162"/>
      </w:tblGrid>
      <w:tr w14:paraId="5F10C3AC">
        <w:tblPrEx>
          <w:tblCellMar>
            <w:top w:w="0" w:type="dxa"/>
            <w:left w:w="108" w:type="dxa"/>
            <w:bottom w:w="0" w:type="dxa"/>
            <w:right w:w="108" w:type="dxa"/>
          </w:tblCellMar>
        </w:tblPrEx>
        <w:trPr>
          <w:trHeight w:val="283" w:hRule="atLeast"/>
          <w:jc w:val="center"/>
        </w:trPr>
        <w:tc>
          <w:tcPr>
            <w:tcW w:w="1580"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05DB846C">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年份/项目</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59771B95">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2025</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02371F50">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2026</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612B8AC3">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2027</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0BEB860C">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2028</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0097625E">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2029</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5D43984F">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2030</w:t>
            </w:r>
          </w:p>
        </w:tc>
        <w:tc>
          <w:tcPr>
            <w:tcW w:w="1162" w:type="dxa"/>
            <w:tcBorders>
              <w:top w:val="single" w:color="auto" w:sz="8" w:space="0"/>
              <w:left w:val="nil"/>
              <w:bottom w:val="single" w:color="auto" w:sz="8" w:space="0"/>
              <w:right w:val="single" w:color="auto" w:sz="8" w:space="0"/>
            </w:tcBorders>
            <w:shd w:val="clear" w:color="000000" w:fill="0070C0"/>
            <w:noWrap/>
            <w:vAlign w:val="center"/>
          </w:tcPr>
          <w:p w14:paraId="4CE6182E">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2031</w:t>
            </w:r>
          </w:p>
        </w:tc>
      </w:tr>
      <w:tr w14:paraId="302B6BBC">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1CC05009">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债券期初余额</w:t>
            </w:r>
          </w:p>
        </w:tc>
        <w:tc>
          <w:tcPr>
            <w:tcW w:w="1162" w:type="dxa"/>
            <w:tcBorders>
              <w:top w:val="nil"/>
              <w:left w:val="nil"/>
              <w:bottom w:val="single" w:color="auto" w:sz="8" w:space="0"/>
              <w:right w:val="single" w:color="auto" w:sz="8" w:space="0"/>
            </w:tcBorders>
            <w:shd w:val="clear" w:color="auto" w:fill="auto"/>
            <w:vAlign w:val="center"/>
          </w:tcPr>
          <w:p w14:paraId="7CDCCA1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306DC44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500.00</w:t>
            </w:r>
          </w:p>
        </w:tc>
        <w:tc>
          <w:tcPr>
            <w:tcW w:w="1162" w:type="dxa"/>
            <w:tcBorders>
              <w:top w:val="nil"/>
              <w:left w:val="nil"/>
              <w:bottom w:val="single" w:color="auto" w:sz="8" w:space="0"/>
              <w:right w:val="single" w:color="auto" w:sz="8" w:space="0"/>
            </w:tcBorders>
            <w:shd w:val="clear" w:color="auto" w:fill="auto"/>
            <w:vAlign w:val="center"/>
          </w:tcPr>
          <w:p w14:paraId="27AD9B3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189389B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3C83FA4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6666D621">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2A9C9AC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r>
      <w:tr w14:paraId="015F7065">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5F110DC3">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w:t>
            </w:r>
          </w:p>
        </w:tc>
        <w:tc>
          <w:tcPr>
            <w:tcW w:w="1162" w:type="dxa"/>
            <w:tcBorders>
              <w:top w:val="nil"/>
              <w:left w:val="nil"/>
              <w:bottom w:val="single" w:color="auto" w:sz="8" w:space="0"/>
              <w:right w:val="single" w:color="auto" w:sz="8" w:space="0"/>
            </w:tcBorders>
            <w:shd w:val="clear" w:color="auto" w:fill="auto"/>
            <w:vAlign w:val="center"/>
          </w:tcPr>
          <w:p w14:paraId="3D02C38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500.00</w:t>
            </w:r>
          </w:p>
        </w:tc>
        <w:tc>
          <w:tcPr>
            <w:tcW w:w="1162" w:type="dxa"/>
            <w:tcBorders>
              <w:top w:val="nil"/>
              <w:left w:val="nil"/>
              <w:bottom w:val="single" w:color="auto" w:sz="8" w:space="0"/>
              <w:right w:val="single" w:color="auto" w:sz="8" w:space="0"/>
            </w:tcBorders>
            <w:shd w:val="clear" w:color="auto" w:fill="auto"/>
            <w:vAlign w:val="center"/>
          </w:tcPr>
          <w:p w14:paraId="3AE18CC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7,000.00</w:t>
            </w:r>
          </w:p>
        </w:tc>
        <w:tc>
          <w:tcPr>
            <w:tcW w:w="1162" w:type="dxa"/>
            <w:tcBorders>
              <w:top w:val="nil"/>
              <w:left w:val="nil"/>
              <w:bottom w:val="single" w:color="auto" w:sz="8" w:space="0"/>
              <w:right w:val="single" w:color="auto" w:sz="8" w:space="0"/>
            </w:tcBorders>
            <w:shd w:val="clear" w:color="auto" w:fill="auto"/>
            <w:vAlign w:val="center"/>
          </w:tcPr>
          <w:p w14:paraId="7AEBE4C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4659A13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4A727C6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16E1998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30B3763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r>
      <w:tr w14:paraId="02806FFF">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6F152DB2">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债券需还利息</w:t>
            </w:r>
          </w:p>
        </w:tc>
        <w:tc>
          <w:tcPr>
            <w:tcW w:w="1162" w:type="dxa"/>
            <w:tcBorders>
              <w:top w:val="nil"/>
              <w:left w:val="nil"/>
              <w:bottom w:val="single" w:color="auto" w:sz="8" w:space="0"/>
              <w:right w:val="single" w:color="auto" w:sz="8" w:space="0"/>
            </w:tcBorders>
            <w:shd w:val="clear" w:color="auto" w:fill="auto"/>
            <w:vAlign w:val="center"/>
          </w:tcPr>
          <w:p w14:paraId="55EF277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0494293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10.09</w:t>
            </w:r>
          </w:p>
        </w:tc>
        <w:tc>
          <w:tcPr>
            <w:tcW w:w="1162" w:type="dxa"/>
            <w:tcBorders>
              <w:top w:val="nil"/>
              <w:left w:val="nil"/>
              <w:bottom w:val="single" w:color="auto" w:sz="8" w:space="0"/>
              <w:right w:val="single" w:color="auto" w:sz="8" w:space="0"/>
            </w:tcBorders>
            <w:shd w:val="clear" w:color="auto" w:fill="auto"/>
            <w:vAlign w:val="center"/>
          </w:tcPr>
          <w:p w14:paraId="2621D95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014884A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3C976E7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1F09969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70C6FD5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r>
      <w:tr w14:paraId="3B6284FF">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360D8378">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债券还款</w:t>
            </w:r>
          </w:p>
        </w:tc>
        <w:tc>
          <w:tcPr>
            <w:tcW w:w="1162" w:type="dxa"/>
            <w:tcBorders>
              <w:top w:val="nil"/>
              <w:left w:val="nil"/>
              <w:bottom w:val="single" w:color="auto" w:sz="8" w:space="0"/>
              <w:right w:val="single" w:color="auto" w:sz="8" w:space="0"/>
            </w:tcBorders>
            <w:shd w:val="clear" w:color="auto" w:fill="auto"/>
            <w:vAlign w:val="center"/>
          </w:tcPr>
          <w:p w14:paraId="7A63D87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6E7C459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10.09</w:t>
            </w:r>
          </w:p>
        </w:tc>
        <w:tc>
          <w:tcPr>
            <w:tcW w:w="1162" w:type="dxa"/>
            <w:tcBorders>
              <w:top w:val="nil"/>
              <w:left w:val="nil"/>
              <w:bottom w:val="single" w:color="auto" w:sz="8" w:space="0"/>
              <w:right w:val="single" w:color="auto" w:sz="8" w:space="0"/>
            </w:tcBorders>
            <w:shd w:val="clear" w:color="auto" w:fill="auto"/>
            <w:vAlign w:val="center"/>
          </w:tcPr>
          <w:p w14:paraId="331CFEB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2954DEB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66CFF5E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174AA1E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4E025C6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r>
      <w:tr w14:paraId="3AB9310D">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5B1004F7">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其中：利息</w:t>
            </w:r>
          </w:p>
        </w:tc>
        <w:tc>
          <w:tcPr>
            <w:tcW w:w="1162" w:type="dxa"/>
            <w:tcBorders>
              <w:top w:val="nil"/>
              <w:left w:val="nil"/>
              <w:bottom w:val="single" w:color="auto" w:sz="8" w:space="0"/>
              <w:right w:val="single" w:color="auto" w:sz="8" w:space="0"/>
            </w:tcBorders>
            <w:shd w:val="clear" w:color="auto" w:fill="auto"/>
            <w:vAlign w:val="center"/>
          </w:tcPr>
          <w:p w14:paraId="77FB0B6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271A47B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10.09</w:t>
            </w:r>
          </w:p>
        </w:tc>
        <w:tc>
          <w:tcPr>
            <w:tcW w:w="1162" w:type="dxa"/>
            <w:tcBorders>
              <w:top w:val="nil"/>
              <w:left w:val="nil"/>
              <w:bottom w:val="single" w:color="auto" w:sz="8" w:space="0"/>
              <w:right w:val="single" w:color="auto" w:sz="8" w:space="0"/>
            </w:tcBorders>
            <w:shd w:val="clear" w:color="auto" w:fill="auto"/>
            <w:vAlign w:val="center"/>
          </w:tcPr>
          <w:p w14:paraId="63C52E5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162B24F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66C7FDC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4A4E66F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2" w:type="dxa"/>
            <w:tcBorders>
              <w:top w:val="nil"/>
              <w:left w:val="nil"/>
              <w:bottom w:val="single" w:color="auto" w:sz="8" w:space="0"/>
              <w:right w:val="single" w:color="auto" w:sz="8" w:space="0"/>
            </w:tcBorders>
            <w:shd w:val="clear" w:color="auto" w:fill="auto"/>
            <w:vAlign w:val="center"/>
          </w:tcPr>
          <w:p w14:paraId="30893C4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r>
      <w:tr w14:paraId="030B264F">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632D2BA9">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其中：本金偿还</w:t>
            </w:r>
          </w:p>
        </w:tc>
        <w:tc>
          <w:tcPr>
            <w:tcW w:w="1162" w:type="dxa"/>
            <w:tcBorders>
              <w:top w:val="nil"/>
              <w:left w:val="nil"/>
              <w:bottom w:val="single" w:color="auto" w:sz="8" w:space="0"/>
              <w:right w:val="single" w:color="auto" w:sz="8" w:space="0"/>
            </w:tcBorders>
            <w:shd w:val="clear" w:color="auto" w:fill="auto"/>
            <w:vAlign w:val="center"/>
          </w:tcPr>
          <w:p w14:paraId="14B0521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136B3D1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1DB726A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387BB2A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49A02FC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04E7ED1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2" w:type="dxa"/>
            <w:tcBorders>
              <w:top w:val="nil"/>
              <w:left w:val="nil"/>
              <w:bottom w:val="single" w:color="auto" w:sz="8" w:space="0"/>
              <w:right w:val="single" w:color="auto" w:sz="8" w:space="0"/>
            </w:tcBorders>
            <w:shd w:val="clear" w:color="auto" w:fill="auto"/>
            <w:vAlign w:val="center"/>
          </w:tcPr>
          <w:p w14:paraId="0C0714E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r>
      <w:tr w14:paraId="36333AFB">
        <w:tblPrEx>
          <w:tblCellMar>
            <w:top w:w="0" w:type="dxa"/>
            <w:left w:w="108" w:type="dxa"/>
            <w:bottom w:w="0" w:type="dxa"/>
            <w:right w:w="108" w:type="dxa"/>
          </w:tblCellMar>
        </w:tblPrEx>
        <w:trPr>
          <w:trHeight w:val="283"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1F079F91">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债券期末余额</w:t>
            </w:r>
          </w:p>
        </w:tc>
        <w:tc>
          <w:tcPr>
            <w:tcW w:w="1162" w:type="dxa"/>
            <w:tcBorders>
              <w:top w:val="nil"/>
              <w:left w:val="nil"/>
              <w:bottom w:val="single" w:color="auto" w:sz="8" w:space="0"/>
              <w:right w:val="single" w:color="auto" w:sz="8" w:space="0"/>
            </w:tcBorders>
            <w:shd w:val="clear" w:color="auto" w:fill="auto"/>
            <w:vAlign w:val="center"/>
          </w:tcPr>
          <w:p w14:paraId="1E7FC2D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500.00</w:t>
            </w:r>
          </w:p>
        </w:tc>
        <w:tc>
          <w:tcPr>
            <w:tcW w:w="1162" w:type="dxa"/>
            <w:tcBorders>
              <w:top w:val="nil"/>
              <w:left w:val="nil"/>
              <w:bottom w:val="single" w:color="auto" w:sz="8" w:space="0"/>
              <w:right w:val="single" w:color="auto" w:sz="8" w:space="0"/>
            </w:tcBorders>
            <w:shd w:val="clear" w:color="auto" w:fill="auto"/>
            <w:vAlign w:val="center"/>
          </w:tcPr>
          <w:p w14:paraId="718CC1A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28755E7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45CC3D5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2F277C5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157E921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2" w:type="dxa"/>
            <w:tcBorders>
              <w:top w:val="nil"/>
              <w:left w:val="nil"/>
              <w:bottom w:val="single" w:color="auto" w:sz="8" w:space="0"/>
              <w:right w:val="single" w:color="auto" w:sz="8" w:space="0"/>
            </w:tcBorders>
            <w:shd w:val="clear" w:color="auto" w:fill="auto"/>
            <w:vAlign w:val="center"/>
          </w:tcPr>
          <w:p w14:paraId="7BE84E4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r>
    </w:tbl>
    <w:p w14:paraId="26DE0D19">
      <w:pPr>
        <w:spacing w:after="0" w:line="240" w:lineRule="auto"/>
        <w:ind w:firstLine="400" w:firstLineChars="200"/>
        <w:jc w:val="left"/>
        <w:rPr>
          <w:rFonts w:hint="eastAsia" w:eastAsia="华文细黑" w:asciiTheme="minorHAnsi" w:hAnsiTheme="minorHAnsi"/>
          <w:color w:val="000000"/>
          <w:sz w:val="20"/>
          <w:szCs w:val="20"/>
        </w:rPr>
      </w:pPr>
      <w:r>
        <w:rPr>
          <w:rFonts w:hint="eastAsia" w:eastAsia="华文细黑" w:asciiTheme="minorHAnsi" w:hAnsiTheme="minorHAnsi"/>
          <w:color w:val="000000"/>
          <w:sz w:val="20"/>
          <w:szCs w:val="20"/>
        </w:rPr>
        <w:t>续上表</w:t>
      </w:r>
    </w:p>
    <w:tbl>
      <w:tblPr>
        <w:tblStyle w:val="15"/>
        <w:tblW w:w="10860" w:type="dxa"/>
        <w:jc w:val="center"/>
        <w:tblLayout w:type="autofit"/>
        <w:tblCellMar>
          <w:top w:w="0" w:type="dxa"/>
          <w:left w:w="108" w:type="dxa"/>
          <w:bottom w:w="0" w:type="dxa"/>
          <w:right w:w="108" w:type="dxa"/>
        </w:tblCellMar>
      </w:tblPr>
      <w:tblGrid>
        <w:gridCol w:w="1580"/>
        <w:gridCol w:w="1160"/>
        <w:gridCol w:w="1160"/>
        <w:gridCol w:w="1160"/>
        <w:gridCol w:w="1160"/>
        <w:gridCol w:w="1160"/>
        <w:gridCol w:w="1160"/>
        <w:gridCol w:w="1160"/>
        <w:gridCol w:w="1160"/>
      </w:tblGrid>
      <w:tr w14:paraId="625265AD">
        <w:tblPrEx>
          <w:tblCellMar>
            <w:top w:w="0" w:type="dxa"/>
            <w:left w:w="108" w:type="dxa"/>
            <w:bottom w:w="0" w:type="dxa"/>
            <w:right w:w="108" w:type="dxa"/>
          </w:tblCellMar>
        </w:tblPrEx>
        <w:trPr>
          <w:trHeight w:val="300" w:hRule="atLeast"/>
          <w:jc w:val="center"/>
        </w:trPr>
        <w:tc>
          <w:tcPr>
            <w:tcW w:w="1580"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47A45814">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年份/项目</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2B4B244D">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2032</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15724231">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2033</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02C756CE">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2034</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33908710">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203</w:t>
            </w:r>
            <w:r>
              <w:rPr>
                <w:rFonts w:hint="eastAsia" w:ascii="Verdana" w:hAnsi="Verdana" w:cs="Arial"/>
                <w:b/>
                <w:bCs/>
                <w:color w:val="FFFFFF"/>
                <w:kern w:val="0"/>
                <w:sz w:val="20"/>
                <w:szCs w:val="20"/>
                <w:lang w:val="en-US" w:eastAsia="zh-CN"/>
              </w:rPr>
              <w:t>5</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72A662A3">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w:t>
            </w:r>
            <w:r>
              <w:rPr>
                <w:rFonts w:hint="eastAsia" w:ascii="Verdana" w:hAnsi="Verdana" w:cs="Arial"/>
                <w:b/>
                <w:bCs/>
                <w:color w:val="FFFFFF"/>
                <w:kern w:val="0"/>
                <w:sz w:val="20"/>
                <w:szCs w:val="20"/>
                <w:lang w:val="en-US" w:eastAsia="zh-CN"/>
              </w:rPr>
              <w:t>36</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6020AD78">
            <w:pPr>
              <w:widowControl/>
              <w:spacing w:after="0" w:line="240" w:lineRule="auto"/>
              <w:jc w:val="center"/>
              <w:rPr>
                <w:rFonts w:hint="eastAsia" w:ascii="Verdana" w:hAnsi="Verdana" w:cs="Arial"/>
                <w:b/>
                <w:bCs/>
                <w:color w:val="FFFFFF"/>
                <w:kern w:val="0"/>
                <w:sz w:val="20"/>
                <w:szCs w:val="20"/>
                <w:lang w:val="en-US" w:eastAsia="zh-CN"/>
              </w:rPr>
            </w:pPr>
            <w:r>
              <w:rPr>
                <w:rFonts w:hint="default" w:ascii="Verdana" w:hAnsi="Verdana" w:cs="Arial"/>
                <w:b/>
                <w:bCs/>
                <w:color w:val="FFFFFF"/>
                <w:kern w:val="0"/>
                <w:sz w:val="20"/>
                <w:szCs w:val="20"/>
                <w:lang w:val="en-US" w:eastAsia="zh-CN"/>
              </w:rPr>
              <w:t>2037</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125B33EE">
            <w:pPr>
              <w:widowControl/>
              <w:spacing w:after="0" w:line="240" w:lineRule="auto"/>
              <w:jc w:val="center"/>
              <w:rPr>
                <w:rFonts w:hint="default" w:ascii="Verdana" w:hAnsi="Verdana" w:cs="Arial"/>
                <w:b/>
                <w:bCs/>
                <w:color w:val="FFFFFF"/>
                <w:kern w:val="0"/>
                <w:sz w:val="20"/>
                <w:szCs w:val="20"/>
                <w:lang w:val="en-US" w:eastAsia="zh-CN"/>
              </w:rPr>
            </w:pPr>
            <w:r>
              <w:rPr>
                <w:rFonts w:hint="default" w:ascii="Verdana" w:hAnsi="Verdana" w:cs="Arial"/>
                <w:b/>
                <w:bCs/>
                <w:color w:val="FFFFFF"/>
                <w:kern w:val="0"/>
                <w:sz w:val="20"/>
                <w:szCs w:val="20"/>
                <w:lang w:val="en-US" w:eastAsia="zh-CN"/>
              </w:rPr>
              <w:t>2038</w:t>
            </w:r>
          </w:p>
        </w:tc>
        <w:tc>
          <w:tcPr>
            <w:tcW w:w="1160" w:type="dxa"/>
            <w:tcBorders>
              <w:top w:val="single" w:color="auto" w:sz="8" w:space="0"/>
              <w:left w:val="nil"/>
              <w:bottom w:val="single" w:color="auto" w:sz="8" w:space="0"/>
              <w:right w:val="single" w:color="auto" w:sz="8" w:space="0"/>
            </w:tcBorders>
            <w:shd w:val="clear" w:color="000000" w:fill="0070C0"/>
            <w:noWrap/>
            <w:vAlign w:val="center"/>
          </w:tcPr>
          <w:p w14:paraId="29214313">
            <w:pPr>
              <w:widowControl/>
              <w:spacing w:after="0" w:line="240" w:lineRule="auto"/>
              <w:jc w:val="center"/>
              <w:rPr>
                <w:rFonts w:hint="default" w:ascii="Verdana" w:hAnsi="Verdana" w:cs="Arial"/>
                <w:b/>
                <w:bCs/>
                <w:color w:val="FFFFFF"/>
                <w:kern w:val="0"/>
                <w:sz w:val="20"/>
                <w:szCs w:val="20"/>
                <w:lang w:val="en-US" w:eastAsia="zh-CN"/>
              </w:rPr>
            </w:pPr>
            <w:r>
              <w:rPr>
                <w:rFonts w:hint="eastAsia" w:ascii="Verdana" w:hAnsi="Verdana" w:cs="Arial"/>
                <w:b/>
                <w:bCs/>
                <w:color w:val="FFFFFF"/>
                <w:kern w:val="0"/>
                <w:sz w:val="20"/>
                <w:szCs w:val="20"/>
                <w:lang w:val="en-US" w:eastAsia="zh-CN"/>
              </w:rPr>
              <w:t>2039</w:t>
            </w:r>
          </w:p>
        </w:tc>
      </w:tr>
      <w:tr w14:paraId="26627406">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4AF71823">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债券期初余额</w:t>
            </w:r>
          </w:p>
        </w:tc>
        <w:tc>
          <w:tcPr>
            <w:tcW w:w="1160" w:type="dxa"/>
            <w:tcBorders>
              <w:top w:val="nil"/>
              <w:left w:val="nil"/>
              <w:bottom w:val="single" w:color="auto" w:sz="8" w:space="0"/>
              <w:right w:val="single" w:color="auto" w:sz="8" w:space="0"/>
            </w:tcBorders>
            <w:shd w:val="clear" w:color="auto" w:fill="auto"/>
            <w:vAlign w:val="center"/>
          </w:tcPr>
          <w:p w14:paraId="2905CC9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6C86ABE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0500A0C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2C96905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229BE731">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01C42EB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0114550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04E8088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r>
      <w:tr w14:paraId="73C1ED50">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2A8A333A">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w:t>
            </w:r>
          </w:p>
        </w:tc>
        <w:tc>
          <w:tcPr>
            <w:tcW w:w="1160" w:type="dxa"/>
            <w:tcBorders>
              <w:top w:val="nil"/>
              <w:left w:val="nil"/>
              <w:bottom w:val="single" w:color="auto" w:sz="8" w:space="0"/>
              <w:right w:val="single" w:color="auto" w:sz="8" w:space="0"/>
            </w:tcBorders>
            <w:shd w:val="clear" w:color="auto" w:fill="auto"/>
            <w:vAlign w:val="center"/>
          </w:tcPr>
          <w:p w14:paraId="34F9031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4ADFAA9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10E47C6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44B1B1E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5EAC739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4D65019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0C1303A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59ECF8D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r>
      <w:tr w14:paraId="226E221A">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5FCEFC16">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债券需还利息</w:t>
            </w:r>
          </w:p>
        </w:tc>
        <w:tc>
          <w:tcPr>
            <w:tcW w:w="1160" w:type="dxa"/>
            <w:tcBorders>
              <w:top w:val="nil"/>
              <w:left w:val="nil"/>
              <w:bottom w:val="single" w:color="auto" w:sz="8" w:space="0"/>
              <w:right w:val="single" w:color="auto" w:sz="8" w:space="0"/>
            </w:tcBorders>
            <w:shd w:val="clear" w:color="auto" w:fill="auto"/>
            <w:vAlign w:val="center"/>
          </w:tcPr>
          <w:p w14:paraId="363D298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68451BF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2BE0504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29EE745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204.33</w:t>
            </w:r>
          </w:p>
        </w:tc>
        <w:tc>
          <w:tcPr>
            <w:tcW w:w="1160" w:type="dxa"/>
            <w:tcBorders>
              <w:top w:val="nil"/>
              <w:left w:val="nil"/>
              <w:bottom w:val="single" w:color="auto" w:sz="8" w:space="0"/>
              <w:right w:val="single" w:color="auto" w:sz="8" w:space="0"/>
            </w:tcBorders>
            <w:shd w:val="clear" w:color="auto" w:fill="auto"/>
            <w:vAlign w:val="center"/>
          </w:tcPr>
          <w:p w14:paraId="52000571">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35E5FAB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6A188EC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2C63570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r>
      <w:tr w14:paraId="503A75DB">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0AFDCE2A">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债券还款</w:t>
            </w:r>
          </w:p>
        </w:tc>
        <w:tc>
          <w:tcPr>
            <w:tcW w:w="1160" w:type="dxa"/>
            <w:tcBorders>
              <w:top w:val="nil"/>
              <w:left w:val="nil"/>
              <w:bottom w:val="single" w:color="auto" w:sz="8" w:space="0"/>
              <w:right w:val="single" w:color="auto" w:sz="8" w:space="0"/>
            </w:tcBorders>
            <w:shd w:val="clear" w:color="auto" w:fill="auto"/>
            <w:vAlign w:val="center"/>
          </w:tcPr>
          <w:p w14:paraId="4425C9F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2F99499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3DB2E2E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01EF175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404.33</w:t>
            </w:r>
          </w:p>
        </w:tc>
        <w:tc>
          <w:tcPr>
            <w:tcW w:w="1160" w:type="dxa"/>
            <w:tcBorders>
              <w:top w:val="nil"/>
              <w:left w:val="nil"/>
              <w:bottom w:val="single" w:color="auto" w:sz="8" w:space="0"/>
              <w:right w:val="single" w:color="auto" w:sz="8" w:space="0"/>
            </w:tcBorders>
            <w:shd w:val="clear" w:color="auto" w:fill="auto"/>
            <w:vAlign w:val="center"/>
          </w:tcPr>
          <w:p w14:paraId="141565A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2A81EFC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4D36D1C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77BF205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r>
      <w:tr w14:paraId="78B35C96">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2ECC153F">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其中：利息</w:t>
            </w:r>
          </w:p>
        </w:tc>
        <w:tc>
          <w:tcPr>
            <w:tcW w:w="1160" w:type="dxa"/>
            <w:tcBorders>
              <w:top w:val="nil"/>
              <w:left w:val="nil"/>
              <w:bottom w:val="single" w:color="auto" w:sz="8" w:space="0"/>
              <w:right w:val="single" w:color="auto" w:sz="8" w:space="0"/>
            </w:tcBorders>
            <w:shd w:val="clear" w:color="auto" w:fill="auto"/>
            <w:vAlign w:val="center"/>
          </w:tcPr>
          <w:p w14:paraId="1BEEC47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5CF0FC2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2D2C1C6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206.09</w:t>
            </w:r>
          </w:p>
        </w:tc>
        <w:tc>
          <w:tcPr>
            <w:tcW w:w="1160" w:type="dxa"/>
            <w:tcBorders>
              <w:top w:val="nil"/>
              <w:left w:val="nil"/>
              <w:bottom w:val="single" w:color="auto" w:sz="8" w:space="0"/>
              <w:right w:val="single" w:color="auto" w:sz="8" w:space="0"/>
            </w:tcBorders>
            <w:shd w:val="clear" w:color="auto" w:fill="auto"/>
            <w:vAlign w:val="center"/>
          </w:tcPr>
          <w:p w14:paraId="1142A7D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204.33</w:t>
            </w:r>
          </w:p>
        </w:tc>
        <w:tc>
          <w:tcPr>
            <w:tcW w:w="1160" w:type="dxa"/>
            <w:tcBorders>
              <w:top w:val="nil"/>
              <w:left w:val="nil"/>
              <w:bottom w:val="single" w:color="auto" w:sz="8" w:space="0"/>
              <w:right w:val="single" w:color="auto" w:sz="8" w:space="0"/>
            </w:tcBorders>
            <w:shd w:val="clear" w:color="auto" w:fill="auto"/>
            <w:vAlign w:val="center"/>
          </w:tcPr>
          <w:p w14:paraId="3EDE363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7D8DCD5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77A7CE5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1160" w:type="dxa"/>
            <w:tcBorders>
              <w:top w:val="nil"/>
              <w:left w:val="nil"/>
              <w:bottom w:val="single" w:color="auto" w:sz="8" w:space="0"/>
              <w:right w:val="single" w:color="auto" w:sz="8" w:space="0"/>
            </w:tcBorders>
            <w:shd w:val="clear" w:color="auto" w:fill="auto"/>
            <w:vAlign w:val="center"/>
          </w:tcPr>
          <w:p w14:paraId="012DBAA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r>
      <w:tr w14:paraId="565456E9">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636C18B9">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其中：本金偿还</w:t>
            </w:r>
          </w:p>
        </w:tc>
        <w:tc>
          <w:tcPr>
            <w:tcW w:w="1160" w:type="dxa"/>
            <w:tcBorders>
              <w:top w:val="nil"/>
              <w:left w:val="nil"/>
              <w:bottom w:val="single" w:color="auto" w:sz="8" w:space="0"/>
              <w:right w:val="single" w:color="auto" w:sz="8" w:space="0"/>
            </w:tcBorders>
            <w:shd w:val="clear" w:color="auto" w:fill="auto"/>
            <w:vAlign w:val="center"/>
          </w:tcPr>
          <w:p w14:paraId="262F816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2B32C04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0AEFE27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7BEE42C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200.00</w:t>
            </w:r>
          </w:p>
        </w:tc>
        <w:tc>
          <w:tcPr>
            <w:tcW w:w="1160" w:type="dxa"/>
            <w:tcBorders>
              <w:top w:val="nil"/>
              <w:left w:val="nil"/>
              <w:bottom w:val="single" w:color="auto" w:sz="8" w:space="0"/>
              <w:right w:val="single" w:color="auto" w:sz="8" w:space="0"/>
            </w:tcBorders>
            <w:shd w:val="clear" w:color="auto" w:fill="auto"/>
            <w:vAlign w:val="center"/>
          </w:tcPr>
          <w:p w14:paraId="5D686BD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014D1B7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7C4FAE1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160" w:type="dxa"/>
            <w:tcBorders>
              <w:top w:val="nil"/>
              <w:left w:val="nil"/>
              <w:bottom w:val="single" w:color="auto" w:sz="8" w:space="0"/>
              <w:right w:val="single" w:color="auto" w:sz="8" w:space="0"/>
            </w:tcBorders>
            <w:shd w:val="clear" w:color="auto" w:fill="auto"/>
            <w:vAlign w:val="center"/>
          </w:tcPr>
          <w:p w14:paraId="44BBBA3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r>
      <w:tr w14:paraId="3B63D639">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13B20607">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债券期末余额</w:t>
            </w:r>
          </w:p>
        </w:tc>
        <w:tc>
          <w:tcPr>
            <w:tcW w:w="1160" w:type="dxa"/>
            <w:tcBorders>
              <w:top w:val="nil"/>
              <w:left w:val="nil"/>
              <w:bottom w:val="single" w:color="auto" w:sz="8" w:space="0"/>
              <w:right w:val="single" w:color="auto" w:sz="8" w:space="0"/>
            </w:tcBorders>
            <w:shd w:val="clear" w:color="auto" w:fill="auto"/>
            <w:vAlign w:val="center"/>
          </w:tcPr>
          <w:p w14:paraId="6554C91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5B82F07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5E2BFE8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7,500.00</w:t>
            </w:r>
          </w:p>
        </w:tc>
        <w:tc>
          <w:tcPr>
            <w:tcW w:w="1160" w:type="dxa"/>
            <w:tcBorders>
              <w:top w:val="nil"/>
              <w:left w:val="nil"/>
              <w:bottom w:val="single" w:color="auto" w:sz="8" w:space="0"/>
              <w:right w:val="single" w:color="auto" w:sz="8" w:space="0"/>
            </w:tcBorders>
            <w:shd w:val="clear" w:color="auto" w:fill="auto"/>
            <w:vAlign w:val="center"/>
          </w:tcPr>
          <w:p w14:paraId="66C0D2F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546CAC5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28CDF0A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2CB768B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1160" w:type="dxa"/>
            <w:tcBorders>
              <w:top w:val="nil"/>
              <w:left w:val="nil"/>
              <w:bottom w:val="single" w:color="auto" w:sz="8" w:space="0"/>
              <w:right w:val="single" w:color="auto" w:sz="8" w:space="0"/>
            </w:tcBorders>
            <w:shd w:val="clear" w:color="auto" w:fill="auto"/>
            <w:vAlign w:val="center"/>
          </w:tcPr>
          <w:p w14:paraId="303A45F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r>
    </w:tbl>
    <w:p w14:paraId="2E42D692">
      <w:pPr>
        <w:spacing w:after="0" w:line="240" w:lineRule="auto"/>
        <w:ind w:firstLine="400" w:firstLineChars="200"/>
        <w:jc w:val="left"/>
        <w:rPr>
          <w:rFonts w:hint="eastAsia" w:eastAsia="华文细黑" w:asciiTheme="minorHAnsi" w:hAnsiTheme="minorHAnsi"/>
          <w:color w:val="000000"/>
          <w:sz w:val="20"/>
          <w:szCs w:val="20"/>
          <w:lang w:val="en-US" w:eastAsia="zh-CN"/>
        </w:rPr>
      </w:pPr>
      <w:r>
        <w:rPr>
          <w:rFonts w:hint="eastAsia" w:eastAsia="华文细黑" w:asciiTheme="minorHAnsi" w:hAnsiTheme="minorHAnsi"/>
          <w:color w:val="000000"/>
          <w:sz w:val="20"/>
          <w:szCs w:val="20"/>
          <w:lang w:val="en-US" w:eastAsia="zh-CN"/>
        </w:rPr>
        <w:t>续上表</w:t>
      </w:r>
    </w:p>
    <w:tbl>
      <w:tblPr>
        <w:tblStyle w:val="15"/>
        <w:tblW w:w="9738" w:type="dxa"/>
        <w:jc w:val="center"/>
        <w:tblLayout w:type="autofit"/>
        <w:tblCellMar>
          <w:top w:w="0" w:type="dxa"/>
          <w:left w:w="108" w:type="dxa"/>
          <w:bottom w:w="0" w:type="dxa"/>
          <w:right w:w="108" w:type="dxa"/>
        </w:tblCellMar>
      </w:tblPr>
      <w:tblGrid>
        <w:gridCol w:w="1580"/>
        <w:gridCol w:w="1125"/>
        <w:gridCol w:w="1125"/>
        <w:gridCol w:w="1125"/>
        <w:gridCol w:w="1125"/>
        <w:gridCol w:w="1125"/>
        <w:gridCol w:w="1125"/>
        <w:gridCol w:w="1125"/>
        <w:gridCol w:w="1356"/>
      </w:tblGrid>
      <w:tr w14:paraId="4D44E3A7">
        <w:tblPrEx>
          <w:tblCellMar>
            <w:top w:w="0" w:type="dxa"/>
            <w:left w:w="108" w:type="dxa"/>
            <w:bottom w:w="0" w:type="dxa"/>
            <w:right w:w="108" w:type="dxa"/>
          </w:tblCellMar>
        </w:tblPrEx>
        <w:trPr>
          <w:trHeight w:val="308" w:hRule="atLeast"/>
          <w:tblHeader/>
          <w:jc w:val="center"/>
        </w:trPr>
        <w:tc>
          <w:tcPr>
            <w:tcW w:w="1580"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3C68045D">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年份/项目</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53A772C3">
            <w:pPr>
              <w:widowControl/>
              <w:spacing w:after="0" w:line="240" w:lineRule="auto"/>
              <w:jc w:val="center"/>
              <w:rPr>
                <w:rFonts w:hint="eastAsia" w:ascii="Verdana" w:hAnsi="Verdana" w:cs="Arial"/>
                <w:b/>
                <w:bCs/>
                <w:color w:val="FFFFFF"/>
                <w:kern w:val="0"/>
                <w:sz w:val="20"/>
                <w:szCs w:val="20"/>
              </w:rPr>
            </w:pPr>
            <w:r>
              <w:rPr>
                <w:rFonts w:hint="default" w:ascii="Verdana" w:hAnsi="Verdana" w:cs="Arial"/>
                <w:b/>
                <w:bCs/>
                <w:color w:val="FFFFFF"/>
                <w:kern w:val="0"/>
                <w:sz w:val="20"/>
                <w:szCs w:val="20"/>
                <w:lang w:val="en-US" w:eastAsia="zh-CN"/>
              </w:rPr>
              <w:t>2040</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69830642">
            <w:pPr>
              <w:widowControl/>
              <w:spacing w:after="0" w:line="240" w:lineRule="auto"/>
              <w:jc w:val="center"/>
              <w:rPr>
                <w:rFonts w:hint="eastAsia" w:ascii="Verdana" w:hAnsi="Verdana" w:cs="Arial"/>
                <w:b/>
                <w:bCs/>
                <w:color w:val="FFFFFF"/>
                <w:kern w:val="0"/>
                <w:sz w:val="20"/>
                <w:szCs w:val="20"/>
              </w:rPr>
            </w:pPr>
            <w:r>
              <w:rPr>
                <w:rFonts w:hint="default" w:ascii="Verdana" w:hAnsi="Verdana" w:cs="Arial"/>
                <w:b/>
                <w:bCs/>
                <w:color w:val="FFFFFF"/>
                <w:kern w:val="0"/>
                <w:sz w:val="20"/>
                <w:szCs w:val="20"/>
                <w:lang w:val="en-US" w:eastAsia="zh-CN"/>
              </w:rPr>
              <w:t>2041</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076173A6">
            <w:pPr>
              <w:widowControl/>
              <w:spacing w:after="0" w:line="240" w:lineRule="auto"/>
              <w:jc w:val="center"/>
              <w:rPr>
                <w:rFonts w:hint="eastAsia" w:ascii="Verdana" w:hAnsi="Verdana" w:cs="Arial"/>
                <w:b/>
                <w:bCs/>
                <w:color w:val="FFFFFF"/>
                <w:kern w:val="0"/>
                <w:sz w:val="20"/>
                <w:szCs w:val="20"/>
              </w:rPr>
            </w:pPr>
            <w:r>
              <w:rPr>
                <w:rFonts w:hint="default" w:ascii="Verdana" w:hAnsi="Verdana" w:cs="Arial"/>
                <w:b/>
                <w:bCs/>
                <w:color w:val="FFFFFF"/>
                <w:kern w:val="0"/>
                <w:sz w:val="20"/>
                <w:szCs w:val="20"/>
                <w:lang w:val="en-US" w:eastAsia="zh-CN"/>
              </w:rPr>
              <w:t>2042</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1769971C">
            <w:pPr>
              <w:widowControl/>
              <w:spacing w:after="0" w:line="240" w:lineRule="auto"/>
              <w:jc w:val="center"/>
              <w:rPr>
                <w:rFonts w:hint="eastAsia" w:ascii="Verdana" w:hAnsi="Verdana" w:cs="Arial"/>
                <w:b/>
                <w:bCs/>
                <w:color w:val="FFFFFF"/>
                <w:kern w:val="0"/>
                <w:sz w:val="20"/>
                <w:szCs w:val="20"/>
              </w:rPr>
            </w:pPr>
            <w:r>
              <w:rPr>
                <w:rFonts w:hint="default" w:ascii="Verdana" w:hAnsi="Verdana" w:cs="Arial"/>
                <w:b/>
                <w:bCs/>
                <w:color w:val="FFFFFF"/>
                <w:kern w:val="0"/>
                <w:sz w:val="20"/>
                <w:szCs w:val="20"/>
                <w:lang w:val="en-US" w:eastAsia="zh-CN"/>
              </w:rPr>
              <w:t>2043</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4F99F010">
            <w:pPr>
              <w:widowControl/>
              <w:spacing w:after="0" w:line="240" w:lineRule="auto"/>
              <w:jc w:val="center"/>
              <w:rPr>
                <w:rFonts w:hint="eastAsia" w:ascii="Verdana" w:hAnsi="Verdana" w:cs="Arial"/>
                <w:b/>
                <w:bCs/>
                <w:color w:val="FFFFFF"/>
                <w:kern w:val="0"/>
                <w:sz w:val="20"/>
                <w:szCs w:val="20"/>
              </w:rPr>
            </w:pPr>
            <w:r>
              <w:rPr>
                <w:rFonts w:hint="default" w:ascii="华文细黑" w:hAnsi="华文细黑" w:eastAsia="华文细黑" w:cs="Arial"/>
                <w:b/>
                <w:bCs/>
                <w:color w:val="FFFFFF"/>
                <w:kern w:val="0"/>
                <w:sz w:val="20"/>
                <w:szCs w:val="20"/>
                <w:lang w:val="en-US" w:eastAsia="zh-CN"/>
              </w:rPr>
              <w:t>2044</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224A6416">
            <w:pPr>
              <w:widowControl/>
              <w:spacing w:after="0" w:line="240" w:lineRule="auto"/>
              <w:jc w:val="center"/>
              <w:rPr>
                <w:rFonts w:hint="eastAsia" w:ascii="Verdana" w:hAnsi="Verdana" w:cs="Arial"/>
                <w:b/>
                <w:bCs/>
                <w:color w:val="FFFFFF"/>
                <w:kern w:val="0"/>
                <w:sz w:val="20"/>
                <w:szCs w:val="20"/>
              </w:rPr>
            </w:pPr>
            <w:r>
              <w:rPr>
                <w:rFonts w:hint="default" w:ascii="华文细黑" w:hAnsi="华文细黑" w:eastAsia="华文细黑" w:cs="Arial"/>
                <w:b/>
                <w:bCs/>
                <w:color w:val="FFFFFF"/>
                <w:kern w:val="0"/>
                <w:sz w:val="20"/>
                <w:szCs w:val="20"/>
                <w:lang w:val="en-US" w:eastAsia="zh-CN"/>
              </w:rPr>
              <w:t>2045</w:t>
            </w:r>
          </w:p>
        </w:tc>
        <w:tc>
          <w:tcPr>
            <w:tcW w:w="992" w:type="dxa"/>
            <w:tcBorders>
              <w:top w:val="single" w:color="auto" w:sz="8" w:space="0"/>
              <w:left w:val="nil"/>
              <w:bottom w:val="single" w:color="auto" w:sz="8" w:space="0"/>
              <w:right w:val="single" w:color="auto" w:sz="8" w:space="0"/>
            </w:tcBorders>
            <w:shd w:val="clear" w:color="000000" w:fill="0070C0"/>
            <w:noWrap/>
            <w:vAlign w:val="center"/>
          </w:tcPr>
          <w:p w14:paraId="0A064FB3">
            <w:pPr>
              <w:widowControl/>
              <w:spacing w:after="0" w:line="240" w:lineRule="auto"/>
              <w:jc w:val="center"/>
              <w:rPr>
                <w:rFonts w:hint="default" w:ascii="Verdana" w:hAnsi="Verdana" w:cs="Arial"/>
                <w:b/>
                <w:bCs/>
                <w:color w:val="FFFFFF"/>
                <w:kern w:val="0"/>
                <w:sz w:val="20"/>
                <w:szCs w:val="20"/>
                <w:lang w:val="en-US"/>
              </w:rPr>
            </w:pPr>
            <w:r>
              <w:rPr>
                <w:rFonts w:hint="default" w:ascii="华文细黑" w:hAnsi="华文细黑" w:eastAsia="华文细黑" w:cs="Arial"/>
                <w:b/>
                <w:bCs/>
                <w:color w:val="FFFFFF"/>
                <w:kern w:val="0"/>
                <w:sz w:val="20"/>
                <w:szCs w:val="20"/>
                <w:lang w:val="en-US" w:eastAsia="zh-CN"/>
              </w:rPr>
              <w:t>204</w:t>
            </w:r>
            <w:r>
              <w:rPr>
                <w:rFonts w:hint="eastAsia" w:ascii="华文细黑" w:hAnsi="华文细黑" w:eastAsia="华文细黑" w:cs="Arial"/>
                <w:b/>
                <w:bCs/>
                <w:color w:val="FFFFFF"/>
                <w:kern w:val="0"/>
                <w:sz w:val="20"/>
                <w:szCs w:val="20"/>
                <w:lang w:val="en-US" w:eastAsia="zh-CN"/>
              </w:rPr>
              <w:t>6</w:t>
            </w:r>
          </w:p>
        </w:tc>
        <w:tc>
          <w:tcPr>
            <w:tcW w:w="1214" w:type="dxa"/>
            <w:tcBorders>
              <w:top w:val="single" w:color="auto" w:sz="8" w:space="0"/>
              <w:left w:val="nil"/>
              <w:bottom w:val="single" w:color="auto" w:sz="8" w:space="0"/>
              <w:right w:val="single" w:color="auto" w:sz="8" w:space="0"/>
            </w:tcBorders>
            <w:shd w:val="clear" w:color="000000" w:fill="0070C0"/>
            <w:noWrap/>
            <w:vAlign w:val="center"/>
          </w:tcPr>
          <w:p w14:paraId="20BD92F5">
            <w:pPr>
              <w:widowControl/>
              <w:spacing w:after="0" w:line="240" w:lineRule="auto"/>
              <w:jc w:val="center"/>
              <w:rPr>
                <w:rFonts w:hint="default" w:ascii="Verdana" w:hAnsi="Verdana" w:cs="Arial"/>
                <w:b/>
                <w:bCs/>
                <w:color w:val="FFFFFF"/>
                <w:kern w:val="0"/>
                <w:sz w:val="20"/>
                <w:szCs w:val="20"/>
                <w:lang w:val="en-US" w:eastAsia="zh-CN"/>
              </w:rPr>
            </w:pPr>
            <w:r>
              <w:rPr>
                <w:rFonts w:hint="eastAsia" w:ascii="华文细黑" w:hAnsi="华文细黑" w:eastAsia="华文细黑" w:cs="Arial"/>
                <w:b/>
                <w:bCs/>
                <w:color w:val="FFFFFF"/>
                <w:kern w:val="0"/>
                <w:sz w:val="20"/>
                <w:szCs w:val="20"/>
                <w:lang w:val="en-US" w:eastAsia="zh-CN"/>
              </w:rPr>
              <w:t>合计</w:t>
            </w:r>
          </w:p>
        </w:tc>
      </w:tr>
      <w:tr w14:paraId="655FB3F7">
        <w:tblPrEx>
          <w:tblCellMar>
            <w:top w:w="0" w:type="dxa"/>
            <w:left w:w="108" w:type="dxa"/>
            <w:bottom w:w="0" w:type="dxa"/>
            <w:right w:w="108" w:type="dxa"/>
          </w:tblCellMar>
        </w:tblPrEx>
        <w:trPr>
          <w:trHeight w:val="285"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759D0428">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债券期初余额</w:t>
            </w:r>
          </w:p>
        </w:tc>
        <w:tc>
          <w:tcPr>
            <w:tcW w:w="992" w:type="dxa"/>
            <w:tcBorders>
              <w:top w:val="nil"/>
              <w:left w:val="nil"/>
              <w:bottom w:val="single" w:color="auto" w:sz="8" w:space="0"/>
              <w:right w:val="single" w:color="auto" w:sz="8" w:space="0"/>
            </w:tcBorders>
            <w:shd w:val="clear" w:color="auto" w:fill="auto"/>
            <w:vAlign w:val="center"/>
          </w:tcPr>
          <w:p w14:paraId="0503864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22AFCCA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00B65F0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206DCC3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37EFA8E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19B767B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222C61F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7,000.00</w:t>
            </w:r>
          </w:p>
        </w:tc>
        <w:tc>
          <w:tcPr>
            <w:tcW w:w="1214" w:type="dxa"/>
            <w:tcBorders>
              <w:top w:val="nil"/>
              <w:left w:val="nil"/>
              <w:bottom w:val="single" w:color="auto" w:sz="8" w:space="0"/>
              <w:right w:val="single" w:color="auto" w:sz="8" w:space="0"/>
            </w:tcBorders>
            <w:shd w:val="clear" w:color="auto" w:fill="auto"/>
            <w:vAlign w:val="center"/>
          </w:tcPr>
          <w:p w14:paraId="0DE161C1">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r>
      <w:tr w14:paraId="328FD05F">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0ECCBD97">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w:t>
            </w:r>
          </w:p>
        </w:tc>
        <w:tc>
          <w:tcPr>
            <w:tcW w:w="992" w:type="dxa"/>
            <w:tcBorders>
              <w:top w:val="nil"/>
              <w:left w:val="nil"/>
              <w:bottom w:val="single" w:color="auto" w:sz="8" w:space="0"/>
              <w:right w:val="single" w:color="auto" w:sz="8" w:space="0"/>
            </w:tcBorders>
            <w:shd w:val="clear" w:color="auto" w:fill="auto"/>
            <w:vAlign w:val="center"/>
          </w:tcPr>
          <w:p w14:paraId="209C721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0A708DB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7FF64BC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7E85134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236FE61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4CC4E44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228895A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214" w:type="dxa"/>
            <w:tcBorders>
              <w:top w:val="nil"/>
              <w:left w:val="nil"/>
              <w:bottom w:val="single" w:color="auto" w:sz="8" w:space="0"/>
              <w:right w:val="single" w:color="auto" w:sz="8" w:space="0"/>
            </w:tcBorders>
            <w:shd w:val="clear" w:color="auto" w:fill="auto"/>
            <w:vAlign w:val="center"/>
          </w:tcPr>
          <w:p w14:paraId="6A454259">
            <w:pPr>
              <w:widowControl/>
              <w:spacing w:after="0" w:line="240" w:lineRule="auto"/>
              <w:jc w:val="center"/>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7,500.00 </w:t>
            </w:r>
          </w:p>
        </w:tc>
      </w:tr>
      <w:tr w14:paraId="69012DA9">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24B732DD">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债券需还利息</w:t>
            </w:r>
          </w:p>
        </w:tc>
        <w:tc>
          <w:tcPr>
            <w:tcW w:w="992" w:type="dxa"/>
            <w:tcBorders>
              <w:top w:val="nil"/>
              <w:left w:val="nil"/>
              <w:bottom w:val="single" w:color="auto" w:sz="8" w:space="0"/>
              <w:right w:val="single" w:color="auto" w:sz="8" w:space="0"/>
            </w:tcBorders>
            <w:shd w:val="clear" w:color="auto" w:fill="auto"/>
            <w:vAlign w:val="center"/>
          </w:tcPr>
          <w:p w14:paraId="7B5D297A">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547A69D7">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5B0B488C">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02DAB0F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24BC58C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48A9B33F">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199.29</w:t>
            </w:r>
          </w:p>
        </w:tc>
        <w:tc>
          <w:tcPr>
            <w:tcW w:w="992" w:type="dxa"/>
            <w:tcBorders>
              <w:top w:val="nil"/>
              <w:left w:val="nil"/>
              <w:bottom w:val="single" w:color="auto" w:sz="8" w:space="0"/>
              <w:right w:val="single" w:color="auto" w:sz="8" w:space="0"/>
            </w:tcBorders>
            <w:shd w:val="clear" w:color="auto" w:fill="auto"/>
            <w:vAlign w:val="center"/>
          </w:tcPr>
          <w:p w14:paraId="6ACC0AB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196.00</w:t>
            </w:r>
          </w:p>
        </w:tc>
        <w:tc>
          <w:tcPr>
            <w:tcW w:w="1214" w:type="dxa"/>
            <w:tcBorders>
              <w:top w:val="nil"/>
              <w:left w:val="nil"/>
              <w:bottom w:val="single" w:color="auto" w:sz="8" w:space="0"/>
              <w:right w:val="single" w:color="auto" w:sz="8" w:space="0"/>
            </w:tcBorders>
            <w:shd w:val="clear" w:color="auto" w:fill="auto"/>
            <w:vAlign w:val="center"/>
          </w:tcPr>
          <w:p w14:paraId="08E374A3">
            <w:pPr>
              <w:widowControl/>
              <w:spacing w:after="0" w:line="240" w:lineRule="auto"/>
              <w:jc w:val="center"/>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4,081.56 </w:t>
            </w:r>
          </w:p>
        </w:tc>
      </w:tr>
      <w:tr w14:paraId="483BDC31">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508A60E6">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债券还款</w:t>
            </w:r>
          </w:p>
        </w:tc>
        <w:tc>
          <w:tcPr>
            <w:tcW w:w="992" w:type="dxa"/>
            <w:tcBorders>
              <w:top w:val="nil"/>
              <w:left w:val="nil"/>
              <w:bottom w:val="single" w:color="auto" w:sz="8" w:space="0"/>
              <w:right w:val="single" w:color="auto" w:sz="8" w:space="0"/>
            </w:tcBorders>
            <w:shd w:val="clear" w:color="auto" w:fill="auto"/>
            <w:vAlign w:val="center"/>
          </w:tcPr>
          <w:p w14:paraId="0505A4B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4C4DF69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4391512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4F445DE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320C63DE">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172CF776">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499.29</w:t>
            </w:r>
          </w:p>
        </w:tc>
        <w:tc>
          <w:tcPr>
            <w:tcW w:w="992" w:type="dxa"/>
            <w:tcBorders>
              <w:top w:val="nil"/>
              <w:left w:val="nil"/>
              <w:bottom w:val="single" w:color="auto" w:sz="8" w:space="0"/>
              <w:right w:val="single" w:color="auto" w:sz="8" w:space="0"/>
            </w:tcBorders>
            <w:shd w:val="clear" w:color="auto" w:fill="auto"/>
            <w:vAlign w:val="center"/>
          </w:tcPr>
          <w:p w14:paraId="4EFE168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7,196.00</w:t>
            </w:r>
          </w:p>
        </w:tc>
        <w:tc>
          <w:tcPr>
            <w:tcW w:w="1214" w:type="dxa"/>
            <w:tcBorders>
              <w:top w:val="nil"/>
              <w:left w:val="nil"/>
              <w:bottom w:val="single" w:color="auto" w:sz="8" w:space="0"/>
              <w:right w:val="single" w:color="auto" w:sz="8" w:space="0"/>
            </w:tcBorders>
            <w:shd w:val="clear" w:color="auto" w:fill="auto"/>
            <w:vAlign w:val="center"/>
          </w:tcPr>
          <w:p w14:paraId="7CA4B599">
            <w:pPr>
              <w:widowControl/>
              <w:spacing w:after="0" w:line="240" w:lineRule="auto"/>
              <w:jc w:val="center"/>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11,581.56 </w:t>
            </w:r>
          </w:p>
        </w:tc>
      </w:tr>
      <w:tr w14:paraId="5038BEB1">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76EEDD02">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其中：利息</w:t>
            </w:r>
          </w:p>
        </w:tc>
        <w:tc>
          <w:tcPr>
            <w:tcW w:w="992" w:type="dxa"/>
            <w:tcBorders>
              <w:top w:val="nil"/>
              <w:left w:val="nil"/>
              <w:bottom w:val="single" w:color="auto" w:sz="8" w:space="0"/>
              <w:right w:val="single" w:color="auto" w:sz="8" w:space="0"/>
            </w:tcBorders>
            <w:shd w:val="clear" w:color="auto" w:fill="auto"/>
            <w:vAlign w:val="center"/>
          </w:tcPr>
          <w:p w14:paraId="5D404E1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4316716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529813E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71150FD5">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5DC29D23">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202.57</w:t>
            </w:r>
          </w:p>
        </w:tc>
        <w:tc>
          <w:tcPr>
            <w:tcW w:w="992" w:type="dxa"/>
            <w:tcBorders>
              <w:top w:val="nil"/>
              <w:left w:val="nil"/>
              <w:bottom w:val="single" w:color="auto" w:sz="8" w:space="0"/>
              <w:right w:val="single" w:color="auto" w:sz="8" w:space="0"/>
            </w:tcBorders>
            <w:shd w:val="clear" w:color="auto" w:fill="auto"/>
            <w:vAlign w:val="center"/>
          </w:tcPr>
          <w:p w14:paraId="142549F8">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199.29</w:t>
            </w:r>
          </w:p>
        </w:tc>
        <w:tc>
          <w:tcPr>
            <w:tcW w:w="992" w:type="dxa"/>
            <w:tcBorders>
              <w:top w:val="nil"/>
              <w:left w:val="nil"/>
              <w:bottom w:val="single" w:color="auto" w:sz="8" w:space="0"/>
              <w:right w:val="single" w:color="auto" w:sz="8" w:space="0"/>
            </w:tcBorders>
            <w:shd w:val="clear" w:color="auto" w:fill="auto"/>
            <w:vAlign w:val="center"/>
          </w:tcPr>
          <w:p w14:paraId="539779B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196.00</w:t>
            </w:r>
          </w:p>
        </w:tc>
        <w:tc>
          <w:tcPr>
            <w:tcW w:w="1214" w:type="dxa"/>
            <w:tcBorders>
              <w:top w:val="nil"/>
              <w:left w:val="nil"/>
              <w:bottom w:val="single" w:color="auto" w:sz="8" w:space="0"/>
              <w:right w:val="single" w:color="auto" w:sz="8" w:space="0"/>
            </w:tcBorders>
            <w:shd w:val="clear" w:color="auto" w:fill="auto"/>
            <w:vAlign w:val="center"/>
          </w:tcPr>
          <w:p w14:paraId="56A1BFC7">
            <w:pPr>
              <w:widowControl/>
              <w:spacing w:after="0" w:line="240" w:lineRule="auto"/>
              <w:jc w:val="center"/>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4,081.56 </w:t>
            </w:r>
          </w:p>
        </w:tc>
      </w:tr>
      <w:tr w14:paraId="7957BA30">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4F246AD8">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其中：本金偿还</w:t>
            </w:r>
          </w:p>
        </w:tc>
        <w:tc>
          <w:tcPr>
            <w:tcW w:w="992" w:type="dxa"/>
            <w:tcBorders>
              <w:top w:val="nil"/>
              <w:left w:val="nil"/>
              <w:bottom w:val="single" w:color="auto" w:sz="8" w:space="0"/>
              <w:right w:val="single" w:color="auto" w:sz="8" w:space="0"/>
            </w:tcBorders>
            <w:shd w:val="clear" w:color="auto" w:fill="auto"/>
            <w:vAlign w:val="center"/>
          </w:tcPr>
          <w:p w14:paraId="40408D7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08C7602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04D4A5F1">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50E7EDE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36A3941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992" w:type="dxa"/>
            <w:tcBorders>
              <w:top w:val="nil"/>
              <w:left w:val="nil"/>
              <w:bottom w:val="single" w:color="auto" w:sz="8" w:space="0"/>
              <w:right w:val="single" w:color="auto" w:sz="8" w:space="0"/>
            </w:tcBorders>
            <w:shd w:val="clear" w:color="auto" w:fill="auto"/>
            <w:vAlign w:val="center"/>
          </w:tcPr>
          <w:p w14:paraId="54B44F80">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300.00</w:t>
            </w:r>
          </w:p>
        </w:tc>
        <w:tc>
          <w:tcPr>
            <w:tcW w:w="992" w:type="dxa"/>
            <w:tcBorders>
              <w:top w:val="nil"/>
              <w:left w:val="nil"/>
              <w:bottom w:val="single" w:color="auto" w:sz="8" w:space="0"/>
              <w:right w:val="single" w:color="auto" w:sz="8" w:space="0"/>
            </w:tcBorders>
            <w:shd w:val="clear" w:color="auto" w:fill="auto"/>
            <w:vAlign w:val="center"/>
          </w:tcPr>
          <w:p w14:paraId="7FD60A7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7,000.00</w:t>
            </w:r>
          </w:p>
        </w:tc>
        <w:tc>
          <w:tcPr>
            <w:tcW w:w="1214" w:type="dxa"/>
            <w:tcBorders>
              <w:top w:val="nil"/>
              <w:left w:val="nil"/>
              <w:bottom w:val="single" w:color="auto" w:sz="8" w:space="0"/>
              <w:right w:val="single" w:color="auto" w:sz="8" w:space="0"/>
            </w:tcBorders>
            <w:shd w:val="clear" w:color="auto" w:fill="auto"/>
            <w:vAlign w:val="center"/>
          </w:tcPr>
          <w:p w14:paraId="28BF6435">
            <w:pPr>
              <w:widowControl/>
              <w:spacing w:after="0" w:line="240" w:lineRule="auto"/>
              <w:jc w:val="center"/>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7,500.00 </w:t>
            </w:r>
          </w:p>
        </w:tc>
      </w:tr>
      <w:tr w14:paraId="1D85C343">
        <w:tblPrEx>
          <w:tblCellMar>
            <w:top w:w="0" w:type="dxa"/>
            <w:left w:w="108" w:type="dxa"/>
            <w:bottom w:w="0" w:type="dxa"/>
            <w:right w:w="108" w:type="dxa"/>
          </w:tblCellMar>
        </w:tblPrEx>
        <w:trPr>
          <w:trHeight w:val="300" w:hRule="atLeast"/>
          <w:jc w:val="center"/>
        </w:trPr>
        <w:tc>
          <w:tcPr>
            <w:tcW w:w="1580" w:type="dxa"/>
            <w:tcBorders>
              <w:top w:val="nil"/>
              <w:left w:val="single" w:color="auto" w:sz="8" w:space="0"/>
              <w:bottom w:val="single" w:color="auto" w:sz="8" w:space="0"/>
              <w:right w:val="single" w:color="auto" w:sz="8" w:space="0"/>
            </w:tcBorders>
            <w:shd w:val="clear" w:color="auto" w:fill="auto"/>
            <w:noWrap/>
            <w:vAlign w:val="center"/>
          </w:tcPr>
          <w:p w14:paraId="600B5CE4">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债券期末余额</w:t>
            </w:r>
          </w:p>
        </w:tc>
        <w:tc>
          <w:tcPr>
            <w:tcW w:w="992" w:type="dxa"/>
            <w:tcBorders>
              <w:top w:val="nil"/>
              <w:left w:val="nil"/>
              <w:bottom w:val="single" w:color="auto" w:sz="8" w:space="0"/>
              <w:right w:val="single" w:color="auto" w:sz="8" w:space="0"/>
            </w:tcBorders>
            <w:shd w:val="clear" w:color="auto" w:fill="auto"/>
            <w:vAlign w:val="center"/>
          </w:tcPr>
          <w:p w14:paraId="70094A1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70BD283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724E7292">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4522A4D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1D65BE74">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7,300.00</w:t>
            </w:r>
          </w:p>
        </w:tc>
        <w:tc>
          <w:tcPr>
            <w:tcW w:w="992" w:type="dxa"/>
            <w:tcBorders>
              <w:top w:val="nil"/>
              <w:left w:val="nil"/>
              <w:bottom w:val="single" w:color="auto" w:sz="8" w:space="0"/>
              <w:right w:val="single" w:color="auto" w:sz="8" w:space="0"/>
            </w:tcBorders>
            <w:shd w:val="clear" w:color="auto" w:fill="auto"/>
            <w:vAlign w:val="center"/>
          </w:tcPr>
          <w:p w14:paraId="5CA6BC6B">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7,000.00</w:t>
            </w:r>
          </w:p>
        </w:tc>
        <w:tc>
          <w:tcPr>
            <w:tcW w:w="992" w:type="dxa"/>
            <w:tcBorders>
              <w:top w:val="nil"/>
              <w:left w:val="nil"/>
              <w:bottom w:val="single" w:color="auto" w:sz="8" w:space="0"/>
              <w:right w:val="single" w:color="auto" w:sz="8" w:space="0"/>
            </w:tcBorders>
            <w:shd w:val="clear" w:color="auto" w:fill="auto"/>
            <w:vAlign w:val="center"/>
          </w:tcPr>
          <w:p w14:paraId="2FD02D2D">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c>
          <w:tcPr>
            <w:tcW w:w="1214" w:type="dxa"/>
            <w:tcBorders>
              <w:top w:val="nil"/>
              <w:left w:val="nil"/>
              <w:bottom w:val="single" w:color="auto" w:sz="8" w:space="0"/>
              <w:right w:val="single" w:color="auto" w:sz="8" w:space="0"/>
            </w:tcBorders>
            <w:shd w:val="clear" w:color="auto" w:fill="auto"/>
            <w:vAlign w:val="center"/>
          </w:tcPr>
          <w:p w14:paraId="471ACDD9">
            <w:pPr>
              <w:widowControl/>
              <w:spacing w:after="0" w:line="240" w:lineRule="auto"/>
              <w:jc w:val="center"/>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w:t>
            </w:r>
          </w:p>
        </w:tc>
      </w:tr>
    </w:tbl>
    <w:p w14:paraId="33584853">
      <w:pPr>
        <w:ind w:right="-149"/>
        <w:rPr>
          <w:rFonts w:hint="eastAsia" w:eastAsia="华文细黑" w:asciiTheme="minorHAnsi" w:hAnsiTheme="minorHAnsi"/>
          <w:color w:val="000000"/>
          <w:sz w:val="18"/>
          <w:szCs w:val="20"/>
          <w:lang w:eastAsia="zh-CN"/>
        </w:rPr>
      </w:pPr>
      <w:r>
        <w:rPr>
          <w:rFonts w:hint="eastAsia" w:eastAsia="华文细黑" w:asciiTheme="minorHAnsi" w:hAnsiTheme="minorHAnsi"/>
          <w:color w:val="000000"/>
          <w:sz w:val="18"/>
          <w:szCs w:val="20"/>
          <w:lang w:val="en-US" w:eastAsia="zh-CN"/>
        </w:rPr>
        <w:t>注：</w:t>
      </w:r>
      <w:r>
        <w:rPr>
          <w:rFonts w:hint="eastAsia" w:eastAsia="华文细黑" w:asciiTheme="minorHAnsi" w:hAnsiTheme="minorHAnsi"/>
          <w:color w:val="000000"/>
          <w:sz w:val="18"/>
          <w:szCs w:val="20"/>
        </w:rPr>
        <w:t>本次调增专项债券</w:t>
      </w:r>
      <w:r>
        <w:rPr>
          <w:rFonts w:hint="eastAsia" w:eastAsia="华文细黑" w:asciiTheme="minorHAnsi" w:hAnsiTheme="minorHAnsi"/>
          <w:color w:val="000000"/>
          <w:sz w:val="18"/>
          <w:szCs w:val="20"/>
          <w:lang w:val="en-US" w:eastAsia="zh-CN"/>
        </w:rPr>
        <w:t>2</w:t>
      </w:r>
      <w:r>
        <w:rPr>
          <w:rFonts w:hint="eastAsia" w:eastAsia="华文细黑" w:asciiTheme="minorHAnsi" w:hAnsiTheme="minorHAnsi"/>
          <w:color w:val="000000"/>
          <w:sz w:val="18"/>
          <w:szCs w:val="20"/>
        </w:rPr>
        <w:t>00.00万元专项债券为10年期，</w:t>
      </w:r>
      <w:r>
        <w:rPr>
          <w:rFonts w:hint="eastAsia" w:eastAsia="华文细黑" w:asciiTheme="minorHAnsi" w:hAnsiTheme="minorHAnsi"/>
          <w:color w:val="000000"/>
          <w:sz w:val="18"/>
          <w:szCs w:val="20"/>
          <w:lang w:val="en-US" w:eastAsia="zh-CN"/>
        </w:rPr>
        <w:t>3</w:t>
      </w:r>
      <w:r>
        <w:rPr>
          <w:rFonts w:hint="eastAsia" w:eastAsia="华文细黑" w:asciiTheme="minorHAnsi" w:hAnsiTheme="minorHAnsi"/>
          <w:color w:val="000000"/>
          <w:sz w:val="18"/>
          <w:szCs w:val="20"/>
        </w:rPr>
        <w:t>00.00万元专项债券为20年期，利息按半年支付</w:t>
      </w:r>
      <w:r>
        <w:rPr>
          <w:rFonts w:hint="eastAsia" w:eastAsia="华文细黑" w:asciiTheme="minorHAnsi" w:hAnsiTheme="minorHAnsi"/>
          <w:color w:val="000000"/>
          <w:sz w:val="18"/>
          <w:szCs w:val="20"/>
          <w:lang w:eastAsia="zh-CN"/>
        </w:rPr>
        <w:t>，</w:t>
      </w:r>
      <w:r>
        <w:rPr>
          <w:rFonts w:hint="eastAsia" w:eastAsia="华文细黑" w:asciiTheme="minorHAnsi" w:hAnsiTheme="minorHAnsi"/>
          <w:color w:val="000000"/>
          <w:sz w:val="18"/>
          <w:szCs w:val="20"/>
        </w:rPr>
        <w:t>最后一次利息随本金一起支付</w:t>
      </w:r>
      <w:r>
        <w:rPr>
          <w:rFonts w:hint="eastAsia" w:eastAsia="华文细黑" w:asciiTheme="minorHAnsi" w:hAnsiTheme="minorHAnsi"/>
          <w:color w:val="000000"/>
          <w:sz w:val="18"/>
          <w:szCs w:val="20"/>
          <w:lang w:eastAsia="zh-CN"/>
        </w:rPr>
        <w:t>。</w:t>
      </w:r>
    </w:p>
    <w:p w14:paraId="6CCA2D1F">
      <w:pPr>
        <w:widowControl/>
        <w:spacing w:before="120" w:after="120" w:line="520" w:lineRule="exact"/>
        <w:outlineLvl w:val="2"/>
        <w:rPr>
          <w:rFonts w:ascii="Verdana" w:hAnsi="Verdana" w:eastAsia="华文细黑" w:cs="Times New Roman"/>
          <w:b/>
          <w:color w:val="000000"/>
          <w:kern w:val="0"/>
          <w:sz w:val="24"/>
          <w:szCs w:val="24"/>
        </w:rPr>
      </w:pPr>
      <w:r>
        <w:rPr>
          <w:rFonts w:ascii="Verdana" w:hAnsi="Verdana" w:eastAsia="华文细黑" w:cs="Times New Roman"/>
          <w:b/>
          <w:color w:val="000000"/>
          <w:kern w:val="0"/>
          <w:sz w:val="24"/>
          <w:szCs w:val="24"/>
        </w:rPr>
        <w:t>1.3</w:t>
      </w:r>
      <w:r>
        <w:rPr>
          <w:rFonts w:hint="eastAsia" w:ascii="Verdana" w:hAnsi="Verdana" w:eastAsia="华文细黑" w:cs="Times New Roman"/>
          <w:b/>
          <w:color w:val="000000"/>
          <w:kern w:val="0"/>
          <w:sz w:val="24"/>
          <w:szCs w:val="24"/>
        </w:rPr>
        <w:t>发债项目盈利能力、偿债能力和可持续性</w:t>
      </w:r>
      <w:bookmarkEnd w:id="22"/>
    </w:p>
    <w:p w14:paraId="021E1521">
      <w:pPr>
        <w:widowControl/>
        <w:spacing w:before="120" w:after="120" w:line="520" w:lineRule="exact"/>
        <w:ind w:firstLine="510"/>
        <w:rPr>
          <w:rFonts w:ascii="Verdana" w:hAnsi="Verdana" w:eastAsia="华文细黑" w:cs="Times New Roman"/>
          <w:color w:val="000000"/>
          <w:kern w:val="0"/>
          <w:sz w:val="24"/>
          <w:szCs w:val="24"/>
        </w:rPr>
      </w:pPr>
      <w:r>
        <w:rPr>
          <w:rFonts w:hint="eastAsia" w:ascii="Verdana" w:hAnsi="Verdana" w:eastAsia="华文细黑" w:cs="Times New Roman"/>
          <w:color w:val="000000"/>
          <w:kern w:val="0"/>
          <w:sz w:val="24"/>
          <w:szCs w:val="24"/>
          <w:lang w:eastAsia="zh-CN"/>
        </w:rPr>
        <w:t>海口江东新区CBD南片区幼儿园及配套基础设施项目</w:t>
      </w:r>
      <w:r>
        <w:rPr>
          <w:rFonts w:hint="eastAsia" w:ascii="Verdana" w:hAnsi="Verdana" w:eastAsia="华文细黑" w:cs="Times New Roman"/>
          <w:color w:val="000000"/>
          <w:kern w:val="0"/>
          <w:sz w:val="24"/>
          <w:szCs w:val="24"/>
        </w:rPr>
        <w:t>累计</w:t>
      </w:r>
      <w:r>
        <w:rPr>
          <w:rFonts w:hint="eastAsia" w:ascii="Verdana" w:hAnsi="Verdana" w:eastAsia="华文细黑" w:cs="Times New Roman"/>
          <w:kern w:val="0"/>
          <w:sz w:val="24"/>
          <w:szCs w:val="24"/>
        </w:rPr>
        <w:t>资金筹措总</w:t>
      </w:r>
      <w:r>
        <w:rPr>
          <w:rFonts w:hint="eastAsia" w:ascii="Verdana" w:hAnsi="Verdana" w:eastAsia="华文细黑" w:cs="Times New Roman"/>
          <w:kern w:val="0"/>
          <w:sz w:val="24"/>
          <w:szCs w:val="24"/>
          <w:highlight w:val="none"/>
        </w:rPr>
        <w:t>额</w:t>
      </w:r>
      <w:r>
        <w:rPr>
          <w:rFonts w:hint="eastAsia" w:ascii="Verdana" w:hAnsi="Verdana" w:eastAsia="华文细黑" w:cs="Times New Roman"/>
          <w:kern w:val="0"/>
          <w:sz w:val="24"/>
          <w:szCs w:val="24"/>
          <w:highlight w:val="none"/>
          <w:lang w:val="en-US" w:eastAsia="zh-CN"/>
        </w:rPr>
        <w:t>4</w:t>
      </w:r>
      <w:r>
        <w:rPr>
          <w:rFonts w:hint="eastAsia" w:ascii="Verdana" w:hAnsi="Verdana" w:eastAsia="华文细黑" w:cs="Times New Roman"/>
          <w:kern w:val="0"/>
          <w:sz w:val="24"/>
          <w:szCs w:val="24"/>
          <w:highlight w:val="none"/>
        </w:rPr>
        <w:t>4,</w:t>
      </w:r>
      <w:r>
        <w:rPr>
          <w:rFonts w:hint="eastAsia" w:ascii="Verdana" w:hAnsi="Verdana" w:eastAsia="华文细黑" w:cs="Times New Roman"/>
          <w:kern w:val="0"/>
          <w:sz w:val="24"/>
          <w:szCs w:val="24"/>
          <w:highlight w:val="none"/>
          <w:lang w:val="en-US" w:eastAsia="zh-CN"/>
        </w:rPr>
        <w:t>371.97</w:t>
      </w:r>
      <w:r>
        <w:rPr>
          <w:rFonts w:hint="eastAsia" w:ascii="Verdana" w:hAnsi="Verdana" w:eastAsia="华文细黑" w:cs="Times New Roman"/>
          <w:kern w:val="0"/>
          <w:sz w:val="24"/>
          <w:szCs w:val="24"/>
          <w:highlight w:val="none"/>
        </w:rPr>
        <w:t>万</w:t>
      </w:r>
      <w:r>
        <w:rPr>
          <w:rFonts w:hint="eastAsia" w:ascii="Verdana" w:hAnsi="Verdana" w:eastAsia="华文细黑" w:cs="Times New Roman"/>
          <w:kern w:val="0"/>
          <w:sz w:val="24"/>
          <w:szCs w:val="24"/>
        </w:rPr>
        <w:t>元，</w:t>
      </w:r>
      <w:r>
        <w:rPr>
          <w:rFonts w:ascii="Verdana" w:hAnsi="Verdana" w:eastAsia="华文细黑" w:cs="Times New Roman"/>
          <w:kern w:val="0"/>
          <w:sz w:val="24"/>
          <w:szCs w:val="24"/>
        </w:rPr>
        <w:t>项目自筹资金</w:t>
      </w:r>
      <w:r>
        <w:rPr>
          <w:rFonts w:hint="eastAsia" w:ascii="Verdana" w:hAnsi="Verdana" w:eastAsia="华文细黑" w:cs="Times New Roman"/>
          <w:kern w:val="0"/>
          <w:sz w:val="24"/>
          <w:szCs w:val="24"/>
        </w:rPr>
        <w:t>36,871.97</w:t>
      </w:r>
      <w:r>
        <w:rPr>
          <w:rFonts w:ascii="Verdana" w:hAnsi="Verdana" w:eastAsia="华文细黑" w:cs="Times New Roman"/>
          <w:kern w:val="0"/>
          <w:sz w:val="24"/>
          <w:szCs w:val="24"/>
        </w:rPr>
        <w:t>万元</w:t>
      </w:r>
      <w:r>
        <w:rPr>
          <w:rFonts w:hint="eastAsia" w:ascii="Verdana" w:hAnsi="Verdana" w:eastAsia="华文细黑" w:cs="Times New Roman"/>
          <w:color w:val="000000"/>
          <w:kern w:val="0"/>
          <w:sz w:val="24"/>
          <w:szCs w:val="24"/>
        </w:rPr>
        <w:t>，本</w:t>
      </w:r>
      <w:r>
        <w:rPr>
          <w:rFonts w:hint="eastAsia" w:ascii="Verdana" w:hAnsi="Verdana" w:eastAsia="华文细黑" w:cs="Times New Roman"/>
          <w:color w:val="000000"/>
          <w:kern w:val="0"/>
          <w:sz w:val="24"/>
          <w:szCs w:val="24"/>
          <w:lang w:val="en-US" w:eastAsia="zh-CN"/>
        </w:rPr>
        <w:t>期</w:t>
      </w:r>
      <w:r>
        <w:rPr>
          <w:rFonts w:hint="eastAsia" w:ascii="Verdana" w:hAnsi="Verdana" w:eastAsia="华文细黑" w:cs="Times New Roman"/>
          <w:color w:val="000000"/>
          <w:kern w:val="0"/>
          <w:sz w:val="24"/>
          <w:szCs w:val="24"/>
        </w:rPr>
        <w:t>计划调增</w:t>
      </w:r>
      <w:r>
        <w:rPr>
          <w:rFonts w:hint="eastAsia" w:ascii="Verdana" w:hAnsi="Verdana" w:eastAsia="华文细黑" w:cs="Times New Roman"/>
          <w:color w:val="000000"/>
          <w:kern w:val="0"/>
          <w:sz w:val="24"/>
          <w:szCs w:val="24"/>
          <w:lang w:val="en-US" w:eastAsia="zh-CN"/>
        </w:rPr>
        <w:t>5</w:t>
      </w:r>
      <w:r>
        <w:rPr>
          <w:rFonts w:hint="eastAsia" w:ascii="Verdana" w:hAnsi="Verdana" w:eastAsia="华文细黑" w:cs="Times New Roman"/>
          <w:color w:val="000000"/>
          <w:kern w:val="0"/>
          <w:sz w:val="24"/>
          <w:szCs w:val="24"/>
        </w:rPr>
        <w:t>00.00</w:t>
      </w:r>
      <w:r>
        <w:rPr>
          <w:rFonts w:hint="eastAsia" w:ascii="Verdana" w:hAnsi="Verdana" w:eastAsia="华文细黑" w:cs="Times New Roman"/>
          <w:kern w:val="0"/>
          <w:sz w:val="24"/>
          <w:szCs w:val="24"/>
          <w:lang w:val="en-US" w:eastAsia="zh-CN"/>
        </w:rPr>
        <w:t>万元，2026年拟发行</w:t>
      </w:r>
      <w:r>
        <w:rPr>
          <w:rFonts w:hint="eastAsia" w:ascii="Verdana" w:hAnsi="Verdana" w:eastAsia="华文细黑" w:cs="Times New Roman"/>
          <w:kern w:val="0"/>
          <w:sz w:val="24"/>
          <w:szCs w:val="24"/>
        </w:rPr>
        <w:t>专项债券</w:t>
      </w:r>
      <w:r>
        <w:rPr>
          <w:rFonts w:hint="eastAsia" w:ascii="Verdana" w:hAnsi="Verdana" w:eastAsia="华文细黑" w:cs="Times New Roman"/>
          <w:kern w:val="0"/>
          <w:sz w:val="24"/>
          <w:szCs w:val="24"/>
          <w:lang w:val="en-US" w:eastAsia="zh-CN"/>
        </w:rPr>
        <w:t>7</w:t>
      </w:r>
      <w:r>
        <w:rPr>
          <w:rFonts w:hint="eastAsia" w:ascii="Verdana" w:hAnsi="Verdana" w:eastAsia="华文细黑" w:cs="Times New Roman"/>
          <w:kern w:val="0"/>
          <w:sz w:val="24"/>
          <w:szCs w:val="24"/>
        </w:rPr>
        <w:t>,</w:t>
      </w:r>
      <w:r>
        <w:rPr>
          <w:rFonts w:hint="eastAsia" w:ascii="Verdana" w:hAnsi="Verdana" w:eastAsia="华文细黑" w:cs="Times New Roman"/>
          <w:kern w:val="0"/>
          <w:sz w:val="24"/>
          <w:szCs w:val="24"/>
          <w:lang w:val="en-US" w:eastAsia="zh-CN"/>
        </w:rPr>
        <w:t>0</w:t>
      </w:r>
      <w:r>
        <w:rPr>
          <w:rFonts w:hint="eastAsia" w:ascii="Verdana" w:hAnsi="Verdana" w:eastAsia="华文细黑" w:cs="Times New Roman"/>
          <w:kern w:val="0"/>
          <w:sz w:val="24"/>
          <w:szCs w:val="24"/>
        </w:rPr>
        <w:t>00.00</w:t>
      </w:r>
      <w:r>
        <w:rPr>
          <w:rFonts w:hint="eastAsia" w:ascii="Verdana" w:hAnsi="Verdana" w:eastAsia="华文细黑" w:cs="Times New Roman"/>
          <w:kern w:val="0"/>
          <w:sz w:val="24"/>
          <w:szCs w:val="24"/>
          <w:lang w:val="en-US" w:eastAsia="zh-CN"/>
        </w:rPr>
        <w:t>万元</w:t>
      </w:r>
      <w:r>
        <w:rPr>
          <w:rFonts w:hint="eastAsia" w:ascii="Verdana" w:hAnsi="Verdana" w:eastAsia="华文细黑" w:cs="Times New Roman"/>
          <w:color w:val="000000"/>
          <w:kern w:val="0"/>
          <w:sz w:val="24"/>
          <w:szCs w:val="24"/>
        </w:rPr>
        <w:t>。</w:t>
      </w:r>
    </w:p>
    <w:p w14:paraId="29482B60">
      <w:pPr>
        <w:widowControl/>
        <w:spacing w:before="120" w:after="120" w:line="520" w:lineRule="exact"/>
        <w:ind w:firstLine="510"/>
        <w:rPr>
          <w:rFonts w:ascii="Verdana" w:hAnsi="Verdana" w:eastAsia="华文细黑" w:cs="Times New Roman"/>
          <w:b/>
          <w:kern w:val="0"/>
          <w:sz w:val="24"/>
          <w:szCs w:val="24"/>
        </w:rPr>
      </w:pPr>
      <w:r>
        <w:rPr>
          <w:rFonts w:ascii="Verdana" w:hAnsi="Verdana" w:eastAsia="华文细黑" w:cs="Times New Roman"/>
          <w:color w:val="000000"/>
          <w:kern w:val="0"/>
          <w:sz w:val="24"/>
          <w:szCs w:val="24"/>
        </w:rPr>
        <w:t>前述项目的自筹资金，由政府通过</w:t>
      </w:r>
      <w:r>
        <w:rPr>
          <w:rFonts w:hint="eastAsia" w:ascii="Verdana" w:hAnsi="Verdana" w:eastAsia="华文细黑" w:cs="Times New Roman"/>
          <w:color w:val="000000"/>
          <w:kern w:val="0"/>
          <w:sz w:val="24"/>
          <w:szCs w:val="24"/>
        </w:rPr>
        <w:t>财政</w:t>
      </w:r>
      <w:r>
        <w:rPr>
          <w:rFonts w:ascii="Verdana" w:hAnsi="Verdana" w:eastAsia="华文细黑" w:cs="Times New Roman"/>
          <w:color w:val="000000"/>
          <w:kern w:val="0"/>
          <w:sz w:val="24"/>
          <w:szCs w:val="24"/>
        </w:rPr>
        <w:t>资金统筹安排</w:t>
      </w:r>
      <w:r>
        <w:rPr>
          <w:rFonts w:hint="eastAsia" w:ascii="Verdana" w:hAnsi="Verdana" w:eastAsia="华文细黑" w:cs="Times New Roman"/>
          <w:color w:val="000000"/>
          <w:kern w:val="0"/>
          <w:sz w:val="24"/>
          <w:szCs w:val="24"/>
        </w:rPr>
        <w:t>。各年度投资计划及资金筹措方案详见表5，项目现金流平衡表详见表6</w:t>
      </w:r>
      <w:r>
        <w:rPr>
          <w:rFonts w:ascii="Verdana" w:hAnsi="Verdana" w:eastAsia="华文细黑" w:cs="Times New Roman"/>
          <w:color w:val="000000"/>
          <w:kern w:val="0"/>
          <w:sz w:val="24"/>
          <w:szCs w:val="24"/>
        </w:rPr>
        <w:t>：</w:t>
      </w:r>
    </w:p>
    <w:p w14:paraId="05696AE9">
      <w:pPr>
        <w:widowControl/>
        <w:spacing w:after="0"/>
        <w:jc w:val="center"/>
        <w:rPr>
          <w:rFonts w:ascii="Verdana" w:hAnsi="Verdana" w:eastAsia="华文细黑" w:cs="Times New Roman"/>
          <w:b/>
          <w:kern w:val="0"/>
          <w:sz w:val="24"/>
          <w:szCs w:val="24"/>
        </w:rPr>
      </w:pPr>
      <w:r>
        <w:rPr>
          <w:rFonts w:hint="eastAsia" w:ascii="Verdana" w:hAnsi="Verdana" w:eastAsia="华文细黑" w:cs="Times New Roman"/>
          <w:b/>
          <w:kern w:val="0"/>
          <w:sz w:val="24"/>
          <w:szCs w:val="24"/>
        </w:rPr>
        <w:t>表5</w:t>
      </w:r>
      <w:r>
        <w:rPr>
          <w:rFonts w:hint="eastAsia" w:ascii="Verdana" w:hAnsi="Verdana" w:eastAsia="华文细黑" w:cs="Times New Roman"/>
          <w:b/>
          <w:kern w:val="0"/>
          <w:sz w:val="24"/>
          <w:szCs w:val="24"/>
          <w:lang w:eastAsia="zh-CN"/>
        </w:rPr>
        <w:t>海口江东新区CBD南片区幼儿园及配套基础设施项目</w:t>
      </w:r>
      <w:r>
        <w:rPr>
          <w:rFonts w:hint="eastAsia" w:ascii="Verdana" w:hAnsi="Verdana" w:eastAsia="华文细黑" w:cs="Times New Roman"/>
          <w:b/>
          <w:kern w:val="0"/>
          <w:sz w:val="24"/>
          <w:szCs w:val="24"/>
        </w:rPr>
        <w:t>投资计划及资金筹措表</w:t>
      </w:r>
    </w:p>
    <w:p w14:paraId="72CB929B">
      <w:pPr>
        <w:widowControl/>
        <w:spacing w:after="0" w:line="240" w:lineRule="auto"/>
        <w:ind w:right="105"/>
        <w:jc w:val="right"/>
        <w:rPr>
          <w:rFonts w:ascii="Verdana" w:hAnsi="Verdana" w:eastAsia="华文细黑" w:cs="Times New Roman"/>
          <w:color w:val="000000"/>
          <w:kern w:val="0"/>
          <w:sz w:val="20"/>
          <w:szCs w:val="20"/>
        </w:rPr>
      </w:pPr>
      <w:r>
        <w:rPr>
          <w:rFonts w:ascii="Verdana" w:hAnsi="Verdana" w:eastAsia="华文细黑" w:cs="Times New Roman"/>
          <w:color w:val="000000"/>
          <w:kern w:val="0"/>
          <w:sz w:val="20"/>
          <w:szCs w:val="20"/>
        </w:rPr>
        <w:t>单位：人民币万元</w:t>
      </w:r>
    </w:p>
    <w:tbl>
      <w:tblPr>
        <w:tblStyle w:val="15"/>
        <w:tblW w:w="9324" w:type="dxa"/>
        <w:jc w:val="center"/>
        <w:tblLayout w:type="fixed"/>
        <w:tblCellMar>
          <w:top w:w="0" w:type="dxa"/>
          <w:left w:w="108" w:type="dxa"/>
          <w:bottom w:w="0" w:type="dxa"/>
          <w:right w:w="108" w:type="dxa"/>
        </w:tblCellMar>
      </w:tblPr>
      <w:tblGrid>
        <w:gridCol w:w="2436"/>
        <w:gridCol w:w="1760"/>
        <w:gridCol w:w="1536"/>
        <w:gridCol w:w="1796"/>
        <w:gridCol w:w="1796"/>
      </w:tblGrid>
      <w:tr w14:paraId="35357AA7">
        <w:tblPrEx>
          <w:tblCellMar>
            <w:top w:w="0" w:type="dxa"/>
            <w:left w:w="108" w:type="dxa"/>
            <w:bottom w:w="0" w:type="dxa"/>
            <w:right w:w="108" w:type="dxa"/>
          </w:tblCellMar>
        </w:tblPrEx>
        <w:trPr>
          <w:trHeight w:val="306" w:hRule="atLeast"/>
          <w:tblHeader/>
          <w:jc w:val="center"/>
        </w:trPr>
        <w:tc>
          <w:tcPr>
            <w:tcW w:w="2436"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76FBA16A">
            <w:pPr>
              <w:widowControl/>
              <w:spacing w:after="0" w:line="240" w:lineRule="auto"/>
              <w:jc w:val="center"/>
              <w:rPr>
                <w:rFonts w:hint="eastAsia" w:ascii="Verdana" w:hAnsi="Verdana" w:cs="Arial"/>
                <w:b/>
                <w:bCs/>
                <w:color w:val="FFFFFF"/>
                <w:kern w:val="0"/>
                <w:sz w:val="20"/>
                <w:szCs w:val="20"/>
              </w:rPr>
            </w:pPr>
            <w:r>
              <w:rPr>
                <w:rFonts w:hint="eastAsia" w:ascii="Verdana" w:hAnsi="Verdana" w:cs="Arial"/>
                <w:b/>
                <w:bCs/>
                <w:color w:val="FFFFFF"/>
                <w:kern w:val="0"/>
                <w:sz w:val="20"/>
                <w:szCs w:val="20"/>
              </w:rPr>
              <w:t>建设期资金平衡表</w:t>
            </w:r>
          </w:p>
        </w:tc>
        <w:tc>
          <w:tcPr>
            <w:tcW w:w="1760" w:type="dxa"/>
            <w:tcBorders>
              <w:top w:val="single" w:color="auto" w:sz="8" w:space="0"/>
              <w:left w:val="nil"/>
              <w:bottom w:val="single" w:color="auto" w:sz="8" w:space="0"/>
              <w:right w:val="single" w:color="auto" w:sz="8" w:space="0"/>
            </w:tcBorders>
            <w:shd w:val="clear" w:color="000000" w:fill="0070C0"/>
            <w:vAlign w:val="center"/>
          </w:tcPr>
          <w:p w14:paraId="4936586E">
            <w:pPr>
              <w:widowControl/>
              <w:spacing w:after="0" w:line="240" w:lineRule="auto"/>
              <w:jc w:val="center"/>
              <w:rPr>
                <w:rFonts w:hint="eastAsia" w:ascii="Verdana" w:hAnsi="Verdana" w:cs="Arial"/>
                <w:b/>
                <w:bCs/>
                <w:color w:val="FFFFFF"/>
                <w:kern w:val="0"/>
                <w:sz w:val="20"/>
                <w:szCs w:val="20"/>
                <w:lang w:val="en-US" w:eastAsia="zh-CN"/>
              </w:rPr>
            </w:pPr>
            <w:r>
              <w:rPr>
                <w:rFonts w:ascii="Verdana" w:hAnsi="Verdana" w:cs="Arial"/>
                <w:b/>
                <w:bCs/>
                <w:color w:val="FFFFFF"/>
                <w:kern w:val="0"/>
                <w:sz w:val="20"/>
                <w:szCs w:val="20"/>
              </w:rPr>
              <w:t>202</w:t>
            </w:r>
            <w:r>
              <w:rPr>
                <w:rFonts w:hint="eastAsia" w:ascii="Verdana" w:hAnsi="Verdana" w:cs="Arial"/>
                <w:b/>
                <w:bCs/>
                <w:color w:val="FFFFFF"/>
                <w:kern w:val="0"/>
                <w:sz w:val="20"/>
                <w:szCs w:val="20"/>
                <w:lang w:val="en-US" w:eastAsia="zh-CN"/>
              </w:rPr>
              <w:t>5</w:t>
            </w:r>
          </w:p>
        </w:tc>
        <w:tc>
          <w:tcPr>
            <w:tcW w:w="1536"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588E5C4B">
            <w:pPr>
              <w:widowControl/>
              <w:spacing w:after="0" w:line="240" w:lineRule="auto"/>
              <w:jc w:val="center"/>
              <w:rPr>
                <w:rFonts w:hint="eastAsia" w:ascii="Verdana" w:hAnsi="Verdana" w:cs="Arial"/>
                <w:b/>
                <w:bCs/>
                <w:color w:val="FFFFFF"/>
                <w:kern w:val="0"/>
                <w:sz w:val="20"/>
                <w:szCs w:val="20"/>
                <w:lang w:val="en-US" w:eastAsia="zh-CN"/>
              </w:rPr>
            </w:pPr>
            <w:r>
              <w:rPr>
                <w:rFonts w:hint="eastAsia" w:ascii="Verdana" w:hAnsi="Verdana" w:cs="Arial"/>
                <w:b/>
                <w:bCs/>
                <w:color w:val="FFFFFF"/>
                <w:kern w:val="0"/>
                <w:sz w:val="20"/>
                <w:szCs w:val="20"/>
                <w:lang w:val="en-US" w:eastAsia="zh-CN"/>
              </w:rPr>
              <w:t>2026</w:t>
            </w:r>
          </w:p>
        </w:tc>
        <w:tc>
          <w:tcPr>
            <w:tcW w:w="1796" w:type="dxa"/>
            <w:tcBorders>
              <w:top w:val="single" w:color="auto" w:sz="8" w:space="0"/>
              <w:left w:val="nil"/>
              <w:bottom w:val="single" w:color="auto" w:sz="8" w:space="0"/>
              <w:right w:val="single" w:color="auto" w:sz="8" w:space="0"/>
            </w:tcBorders>
            <w:shd w:val="clear" w:color="000000" w:fill="0070C0"/>
            <w:noWrap/>
            <w:vAlign w:val="center"/>
          </w:tcPr>
          <w:p w14:paraId="7C38DD71">
            <w:pPr>
              <w:widowControl/>
              <w:spacing w:after="0" w:line="240" w:lineRule="auto"/>
              <w:jc w:val="center"/>
              <w:rPr>
                <w:rFonts w:hint="default" w:ascii="Verdana" w:hAnsi="Verdana" w:cs="Arial"/>
                <w:b/>
                <w:bCs/>
                <w:color w:val="FFFFFF"/>
                <w:kern w:val="0"/>
                <w:sz w:val="20"/>
                <w:szCs w:val="20"/>
                <w:lang w:val="en-US" w:eastAsia="zh-CN"/>
              </w:rPr>
            </w:pPr>
            <w:r>
              <w:rPr>
                <w:rFonts w:hint="eastAsia" w:ascii="Verdana" w:hAnsi="Verdana" w:cs="Arial"/>
                <w:b/>
                <w:bCs/>
                <w:color w:val="FFFFFF"/>
                <w:kern w:val="0"/>
                <w:sz w:val="20"/>
                <w:szCs w:val="20"/>
                <w:lang w:val="en-US" w:eastAsia="zh-CN"/>
              </w:rPr>
              <w:t>2027</w:t>
            </w:r>
          </w:p>
        </w:tc>
        <w:tc>
          <w:tcPr>
            <w:tcW w:w="1796" w:type="dxa"/>
            <w:tcBorders>
              <w:top w:val="single" w:color="auto" w:sz="8" w:space="0"/>
              <w:left w:val="nil"/>
              <w:bottom w:val="single" w:color="auto" w:sz="8" w:space="0"/>
              <w:right w:val="single" w:color="auto" w:sz="8" w:space="0"/>
            </w:tcBorders>
            <w:shd w:val="clear" w:color="000000" w:fill="0070C0"/>
            <w:noWrap/>
            <w:vAlign w:val="center"/>
          </w:tcPr>
          <w:p w14:paraId="6DC60695">
            <w:pPr>
              <w:widowControl/>
              <w:spacing w:after="0" w:line="240" w:lineRule="auto"/>
              <w:jc w:val="center"/>
              <w:rPr>
                <w:rFonts w:hint="eastAsia" w:ascii="Verdana" w:hAnsi="Verdana" w:cs="Arial"/>
                <w:b/>
                <w:bCs/>
                <w:color w:val="FFFFFF"/>
                <w:kern w:val="0"/>
                <w:sz w:val="20"/>
                <w:szCs w:val="20"/>
              </w:rPr>
            </w:pPr>
            <w:r>
              <w:rPr>
                <w:rFonts w:hint="eastAsia" w:ascii="Verdana" w:hAnsi="Verdana" w:cs="Arial"/>
                <w:b/>
                <w:bCs/>
                <w:color w:val="FFFFFF"/>
                <w:kern w:val="0"/>
                <w:sz w:val="20"/>
                <w:szCs w:val="20"/>
              </w:rPr>
              <w:t>合计</w:t>
            </w:r>
          </w:p>
        </w:tc>
      </w:tr>
      <w:tr w14:paraId="67F9580B">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single" w:color="auto" w:sz="8" w:space="0"/>
              <w:right w:val="single" w:color="auto" w:sz="8" w:space="0"/>
            </w:tcBorders>
            <w:shd w:val="clear" w:color="000000" w:fill="D3DFEE"/>
            <w:noWrap/>
            <w:vAlign w:val="center"/>
          </w:tcPr>
          <w:p w14:paraId="16F1C5BD">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资金筹措</w:t>
            </w:r>
          </w:p>
        </w:tc>
        <w:tc>
          <w:tcPr>
            <w:tcW w:w="1760" w:type="dxa"/>
            <w:tcBorders>
              <w:top w:val="single" w:color="auto" w:sz="8" w:space="0"/>
              <w:left w:val="nil"/>
              <w:bottom w:val="single" w:color="auto" w:sz="8" w:space="0"/>
              <w:right w:val="single" w:color="auto" w:sz="8" w:space="0"/>
            </w:tcBorders>
            <w:shd w:val="clear" w:color="000000" w:fill="D3DFEE"/>
          </w:tcPr>
          <w:p w14:paraId="73BDBC9B">
            <w:pPr>
              <w:widowControl/>
              <w:spacing w:after="0" w:line="240" w:lineRule="auto"/>
              <w:jc w:val="right"/>
              <w:rPr>
                <w:rFonts w:ascii="Verdana" w:hAnsi="Verdana" w:cs="Arial"/>
                <w:b/>
                <w:bCs/>
                <w:color w:val="000000"/>
                <w:kern w:val="0"/>
                <w:sz w:val="20"/>
                <w:szCs w:val="20"/>
              </w:rPr>
            </w:pPr>
          </w:p>
        </w:tc>
        <w:tc>
          <w:tcPr>
            <w:tcW w:w="1536" w:type="dxa"/>
            <w:tcBorders>
              <w:top w:val="nil"/>
              <w:left w:val="single" w:color="auto" w:sz="8" w:space="0"/>
              <w:bottom w:val="single" w:color="auto" w:sz="8" w:space="0"/>
              <w:right w:val="single" w:color="auto" w:sz="8" w:space="0"/>
            </w:tcBorders>
            <w:shd w:val="clear" w:color="000000" w:fill="D3DFEE"/>
            <w:noWrap/>
            <w:vAlign w:val="center"/>
          </w:tcPr>
          <w:p w14:paraId="1358DB9C">
            <w:pPr>
              <w:widowControl/>
              <w:spacing w:after="0" w:line="240" w:lineRule="auto"/>
              <w:jc w:val="right"/>
              <w:rPr>
                <w:rFonts w:ascii="Verdana" w:hAnsi="Verdana" w:cs="Arial"/>
                <w:b/>
                <w:bCs/>
                <w:color w:val="000000"/>
                <w:kern w:val="0"/>
                <w:sz w:val="20"/>
                <w:szCs w:val="20"/>
              </w:rPr>
            </w:pPr>
            <w:r>
              <w:rPr>
                <w:rFonts w:ascii="Verdana" w:hAnsi="Verdana" w:cs="Arial"/>
                <w:b/>
                <w:bCs/>
                <w:color w:val="000000"/>
                <w:kern w:val="0"/>
                <w:sz w:val="20"/>
                <w:szCs w:val="20"/>
              </w:rPr>
              <w:t>　</w:t>
            </w:r>
          </w:p>
        </w:tc>
        <w:tc>
          <w:tcPr>
            <w:tcW w:w="1796" w:type="dxa"/>
            <w:tcBorders>
              <w:top w:val="nil"/>
              <w:left w:val="nil"/>
              <w:bottom w:val="single" w:color="auto" w:sz="8" w:space="0"/>
              <w:right w:val="single" w:color="auto" w:sz="8" w:space="0"/>
            </w:tcBorders>
            <w:shd w:val="clear" w:color="000000" w:fill="D3DFEE"/>
            <w:noWrap/>
            <w:vAlign w:val="center"/>
          </w:tcPr>
          <w:p w14:paraId="1A7F4BCE">
            <w:pPr>
              <w:widowControl/>
              <w:spacing w:after="0" w:line="240" w:lineRule="auto"/>
              <w:jc w:val="right"/>
              <w:rPr>
                <w:rFonts w:ascii="Verdana" w:hAnsi="Verdana" w:cs="Arial"/>
                <w:b/>
                <w:bCs/>
                <w:color w:val="000000"/>
                <w:kern w:val="0"/>
                <w:sz w:val="20"/>
                <w:szCs w:val="20"/>
              </w:rPr>
            </w:pPr>
          </w:p>
        </w:tc>
        <w:tc>
          <w:tcPr>
            <w:tcW w:w="1796" w:type="dxa"/>
            <w:tcBorders>
              <w:top w:val="nil"/>
              <w:left w:val="nil"/>
              <w:bottom w:val="single" w:color="auto" w:sz="8" w:space="0"/>
              <w:right w:val="single" w:color="auto" w:sz="8" w:space="0"/>
            </w:tcBorders>
            <w:shd w:val="clear" w:color="000000" w:fill="D3DFEE"/>
            <w:noWrap/>
            <w:vAlign w:val="center"/>
          </w:tcPr>
          <w:p w14:paraId="668DE3F7">
            <w:pPr>
              <w:widowControl/>
              <w:spacing w:after="0" w:line="240" w:lineRule="auto"/>
              <w:jc w:val="right"/>
              <w:rPr>
                <w:rFonts w:ascii="Verdana" w:hAnsi="Verdana" w:cs="Arial"/>
                <w:b/>
                <w:bCs/>
                <w:color w:val="000000"/>
                <w:kern w:val="0"/>
                <w:sz w:val="20"/>
                <w:szCs w:val="20"/>
              </w:rPr>
            </w:pPr>
            <w:r>
              <w:rPr>
                <w:rFonts w:ascii="Verdana" w:hAnsi="Verdana" w:cs="Arial"/>
                <w:b/>
                <w:bCs/>
                <w:color w:val="000000"/>
                <w:kern w:val="0"/>
                <w:sz w:val="20"/>
                <w:szCs w:val="20"/>
              </w:rPr>
              <w:t>　</w:t>
            </w:r>
          </w:p>
        </w:tc>
      </w:tr>
      <w:tr w14:paraId="2D3ED2F7">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single" w:color="auto" w:sz="8" w:space="0"/>
              <w:right w:val="single" w:color="auto" w:sz="8" w:space="0"/>
            </w:tcBorders>
            <w:shd w:val="clear" w:color="auto" w:fill="auto"/>
            <w:noWrap/>
            <w:vAlign w:val="center"/>
          </w:tcPr>
          <w:p w14:paraId="308D6F53">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自筹资金</w:t>
            </w:r>
          </w:p>
        </w:tc>
        <w:tc>
          <w:tcPr>
            <w:tcW w:w="1760" w:type="dxa"/>
            <w:tcBorders>
              <w:top w:val="single" w:color="auto" w:sz="8" w:space="0"/>
              <w:left w:val="nil"/>
              <w:bottom w:val="single" w:color="auto" w:sz="8" w:space="0"/>
              <w:right w:val="single" w:color="auto" w:sz="8" w:space="0"/>
            </w:tcBorders>
            <w:vAlign w:val="center"/>
          </w:tcPr>
          <w:p w14:paraId="5834CAA3">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500.00 </w:t>
            </w:r>
          </w:p>
        </w:tc>
        <w:tc>
          <w:tcPr>
            <w:tcW w:w="1536" w:type="dxa"/>
            <w:tcBorders>
              <w:top w:val="nil"/>
              <w:left w:val="single" w:color="auto" w:sz="8" w:space="0"/>
              <w:bottom w:val="single" w:color="auto" w:sz="8" w:space="0"/>
              <w:right w:val="single" w:color="auto" w:sz="8" w:space="0"/>
            </w:tcBorders>
            <w:shd w:val="clear" w:color="auto" w:fill="auto"/>
            <w:noWrap/>
            <w:vAlign w:val="center"/>
          </w:tcPr>
          <w:p w14:paraId="5A3DE3B3">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15,017.09 </w:t>
            </w:r>
          </w:p>
        </w:tc>
        <w:tc>
          <w:tcPr>
            <w:tcW w:w="1796" w:type="dxa"/>
            <w:tcBorders>
              <w:top w:val="nil"/>
              <w:left w:val="nil"/>
              <w:bottom w:val="single" w:color="auto" w:sz="8" w:space="0"/>
              <w:right w:val="single" w:color="auto" w:sz="8" w:space="0"/>
            </w:tcBorders>
            <w:shd w:val="clear" w:color="auto" w:fill="auto"/>
            <w:noWrap/>
            <w:vAlign w:val="center"/>
          </w:tcPr>
          <w:p w14:paraId="76E93EE3">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21,354.88 </w:t>
            </w:r>
          </w:p>
        </w:tc>
        <w:tc>
          <w:tcPr>
            <w:tcW w:w="1796" w:type="dxa"/>
            <w:tcBorders>
              <w:top w:val="nil"/>
              <w:left w:val="nil"/>
              <w:bottom w:val="single" w:color="auto" w:sz="8" w:space="0"/>
              <w:right w:val="single" w:color="auto" w:sz="8" w:space="0"/>
            </w:tcBorders>
            <w:shd w:val="clear" w:color="auto" w:fill="auto"/>
            <w:noWrap/>
            <w:vAlign w:val="center"/>
          </w:tcPr>
          <w:p w14:paraId="05647EEC">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36,871.97 </w:t>
            </w:r>
          </w:p>
        </w:tc>
      </w:tr>
      <w:tr w14:paraId="7CDA6AC0">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single" w:color="auto" w:sz="8" w:space="0"/>
              <w:right w:val="single" w:color="auto" w:sz="8" w:space="0"/>
            </w:tcBorders>
            <w:shd w:val="clear" w:color="auto" w:fill="auto"/>
            <w:noWrap/>
            <w:vAlign w:val="center"/>
          </w:tcPr>
          <w:p w14:paraId="3FB93371">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w:t>
            </w:r>
          </w:p>
        </w:tc>
        <w:tc>
          <w:tcPr>
            <w:tcW w:w="1760" w:type="dxa"/>
            <w:tcBorders>
              <w:top w:val="single" w:color="auto" w:sz="8" w:space="0"/>
              <w:left w:val="nil"/>
              <w:bottom w:val="single" w:color="auto" w:sz="8" w:space="0"/>
              <w:right w:val="single" w:color="auto" w:sz="8" w:space="0"/>
            </w:tcBorders>
            <w:vAlign w:val="center"/>
          </w:tcPr>
          <w:p w14:paraId="2FA5E7DC">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500.00 </w:t>
            </w:r>
          </w:p>
        </w:tc>
        <w:tc>
          <w:tcPr>
            <w:tcW w:w="1536" w:type="dxa"/>
            <w:tcBorders>
              <w:top w:val="nil"/>
              <w:left w:val="single" w:color="auto" w:sz="8" w:space="0"/>
              <w:bottom w:val="single" w:color="auto" w:sz="8" w:space="0"/>
              <w:right w:val="single" w:color="auto" w:sz="8" w:space="0"/>
            </w:tcBorders>
            <w:shd w:val="clear" w:color="auto" w:fill="auto"/>
            <w:noWrap/>
            <w:vAlign w:val="center"/>
          </w:tcPr>
          <w:p w14:paraId="0195D501">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7,000.00 </w:t>
            </w:r>
          </w:p>
        </w:tc>
        <w:tc>
          <w:tcPr>
            <w:tcW w:w="1796" w:type="dxa"/>
            <w:tcBorders>
              <w:top w:val="nil"/>
              <w:left w:val="nil"/>
              <w:bottom w:val="single" w:color="auto" w:sz="8" w:space="0"/>
              <w:right w:val="single" w:color="auto" w:sz="8" w:space="0"/>
            </w:tcBorders>
            <w:shd w:val="clear" w:color="auto" w:fill="auto"/>
            <w:noWrap/>
            <w:vAlign w:val="center"/>
          </w:tcPr>
          <w:p w14:paraId="7E3AD9DF">
            <w:pPr>
              <w:widowControl/>
              <w:spacing w:after="0" w:line="240" w:lineRule="auto"/>
              <w:jc w:val="right"/>
              <w:rPr>
                <w:rFonts w:hint="default" w:ascii="Verdana" w:hAnsi="Verdana" w:eastAsia="宋体" w:cs="Arial"/>
                <w:b w:val="0"/>
                <w:bCs w:val="0"/>
                <w:color w:val="000000"/>
                <w:kern w:val="0"/>
                <w:sz w:val="20"/>
                <w:szCs w:val="20"/>
                <w:lang w:val="en-US" w:eastAsia="zh-CN"/>
              </w:rPr>
            </w:pPr>
            <w:r>
              <w:rPr>
                <w:rFonts w:hint="default" w:ascii="Verdana" w:hAnsi="Verdana" w:eastAsia="宋体" w:cs="Arial"/>
                <w:b w:val="0"/>
                <w:bCs w:val="0"/>
                <w:color w:val="000000"/>
                <w:kern w:val="0"/>
                <w:sz w:val="20"/>
                <w:szCs w:val="20"/>
                <w:lang w:val="en-US" w:eastAsia="zh-CN"/>
              </w:rPr>
              <w:t xml:space="preserve">0.00 </w:t>
            </w:r>
          </w:p>
        </w:tc>
        <w:tc>
          <w:tcPr>
            <w:tcW w:w="1796" w:type="dxa"/>
            <w:tcBorders>
              <w:top w:val="nil"/>
              <w:left w:val="nil"/>
              <w:bottom w:val="single" w:color="auto" w:sz="8" w:space="0"/>
              <w:right w:val="single" w:color="auto" w:sz="8" w:space="0"/>
            </w:tcBorders>
            <w:shd w:val="clear" w:color="auto" w:fill="auto"/>
            <w:noWrap/>
            <w:vAlign w:val="center"/>
          </w:tcPr>
          <w:p w14:paraId="1BCBB9BF">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7,500.00 </w:t>
            </w:r>
          </w:p>
        </w:tc>
      </w:tr>
      <w:tr w14:paraId="1E842485">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single" w:color="auto" w:sz="8" w:space="0"/>
              <w:right w:val="single" w:color="auto" w:sz="8" w:space="0"/>
            </w:tcBorders>
            <w:shd w:val="clear" w:color="auto" w:fill="auto"/>
            <w:noWrap/>
            <w:vAlign w:val="center"/>
          </w:tcPr>
          <w:p w14:paraId="31F610EE">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合计</w:t>
            </w:r>
          </w:p>
        </w:tc>
        <w:tc>
          <w:tcPr>
            <w:tcW w:w="1760" w:type="dxa"/>
            <w:tcBorders>
              <w:top w:val="single" w:color="auto" w:sz="8" w:space="0"/>
              <w:left w:val="nil"/>
              <w:bottom w:val="single" w:color="auto" w:sz="8" w:space="0"/>
              <w:right w:val="single" w:color="auto" w:sz="8" w:space="0"/>
            </w:tcBorders>
            <w:vAlign w:val="center"/>
          </w:tcPr>
          <w:p w14:paraId="619642DC">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1,000.00 </w:t>
            </w:r>
          </w:p>
        </w:tc>
        <w:tc>
          <w:tcPr>
            <w:tcW w:w="1536" w:type="dxa"/>
            <w:tcBorders>
              <w:top w:val="nil"/>
              <w:left w:val="single" w:color="auto" w:sz="8" w:space="0"/>
              <w:bottom w:val="single" w:color="auto" w:sz="8" w:space="0"/>
              <w:right w:val="single" w:color="auto" w:sz="8" w:space="0"/>
            </w:tcBorders>
            <w:shd w:val="clear" w:color="auto" w:fill="auto"/>
            <w:noWrap/>
            <w:vAlign w:val="center"/>
          </w:tcPr>
          <w:p w14:paraId="0188D6C3">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22,017.09 </w:t>
            </w:r>
          </w:p>
        </w:tc>
        <w:tc>
          <w:tcPr>
            <w:tcW w:w="1796" w:type="dxa"/>
            <w:tcBorders>
              <w:top w:val="nil"/>
              <w:left w:val="nil"/>
              <w:bottom w:val="single" w:color="auto" w:sz="8" w:space="0"/>
              <w:right w:val="single" w:color="auto" w:sz="8" w:space="0"/>
            </w:tcBorders>
            <w:shd w:val="clear" w:color="auto" w:fill="auto"/>
            <w:noWrap/>
            <w:vAlign w:val="center"/>
          </w:tcPr>
          <w:p w14:paraId="3A5DEF26">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21,354.88 </w:t>
            </w:r>
          </w:p>
        </w:tc>
        <w:tc>
          <w:tcPr>
            <w:tcW w:w="1796" w:type="dxa"/>
            <w:tcBorders>
              <w:top w:val="nil"/>
              <w:left w:val="nil"/>
              <w:bottom w:val="single" w:color="auto" w:sz="8" w:space="0"/>
              <w:right w:val="single" w:color="auto" w:sz="8" w:space="0"/>
            </w:tcBorders>
            <w:shd w:val="clear" w:color="auto" w:fill="auto"/>
            <w:noWrap/>
            <w:vAlign w:val="center"/>
          </w:tcPr>
          <w:p w14:paraId="7ABFAD36">
            <w:pPr>
              <w:widowControl/>
              <w:spacing w:after="0" w:line="240" w:lineRule="auto"/>
              <w:jc w:val="right"/>
              <w:rPr>
                <w:rFonts w:hint="default" w:ascii="Verdana" w:hAnsi="Verdana" w:eastAsia="宋体" w:cs="Arial"/>
                <w:b/>
                <w:bCs/>
                <w:color w:val="000000"/>
                <w:kern w:val="0"/>
                <w:sz w:val="20"/>
                <w:szCs w:val="20"/>
                <w:lang w:val="en-US" w:eastAsia="zh-CN"/>
              </w:rPr>
            </w:pPr>
            <w:r>
              <w:rPr>
                <w:rFonts w:hint="default" w:ascii="Verdana" w:hAnsi="Verdana" w:eastAsia="宋体" w:cs="Arial"/>
                <w:b/>
                <w:bCs/>
                <w:color w:val="000000"/>
                <w:kern w:val="0"/>
                <w:sz w:val="20"/>
                <w:szCs w:val="20"/>
                <w:lang w:val="en-US" w:eastAsia="zh-CN"/>
              </w:rPr>
              <w:t xml:space="preserve">44,371.97 </w:t>
            </w:r>
          </w:p>
        </w:tc>
      </w:tr>
      <w:tr w14:paraId="7B093643">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single" w:color="auto" w:sz="8" w:space="0"/>
              <w:right w:val="single" w:color="auto" w:sz="8" w:space="0"/>
            </w:tcBorders>
            <w:shd w:val="clear" w:color="000000" w:fill="D3DFEE"/>
            <w:noWrap/>
            <w:vAlign w:val="center"/>
          </w:tcPr>
          <w:p w14:paraId="5EB6864E">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资金使用</w:t>
            </w:r>
          </w:p>
        </w:tc>
        <w:tc>
          <w:tcPr>
            <w:tcW w:w="1760" w:type="dxa"/>
            <w:tcBorders>
              <w:top w:val="single" w:color="auto" w:sz="8" w:space="0"/>
              <w:left w:val="nil"/>
              <w:bottom w:val="single" w:color="auto" w:sz="8" w:space="0"/>
              <w:right w:val="single" w:color="auto" w:sz="8" w:space="0"/>
            </w:tcBorders>
            <w:shd w:val="clear" w:color="000000" w:fill="D3DFEE"/>
            <w:vAlign w:val="center"/>
          </w:tcPr>
          <w:p w14:paraId="748772F2">
            <w:pPr>
              <w:keepNext w:val="0"/>
              <w:keepLines w:val="0"/>
              <w:widowControl/>
              <w:suppressLineNumbers w:val="0"/>
              <w:jc w:val="right"/>
              <w:textAlignment w:val="center"/>
              <w:rPr>
                <w:rFonts w:hint="default" w:ascii="Verdana" w:hAnsi="Verdana" w:eastAsia="宋体" w:cs="Verdana"/>
                <w:i w:val="0"/>
                <w:iCs w:val="0"/>
                <w:color w:val="000000"/>
                <w:kern w:val="0"/>
                <w:sz w:val="20"/>
                <w:szCs w:val="20"/>
                <w:u w:val="none"/>
                <w:lang w:val="en-US" w:eastAsia="zh-CN" w:bidi="ar"/>
              </w:rPr>
            </w:pPr>
          </w:p>
        </w:tc>
        <w:tc>
          <w:tcPr>
            <w:tcW w:w="1536" w:type="dxa"/>
            <w:tcBorders>
              <w:top w:val="nil"/>
              <w:left w:val="single" w:color="auto" w:sz="8" w:space="0"/>
              <w:bottom w:val="single" w:color="auto" w:sz="8" w:space="0"/>
              <w:right w:val="single" w:color="auto" w:sz="8" w:space="0"/>
            </w:tcBorders>
            <w:shd w:val="clear" w:color="000000" w:fill="D3DFEE"/>
            <w:noWrap/>
            <w:vAlign w:val="center"/>
          </w:tcPr>
          <w:p w14:paraId="0D3448B5">
            <w:pPr>
              <w:keepNext w:val="0"/>
              <w:keepLines w:val="0"/>
              <w:widowControl/>
              <w:suppressLineNumbers w:val="0"/>
              <w:jc w:val="right"/>
              <w:textAlignment w:val="center"/>
              <w:rPr>
                <w:rFonts w:hint="default" w:ascii="Verdana" w:hAnsi="Verdana" w:eastAsia="宋体" w:cs="Verdana"/>
                <w:i w:val="0"/>
                <w:iCs w:val="0"/>
                <w:color w:val="000000"/>
                <w:kern w:val="0"/>
                <w:sz w:val="20"/>
                <w:szCs w:val="20"/>
                <w:u w:val="none"/>
                <w:lang w:val="en-US" w:eastAsia="zh-CN" w:bidi="ar"/>
              </w:rPr>
            </w:pPr>
          </w:p>
        </w:tc>
        <w:tc>
          <w:tcPr>
            <w:tcW w:w="1796" w:type="dxa"/>
            <w:tcBorders>
              <w:top w:val="nil"/>
              <w:left w:val="nil"/>
              <w:bottom w:val="single" w:color="auto" w:sz="8" w:space="0"/>
              <w:right w:val="single" w:color="auto" w:sz="8" w:space="0"/>
            </w:tcBorders>
            <w:shd w:val="clear" w:color="000000" w:fill="D3DFEE"/>
            <w:noWrap/>
            <w:vAlign w:val="center"/>
          </w:tcPr>
          <w:p w14:paraId="3A0B6836">
            <w:pPr>
              <w:keepNext w:val="0"/>
              <w:keepLines w:val="0"/>
              <w:widowControl/>
              <w:suppressLineNumbers w:val="0"/>
              <w:jc w:val="right"/>
              <w:textAlignment w:val="center"/>
              <w:rPr>
                <w:rFonts w:hint="default" w:ascii="Verdana" w:hAnsi="Verdana" w:eastAsia="宋体" w:cs="Verdana"/>
                <w:i w:val="0"/>
                <w:iCs w:val="0"/>
                <w:color w:val="000000"/>
                <w:kern w:val="0"/>
                <w:sz w:val="20"/>
                <w:szCs w:val="20"/>
                <w:u w:val="none"/>
                <w:lang w:val="en-US" w:eastAsia="zh-CN" w:bidi="ar"/>
              </w:rPr>
            </w:pPr>
          </w:p>
        </w:tc>
        <w:tc>
          <w:tcPr>
            <w:tcW w:w="1796" w:type="dxa"/>
            <w:tcBorders>
              <w:top w:val="nil"/>
              <w:left w:val="nil"/>
              <w:bottom w:val="single" w:color="auto" w:sz="8" w:space="0"/>
              <w:right w:val="single" w:color="auto" w:sz="8" w:space="0"/>
            </w:tcBorders>
            <w:shd w:val="clear" w:color="000000" w:fill="D3DFEE"/>
            <w:noWrap/>
            <w:vAlign w:val="center"/>
          </w:tcPr>
          <w:p w14:paraId="4B1CA2D5">
            <w:pPr>
              <w:keepNext w:val="0"/>
              <w:keepLines w:val="0"/>
              <w:widowControl/>
              <w:suppressLineNumbers w:val="0"/>
              <w:jc w:val="right"/>
              <w:textAlignment w:val="center"/>
              <w:rPr>
                <w:rFonts w:hint="default" w:ascii="Verdana" w:hAnsi="Verdana" w:eastAsia="宋体" w:cs="Verdana"/>
                <w:b/>
                <w:bCs/>
                <w:i w:val="0"/>
                <w:iCs w:val="0"/>
                <w:color w:val="000000"/>
                <w:kern w:val="0"/>
                <w:sz w:val="20"/>
                <w:szCs w:val="20"/>
                <w:u w:val="none"/>
                <w:lang w:val="en-US" w:eastAsia="zh-CN" w:bidi="ar"/>
              </w:rPr>
            </w:pPr>
          </w:p>
        </w:tc>
      </w:tr>
      <w:tr w14:paraId="73430A04">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single" w:color="auto" w:sz="8" w:space="0"/>
              <w:right w:val="single" w:color="auto" w:sz="8" w:space="0"/>
            </w:tcBorders>
            <w:shd w:val="clear" w:color="auto" w:fill="auto"/>
            <w:noWrap/>
            <w:vAlign w:val="center"/>
          </w:tcPr>
          <w:p w14:paraId="78B2EC57">
            <w:pPr>
              <w:widowControl/>
              <w:spacing w:after="0" w:line="240" w:lineRule="auto"/>
              <w:jc w:val="left"/>
              <w:rPr>
                <w:rFonts w:hint="eastAsia" w:ascii="华文细黑" w:hAnsi="华文细黑" w:eastAsia="华文细黑" w:cs="Arial"/>
                <w:b/>
                <w:bCs/>
                <w:kern w:val="0"/>
                <w:sz w:val="20"/>
                <w:szCs w:val="20"/>
              </w:rPr>
            </w:pPr>
            <w:r>
              <w:rPr>
                <w:rFonts w:hint="eastAsia" w:ascii="华文细黑" w:hAnsi="华文细黑" w:eastAsia="华文细黑" w:cs="Arial"/>
                <w:b/>
                <w:bCs/>
                <w:kern w:val="0"/>
                <w:sz w:val="20"/>
                <w:szCs w:val="20"/>
              </w:rPr>
              <w:t>建设资金使用金额合计</w:t>
            </w:r>
          </w:p>
        </w:tc>
        <w:tc>
          <w:tcPr>
            <w:tcW w:w="1760" w:type="dxa"/>
            <w:tcBorders>
              <w:top w:val="single" w:color="auto" w:sz="8" w:space="0"/>
              <w:left w:val="nil"/>
              <w:bottom w:val="single" w:color="auto" w:sz="8" w:space="0"/>
              <w:right w:val="single" w:color="auto" w:sz="8" w:space="0"/>
            </w:tcBorders>
            <w:vAlign w:val="center"/>
          </w:tcPr>
          <w:p w14:paraId="3B240595">
            <w:pPr>
              <w:widowControl/>
              <w:spacing w:after="0" w:line="240" w:lineRule="auto"/>
              <w:jc w:val="right"/>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Arial"/>
                <w:b/>
                <w:bCs/>
                <w:color w:val="000000"/>
                <w:kern w:val="0"/>
                <w:sz w:val="20"/>
                <w:szCs w:val="20"/>
                <w:lang w:val="en-US" w:eastAsia="zh-CN"/>
              </w:rPr>
              <w:t xml:space="preserve">1,000.00 </w:t>
            </w:r>
          </w:p>
        </w:tc>
        <w:tc>
          <w:tcPr>
            <w:tcW w:w="1536" w:type="dxa"/>
            <w:tcBorders>
              <w:top w:val="nil"/>
              <w:left w:val="single" w:color="auto" w:sz="8" w:space="0"/>
              <w:bottom w:val="single" w:color="auto" w:sz="8" w:space="0"/>
              <w:right w:val="single" w:color="auto" w:sz="8" w:space="0"/>
            </w:tcBorders>
            <w:shd w:val="clear" w:color="auto" w:fill="auto"/>
            <w:noWrap/>
            <w:vAlign w:val="center"/>
          </w:tcPr>
          <w:p w14:paraId="682E425E">
            <w:pPr>
              <w:widowControl/>
              <w:spacing w:after="0" w:line="240" w:lineRule="auto"/>
              <w:jc w:val="right"/>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Arial"/>
                <w:b/>
                <w:bCs/>
                <w:color w:val="000000"/>
                <w:kern w:val="0"/>
                <w:sz w:val="20"/>
                <w:szCs w:val="20"/>
                <w:lang w:val="en-US" w:eastAsia="zh-CN"/>
              </w:rPr>
              <w:t xml:space="preserve">22,017.09 </w:t>
            </w:r>
          </w:p>
        </w:tc>
        <w:tc>
          <w:tcPr>
            <w:tcW w:w="1796" w:type="dxa"/>
            <w:tcBorders>
              <w:top w:val="nil"/>
              <w:left w:val="nil"/>
              <w:bottom w:val="single" w:color="auto" w:sz="8" w:space="0"/>
              <w:right w:val="single" w:color="auto" w:sz="8" w:space="0"/>
            </w:tcBorders>
            <w:shd w:val="clear" w:color="auto" w:fill="auto"/>
            <w:noWrap/>
            <w:vAlign w:val="center"/>
          </w:tcPr>
          <w:p w14:paraId="3CC93726">
            <w:pPr>
              <w:widowControl/>
              <w:spacing w:after="0" w:line="240" w:lineRule="auto"/>
              <w:jc w:val="right"/>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Arial"/>
                <w:b/>
                <w:bCs/>
                <w:color w:val="000000"/>
                <w:kern w:val="0"/>
                <w:sz w:val="20"/>
                <w:szCs w:val="20"/>
                <w:lang w:val="en-US" w:eastAsia="zh-CN"/>
              </w:rPr>
              <w:t xml:space="preserve">21,354.88 </w:t>
            </w:r>
          </w:p>
        </w:tc>
        <w:tc>
          <w:tcPr>
            <w:tcW w:w="1796" w:type="dxa"/>
            <w:tcBorders>
              <w:top w:val="nil"/>
              <w:left w:val="nil"/>
              <w:bottom w:val="single" w:color="auto" w:sz="8" w:space="0"/>
              <w:right w:val="single" w:color="auto" w:sz="8" w:space="0"/>
            </w:tcBorders>
            <w:shd w:val="clear" w:color="auto" w:fill="auto"/>
            <w:noWrap/>
            <w:vAlign w:val="center"/>
          </w:tcPr>
          <w:p w14:paraId="5BC5B55B">
            <w:pPr>
              <w:widowControl/>
              <w:spacing w:after="0" w:line="240" w:lineRule="auto"/>
              <w:jc w:val="right"/>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Arial"/>
                <w:b/>
                <w:bCs/>
                <w:color w:val="000000"/>
                <w:kern w:val="0"/>
                <w:sz w:val="20"/>
                <w:szCs w:val="20"/>
                <w:lang w:val="en-US" w:eastAsia="zh-CN"/>
              </w:rPr>
              <w:t xml:space="preserve">44,371.97 </w:t>
            </w:r>
          </w:p>
        </w:tc>
      </w:tr>
      <w:tr w14:paraId="0E6467BC">
        <w:tblPrEx>
          <w:tblCellMar>
            <w:top w:w="0" w:type="dxa"/>
            <w:left w:w="108" w:type="dxa"/>
            <w:bottom w:w="0" w:type="dxa"/>
            <w:right w:w="108" w:type="dxa"/>
          </w:tblCellMar>
        </w:tblPrEx>
        <w:trPr>
          <w:trHeight w:val="339" w:hRule="atLeast"/>
          <w:jc w:val="center"/>
        </w:trPr>
        <w:tc>
          <w:tcPr>
            <w:tcW w:w="2436" w:type="dxa"/>
            <w:tcBorders>
              <w:top w:val="nil"/>
              <w:left w:val="single" w:color="auto" w:sz="8" w:space="0"/>
              <w:bottom w:val="nil"/>
              <w:right w:val="single" w:color="auto" w:sz="8" w:space="0"/>
            </w:tcBorders>
            <w:shd w:val="clear" w:color="000000" w:fill="D3DFEE"/>
            <w:vAlign w:val="center"/>
          </w:tcPr>
          <w:p w14:paraId="338B1F86">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资金余额</w:t>
            </w:r>
          </w:p>
        </w:tc>
        <w:tc>
          <w:tcPr>
            <w:tcW w:w="1760" w:type="dxa"/>
            <w:vMerge w:val="restart"/>
            <w:tcBorders>
              <w:top w:val="single" w:color="auto" w:sz="8" w:space="0"/>
              <w:left w:val="single" w:color="auto" w:sz="8" w:space="0"/>
              <w:bottom w:val="single" w:color="auto" w:sz="8" w:space="0"/>
              <w:right w:val="single" w:color="auto" w:sz="8" w:space="0"/>
            </w:tcBorders>
            <w:shd w:val="clear" w:color="000000" w:fill="D3DFEE"/>
            <w:vAlign w:val="center"/>
          </w:tcPr>
          <w:p w14:paraId="72E23558">
            <w:pPr>
              <w:widowControl/>
              <w:spacing w:after="0" w:line="240" w:lineRule="auto"/>
              <w:jc w:val="right"/>
              <w:rPr>
                <w:rFonts w:ascii="Verdana" w:hAnsi="Verdana" w:cs="Arial"/>
                <w:b/>
                <w:bCs/>
                <w:color w:val="000000"/>
                <w:kern w:val="0"/>
                <w:sz w:val="20"/>
                <w:szCs w:val="20"/>
              </w:rPr>
            </w:pPr>
            <w:r>
              <w:rPr>
                <w:rFonts w:hint="eastAsia" w:ascii="Verdana" w:hAnsi="Verdana" w:cs="Arial"/>
                <w:b/>
                <w:bCs/>
                <w:color w:val="000000"/>
                <w:kern w:val="0"/>
                <w:sz w:val="20"/>
                <w:szCs w:val="20"/>
              </w:rPr>
              <w:t>-</w:t>
            </w:r>
          </w:p>
        </w:tc>
        <w:tc>
          <w:tcPr>
            <w:tcW w:w="1536" w:type="dxa"/>
            <w:vMerge w:val="restart"/>
            <w:tcBorders>
              <w:top w:val="nil"/>
              <w:left w:val="single" w:color="auto" w:sz="8" w:space="0"/>
              <w:bottom w:val="single" w:color="000000" w:sz="8" w:space="0"/>
              <w:right w:val="single" w:color="auto" w:sz="8" w:space="0"/>
            </w:tcBorders>
            <w:shd w:val="clear" w:color="000000" w:fill="D3DFEE"/>
            <w:noWrap/>
            <w:vAlign w:val="center"/>
          </w:tcPr>
          <w:p w14:paraId="28F8FF89">
            <w:pPr>
              <w:widowControl/>
              <w:spacing w:after="0" w:line="240" w:lineRule="auto"/>
              <w:jc w:val="right"/>
              <w:rPr>
                <w:rFonts w:ascii="Verdana" w:hAnsi="Verdana" w:cs="Arial"/>
                <w:b/>
                <w:bCs/>
                <w:color w:val="000000"/>
                <w:kern w:val="0"/>
                <w:sz w:val="20"/>
                <w:szCs w:val="20"/>
              </w:rPr>
            </w:pPr>
            <w:r>
              <w:rPr>
                <w:rFonts w:ascii="Verdana" w:hAnsi="Verdana" w:cs="Arial"/>
                <w:b/>
                <w:bCs/>
                <w:color w:val="000000"/>
                <w:kern w:val="0"/>
                <w:sz w:val="20"/>
                <w:szCs w:val="20"/>
              </w:rPr>
              <w:t>-</w:t>
            </w:r>
          </w:p>
        </w:tc>
        <w:tc>
          <w:tcPr>
            <w:tcW w:w="1796" w:type="dxa"/>
            <w:vMerge w:val="restart"/>
            <w:tcBorders>
              <w:top w:val="nil"/>
              <w:left w:val="single" w:color="auto" w:sz="8" w:space="0"/>
              <w:right w:val="single" w:color="auto" w:sz="8" w:space="0"/>
            </w:tcBorders>
            <w:shd w:val="clear" w:color="000000" w:fill="D3DFEE"/>
            <w:noWrap/>
            <w:vAlign w:val="center"/>
          </w:tcPr>
          <w:p w14:paraId="1175E096">
            <w:pPr>
              <w:widowControl/>
              <w:spacing w:after="0" w:line="240" w:lineRule="auto"/>
              <w:jc w:val="right"/>
              <w:rPr>
                <w:rFonts w:ascii="Verdana" w:hAnsi="Verdana" w:cs="Arial"/>
                <w:b/>
                <w:bCs/>
                <w:color w:val="000000"/>
                <w:kern w:val="0"/>
                <w:sz w:val="20"/>
                <w:szCs w:val="20"/>
              </w:rPr>
            </w:pPr>
            <w:r>
              <w:rPr>
                <w:rFonts w:ascii="Verdana" w:hAnsi="Verdana" w:cs="Arial"/>
                <w:b/>
                <w:bCs/>
                <w:color w:val="000000"/>
                <w:kern w:val="0"/>
                <w:sz w:val="20"/>
                <w:szCs w:val="20"/>
              </w:rPr>
              <w:t>-</w:t>
            </w:r>
          </w:p>
        </w:tc>
        <w:tc>
          <w:tcPr>
            <w:tcW w:w="1796" w:type="dxa"/>
            <w:vMerge w:val="restart"/>
            <w:tcBorders>
              <w:top w:val="nil"/>
              <w:left w:val="single" w:color="auto" w:sz="8" w:space="0"/>
              <w:bottom w:val="single" w:color="000000" w:sz="8" w:space="0"/>
              <w:right w:val="single" w:color="auto" w:sz="8" w:space="0"/>
            </w:tcBorders>
            <w:shd w:val="clear" w:color="000000" w:fill="D3DFEE"/>
            <w:noWrap/>
            <w:vAlign w:val="center"/>
          </w:tcPr>
          <w:p w14:paraId="61BED041">
            <w:pPr>
              <w:widowControl/>
              <w:spacing w:after="0" w:line="240" w:lineRule="auto"/>
              <w:jc w:val="right"/>
              <w:rPr>
                <w:rFonts w:ascii="Verdana" w:hAnsi="Verdana" w:cs="Arial"/>
                <w:b/>
                <w:bCs/>
                <w:color w:val="000000"/>
                <w:kern w:val="0"/>
                <w:sz w:val="20"/>
                <w:szCs w:val="20"/>
              </w:rPr>
            </w:pPr>
            <w:r>
              <w:rPr>
                <w:rFonts w:ascii="Verdana" w:hAnsi="Verdana" w:cs="Arial"/>
                <w:b/>
                <w:bCs/>
                <w:color w:val="000000"/>
                <w:kern w:val="0"/>
                <w:sz w:val="20"/>
                <w:szCs w:val="20"/>
              </w:rPr>
              <w:t>-</w:t>
            </w:r>
          </w:p>
        </w:tc>
      </w:tr>
      <w:tr w14:paraId="6FE6A6DF">
        <w:tblPrEx>
          <w:tblCellMar>
            <w:top w:w="0" w:type="dxa"/>
            <w:left w:w="108" w:type="dxa"/>
            <w:bottom w:w="0" w:type="dxa"/>
            <w:right w:w="108" w:type="dxa"/>
          </w:tblCellMar>
        </w:tblPrEx>
        <w:trPr>
          <w:trHeight w:val="515" w:hRule="atLeast"/>
          <w:jc w:val="center"/>
        </w:trPr>
        <w:tc>
          <w:tcPr>
            <w:tcW w:w="2436" w:type="dxa"/>
            <w:tcBorders>
              <w:top w:val="nil"/>
              <w:left w:val="single" w:color="auto" w:sz="8" w:space="0"/>
              <w:bottom w:val="single" w:color="auto" w:sz="8" w:space="0"/>
              <w:right w:val="single" w:color="auto" w:sz="8" w:space="0"/>
            </w:tcBorders>
            <w:shd w:val="clear" w:color="000000" w:fill="D3DFEE"/>
            <w:vAlign w:val="center"/>
          </w:tcPr>
          <w:p w14:paraId="02382658">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（资金筹措</w:t>
            </w:r>
            <w:r>
              <w:rPr>
                <w:rFonts w:ascii="Verdana" w:hAnsi="Verdana" w:eastAsia="华文细黑" w:cs="Arial"/>
                <w:b/>
                <w:bCs/>
                <w:color w:val="000000"/>
                <w:kern w:val="0"/>
                <w:sz w:val="20"/>
                <w:szCs w:val="20"/>
              </w:rPr>
              <w:t>—</w:t>
            </w:r>
            <w:r>
              <w:rPr>
                <w:rFonts w:hint="eastAsia" w:ascii="华文细黑" w:hAnsi="华文细黑" w:eastAsia="华文细黑" w:cs="Arial"/>
                <w:b/>
                <w:bCs/>
                <w:color w:val="000000"/>
                <w:kern w:val="0"/>
                <w:sz w:val="20"/>
                <w:szCs w:val="20"/>
              </w:rPr>
              <w:t>资金使用）</w:t>
            </w:r>
          </w:p>
        </w:tc>
        <w:tc>
          <w:tcPr>
            <w:tcW w:w="1760" w:type="dxa"/>
            <w:vMerge w:val="continue"/>
            <w:tcBorders>
              <w:top w:val="single" w:color="auto" w:sz="8" w:space="0"/>
              <w:left w:val="single" w:color="auto" w:sz="8" w:space="0"/>
              <w:bottom w:val="single" w:color="auto" w:sz="8" w:space="0"/>
              <w:right w:val="single" w:color="auto" w:sz="8" w:space="0"/>
            </w:tcBorders>
          </w:tcPr>
          <w:p w14:paraId="25F8966D">
            <w:pPr>
              <w:widowControl/>
              <w:spacing w:after="0" w:line="240" w:lineRule="auto"/>
              <w:jc w:val="left"/>
              <w:rPr>
                <w:rFonts w:ascii="Verdana" w:hAnsi="Verdana" w:cs="Arial"/>
                <w:b/>
                <w:bCs/>
                <w:color w:val="000000"/>
                <w:kern w:val="0"/>
                <w:sz w:val="20"/>
                <w:szCs w:val="20"/>
              </w:rPr>
            </w:pPr>
          </w:p>
        </w:tc>
        <w:tc>
          <w:tcPr>
            <w:tcW w:w="1536" w:type="dxa"/>
            <w:vMerge w:val="continue"/>
            <w:tcBorders>
              <w:top w:val="nil"/>
              <w:left w:val="single" w:color="auto" w:sz="8" w:space="0"/>
              <w:bottom w:val="single" w:color="000000" w:sz="8" w:space="0"/>
              <w:right w:val="single" w:color="auto" w:sz="8" w:space="0"/>
            </w:tcBorders>
            <w:vAlign w:val="center"/>
          </w:tcPr>
          <w:p w14:paraId="64014DC1">
            <w:pPr>
              <w:widowControl/>
              <w:spacing w:after="0" w:line="240" w:lineRule="auto"/>
              <w:jc w:val="left"/>
              <w:rPr>
                <w:rFonts w:ascii="Verdana" w:hAnsi="Verdana" w:cs="Arial"/>
                <w:b/>
                <w:bCs/>
                <w:color w:val="000000"/>
                <w:kern w:val="0"/>
                <w:sz w:val="20"/>
                <w:szCs w:val="20"/>
              </w:rPr>
            </w:pPr>
          </w:p>
        </w:tc>
        <w:tc>
          <w:tcPr>
            <w:tcW w:w="1796" w:type="dxa"/>
            <w:vMerge w:val="continue"/>
            <w:tcBorders>
              <w:left w:val="single" w:color="auto" w:sz="8" w:space="0"/>
              <w:bottom w:val="single" w:color="000000" w:sz="8" w:space="0"/>
              <w:right w:val="single" w:color="auto" w:sz="8" w:space="0"/>
            </w:tcBorders>
            <w:vAlign w:val="center"/>
          </w:tcPr>
          <w:p w14:paraId="7AF1CA06">
            <w:pPr>
              <w:widowControl/>
              <w:spacing w:after="0" w:line="240" w:lineRule="auto"/>
              <w:jc w:val="left"/>
              <w:rPr>
                <w:rFonts w:ascii="Verdana" w:hAnsi="Verdana" w:cs="Arial"/>
                <w:b/>
                <w:bCs/>
                <w:color w:val="000000"/>
                <w:kern w:val="0"/>
                <w:sz w:val="20"/>
                <w:szCs w:val="20"/>
              </w:rPr>
            </w:pPr>
          </w:p>
        </w:tc>
        <w:tc>
          <w:tcPr>
            <w:tcW w:w="1796" w:type="dxa"/>
            <w:vMerge w:val="continue"/>
            <w:tcBorders>
              <w:top w:val="nil"/>
              <w:left w:val="single" w:color="auto" w:sz="8" w:space="0"/>
              <w:bottom w:val="single" w:color="000000" w:sz="8" w:space="0"/>
              <w:right w:val="single" w:color="auto" w:sz="8" w:space="0"/>
            </w:tcBorders>
            <w:vAlign w:val="center"/>
          </w:tcPr>
          <w:p w14:paraId="306F272F">
            <w:pPr>
              <w:widowControl/>
              <w:spacing w:after="0" w:line="240" w:lineRule="auto"/>
              <w:jc w:val="left"/>
              <w:rPr>
                <w:rFonts w:ascii="Verdana" w:hAnsi="Verdana" w:cs="Arial"/>
                <w:b/>
                <w:bCs/>
                <w:color w:val="000000"/>
                <w:kern w:val="0"/>
                <w:sz w:val="20"/>
                <w:szCs w:val="20"/>
              </w:rPr>
            </w:pPr>
          </w:p>
        </w:tc>
      </w:tr>
    </w:tbl>
    <w:p w14:paraId="33018EAB">
      <w:pPr>
        <w:widowControl/>
        <w:spacing w:after="0"/>
        <w:jc w:val="center"/>
        <w:rPr>
          <w:rFonts w:hint="eastAsia" w:ascii="Verdana" w:hAnsi="Verdana" w:eastAsia="华文细黑" w:cs="Times New Roman"/>
          <w:b/>
          <w:color w:val="000000"/>
          <w:kern w:val="0"/>
          <w:sz w:val="24"/>
          <w:szCs w:val="24"/>
          <w:lang w:eastAsia="zh-CN"/>
        </w:rPr>
      </w:pPr>
      <w:r>
        <w:rPr>
          <w:rFonts w:hint="eastAsia" w:ascii="Verdana" w:hAnsi="Verdana" w:eastAsia="华文细黑" w:cs="Times New Roman"/>
          <w:b/>
          <w:color w:val="000000"/>
          <w:kern w:val="0"/>
          <w:sz w:val="24"/>
          <w:szCs w:val="24"/>
        </w:rPr>
        <w:t>表6</w:t>
      </w:r>
      <w:r>
        <w:rPr>
          <w:rFonts w:hint="eastAsia" w:ascii="Verdana" w:hAnsi="Verdana" w:eastAsia="华文细黑" w:cs="Times New Roman"/>
          <w:b/>
          <w:color w:val="000000"/>
          <w:kern w:val="0"/>
          <w:sz w:val="24"/>
          <w:szCs w:val="24"/>
          <w:lang w:eastAsia="zh-CN"/>
        </w:rPr>
        <w:t>海口江东新区CBD南片区幼儿园及配套基础设施项目现金流模拟测算表</w:t>
      </w:r>
    </w:p>
    <w:p w14:paraId="264C73CE">
      <w:pPr>
        <w:keepNext w:val="0"/>
        <w:keepLines w:val="0"/>
        <w:pageBreakBefore w:val="0"/>
        <w:widowControl w:val="0"/>
        <w:kinsoku/>
        <w:wordWrap/>
        <w:overflowPunct/>
        <w:topLinePunct w:val="0"/>
        <w:autoSpaceDE/>
        <w:autoSpaceDN/>
        <w:bidi w:val="0"/>
        <w:adjustRightInd/>
        <w:snapToGrid/>
        <w:spacing w:after="0" w:line="260" w:lineRule="auto"/>
        <w:ind w:right="108"/>
        <w:jc w:val="right"/>
        <w:textAlignment w:val="auto"/>
        <w:rPr>
          <w:rFonts w:eastAsia="华文细黑" w:asciiTheme="minorHAnsi" w:hAnsiTheme="minorHAnsi"/>
          <w:color w:val="000000"/>
          <w:sz w:val="20"/>
          <w:szCs w:val="20"/>
        </w:rPr>
      </w:pPr>
      <w:r>
        <w:rPr>
          <w:rFonts w:eastAsia="华文细黑" w:asciiTheme="minorHAnsi" w:hAnsiTheme="minorHAnsi"/>
          <w:color w:val="000000"/>
          <w:sz w:val="20"/>
          <w:szCs w:val="20"/>
        </w:rPr>
        <w:t>单位：人民币万元</w:t>
      </w:r>
    </w:p>
    <w:tbl>
      <w:tblPr>
        <w:tblStyle w:val="15"/>
        <w:tblW w:w="11251" w:type="dxa"/>
        <w:jc w:val="center"/>
        <w:tblLayout w:type="autofit"/>
        <w:tblCellMar>
          <w:top w:w="0" w:type="dxa"/>
          <w:left w:w="108" w:type="dxa"/>
          <w:bottom w:w="0" w:type="dxa"/>
          <w:right w:w="108" w:type="dxa"/>
        </w:tblCellMar>
      </w:tblPr>
      <w:tblGrid>
        <w:gridCol w:w="2512"/>
        <w:gridCol w:w="1247"/>
        <w:gridCol w:w="1252"/>
        <w:gridCol w:w="1252"/>
        <w:gridCol w:w="1247"/>
        <w:gridCol w:w="1247"/>
        <w:gridCol w:w="1247"/>
        <w:gridCol w:w="1247"/>
      </w:tblGrid>
      <w:tr w14:paraId="7AC456F7">
        <w:tblPrEx>
          <w:tblCellMar>
            <w:top w:w="0" w:type="dxa"/>
            <w:left w:w="108" w:type="dxa"/>
            <w:bottom w:w="0" w:type="dxa"/>
            <w:right w:w="108" w:type="dxa"/>
          </w:tblCellMar>
        </w:tblPrEx>
        <w:trPr>
          <w:trHeight w:val="300" w:hRule="atLeast"/>
          <w:tblHeader/>
          <w:jc w:val="center"/>
        </w:trPr>
        <w:tc>
          <w:tcPr>
            <w:tcW w:w="2512"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3BDE7C39">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年度</w:t>
            </w:r>
          </w:p>
        </w:tc>
        <w:tc>
          <w:tcPr>
            <w:tcW w:w="1247" w:type="dxa"/>
            <w:tcBorders>
              <w:top w:val="single" w:color="auto" w:sz="8" w:space="0"/>
              <w:left w:val="nil"/>
              <w:bottom w:val="single" w:color="auto" w:sz="8" w:space="0"/>
              <w:right w:val="single" w:color="auto" w:sz="8" w:space="0"/>
            </w:tcBorders>
            <w:shd w:val="clear" w:color="000000" w:fill="0070C0"/>
            <w:noWrap/>
            <w:vAlign w:val="center"/>
          </w:tcPr>
          <w:p w14:paraId="64BA3E87">
            <w:pPr>
              <w:widowControl/>
              <w:spacing w:after="0" w:line="240" w:lineRule="auto"/>
              <w:jc w:val="center"/>
              <w:rPr>
                <w:rFonts w:hint="eastAsia" w:ascii="Verdana" w:hAnsi="Verdana" w:eastAsia="宋体" w:cs="Arial"/>
                <w:b/>
                <w:bCs/>
                <w:color w:val="FFFFFF"/>
                <w:kern w:val="0"/>
                <w:sz w:val="20"/>
                <w:szCs w:val="20"/>
                <w:lang w:val="en-US" w:eastAsia="zh-CN"/>
              </w:rPr>
            </w:pPr>
            <w:r>
              <w:rPr>
                <w:rFonts w:ascii="Verdana" w:hAnsi="Verdana" w:cs="Arial"/>
                <w:b/>
                <w:bCs/>
                <w:color w:val="FFFFFF"/>
                <w:kern w:val="0"/>
                <w:sz w:val="20"/>
                <w:szCs w:val="20"/>
              </w:rPr>
              <w:t>2025</w:t>
            </w:r>
          </w:p>
        </w:tc>
        <w:tc>
          <w:tcPr>
            <w:tcW w:w="1252" w:type="dxa"/>
            <w:tcBorders>
              <w:top w:val="single" w:color="auto" w:sz="8" w:space="0"/>
              <w:left w:val="nil"/>
              <w:bottom w:val="single" w:color="auto" w:sz="8" w:space="0"/>
              <w:right w:val="single" w:color="auto" w:sz="8" w:space="0"/>
            </w:tcBorders>
            <w:shd w:val="clear" w:color="000000" w:fill="0070C0"/>
            <w:noWrap/>
            <w:vAlign w:val="center"/>
          </w:tcPr>
          <w:p w14:paraId="7EB9E147">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2026</w:t>
            </w:r>
          </w:p>
        </w:tc>
        <w:tc>
          <w:tcPr>
            <w:tcW w:w="1252" w:type="dxa"/>
            <w:tcBorders>
              <w:top w:val="single" w:color="auto" w:sz="8" w:space="0"/>
              <w:left w:val="nil"/>
              <w:bottom w:val="single" w:color="auto" w:sz="8" w:space="0"/>
              <w:right w:val="single" w:color="auto" w:sz="8" w:space="0"/>
            </w:tcBorders>
            <w:shd w:val="clear" w:color="000000" w:fill="0070C0"/>
            <w:noWrap/>
            <w:vAlign w:val="center"/>
          </w:tcPr>
          <w:p w14:paraId="018E33EB">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2027</w:t>
            </w:r>
          </w:p>
        </w:tc>
        <w:tc>
          <w:tcPr>
            <w:tcW w:w="1247" w:type="dxa"/>
            <w:tcBorders>
              <w:top w:val="single" w:color="auto" w:sz="8" w:space="0"/>
              <w:left w:val="nil"/>
              <w:bottom w:val="single" w:color="auto" w:sz="8" w:space="0"/>
              <w:right w:val="single" w:color="auto" w:sz="8" w:space="0"/>
            </w:tcBorders>
            <w:shd w:val="clear" w:color="000000" w:fill="0070C0"/>
            <w:noWrap/>
            <w:vAlign w:val="center"/>
          </w:tcPr>
          <w:p w14:paraId="442934A4">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2028</w:t>
            </w:r>
          </w:p>
        </w:tc>
        <w:tc>
          <w:tcPr>
            <w:tcW w:w="1247" w:type="dxa"/>
            <w:tcBorders>
              <w:top w:val="single" w:color="auto" w:sz="8" w:space="0"/>
              <w:left w:val="nil"/>
              <w:bottom w:val="single" w:color="auto" w:sz="8" w:space="0"/>
              <w:right w:val="single" w:color="auto" w:sz="8" w:space="0"/>
            </w:tcBorders>
            <w:shd w:val="clear" w:color="000000" w:fill="0070C0"/>
            <w:noWrap/>
            <w:vAlign w:val="center"/>
          </w:tcPr>
          <w:p w14:paraId="3FDC066C">
            <w:pPr>
              <w:widowControl/>
              <w:spacing w:after="0" w:line="240" w:lineRule="auto"/>
              <w:jc w:val="center"/>
              <w:rPr>
                <w:rFonts w:ascii="Verdana" w:hAnsi="Verdana" w:cs="Arial"/>
                <w:b/>
                <w:bCs/>
                <w:color w:val="FFFFFF"/>
                <w:kern w:val="0"/>
                <w:sz w:val="20"/>
                <w:szCs w:val="20"/>
              </w:rPr>
            </w:pPr>
            <w:r>
              <w:rPr>
                <w:rFonts w:ascii="Verdana" w:hAnsi="Verdana" w:cs="Arial"/>
                <w:b/>
                <w:bCs/>
                <w:color w:val="FFFFFF"/>
                <w:kern w:val="0"/>
                <w:sz w:val="20"/>
                <w:szCs w:val="20"/>
              </w:rPr>
              <w:t>2029</w:t>
            </w:r>
          </w:p>
        </w:tc>
        <w:tc>
          <w:tcPr>
            <w:tcW w:w="1247" w:type="dxa"/>
            <w:tcBorders>
              <w:top w:val="single" w:color="auto" w:sz="8" w:space="0"/>
              <w:left w:val="nil"/>
              <w:bottom w:val="single" w:color="auto" w:sz="8" w:space="0"/>
              <w:right w:val="single" w:color="auto" w:sz="8" w:space="0"/>
            </w:tcBorders>
            <w:shd w:val="clear" w:color="000000" w:fill="0070C0"/>
            <w:noWrap/>
            <w:vAlign w:val="center"/>
          </w:tcPr>
          <w:p w14:paraId="29A61763">
            <w:pPr>
              <w:widowControl/>
              <w:spacing w:after="0" w:line="240" w:lineRule="auto"/>
              <w:jc w:val="center"/>
              <w:rPr>
                <w:rFonts w:ascii="Verdana" w:hAnsi="Verdana" w:cs="Arial"/>
                <w:b/>
                <w:bCs/>
                <w:color w:val="FFFFFF"/>
                <w:kern w:val="0"/>
                <w:sz w:val="20"/>
                <w:szCs w:val="20"/>
              </w:rPr>
            </w:pPr>
            <w:r>
              <w:rPr>
                <w:rFonts w:hint="eastAsia" w:ascii="Verdana" w:hAnsi="Verdana" w:cs="Arial"/>
                <w:b/>
                <w:bCs/>
                <w:color w:val="FFFFFF"/>
                <w:kern w:val="0"/>
                <w:sz w:val="20"/>
                <w:szCs w:val="20"/>
                <w:lang w:val="en-US" w:eastAsia="zh-CN"/>
              </w:rPr>
              <w:t>2030</w:t>
            </w:r>
          </w:p>
        </w:tc>
        <w:tc>
          <w:tcPr>
            <w:tcW w:w="1247" w:type="dxa"/>
            <w:tcBorders>
              <w:top w:val="single" w:color="auto" w:sz="8" w:space="0"/>
              <w:left w:val="nil"/>
              <w:bottom w:val="single" w:color="auto" w:sz="8" w:space="0"/>
              <w:right w:val="single" w:color="auto" w:sz="8" w:space="0"/>
            </w:tcBorders>
            <w:shd w:val="clear" w:color="000000" w:fill="0070C0"/>
            <w:noWrap/>
            <w:vAlign w:val="center"/>
          </w:tcPr>
          <w:p w14:paraId="0BEFF8DD">
            <w:pPr>
              <w:widowControl/>
              <w:spacing w:after="0" w:line="240" w:lineRule="auto"/>
              <w:jc w:val="center"/>
              <w:rPr>
                <w:rFonts w:hint="default" w:ascii="Verdana" w:hAnsi="Verdana" w:eastAsia="宋体" w:cs="Arial"/>
                <w:b/>
                <w:bCs/>
                <w:color w:val="FFFFFF"/>
                <w:kern w:val="0"/>
                <w:sz w:val="20"/>
                <w:szCs w:val="20"/>
                <w:lang w:val="en-US" w:eastAsia="zh-CN"/>
              </w:rPr>
            </w:pPr>
            <w:r>
              <w:rPr>
                <w:rFonts w:hint="eastAsia" w:ascii="Verdana" w:hAnsi="Verdana" w:cs="Arial"/>
                <w:b/>
                <w:bCs/>
                <w:color w:val="FFFFFF"/>
                <w:kern w:val="0"/>
                <w:sz w:val="20"/>
                <w:szCs w:val="20"/>
                <w:lang w:val="en-US" w:eastAsia="zh-CN"/>
              </w:rPr>
              <w:t>2031</w:t>
            </w:r>
          </w:p>
        </w:tc>
      </w:tr>
      <w:tr w14:paraId="125872CB">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000000" w:fill="D3DFEE"/>
            <w:noWrap/>
            <w:vAlign w:val="center"/>
          </w:tcPr>
          <w:p w14:paraId="71D4F0C9">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现金流入</w:t>
            </w:r>
          </w:p>
        </w:tc>
        <w:tc>
          <w:tcPr>
            <w:tcW w:w="1247" w:type="dxa"/>
            <w:tcBorders>
              <w:top w:val="nil"/>
              <w:left w:val="nil"/>
              <w:bottom w:val="single" w:color="auto" w:sz="8" w:space="0"/>
              <w:right w:val="single" w:color="auto" w:sz="8" w:space="0"/>
            </w:tcBorders>
            <w:shd w:val="clear" w:color="000000" w:fill="D3DFEE"/>
            <w:noWrap/>
            <w:vAlign w:val="center"/>
          </w:tcPr>
          <w:p w14:paraId="47D971F6">
            <w:pPr>
              <w:widowControl/>
              <w:spacing w:after="0" w:line="240" w:lineRule="auto"/>
              <w:jc w:val="right"/>
              <w:rPr>
                <w:rFonts w:hint="default" w:ascii="Verdana" w:hAnsi="Verdana" w:cs="Arial"/>
                <w:color w:val="000000"/>
                <w:kern w:val="0"/>
                <w:sz w:val="20"/>
                <w:szCs w:val="20"/>
                <w:lang w:val="en-US" w:eastAsia="zh-CN"/>
              </w:rPr>
            </w:pPr>
          </w:p>
        </w:tc>
        <w:tc>
          <w:tcPr>
            <w:tcW w:w="1252" w:type="dxa"/>
            <w:tcBorders>
              <w:top w:val="nil"/>
              <w:left w:val="nil"/>
              <w:bottom w:val="single" w:color="auto" w:sz="8" w:space="0"/>
              <w:right w:val="single" w:color="auto" w:sz="8" w:space="0"/>
            </w:tcBorders>
            <w:shd w:val="clear" w:color="000000" w:fill="D3DFEE"/>
            <w:noWrap/>
            <w:vAlign w:val="center"/>
          </w:tcPr>
          <w:p w14:paraId="41DACE7B">
            <w:pPr>
              <w:widowControl/>
              <w:spacing w:after="0" w:line="240" w:lineRule="auto"/>
              <w:jc w:val="right"/>
              <w:rPr>
                <w:rFonts w:hint="default" w:ascii="Verdana" w:hAnsi="Verdana" w:cs="Arial"/>
                <w:color w:val="000000"/>
                <w:kern w:val="0"/>
                <w:sz w:val="20"/>
                <w:szCs w:val="20"/>
                <w:lang w:val="en-US" w:eastAsia="zh-CN"/>
              </w:rPr>
            </w:pPr>
          </w:p>
        </w:tc>
        <w:tc>
          <w:tcPr>
            <w:tcW w:w="1252" w:type="dxa"/>
            <w:tcBorders>
              <w:top w:val="nil"/>
              <w:left w:val="nil"/>
              <w:bottom w:val="single" w:color="auto" w:sz="8" w:space="0"/>
              <w:right w:val="single" w:color="auto" w:sz="8" w:space="0"/>
            </w:tcBorders>
            <w:shd w:val="clear" w:color="000000" w:fill="D3DFEE"/>
            <w:noWrap/>
            <w:vAlign w:val="center"/>
          </w:tcPr>
          <w:p w14:paraId="45D62146">
            <w:pPr>
              <w:widowControl/>
              <w:spacing w:after="0" w:line="240" w:lineRule="auto"/>
              <w:jc w:val="right"/>
              <w:rPr>
                <w:rFonts w:hint="default" w:ascii="Verdana" w:hAnsi="Verdana" w:cs="Arial"/>
                <w:color w:val="000000"/>
                <w:kern w:val="0"/>
                <w:sz w:val="20"/>
                <w:szCs w:val="20"/>
                <w:lang w:val="en-US" w:eastAsia="zh-CN"/>
              </w:rPr>
            </w:pPr>
          </w:p>
        </w:tc>
        <w:tc>
          <w:tcPr>
            <w:tcW w:w="1247" w:type="dxa"/>
            <w:tcBorders>
              <w:top w:val="nil"/>
              <w:left w:val="nil"/>
              <w:bottom w:val="single" w:color="auto" w:sz="8" w:space="0"/>
              <w:right w:val="single" w:color="auto" w:sz="8" w:space="0"/>
            </w:tcBorders>
            <w:shd w:val="clear" w:color="000000" w:fill="D3DFEE"/>
            <w:noWrap/>
            <w:vAlign w:val="center"/>
          </w:tcPr>
          <w:p w14:paraId="06E1BE65">
            <w:pPr>
              <w:widowControl/>
              <w:spacing w:after="0" w:line="240" w:lineRule="auto"/>
              <w:jc w:val="right"/>
              <w:rPr>
                <w:rFonts w:hint="default" w:ascii="Verdana" w:hAnsi="Verdana" w:cs="Arial"/>
                <w:color w:val="000000"/>
                <w:kern w:val="0"/>
                <w:sz w:val="20"/>
                <w:szCs w:val="20"/>
                <w:lang w:val="en-US" w:eastAsia="zh-CN"/>
              </w:rPr>
            </w:pPr>
          </w:p>
        </w:tc>
        <w:tc>
          <w:tcPr>
            <w:tcW w:w="1247" w:type="dxa"/>
            <w:tcBorders>
              <w:top w:val="nil"/>
              <w:left w:val="nil"/>
              <w:bottom w:val="single" w:color="auto" w:sz="8" w:space="0"/>
              <w:right w:val="single" w:color="auto" w:sz="8" w:space="0"/>
            </w:tcBorders>
            <w:shd w:val="clear" w:color="000000" w:fill="D3DFEE"/>
            <w:noWrap/>
            <w:vAlign w:val="center"/>
          </w:tcPr>
          <w:p w14:paraId="4D126659">
            <w:pPr>
              <w:widowControl/>
              <w:spacing w:after="0" w:line="240" w:lineRule="auto"/>
              <w:jc w:val="right"/>
              <w:rPr>
                <w:rFonts w:hint="default" w:ascii="Verdana" w:hAnsi="Verdana" w:cs="Arial"/>
                <w:color w:val="000000"/>
                <w:kern w:val="0"/>
                <w:sz w:val="20"/>
                <w:szCs w:val="20"/>
                <w:lang w:val="en-US" w:eastAsia="zh-CN"/>
              </w:rPr>
            </w:pPr>
          </w:p>
        </w:tc>
        <w:tc>
          <w:tcPr>
            <w:tcW w:w="1247" w:type="dxa"/>
            <w:tcBorders>
              <w:top w:val="nil"/>
              <w:left w:val="nil"/>
              <w:bottom w:val="single" w:color="auto" w:sz="8" w:space="0"/>
              <w:right w:val="single" w:color="auto" w:sz="8" w:space="0"/>
            </w:tcBorders>
            <w:shd w:val="clear" w:color="000000" w:fill="D3DFEE"/>
            <w:noWrap/>
            <w:vAlign w:val="center"/>
          </w:tcPr>
          <w:p w14:paraId="1D6A91C2">
            <w:pPr>
              <w:widowControl/>
              <w:spacing w:after="0" w:line="240" w:lineRule="auto"/>
              <w:jc w:val="right"/>
              <w:rPr>
                <w:rFonts w:hint="default" w:ascii="Verdana" w:hAnsi="Verdana" w:cs="Arial"/>
                <w:color w:val="000000"/>
                <w:kern w:val="0"/>
                <w:sz w:val="20"/>
                <w:szCs w:val="20"/>
                <w:lang w:val="en-US" w:eastAsia="zh-CN"/>
              </w:rPr>
            </w:pPr>
          </w:p>
        </w:tc>
        <w:tc>
          <w:tcPr>
            <w:tcW w:w="1247" w:type="dxa"/>
            <w:tcBorders>
              <w:top w:val="nil"/>
              <w:left w:val="nil"/>
              <w:bottom w:val="single" w:color="auto" w:sz="8" w:space="0"/>
              <w:right w:val="single" w:color="auto" w:sz="8" w:space="0"/>
            </w:tcBorders>
            <w:shd w:val="clear" w:color="000000" w:fill="D3DFEE"/>
            <w:noWrap/>
            <w:vAlign w:val="center"/>
          </w:tcPr>
          <w:p w14:paraId="5F353988">
            <w:pPr>
              <w:widowControl/>
              <w:spacing w:after="0" w:line="240" w:lineRule="auto"/>
              <w:jc w:val="right"/>
              <w:rPr>
                <w:rFonts w:hint="default" w:ascii="Verdana" w:hAnsi="Verdana" w:cs="Arial"/>
                <w:color w:val="000000"/>
                <w:kern w:val="0"/>
                <w:sz w:val="20"/>
                <w:szCs w:val="20"/>
                <w:lang w:val="en-US" w:eastAsia="zh-CN"/>
              </w:rPr>
            </w:pPr>
          </w:p>
        </w:tc>
      </w:tr>
      <w:tr w14:paraId="755F0213">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252C3695">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自筹资金流入</w:t>
            </w:r>
          </w:p>
        </w:tc>
        <w:tc>
          <w:tcPr>
            <w:tcW w:w="1247" w:type="dxa"/>
            <w:tcBorders>
              <w:top w:val="nil"/>
              <w:left w:val="nil"/>
              <w:bottom w:val="single" w:color="auto" w:sz="8" w:space="0"/>
              <w:right w:val="single" w:color="auto" w:sz="8" w:space="0"/>
            </w:tcBorders>
            <w:shd w:val="clear" w:color="auto" w:fill="auto"/>
            <w:vAlign w:val="center"/>
          </w:tcPr>
          <w:p w14:paraId="45887A8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500.00 </w:t>
            </w:r>
          </w:p>
        </w:tc>
        <w:tc>
          <w:tcPr>
            <w:tcW w:w="1252" w:type="dxa"/>
            <w:tcBorders>
              <w:top w:val="nil"/>
              <w:left w:val="nil"/>
              <w:bottom w:val="single" w:color="auto" w:sz="8" w:space="0"/>
              <w:right w:val="single" w:color="auto" w:sz="8" w:space="0"/>
            </w:tcBorders>
            <w:shd w:val="clear" w:color="auto" w:fill="auto"/>
            <w:vAlign w:val="center"/>
          </w:tcPr>
          <w:p w14:paraId="38D7B1A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15,017.09 </w:t>
            </w:r>
          </w:p>
        </w:tc>
        <w:tc>
          <w:tcPr>
            <w:tcW w:w="1252" w:type="dxa"/>
            <w:tcBorders>
              <w:top w:val="nil"/>
              <w:left w:val="nil"/>
              <w:bottom w:val="single" w:color="auto" w:sz="8" w:space="0"/>
              <w:right w:val="single" w:color="auto" w:sz="8" w:space="0"/>
            </w:tcBorders>
            <w:shd w:val="clear" w:color="auto" w:fill="auto"/>
            <w:vAlign w:val="center"/>
          </w:tcPr>
          <w:p w14:paraId="6F2E4DD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21,354.88 </w:t>
            </w:r>
          </w:p>
        </w:tc>
        <w:tc>
          <w:tcPr>
            <w:tcW w:w="1247" w:type="dxa"/>
            <w:tcBorders>
              <w:top w:val="nil"/>
              <w:left w:val="nil"/>
              <w:bottom w:val="single" w:color="auto" w:sz="8" w:space="0"/>
              <w:right w:val="single" w:color="auto" w:sz="8" w:space="0"/>
            </w:tcBorders>
            <w:shd w:val="clear" w:color="auto" w:fill="auto"/>
            <w:vAlign w:val="center"/>
          </w:tcPr>
          <w:p w14:paraId="20F940D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268C8C8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072E67B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47021DD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5A99E347">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3AD581BE">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债券资金流入</w:t>
            </w:r>
          </w:p>
        </w:tc>
        <w:tc>
          <w:tcPr>
            <w:tcW w:w="1247" w:type="dxa"/>
            <w:tcBorders>
              <w:top w:val="nil"/>
              <w:left w:val="nil"/>
              <w:bottom w:val="single" w:color="auto" w:sz="8" w:space="0"/>
              <w:right w:val="single" w:color="auto" w:sz="8" w:space="0"/>
            </w:tcBorders>
            <w:shd w:val="clear" w:color="auto" w:fill="auto"/>
            <w:vAlign w:val="center"/>
          </w:tcPr>
          <w:p w14:paraId="3AAB6AE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500.00 </w:t>
            </w:r>
          </w:p>
        </w:tc>
        <w:tc>
          <w:tcPr>
            <w:tcW w:w="1252" w:type="dxa"/>
            <w:tcBorders>
              <w:top w:val="nil"/>
              <w:left w:val="nil"/>
              <w:bottom w:val="single" w:color="auto" w:sz="8" w:space="0"/>
              <w:right w:val="single" w:color="auto" w:sz="8" w:space="0"/>
            </w:tcBorders>
            <w:shd w:val="clear" w:color="auto" w:fill="auto"/>
            <w:vAlign w:val="center"/>
          </w:tcPr>
          <w:p w14:paraId="32818D6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7,000.00 </w:t>
            </w:r>
          </w:p>
        </w:tc>
        <w:tc>
          <w:tcPr>
            <w:tcW w:w="1252" w:type="dxa"/>
            <w:tcBorders>
              <w:top w:val="nil"/>
              <w:left w:val="nil"/>
              <w:bottom w:val="single" w:color="auto" w:sz="8" w:space="0"/>
              <w:right w:val="single" w:color="auto" w:sz="8" w:space="0"/>
            </w:tcBorders>
            <w:shd w:val="clear" w:color="auto" w:fill="auto"/>
            <w:vAlign w:val="center"/>
          </w:tcPr>
          <w:p w14:paraId="7C1C480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040CD46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72F09CF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2331FDE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6868705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6591EADC">
        <w:tblPrEx>
          <w:tblCellMar>
            <w:top w:w="0" w:type="dxa"/>
            <w:left w:w="108" w:type="dxa"/>
            <w:bottom w:w="0" w:type="dxa"/>
            <w:right w:w="108" w:type="dxa"/>
          </w:tblCellMar>
        </w:tblPrEx>
        <w:trPr>
          <w:trHeight w:val="9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117F16A3">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运营期现金流入</w:t>
            </w:r>
          </w:p>
        </w:tc>
        <w:tc>
          <w:tcPr>
            <w:tcW w:w="1247" w:type="dxa"/>
            <w:tcBorders>
              <w:top w:val="nil"/>
              <w:left w:val="nil"/>
              <w:bottom w:val="single" w:color="auto" w:sz="8" w:space="0"/>
              <w:right w:val="single" w:color="auto" w:sz="8" w:space="0"/>
            </w:tcBorders>
            <w:shd w:val="clear" w:color="auto" w:fill="auto"/>
            <w:vAlign w:val="center"/>
          </w:tcPr>
          <w:p w14:paraId="3850C69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3CB77A9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04768C4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565.10 </w:t>
            </w:r>
          </w:p>
        </w:tc>
        <w:tc>
          <w:tcPr>
            <w:tcW w:w="1247" w:type="dxa"/>
            <w:tcBorders>
              <w:top w:val="nil"/>
              <w:left w:val="nil"/>
              <w:bottom w:val="single" w:color="auto" w:sz="8" w:space="0"/>
              <w:right w:val="single" w:color="auto" w:sz="8" w:space="0"/>
            </w:tcBorders>
            <w:shd w:val="clear" w:color="auto" w:fill="auto"/>
            <w:vAlign w:val="center"/>
          </w:tcPr>
          <w:p w14:paraId="57EBAA3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791.13 </w:t>
            </w:r>
          </w:p>
        </w:tc>
        <w:tc>
          <w:tcPr>
            <w:tcW w:w="1247" w:type="dxa"/>
            <w:tcBorders>
              <w:top w:val="nil"/>
              <w:left w:val="nil"/>
              <w:bottom w:val="single" w:color="auto" w:sz="8" w:space="0"/>
              <w:right w:val="single" w:color="auto" w:sz="8" w:space="0"/>
            </w:tcBorders>
            <w:shd w:val="clear" w:color="auto" w:fill="auto"/>
            <w:vAlign w:val="center"/>
          </w:tcPr>
          <w:p w14:paraId="2BAD10D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247" w:type="dxa"/>
            <w:tcBorders>
              <w:top w:val="nil"/>
              <w:left w:val="nil"/>
              <w:bottom w:val="single" w:color="auto" w:sz="8" w:space="0"/>
              <w:right w:val="single" w:color="auto" w:sz="8" w:space="0"/>
            </w:tcBorders>
            <w:shd w:val="clear" w:color="auto" w:fill="auto"/>
            <w:vAlign w:val="center"/>
          </w:tcPr>
          <w:p w14:paraId="59F0F25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247" w:type="dxa"/>
            <w:tcBorders>
              <w:top w:val="nil"/>
              <w:left w:val="nil"/>
              <w:bottom w:val="single" w:color="auto" w:sz="8" w:space="0"/>
              <w:right w:val="single" w:color="auto" w:sz="8" w:space="0"/>
            </w:tcBorders>
            <w:shd w:val="clear" w:color="auto" w:fill="auto"/>
            <w:vAlign w:val="center"/>
          </w:tcPr>
          <w:p w14:paraId="730BF00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r>
      <w:tr w14:paraId="0D5D588C">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58F8CCF6">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现金流入总额</w:t>
            </w:r>
          </w:p>
        </w:tc>
        <w:tc>
          <w:tcPr>
            <w:tcW w:w="1247" w:type="dxa"/>
            <w:tcBorders>
              <w:top w:val="nil"/>
              <w:left w:val="nil"/>
              <w:bottom w:val="single" w:color="auto" w:sz="8" w:space="0"/>
              <w:right w:val="single" w:color="auto" w:sz="8" w:space="0"/>
            </w:tcBorders>
            <w:shd w:val="clear" w:color="auto" w:fill="auto"/>
            <w:vAlign w:val="center"/>
          </w:tcPr>
          <w:p w14:paraId="6B01363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1,000.00 </w:t>
            </w:r>
          </w:p>
        </w:tc>
        <w:tc>
          <w:tcPr>
            <w:tcW w:w="1252" w:type="dxa"/>
            <w:tcBorders>
              <w:top w:val="nil"/>
              <w:left w:val="nil"/>
              <w:bottom w:val="single" w:color="auto" w:sz="8" w:space="0"/>
              <w:right w:val="single" w:color="auto" w:sz="8" w:space="0"/>
            </w:tcBorders>
            <w:shd w:val="clear" w:color="auto" w:fill="auto"/>
            <w:vAlign w:val="center"/>
          </w:tcPr>
          <w:p w14:paraId="47F9FC6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22,017.09 </w:t>
            </w:r>
          </w:p>
        </w:tc>
        <w:tc>
          <w:tcPr>
            <w:tcW w:w="1252" w:type="dxa"/>
            <w:tcBorders>
              <w:top w:val="nil"/>
              <w:left w:val="nil"/>
              <w:bottom w:val="single" w:color="auto" w:sz="8" w:space="0"/>
              <w:right w:val="single" w:color="auto" w:sz="8" w:space="0"/>
            </w:tcBorders>
            <w:shd w:val="clear" w:color="auto" w:fill="auto"/>
            <w:vAlign w:val="center"/>
          </w:tcPr>
          <w:p w14:paraId="14521C9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21,919.98 </w:t>
            </w:r>
          </w:p>
        </w:tc>
        <w:tc>
          <w:tcPr>
            <w:tcW w:w="1247" w:type="dxa"/>
            <w:tcBorders>
              <w:top w:val="nil"/>
              <w:left w:val="nil"/>
              <w:bottom w:val="single" w:color="auto" w:sz="8" w:space="0"/>
              <w:right w:val="single" w:color="auto" w:sz="8" w:space="0"/>
            </w:tcBorders>
            <w:shd w:val="clear" w:color="auto" w:fill="auto"/>
            <w:vAlign w:val="center"/>
          </w:tcPr>
          <w:p w14:paraId="663F2A0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791.13 </w:t>
            </w:r>
          </w:p>
        </w:tc>
        <w:tc>
          <w:tcPr>
            <w:tcW w:w="1247" w:type="dxa"/>
            <w:tcBorders>
              <w:top w:val="nil"/>
              <w:left w:val="nil"/>
              <w:bottom w:val="single" w:color="auto" w:sz="8" w:space="0"/>
              <w:right w:val="single" w:color="auto" w:sz="8" w:space="0"/>
            </w:tcBorders>
            <w:shd w:val="clear" w:color="auto" w:fill="auto"/>
            <w:vAlign w:val="center"/>
          </w:tcPr>
          <w:p w14:paraId="17C6D56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247" w:type="dxa"/>
            <w:tcBorders>
              <w:top w:val="nil"/>
              <w:left w:val="nil"/>
              <w:bottom w:val="single" w:color="auto" w:sz="8" w:space="0"/>
              <w:right w:val="single" w:color="auto" w:sz="8" w:space="0"/>
            </w:tcBorders>
            <w:shd w:val="clear" w:color="auto" w:fill="auto"/>
            <w:vAlign w:val="center"/>
          </w:tcPr>
          <w:p w14:paraId="14CE179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247" w:type="dxa"/>
            <w:tcBorders>
              <w:top w:val="nil"/>
              <w:left w:val="nil"/>
              <w:bottom w:val="single" w:color="auto" w:sz="8" w:space="0"/>
              <w:right w:val="single" w:color="auto" w:sz="8" w:space="0"/>
            </w:tcBorders>
            <w:shd w:val="clear" w:color="auto" w:fill="auto"/>
            <w:vAlign w:val="center"/>
          </w:tcPr>
          <w:p w14:paraId="6A3AAC8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r>
      <w:tr w14:paraId="05030B11">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000000" w:fill="D3DFEE"/>
            <w:noWrap/>
            <w:vAlign w:val="center"/>
          </w:tcPr>
          <w:p w14:paraId="2856A6F0">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现金流出</w:t>
            </w:r>
          </w:p>
        </w:tc>
        <w:tc>
          <w:tcPr>
            <w:tcW w:w="1247" w:type="dxa"/>
            <w:tcBorders>
              <w:top w:val="nil"/>
              <w:left w:val="nil"/>
              <w:bottom w:val="single" w:color="auto" w:sz="8" w:space="0"/>
              <w:right w:val="single" w:color="auto" w:sz="8" w:space="0"/>
            </w:tcBorders>
            <w:shd w:val="clear" w:color="000000" w:fill="D3DFEE"/>
            <w:noWrap/>
            <w:vAlign w:val="bottom"/>
          </w:tcPr>
          <w:p w14:paraId="13A2DDE9">
            <w:pPr>
              <w:jc w:val="center"/>
              <w:rPr>
                <w:rFonts w:hint="default" w:ascii="Verdana" w:hAnsi="Verdana" w:eastAsia="宋体" w:cs="Arial"/>
                <w:color w:val="000000"/>
                <w:kern w:val="0"/>
                <w:sz w:val="20"/>
                <w:szCs w:val="20"/>
                <w:lang w:val="en-US" w:eastAsia="zh-CN" w:bidi="ar-SA"/>
              </w:rPr>
            </w:pPr>
          </w:p>
        </w:tc>
        <w:tc>
          <w:tcPr>
            <w:tcW w:w="1252" w:type="dxa"/>
            <w:tcBorders>
              <w:top w:val="nil"/>
              <w:left w:val="nil"/>
              <w:bottom w:val="single" w:color="auto" w:sz="8" w:space="0"/>
              <w:right w:val="single" w:color="auto" w:sz="8" w:space="0"/>
            </w:tcBorders>
            <w:shd w:val="clear" w:color="000000" w:fill="D3DFEE"/>
            <w:noWrap/>
            <w:vAlign w:val="bottom"/>
          </w:tcPr>
          <w:p w14:paraId="5A3FAFD7">
            <w:pPr>
              <w:jc w:val="center"/>
              <w:rPr>
                <w:rFonts w:hint="default" w:ascii="Verdana" w:hAnsi="Verdana" w:eastAsia="宋体" w:cs="Arial"/>
                <w:color w:val="000000"/>
                <w:kern w:val="0"/>
                <w:sz w:val="20"/>
                <w:szCs w:val="20"/>
                <w:lang w:val="en-US" w:eastAsia="zh-CN" w:bidi="ar-SA"/>
              </w:rPr>
            </w:pPr>
          </w:p>
        </w:tc>
        <w:tc>
          <w:tcPr>
            <w:tcW w:w="1252" w:type="dxa"/>
            <w:tcBorders>
              <w:top w:val="nil"/>
              <w:left w:val="nil"/>
              <w:bottom w:val="single" w:color="auto" w:sz="8" w:space="0"/>
              <w:right w:val="single" w:color="auto" w:sz="8" w:space="0"/>
            </w:tcBorders>
            <w:shd w:val="clear" w:color="000000" w:fill="D3DFEE"/>
            <w:noWrap/>
            <w:vAlign w:val="bottom"/>
          </w:tcPr>
          <w:p w14:paraId="20485B54">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29FAE214">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54D2BD9F">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4600B61F">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0FB8A55D">
            <w:pPr>
              <w:jc w:val="center"/>
              <w:rPr>
                <w:rFonts w:hint="default" w:ascii="Verdana" w:hAnsi="Verdana" w:eastAsia="宋体" w:cs="Arial"/>
                <w:color w:val="000000"/>
                <w:kern w:val="0"/>
                <w:sz w:val="20"/>
                <w:szCs w:val="20"/>
                <w:lang w:val="en-US" w:eastAsia="zh-CN" w:bidi="ar-SA"/>
              </w:rPr>
            </w:pPr>
          </w:p>
        </w:tc>
      </w:tr>
      <w:tr w14:paraId="7D1F96DB">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33AA761E">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建设期资金流出</w:t>
            </w:r>
          </w:p>
        </w:tc>
        <w:tc>
          <w:tcPr>
            <w:tcW w:w="1247" w:type="dxa"/>
            <w:tcBorders>
              <w:top w:val="nil"/>
              <w:left w:val="nil"/>
              <w:bottom w:val="single" w:color="auto" w:sz="8" w:space="0"/>
              <w:right w:val="single" w:color="auto" w:sz="8" w:space="0"/>
            </w:tcBorders>
            <w:shd w:val="clear" w:color="auto" w:fill="auto"/>
            <w:vAlign w:val="center"/>
          </w:tcPr>
          <w:p w14:paraId="0ABEE33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1,000.00 </w:t>
            </w:r>
          </w:p>
        </w:tc>
        <w:tc>
          <w:tcPr>
            <w:tcW w:w="1252" w:type="dxa"/>
            <w:tcBorders>
              <w:top w:val="nil"/>
              <w:left w:val="nil"/>
              <w:bottom w:val="single" w:color="auto" w:sz="8" w:space="0"/>
              <w:right w:val="single" w:color="auto" w:sz="8" w:space="0"/>
            </w:tcBorders>
            <w:shd w:val="clear" w:color="auto" w:fill="auto"/>
            <w:vAlign w:val="center"/>
          </w:tcPr>
          <w:p w14:paraId="4588686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22,000.00 </w:t>
            </w:r>
          </w:p>
        </w:tc>
        <w:tc>
          <w:tcPr>
            <w:tcW w:w="1252" w:type="dxa"/>
            <w:tcBorders>
              <w:top w:val="nil"/>
              <w:left w:val="nil"/>
              <w:bottom w:val="single" w:color="auto" w:sz="8" w:space="0"/>
              <w:right w:val="single" w:color="auto" w:sz="8" w:space="0"/>
            </w:tcBorders>
            <w:shd w:val="clear" w:color="auto" w:fill="auto"/>
            <w:vAlign w:val="center"/>
          </w:tcPr>
          <w:p w14:paraId="3C92D4F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21,148.79 </w:t>
            </w:r>
          </w:p>
        </w:tc>
        <w:tc>
          <w:tcPr>
            <w:tcW w:w="1247" w:type="dxa"/>
            <w:tcBorders>
              <w:top w:val="nil"/>
              <w:left w:val="nil"/>
              <w:bottom w:val="single" w:color="auto" w:sz="8" w:space="0"/>
              <w:right w:val="single" w:color="auto" w:sz="8" w:space="0"/>
            </w:tcBorders>
            <w:shd w:val="clear" w:color="auto" w:fill="auto"/>
            <w:vAlign w:val="center"/>
          </w:tcPr>
          <w:p w14:paraId="64777A8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4D384D6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6BA3F32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5661EAF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705DB214">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7563DDDE">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运营期现金流出</w:t>
            </w:r>
          </w:p>
        </w:tc>
        <w:tc>
          <w:tcPr>
            <w:tcW w:w="1247" w:type="dxa"/>
            <w:tcBorders>
              <w:top w:val="nil"/>
              <w:left w:val="nil"/>
              <w:bottom w:val="single" w:color="auto" w:sz="8" w:space="0"/>
              <w:right w:val="single" w:color="auto" w:sz="8" w:space="0"/>
            </w:tcBorders>
            <w:shd w:val="clear" w:color="auto" w:fill="auto"/>
            <w:vAlign w:val="center"/>
          </w:tcPr>
          <w:p w14:paraId="4030AE7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3B67891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150B79F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59.02 </w:t>
            </w:r>
          </w:p>
        </w:tc>
        <w:tc>
          <w:tcPr>
            <w:tcW w:w="1247" w:type="dxa"/>
            <w:tcBorders>
              <w:top w:val="nil"/>
              <w:left w:val="nil"/>
              <w:bottom w:val="single" w:color="auto" w:sz="8" w:space="0"/>
              <w:right w:val="single" w:color="auto" w:sz="8" w:space="0"/>
            </w:tcBorders>
            <w:shd w:val="clear" w:color="auto" w:fill="auto"/>
            <w:vAlign w:val="center"/>
          </w:tcPr>
          <w:p w14:paraId="58B25D9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82.63 </w:t>
            </w:r>
          </w:p>
        </w:tc>
        <w:tc>
          <w:tcPr>
            <w:tcW w:w="1247" w:type="dxa"/>
            <w:tcBorders>
              <w:top w:val="nil"/>
              <w:left w:val="nil"/>
              <w:bottom w:val="single" w:color="auto" w:sz="8" w:space="0"/>
              <w:right w:val="single" w:color="auto" w:sz="8" w:space="0"/>
            </w:tcBorders>
            <w:shd w:val="clear" w:color="auto" w:fill="auto"/>
            <w:vAlign w:val="center"/>
          </w:tcPr>
          <w:p w14:paraId="309FE0D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247" w:type="dxa"/>
            <w:tcBorders>
              <w:top w:val="nil"/>
              <w:left w:val="nil"/>
              <w:bottom w:val="single" w:color="auto" w:sz="8" w:space="0"/>
              <w:right w:val="single" w:color="auto" w:sz="8" w:space="0"/>
            </w:tcBorders>
            <w:shd w:val="clear" w:color="auto" w:fill="auto"/>
            <w:vAlign w:val="center"/>
          </w:tcPr>
          <w:p w14:paraId="21F8031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247" w:type="dxa"/>
            <w:tcBorders>
              <w:top w:val="nil"/>
              <w:left w:val="nil"/>
              <w:bottom w:val="single" w:color="auto" w:sz="8" w:space="0"/>
              <w:right w:val="single" w:color="auto" w:sz="8" w:space="0"/>
            </w:tcBorders>
            <w:shd w:val="clear" w:color="auto" w:fill="auto"/>
            <w:vAlign w:val="center"/>
          </w:tcPr>
          <w:p w14:paraId="07BFC20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r>
      <w:tr w14:paraId="124D6C22">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3395B2D4">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债券还本付息</w:t>
            </w:r>
          </w:p>
        </w:tc>
        <w:tc>
          <w:tcPr>
            <w:tcW w:w="1247" w:type="dxa"/>
            <w:tcBorders>
              <w:top w:val="nil"/>
              <w:left w:val="nil"/>
              <w:bottom w:val="single" w:color="auto" w:sz="8" w:space="0"/>
              <w:right w:val="single" w:color="auto" w:sz="8" w:space="0"/>
            </w:tcBorders>
            <w:shd w:val="clear" w:color="auto" w:fill="auto"/>
            <w:vAlign w:val="center"/>
          </w:tcPr>
          <w:p w14:paraId="1ED748A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1721744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10.09 </w:t>
            </w:r>
          </w:p>
        </w:tc>
        <w:tc>
          <w:tcPr>
            <w:tcW w:w="1252" w:type="dxa"/>
            <w:tcBorders>
              <w:top w:val="nil"/>
              <w:left w:val="nil"/>
              <w:bottom w:val="single" w:color="auto" w:sz="8" w:space="0"/>
              <w:right w:val="single" w:color="auto" w:sz="8" w:space="0"/>
            </w:tcBorders>
            <w:shd w:val="clear" w:color="auto" w:fill="auto"/>
            <w:vAlign w:val="center"/>
          </w:tcPr>
          <w:p w14:paraId="6A4D58F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247" w:type="dxa"/>
            <w:tcBorders>
              <w:top w:val="nil"/>
              <w:left w:val="nil"/>
              <w:bottom w:val="single" w:color="auto" w:sz="8" w:space="0"/>
              <w:right w:val="single" w:color="auto" w:sz="8" w:space="0"/>
            </w:tcBorders>
            <w:shd w:val="clear" w:color="auto" w:fill="auto"/>
            <w:vAlign w:val="center"/>
          </w:tcPr>
          <w:p w14:paraId="457A9F1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247" w:type="dxa"/>
            <w:tcBorders>
              <w:top w:val="nil"/>
              <w:left w:val="nil"/>
              <w:bottom w:val="single" w:color="auto" w:sz="8" w:space="0"/>
              <w:right w:val="single" w:color="auto" w:sz="8" w:space="0"/>
            </w:tcBorders>
            <w:shd w:val="clear" w:color="auto" w:fill="auto"/>
            <w:vAlign w:val="center"/>
          </w:tcPr>
          <w:p w14:paraId="7147E3D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247" w:type="dxa"/>
            <w:tcBorders>
              <w:top w:val="nil"/>
              <w:left w:val="nil"/>
              <w:bottom w:val="single" w:color="auto" w:sz="8" w:space="0"/>
              <w:right w:val="single" w:color="auto" w:sz="8" w:space="0"/>
            </w:tcBorders>
            <w:shd w:val="clear" w:color="auto" w:fill="auto"/>
            <w:vAlign w:val="center"/>
          </w:tcPr>
          <w:p w14:paraId="119B10C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247" w:type="dxa"/>
            <w:tcBorders>
              <w:top w:val="nil"/>
              <w:left w:val="nil"/>
              <w:bottom w:val="single" w:color="auto" w:sz="8" w:space="0"/>
              <w:right w:val="single" w:color="auto" w:sz="8" w:space="0"/>
            </w:tcBorders>
            <w:shd w:val="clear" w:color="auto" w:fill="auto"/>
            <w:vAlign w:val="center"/>
          </w:tcPr>
          <w:p w14:paraId="38C915D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r>
      <w:tr w14:paraId="76A35DDA">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2EA1EC58">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债券发行费用</w:t>
            </w:r>
          </w:p>
        </w:tc>
        <w:tc>
          <w:tcPr>
            <w:tcW w:w="1247" w:type="dxa"/>
            <w:tcBorders>
              <w:top w:val="nil"/>
              <w:left w:val="nil"/>
              <w:bottom w:val="single" w:color="auto" w:sz="8" w:space="0"/>
              <w:right w:val="single" w:color="auto" w:sz="8" w:space="0"/>
            </w:tcBorders>
            <w:shd w:val="clear" w:color="auto" w:fill="auto"/>
            <w:vAlign w:val="center"/>
          </w:tcPr>
          <w:p w14:paraId="1D7CBB7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10429F6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7.00 </w:t>
            </w:r>
          </w:p>
        </w:tc>
        <w:tc>
          <w:tcPr>
            <w:tcW w:w="1252" w:type="dxa"/>
            <w:tcBorders>
              <w:top w:val="nil"/>
              <w:left w:val="nil"/>
              <w:bottom w:val="single" w:color="auto" w:sz="8" w:space="0"/>
              <w:right w:val="single" w:color="auto" w:sz="8" w:space="0"/>
            </w:tcBorders>
            <w:shd w:val="clear" w:color="auto" w:fill="auto"/>
            <w:vAlign w:val="center"/>
          </w:tcPr>
          <w:p w14:paraId="797A3A4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34475A3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6E89B63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078F326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47" w:type="dxa"/>
            <w:tcBorders>
              <w:top w:val="nil"/>
              <w:left w:val="nil"/>
              <w:bottom w:val="single" w:color="auto" w:sz="8" w:space="0"/>
              <w:right w:val="single" w:color="auto" w:sz="8" w:space="0"/>
            </w:tcBorders>
            <w:shd w:val="clear" w:color="auto" w:fill="auto"/>
            <w:vAlign w:val="center"/>
          </w:tcPr>
          <w:p w14:paraId="4DF5473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0BA2B053">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6C28548B">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现金流出总额</w:t>
            </w:r>
          </w:p>
        </w:tc>
        <w:tc>
          <w:tcPr>
            <w:tcW w:w="1247" w:type="dxa"/>
            <w:tcBorders>
              <w:top w:val="nil"/>
              <w:left w:val="nil"/>
              <w:bottom w:val="single" w:color="auto" w:sz="8" w:space="0"/>
              <w:right w:val="single" w:color="auto" w:sz="8" w:space="0"/>
            </w:tcBorders>
            <w:shd w:val="clear" w:color="auto" w:fill="auto"/>
            <w:vAlign w:val="center"/>
          </w:tcPr>
          <w:p w14:paraId="2505FD7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1,000.00 </w:t>
            </w:r>
          </w:p>
        </w:tc>
        <w:tc>
          <w:tcPr>
            <w:tcW w:w="1252" w:type="dxa"/>
            <w:tcBorders>
              <w:top w:val="nil"/>
              <w:left w:val="nil"/>
              <w:bottom w:val="single" w:color="auto" w:sz="8" w:space="0"/>
              <w:right w:val="single" w:color="auto" w:sz="8" w:space="0"/>
            </w:tcBorders>
            <w:shd w:val="clear" w:color="auto" w:fill="auto"/>
            <w:vAlign w:val="center"/>
          </w:tcPr>
          <w:p w14:paraId="227549D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22,017.09 </w:t>
            </w:r>
          </w:p>
        </w:tc>
        <w:tc>
          <w:tcPr>
            <w:tcW w:w="1252" w:type="dxa"/>
            <w:tcBorders>
              <w:top w:val="nil"/>
              <w:left w:val="nil"/>
              <w:bottom w:val="single" w:color="auto" w:sz="8" w:space="0"/>
              <w:right w:val="single" w:color="auto" w:sz="8" w:space="0"/>
            </w:tcBorders>
            <w:shd w:val="clear" w:color="auto" w:fill="auto"/>
            <w:vAlign w:val="center"/>
          </w:tcPr>
          <w:p w14:paraId="32101E7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21,413.90 </w:t>
            </w:r>
          </w:p>
        </w:tc>
        <w:tc>
          <w:tcPr>
            <w:tcW w:w="1247" w:type="dxa"/>
            <w:tcBorders>
              <w:top w:val="nil"/>
              <w:left w:val="nil"/>
              <w:bottom w:val="single" w:color="auto" w:sz="8" w:space="0"/>
              <w:right w:val="single" w:color="auto" w:sz="8" w:space="0"/>
            </w:tcBorders>
            <w:shd w:val="clear" w:color="auto" w:fill="auto"/>
            <w:vAlign w:val="center"/>
          </w:tcPr>
          <w:p w14:paraId="4A7CC7A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288.72 </w:t>
            </w:r>
          </w:p>
        </w:tc>
        <w:tc>
          <w:tcPr>
            <w:tcW w:w="1247" w:type="dxa"/>
            <w:tcBorders>
              <w:top w:val="nil"/>
              <w:left w:val="nil"/>
              <w:bottom w:val="single" w:color="auto" w:sz="8" w:space="0"/>
              <w:right w:val="single" w:color="auto" w:sz="8" w:space="0"/>
            </w:tcBorders>
            <w:shd w:val="clear" w:color="auto" w:fill="auto"/>
            <w:vAlign w:val="center"/>
          </w:tcPr>
          <w:p w14:paraId="5E1BB8A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324.13 </w:t>
            </w:r>
          </w:p>
        </w:tc>
        <w:tc>
          <w:tcPr>
            <w:tcW w:w="1247" w:type="dxa"/>
            <w:tcBorders>
              <w:top w:val="nil"/>
              <w:left w:val="nil"/>
              <w:bottom w:val="single" w:color="auto" w:sz="8" w:space="0"/>
              <w:right w:val="single" w:color="auto" w:sz="8" w:space="0"/>
            </w:tcBorders>
            <w:shd w:val="clear" w:color="auto" w:fill="auto"/>
            <w:vAlign w:val="center"/>
          </w:tcPr>
          <w:p w14:paraId="1D55FFA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324.13 </w:t>
            </w:r>
          </w:p>
        </w:tc>
        <w:tc>
          <w:tcPr>
            <w:tcW w:w="1247" w:type="dxa"/>
            <w:tcBorders>
              <w:top w:val="nil"/>
              <w:left w:val="nil"/>
              <w:bottom w:val="single" w:color="auto" w:sz="8" w:space="0"/>
              <w:right w:val="single" w:color="auto" w:sz="8" w:space="0"/>
            </w:tcBorders>
            <w:shd w:val="clear" w:color="auto" w:fill="auto"/>
            <w:vAlign w:val="center"/>
          </w:tcPr>
          <w:p w14:paraId="72FA30A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324.13 </w:t>
            </w:r>
          </w:p>
        </w:tc>
      </w:tr>
      <w:tr w14:paraId="27720C28">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000000" w:fill="D3DFEE"/>
            <w:noWrap/>
            <w:vAlign w:val="center"/>
          </w:tcPr>
          <w:p w14:paraId="6F597423">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现金净流量</w:t>
            </w:r>
          </w:p>
        </w:tc>
        <w:tc>
          <w:tcPr>
            <w:tcW w:w="1247" w:type="dxa"/>
            <w:tcBorders>
              <w:top w:val="nil"/>
              <w:left w:val="nil"/>
              <w:bottom w:val="single" w:color="auto" w:sz="8" w:space="0"/>
              <w:right w:val="single" w:color="auto" w:sz="8" w:space="0"/>
            </w:tcBorders>
            <w:shd w:val="clear" w:color="000000" w:fill="D3DFEE"/>
            <w:noWrap/>
            <w:vAlign w:val="bottom"/>
          </w:tcPr>
          <w:p w14:paraId="61F64BBB">
            <w:pPr>
              <w:jc w:val="center"/>
              <w:rPr>
                <w:rFonts w:hint="default" w:ascii="Verdana" w:hAnsi="Verdana" w:eastAsia="宋体" w:cs="Arial"/>
                <w:color w:val="000000"/>
                <w:kern w:val="0"/>
                <w:sz w:val="20"/>
                <w:szCs w:val="20"/>
                <w:lang w:val="en-US" w:eastAsia="zh-CN" w:bidi="ar-SA"/>
              </w:rPr>
            </w:pPr>
          </w:p>
        </w:tc>
        <w:tc>
          <w:tcPr>
            <w:tcW w:w="1252" w:type="dxa"/>
            <w:tcBorders>
              <w:top w:val="nil"/>
              <w:left w:val="nil"/>
              <w:bottom w:val="single" w:color="auto" w:sz="8" w:space="0"/>
              <w:right w:val="single" w:color="auto" w:sz="8" w:space="0"/>
            </w:tcBorders>
            <w:shd w:val="clear" w:color="000000" w:fill="D3DFEE"/>
            <w:noWrap/>
            <w:vAlign w:val="bottom"/>
          </w:tcPr>
          <w:p w14:paraId="5B0A29AD">
            <w:pPr>
              <w:jc w:val="center"/>
              <w:rPr>
                <w:rFonts w:hint="default" w:ascii="Verdana" w:hAnsi="Verdana" w:eastAsia="宋体" w:cs="Arial"/>
                <w:color w:val="000000"/>
                <w:kern w:val="0"/>
                <w:sz w:val="20"/>
                <w:szCs w:val="20"/>
                <w:lang w:val="en-US" w:eastAsia="zh-CN" w:bidi="ar-SA"/>
              </w:rPr>
            </w:pPr>
          </w:p>
        </w:tc>
        <w:tc>
          <w:tcPr>
            <w:tcW w:w="1252" w:type="dxa"/>
            <w:tcBorders>
              <w:top w:val="nil"/>
              <w:left w:val="nil"/>
              <w:bottom w:val="single" w:color="auto" w:sz="8" w:space="0"/>
              <w:right w:val="single" w:color="auto" w:sz="8" w:space="0"/>
            </w:tcBorders>
            <w:shd w:val="clear" w:color="000000" w:fill="D3DFEE"/>
            <w:noWrap/>
            <w:vAlign w:val="bottom"/>
          </w:tcPr>
          <w:p w14:paraId="474A9B2C">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4CE7A0A0">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4924E525">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7B4813F3">
            <w:pPr>
              <w:jc w:val="center"/>
              <w:rPr>
                <w:rFonts w:hint="default" w:ascii="Verdana" w:hAnsi="Verdana" w:eastAsia="宋体" w:cs="Arial"/>
                <w:color w:val="000000"/>
                <w:kern w:val="0"/>
                <w:sz w:val="20"/>
                <w:szCs w:val="20"/>
                <w:lang w:val="en-US" w:eastAsia="zh-CN" w:bidi="ar-SA"/>
              </w:rPr>
            </w:pPr>
          </w:p>
        </w:tc>
        <w:tc>
          <w:tcPr>
            <w:tcW w:w="1247" w:type="dxa"/>
            <w:tcBorders>
              <w:top w:val="nil"/>
              <w:left w:val="nil"/>
              <w:bottom w:val="single" w:color="auto" w:sz="8" w:space="0"/>
              <w:right w:val="single" w:color="auto" w:sz="8" w:space="0"/>
            </w:tcBorders>
            <w:shd w:val="clear" w:color="000000" w:fill="D3DFEE"/>
            <w:noWrap/>
            <w:vAlign w:val="bottom"/>
          </w:tcPr>
          <w:p w14:paraId="58A30020">
            <w:pPr>
              <w:jc w:val="center"/>
              <w:rPr>
                <w:rFonts w:hint="default" w:ascii="Verdana" w:hAnsi="Verdana" w:eastAsia="宋体" w:cs="Arial"/>
                <w:color w:val="000000"/>
                <w:kern w:val="0"/>
                <w:sz w:val="20"/>
                <w:szCs w:val="20"/>
                <w:lang w:val="en-US" w:eastAsia="zh-CN" w:bidi="ar-SA"/>
              </w:rPr>
            </w:pPr>
          </w:p>
        </w:tc>
      </w:tr>
      <w:tr w14:paraId="72250AD5">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76E88001">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当年项目现金净流入</w:t>
            </w:r>
          </w:p>
        </w:tc>
        <w:tc>
          <w:tcPr>
            <w:tcW w:w="1247" w:type="dxa"/>
            <w:tcBorders>
              <w:top w:val="nil"/>
              <w:left w:val="nil"/>
              <w:bottom w:val="single" w:color="auto" w:sz="8" w:space="0"/>
              <w:right w:val="single" w:color="auto" w:sz="8" w:space="0"/>
            </w:tcBorders>
            <w:shd w:val="clear" w:color="auto" w:fill="auto"/>
            <w:vAlign w:val="center"/>
          </w:tcPr>
          <w:p w14:paraId="1DEC8AB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40AA879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2669AAE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506.08 </w:t>
            </w:r>
          </w:p>
        </w:tc>
        <w:tc>
          <w:tcPr>
            <w:tcW w:w="1247" w:type="dxa"/>
            <w:tcBorders>
              <w:top w:val="nil"/>
              <w:left w:val="nil"/>
              <w:bottom w:val="single" w:color="auto" w:sz="8" w:space="0"/>
              <w:right w:val="single" w:color="auto" w:sz="8" w:space="0"/>
            </w:tcBorders>
            <w:shd w:val="clear" w:color="auto" w:fill="auto"/>
            <w:vAlign w:val="center"/>
          </w:tcPr>
          <w:p w14:paraId="56294E9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502.41 </w:t>
            </w:r>
          </w:p>
        </w:tc>
        <w:tc>
          <w:tcPr>
            <w:tcW w:w="1247" w:type="dxa"/>
            <w:tcBorders>
              <w:top w:val="nil"/>
              <w:left w:val="nil"/>
              <w:bottom w:val="single" w:color="auto" w:sz="8" w:space="0"/>
              <w:right w:val="single" w:color="auto" w:sz="8" w:space="0"/>
            </w:tcBorders>
            <w:shd w:val="clear" w:color="auto" w:fill="auto"/>
            <w:vAlign w:val="center"/>
          </w:tcPr>
          <w:p w14:paraId="5D61866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806.04 </w:t>
            </w:r>
          </w:p>
        </w:tc>
        <w:tc>
          <w:tcPr>
            <w:tcW w:w="1247" w:type="dxa"/>
            <w:tcBorders>
              <w:top w:val="nil"/>
              <w:left w:val="nil"/>
              <w:bottom w:val="single" w:color="auto" w:sz="8" w:space="0"/>
              <w:right w:val="single" w:color="auto" w:sz="8" w:space="0"/>
            </w:tcBorders>
            <w:shd w:val="clear" w:color="auto" w:fill="auto"/>
            <w:vAlign w:val="center"/>
          </w:tcPr>
          <w:p w14:paraId="6DF22E1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806.04 </w:t>
            </w:r>
          </w:p>
        </w:tc>
        <w:tc>
          <w:tcPr>
            <w:tcW w:w="1247" w:type="dxa"/>
            <w:tcBorders>
              <w:top w:val="nil"/>
              <w:left w:val="nil"/>
              <w:bottom w:val="single" w:color="auto" w:sz="8" w:space="0"/>
              <w:right w:val="single" w:color="auto" w:sz="8" w:space="0"/>
            </w:tcBorders>
            <w:shd w:val="clear" w:color="auto" w:fill="auto"/>
            <w:vAlign w:val="center"/>
          </w:tcPr>
          <w:p w14:paraId="15C557F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806.04 </w:t>
            </w:r>
          </w:p>
        </w:tc>
      </w:tr>
      <w:tr w14:paraId="4982B42F">
        <w:tblPrEx>
          <w:tblCellMar>
            <w:top w:w="0" w:type="dxa"/>
            <w:left w:w="108" w:type="dxa"/>
            <w:bottom w:w="0" w:type="dxa"/>
            <w:right w:w="108" w:type="dxa"/>
          </w:tblCellMar>
        </w:tblPrEx>
        <w:trPr>
          <w:trHeight w:val="300" w:hRule="atLeast"/>
          <w:jc w:val="center"/>
        </w:trPr>
        <w:tc>
          <w:tcPr>
            <w:tcW w:w="2512" w:type="dxa"/>
            <w:tcBorders>
              <w:top w:val="nil"/>
              <w:left w:val="single" w:color="auto" w:sz="8" w:space="0"/>
              <w:bottom w:val="single" w:color="auto" w:sz="8" w:space="0"/>
              <w:right w:val="single" w:color="auto" w:sz="8" w:space="0"/>
            </w:tcBorders>
            <w:shd w:val="clear" w:color="auto" w:fill="auto"/>
            <w:noWrap/>
            <w:vAlign w:val="center"/>
          </w:tcPr>
          <w:p w14:paraId="04FCD4D9">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期末项目累计现金结存额</w:t>
            </w:r>
          </w:p>
        </w:tc>
        <w:tc>
          <w:tcPr>
            <w:tcW w:w="1247" w:type="dxa"/>
            <w:tcBorders>
              <w:top w:val="nil"/>
              <w:left w:val="nil"/>
              <w:bottom w:val="single" w:color="auto" w:sz="8" w:space="0"/>
              <w:right w:val="single" w:color="auto" w:sz="8" w:space="0"/>
            </w:tcBorders>
            <w:shd w:val="clear" w:color="auto" w:fill="auto"/>
            <w:vAlign w:val="center"/>
          </w:tcPr>
          <w:p w14:paraId="47B69FF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1C87611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52" w:type="dxa"/>
            <w:tcBorders>
              <w:top w:val="nil"/>
              <w:left w:val="nil"/>
              <w:bottom w:val="single" w:color="auto" w:sz="8" w:space="0"/>
              <w:right w:val="single" w:color="auto" w:sz="8" w:space="0"/>
            </w:tcBorders>
            <w:shd w:val="clear" w:color="auto" w:fill="auto"/>
            <w:vAlign w:val="center"/>
          </w:tcPr>
          <w:p w14:paraId="5C4D31F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506.08 </w:t>
            </w:r>
          </w:p>
        </w:tc>
        <w:tc>
          <w:tcPr>
            <w:tcW w:w="1247" w:type="dxa"/>
            <w:tcBorders>
              <w:top w:val="nil"/>
              <w:left w:val="nil"/>
              <w:bottom w:val="single" w:color="auto" w:sz="8" w:space="0"/>
              <w:right w:val="single" w:color="auto" w:sz="8" w:space="0"/>
            </w:tcBorders>
            <w:shd w:val="clear" w:color="auto" w:fill="auto"/>
            <w:vAlign w:val="center"/>
          </w:tcPr>
          <w:p w14:paraId="087894E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1,008.49 </w:t>
            </w:r>
          </w:p>
        </w:tc>
        <w:tc>
          <w:tcPr>
            <w:tcW w:w="1247" w:type="dxa"/>
            <w:tcBorders>
              <w:top w:val="nil"/>
              <w:left w:val="nil"/>
              <w:bottom w:val="single" w:color="auto" w:sz="8" w:space="0"/>
              <w:right w:val="single" w:color="auto" w:sz="8" w:space="0"/>
            </w:tcBorders>
            <w:shd w:val="clear" w:color="auto" w:fill="auto"/>
            <w:vAlign w:val="center"/>
          </w:tcPr>
          <w:p w14:paraId="1E503E2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1,814.53 </w:t>
            </w:r>
          </w:p>
        </w:tc>
        <w:tc>
          <w:tcPr>
            <w:tcW w:w="1247" w:type="dxa"/>
            <w:tcBorders>
              <w:top w:val="nil"/>
              <w:left w:val="nil"/>
              <w:bottom w:val="single" w:color="auto" w:sz="8" w:space="0"/>
              <w:right w:val="single" w:color="auto" w:sz="8" w:space="0"/>
            </w:tcBorders>
            <w:shd w:val="clear" w:color="auto" w:fill="auto"/>
            <w:vAlign w:val="center"/>
          </w:tcPr>
          <w:p w14:paraId="31D74A8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2,620.57 </w:t>
            </w:r>
          </w:p>
        </w:tc>
        <w:tc>
          <w:tcPr>
            <w:tcW w:w="1247" w:type="dxa"/>
            <w:tcBorders>
              <w:top w:val="nil"/>
              <w:left w:val="nil"/>
              <w:bottom w:val="single" w:color="auto" w:sz="8" w:space="0"/>
              <w:right w:val="single" w:color="auto" w:sz="8" w:space="0"/>
            </w:tcBorders>
            <w:shd w:val="clear" w:color="auto" w:fill="auto"/>
            <w:vAlign w:val="center"/>
          </w:tcPr>
          <w:p w14:paraId="28FE136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3,426.61 </w:t>
            </w:r>
          </w:p>
        </w:tc>
      </w:tr>
    </w:tbl>
    <w:p w14:paraId="1254A1E6">
      <w:pPr>
        <w:spacing w:after="0" w:line="240" w:lineRule="auto"/>
        <w:ind w:firstLine="400" w:firstLineChars="200"/>
        <w:jc w:val="left"/>
        <w:rPr>
          <w:rFonts w:hint="eastAsia" w:eastAsia="华文细黑" w:asciiTheme="minorHAnsi" w:hAnsiTheme="minorHAnsi"/>
          <w:color w:val="000000"/>
          <w:sz w:val="20"/>
          <w:szCs w:val="20"/>
        </w:rPr>
      </w:pPr>
      <w:r>
        <w:rPr>
          <w:rFonts w:hint="eastAsia" w:eastAsia="华文细黑" w:asciiTheme="minorHAnsi" w:hAnsiTheme="minorHAnsi"/>
          <w:color w:val="000000"/>
          <w:sz w:val="20"/>
          <w:szCs w:val="20"/>
        </w:rPr>
        <w:t>续上表</w:t>
      </w:r>
    </w:p>
    <w:p w14:paraId="3815C6BB">
      <w:pPr>
        <w:bidi w:val="0"/>
        <w:rPr>
          <w:rFonts w:hint="eastAsia"/>
        </w:rPr>
      </w:pPr>
    </w:p>
    <w:tbl>
      <w:tblPr>
        <w:tblStyle w:val="15"/>
        <w:tblW w:w="11146" w:type="dxa"/>
        <w:jc w:val="center"/>
        <w:tblLayout w:type="autofit"/>
        <w:tblCellMar>
          <w:top w:w="0" w:type="dxa"/>
          <w:left w:w="108" w:type="dxa"/>
          <w:bottom w:w="0" w:type="dxa"/>
          <w:right w:w="108" w:type="dxa"/>
        </w:tblCellMar>
      </w:tblPr>
      <w:tblGrid>
        <w:gridCol w:w="2055"/>
        <w:gridCol w:w="1125"/>
        <w:gridCol w:w="1125"/>
        <w:gridCol w:w="1125"/>
        <w:gridCol w:w="1125"/>
        <w:gridCol w:w="1125"/>
        <w:gridCol w:w="1216"/>
        <w:gridCol w:w="1125"/>
        <w:gridCol w:w="1125"/>
      </w:tblGrid>
      <w:tr w14:paraId="37473AF7">
        <w:tblPrEx>
          <w:tblCellMar>
            <w:top w:w="0" w:type="dxa"/>
            <w:left w:w="108" w:type="dxa"/>
            <w:bottom w:w="0" w:type="dxa"/>
            <w:right w:w="108" w:type="dxa"/>
          </w:tblCellMar>
        </w:tblPrEx>
        <w:trPr>
          <w:trHeight w:val="300" w:hRule="atLeast"/>
          <w:tblHeader/>
          <w:jc w:val="center"/>
        </w:trPr>
        <w:tc>
          <w:tcPr>
            <w:tcW w:w="2055"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6D7E9244">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年度</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45C8BE71">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2032</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743C2D8D">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2033</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1610F1EF">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2034</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077B7FF0">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2035</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42D8ECA5">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2036</w:t>
            </w:r>
          </w:p>
        </w:tc>
        <w:tc>
          <w:tcPr>
            <w:tcW w:w="1216" w:type="dxa"/>
            <w:tcBorders>
              <w:top w:val="single" w:color="auto" w:sz="8" w:space="0"/>
              <w:left w:val="nil"/>
              <w:bottom w:val="single" w:color="auto" w:sz="8" w:space="0"/>
              <w:right w:val="single" w:color="auto" w:sz="8" w:space="0"/>
            </w:tcBorders>
            <w:shd w:val="clear" w:color="000000" w:fill="0070C0"/>
            <w:noWrap/>
            <w:vAlign w:val="bottom"/>
          </w:tcPr>
          <w:p w14:paraId="7B3F6278">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203</w:t>
            </w:r>
            <w:r>
              <w:rPr>
                <w:rFonts w:hint="eastAsia" w:ascii="Verdana" w:hAnsi="Verdana" w:cs="Arial"/>
                <w:b/>
                <w:bCs/>
                <w:color w:val="FFFFFF"/>
                <w:kern w:val="0"/>
                <w:sz w:val="20"/>
                <w:szCs w:val="20"/>
                <w:lang w:val="en-US" w:eastAsia="zh-CN"/>
              </w:rPr>
              <w:t>7</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7AE6C301">
            <w:pPr>
              <w:widowControl/>
              <w:spacing w:after="0" w:line="240" w:lineRule="auto"/>
              <w:jc w:val="center"/>
              <w:rPr>
                <w:rFonts w:hint="default" w:ascii="Verdana" w:hAnsi="Verdana" w:cs="Arial"/>
                <w:b/>
                <w:bCs/>
                <w:color w:val="FFFFFF"/>
                <w:kern w:val="0"/>
                <w:sz w:val="20"/>
                <w:szCs w:val="20"/>
                <w:lang w:val="en-US"/>
              </w:rPr>
            </w:pPr>
            <w:r>
              <w:rPr>
                <w:rFonts w:hint="default" w:ascii="Verdana" w:hAnsi="Verdana" w:cs="Arial"/>
                <w:b/>
                <w:bCs/>
                <w:color w:val="FFFFFF"/>
                <w:kern w:val="0"/>
                <w:sz w:val="20"/>
                <w:szCs w:val="20"/>
                <w:lang w:val="en-US" w:eastAsia="zh-CN"/>
              </w:rPr>
              <w:t>2038</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6FCAF780">
            <w:pPr>
              <w:widowControl/>
              <w:spacing w:after="0" w:line="240" w:lineRule="auto"/>
              <w:jc w:val="center"/>
              <w:rPr>
                <w:rFonts w:hint="default" w:ascii="Verdana" w:hAnsi="Verdana" w:cs="Arial"/>
                <w:b/>
                <w:bCs/>
                <w:color w:val="FFFFFF"/>
                <w:kern w:val="0"/>
                <w:sz w:val="20"/>
                <w:szCs w:val="20"/>
                <w:lang w:val="en-US" w:eastAsia="zh-CN"/>
              </w:rPr>
            </w:pPr>
            <w:r>
              <w:rPr>
                <w:rFonts w:hint="default" w:ascii="Verdana" w:hAnsi="Verdana" w:cs="Arial"/>
                <w:b/>
                <w:bCs/>
                <w:color w:val="FFFFFF"/>
                <w:kern w:val="0"/>
                <w:sz w:val="20"/>
                <w:szCs w:val="20"/>
                <w:lang w:val="en-US" w:eastAsia="zh-CN"/>
              </w:rPr>
              <w:t>203</w:t>
            </w:r>
            <w:r>
              <w:rPr>
                <w:rFonts w:hint="eastAsia" w:ascii="Verdana" w:hAnsi="Verdana" w:cs="Arial"/>
                <w:b/>
                <w:bCs/>
                <w:color w:val="FFFFFF"/>
                <w:kern w:val="0"/>
                <w:sz w:val="20"/>
                <w:szCs w:val="20"/>
                <w:lang w:val="en-US" w:eastAsia="zh-CN"/>
              </w:rPr>
              <w:t>9</w:t>
            </w:r>
          </w:p>
        </w:tc>
      </w:tr>
      <w:tr w14:paraId="30BC9530">
        <w:tblPrEx>
          <w:tblCellMar>
            <w:top w:w="0" w:type="dxa"/>
            <w:left w:w="108" w:type="dxa"/>
            <w:bottom w:w="0" w:type="dxa"/>
            <w:right w:w="108" w:type="dxa"/>
          </w:tblCellMar>
        </w:tblPrEx>
        <w:trPr>
          <w:trHeight w:val="324" w:hRule="atLeast"/>
          <w:jc w:val="center"/>
        </w:trPr>
        <w:tc>
          <w:tcPr>
            <w:tcW w:w="2055" w:type="dxa"/>
            <w:tcBorders>
              <w:top w:val="nil"/>
              <w:left w:val="single" w:color="auto" w:sz="8" w:space="0"/>
              <w:bottom w:val="single" w:color="auto" w:sz="8" w:space="0"/>
              <w:right w:val="single" w:color="auto" w:sz="8" w:space="0"/>
            </w:tcBorders>
            <w:shd w:val="clear" w:color="000000" w:fill="D3DFEE"/>
            <w:noWrap/>
            <w:vAlign w:val="center"/>
          </w:tcPr>
          <w:p w14:paraId="099C64E7">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现金流入</w:t>
            </w:r>
          </w:p>
        </w:tc>
        <w:tc>
          <w:tcPr>
            <w:tcW w:w="1125" w:type="dxa"/>
            <w:tcBorders>
              <w:top w:val="nil"/>
              <w:left w:val="nil"/>
              <w:bottom w:val="single" w:color="auto" w:sz="8" w:space="0"/>
              <w:right w:val="single" w:color="auto" w:sz="8" w:space="0"/>
            </w:tcBorders>
            <w:shd w:val="clear" w:color="000000" w:fill="D3DFEE"/>
            <w:noWrap/>
            <w:vAlign w:val="center"/>
          </w:tcPr>
          <w:p w14:paraId="52E4CE3B">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130128FF">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2CEDD9F1">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52F44319">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6FA6311D">
            <w:pPr>
              <w:widowControl/>
              <w:spacing w:after="0" w:line="240" w:lineRule="auto"/>
              <w:jc w:val="right"/>
              <w:rPr>
                <w:rFonts w:hint="default" w:ascii="Verdana" w:hAnsi="Verdana" w:cs="Arial"/>
                <w:color w:val="000000"/>
                <w:kern w:val="0"/>
                <w:sz w:val="20"/>
                <w:szCs w:val="20"/>
                <w:lang w:val="en-US" w:eastAsia="zh-CN"/>
              </w:rPr>
            </w:pPr>
          </w:p>
        </w:tc>
        <w:tc>
          <w:tcPr>
            <w:tcW w:w="1216" w:type="dxa"/>
            <w:tcBorders>
              <w:top w:val="nil"/>
              <w:left w:val="nil"/>
              <w:bottom w:val="single" w:color="auto" w:sz="8" w:space="0"/>
              <w:right w:val="single" w:color="auto" w:sz="8" w:space="0"/>
            </w:tcBorders>
            <w:shd w:val="clear" w:color="000000" w:fill="D3DFEE"/>
            <w:noWrap/>
            <w:vAlign w:val="center"/>
          </w:tcPr>
          <w:p w14:paraId="11CC33CA">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5A14E150">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35B3EE76">
            <w:pPr>
              <w:widowControl/>
              <w:spacing w:after="0" w:line="240" w:lineRule="auto"/>
              <w:jc w:val="right"/>
              <w:rPr>
                <w:rFonts w:hint="default" w:ascii="Verdana" w:hAnsi="Verdana" w:cs="Arial"/>
                <w:color w:val="000000"/>
                <w:kern w:val="0"/>
                <w:sz w:val="20"/>
                <w:szCs w:val="20"/>
                <w:lang w:val="en-US" w:eastAsia="zh-CN"/>
              </w:rPr>
            </w:pPr>
          </w:p>
        </w:tc>
      </w:tr>
      <w:tr w14:paraId="28BD4B7C">
        <w:tblPrEx>
          <w:tblCellMar>
            <w:top w:w="0" w:type="dxa"/>
            <w:left w:w="108" w:type="dxa"/>
            <w:bottom w:w="0" w:type="dxa"/>
            <w:right w:w="108" w:type="dxa"/>
          </w:tblCellMar>
        </w:tblPrEx>
        <w:trPr>
          <w:trHeight w:val="246"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5E8AC9B9">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自筹资金流入</w:t>
            </w:r>
          </w:p>
        </w:tc>
        <w:tc>
          <w:tcPr>
            <w:tcW w:w="1125" w:type="dxa"/>
            <w:tcBorders>
              <w:top w:val="nil"/>
              <w:left w:val="nil"/>
              <w:bottom w:val="single" w:color="auto" w:sz="8" w:space="0"/>
              <w:right w:val="single" w:color="auto" w:sz="8" w:space="0"/>
            </w:tcBorders>
            <w:shd w:val="clear" w:color="auto" w:fill="auto"/>
            <w:vAlign w:val="center"/>
          </w:tcPr>
          <w:p w14:paraId="46E0710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218B70B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532FBA3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118F76E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AB0DEF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16" w:type="dxa"/>
            <w:tcBorders>
              <w:top w:val="nil"/>
              <w:left w:val="nil"/>
              <w:bottom w:val="single" w:color="auto" w:sz="8" w:space="0"/>
              <w:right w:val="single" w:color="auto" w:sz="8" w:space="0"/>
            </w:tcBorders>
            <w:shd w:val="clear" w:color="auto" w:fill="auto"/>
            <w:vAlign w:val="center"/>
          </w:tcPr>
          <w:p w14:paraId="5611989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3F45619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170937A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00C94F39">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3239BCBE">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债券资金流入</w:t>
            </w:r>
          </w:p>
        </w:tc>
        <w:tc>
          <w:tcPr>
            <w:tcW w:w="1125" w:type="dxa"/>
            <w:tcBorders>
              <w:top w:val="nil"/>
              <w:left w:val="nil"/>
              <w:bottom w:val="single" w:color="auto" w:sz="8" w:space="0"/>
              <w:right w:val="single" w:color="auto" w:sz="8" w:space="0"/>
            </w:tcBorders>
            <w:shd w:val="clear" w:color="auto" w:fill="auto"/>
            <w:vAlign w:val="center"/>
          </w:tcPr>
          <w:p w14:paraId="1769072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5BB0B91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A5B2DB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542CE43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717A9ED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16" w:type="dxa"/>
            <w:tcBorders>
              <w:top w:val="nil"/>
              <w:left w:val="nil"/>
              <w:bottom w:val="single" w:color="auto" w:sz="8" w:space="0"/>
              <w:right w:val="single" w:color="auto" w:sz="8" w:space="0"/>
            </w:tcBorders>
            <w:shd w:val="clear" w:color="auto" w:fill="auto"/>
            <w:vAlign w:val="center"/>
          </w:tcPr>
          <w:p w14:paraId="65170B2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74FF412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481CAF8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64D86C1D">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6BCDC835">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运营期现金流入</w:t>
            </w:r>
          </w:p>
        </w:tc>
        <w:tc>
          <w:tcPr>
            <w:tcW w:w="1125" w:type="dxa"/>
            <w:tcBorders>
              <w:top w:val="nil"/>
              <w:left w:val="nil"/>
              <w:bottom w:val="single" w:color="auto" w:sz="8" w:space="0"/>
              <w:right w:val="single" w:color="auto" w:sz="8" w:space="0"/>
            </w:tcBorders>
            <w:shd w:val="clear" w:color="auto" w:fill="auto"/>
            <w:vAlign w:val="center"/>
          </w:tcPr>
          <w:p w14:paraId="29A8F41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6617FC8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59F01A2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7C381AB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770CD19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216" w:type="dxa"/>
            <w:tcBorders>
              <w:top w:val="nil"/>
              <w:left w:val="nil"/>
              <w:bottom w:val="single" w:color="auto" w:sz="8" w:space="0"/>
              <w:right w:val="single" w:color="auto" w:sz="8" w:space="0"/>
            </w:tcBorders>
            <w:shd w:val="clear" w:color="auto" w:fill="auto"/>
            <w:vAlign w:val="center"/>
          </w:tcPr>
          <w:p w14:paraId="7D65665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3CAA978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1FA7049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r>
      <w:tr w14:paraId="4350A9C3">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672DFCFD">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现金流入总额</w:t>
            </w:r>
          </w:p>
        </w:tc>
        <w:tc>
          <w:tcPr>
            <w:tcW w:w="1125" w:type="dxa"/>
            <w:tcBorders>
              <w:top w:val="nil"/>
              <w:left w:val="nil"/>
              <w:bottom w:val="single" w:color="auto" w:sz="8" w:space="0"/>
              <w:right w:val="single" w:color="auto" w:sz="8" w:space="0"/>
            </w:tcBorders>
            <w:shd w:val="clear" w:color="auto" w:fill="auto"/>
            <w:vAlign w:val="center"/>
          </w:tcPr>
          <w:p w14:paraId="38A7EED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26F2C8A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6B92769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4FC18B5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76ED34B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216" w:type="dxa"/>
            <w:tcBorders>
              <w:top w:val="nil"/>
              <w:left w:val="nil"/>
              <w:bottom w:val="single" w:color="auto" w:sz="8" w:space="0"/>
              <w:right w:val="single" w:color="auto" w:sz="8" w:space="0"/>
            </w:tcBorders>
            <w:shd w:val="clear" w:color="auto" w:fill="auto"/>
            <w:vAlign w:val="center"/>
          </w:tcPr>
          <w:p w14:paraId="498E665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380F0EE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314660D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r>
      <w:tr w14:paraId="21B9343D">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000000" w:fill="D3DFEE"/>
            <w:noWrap/>
            <w:vAlign w:val="center"/>
          </w:tcPr>
          <w:p w14:paraId="1AB3EAF5">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现金流出</w:t>
            </w:r>
          </w:p>
        </w:tc>
        <w:tc>
          <w:tcPr>
            <w:tcW w:w="1125" w:type="dxa"/>
            <w:tcBorders>
              <w:top w:val="nil"/>
              <w:left w:val="nil"/>
              <w:bottom w:val="single" w:color="auto" w:sz="8" w:space="0"/>
              <w:right w:val="single" w:color="auto" w:sz="8" w:space="0"/>
            </w:tcBorders>
            <w:shd w:val="clear" w:color="000000" w:fill="D3DFEE"/>
            <w:noWrap/>
            <w:vAlign w:val="bottom"/>
          </w:tcPr>
          <w:p w14:paraId="7255AE9D">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75FB3EC8">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24CE06BA">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1F50CB89">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3C7BDEBA">
            <w:pPr>
              <w:jc w:val="center"/>
              <w:rPr>
                <w:rFonts w:hint="default" w:ascii="Verdana" w:hAnsi="Verdana" w:eastAsia="宋体" w:cs="Arial"/>
                <w:color w:val="000000"/>
                <w:kern w:val="0"/>
                <w:sz w:val="20"/>
                <w:szCs w:val="20"/>
                <w:lang w:val="en-US" w:eastAsia="zh-CN" w:bidi="ar-SA"/>
              </w:rPr>
            </w:pPr>
          </w:p>
        </w:tc>
        <w:tc>
          <w:tcPr>
            <w:tcW w:w="1216" w:type="dxa"/>
            <w:tcBorders>
              <w:top w:val="nil"/>
              <w:left w:val="nil"/>
              <w:bottom w:val="single" w:color="auto" w:sz="8" w:space="0"/>
              <w:right w:val="single" w:color="auto" w:sz="8" w:space="0"/>
            </w:tcBorders>
            <w:shd w:val="clear" w:color="000000" w:fill="D3DFEE"/>
            <w:noWrap/>
            <w:vAlign w:val="bottom"/>
          </w:tcPr>
          <w:p w14:paraId="290F1CF8">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44E0D034">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6B2EE2AF">
            <w:pPr>
              <w:jc w:val="center"/>
              <w:rPr>
                <w:rFonts w:hint="default" w:ascii="Verdana" w:hAnsi="Verdana" w:eastAsia="宋体" w:cs="Arial"/>
                <w:color w:val="000000"/>
                <w:kern w:val="0"/>
                <w:sz w:val="20"/>
                <w:szCs w:val="20"/>
                <w:lang w:val="en-US" w:eastAsia="zh-CN" w:bidi="ar-SA"/>
              </w:rPr>
            </w:pPr>
          </w:p>
        </w:tc>
      </w:tr>
      <w:tr w14:paraId="397AEFEE">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39C829E7">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建设期资金流出</w:t>
            </w:r>
          </w:p>
        </w:tc>
        <w:tc>
          <w:tcPr>
            <w:tcW w:w="1125" w:type="dxa"/>
            <w:tcBorders>
              <w:top w:val="nil"/>
              <w:left w:val="nil"/>
              <w:bottom w:val="single" w:color="auto" w:sz="8" w:space="0"/>
              <w:right w:val="single" w:color="auto" w:sz="8" w:space="0"/>
            </w:tcBorders>
            <w:shd w:val="clear" w:color="auto" w:fill="auto"/>
            <w:vAlign w:val="center"/>
          </w:tcPr>
          <w:p w14:paraId="0435ED2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1969F8F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68DD4AE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45FEE76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2B0C29F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16" w:type="dxa"/>
            <w:tcBorders>
              <w:top w:val="nil"/>
              <w:left w:val="nil"/>
              <w:bottom w:val="single" w:color="auto" w:sz="8" w:space="0"/>
              <w:right w:val="single" w:color="auto" w:sz="8" w:space="0"/>
            </w:tcBorders>
            <w:shd w:val="clear" w:color="auto" w:fill="auto"/>
            <w:vAlign w:val="center"/>
          </w:tcPr>
          <w:p w14:paraId="71ADDE6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78D547D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31D124BD">
            <w:pPr>
              <w:widowControl/>
              <w:spacing w:after="0" w:line="240" w:lineRule="auto"/>
              <w:jc w:val="right"/>
              <w:rPr>
                <w:rFonts w:hint="default" w:ascii="Verdana" w:hAnsi="Verdana" w:eastAsia="宋体" w:cs="Arial"/>
                <w:color w:val="000000"/>
                <w:kern w:val="0"/>
                <w:sz w:val="20"/>
                <w:szCs w:val="20"/>
                <w:lang w:val="en-US" w:eastAsia="zh-CN" w:bidi="ar-SA"/>
              </w:rPr>
            </w:pPr>
            <w:r>
              <w:rPr>
                <w:rFonts w:hint="eastAsia" w:ascii="Verdana" w:hAnsi="Verdana" w:cs="Arial"/>
                <w:color w:val="000000"/>
                <w:kern w:val="0"/>
                <w:sz w:val="20"/>
                <w:szCs w:val="20"/>
                <w:lang w:val="en-US" w:eastAsia="zh-CN" w:bidi="ar-SA"/>
              </w:rPr>
              <w:t>0.00</w:t>
            </w:r>
          </w:p>
        </w:tc>
      </w:tr>
      <w:tr w14:paraId="215CC6FE">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5FE91F41">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运营期现金流出</w:t>
            </w:r>
          </w:p>
        </w:tc>
        <w:tc>
          <w:tcPr>
            <w:tcW w:w="1125" w:type="dxa"/>
            <w:tcBorders>
              <w:top w:val="nil"/>
              <w:left w:val="nil"/>
              <w:bottom w:val="single" w:color="auto" w:sz="8" w:space="0"/>
              <w:right w:val="single" w:color="auto" w:sz="8" w:space="0"/>
            </w:tcBorders>
            <w:shd w:val="clear" w:color="auto" w:fill="auto"/>
            <w:vAlign w:val="center"/>
          </w:tcPr>
          <w:p w14:paraId="2FC5BD5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18F2AE9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7D024E5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3D5E615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7D57348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216" w:type="dxa"/>
            <w:tcBorders>
              <w:top w:val="nil"/>
              <w:left w:val="nil"/>
              <w:bottom w:val="single" w:color="auto" w:sz="8" w:space="0"/>
              <w:right w:val="single" w:color="auto" w:sz="8" w:space="0"/>
            </w:tcBorders>
            <w:shd w:val="clear" w:color="auto" w:fill="auto"/>
            <w:vAlign w:val="center"/>
          </w:tcPr>
          <w:p w14:paraId="3A3ED80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68A685F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3EC295B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r>
      <w:tr w14:paraId="12349B5E">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10D97D53">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债券还本付息</w:t>
            </w:r>
          </w:p>
        </w:tc>
        <w:tc>
          <w:tcPr>
            <w:tcW w:w="1125" w:type="dxa"/>
            <w:tcBorders>
              <w:top w:val="nil"/>
              <w:left w:val="nil"/>
              <w:bottom w:val="single" w:color="auto" w:sz="8" w:space="0"/>
              <w:right w:val="single" w:color="auto" w:sz="8" w:space="0"/>
            </w:tcBorders>
            <w:shd w:val="clear" w:color="auto" w:fill="auto"/>
            <w:vAlign w:val="center"/>
          </w:tcPr>
          <w:p w14:paraId="5ECFAE7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125" w:type="dxa"/>
            <w:tcBorders>
              <w:top w:val="nil"/>
              <w:left w:val="nil"/>
              <w:bottom w:val="single" w:color="auto" w:sz="8" w:space="0"/>
              <w:right w:val="single" w:color="auto" w:sz="8" w:space="0"/>
            </w:tcBorders>
            <w:shd w:val="clear" w:color="auto" w:fill="auto"/>
            <w:vAlign w:val="center"/>
          </w:tcPr>
          <w:p w14:paraId="5A21D25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125" w:type="dxa"/>
            <w:tcBorders>
              <w:top w:val="nil"/>
              <w:left w:val="nil"/>
              <w:bottom w:val="single" w:color="auto" w:sz="8" w:space="0"/>
              <w:right w:val="single" w:color="auto" w:sz="8" w:space="0"/>
            </w:tcBorders>
            <w:shd w:val="clear" w:color="auto" w:fill="auto"/>
            <w:vAlign w:val="center"/>
          </w:tcPr>
          <w:p w14:paraId="4B6816E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206.09 </w:t>
            </w:r>
          </w:p>
        </w:tc>
        <w:tc>
          <w:tcPr>
            <w:tcW w:w="1125" w:type="dxa"/>
            <w:tcBorders>
              <w:top w:val="nil"/>
              <w:left w:val="nil"/>
              <w:bottom w:val="single" w:color="auto" w:sz="8" w:space="0"/>
              <w:right w:val="single" w:color="auto" w:sz="8" w:space="0"/>
            </w:tcBorders>
            <w:shd w:val="clear" w:color="auto" w:fill="auto"/>
            <w:vAlign w:val="center"/>
          </w:tcPr>
          <w:p w14:paraId="2162A31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404.33 </w:t>
            </w:r>
          </w:p>
        </w:tc>
        <w:tc>
          <w:tcPr>
            <w:tcW w:w="1125" w:type="dxa"/>
            <w:tcBorders>
              <w:top w:val="nil"/>
              <w:left w:val="nil"/>
              <w:bottom w:val="single" w:color="auto" w:sz="8" w:space="0"/>
              <w:right w:val="single" w:color="auto" w:sz="8" w:space="0"/>
            </w:tcBorders>
            <w:shd w:val="clear" w:color="auto" w:fill="auto"/>
            <w:vAlign w:val="center"/>
          </w:tcPr>
          <w:p w14:paraId="7065A47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216" w:type="dxa"/>
            <w:tcBorders>
              <w:top w:val="nil"/>
              <w:left w:val="nil"/>
              <w:bottom w:val="single" w:color="auto" w:sz="8" w:space="0"/>
              <w:right w:val="single" w:color="auto" w:sz="8" w:space="0"/>
            </w:tcBorders>
            <w:shd w:val="clear" w:color="auto" w:fill="auto"/>
            <w:vAlign w:val="center"/>
          </w:tcPr>
          <w:p w14:paraId="1091625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66534D0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1D9A697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r>
      <w:tr w14:paraId="59BD2941">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44085F43">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债券发行费用</w:t>
            </w:r>
          </w:p>
        </w:tc>
        <w:tc>
          <w:tcPr>
            <w:tcW w:w="1125" w:type="dxa"/>
            <w:tcBorders>
              <w:top w:val="nil"/>
              <w:left w:val="nil"/>
              <w:bottom w:val="single" w:color="auto" w:sz="8" w:space="0"/>
              <w:right w:val="single" w:color="auto" w:sz="8" w:space="0"/>
            </w:tcBorders>
            <w:shd w:val="clear" w:color="auto" w:fill="auto"/>
            <w:vAlign w:val="center"/>
          </w:tcPr>
          <w:p w14:paraId="02CE836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14CCEEA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565A22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952F5B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40783C4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216" w:type="dxa"/>
            <w:tcBorders>
              <w:top w:val="nil"/>
              <w:left w:val="nil"/>
              <w:bottom w:val="single" w:color="auto" w:sz="8" w:space="0"/>
              <w:right w:val="single" w:color="auto" w:sz="8" w:space="0"/>
            </w:tcBorders>
            <w:shd w:val="clear" w:color="auto" w:fill="auto"/>
            <w:vAlign w:val="center"/>
          </w:tcPr>
          <w:p w14:paraId="4F5FDE6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7FE7CF7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7619D25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r>
      <w:tr w14:paraId="7063A945">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0445C3AC">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现金流出总额</w:t>
            </w:r>
          </w:p>
        </w:tc>
        <w:tc>
          <w:tcPr>
            <w:tcW w:w="1125" w:type="dxa"/>
            <w:tcBorders>
              <w:top w:val="nil"/>
              <w:left w:val="nil"/>
              <w:bottom w:val="single" w:color="auto" w:sz="8" w:space="0"/>
              <w:right w:val="single" w:color="auto" w:sz="8" w:space="0"/>
            </w:tcBorders>
            <w:shd w:val="clear" w:color="auto" w:fill="auto"/>
            <w:vAlign w:val="center"/>
          </w:tcPr>
          <w:p w14:paraId="5391E65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324.13 </w:t>
            </w:r>
          </w:p>
        </w:tc>
        <w:tc>
          <w:tcPr>
            <w:tcW w:w="1125" w:type="dxa"/>
            <w:tcBorders>
              <w:top w:val="nil"/>
              <w:left w:val="nil"/>
              <w:bottom w:val="single" w:color="auto" w:sz="8" w:space="0"/>
              <w:right w:val="single" w:color="auto" w:sz="8" w:space="0"/>
            </w:tcBorders>
            <w:shd w:val="clear" w:color="auto" w:fill="auto"/>
            <w:vAlign w:val="center"/>
          </w:tcPr>
          <w:p w14:paraId="36B2848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324.13 </w:t>
            </w:r>
          </w:p>
        </w:tc>
        <w:tc>
          <w:tcPr>
            <w:tcW w:w="1125" w:type="dxa"/>
            <w:tcBorders>
              <w:top w:val="nil"/>
              <w:left w:val="nil"/>
              <w:bottom w:val="single" w:color="auto" w:sz="8" w:space="0"/>
              <w:right w:val="single" w:color="auto" w:sz="8" w:space="0"/>
            </w:tcBorders>
            <w:shd w:val="clear" w:color="auto" w:fill="auto"/>
            <w:vAlign w:val="center"/>
          </w:tcPr>
          <w:p w14:paraId="0A9CC43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324.13 </w:t>
            </w:r>
          </w:p>
        </w:tc>
        <w:tc>
          <w:tcPr>
            <w:tcW w:w="1125" w:type="dxa"/>
            <w:tcBorders>
              <w:top w:val="nil"/>
              <w:left w:val="nil"/>
              <w:bottom w:val="single" w:color="auto" w:sz="8" w:space="0"/>
              <w:right w:val="single" w:color="auto" w:sz="8" w:space="0"/>
            </w:tcBorders>
            <w:shd w:val="clear" w:color="auto" w:fill="auto"/>
            <w:vAlign w:val="center"/>
          </w:tcPr>
          <w:p w14:paraId="3C90322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522.37 </w:t>
            </w:r>
          </w:p>
        </w:tc>
        <w:tc>
          <w:tcPr>
            <w:tcW w:w="1125" w:type="dxa"/>
            <w:tcBorders>
              <w:top w:val="nil"/>
              <w:left w:val="nil"/>
              <w:bottom w:val="single" w:color="auto" w:sz="8" w:space="0"/>
              <w:right w:val="single" w:color="auto" w:sz="8" w:space="0"/>
            </w:tcBorders>
            <w:shd w:val="clear" w:color="auto" w:fill="auto"/>
            <w:vAlign w:val="center"/>
          </w:tcPr>
          <w:p w14:paraId="0DD137E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216" w:type="dxa"/>
            <w:tcBorders>
              <w:top w:val="nil"/>
              <w:left w:val="nil"/>
              <w:bottom w:val="single" w:color="auto" w:sz="8" w:space="0"/>
              <w:right w:val="single" w:color="auto" w:sz="8" w:space="0"/>
            </w:tcBorders>
            <w:shd w:val="clear" w:color="auto" w:fill="auto"/>
            <w:vAlign w:val="center"/>
          </w:tcPr>
          <w:p w14:paraId="0198818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47D8D0C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3B893C5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r>
      <w:tr w14:paraId="36FD762B">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000000" w:fill="D3DFEE"/>
            <w:noWrap/>
            <w:vAlign w:val="center"/>
          </w:tcPr>
          <w:p w14:paraId="31828C25">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现金净流量</w:t>
            </w:r>
          </w:p>
        </w:tc>
        <w:tc>
          <w:tcPr>
            <w:tcW w:w="1125" w:type="dxa"/>
            <w:tcBorders>
              <w:top w:val="nil"/>
              <w:left w:val="nil"/>
              <w:bottom w:val="single" w:color="auto" w:sz="8" w:space="0"/>
              <w:right w:val="single" w:color="auto" w:sz="8" w:space="0"/>
            </w:tcBorders>
            <w:shd w:val="clear" w:color="000000" w:fill="D3DFEE"/>
            <w:noWrap/>
            <w:vAlign w:val="bottom"/>
          </w:tcPr>
          <w:p w14:paraId="635D0C06">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4F643FEC">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4C451615">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1E6AD404">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65C6AE77">
            <w:pPr>
              <w:jc w:val="center"/>
              <w:rPr>
                <w:rFonts w:hint="default" w:ascii="Verdana" w:hAnsi="Verdana" w:eastAsia="宋体" w:cs="Arial"/>
                <w:color w:val="000000"/>
                <w:kern w:val="0"/>
                <w:sz w:val="20"/>
                <w:szCs w:val="20"/>
                <w:lang w:val="en-US" w:eastAsia="zh-CN" w:bidi="ar-SA"/>
              </w:rPr>
            </w:pPr>
          </w:p>
        </w:tc>
        <w:tc>
          <w:tcPr>
            <w:tcW w:w="1216" w:type="dxa"/>
            <w:tcBorders>
              <w:top w:val="nil"/>
              <w:left w:val="nil"/>
              <w:bottom w:val="single" w:color="auto" w:sz="8" w:space="0"/>
              <w:right w:val="single" w:color="auto" w:sz="8" w:space="0"/>
            </w:tcBorders>
            <w:shd w:val="clear" w:color="000000" w:fill="D3DFEE"/>
            <w:noWrap/>
            <w:vAlign w:val="bottom"/>
          </w:tcPr>
          <w:p w14:paraId="7DC04A30">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5D8081F5">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0F82096C">
            <w:pPr>
              <w:jc w:val="center"/>
              <w:rPr>
                <w:rFonts w:hint="default" w:ascii="Verdana" w:hAnsi="Verdana" w:eastAsia="宋体" w:cs="Arial"/>
                <w:color w:val="000000"/>
                <w:kern w:val="0"/>
                <w:sz w:val="20"/>
                <w:szCs w:val="20"/>
                <w:lang w:val="en-US" w:eastAsia="zh-CN" w:bidi="ar-SA"/>
              </w:rPr>
            </w:pPr>
          </w:p>
        </w:tc>
      </w:tr>
      <w:tr w14:paraId="18AD2F04">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1C3C8A11">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当年项目现金净流入</w:t>
            </w:r>
          </w:p>
        </w:tc>
        <w:tc>
          <w:tcPr>
            <w:tcW w:w="1125" w:type="dxa"/>
            <w:tcBorders>
              <w:top w:val="nil"/>
              <w:left w:val="nil"/>
              <w:bottom w:val="single" w:color="auto" w:sz="8" w:space="0"/>
              <w:right w:val="single" w:color="auto" w:sz="8" w:space="0"/>
            </w:tcBorders>
            <w:shd w:val="clear" w:color="auto" w:fill="auto"/>
            <w:vAlign w:val="center"/>
          </w:tcPr>
          <w:p w14:paraId="1EAF006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806.04 </w:t>
            </w:r>
          </w:p>
        </w:tc>
        <w:tc>
          <w:tcPr>
            <w:tcW w:w="1125" w:type="dxa"/>
            <w:tcBorders>
              <w:top w:val="nil"/>
              <w:left w:val="nil"/>
              <w:bottom w:val="single" w:color="auto" w:sz="8" w:space="0"/>
              <w:right w:val="single" w:color="auto" w:sz="8" w:space="0"/>
            </w:tcBorders>
            <w:shd w:val="clear" w:color="auto" w:fill="auto"/>
            <w:vAlign w:val="center"/>
          </w:tcPr>
          <w:p w14:paraId="501923B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806.04 </w:t>
            </w:r>
          </w:p>
        </w:tc>
        <w:tc>
          <w:tcPr>
            <w:tcW w:w="1125" w:type="dxa"/>
            <w:tcBorders>
              <w:top w:val="nil"/>
              <w:left w:val="nil"/>
              <w:bottom w:val="single" w:color="auto" w:sz="8" w:space="0"/>
              <w:right w:val="single" w:color="auto" w:sz="8" w:space="0"/>
            </w:tcBorders>
            <w:shd w:val="clear" w:color="auto" w:fill="auto"/>
            <w:vAlign w:val="center"/>
          </w:tcPr>
          <w:p w14:paraId="4DE83A2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806.04 </w:t>
            </w:r>
          </w:p>
        </w:tc>
        <w:tc>
          <w:tcPr>
            <w:tcW w:w="1125" w:type="dxa"/>
            <w:tcBorders>
              <w:top w:val="nil"/>
              <w:left w:val="nil"/>
              <w:bottom w:val="single" w:color="auto" w:sz="8" w:space="0"/>
              <w:right w:val="single" w:color="auto" w:sz="8" w:space="0"/>
            </w:tcBorders>
            <w:shd w:val="clear" w:color="auto" w:fill="auto"/>
            <w:vAlign w:val="center"/>
          </w:tcPr>
          <w:p w14:paraId="4326FC1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607.80 </w:t>
            </w:r>
          </w:p>
        </w:tc>
        <w:tc>
          <w:tcPr>
            <w:tcW w:w="1125" w:type="dxa"/>
            <w:tcBorders>
              <w:top w:val="nil"/>
              <w:left w:val="nil"/>
              <w:bottom w:val="single" w:color="auto" w:sz="8" w:space="0"/>
              <w:right w:val="single" w:color="auto" w:sz="8" w:space="0"/>
            </w:tcBorders>
            <w:shd w:val="clear" w:color="auto" w:fill="auto"/>
            <w:vAlign w:val="center"/>
          </w:tcPr>
          <w:p w14:paraId="1159275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216" w:type="dxa"/>
            <w:tcBorders>
              <w:top w:val="nil"/>
              <w:left w:val="nil"/>
              <w:bottom w:val="single" w:color="auto" w:sz="8" w:space="0"/>
              <w:right w:val="single" w:color="auto" w:sz="8" w:space="0"/>
            </w:tcBorders>
            <w:shd w:val="clear" w:color="auto" w:fill="auto"/>
            <w:vAlign w:val="center"/>
          </w:tcPr>
          <w:p w14:paraId="4211E1D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7263B35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16F0B1D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r>
      <w:tr w14:paraId="6D51FAA9">
        <w:tblPrEx>
          <w:tblCellMar>
            <w:top w:w="0" w:type="dxa"/>
            <w:left w:w="108" w:type="dxa"/>
            <w:bottom w:w="0" w:type="dxa"/>
            <w:right w:w="108" w:type="dxa"/>
          </w:tblCellMar>
        </w:tblPrEx>
        <w:trPr>
          <w:trHeight w:val="300" w:hRule="atLeast"/>
          <w:jc w:val="center"/>
        </w:trPr>
        <w:tc>
          <w:tcPr>
            <w:tcW w:w="2055" w:type="dxa"/>
            <w:tcBorders>
              <w:top w:val="nil"/>
              <w:left w:val="single" w:color="auto" w:sz="8" w:space="0"/>
              <w:bottom w:val="single" w:color="auto" w:sz="8" w:space="0"/>
              <w:right w:val="single" w:color="auto" w:sz="8" w:space="0"/>
            </w:tcBorders>
            <w:shd w:val="clear" w:color="auto" w:fill="auto"/>
            <w:noWrap/>
            <w:vAlign w:val="center"/>
          </w:tcPr>
          <w:p w14:paraId="3D4A33EC">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期末项目累计现金结存额</w:t>
            </w:r>
          </w:p>
        </w:tc>
        <w:tc>
          <w:tcPr>
            <w:tcW w:w="1125" w:type="dxa"/>
            <w:tcBorders>
              <w:top w:val="nil"/>
              <w:left w:val="nil"/>
              <w:bottom w:val="single" w:color="auto" w:sz="8" w:space="0"/>
              <w:right w:val="single" w:color="auto" w:sz="8" w:space="0"/>
            </w:tcBorders>
            <w:shd w:val="clear" w:color="auto" w:fill="auto"/>
            <w:vAlign w:val="center"/>
          </w:tcPr>
          <w:p w14:paraId="0D913E9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4,232.65 </w:t>
            </w:r>
          </w:p>
        </w:tc>
        <w:tc>
          <w:tcPr>
            <w:tcW w:w="1125" w:type="dxa"/>
            <w:tcBorders>
              <w:top w:val="nil"/>
              <w:left w:val="nil"/>
              <w:bottom w:val="single" w:color="auto" w:sz="8" w:space="0"/>
              <w:right w:val="single" w:color="auto" w:sz="8" w:space="0"/>
            </w:tcBorders>
            <w:shd w:val="clear" w:color="auto" w:fill="auto"/>
            <w:vAlign w:val="center"/>
          </w:tcPr>
          <w:p w14:paraId="55AD2D9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5,038.69 </w:t>
            </w:r>
          </w:p>
        </w:tc>
        <w:tc>
          <w:tcPr>
            <w:tcW w:w="1125" w:type="dxa"/>
            <w:tcBorders>
              <w:top w:val="nil"/>
              <w:left w:val="nil"/>
              <w:bottom w:val="single" w:color="auto" w:sz="8" w:space="0"/>
              <w:right w:val="single" w:color="auto" w:sz="8" w:space="0"/>
            </w:tcBorders>
            <w:shd w:val="clear" w:color="auto" w:fill="auto"/>
            <w:vAlign w:val="center"/>
          </w:tcPr>
          <w:p w14:paraId="7D1AD41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5,844.73 </w:t>
            </w:r>
          </w:p>
        </w:tc>
        <w:tc>
          <w:tcPr>
            <w:tcW w:w="1125" w:type="dxa"/>
            <w:tcBorders>
              <w:top w:val="nil"/>
              <w:left w:val="nil"/>
              <w:bottom w:val="single" w:color="auto" w:sz="8" w:space="0"/>
              <w:right w:val="single" w:color="auto" w:sz="8" w:space="0"/>
            </w:tcBorders>
            <w:shd w:val="clear" w:color="auto" w:fill="auto"/>
            <w:vAlign w:val="center"/>
          </w:tcPr>
          <w:p w14:paraId="58F2A59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6,452.53 </w:t>
            </w:r>
          </w:p>
        </w:tc>
        <w:tc>
          <w:tcPr>
            <w:tcW w:w="1125" w:type="dxa"/>
            <w:tcBorders>
              <w:top w:val="nil"/>
              <w:left w:val="nil"/>
              <w:bottom w:val="single" w:color="auto" w:sz="8" w:space="0"/>
              <w:right w:val="single" w:color="auto" w:sz="8" w:space="0"/>
            </w:tcBorders>
            <w:shd w:val="clear" w:color="auto" w:fill="auto"/>
            <w:vAlign w:val="center"/>
          </w:tcPr>
          <w:p w14:paraId="13F4602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7,262.09 </w:t>
            </w:r>
          </w:p>
        </w:tc>
        <w:tc>
          <w:tcPr>
            <w:tcW w:w="1216" w:type="dxa"/>
            <w:tcBorders>
              <w:top w:val="nil"/>
              <w:left w:val="nil"/>
              <w:bottom w:val="single" w:color="auto" w:sz="8" w:space="0"/>
              <w:right w:val="single" w:color="auto" w:sz="8" w:space="0"/>
            </w:tcBorders>
            <w:shd w:val="clear" w:color="auto" w:fill="auto"/>
            <w:vAlign w:val="center"/>
          </w:tcPr>
          <w:p w14:paraId="4935F8A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8,071.65 </w:t>
            </w:r>
          </w:p>
        </w:tc>
        <w:tc>
          <w:tcPr>
            <w:tcW w:w="1125" w:type="dxa"/>
            <w:tcBorders>
              <w:top w:val="nil"/>
              <w:left w:val="nil"/>
              <w:bottom w:val="single" w:color="auto" w:sz="8" w:space="0"/>
              <w:right w:val="single" w:color="auto" w:sz="8" w:space="0"/>
            </w:tcBorders>
            <w:shd w:val="clear" w:color="auto" w:fill="auto"/>
            <w:vAlign w:val="center"/>
          </w:tcPr>
          <w:p w14:paraId="6B2EEF6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8,881.21 </w:t>
            </w:r>
          </w:p>
        </w:tc>
        <w:tc>
          <w:tcPr>
            <w:tcW w:w="1125" w:type="dxa"/>
            <w:tcBorders>
              <w:top w:val="nil"/>
              <w:left w:val="nil"/>
              <w:bottom w:val="single" w:color="auto" w:sz="8" w:space="0"/>
              <w:right w:val="single" w:color="auto" w:sz="8" w:space="0"/>
            </w:tcBorders>
            <w:shd w:val="clear" w:color="auto" w:fill="auto"/>
            <w:vAlign w:val="center"/>
          </w:tcPr>
          <w:p w14:paraId="6D0BE4C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9690.77 </w:t>
            </w:r>
          </w:p>
        </w:tc>
      </w:tr>
    </w:tbl>
    <w:p w14:paraId="1F013C00">
      <w:pPr>
        <w:spacing w:after="0" w:line="240" w:lineRule="auto"/>
        <w:ind w:firstLine="400" w:firstLineChars="200"/>
        <w:jc w:val="left"/>
      </w:pPr>
      <w:r>
        <w:rPr>
          <w:rFonts w:hint="eastAsia" w:eastAsia="华文细黑" w:asciiTheme="minorHAnsi" w:hAnsiTheme="minorHAnsi"/>
          <w:color w:val="000000"/>
          <w:sz w:val="20"/>
          <w:szCs w:val="20"/>
        </w:rPr>
        <w:t>续上表</w:t>
      </w:r>
    </w:p>
    <w:tbl>
      <w:tblPr>
        <w:tblStyle w:val="15"/>
        <w:tblW w:w="11283" w:type="dxa"/>
        <w:jc w:val="center"/>
        <w:tblLayout w:type="autofit"/>
        <w:tblCellMar>
          <w:top w:w="0" w:type="dxa"/>
          <w:left w:w="108" w:type="dxa"/>
          <w:bottom w:w="0" w:type="dxa"/>
          <w:right w:w="108" w:type="dxa"/>
        </w:tblCellMar>
      </w:tblPr>
      <w:tblGrid>
        <w:gridCol w:w="2052"/>
        <w:gridCol w:w="1179"/>
        <w:gridCol w:w="1179"/>
        <w:gridCol w:w="1179"/>
        <w:gridCol w:w="1179"/>
        <w:gridCol w:w="1179"/>
        <w:gridCol w:w="1179"/>
        <w:gridCol w:w="1143"/>
        <w:gridCol w:w="1356"/>
      </w:tblGrid>
      <w:tr w14:paraId="3C6505D4">
        <w:tblPrEx>
          <w:tblCellMar>
            <w:top w:w="0" w:type="dxa"/>
            <w:left w:w="108" w:type="dxa"/>
            <w:bottom w:w="0" w:type="dxa"/>
            <w:right w:w="108" w:type="dxa"/>
          </w:tblCellMar>
        </w:tblPrEx>
        <w:trPr>
          <w:trHeight w:val="300" w:hRule="atLeast"/>
          <w:tblHeader/>
          <w:jc w:val="center"/>
        </w:trPr>
        <w:tc>
          <w:tcPr>
            <w:tcW w:w="2052"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6C4C602B">
            <w:pPr>
              <w:widowControl/>
              <w:spacing w:after="0" w:line="240" w:lineRule="auto"/>
              <w:jc w:val="center"/>
              <w:rPr>
                <w:rFonts w:hint="eastAsia" w:ascii="华文细黑" w:hAnsi="华文细黑" w:eastAsia="华文细黑" w:cs="Arial"/>
                <w:b/>
                <w:bCs/>
                <w:color w:val="FFFFFF"/>
                <w:kern w:val="0"/>
                <w:sz w:val="20"/>
                <w:szCs w:val="20"/>
              </w:rPr>
            </w:pPr>
            <w:r>
              <w:rPr>
                <w:rFonts w:hint="eastAsia" w:ascii="华文细黑" w:hAnsi="华文细黑" w:eastAsia="华文细黑" w:cs="Arial"/>
                <w:b/>
                <w:bCs/>
                <w:color w:val="FFFFFF"/>
                <w:kern w:val="0"/>
                <w:sz w:val="20"/>
                <w:szCs w:val="20"/>
              </w:rPr>
              <w:t>年度</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693CF63A">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2040</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6E0BBC90">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2041</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53271524">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2042</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1FEB99F7">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2043</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02898432">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204</w:t>
            </w:r>
            <w:r>
              <w:rPr>
                <w:rFonts w:hint="eastAsia" w:ascii="Verdana" w:hAnsi="Verdana" w:cs="Arial"/>
                <w:b/>
                <w:bCs/>
                <w:color w:val="FFFFFF"/>
                <w:kern w:val="0"/>
                <w:sz w:val="20"/>
                <w:szCs w:val="20"/>
                <w:lang w:val="en-US" w:eastAsia="zh-CN"/>
              </w:rPr>
              <w:t>4</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79A3C520">
            <w:pPr>
              <w:widowControl/>
              <w:spacing w:after="0" w:line="240" w:lineRule="auto"/>
              <w:jc w:val="center"/>
              <w:rPr>
                <w:rFonts w:ascii="Verdana" w:hAnsi="Verdana" w:cs="Arial"/>
                <w:b/>
                <w:bCs/>
                <w:color w:val="FFFFFF"/>
                <w:kern w:val="0"/>
                <w:sz w:val="20"/>
                <w:szCs w:val="20"/>
              </w:rPr>
            </w:pPr>
            <w:r>
              <w:rPr>
                <w:rFonts w:hint="default" w:ascii="Verdana" w:hAnsi="Verdana" w:cs="Arial"/>
                <w:b/>
                <w:bCs/>
                <w:color w:val="FFFFFF"/>
                <w:kern w:val="0"/>
                <w:sz w:val="20"/>
                <w:szCs w:val="20"/>
                <w:lang w:val="en-US" w:eastAsia="zh-CN"/>
              </w:rPr>
              <w:t>204</w:t>
            </w:r>
            <w:r>
              <w:rPr>
                <w:rFonts w:hint="eastAsia" w:ascii="Verdana" w:hAnsi="Verdana" w:cs="Arial"/>
                <w:b/>
                <w:bCs/>
                <w:color w:val="FFFFFF"/>
                <w:kern w:val="0"/>
                <w:sz w:val="20"/>
                <w:szCs w:val="20"/>
                <w:lang w:val="en-US" w:eastAsia="zh-CN"/>
              </w:rPr>
              <w:t>5</w:t>
            </w:r>
          </w:p>
        </w:tc>
        <w:tc>
          <w:tcPr>
            <w:tcW w:w="1125" w:type="dxa"/>
            <w:tcBorders>
              <w:top w:val="single" w:color="auto" w:sz="8" w:space="0"/>
              <w:left w:val="nil"/>
              <w:bottom w:val="single" w:color="auto" w:sz="8" w:space="0"/>
              <w:right w:val="single" w:color="auto" w:sz="8" w:space="0"/>
            </w:tcBorders>
            <w:shd w:val="clear" w:color="000000" w:fill="0070C0"/>
            <w:noWrap/>
            <w:vAlign w:val="bottom"/>
          </w:tcPr>
          <w:p w14:paraId="2FEDB9A8">
            <w:pPr>
              <w:widowControl/>
              <w:spacing w:after="0" w:line="240" w:lineRule="auto"/>
              <w:jc w:val="center"/>
              <w:rPr>
                <w:rFonts w:hint="default" w:ascii="Verdana" w:hAnsi="Verdana" w:cs="Arial"/>
                <w:b/>
                <w:bCs/>
                <w:color w:val="FFFFFF"/>
                <w:kern w:val="0"/>
                <w:sz w:val="20"/>
                <w:szCs w:val="20"/>
                <w:lang w:val="en-US"/>
              </w:rPr>
            </w:pPr>
            <w:r>
              <w:rPr>
                <w:rFonts w:hint="default" w:ascii="Verdana" w:hAnsi="Verdana" w:cs="Arial"/>
                <w:b/>
                <w:bCs/>
                <w:color w:val="FFFFFF"/>
                <w:kern w:val="0"/>
                <w:sz w:val="20"/>
                <w:szCs w:val="20"/>
                <w:lang w:val="en-US" w:eastAsia="zh-CN"/>
              </w:rPr>
              <w:t>204</w:t>
            </w:r>
            <w:r>
              <w:rPr>
                <w:rFonts w:hint="eastAsia" w:ascii="Verdana" w:hAnsi="Verdana" w:cs="Arial"/>
                <w:b/>
                <w:bCs/>
                <w:color w:val="FFFFFF"/>
                <w:kern w:val="0"/>
                <w:sz w:val="20"/>
                <w:szCs w:val="20"/>
                <w:lang w:val="en-US" w:eastAsia="zh-CN"/>
              </w:rPr>
              <w:t>6</w:t>
            </w:r>
          </w:p>
        </w:tc>
        <w:tc>
          <w:tcPr>
            <w:tcW w:w="1356" w:type="dxa"/>
            <w:tcBorders>
              <w:top w:val="single" w:color="auto" w:sz="8" w:space="0"/>
              <w:left w:val="nil"/>
              <w:bottom w:val="single" w:color="auto" w:sz="8" w:space="0"/>
              <w:right w:val="single" w:color="auto" w:sz="8" w:space="0"/>
            </w:tcBorders>
            <w:shd w:val="clear" w:color="000000" w:fill="0070C0"/>
            <w:noWrap/>
            <w:vAlign w:val="bottom"/>
          </w:tcPr>
          <w:p w14:paraId="45D97260">
            <w:pPr>
              <w:widowControl/>
              <w:spacing w:after="0" w:line="240" w:lineRule="auto"/>
              <w:jc w:val="center"/>
              <w:rPr>
                <w:rFonts w:hint="default" w:ascii="Verdana" w:hAnsi="Verdana" w:cs="Arial"/>
                <w:b/>
                <w:bCs/>
                <w:color w:val="FFFFFF"/>
                <w:kern w:val="0"/>
                <w:sz w:val="20"/>
                <w:szCs w:val="20"/>
                <w:lang w:val="en-US" w:eastAsia="zh-CN"/>
              </w:rPr>
            </w:pPr>
            <w:r>
              <w:rPr>
                <w:rFonts w:hint="eastAsia" w:ascii="Verdana" w:hAnsi="Verdana" w:cs="Arial"/>
                <w:b/>
                <w:bCs/>
                <w:color w:val="FFFFFF"/>
                <w:kern w:val="0"/>
                <w:sz w:val="20"/>
                <w:szCs w:val="20"/>
                <w:lang w:val="en-US" w:eastAsia="zh-CN"/>
              </w:rPr>
              <w:t>合计</w:t>
            </w:r>
          </w:p>
        </w:tc>
      </w:tr>
      <w:tr w14:paraId="39945CD4">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000000" w:fill="D3DFEE"/>
            <w:noWrap/>
            <w:vAlign w:val="center"/>
          </w:tcPr>
          <w:p w14:paraId="2A524667">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现金流入</w:t>
            </w:r>
          </w:p>
        </w:tc>
        <w:tc>
          <w:tcPr>
            <w:tcW w:w="1125" w:type="dxa"/>
            <w:tcBorders>
              <w:top w:val="nil"/>
              <w:left w:val="nil"/>
              <w:bottom w:val="single" w:color="auto" w:sz="8" w:space="0"/>
              <w:right w:val="single" w:color="auto" w:sz="8" w:space="0"/>
            </w:tcBorders>
            <w:shd w:val="clear" w:color="000000" w:fill="D3DFEE"/>
            <w:noWrap/>
            <w:vAlign w:val="center"/>
          </w:tcPr>
          <w:p w14:paraId="0035C609">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77208E21">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3E33D80F">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4435ED77">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0D0D3334">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7A063D97">
            <w:pPr>
              <w:widowControl/>
              <w:spacing w:after="0" w:line="240" w:lineRule="auto"/>
              <w:jc w:val="right"/>
              <w:rPr>
                <w:rFonts w:hint="default" w:ascii="Verdana" w:hAnsi="Verdana" w:cs="Arial"/>
                <w:color w:val="000000"/>
                <w:kern w:val="0"/>
                <w:sz w:val="20"/>
                <w:szCs w:val="20"/>
                <w:lang w:val="en-US" w:eastAsia="zh-CN"/>
              </w:rPr>
            </w:pPr>
          </w:p>
        </w:tc>
        <w:tc>
          <w:tcPr>
            <w:tcW w:w="1125" w:type="dxa"/>
            <w:tcBorders>
              <w:top w:val="nil"/>
              <w:left w:val="nil"/>
              <w:bottom w:val="single" w:color="auto" w:sz="8" w:space="0"/>
              <w:right w:val="single" w:color="auto" w:sz="8" w:space="0"/>
            </w:tcBorders>
            <w:shd w:val="clear" w:color="000000" w:fill="D3DFEE"/>
            <w:noWrap/>
            <w:vAlign w:val="center"/>
          </w:tcPr>
          <w:p w14:paraId="4CE18969">
            <w:pPr>
              <w:widowControl/>
              <w:spacing w:after="0" w:line="240" w:lineRule="auto"/>
              <w:jc w:val="right"/>
              <w:rPr>
                <w:rFonts w:hint="default" w:ascii="Verdana" w:hAnsi="Verdana" w:cs="Arial"/>
                <w:color w:val="000000"/>
                <w:kern w:val="0"/>
                <w:sz w:val="20"/>
                <w:szCs w:val="20"/>
                <w:lang w:val="en-US" w:eastAsia="zh-CN"/>
              </w:rPr>
            </w:pPr>
          </w:p>
        </w:tc>
        <w:tc>
          <w:tcPr>
            <w:tcW w:w="1356" w:type="dxa"/>
            <w:tcBorders>
              <w:top w:val="nil"/>
              <w:left w:val="nil"/>
              <w:bottom w:val="single" w:color="auto" w:sz="8" w:space="0"/>
              <w:right w:val="single" w:color="auto" w:sz="8" w:space="0"/>
            </w:tcBorders>
            <w:shd w:val="clear" w:color="000000" w:fill="D3DFEE"/>
            <w:noWrap/>
            <w:vAlign w:val="center"/>
          </w:tcPr>
          <w:p w14:paraId="1012CF41">
            <w:pPr>
              <w:widowControl/>
              <w:spacing w:after="0" w:line="240" w:lineRule="auto"/>
              <w:jc w:val="right"/>
              <w:rPr>
                <w:rFonts w:hint="default" w:ascii="Verdana" w:hAnsi="Verdana" w:cs="Arial"/>
                <w:color w:val="000000"/>
                <w:kern w:val="0"/>
                <w:sz w:val="20"/>
                <w:szCs w:val="20"/>
                <w:lang w:val="en-US" w:eastAsia="zh-CN"/>
              </w:rPr>
            </w:pPr>
          </w:p>
        </w:tc>
      </w:tr>
      <w:tr w14:paraId="4E4A0F52">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38B3DED2">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自筹资金流入</w:t>
            </w:r>
          </w:p>
        </w:tc>
        <w:tc>
          <w:tcPr>
            <w:tcW w:w="1125" w:type="dxa"/>
            <w:tcBorders>
              <w:top w:val="nil"/>
              <w:left w:val="nil"/>
              <w:bottom w:val="single" w:color="auto" w:sz="8" w:space="0"/>
              <w:right w:val="single" w:color="auto" w:sz="8" w:space="0"/>
            </w:tcBorders>
            <w:shd w:val="clear" w:color="auto" w:fill="auto"/>
            <w:vAlign w:val="center"/>
          </w:tcPr>
          <w:p w14:paraId="7BF566F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37F5CF3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198D265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58F30F3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DE971C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4CD7A03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273F90D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356" w:type="dxa"/>
            <w:tcBorders>
              <w:top w:val="nil"/>
              <w:left w:val="nil"/>
              <w:bottom w:val="single" w:color="auto" w:sz="8" w:space="0"/>
              <w:right w:val="single" w:color="auto" w:sz="8" w:space="0"/>
            </w:tcBorders>
            <w:shd w:val="clear" w:color="auto" w:fill="auto"/>
            <w:vAlign w:val="center"/>
          </w:tcPr>
          <w:p w14:paraId="690C336A">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36,871.97 </w:t>
            </w:r>
          </w:p>
        </w:tc>
      </w:tr>
      <w:tr w14:paraId="09D88FDC">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28F449AD">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债券资金流入</w:t>
            </w:r>
          </w:p>
        </w:tc>
        <w:tc>
          <w:tcPr>
            <w:tcW w:w="1125" w:type="dxa"/>
            <w:tcBorders>
              <w:top w:val="nil"/>
              <w:left w:val="nil"/>
              <w:bottom w:val="single" w:color="auto" w:sz="8" w:space="0"/>
              <w:right w:val="single" w:color="auto" w:sz="8" w:space="0"/>
            </w:tcBorders>
            <w:shd w:val="clear" w:color="auto" w:fill="auto"/>
            <w:vAlign w:val="center"/>
          </w:tcPr>
          <w:p w14:paraId="1124604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661D0C4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2949D9D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343E74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1004F61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3962D2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2968656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356" w:type="dxa"/>
            <w:tcBorders>
              <w:top w:val="nil"/>
              <w:left w:val="nil"/>
              <w:bottom w:val="single" w:color="auto" w:sz="8" w:space="0"/>
              <w:right w:val="single" w:color="auto" w:sz="8" w:space="0"/>
            </w:tcBorders>
            <w:shd w:val="clear" w:color="auto" w:fill="auto"/>
            <w:vAlign w:val="center"/>
          </w:tcPr>
          <w:p w14:paraId="41AA5FFF">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7,500.00 </w:t>
            </w:r>
          </w:p>
        </w:tc>
      </w:tr>
      <w:tr w14:paraId="144AA994">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01CF3360">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运营期现金流入</w:t>
            </w:r>
          </w:p>
        </w:tc>
        <w:tc>
          <w:tcPr>
            <w:tcW w:w="1125" w:type="dxa"/>
            <w:tcBorders>
              <w:top w:val="nil"/>
              <w:left w:val="nil"/>
              <w:bottom w:val="single" w:color="auto" w:sz="8" w:space="0"/>
              <w:right w:val="single" w:color="auto" w:sz="8" w:space="0"/>
            </w:tcBorders>
            <w:shd w:val="clear" w:color="auto" w:fill="auto"/>
            <w:vAlign w:val="center"/>
          </w:tcPr>
          <w:p w14:paraId="5F0A749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49F457B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27272DC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6039BBB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61F00A8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1268DDE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5A64CED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565.10 </w:t>
            </w:r>
          </w:p>
        </w:tc>
        <w:tc>
          <w:tcPr>
            <w:tcW w:w="1356" w:type="dxa"/>
            <w:tcBorders>
              <w:top w:val="nil"/>
              <w:left w:val="nil"/>
              <w:bottom w:val="single" w:color="auto" w:sz="8" w:space="0"/>
              <w:right w:val="single" w:color="auto" w:sz="8" w:space="0"/>
            </w:tcBorders>
            <w:shd w:val="clear" w:color="auto" w:fill="auto"/>
            <w:vAlign w:val="center"/>
          </w:tcPr>
          <w:p w14:paraId="441B1D5C">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21,134.22 </w:t>
            </w:r>
          </w:p>
        </w:tc>
      </w:tr>
      <w:tr w14:paraId="64C5D7C0">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6BC85A20">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现金流入总额</w:t>
            </w:r>
          </w:p>
        </w:tc>
        <w:tc>
          <w:tcPr>
            <w:tcW w:w="1125" w:type="dxa"/>
            <w:tcBorders>
              <w:top w:val="nil"/>
              <w:left w:val="nil"/>
              <w:bottom w:val="single" w:color="auto" w:sz="8" w:space="0"/>
              <w:right w:val="single" w:color="auto" w:sz="8" w:space="0"/>
            </w:tcBorders>
            <w:shd w:val="clear" w:color="auto" w:fill="auto"/>
            <w:vAlign w:val="center"/>
          </w:tcPr>
          <w:p w14:paraId="43ABCBE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7FCB241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3220564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7AC85DF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2A3C1E0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4A80DAA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1130.17 </w:t>
            </w:r>
          </w:p>
        </w:tc>
        <w:tc>
          <w:tcPr>
            <w:tcW w:w="1125" w:type="dxa"/>
            <w:tcBorders>
              <w:top w:val="nil"/>
              <w:left w:val="nil"/>
              <w:bottom w:val="single" w:color="auto" w:sz="8" w:space="0"/>
              <w:right w:val="single" w:color="auto" w:sz="8" w:space="0"/>
            </w:tcBorders>
            <w:shd w:val="clear" w:color="auto" w:fill="auto"/>
            <w:vAlign w:val="center"/>
          </w:tcPr>
          <w:p w14:paraId="73064D7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565.10 </w:t>
            </w:r>
          </w:p>
        </w:tc>
        <w:tc>
          <w:tcPr>
            <w:tcW w:w="1356" w:type="dxa"/>
            <w:tcBorders>
              <w:top w:val="nil"/>
              <w:left w:val="nil"/>
              <w:bottom w:val="single" w:color="auto" w:sz="8" w:space="0"/>
              <w:right w:val="single" w:color="auto" w:sz="8" w:space="0"/>
            </w:tcBorders>
            <w:shd w:val="clear" w:color="auto" w:fill="auto"/>
            <w:vAlign w:val="center"/>
          </w:tcPr>
          <w:p w14:paraId="26A795C7">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65,506.19 </w:t>
            </w:r>
          </w:p>
        </w:tc>
      </w:tr>
      <w:tr w14:paraId="0BEDF4EF">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000000" w:fill="D3DFEE"/>
            <w:noWrap/>
            <w:vAlign w:val="center"/>
          </w:tcPr>
          <w:p w14:paraId="3DCE0D6B">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现金流出</w:t>
            </w:r>
          </w:p>
        </w:tc>
        <w:tc>
          <w:tcPr>
            <w:tcW w:w="1125" w:type="dxa"/>
            <w:tcBorders>
              <w:top w:val="nil"/>
              <w:left w:val="nil"/>
              <w:bottom w:val="single" w:color="auto" w:sz="8" w:space="0"/>
              <w:right w:val="single" w:color="auto" w:sz="8" w:space="0"/>
            </w:tcBorders>
            <w:shd w:val="clear" w:color="000000" w:fill="D3DFEE"/>
            <w:noWrap/>
            <w:vAlign w:val="bottom"/>
          </w:tcPr>
          <w:p w14:paraId="1699591A">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5CD00767">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2EC8EB05">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7CADC647">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2CEB7247">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769B7650">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05FF3FC1">
            <w:pPr>
              <w:jc w:val="center"/>
              <w:rPr>
                <w:rFonts w:hint="default" w:ascii="Verdana" w:hAnsi="Verdana" w:eastAsia="宋体" w:cs="Arial"/>
                <w:color w:val="000000"/>
                <w:kern w:val="0"/>
                <w:sz w:val="20"/>
                <w:szCs w:val="20"/>
                <w:lang w:val="en-US" w:eastAsia="zh-CN" w:bidi="ar-SA"/>
              </w:rPr>
            </w:pPr>
          </w:p>
        </w:tc>
        <w:tc>
          <w:tcPr>
            <w:tcW w:w="1356" w:type="dxa"/>
            <w:tcBorders>
              <w:top w:val="nil"/>
              <w:left w:val="nil"/>
              <w:bottom w:val="single" w:color="auto" w:sz="8" w:space="0"/>
              <w:right w:val="single" w:color="auto" w:sz="8" w:space="0"/>
            </w:tcBorders>
            <w:shd w:val="clear" w:color="000000" w:fill="D3DFEE"/>
            <w:noWrap/>
            <w:vAlign w:val="bottom"/>
          </w:tcPr>
          <w:p w14:paraId="7FB028BA">
            <w:pPr>
              <w:jc w:val="center"/>
              <w:rPr>
                <w:rFonts w:hint="default" w:ascii="Verdana" w:hAnsi="Verdana" w:eastAsia="宋体" w:cs="Arial"/>
                <w:b/>
                <w:bCs/>
                <w:color w:val="000000"/>
                <w:kern w:val="0"/>
                <w:sz w:val="20"/>
                <w:szCs w:val="20"/>
                <w:lang w:val="en-US" w:eastAsia="zh-CN" w:bidi="ar-SA"/>
              </w:rPr>
            </w:pPr>
          </w:p>
        </w:tc>
      </w:tr>
      <w:tr w14:paraId="26523B43">
        <w:tblPrEx>
          <w:tblCellMar>
            <w:top w:w="0" w:type="dxa"/>
            <w:left w:w="108" w:type="dxa"/>
            <w:bottom w:w="0" w:type="dxa"/>
            <w:right w:w="108" w:type="dxa"/>
          </w:tblCellMar>
        </w:tblPrEx>
        <w:trPr>
          <w:trHeight w:val="38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01E8CFAC">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建设期资金流出</w:t>
            </w:r>
          </w:p>
        </w:tc>
        <w:tc>
          <w:tcPr>
            <w:tcW w:w="1125" w:type="dxa"/>
            <w:tcBorders>
              <w:top w:val="nil"/>
              <w:left w:val="nil"/>
              <w:bottom w:val="single" w:color="auto" w:sz="8" w:space="0"/>
              <w:right w:val="single" w:color="auto" w:sz="8" w:space="0"/>
            </w:tcBorders>
            <w:shd w:val="clear" w:color="auto" w:fill="auto"/>
            <w:vAlign w:val="center"/>
          </w:tcPr>
          <w:p w14:paraId="064FFFD8">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125" w:type="dxa"/>
            <w:tcBorders>
              <w:top w:val="nil"/>
              <w:left w:val="nil"/>
              <w:bottom w:val="single" w:color="auto" w:sz="8" w:space="0"/>
              <w:right w:val="single" w:color="auto" w:sz="8" w:space="0"/>
            </w:tcBorders>
            <w:shd w:val="clear" w:color="auto" w:fill="auto"/>
            <w:vAlign w:val="center"/>
          </w:tcPr>
          <w:p w14:paraId="7E85A083">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125" w:type="dxa"/>
            <w:tcBorders>
              <w:top w:val="nil"/>
              <w:left w:val="nil"/>
              <w:bottom w:val="single" w:color="auto" w:sz="8" w:space="0"/>
              <w:right w:val="single" w:color="auto" w:sz="8" w:space="0"/>
            </w:tcBorders>
            <w:shd w:val="clear" w:color="auto" w:fill="auto"/>
            <w:vAlign w:val="center"/>
          </w:tcPr>
          <w:p w14:paraId="0A310E54">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125" w:type="dxa"/>
            <w:tcBorders>
              <w:top w:val="nil"/>
              <w:left w:val="nil"/>
              <w:bottom w:val="single" w:color="auto" w:sz="8" w:space="0"/>
              <w:right w:val="single" w:color="auto" w:sz="8" w:space="0"/>
            </w:tcBorders>
            <w:shd w:val="clear" w:color="auto" w:fill="auto"/>
            <w:vAlign w:val="center"/>
          </w:tcPr>
          <w:p w14:paraId="3B12D687">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125" w:type="dxa"/>
            <w:tcBorders>
              <w:top w:val="nil"/>
              <w:left w:val="nil"/>
              <w:bottom w:val="single" w:color="auto" w:sz="8" w:space="0"/>
              <w:right w:val="single" w:color="auto" w:sz="8" w:space="0"/>
            </w:tcBorders>
            <w:shd w:val="clear" w:color="auto" w:fill="auto"/>
            <w:vAlign w:val="center"/>
          </w:tcPr>
          <w:p w14:paraId="6AE1312D">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125" w:type="dxa"/>
            <w:tcBorders>
              <w:top w:val="nil"/>
              <w:left w:val="nil"/>
              <w:bottom w:val="single" w:color="auto" w:sz="8" w:space="0"/>
              <w:right w:val="single" w:color="auto" w:sz="8" w:space="0"/>
            </w:tcBorders>
            <w:shd w:val="clear" w:color="auto" w:fill="auto"/>
            <w:vAlign w:val="center"/>
          </w:tcPr>
          <w:p w14:paraId="65323E4F">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125" w:type="dxa"/>
            <w:tcBorders>
              <w:top w:val="nil"/>
              <w:left w:val="nil"/>
              <w:bottom w:val="single" w:color="auto" w:sz="8" w:space="0"/>
              <w:right w:val="single" w:color="auto" w:sz="8" w:space="0"/>
            </w:tcBorders>
            <w:shd w:val="clear" w:color="auto" w:fill="auto"/>
            <w:vAlign w:val="center"/>
          </w:tcPr>
          <w:p w14:paraId="0A6F5388">
            <w:pPr>
              <w:widowControl/>
              <w:spacing w:after="0" w:line="240" w:lineRule="auto"/>
              <w:jc w:val="right"/>
              <w:rPr>
                <w:rFonts w:hint="default" w:ascii="Verdana" w:hAnsi="Verdana" w:eastAsia="宋体" w:cs="Arial"/>
                <w:b w:val="0"/>
                <w:bCs w:val="0"/>
                <w:color w:val="000000"/>
                <w:kern w:val="0"/>
                <w:sz w:val="20"/>
                <w:szCs w:val="20"/>
                <w:lang w:val="en-US" w:eastAsia="zh-CN" w:bidi="ar-SA"/>
              </w:rPr>
            </w:pPr>
            <w:r>
              <w:rPr>
                <w:rFonts w:hint="default" w:ascii="Verdana" w:hAnsi="Verdana" w:eastAsia="宋体" w:cs="Arial"/>
                <w:b w:val="0"/>
                <w:bCs w:val="0"/>
                <w:color w:val="000000"/>
                <w:kern w:val="0"/>
                <w:sz w:val="20"/>
                <w:szCs w:val="20"/>
                <w:lang w:val="en-US" w:eastAsia="zh-CN" w:bidi="ar-SA"/>
              </w:rPr>
              <w:t>0.00</w:t>
            </w:r>
          </w:p>
        </w:tc>
        <w:tc>
          <w:tcPr>
            <w:tcW w:w="1356" w:type="dxa"/>
            <w:tcBorders>
              <w:top w:val="nil"/>
              <w:left w:val="nil"/>
              <w:bottom w:val="single" w:color="auto" w:sz="8" w:space="0"/>
              <w:right w:val="single" w:color="auto" w:sz="8" w:space="0"/>
            </w:tcBorders>
            <w:shd w:val="clear" w:color="auto" w:fill="auto"/>
            <w:vAlign w:val="center"/>
          </w:tcPr>
          <w:p w14:paraId="0EDFB9D7">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44,148.79 </w:t>
            </w:r>
          </w:p>
        </w:tc>
      </w:tr>
      <w:tr w14:paraId="15D990AC">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1DD145C8">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运营期现金流出</w:t>
            </w:r>
          </w:p>
        </w:tc>
        <w:tc>
          <w:tcPr>
            <w:tcW w:w="1125" w:type="dxa"/>
            <w:tcBorders>
              <w:top w:val="nil"/>
              <w:left w:val="nil"/>
              <w:bottom w:val="single" w:color="auto" w:sz="8" w:space="0"/>
              <w:right w:val="single" w:color="auto" w:sz="8" w:space="0"/>
            </w:tcBorders>
            <w:shd w:val="clear" w:color="auto" w:fill="auto"/>
            <w:vAlign w:val="center"/>
          </w:tcPr>
          <w:p w14:paraId="194E72A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3762A06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1816263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73F3D64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35CDBD9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0D46072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118.04 </w:t>
            </w:r>
          </w:p>
        </w:tc>
        <w:tc>
          <w:tcPr>
            <w:tcW w:w="1125" w:type="dxa"/>
            <w:tcBorders>
              <w:top w:val="nil"/>
              <w:left w:val="nil"/>
              <w:bottom w:val="single" w:color="auto" w:sz="8" w:space="0"/>
              <w:right w:val="single" w:color="auto" w:sz="8" w:space="0"/>
            </w:tcBorders>
            <w:shd w:val="clear" w:color="auto" w:fill="auto"/>
            <w:vAlign w:val="center"/>
          </w:tcPr>
          <w:p w14:paraId="4976013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59.02 </w:t>
            </w:r>
          </w:p>
        </w:tc>
        <w:tc>
          <w:tcPr>
            <w:tcW w:w="1356" w:type="dxa"/>
            <w:tcBorders>
              <w:top w:val="nil"/>
              <w:left w:val="nil"/>
              <w:bottom w:val="single" w:color="auto" w:sz="8" w:space="0"/>
              <w:right w:val="single" w:color="auto" w:sz="8" w:space="0"/>
            </w:tcBorders>
            <w:shd w:val="clear" w:color="auto" w:fill="auto"/>
            <w:vAlign w:val="center"/>
          </w:tcPr>
          <w:p w14:paraId="2E61BD28">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2,207.35 </w:t>
            </w:r>
          </w:p>
        </w:tc>
      </w:tr>
      <w:tr w14:paraId="6FF0E4A0">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0A1738FE">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债券还本付息</w:t>
            </w:r>
          </w:p>
        </w:tc>
        <w:tc>
          <w:tcPr>
            <w:tcW w:w="1125" w:type="dxa"/>
            <w:tcBorders>
              <w:top w:val="nil"/>
              <w:left w:val="nil"/>
              <w:bottom w:val="single" w:color="auto" w:sz="8" w:space="0"/>
              <w:right w:val="single" w:color="auto" w:sz="8" w:space="0"/>
            </w:tcBorders>
            <w:shd w:val="clear" w:color="auto" w:fill="auto"/>
            <w:vAlign w:val="center"/>
          </w:tcPr>
          <w:p w14:paraId="0E0D290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0D4C831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4D53B28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1A01597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178F85F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202.57 </w:t>
            </w:r>
          </w:p>
        </w:tc>
        <w:tc>
          <w:tcPr>
            <w:tcW w:w="1125" w:type="dxa"/>
            <w:tcBorders>
              <w:top w:val="nil"/>
              <w:left w:val="nil"/>
              <w:bottom w:val="single" w:color="auto" w:sz="8" w:space="0"/>
              <w:right w:val="single" w:color="auto" w:sz="8" w:space="0"/>
            </w:tcBorders>
            <w:shd w:val="clear" w:color="auto" w:fill="auto"/>
            <w:vAlign w:val="center"/>
          </w:tcPr>
          <w:p w14:paraId="53B1BDC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499.29 </w:t>
            </w:r>
          </w:p>
        </w:tc>
        <w:tc>
          <w:tcPr>
            <w:tcW w:w="1125" w:type="dxa"/>
            <w:tcBorders>
              <w:top w:val="nil"/>
              <w:left w:val="nil"/>
              <w:bottom w:val="single" w:color="auto" w:sz="8" w:space="0"/>
              <w:right w:val="single" w:color="auto" w:sz="8" w:space="0"/>
            </w:tcBorders>
            <w:shd w:val="clear" w:color="auto" w:fill="auto"/>
            <w:vAlign w:val="center"/>
          </w:tcPr>
          <w:p w14:paraId="263F479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7196.00 </w:t>
            </w:r>
          </w:p>
        </w:tc>
        <w:tc>
          <w:tcPr>
            <w:tcW w:w="1356" w:type="dxa"/>
            <w:tcBorders>
              <w:top w:val="nil"/>
              <w:left w:val="nil"/>
              <w:bottom w:val="single" w:color="auto" w:sz="8" w:space="0"/>
              <w:right w:val="single" w:color="auto" w:sz="8" w:space="0"/>
            </w:tcBorders>
            <w:shd w:val="clear" w:color="auto" w:fill="auto"/>
            <w:vAlign w:val="center"/>
          </w:tcPr>
          <w:p w14:paraId="7ECD7579">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11,581.56 </w:t>
            </w:r>
          </w:p>
        </w:tc>
      </w:tr>
      <w:tr w14:paraId="14E3DF97">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21040791">
            <w:pPr>
              <w:widowControl/>
              <w:spacing w:after="0" w:line="240" w:lineRule="auto"/>
              <w:jc w:val="left"/>
              <w:rPr>
                <w:rFonts w:hint="eastAsia" w:ascii="华文细黑" w:hAnsi="华文细黑" w:eastAsia="华文细黑" w:cs="Arial"/>
                <w:color w:val="000000"/>
                <w:kern w:val="0"/>
                <w:sz w:val="20"/>
                <w:szCs w:val="20"/>
              </w:rPr>
            </w:pPr>
            <w:r>
              <w:rPr>
                <w:rFonts w:hint="eastAsia" w:ascii="华文细黑" w:hAnsi="华文细黑" w:eastAsia="华文细黑" w:cs="Arial"/>
                <w:color w:val="000000"/>
                <w:kern w:val="0"/>
                <w:sz w:val="20"/>
                <w:szCs w:val="20"/>
              </w:rPr>
              <w:t>债券发行费用</w:t>
            </w:r>
          </w:p>
        </w:tc>
        <w:tc>
          <w:tcPr>
            <w:tcW w:w="1125" w:type="dxa"/>
            <w:tcBorders>
              <w:top w:val="nil"/>
              <w:left w:val="nil"/>
              <w:bottom w:val="single" w:color="auto" w:sz="8" w:space="0"/>
              <w:right w:val="single" w:color="auto" w:sz="8" w:space="0"/>
            </w:tcBorders>
            <w:shd w:val="clear" w:color="auto" w:fill="auto"/>
            <w:vAlign w:val="center"/>
          </w:tcPr>
          <w:p w14:paraId="6C73DC2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637A2BF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4D10526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0D3EF9D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2CE0CDF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44F0AA9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125" w:type="dxa"/>
            <w:tcBorders>
              <w:top w:val="nil"/>
              <w:left w:val="nil"/>
              <w:bottom w:val="single" w:color="auto" w:sz="8" w:space="0"/>
              <w:right w:val="single" w:color="auto" w:sz="8" w:space="0"/>
            </w:tcBorders>
            <w:shd w:val="clear" w:color="auto" w:fill="auto"/>
            <w:vAlign w:val="center"/>
          </w:tcPr>
          <w:p w14:paraId="73A8F59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0.00 </w:t>
            </w:r>
          </w:p>
        </w:tc>
        <w:tc>
          <w:tcPr>
            <w:tcW w:w="1356" w:type="dxa"/>
            <w:tcBorders>
              <w:top w:val="nil"/>
              <w:left w:val="nil"/>
              <w:bottom w:val="single" w:color="auto" w:sz="8" w:space="0"/>
              <w:right w:val="single" w:color="auto" w:sz="8" w:space="0"/>
            </w:tcBorders>
            <w:shd w:val="clear" w:color="auto" w:fill="auto"/>
            <w:vAlign w:val="center"/>
          </w:tcPr>
          <w:p w14:paraId="625A1A93">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7.00 </w:t>
            </w:r>
          </w:p>
        </w:tc>
      </w:tr>
      <w:tr w14:paraId="52854D60">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360924C7">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现金流出总额</w:t>
            </w:r>
          </w:p>
        </w:tc>
        <w:tc>
          <w:tcPr>
            <w:tcW w:w="1125" w:type="dxa"/>
            <w:tcBorders>
              <w:top w:val="nil"/>
              <w:left w:val="nil"/>
              <w:bottom w:val="single" w:color="auto" w:sz="8" w:space="0"/>
              <w:right w:val="single" w:color="auto" w:sz="8" w:space="0"/>
            </w:tcBorders>
            <w:shd w:val="clear" w:color="auto" w:fill="auto"/>
            <w:vAlign w:val="center"/>
          </w:tcPr>
          <w:p w14:paraId="008A2D2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038D9CB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43B13E2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7074D00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7C58EBA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320.61 </w:t>
            </w:r>
          </w:p>
        </w:tc>
        <w:tc>
          <w:tcPr>
            <w:tcW w:w="1125" w:type="dxa"/>
            <w:tcBorders>
              <w:top w:val="nil"/>
              <w:left w:val="nil"/>
              <w:bottom w:val="single" w:color="auto" w:sz="8" w:space="0"/>
              <w:right w:val="single" w:color="auto" w:sz="8" w:space="0"/>
            </w:tcBorders>
            <w:shd w:val="clear" w:color="auto" w:fill="auto"/>
            <w:vAlign w:val="center"/>
          </w:tcPr>
          <w:p w14:paraId="6B7E69F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617.33 </w:t>
            </w:r>
          </w:p>
        </w:tc>
        <w:tc>
          <w:tcPr>
            <w:tcW w:w="1125" w:type="dxa"/>
            <w:tcBorders>
              <w:top w:val="nil"/>
              <w:left w:val="nil"/>
              <w:bottom w:val="single" w:color="auto" w:sz="8" w:space="0"/>
              <w:right w:val="single" w:color="auto" w:sz="8" w:space="0"/>
            </w:tcBorders>
            <w:shd w:val="clear" w:color="auto" w:fill="auto"/>
            <w:vAlign w:val="center"/>
          </w:tcPr>
          <w:p w14:paraId="04BCC0D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7255.02 </w:t>
            </w:r>
          </w:p>
        </w:tc>
        <w:tc>
          <w:tcPr>
            <w:tcW w:w="1356" w:type="dxa"/>
            <w:tcBorders>
              <w:top w:val="nil"/>
              <w:left w:val="nil"/>
              <w:bottom w:val="single" w:color="auto" w:sz="8" w:space="0"/>
              <w:right w:val="single" w:color="auto" w:sz="8" w:space="0"/>
            </w:tcBorders>
            <w:shd w:val="clear" w:color="auto" w:fill="auto"/>
            <w:vAlign w:val="center"/>
          </w:tcPr>
          <w:p w14:paraId="2C6AC0FD">
            <w:pPr>
              <w:widowControl/>
              <w:spacing w:after="0" w:line="240" w:lineRule="auto"/>
              <w:jc w:val="right"/>
              <w:rPr>
                <w:rFonts w:hint="default" w:ascii="Verdana" w:hAnsi="Verdana" w:eastAsia="宋体" w:cs="Arial"/>
                <w:b/>
                <w:bCs/>
                <w:color w:val="000000"/>
                <w:kern w:val="0"/>
                <w:sz w:val="20"/>
                <w:szCs w:val="20"/>
                <w:lang w:val="en-US" w:eastAsia="zh-CN" w:bidi="ar-SA"/>
              </w:rPr>
            </w:pPr>
            <w:r>
              <w:rPr>
                <w:rFonts w:hint="default" w:ascii="Verdana" w:hAnsi="Verdana" w:eastAsia="宋体" w:cs="Arial"/>
                <w:b/>
                <w:bCs/>
                <w:color w:val="000000"/>
                <w:kern w:val="0"/>
                <w:sz w:val="20"/>
                <w:szCs w:val="20"/>
                <w:lang w:val="en-US" w:eastAsia="zh-CN" w:bidi="ar-SA"/>
              </w:rPr>
              <w:t xml:space="preserve">57,944.70 </w:t>
            </w:r>
          </w:p>
        </w:tc>
      </w:tr>
      <w:tr w14:paraId="17C42900">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000000" w:fill="D3DFEE"/>
            <w:noWrap/>
            <w:vAlign w:val="center"/>
          </w:tcPr>
          <w:p w14:paraId="63CC6977">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现金净流量</w:t>
            </w:r>
          </w:p>
        </w:tc>
        <w:tc>
          <w:tcPr>
            <w:tcW w:w="1125" w:type="dxa"/>
            <w:tcBorders>
              <w:top w:val="nil"/>
              <w:left w:val="nil"/>
              <w:bottom w:val="single" w:color="auto" w:sz="8" w:space="0"/>
              <w:right w:val="single" w:color="auto" w:sz="8" w:space="0"/>
            </w:tcBorders>
            <w:shd w:val="clear" w:color="000000" w:fill="D3DFEE"/>
            <w:noWrap/>
            <w:vAlign w:val="bottom"/>
          </w:tcPr>
          <w:p w14:paraId="6634A645">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0471A249">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61F90526">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7A65045D">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6B0E9988">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68C41B69">
            <w:pPr>
              <w:jc w:val="center"/>
              <w:rPr>
                <w:rFonts w:hint="default" w:ascii="Verdana" w:hAnsi="Verdana" w:eastAsia="宋体" w:cs="Arial"/>
                <w:color w:val="000000"/>
                <w:kern w:val="0"/>
                <w:sz w:val="20"/>
                <w:szCs w:val="20"/>
                <w:lang w:val="en-US" w:eastAsia="zh-CN" w:bidi="ar-SA"/>
              </w:rPr>
            </w:pPr>
          </w:p>
        </w:tc>
        <w:tc>
          <w:tcPr>
            <w:tcW w:w="1125" w:type="dxa"/>
            <w:tcBorders>
              <w:top w:val="nil"/>
              <w:left w:val="nil"/>
              <w:bottom w:val="single" w:color="auto" w:sz="8" w:space="0"/>
              <w:right w:val="single" w:color="auto" w:sz="8" w:space="0"/>
            </w:tcBorders>
            <w:shd w:val="clear" w:color="000000" w:fill="D3DFEE"/>
            <w:noWrap/>
            <w:vAlign w:val="bottom"/>
          </w:tcPr>
          <w:p w14:paraId="2CA48EEE">
            <w:pPr>
              <w:jc w:val="center"/>
              <w:rPr>
                <w:rFonts w:hint="default" w:ascii="Verdana" w:hAnsi="Verdana" w:eastAsia="宋体" w:cs="Arial"/>
                <w:color w:val="000000"/>
                <w:kern w:val="0"/>
                <w:sz w:val="20"/>
                <w:szCs w:val="20"/>
                <w:lang w:val="en-US" w:eastAsia="zh-CN" w:bidi="ar-SA"/>
              </w:rPr>
            </w:pPr>
          </w:p>
        </w:tc>
        <w:tc>
          <w:tcPr>
            <w:tcW w:w="1356" w:type="dxa"/>
            <w:tcBorders>
              <w:top w:val="nil"/>
              <w:left w:val="nil"/>
              <w:bottom w:val="single" w:color="auto" w:sz="8" w:space="0"/>
              <w:right w:val="single" w:color="auto" w:sz="8" w:space="0"/>
            </w:tcBorders>
            <w:shd w:val="clear" w:color="000000" w:fill="D3DFEE"/>
            <w:noWrap/>
            <w:vAlign w:val="center"/>
          </w:tcPr>
          <w:p w14:paraId="6B63CB90">
            <w:pPr>
              <w:widowControl/>
              <w:spacing w:after="0" w:line="240" w:lineRule="auto"/>
              <w:jc w:val="right"/>
              <w:rPr>
                <w:rFonts w:hint="default" w:ascii="Verdana" w:hAnsi="Verdana" w:eastAsia="宋体" w:cs="Arial"/>
                <w:color w:val="000000"/>
                <w:kern w:val="0"/>
                <w:sz w:val="20"/>
                <w:szCs w:val="20"/>
                <w:lang w:val="en-US" w:eastAsia="zh-CN" w:bidi="ar-SA"/>
              </w:rPr>
            </w:pPr>
          </w:p>
        </w:tc>
      </w:tr>
      <w:tr w14:paraId="11182B06">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2DF34895">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当年项目现金净流入</w:t>
            </w:r>
          </w:p>
        </w:tc>
        <w:tc>
          <w:tcPr>
            <w:tcW w:w="1125" w:type="dxa"/>
            <w:tcBorders>
              <w:top w:val="nil"/>
              <w:left w:val="nil"/>
              <w:bottom w:val="single" w:color="auto" w:sz="8" w:space="0"/>
              <w:right w:val="single" w:color="auto" w:sz="8" w:space="0"/>
            </w:tcBorders>
            <w:shd w:val="clear" w:color="auto" w:fill="auto"/>
            <w:vAlign w:val="center"/>
          </w:tcPr>
          <w:p w14:paraId="253509B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549F353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19474B0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3B867C0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4622241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809.56 </w:t>
            </w:r>
          </w:p>
        </w:tc>
        <w:tc>
          <w:tcPr>
            <w:tcW w:w="1125" w:type="dxa"/>
            <w:tcBorders>
              <w:top w:val="nil"/>
              <w:left w:val="nil"/>
              <w:bottom w:val="single" w:color="auto" w:sz="8" w:space="0"/>
              <w:right w:val="single" w:color="auto" w:sz="8" w:space="0"/>
            </w:tcBorders>
            <w:shd w:val="clear" w:color="auto" w:fill="auto"/>
            <w:vAlign w:val="center"/>
          </w:tcPr>
          <w:p w14:paraId="42D8C54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512.84 </w:t>
            </w:r>
          </w:p>
        </w:tc>
        <w:tc>
          <w:tcPr>
            <w:tcW w:w="1125" w:type="dxa"/>
            <w:tcBorders>
              <w:top w:val="nil"/>
              <w:left w:val="nil"/>
              <w:bottom w:val="single" w:color="auto" w:sz="8" w:space="0"/>
              <w:right w:val="single" w:color="auto" w:sz="8" w:space="0"/>
            </w:tcBorders>
            <w:shd w:val="clear" w:color="auto" w:fill="auto"/>
            <w:vAlign w:val="center"/>
          </w:tcPr>
          <w:p w14:paraId="31E5C6AC">
            <w:pPr>
              <w:widowControl/>
              <w:spacing w:after="0" w:line="240" w:lineRule="auto"/>
              <w:jc w:val="right"/>
              <w:rPr>
                <w:rFonts w:hint="default" w:ascii="Verdana" w:hAnsi="Verdana" w:eastAsia="宋体" w:cs="Arial"/>
                <w:color w:val="000000"/>
                <w:kern w:val="0"/>
                <w:sz w:val="20"/>
                <w:szCs w:val="20"/>
                <w:lang w:val="en-US" w:eastAsia="zh-CN" w:bidi="ar-SA"/>
              </w:rPr>
            </w:pPr>
            <w:r>
              <w:rPr>
                <w:rFonts w:hint="eastAsia" w:ascii="Verdana" w:hAnsi="Verdana" w:cs="Arial"/>
                <w:color w:val="000000"/>
                <w:kern w:val="0"/>
                <w:sz w:val="20"/>
                <w:szCs w:val="20"/>
                <w:lang w:val="en-US" w:eastAsia="zh-CN" w:bidi="ar-SA"/>
              </w:rPr>
              <w:t>-</w:t>
            </w:r>
            <w:r>
              <w:rPr>
                <w:rFonts w:hint="default" w:ascii="Verdana" w:hAnsi="Verdana" w:eastAsia="宋体" w:cs="Arial"/>
                <w:color w:val="000000"/>
                <w:kern w:val="0"/>
                <w:sz w:val="20"/>
                <w:szCs w:val="20"/>
                <w:lang w:val="en-US" w:eastAsia="zh-CN" w:bidi="ar-SA"/>
              </w:rPr>
              <w:t>6689.92</w:t>
            </w:r>
          </w:p>
        </w:tc>
        <w:tc>
          <w:tcPr>
            <w:tcW w:w="1356" w:type="dxa"/>
            <w:tcBorders>
              <w:top w:val="nil"/>
              <w:left w:val="nil"/>
              <w:bottom w:val="single" w:color="auto" w:sz="8" w:space="0"/>
              <w:right w:val="single" w:color="auto" w:sz="8" w:space="0"/>
            </w:tcBorders>
            <w:shd w:val="clear" w:color="auto" w:fill="auto"/>
            <w:vAlign w:val="center"/>
          </w:tcPr>
          <w:p w14:paraId="5846DD7E">
            <w:pPr>
              <w:widowControl/>
              <w:spacing w:after="0" w:line="240" w:lineRule="auto"/>
              <w:jc w:val="right"/>
              <w:rPr>
                <w:rFonts w:hint="default" w:ascii="Verdana" w:hAnsi="Verdana" w:eastAsia="宋体" w:cs="Arial"/>
                <w:color w:val="000000"/>
                <w:kern w:val="0"/>
                <w:sz w:val="20"/>
                <w:szCs w:val="20"/>
                <w:lang w:val="en-US" w:eastAsia="zh-CN" w:bidi="ar-SA"/>
              </w:rPr>
            </w:pPr>
          </w:p>
        </w:tc>
      </w:tr>
      <w:tr w14:paraId="1E5A25C0">
        <w:tblPrEx>
          <w:tblCellMar>
            <w:top w:w="0" w:type="dxa"/>
            <w:left w:w="108" w:type="dxa"/>
            <w:bottom w:w="0" w:type="dxa"/>
            <w:right w:w="108" w:type="dxa"/>
          </w:tblCellMar>
        </w:tblPrEx>
        <w:trPr>
          <w:trHeight w:val="300" w:hRule="atLeast"/>
          <w:jc w:val="center"/>
        </w:trPr>
        <w:tc>
          <w:tcPr>
            <w:tcW w:w="2052" w:type="dxa"/>
            <w:tcBorders>
              <w:top w:val="nil"/>
              <w:left w:val="single" w:color="auto" w:sz="8" w:space="0"/>
              <w:bottom w:val="single" w:color="auto" w:sz="8" w:space="0"/>
              <w:right w:val="single" w:color="auto" w:sz="8" w:space="0"/>
            </w:tcBorders>
            <w:shd w:val="clear" w:color="auto" w:fill="auto"/>
            <w:noWrap/>
            <w:vAlign w:val="center"/>
          </w:tcPr>
          <w:p w14:paraId="04DEE46B">
            <w:pPr>
              <w:widowControl/>
              <w:spacing w:after="0" w:line="240" w:lineRule="auto"/>
              <w:jc w:val="left"/>
              <w:rPr>
                <w:rFonts w:hint="eastAsia" w:ascii="华文细黑" w:hAnsi="华文细黑" w:eastAsia="华文细黑" w:cs="Arial"/>
                <w:b/>
                <w:bCs/>
                <w:color w:val="000000"/>
                <w:kern w:val="0"/>
                <w:sz w:val="20"/>
                <w:szCs w:val="20"/>
              </w:rPr>
            </w:pPr>
            <w:r>
              <w:rPr>
                <w:rFonts w:hint="eastAsia" w:ascii="华文细黑" w:hAnsi="华文细黑" w:eastAsia="华文细黑" w:cs="Arial"/>
                <w:b/>
                <w:bCs/>
                <w:color w:val="000000"/>
                <w:kern w:val="0"/>
                <w:sz w:val="20"/>
                <w:szCs w:val="20"/>
              </w:rPr>
              <w:t>期末项目累计现金结存额</w:t>
            </w:r>
          </w:p>
        </w:tc>
        <w:tc>
          <w:tcPr>
            <w:tcW w:w="1125" w:type="dxa"/>
            <w:tcBorders>
              <w:top w:val="nil"/>
              <w:left w:val="nil"/>
              <w:bottom w:val="single" w:color="auto" w:sz="8" w:space="0"/>
              <w:right w:val="single" w:color="auto" w:sz="8" w:space="0"/>
            </w:tcBorders>
            <w:shd w:val="clear" w:color="auto" w:fill="auto"/>
            <w:vAlign w:val="center"/>
          </w:tcPr>
          <w:p w14:paraId="27CA76E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10500.33 </w:t>
            </w:r>
          </w:p>
        </w:tc>
        <w:tc>
          <w:tcPr>
            <w:tcW w:w="1125" w:type="dxa"/>
            <w:tcBorders>
              <w:top w:val="nil"/>
              <w:left w:val="nil"/>
              <w:bottom w:val="single" w:color="auto" w:sz="8" w:space="0"/>
              <w:right w:val="single" w:color="auto" w:sz="8" w:space="0"/>
            </w:tcBorders>
            <w:shd w:val="clear" w:color="auto" w:fill="auto"/>
            <w:vAlign w:val="center"/>
          </w:tcPr>
          <w:p w14:paraId="149316C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11309.89 </w:t>
            </w:r>
          </w:p>
        </w:tc>
        <w:tc>
          <w:tcPr>
            <w:tcW w:w="1125" w:type="dxa"/>
            <w:tcBorders>
              <w:top w:val="nil"/>
              <w:left w:val="nil"/>
              <w:bottom w:val="single" w:color="auto" w:sz="8" w:space="0"/>
              <w:right w:val="single" w:color="auto" w:sz="8" w:space="0"/>
            </w:tcBorders>
            <w:shd w:val="clear" w:color="auto" w:fill="auto"/>
            <w:vAlign w:val="center"/>
          </w:tcPr>
          <w:p w14:paraId="1F3F485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12119.45 </w:t>
            </w:r>
          </w:p>
        </w:tc>
        <w:tc>
          <w:tcPr>
            <w:tcW w:w="1125" w:type="dxa"/>
            <w:tcBorders>
              <w:top w:val="nil"/>
              <w:left w:val="nil"/>
              <w:bottom w:val="single" w:color="auto" w:sz="8" w:space="0"/>
              <w:right w:val="single" w:color="auto" w:sz="8" w:space="0"/>
            </w:tcBorders>
            <w:shd w:val="clear" w:color="auto" w:fill="auto"/>
            <w:vAlign w:val="center"/>
          </w:tcPr>
          <w:p w14:paraId="7E83D01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12929.01 </w:t>
            </w:r>
          </w:p>
        </w:tc>
        <w:tc>
          <w:tcPr>
            <w:tcW w:w="1125" w:type="dxa"/>
            <w:tcBorders>
              <w:top w:val="nil"/>
              <w:left w:val="nil"/>
              <w:bottom w:val="single" w:color="auto" w:sz="8" w:space="0"/>
              <w:right w:val="single" w:color="auto" w:sz="8" w:space="0"/>
            </w:tcBorders>
            <w:shd w:val="clear" w:color="auto" w:fill="auto"/>
            <w:vAlign w:val="center"/>
          </w:tcPr>
          <w:p w14:paraId="1EBEDEA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13738.57 </w:t>
            </w:r>
          </w:p>
        </w:tc>
        <w:tc>
          <w:tcPr>
            <w:tcW w:w="1125" w:type="dxa"/>
            <w:tcBorders>
              <w:top w:val="nil"/>
              <w:left w:val="nil"/>
              <w:bottom w:val="single" w:color="auto" w:sz="8" w:space="0"/>
              <w:right w:val="single" w:color="auto" w:sz="8" w:space="0"/>
            </w:tcBorders>
            <w:shd w:val="clear" w:color="auto" w:fill="auto"/>
            <w:vAlign w:val="center"/>
          </w:tcPr>
          <w:p w14:paraId="1CBEEB5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14251.41 </w:t>
            </w:r>
          </w:p>
        </w:tc>
        <w:tc>
          <w:tcPr>
            <w:tcW w:w="1125" w:type="dxa"/>
            <w:tcBorders>
              <w:top w:val="nil"/>
              <w:left w:val="nil"/>
              <w:bottom w:val="single" w:color="auto" w:sz="8" w:space="0"/>
              <w:right w:val="single" w:color="auto" w:sz="8" w:space="0"/>
            </w:tcBorders>
            <w:shd w:val="clear" w:color="auto" w:fill="auto"/>
            <w:vAlign w:val="center"/>
          </w:tcPr>
          <w:p w14:paraId="4D96446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7561.49 </w:t>
            </w:r>
          </w:p>
        </w:tc>
        <w:tc>
          <w:tcPr>
            <w:tcW w:w="1356" w:type="dxa"/>
            <w:tcBorders>
              <w:top w:val="nil"/>
              <w:left w:val="nil"/>
              <w:bottom w:val="single" w:color="auto" w:sz="8" w:space="0"/>
              <w:right w:val="single" w:color="auto" w:sz="8" w:space="0"/>
            </w:tcBorders>
            <w:shd w:val="clear" w:color="auto" w:fill="auto"/>
            <w:vAlign w:val="center"/>
          </w:tcPr>
          <w:p w14:paraId="41392BB2">
            <w:pPr>
              <w:widowControl/>
              <w:spacing w:after="0" w:line="240" w:lineRule="auto"/>
              <w:jc w:val="right"/>
              <w:rPr>
                <w:rFonts w:hint="default" w:ascii="Verdana" w:hAnsi="Verdana" w:eastAsia="宋体" w:cs="Arial"/>
                <w:color w:val="000000"/>
                <w:kern w:val="0"/>
                <w:sz w:val="20"/>
                <w:szCs w:val="20"/>
                <w:lang w:val="en-US" w:eastAsia="zh-CN" w:bidi="ar-SA"/>
              </w:rPr>
            </w:pPr>
          </w:p>
        </w:tc>
      </w:tr>
    </w:tbl>
    <w:p w14:paraId="17D2104E">
      <w:pPr>
        <w:widowControl/>
        <w:spacing w:after="0" w:line="520" w:lineRule="exact"/>
        <w:ind w:firstLine="480" w:firstLineChars="200"/>
        <w:jc w:val="left"/>
        <w:rPr>
          <w:rFonts w:ascii="Verdana" w:hAnsi="Verdana" w:eastAsia="华文细黑" w:cs="Times New Roman"/>
          <w:kern w:val="0"/>
          <w:sz w:val="24"/>
          <w:lang w:val="en-GB"/>
        </w:rPr>
      </w:pPr>
      <w:r>
        <w:rPr>
          <w:rFonts w:hint="eastAsia" w:ascii="Verdana" w:hAnsi="Verdana" w:eastAsia="华文细黑" w:cs="Times New Roman"/>
          <w:color w:val="000000"/>
          <w:kern w:val="0"/>
          <w:sz w:val="24"/>
          <w:szCs w:val="24"/>
          <w:lang w:val="en-GB"/>
        </w:rPr>
        <w:t>基于以上投资计划、资金筹措安排，我们未发现建设期内所需建设资金存在缺口的情况，且项目每年资金余额为正值，满足项目自身收益还本付息的前提下，仍有富余资金，显示项目具备一定的盈利能力、偿债能</w:t>
      </w:r>
      <w:r>
        <w:rPr>
          <w:rFonts w:hint="eastAsia" w:ascii="Verdana" w:hAnsi="Verdana" w:eastAsia="华文细黑" w:cs="Times New Roman"/>
          <w:kern w:val="0"/>
          <w:sz w:val="24"/>
          <w:lang w:val="en-GB"/>
        </w:rPr>
        <w:t>力和可持续性。</w:t>
      </w:r>
    </w:p>
    <w:p w14:paraId="6AA0535C">
      <w:pPr>
        <w:widowControl/>
        <w:spacing w:before="120" w:after="120" w:line="520" w:lineRule="exact"/>
        <w:outlineLvl w:val="2"/>
        <w:rPr>
          <w:rFonts w:ascii="Verdana" w:hAnsi="Verdana" w:eastAsia="华文细黑" w:cs="Times New Roman"/>
          <w:b/>
          <w:color w:val="000000"/>
          <w:kern w:val="0"/>
          <w:sz w:val="24"/>
          <w:szCs w:val="24"/>
        </w:rPr>
      </w:pPr>
      <w:bookmarkStart w:id="23" w:name="_Toc14032"/>
      <w:r>
        <w:rPr>
          <w:rFonts w:ascii="Verdana" w:hAnsi="Verdana" w:eastAsia="华文细黑" w:cs="Times New Roman"/>
          <w:b/>
          <w:color w:val="000000"/>
          <w:kern w:val="0"/>
          <w:sz w:val="24"/>
          <w:szCs w:val="24"/>
        </w:rPr>
        <w:t>1.4小结</w:t>
      </w:r>
      <w:bookmarkEnd w:id="23"/>
    </w:p>
    <w:p w14:paraId="5D56CD95">
      <w:pPr>
        <w:widowControl/>
        <w:spacing w:before="120" w:after="120" w:line="520" w:lineRule="exact"/>
        <w:ind w:firstLine="480" w:firstLineChars="200"/>
        <w:outlineLvl w:val="2"/>
        <w:rPr>
          <w:rFonts w:ascii="Verdana" w:hAnsi="Verdana" w:eastAsia="华文细黑" w:cs="Times New Roman"/>
          <w:color w:val="000000"/>
          <w:kern w:val="0"/>
          <w:sz w:val="24"/>
          <w:szCs w:val="24"/>
        </w:rPr>
      </w:pPr>
      <w:r>
        <w:rPr>
          <w:rFonts w:ascii="Verdana" w:hAnsi="Verdana" w:eastAsia="华文细黑" w:cs="Times New Roman"/>
          <w:color w:val="000000"/>
          <w:kern w:val="0"/>
          <w:sz w:val="24"/>
          <w:szCs w:val="24"/>
        </w:rPr>
        <w:t>综上，在本期专项债券存续期内，我们未注意到相关项目资金出现不能满足还本付息要求的情况。</w:t>
      </w:r>
    </w:p>
    <w:p w14:paraId="0EC2436D">
      <w:pPr>
        <w:widowControl/>
        <w:spacing w:before="120" w:after="120" w:line="520" w:lineRule="exact"/>
        <w:jc w:val="left"/>
        <w:outlineLvl w:val="1"/>
        <w:rPr>
          <w:rFonts w:ascii="Verdana" w:hAnsi="Verdana" w:eastAsia="华文细黑" w:cs="Times New Roman"/>
          <w:b/>
          <w:kern w:val="0"/>
          <w:sz w:val="28"/>
          <w:szCs w:val="24"/>
        </w:rPr>
      </w:pPr>
      <w:bookmarkStart w:id="24" w:name="_Toc22698"/>
      <w:bookmarkStart w:id="25" w:name="_Toc17180"/>
      <w:r>
        <w:rPr>
          <w:rFonts w:hint="eastAsia" w:ascii="Verdana" w:hAnsi="Verdana" w:eastAsia="华文细黑" w:cs="Times New Roman"/>
          <w:b/>
          <w:kern w:val="0"/>
          <w:sz w:val="28"/>
          <w:szCs w:val="24"/>
        </w:rPr>
        <w:t>2.资金稳定性</w:t>
      </w:r>
      <w:bookmarkEnd w:id="24"/>
      <w:bookmarkEnd w:id="25"/>
    </w:p>
    <w:p w14:paraId="2A27B95C">
      <w:pPr>
        <w:spacing w:after="0" w:line="520" w:lineRule="exact"/>
        <w:ind w:firstLine="480" w:firstLineChars="200"/>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本项目专项债券还本付息以</w:t>
      </w:r>
      <w:r>
        <w:rPr>
          <w:rFonts w:hint="eastAsia" w:ascii="华文细黑" w:hAnsi="华文细黑" w:eastAsia="华文细黑" w:cs="华文细黑"/>
          <w:color w:val="000000"/>
          <w:sz w:val="24"/>
          <w:szCs w:val="24"/>
          <w:lang w:val="en-US" w:eastAsia="zh-CN"/>
        </w:rPr>
        <w:t>保教费收入、伙食费收入、课后托管费收入、住宿费收入、其他收入</w:t>
      </w:r>
      <w:r>
        <w:rPr>
          <w:rFonts w:hint="eastAsia" w:ascii="华文细黑" w:hAnsi="华文细黑" w:eastAsia="华文细黑" w:cs="华文细黑"/>
          <w:sz w:val="24"/>
          <w:szCs w:val="24"/>
          <w:lang w:val="en-GB"/>
        </w:rPr>
        <w:t>为基础。具体情况如下：</w:t>
      </w:r>
    </w:p>
    <w:p w14:paraId="7BE1608A">
      <w:pPr>
        <w:spacing w:after="0" w:line="520" w:lineRule="exact"/>
        <w:rPr>
          <w:rFonts w:hint="default" w:ascii="华文细黑" w:hAnsi="华文细黑" w:eastAsia="华文细黑" w:cs="华文细黑"/>
          <w:b/>
          <w:bCs/>
          <w:sz w:val="24"/>
          <w:szCs w:val="24"/>
          <w:lang w:val="en-US" w:eastAsia="zh-CN"/>
        </w:rPr>
      </w:pPr>
      <w:r>
        <w:rPr>
          <w:rFonts w:hint="eastAsia" w:ascii="华文细黑" w:hAnsi="华文细黑" w:eastAsia="华文细黑" w:cs="华文细黑"/>
          <w:b/>
          <w:bCs/>
          <w:sz w:val="24"/>
          <w:szCs w:val="24"/>
          <w:lang w:val="en-US" w:eastAsia="zh-CN"/>
        </w:rPr>
        <w:t>2.1运营收入</w:t>
      </w:r>
    </w:p>
    <w:p w14:paraId="6C8D781D">
      <w:pPr>
        <w:spacing w:after="0" w:line="520" w:lineRule="exact"/>
        <w:ind w:firstLine="480" w:firstLineChars="200"/>
        <w:rPr>
          <w:rFonts w:hint="default" w:ascii="华文细黑" w:hAnsi="华文细黑" w:eastAsia="华文细黑" w:cs="华文细黑"/>
          <w:sz w:val="24"/>
          <w:szCs w:val="24"/>
          <w:lang w:val="en-US" w:eastAsia="zh-CN"/>
        </w:rPr>
      </w:pPr>
      <w:r>
        <w:rPr>
          <w:rFonts w:hint="eastAsia" w:ascii="华文细黑" w:hAnsi="华文细黑" w:eastAsia="华文细黑" w:cs="华文细黑"/>
          <w:sz w:val="24"/>
          <w:szCs w:val="24"/>
          <w:lang w:val="en-GB" w:eastAsia="zh-CN"/>
        </w:rPr>
        <w:t>根据项目业主提供的</w:t>
      </w:r>
      <w:r>
        <w:rPr>
          <w:rFonts w:hint="eastAsia" w:ascii="华文细黑" w:hAnsi="华文细黑" w:eastAsia="华文细黑" w:cs="华文细黑"/>
          <w:sz w:val="24"/>
          <w:szCs w:val="24"/>
          <w:lang w:val="en-US" w:eastAsia="zh-CN"/>
        </w:rPr>
        <w:t>可研报告等</w:t>
      </w:r>
      <w:r>
        <w:rPr>
          <w:rFonts w:hint="eastAsia" w:ascii="华文细黑" w:hAnsi="华文细黑" w:eastAsia="华文细黑" w:cs="华文细黑"/>
          <w:sz w:val="24"/>
          <w:szCs w:val="24"/>
          <w:lang w:val="en-GB" w:eastAsia="zh-CN"/>
        </w:rPr>
        <w:t>信息资料，海口市江东新区CBD南片区中小学(海南中学江东校区)是一所九年一贯制公办学校，规划初中24班、小学36班，可容纳学生2820人。规划幼儿园15个班，可容纳450人。</w:t>
      </w:r>
      <w:r>
        <w:rPr>
          <w:rFonts w:hint="eastAsia" w:ascii="华文细黑" w:hAnsi="华文细黑" w:eastAsia="华文细黑" w:cs="华文细黑"/>
          <w:sz w:val="24"/>
          <w:szCs w:val="24"/>
          <w:lang w:val="en-US" w:eastAsia="zh-CN"/>
        </w:rPr>
        <w:t>参考美兰区幼儿园保教费收费标准，暂按每学期2200元</w:t>
      </w:r>
      <w:r>
        <w:rPr>
          <w:rFonts w:hint="eastAsia" w:ascii="华文细黑" w:hAnsi="华文细黑" w:eastAsia="华文细黑" w:cs="华文细黑"/>
          <w:sz w:val="24"/>
          <w:szCs w:val="24"/>
          <w:lang w:val="en-GB" w:eastAsia="zh-CN"/>
        </w:rPr>
        <w:t>/人测算，</w:t>
      </w:r>
      <w:r>
        <w:rPr>
          <w:rFonts w:hint="eastAsia" w:ascii="华文细黑" w:hAnsi="华文细黑" w:eastAsia="华文细黑" w:cs="华文细黑"/>
          <w:sz w:val="24"/>
          <w:szCs w:val="24"/>
          <w:lang w:val="en-US" w:eastAsia="zh-CN"/>
        </w:rPr>
        <w:t>伙食费暂按每天23元/人测算，每月按21天，每年按9个月测算，则每年保教费收入约为198万元，每年伙食费收入约为97.81万元。</w:t>
      </w:r>
    </w:p>
    <w:p w14:paraId="196E11DF">
      <w:pPr>
        <w:spacing w:after="0" w:line="520" w:lineRule="exact"/>
        <w:ind w:firstLine="480" w:firstLineChars="200"/>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US" w:eastAsia="zh-CN"/>
        </w:rPr>
        <w:t>初中、小学共2820名学生，</w:t>
      </w:r>
      <w:r>
        <w:rPr>
          <w:rFonts w:hint="eastAsia" w:ascii="华文细黑" w:hAnsi="华文细黑" w:eastAsia="华文细黑" w:cs="华文细黑"/>
          <w:sz w:val="24"/>
          <w:szCs w:val="24"/>
          <w:lang w:val="en-GB" w:eastAsia="zh-CN"/>
        </w:rPr>
        <w:t>预计有</w:t>
      </w:r>
      <w:r>
        <w:rPr>
          <w:rFonts w:hint="eastAsia" w:ascii="华文细黑" w:hAnsi="华文细黑" w:eastAsia="华文细黑" w:cs="华文细黑"/>
          <w:sz w:val="24"/>
          <w:szCs w:val="24"/>
          <w:lang w:val="en-US" w:eastAsia="zh-CN"/>
        </w:rPr>
        <w:t>8</w:t>
      </w:r>
      <w:r>
        <w:rPr>
          <w:rFonts w:hint="eastAsia" w:ascii="华文细黑" w:hAnsi="华文细黑" w:eastAsia="华文细黑" w:cs="华文细黑"/>
          <w:sz w:val="24"/>
          <w:szCs w:val="24"/>
          <w:lang w:val="en-GB" w:eastAsia="zh-CN"/>
        </w:rPr>
        <w:t>0%的家长会选择课后托管服务，收费标准暂定为12元/生/天，收费时长为10个月/年，每个月按21天计算，</w:t>
      </w:r>
      <w:r>
        <w:rPr>
          <w:rFonts w:hint="eastAsia" w:ascii="华文细黑" w:hAnsi="华文细黑" w:eastAsia="华文细黑" w:cs="华文细黑"/>
          <w:sz w:val="24"/>
          <w:szCs w:val="24"/>
          <w:lang w:val="en-US" w:eastAsia="zh-CN"/>
        </w:rPr>
        <w:t>则每年</w:t>
      </w:r>
      <w:r>
        <w:rPr>
          <w:rFonts w:hint="eastAsia" w:ascii="华文细黑" w:hAnsi="华文细黑" w:eastAsia="华文细黑" w:cs="华文细黑"/>
          <w:color w:val="000000"/>
          <w:sz w:val="24"/>
          <w:szCs w:val="24"/>
          <w:lang w:val="en-US" w:eastAsia="zh-CN"/>
        </w:rPr>
        <w:t>课后托管费收入约为568.51万元。住宿费为每学期420元/人，暂按50%的学生住宿，则每年住宿费收入约为118.44万元。</w:t>
      </w:r>
      <w:r>
        <w:rPr>
          <w:rFonts w:hint="eastAsia" w:ascii="华文细黑" w:hAnsi="华文细黑" w:eastAsia="华文细黑" w:cs="华文细黑"/>
          <w:sz w:val="24"/>
          <w:szCs w:val="24"/>
          <w:lang w:val="en-GB" w:eastAsia="zh-CN"/>
        </w:rPr>
        <w:t>其他收入（包含</w:t>
      </w:r>
      <w:r>
        <w:rPr>
          <w:rFonts w:hint="eastAsia" w:ascii="华文细黑" w:hAnsi="华文细黑" w:eastAsia="华文细黑" w:cs="华文细黑"/>
          <w:sz w:val="24"/>
          <w:szCs w:val="24"/>
          <w:lang w:val="en-US" w:eastAsia="zh-CN"/>
        </w:rPr>
        <w:t>场地租赁收入</w:t>
      </w:r>
      <w:r>
        <w:rPr>
          <w:rFonts w:hint="eastAsia" w:ascii="华文细黑" w:hAnsi="华文细黑" w:eastAsia="华文细黑" w:cs="华文细黑"/>
          <w:sz w:val="24"/>
          <w:szCs w:val="24"/>
          <w:lang w:val="en-GB" w:eastAsia="zh-CN"/>
        </w:rPr>
        <w:t>、</w:t>
      </w:r>
      <w:r>
        <w:rPr>
          <w:rFonts w:hint="eastAsia" w:ascii="华文细黑" w:hAnsi="华文细黑" w:eastAsia="华文细黑" w:cs="华文细黑"/>
          <w:sz w:val="24"/>
          <w:szCs w:val="24"/>
          <w:lang w:val="en-US" w:eastAsia="zh-CN"/>
        </w:rPr>
        <w:t>服务性收费</w:t>
      </w:r>
      <w:r>
        <w:rPr>
          <w:rFonts w:hint="eastAsia" w:ascii="华文细黑" w:hAnsi="华文细黑" w:eastAsia="华文细黑" w:cs="华文细黑"/>
          <w:sz w:val="24"/>
          <w:szCs w:val="24"/>
          <w:lang w:val="en-GB" w:eastAsia="zh-CN"/>
        </w:rPr>
        <w:t>收入等）暂按</w:t>
      </w:r>
      <w:r>
        <w:rPr>
          <w:rFonts w:hint="eastAsia" w:ascii="华文细黑" w:hAnsi="华文细黑" w:eastAsia="华文细黑" w:cs="华文细黑"/>
          <w:sz w:val="24"/>
          <w:szCs w:val="24"/>
          <w:lang w:val="en-US" w:eastAsia="zh-CN"/>
        </w:rPr>
        <w:t>上述收入的15%</w:t>
      </w:r>
      <w:r>
        <w:rPr>
          <w:rFonts w:hint="eastAsia" w:ascii="华文细黑" w:hAnsi="华文细黑" w:eastAsia="华文细黑" w:cs="华文细黑"/>
          <w:sz w:val="24"/>
          <w:szCs w:val="24"/>
          <w:lang w:val="en-GB" w:eastAsia="zh-CN"/>
        </w:rPr>
        <w:t>测算，</w:t>
      </w:r>
      <w:r>
        <w:rPr>
          <w:rFonts w:hint="eastAsia" w:ascii="华文细黑" w:hAnsi="华文细黑" w:eastAsia="华文细黑" w:cs="华文细黑"/>
          <w:sz w:val="24"/>
          <w:szCs w:val="24"/>
          <w:lang w:val="en-US" w:eastAsia="zh-CN"/>
        </w:rPr>
        <w:t>则其他</w:t>
      </w:r>
      <w:r>
        <w:rPr>
          <w:rFonts w:hint="eastAsia" w:ascii="华文细黑" w:hAnsi="华文细黑" w:eastAsia="华文细黑" w:cs="华文细黑"/>
          <w:sz w:val="24"/>
          <w:szCs w:val="24"/>
          <w:lang w:val="en-GB" w:eastAsia="zh-CN"/>
        </w:rPr>
        <w:t>收入每年约</w:t>
      </w:r>
      <w:r>
        <w:rPr>
          <w:rFonts w:hint="eastAsia" w:ascii="华文细黑" w:hAnsi="华文细黑" w:eastAsia="华文细黑" w:cs="华文细黑"/>
          <w:sz w:val="24"/>
          <w:szCs w:val="24"/>
          <w:lang w:val="en-US" w:eastAsia="zh-CN"/>
        </w:rPr>
        <w:t>147.41</w:t>
      </w:r>
      <w:r>
        <w:rPr>
          <w:rFonts w:hint="eastAsia" w:ascii="华文细黑" w:hAnsi="华文细黑" w:eastAsia="华文细黑" w:cs="华文细黑"/>
          <w:sz w:val="24"/>
          <w:szCs w:val="24"/>
          <w:lang w:val="en-GB" w:eastAsia="zh-CN"/>
        </w:rPr>
        <w:t>万元</w:t>
      </w:r>
      <w:r>
        <w:rPr>
          <w:rFonts w:hint="eastAsia" w:ascii="华文细黑" w:hAnsi="华文细黑" w:eastAsia="华文细黑" w:cs="华文细黑"/>
          <w:sz w:val="24"/>
          <w:szCs w:val="24"/>
          <w:lang w:val="en-GB"/>
        </w:rPr>
        <w:t>。</w:t>
      </w:r>
    </w:p>
    <w:p w14:paraId="64353570">
      <w:pPr>
        <w:spacing w:after="0" w:line="520" w:lineRule="exact"/>
        <w:ind w:firstLine="480" w:firstLineChars="200"/>
        <w:rPr>
          <w:rFonts w:hint="default" w:ascii="华文细黑" w:hAnsi="华文细黑" w:eastAsia="华文细黑" w:cs="华文细黑"/>
          <w:sz w:val="24"/>
          <w:szCs w:val="24"/>
          <w:lang w:val="en-US" w:eastAsia="zh-CN"/>
        </w:rPr>
      </w:pPr>
      <w:r>
        <w:rPr>
          <w:rFonts w:hint="eastAsia" w:ascii="华文细黑" w:hAnsi="华文细黑" w:eastAsia="华文细黑" w:cs="华文细黑"/>
          <w:sz w:val="24"/>
          <w:szCs w:val="24"/>
          <w:lang w:val="en-US" w:eastAsia="zh-CN"/>
        </w:rPr>
        <w:t>运营期第一年上述收入暂按50%测算，第二年上述收入暂按70%测算，第三年及以后按100%测算。</w:t>
      </w:r>
    </w:p>
    <w:p w14:paraId="607B9DA6">
      <w:pPr>
        <w:spacing w:after="0" w:line="520" w:lineRule="exact"/>
        <w:rPr>
          <w:rFonts w:hint="eastAsia" w:ascii="华文细黑" w:hAnsi="华文细黑" w:eastAsia="华文细黑" w:cs="华文细黑"/>
          <w:b/>
          <w:bCs/>
          <w:sz w:val="24"/>
          <w:szCs w:val="24"/>
          <w:lang w:val="en-US" w:eastAsia="zh-CN"/>
        </w:rPr>
      </w:pPr>
      <w:r>
        <w:rPr>
          <w:rFonts w:hint="eastAsia" w:ascii="华文细黑" w:hAnsi="华文细黑" w:eastAsia="华文细黑" w:cs="华文细黑"/>
          <w:b/>
          <w:bCs/>
          <w:sz w:val="24"/>
          <w:szCs w:val="24"/>
          <w:lang w:val="en-US" w:eastAsia="zh-CN"/>
        </w:rPr>
        <w:t>2.2运营成本</w:t>
      </w:r>
    </w:p>
    <w:p w14:paraId="27BB3CB6">
      <w:pPr>
        <w:spacing w:after="0" w:line="520" w:lineRule="exact"/>
        <w:ind w:firstLine="480" w:firstLineChars="200"/>
        <w:rPr>
          <w:rFonts w:hint="eastAsia" w:ascii="华文细黑" w:hAnsi="华文细黑" w:eastAsia="华文细黑" w:cs="华文细黑"/>
          <w:sz w:val="24"/>
          <w:szCs w:val="24"/>
          <w:lang w:val="en-US" w:eastAsia="zh-CN"/>
        </w:rPr>
      </w:pPr>
      <w:r>
        <w:rPr>
          <w:rFonts w:hint="eastAsia" w:ascii="华文细黑" w:hAnsi="华文细黑" w:eastAsia="华文细黑" w:cs="华文细黑"/>
          <w:sz w:val="24"/>
          <w:szCs w:val="24"/>
          <w:lang w:val="en-GB" w:eastAsia="zh-CN"/>
        </w:rPr>
        <w:t>根据项目业主提供的</w:t>
      </w:r>
      <w:r>
        <w:rPr>
          <w:rFonts w:hint="eastAsia" w:ascii="华文细黑" w:hAnsi="华文细黑" w:eastAsia="华文细黑" w:cs="华文细黑"/>
          <w:sz w:val="24"/>
          <w:szCs w:val="24"/>
          <w:lang w:val="en-US" w:eastAsia="zh-CN"/>
        </w:rPr>
        <w:t>可研报告等</w:t>
      </w:r>
      <w:r>
        <w:rPr>
          <w:rFonts w:hint="eastAsia" w:ascii="华文细黑" w:hAnsi="华文细黑" w:eastAsia="华文细黑" w:cs="华文细黑"/>
          <w:sz w:val="24"/>
          <w:szCs w:val="24"/>
          <w:lang w:val="en-GB" w:eastAsia="zh-CN"/>
        </w:rPr>
        <w:t>信息资料</w:t>
      </w:r>
      <w:r>
        <w:rPr>
          <w:rFonts w:hint="eastAsia" w:ascii="华文细黑" w:hAnsi="华文细黑" w:eastAsia="华文细黑" w:cs="华文细黑"/>
          <w:sz w:val="24"/>
          <w:szCs w:val="24"/>
          <w:lang w:val="en-GB"/>
        </w:rPr>
        <w:t>，</w:t>
      </w:r>
      <w:r>
        <w:rPr>
          <w:rFonts w:hint="eastAsia" w:ascii="华文细黑" w:hAnsi="华文细黑" w:eastAsia="华文细黑" w:cs="华文细黑"/>
          <w:sz w:val="24"/>
          <w:szCs w:val="24"/>
          <w:lang w:val="en-GB" w:eastAsia="zh-CN"/>
        </w:rPr>
        <w:t>海口江东新区CBD南片区幼儿园及配套基础设施项目运营成本主要为水电费和</w:t>
      </w:r>
      <w:r>
        <w:rPr>
          <w:rFonts w:hint="eastAsia" w:ascii="华文细黑" w:hAnsi="华文细黑" w:eastAsia="华文细黑" w:cs="华文细黑"/>
          <w:sz w:val="24"/>
          <w:szCs w:val="24"/>
          <w:lang w:val="en-US" w:eastAsia="zh-CN"/>
        </w:rPr>
        <w:t>伙食</w:t>
      </w:r>
      <w:r>
        <w:rPr>
          <w:rFonts w:hint="eastAsia" w:ascii="华文细黑" w:hAnsi="华文细黑" w:eastAsia="华文细黑" w:cs="华文细黑"/>
          <w:sz w:val="24"/>
          <w:szCs w:val="24"/>
          <w:lang w:val="en-GB" w:eastAsia="zh-CN"/>
        </w:rPr>
        <w:t>费成本。海口市江东新区CBD南片区幼儿园办学规模为1</w:t>
      </w:r>
      <w:r>
        <w:rPr>
          <w:rFonts w:hint="eastAsia" w:ascii="华文细黑" w:hAnsi="华文细黑" w:eastAsia="华文细黑" w:cs="华文细黑"/>
          <w:sz w:val="24"/>
          <w:szCs w:val="24"/>
          <w:lang w:val="en-US" w:eastAsia="zh-CN"/>
        </w:rPr>
        <w:t>5</w:t>
      </w:r>
      <w:r>
        <w:rPr>
          <w:rFonts w:hint="eastAsia" w:ascii="华文细黑" w:hAnsi="华文细黑" w:eastAsia="华文细黑" w:cs="华文细黑"/>
          <w:sz w:val="24"/>
          <w:szCs w:val="24"/>
          <w:lang w:val="en-GB" w:eastAsia="zh-CN"/>
        </w:rPr>
        <w:t>个班，每班计划招生30人，</w:t>
      </w:r>
      <w:r>
        <w:rPr>
          <w:rFonts w:hint="eastAsia" w:ascii="华文细黑" w:hAnsi="华文细黑" w:eastAsia="华文细黑" w:cs="华文细黑"/>
          <w:sz w:val="24"/>
          <w:szCs w:val="24"/>
          <w:lang w:val="en-US" w:eastAsia="zh-CN"/>
        </w:rPr>
        <w:t>伙食</w:t>
      </w:r>
      <w:r>
        <w:rPr>
          <w:rFonts w:hint="eastAsia" w:ascii="华文细黑" w:hAnsi="华文细黑" w:eastAsia="华文细黑" w:cs="华文细黑"/>
          <w:sz w:val="24"/>
          <w:szCs w:val="24"/>
          <w:lang w:val="en-GB" w:eastAsia="zh-CN"/>
        </w:rPr>
        <w:t>费成本暂按</w:t>
      </w:r>
      <w:r>
        <w:rPr>
          <w:rFonts w:hint="eastAsia" w:ascii="华文细黑" w:hAnsi="华文细黑" w:eastAsia="华文细黑" w:cs="华文细黑"/>
          <w:sz w:val="24"/>
          <w:szCs w:val="24"/>
          <w:lang w:val="en-US" w:eastAsia="zh-CN"/>
        </w:rPr>
        <w:t>每天16元/人测算，每月按21天，每年按9个月测算</w:t>
      </w:r>
      <w:r>
        <w:rPr>
          <w:rFonts w:hint="eastAsia" w:ascii="华文细黑" w:hAnsi="华文细黑" w:eastAsia="华文细黑" w:cs="华文细黑"/>
          <w:sz w:val="24"/>
          <w:szCs w:val="24"/>
          <w:lang w:val="en-GB" w:eastAsia="zh-CN"/>
        </w:rPr>
        <w:t>，</w:t>
      </w:r>
      <w:r>
        <w:rPr>
          <w:rFonts w:hint="eastAsia" w:ascii="华文细黑" w:hAnsi="华文细黑" w:eastAsia="华文细黑" w:cs="华文细黑"/>
          <w:sz w:val="24"/>
          <w:szCs w:val="24"/>
          <w:lang w:val="en-US" w:eastAsia="zh-CN"/>
        </w:rPr>
        <w:t>则伙食费</w:t>
      </w:r>
      <w:r>
        <w:rPr>
          <w:rFonts w:hint="eastAsia" w:ascii="华文细黑" w:hAnsi="华文细黑" w:eastAsia="华文细黑" w:cs="华文细黑"/>
          <w:sz w:val="24"/>
          <w:szCs w:val="24"/>
          <w:lang w:val="en-GB" w:eastAsia="zh-CN"/>
        </w:rPr>
        <w:t>成本每年约</w:t>
      </w:r>
      <w:r>
        <w:rPr>
          <w:rFonts w:hint="eastAsia" w:ascii="华文细黑" w:hAnsi="华文细黑" w:eastAsia="华文细黑" w:cs="华文细黑"/>
          <w:sz w:val="24"/>
          <w:szCs w:val="24"/>
          <w:lang w:val="en-US" w:eastAsia="zh-CN"/>
        </w:rPr>
        <w:t>68.04</w:t>
      </w:r>
      <w:r>
        <w:rPr>
          <w:rFonts w:hint="eastAsia" w:ascii="华文细黑" w:hAnsi="华文细黑" w:eastAsia="华文细黑" w:cs="华文细黑"/>
          <w:sz w:val="24"/>
          <w:szCs w:val="24"/>
          <w:lang w:val="en-GB" w:eastAsia="zh-CN"/>
        </w:rPr>
        <w:t>万元。水电费暂按</w:t>
      </w:r>
      <w:r>
        <w:rPr>
          <w:rFonts w:hint="eastAsia" w:ascii="华文细黑" w:hAnsi="华文细黑" w:eastAsia="华文细黑" w:cs="华文细黑"/>
          <w:sz w:val="24"/>
          <w:szCs w:val="24"/>
          <w:lang w:val="en-US" w:eastAsia="zh-CN"/>
        </w:rPr>
        <w:t>50</w:t>
      </w:r>
      <w:r>
        <w:rPr>
          <w:rFonts w:hint="eastAsia" w:ascii="华文细黑" w:hAnsi="华文细黑" w:eastAsia="华文细黑" w:cs="华文细黑"/>
          <w:sz w:val="24"/>
          <w:szCs w:val="24"/>
          <w:lang w:val="en-GB" w:eastAsia="zh-CN"/>
        </w:rPr>
        <w:t>万元/年测算。</w:t>
      </w:r>
      <w:r>
        <w:rPr>
          <w:rFonts w:hint="eastAsia" w:ascii="华文细黑" w:hAnsi="华文细黑" w:eastAsia="华文细黑" w:cs="华文细黑"/>
          <w:sz w:val="24"/>
          <w:szCs w:val="24"/>
          <w:lang w:val="en-US" w:eastAsia="zh-CN"/>
        </w:rPr>
        <w:t>第一年上述运营成本暂按50%测算，第二年上述运营成本暂按70%测算，第三年及以后按100%测算。</w:t>
      </w:r>
      <w:r>
        <w:rPr>
          <w:rFonts w:hint="eastAsia" w:ascii="华文细黑" w:hAnsi="华文细黑" w:eastAsia="华文细黑" w:cs="华文细黑"/>
          <w:sz w:val="24"/>
          <w:szCs w:val="24"/>
          <w:lang w:val="en-GB" w:eastAsia="zh-CN"/>
        </w:rPr>
        <w:t>其他运营成本由财政资金承担。</w:t>
      </w:r>
    </w:p>
    <w:p w14:paraId="3726DD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520" w:lineRule="exact"/>
        <w:ind w:left="0" w:right="0" w:firstLine="480" w:firstLineChars="200"/>
        <w:jc w:val="both"/>
        <w:rPr>
          <w:rFonts w:hint="eastAsia" w:ascii="华文细黑" w:hAnsi="华文细黑" w:eastAsia="华文细黑" w:cs="华文细黑"/>
          <w:sz w:val="24"/>
          <w:szCs w:val="24"/>
          <w:lang w:val="en-US" w:eastAsia="zh-CN"/>
        </w:rPr>
      </w:pPr>
      <w:r>
        <w:rPr>
          <w:rFonts w:hint="eastAsia" w:ascii="华文细黑" w:hAnsi="华文细黑" w:eastAsia="华文细黑" w:cs="华文细黑"/>
          <w:sz w:val="24"/>
          <w:szCs w:val="24"/>
          <w:lang w:val="en-US" w:eastAsia="zh-CN"/>
        </w:rPr>
        <w:t>本项目预计</w:t>
      </w:r>
      <w:r>
        <w:rPr>
          <w:rFonts w:hint="eastAsia" w:ascii="华文细黑" w:hAnsi="华文细黑" w:eastAsia="华文细黑" w:cs="华文细黑"/>
          <w:sz w:val="24"/>
          <w:szCs w:val="24"/>
          <w:lang w:val="en-GB"/>
        </w:rPr>
        <w:t>于202</w:t>
      </w:r>
      <w:r>
        <w:rPr>
          <w:rFonts w:hint="eastAsia" w:ascii="华文细黑" w:hAnsi="华文细黑" w:eastAsia="华文细黑" w:cs="华文细黑"/>
          <w:sz w:val="24"/>
          <w:szCs w:val="24"/>
          <w:lang w:val="en-US" w:eastAsia="zh-CN"/>
        </w:rPr>
        <w:t>5</w:t>
      </w:r>
      <w:r>
        <w:rPr>
          <w:rFonts w:hint="eastAsia" w:ascii="华文细黑" w:hAnsi="华文细黑" w:eastAsia="华文细黑" w:cs="华文细黑"/>
          <w:sz w:val="24"/>
          <w:szCs w:val="24"/>
          <w:lang w:val="en-GB"/>
        </w:rPr>
        <w:t>年1</w:t>
      </w:r>
      <w:r>
        <w:rPr>
          <w:rFonts w:hint="eastAsia" w:ascii="华文细黑" w:hAnsi="华文细黑" w:eastAsia="华文细黑" w:cs="华文细黑"/>
          <w:sz w:val="24"/>
          <w:szCs w:val="24"/>
          <w:lang w:val="en-US" w:eastAsia="zh-CN"/>
        </w:rPr>
        <w:t>2</w:t>
      </w:r>
      <w:r>
        <w:rPr>
          <w:rFonts w:hint="eastAsia" w:ascii="华文细黑" w:hAnsi="华文细黑" w:eastAsia="华文细黑" w:cs="华文细黑"/>
          <w:sz w:val="24"/>
          <w:szCs w:val="24"/>
          <w:lang w:val="en-GB"/>
        </w:rPr>
        <w:t>月开工，预计于202</w:t>
      </w:r>
      <w:r>
        <w:rPr>
          <w:rFonts w:hint="eastAsia" w:ascii="华文细黑" w:hAnsi="华文细黑" w:eastAsia="华文细黑" w:cs="华文细黑"/>
          <w:sz w:val="24"/>
          <w:szCs w:val="24"/>
          <w:lang w:val="en-US" w:eastAsia="zh-CN"/>
        </w:rPr>
        <w:t>7</w:t>
      </w:r>
      <w:r>
        <w:rPr>
          <w:rFonts w:hint="eastAsia" w:ascii="华文细黑" w:hAnsi="华文细黑" w:eastAsia="华文细黑" w:cs="华文细黑"/>
          <w:sz w:val="24"/>
          <w:szCs w:val="24"/>
          <w:lang w:val="en-GB"/>
        </w:rPr>
        <w:t>年</w:t>
      </w:r>
      <w:r>
        <w:rPr>
          <w:rFonts w:hint="eastAsia" w:ascii="华文细黑" w:hAnsi="华文细黑" w:eastAsia="华文细黑" w:cs="华文细黑"/>
          <w:sz w:val="24"/>
          <w:szCs w:val="24"/>
          <w:lang w:val="en-US" w:eastAsia="zh-CN"/>
        </w:rPr>
        <w:t>6</w:t>
      </w:r>
      <w:r>
        <w:rPr>
          <w:rFonts w:hint="eastAsia" w:ascii="华文细黑" w:hAnsi="华文细黑" w:eastAsia="华文细黑" w:cs="华文细黑"/>
          <w:sz w:val="24"/>
          <w:szCs w:val="24"/>
          <w:lang w:val="en-GB"/>
        </w:rPr>
        <w:t>月完工</w:t>
      </w:r>
      <w:r>
        <w:rPr>
          <w:rFonts w:hint="eastAsia" w:ascii="华文细黑" w:hAnsi="华文细黑" w:eastAsia="华文细黑" w:cs="华文细黑"/>
          <w:sz w:val="24"/>
          <w:szCs w:val="24"/>
          <w:lang w:val="en-GB" w:eastAsia="zh-CN"/>
        </w:rPr>
        <w:t>，</w:t>
      </w:r>
      <w:r>
        <w:rPr>
          <w:rFonts w:hint="eastAsia" w:ascii="华文细黑" w:hAnsi="华文细黑" w:eastAsia="华文细黑" w:cs="华文细黑"/>
          <w:sz w:val="24"/>
          <w:szCs w:val="24"/>
          <w:lang w:val="en-US" w:eastAsia="zh-CN"/>
        </w:rPr>
        <w:t>债券存续期第一年及最后一年仅考虑6个月收入与成本。债券存续期间项目收入成本情况如下：</w:t>
      </w:r>
    </w:p>
    <w:p w14:paraId="00683DB9">
      <w:pPr>
        <w:keepNext w:val="0"/>
        <w:keepLines w:val="0"/>
        <w:pageBreakBefore w:val="0"/>
        <w:widowControl w:val="0"/>
        <w:suppressLineNumbers w:val="0"/>
        <w:kinsoku/>
        <w:wordWrap/>
        <w:overflowPunct/>
        <w:topLinePunct w:val="0"/>
        <w:autoSpaceDE/>
        <w:autoSpaceDN/>
        <w:bidi w:val="0"/>
        <w:adjustRightInd/>
        <w:snapToGrid/>
        <w:spacing w:before="120" w:beforeLines="50" w:beforeAutospacing="0" w:after="0" w:afterAutospacing="0" w:line="520" w:lineRule="exact"/>
        <w:ind w:right="0" w:firstLine="2641" w:firstLineChars="1100"/>
        <w:jc w:val="both"/>
        <w:textAlignment w:val="auto"/>
        <w:rPr>
          <w:rFonts w:hint="eastAsia" w:ascii="仿宋" w:hAnsi="仿宋" w:eastAsia="仿宋" w:cs="仿宋"/>
          <w:b/>
          <w:bCs/>
          <w:kern w:val="2"/>
          <w:sz w:val="28"/>
          <w:szCs w:val="28"/>
          <w:lang w:val="en-US" w:eastAsia="zh-CN" w:bidi="ar"/>
        </w:rPr>
      </w:pPr>
      <w:r>
        <w:rPr>
          <w:rFonts w:hint="eastAsia" w:ascii="华文细黑" w:hAnsi="华文细黑" w:eastAsia="华文细黑" w:cs="华文细黑"/>
          <w:b/>
          <w:color w:val="000000"/>
          <w:kern w:val="0"/>
          <w:sz w:val="24"/>
          <w:szCs w:val="24"/>
          <w:lang w:val="en-US" w:eastAsia="zh-CN" w:bidi="ar"/>
        </w:rPr>
        <w:t>表7  项目收入成本表</w:t>
      </w:r>
    </w:p>
    <w:p w14:paraId="037A4F73">
      <w:pPr>
        <w:pageBreakBefore w:val="0"/>
        <w:widowControl/>
        <w:kinsoku/>
        <w:wordWrap/>
        <w:overflowPunct/>
        <w:topLinePunct w:val="0"/>
        <w:autoSpaceDN/>
        <w:bidi w:val="0"/>
        <w:adjustRightInd/>
        <w:snapToGrid/>
        <w:spacing w:after="0" w:line="240" w:lineRule="auto"/>
        <w:ind w:right="-7"/>
        <w:jc w:val="center"/>
        <w:rPr>
          <w:rFonts w:hint="eastAsia" w:ascii="仿宋" w:hAnsi="仿宋" w:eastAsia="仿宋" w:cs="仿宋"/>
          <w:kern w:val="2"/>
          <w:sz w:val="20"/>
          <w:szCs w:val="20"/>
          <w:lang w:val="en-US" w:eastAsia="zh-CN" w:bidi="ar"/>
        </w:rPr>
      </w:pPr>
      <w:r>
        <w:rPr>
          <w:rFonts w:hint="eastAsia" w:ascii="仿宋" w:hAnsi="仿宋" w:eastAsia="仿宋" w:cs="仿宋"/>
          <w:color w:val="000000"/>
          <w:kern w:val="0"/>
          <w:sz w:val="20"/>
          <w:szCs w:val="20"/>
          <w:lang w:val="en-US" w:eastAsia="zh-CN" w:bidi="ar"/>
        </w:rPr>
        <w:t xml:space="preserve">                      </w:t>
      </w:r>
      <w:r>
        <w:rPr>
          <w:rFonts w:hint="eastAsia" w:ascii="宋体" w:hAnsi="宋体" w:cs="宋体"/>
          <w:kern w:val="2"/>
          <w:sz w:val="18"/>
          <w:szCs w:val="18"/>
          <w:lang w:val="en-US" w:eastAsia="zh-CN" w:bidi="ar"/>
        </w:rPr>
        <w:t xml:space="preserve">  </w:t>
      </w:r>
      <w:r>
        <w:rPr>
          <w:rFonts w:hint="eastAsia" w:ascii="仿宋" w:hAnsi="仿宋" w:eastAsia="仿宋" w:cs="仿宋"/>
          <w:kern w:val="2"/>
          <w:sz w:val="20"/>
          <w:szCs w:val="20"/>
          <w:lang w:val="en-US" w:eastAsia="zh-CN" w:bidi="ar"/>
        </w:rPr>
        <w:t xml:space="preserve">                               </w:t>
      </w:r>
      <w:r>
        <w:rPr>
          <w:rFonts w:hint="eastAsia" w:ascii="微软雅黑" w:hAnsi="微软雅黑" w:eastAsia="微软雅黑" w:cs="微软雅黑"/>
          <w:kern w:val="2"/>
          <w:sz w:val="20"/>
          <w:szCs w:val="20"/>
          <w:lang w:val="en-US" w:eastAsia="zh-CN" w:bidi="ar"/>
        </w:rPr>
        <w:t>单位：人民币万元</w:t>
      </w:r>
    </w:p>
    <w:tbl>
      <w:tblPr>
        <w:tblStyle w:val="15"/>
        <w:tblW w:w="10005" w:type="dxa"/>
        <w:jc w:val="center"/>
        <w:tblLayout w:type="fixed"/>
        <w:tblCellMar>
          <w:top w:w="0" w:type="dxa"/>
          <w:left w:w="108" w:type="dxa"/>
          <w:bottom w:w="0" w:type="dxa"/>
          <w:right w:w="108" w:type="dxa"/>
        </w:tblCellMar>
      </w:tblPr>
      <w:tblGrid>
        <w:gridCol w:w="1660"/>
        <w:gridCol w:w="1077"/>
        <w:gridCol w:w="1200"/>
        <w:gridCol w:w="1200"/>
        <w:gridCol w:w="1149"/>
        <w:gridCol w:w="1251"/>
        <w:gridCol w:w="1234"/>
        <w:gridCol w:w="1234"/>
      </w:tblGrid>
      <w:tr w14:paraId="772778B8">
        <w:tblPrEx>
          <w:tblCellMar>
            <w:top w:w="0" w:type="dxa"/>
            <w:left w:w="108" w:type="dxa"/>
            <w:bottom w:w="0" w:type="dxa"/>
            <w:right w:w="108" w:type="dxa"/>
          </w:tblCellMar>
        </w:tblPrEx>
        <w:trPr>
          <w:trHeight w:val="302" w:hRule="atLeast"/>
          <w:jc w:val="center"/>
        </w:trPr>
        <w:tc>
          <w:tcPr>
            <w:tcW w:w="1660" w:type="dxa"/>
            <w:tcBorders>
              <w:top w:val="single" w:color="auto" w:sz="8" w:space="0"/>
              <w:left w:val="single" w:color="auto" w:sz="8" w:space="0"/>
              <w:bottom w:val="single" w:color="auto" w:sz="8" w:space="0"/>
              <w:right w:val="single" w:color="auto" w:sz="8" w:space="0"/>
            </w:tcBorders>
            <w:shd w:val="clear" w:color="auto" w:fill="0070C0"/>
            <w:noWrap/>
            <w:vAlign w:val="bottom"/>
          </w:tcPr>
          <w:p w14:paraId="096A7414">
            <w:pPr>
              <w:keepNext w:val="0"/>
              <w:keepLines w:val="0"/>
              <w:widowControl/>
              <w:suppressLineNumbers w:val="0"/>
              <w:spacing w:before="0" w:beforeAutospacing="0" w:after="0" w:afterAutospacing="0"/>
              <w:ind w:left="0" w:right="0"/>
              <w:jc w:val="center"/>
              <w:textAlignment w:val="bottom"/>
              <w:rPr>
                <w:rFonts w:hint="default" w:ascii="华文细黑" w:hAnsi="华文细黑" w:eastAsia="华文细黑" w:cs="Arial"/>
                <w:b/>
                <w:bCs/>
                <w:color w:val="FFFFFF"/>
                <w:sz w:val="20"/>
                <w:szCs w:val="20"/>
              </w:rPr>
            </w:pPr>
            <w:r>
              <w:rPr>
                <w:rFonts w:hint="eastAsia" w:ascii="华文细黑" w:hAnsi="华文细黑" w:eastAsia="华文细黑" w:cs="华文细黑"/>
                <w:b/>
                <w:bCs/>
                <w:i w:val="0"/>
                <w:iCs w:val="0"/>
                <w:color w:val="FFFFFF"/>
                <w:kern w:val="0"/>
                <w:sz w:val="20"/>
                <w:szCs w:val="20"/>
                <w:u w:val="none"/>
                <w:lang w:val="en-US" w:eastAsia="zh-CN" w:bidi="ar"/>
              </w:rPr>
              <w:t>年份</w:t>
            </w:r>
            <w:r>
              <w:rPr>
                <w:rFonts w:hint="default" w:ascii="Verdana" w:hAnsi="Verdana" w:eastAsia="华文细黑" w:cs="Verdana"/>
                <w:b/>
                <w:bCs/>
                <w:i w:val="0"/>
                <w:iCs w:val="0"/>
                <w:color w:val="FFFFFF"/>
                <w:kern w:val="0"/>
                <w:sz w:val="20"/>
                <w:szCs w:val="20"/>
                <w:u w:val="none"/>
                <w:lang w:val="en-US" w:eastAsia="zh-CN" w:bidi="ar"/>
              </w:rPr>
              <w:t>/</w:t>
            </w:r>
            <w:r>
              <w:rPr>
                <w:rFonts w:hint="eastAsia" w:ascii="华文细黑" w:hAnsi="华文细黑" w:eastAsia="华文细黑" w:cs="华文细黑"/>
                <w:b/>
                <w:bCs/>
                <w:i w:val="0"/>
                <w:iCs w:val="0"/>
                <w:color w:val="FFFFFF"/>
                <w:kern w:val="0"/>
                <w:sz w:val="20"/>
                <w:szCs w:val="20"/>
                <w:u w:val="none"/>
                <w:lang w:val="en-US" w:eastAsia="zh-CN" w:bidi="ar"/>
              </w:rPr>
              <w:t>项目</w:t>
            </w:r>
          </w:p>
        </w:tc>
        <w:tc>
          <w:tcPr>
            <w:tcW w:w="1077" w:type="dxa"/>
            <w:tcBorders>
              <w:top w:val="single" w:color="auto" w:sz="8" w:space="0"/>
              <w:left w:val="nil"/>
              <w:bottom w:val="single" w:color="auto" w:sz="8" w:space="0"/>
              <w:right w:val="single" w:color="auto" w:sz="8" w:space="0"/>
            </w:tcBorders>
            <w:shd w:val="clear" w:color="auto" w:fill="0070C0"/>
            <w:noWrap/>
            <w:vAlign w:val="bottom"/>
          </w:tcPr>
          <w:p w14:paraId="52768C0F">
            <w:pPr>
              <w:keepNext w:val="0"/>
              <w:keepLines w:val="0"/>
              <w:widowControl/>
              <w:suppressLineNumbers w:val="0"/>
              <w:spacing w:before="0" w:beforeAutospacing="0" w:after="0" w:afterAutospacing="0"/>
              <w:ind w:left="0" w:leftChars="0" w:right="0" w:rightChars="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2027</w:t>
            </w:r>
          </w:p>
        </w:tc>
        <w:tc>
          <w:tcPr>
            <w:tcW w:w="1200" w:type="dxa"/>
            <w:tcBorders>
              <w:top w:val="single" w:color="auto" w:sz="8" w:space="0"/>
              <w:left w:val="nil"/>
              <w:bottom w:val="single" w:color="auto" w:sz="8" w:space="0"/>
              <w:right w:val="single" w:color="auto" w:sz="8" w:space="0"/>
            </w:tcBorders>
            <w:shd w:val="clear" w:color="auto" w:fill="0070C0"/>
            <w:noWrap/>
            <w:vAlign w:val="bottom"/>
          </w:tcPr>
          <w:p w14:paraId="3E1CC111">
            <w:pPr>
              <w:keepNext w:val="0"/>
              <w:keepLines w:val="0"/>
              <w:widowControl/>
              <w:suppressLineNumbers w:val="0"/>
              <w:spacing w:before="0" w:beforeAutospacing="0" w:after="0" w:afterAutospacing="0"/>
              <w:ind w:left="0" w:leftChars="0" w:right="0" w:rightChars="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2028</w:t>
            </w:r>
          </w:p>
        </w:tc>
        <w:tc>
          <w:tcPr>
            <w:tcW w:w="1200" w:type="dxa"/>
            <w:tcBorders>
              <w:top w:val="single" w:color="auto" w:sz="8" w:space="0"/>
              <w:left w:val="nil"/>
              <w:bottom w:val="single" w:color="auto" w:sz="8" w:space="0"/>
              <w:right w:val="single" w:color="auto" w:sz="8" w:space="0"/>
            </w:tcBorders>
            <w:shd w:val="clear" w:color="auto" w:fill="0070C0"/>
            <w:noWrap/>
            <w:vAlign w:val="bottom"/>
          </w:tcPr>
          <w:p w14:paraId="67C9E0BB">
            <w:pPr>
              <w:keepNext w:val="0"/>
              <w:keepLines w:val="0"/>
              <w:widowControl/>
              <w:suppressLineNumbers w:val="0"/>
              <w:spacing w:before="0" w:beforeAutospacing="0" w:after="0" w:afterAutospacing="0"/>
              <w:ind w:left="0" w:leftChars="0" w:right="0" w:rightChars="0"/>
              <w:jc w:val="center"/>
              <w:textAlignment w:val="bottom"/>
              <w:rPr>
                <w:rFonts w:hint="eastAsia"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2029</w:t>
            </w:r>
          </w:p>
        </w:tc>
        <w:tc>
          <w:tcPr>
            <w:tcW w:w="1149" w:type="dxa"/>
            <w:tcBorders>
              <w:top w:val="single" w:color="auto" w:sz="8" w:space="0"/>
              <w:left w:val="nil"/>
              <w:bottom w:val="single" w:color="auto" w:sz="8" w:space="0"/>
              <w:right w:val="single" w:color="auto" w:sz="8" w:space="0"/>
            </w:tcBorders>
            <w:shd w:val="clear" w:color="auto" w:fill="0070C0"/>
            <w:noWrap/>
            <w:vAlign w:val="bottom"/>
          </w:tcPr>
          <w:p w14:paraId="7706D3FC">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30</w:t>
            </w:r>
          </w:p>
        </w:tc>
        <w:tc>
          <w:tcPr>
            <w:tcW w:w="1251" w:type="dxa"/>
            <w:tcBorders>
              <w:top w:val="single" w:color="auto" w:sz="8" w:space="0"/>
              <w:left w:val="nil"/>
              <w:bottom w:val="single" w:color="auto" w:sz="8" w:space="0"/>
              <w:right w:val="single" w:color="auto" w:sz="8" w:space="0"/>
            </w:tcBorders>
            <w:shd w:val="clear" w:color="auto" w:fill="0070C0"/>
            <w:noWrap/>
            <w:vAlign w:val="bottom"/>
          </w:tcPr>
          <w:p w14:paraId="5A2F5C86">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31</w:t>
            </w:r>
          </w:p>
        </w:tc>
        <w:tc>
          <w:tcPr>
            <w:tcW w:w="1234" w:type="dxa"/>
            <w:tcBorders>
              <w:top w:val="single" w:color="auto" w:sz="8" w:space="0"/>
              <w:left w:val="nil"/>
              <w:bottom w:val="single" w:color="auto" w:sz="8" w:space="0"/>
              <w:right w:val="single" w:color="auto" w:sz="8" w:space="0"/>
            </w:tcBorders>
            <w:shd w:val="clear" w:color="auto" w:fill="0070C0"/>
            <w:noWrap/>
            <w:vAlign w:val="bottom"/>
          </w:tcPr>
          <w:p w14:paraId="475C3B74">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32</w:t>
            </w:r>
          </w:p>
        </w:tc>
        <w:tc>
          <w:tcPr>
            <w:tcW w:w="1234" w:type="dxa"/>
            <w:tcBorders>
              <w:top w:val="single" w:color="auto" w:sz="8" w:space="0"/>
              <w:left w:val="nil"/>
              <w:bottom w:val="single" w:color="auto" w:sz="8" w:space="0"/>
              <w:right w:val="single" w:color="auto" w:sz="8" w:space="0"/>
            </w:tcBorders>
            <w:shd w:val="clear" w:color="auto" w:fill="0070C0"/>
            <w:noWrap/>
            <w:vAlign w:val="bottom"/>
          </w:tcPr>
          <w:p w14:paraId="3184ECD9">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eastAsia" w:ascii="Verdana" w:hAnsi="Verdana" w:cs="Verdana"/>
                <w:b/>
                <w:bCs/>
                <w:i w:val="0"/>
                <w:iCs w:val="0"/>
                <w:color w:val="FFFFFF"/>
                <w:kern w:val="0"/>
                <w:sz w:val="20"/>
                <w:szCs w:val="20"/>
                <w:u w:val="none"/>
                <w:lang w:val="en-US" w:eastAsia="zh-CN" w:bidi="ar"/>
              </w:rPr>
              <w:t>2033</w:t>
            </w:r>
          </w:p>
        </w:tc>
      </w:tr>
      <w:tr w14:paraId="261F32A8">
        <w:tblPrEx>
          <w:tblCellMar>
            <w:top w:w="0" w:type="dxa"/>
            <w:left w:w="108" w:type="dxa"/>
            <w:bottom w:w="0" w:type="dxa"/>
            <w:right w:w="108" w:type="dxa"/>
          </w:tblCellMar>
        </w:tblPrEx>
        <w:trPr>
          <w:trHeight w:val="302" w:hRule="atLeast"/>
          <w:jc w:val="center"/>
        </w:trPr>
        <w:tc>
          <w:tcPr>
            <w:tcW w:w="1660" w:type="dxa"/>
            <w:tcBorders>
              <w:top w:val="nil"/>
              <w:left w:val="single" w:color="auto" w:sz="8" w:space="0"/>
              <w:bottom w:val="single" w:color="auto" w:sz="8" w:space="0"/>
              <w:right w:val="single" w:color="auto" w:sz="8" w:space="0"/>
            </w:tcBorders>
            <w:shd w:val="clear" w:color="auto" w:fill="D3DFEE"/>
            <w:noWrap/>
            <w:vAlign w:val="bottom"/>
          </w:tcPr>
          <w:p w14:paraId="57D57EE0">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b/>
                <w:bCs/>
                <w:color w:val="000000"/>
                <w:sz w:val="20"/>
                <w:szCs w:val="20"/>
              </w:rPr>
            </w:pPr>
            <w:r>
              <w:rPr>
                <w:rFonts w:hint="eastAsia" w:ascii="华文细黑" w:hAnsi="华文细黑" w:eastAsia="华文细黑" w:cs="华文细黑"/>
                <w:b/>
                <w:bCs/>
                <w:i w:val="0"/>
                <w:iCs w:val="0"/>
                <w:color w:val="000000"/>
                <w:kern w:val="0"/>
                <w:sz w:val="20"/>
                <w:szCs w:val="20"/>
                <w:u w:val="none"/>
                <w:lang w:val="en-US" w:eastAsia="zh-CN" w:bidi="ar"/>
              </w:rPr>
              <w:t>收入估算</w:t>
            </w:r>
          </w:p>
        </w:tc>
        <w:tc>
          <w:tcPr>
            <w:tcW w:w="1077" w:type="dxa"/>
            <w:tcBorders>
              <w:top w:val="nil"/>
              <w:left w:val="nil"/>
              <w:bottom w:val="single" w:color="auto" w:sz="8" w:space="0"/>
              <w:right w:val="single" w:color="auto" w:sz="8" w:space="0"/>
            </w:tcBorders>
            <w:shd w:val="clear" w:color="auto" w:fill="D3DFEE"/>
            <w:noWrap/>
            <w:vAlign w:val="bottom"/>
          </w:tcPr>
          <w:p w14:paraId="3ACB3AD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565.1</w:t>
            </w:r>
          </w:p>
        </w:tc>
        <w:tc>
          <w:tcPr>
            <w:tcW w:w="1200" w:type="dxa"/>
            <w:tcBorders>
              <w:top w:val="nil"/>
              <w:left w:val="nil"/>
              <w:bottom w:val="single" w:color="auto" w:sz="8" w:space="0"/>
              <w:right w:val="single" w:color="auto" w:sz="8" w:space="0"/>
            </w:tcBorders>
            <w:shd w:val="clear" w:color="auto" w:fill="D3DFEE"/>
            <w:noWrap/>
            <w:vAlign w:val="bottom"/>
          </w:tcPr>
          <w:p w14:paraId="49F9A2F5">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791.13</w:t>
            </w:r>
          </w:p>
        </w:tc>
        <w:tc>
          <w:tcPr>
            <w:tcW w:w="1200" w:type="dxa"/>
            <w:tcBorders>
              <w:top w:val="nil"/>
              <w:left w:val="nil"/>
              <w:bottom w:val="single" w:color="auto" w:sz="8" w:space="0"/>
              <w:right w:val="single" w:color="auto" w:sz="8" w:space="0"/>
            </w:tcBorders>
            <w:shd w:val="clear" w:color="auto" w:fill="D3DFEE"/>
            <w:noWrap/>
            <w:vAlign w:val="bottom"/>
          </w:tcPr>
          <w:p w14:paraId="0C815783">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149" w:type="dxa"/>
            <w:tcBorders>
              <w:top w:val="nil"/>
              <w:left w:val="nil"/>
              <w:bottom w:val="single" w:color="auto" w:sz="8" w:space="0"/>
              <w:right w:val="single" w:color="auto" w:sz="8" w:space="0"/>
            </w:tcBorders>
            <w:shd w:val="clear" w:color="auto" w:fill="D3DFEE"/>
            <w:noWrap/>
            <w:vAlign w:val="bottom"/>
          </w:tcPr>
          <w:p w14:paraId="3B67274B">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51" w:type="dxa"/>
            <w:tcBorders>
              <w:top w:val="nil"/>
              <w:left w:val="nil"/>
              <w:bottom w:val="single" w:color="auto" w:sz="8" w:space="0"/>
              <w:right w:val="single" w:color="auto" w:sz="8" w:space="0"/>
            </w:tcBorders>
            <w:shd w:val="clear" w:color="auto" w:fill="D3DFEE"/>
            <w:noWrap/>
            <w:vAlign w:val="bottom"/>
          </w:tcPr>
          <w:p w14:paraId="00CFB28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34" w:type="dxa"/>
            <w:tcBorders>
              <w:top w:val="nil"/>
              <w:left w:val="nil"/>
              <w:bottom w:val="single" w:color="auto" w:sz="8" w:space="0"/>
              <w:right w:val="single" w:color="auto" w:sz="8" w:space="0"/>
            </w:tcBorders>
            <w:shd w:val="clear" w:color="auto" w:fill="D3DFEE"/>
            <w:noWrap/>
            <w:vAlign w:val="bottom"/>
          </w:tcPr>
          <w:p w14:paraId="7C0B5AE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34" w:type="dxa"/>
            <w:tcBorders>
              <w:top w:val="nil"/>
              <w:left w:val="nil"/>
              <w:bottom w:val="single" w:color="auto" w:sz="8" w:space="0"/>
              <w:right w:val="single" w:color="auto" w:sz="8" w:space="0"/>
            </w:tcBorders>
            <w:shd w:val="clear" w:color="auto" w:fill="D3DFEE"/>
            <w:noWrap/>
            <w:vAlign w:val="bottom"/>
          </w:tcPr>
          <w:p w14:paraId="4D4FA988">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r>
      <w:tr w14:paraId="0FAA5A85">
        <w:tblPrEx>
          <w:tblCellMar>
            <w:top w:w="0" w:type="dxa"/>
            <w:left w:w="108" w:type="dxa"/>
            <w:bottom w:w="0" w:type="dxa"/>
            <w:right w:w="108" w:type="dxa"/>
          </w:tblCellMar>
        </w:tblPrEx>
        <w:trPr>
          <w:trHeight w:val="302" w:hRule="atLeast"/>
          <w:jc w:val="center"/>
        </w:trPr>
        <w:tc>
          <w:tcPr>
            <w:tcW w:w="1660" w:type="dxa"/>
            <w:tcBorders>
              <w:top w:val="nil"/>
              <w:left w:val="single" w:color="auto" w:sz="8" w:space="0"/>
              <w:bottom w:val="single" w:color="auto" w:sz="8" w:space="0"/>
              <w:right w:val="single" w:color="auto" w:sz="8" w:space="0"/>
            </w:tcBorders>
            <w:shd w:val="clear" w:color="auto" w:fill="auto"/>
            <w:noWrap/>
            <w:vAlign w:val="bottom"/>
          </w:tcPr>
          <w:p w14:paraId="39C4A01E">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保教费收入</w:t>
            </w:r>
          </w:p>
        </w:tc>
        <w:tc>
          <w:tcPr>
            <w:tcW w:w="1077" w:type="dxa"/>
            <w:tcBorders>
              <w:top w:val="nil"/>
              <w:left w:val="nil"/>
              <w:bottom w:val="single" w:color="auto" w:sz="8" w:space="0"/>
              <w:right w:val="single" w:color="auto" w:sz="8" w:space="0"/>
            </w:tcBorders>
            <w:shd w:val="clear" w:color="auto" w:fill="auto"/>
            <w:vAlign w:val="bottom"/>
          </w:tcPr>
          <w:p w14:paraId="5AB3C9A9">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99</w:t>
            </w:r>
          </w:p>
        </w:tc>
        <w:tc>
          <w:tcPr>
            <w:tcW w:w="1200" w:type="dxa"/>
            <w:tcBorders>
              <w:top w:val="nil"/>
              <w:left w:val="nil"/>
              <w:bottom w:val="single" w:color="auto" w:sz="8" w:space="0"/>
              <w:right w:val="single" w:color="auto" w:sz="8" w:space="0"/>
            </w:tcBorders>
            <w:shd w:val="clear" w:color="auto" w:fill="auto"/>
            <w:vAlign w:val="bottom"/>
          </w:tcPr>
          <w:p w14:paraId="1CB7221A">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138.6</w:t>
            </w:r>
          </w:p>
        </w:tc>
        <w:tc>
          <w:tcPr>
            <w:tcW w:w="1200" w:type="dxa"/>
            <w:tcBorders>
              <w:top w:val="nil"/>
              <w:left w:val="nil"/>
              <w:bottom w:val="single" w:color="auto" w:sz="8" w:space="0"/>
              <w:right w:val="single" w:color="auto" w:sz="8" w:space="0"/>
            </w:tcBorders>
            <w:shd w:val="clear" w:color="auto" w:fill="auto"/>
            <w:vAlign w:val="bottom"/>
          </w:tcPr>
          <w:p w14:paraId="08B057A0">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149" w:type="dxa"/>
            <w:tcBorders>
              <w:top w:val="nil"/>
              <w:left w:val="nil"/>
              <w:bottom w:val="single" w:color="auto" w:sz="8" w:space="0"/>
              <w:right w:val="single" w:color="auto" w:sz="8" w:space="0"/>
            </w:tcBorders>
            <w:shd w:val="clear" w:color="auto" w:fill="auto"/>
            <w:vAlign w:val="bottom"/>
          </w:tcPr>
          <w:p w14:paraId="05D6DAAD">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51" w:type="dxa"/>
            <w:tcBorders>
              <w:top w:val="nil"/>
              <w:left w:val="nil"/>
              <w:bottom w:val="single" w:color="auto" w:sz="8" w:space="0"/>
              <w:right w:val="single" w:color="auto" w:sz="8" w:space="0"/>
            </w:tcBorders>
            <w:shd w:val="clear" w:color="auto" w:fill="auto"/>
            <w:vAlign w:val="bottom"/>
          </w:tcPr>
          <w:p w14:paraId="2652E1A4">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34" w:type="dxa"/>
            <w:tcBorders>
              <w:top w:val="nil"/>
              <w:left w:val="nil"/>
              <w:bottom w:val="single" w:color="auto" w:sz="8" w:space="0"/>
              <w:right w:val="single" w:color="auto" w:sz="8" w:space="0"/>
            </w:tcBorders>
            <w:shd w:val="clear" w:color="auto" w:fill="auto"/>
            <w:vAlign w:val="bottom"/>
          </w:tcPr>
          <w:p w14:paraId="08FF022C">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34" w:type="dxa"/>
            <w:tcBorders>
              <w:top w:val="nil"/>
              <w:left w:val="nil"/>
              <w:bottom w:val="single" w:color="auto" w:sz="8" w:space="0"/>
              <w:right w:val="single" w:color="auto" w:sz="8" w:space="0"/>
            </w:tcBorders>
            <w:shd w:val="clear" w:color="auto" w:fill="auto"/>
            <w:vAlign w:val="bottom"/>
          </w:tcPr>
          <w:p w14:paraId="7349A3A1">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r>
      <w:tr w14:paraId="501C9D27">
        <w:tblPrEx>
          <w:tblCellMar>
            <w:top w:w="0" w:type="dxa"/>
            <w:left w:w="108" w:type="dxa"/>
            <w:bottom w:w="0" w:type="dxa"/>
            <w:right w:w="108" w:type="dxa"/>
          </w:tblCellMar>
        </w:tblPrEx>
        <w:trPr>
          <w:trHeight w:val="302" w:hRule="atLeast"/>
          <w:jc w:val="center"/>
        </w:trPr>
        <w:tc>
          <w:tcPr>
            <w:tcW w:w="1660" w:type="dxa"/>
            <w:tcBorders>
              <w:top w:val="nil"/>
              <w:left w:val="single" w:color="auto" w:sz="8" w:space="0"/>
              <w:bottom w:val="single" w:color="auto" w:sz="8" w:space="0"/>
              <w:right w:val="single" w:color="auto" w:sz="8" w:space="0"/>
            </w:tcBorders>
            <w:shd w:val="clear" w:color="auto" w:fill="auto"/>
            <w:noWrap/>
            <w:vAlign w:val="bottom"/>
          </w:tcPr>
          <w:p w14:paraId="0961CE77">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伙食费收入</w:t>
            </w:r>
          </w:p>
        </w:tc>
        <w:tc>
          <w:tcPr>
            <w:tcW w:w="1077" w:type="dxa"/>
            <w:tcBorders>
              <w:top w:val="nil"/>
              <w:left w:val="nil"/>
              <w:bottom w:val="single" w:color="auto" w:sz="8" w:space="0"/>
              <w:right w:val="single" w:color="auto" w:sz="8" w:space="0"/>
            </w:tcBorders>
            <w:shd w:val="clear" w:color="auto" w:fill="auto"/>
            <w:vAlign w:val="bottom"/>
          </w:tcPr>
          <w:p w14:paraId="433D8FC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48.91</w:t>
            </w:r>
          </w:p>
        </w:tc>
        <w:tc>
          <w:tcPr>
            <w:tcW w:w="1200" w:type="dxa"/>
            <w:tcBorders>
              <w:top w:val="nil"/>
              <w:left w:val="nil"/>
              <w:bottom w:val="single" w:color="auto" w:sz="8" w:space="0"/>
              <w:right w:val="single" w:color="auto" w:sz="8" w:space="0"/>
            </w:tcBorders>
            <w:shd w:val="clear" w:color="auto" w:fill="auto"/>
            <w:vAlign w:val="bottom"/>
          </w:tcPr>
          <w:p w14:paraId="50D2B858">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68.47</w:t>
            </w:r>
          </w:p>
        </w:tc>
        <w:tc>
          <w:tcPr>
            <w:tcW w:w="1200" w:type="dxa"/>
            <w:tcBorders>
              <w:top w:val="nil"/>
              <w:left w:val="nil"/>
              <w:bottom w:val="single" w:color="auto" w:sz="8" w:space="0"/>
              <w:right w:val="single" w:color="auto" w:sz="8" w:space="0"/>
            </w:tcBorders>
            <w:shd w:val="clear" w:color="auto" w:fill="auto"/>
            <w:vAlign w:val="bottom"/>
          </w:tcPr>
          <w:p w14:paraId="7C0F88C1">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149" w:type="dxa"/>
            <w:tcBorders>
              <w:top w:val="nil"/>
              <w:left w:val="nil"/>
              <w:bottom w:val="single" w:color="auto" w:sz="8" w:space="0"/>
              <w:right w:val="single" w:color="auto" w:sz="8" w:space="0"/>
            </w:tcBorders>
            <w:shd w:val="clear" w:color="auto" w:fill="auto"/>
            <w:vAlign w:val="bottom"/>
          </w:tcPr>
          <w:p w14:paraId="5F3C3DF0">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51" w:type="dxa"/>
            <w:tcBorders>
              <w:top w:val="nil"/>
              <w:left w:val="nil"/>
              <w:bottom w:val="single" w:color="auto" w:sz="8" w:space="0"/>
              <w:right w:val="single" w:color="auto" w:sz="8" w:space="0"/>
            </w:tcBorders>
            <w:shd w:val="clear" w:color="auto" w:fill="auto"/>
            <w:vAlign w:val="bottom"/>
          </w:tcPr>
          <w:p w14:paraId="57BC66CE">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34" w:type="dxa"/>
            <w:tcBorders>
              <w:top w:val="nil"/>
              <w:left w:val="nil"/>
              <w:bottom w:val="single" w:color="auto" w:sz="8" w:space="0"/>
              <w:right w:val="single" w:color="auto" w:sz="8" w:space="0"/>
            </w:tcBorders>
            <w:shd w:val="clear" w:color="auto" w:fill="auto"/>
            <w:vAlign w:val="bottom"/>
          </w:tcPr>
          <w:p w14:paraId="77D3665B">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34" w:type="dxa"/>
            <w:tcBorders>
              <w:top w:val="nil"/>
              <w:left w:val="nil"/>
              <w:bottom w:val="single" w:color="auto" w:sz="8" w:space="0"/>
              <w:right w:val="single" w:color="auto" w:sz="8" w:space="0"/>
            </w:tcBorders>
            <w:shd w:val="clear" w:color="auto" w:fill="auto"/>
            <w:vAlign w:val="bottom"/>
          </w:tcPr>
          <w:p w14:paraId="6B955F68">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r>
      <w:tr w14:paraId="4ACF4EEE">
        <w:tblPrEx>
          <w:tblCellMar>
            <w:top w:w="0" w:type="dxa"/>
            <w:left w:w="108" w:type="dxa"/>
            <w:bottom w:w="0" w:type="dxa"/>
            <w:right w:w="108" w:type="dxa"/>
          </w:tblCellMar>
        </w:tblPrEx>
        <w:trPr>
          <w:trHeight w:val="302" w:hRule="atLeast"/>
          <w:jc w:val="center"/>
        </w:trPr>
        <w:tc>
          <w:tcPr>
            <w:tcW w:w="1660" w:type="dxa"/>
            <w:tcBorders>
              <w:top w:val="nil"/>
              <w:left w:val="single" w:color="auto" w:sz="8" w:space="0"/>
              <w:bottom w:val="single" w:color="auto" w:sz="8" w:space="0"/>
              <w:right w:val="single" w:color="auto" w:sz="8" w:space="0"/>
            </w:tcBorders>
            <w:shd w:val="clear" w:color="auto" w:fill="auto"/>
            <w:noWrap/>
            <w:vAlign w:val="bottom"/>
          </w:tcPr>
          <w:p w14:paraId="51482D89">
            <w:pPr>
              <w:keepNext w:val="0"/>
              <w:keepLines w:val="0"/>
              <w:widowControl/>
              <w:suppressLineNumbers w:val="0"/>
              <w:spacing w:before="0" w:beforeAutospacing="0" w:after="0" w:afterAutospacing="0"/>
              <w:ind w:left="0" w:right="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课后托管费收入</w:t>
            </w:r>
          </w:p>
        </w:tc>
        <w:tc>
          <w:tcPr>
            <w:tcW w:w="1077" w:type="dxa"/>
            <w:tcBorders>
              <w:top w:val="nil"/>
              <w:left w:val="nil"/>
              <w:bottom w:val="single" w:color="auto" w:sz="8" w:space="0"/>
              <w:right w:val="single" w:color="auto" w:sz="8" w:space="0"/>
            </w:tcBorders>
            <w:shd w:val="clear" w:color="auto" w:fill="auto"/>
            <w:vAlign w:val="bottom"/>
          </w:tcPr>
          <w:p w14:paraId="7E8647C1">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284.26</w:t>
            </w:r>
          </w:p>
        </w:tc>
        <w:tc>
          <w:tcPr>
            <w:tcW w:w="1200" w:type="dxa"/>
            <w:tcBorders>
              <w:top w:val="nil"/>
              <w:left w:val="nil"/>
              <w:bottom w:val="single" w:color="auto" w:sz="8" w:space="0"/>
              <w:right w:val="single" w:color="auto" w:sz="8" w:space="0"/>
            </w:tcBorders>
            <w:shd w:val="clear" w:color="auto" w:fill="auto"/>
            <w:vAlign w:val="bottom"/>
          </w:tcPr>
          <w:p w14:paraId="26247B86">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397.96</w:t>
            </w:r>
          </w:p>
        </w:tc>
        <w:tc>
          <w:tcPr>
            <w:tcW w:w="1200" w:type="dxa"/>
            <w:tcBorders>
              <w:top w:val="nil"/>
              <w:left w:val="nil"/>
              <w:bottom w:val="single" w:color="auto" w:sz="8" w:space="0"/>
              <w:right w:val="single" w:color="auto" w:sz="8" w:space="0"/>
            </w:tcBorders>
            <w:shd w:val="clear" w:color="auto" w:fill="auto"/>
            <w:vAlign w:val="bottom"/>
          </w:tcPr>
          <w:p w14:paraId="048648A4">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149" w:type="dxa"/>
            <w:tcBorders>
              <w:top w:val="nil"/>
              <w:left w:val="nil"/>
              <w:bottom w:val="single" w:color="auto" w:sz="8" w:space="0"/>
              <w:right w:val="single" w:color="auto" w:sz="8" w:space="0"/>
            </w:tcBorders>
            <w:shd w:val="clear" w:color="auto" w:fill="auto"/>
            <w:vAlign w:val="bottom"/>
          </w:tcPr>
          <w:p w14:paraId="4B80A0DB">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51" w:type="dxa"/>
            <w:tcBorders>
              <w:top w:val="nil"/>
              <w:left w:val="nil"/>
              <w:bottom w:val="single" w:color="auto" w:sz="8" w:space="0"/>
              <w:right w:val="single" w:color="auto" w:sz="8" w:space="0"/>
            </w:tcBorders>
            <w:shd w:val="clear" w:color="auto" w:fill="auto"/>
            <w:vAlign w:val="bottom"/>
          </w:tcPr>
          <w:p w14:paraId="1C524868">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34" w:type="dxa"/>
            <w:tcBorders>
              <w:top w:val="nil"/>
              <w:left w:val="nil"/>
              <w:bottom w:val="single" w:color="auto" w:sz="8" w:space="0"/>
              <w:right w:val="single" w:color="auto" w:sz="8" w:space="0"/>
            </w:tcBorders>
            <w:shd w:val="clear" w:color="auto" w:fill="auto"/>
            <w:vAlign w:val="bottom"/>
          </w:tcPr>
          <w:p w14:paraId="625F7702">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34" w:type="dxa"/>
            <w:tcBorders>
              <w:top w:val="nil"/>
              <w:left w:val="nil"/>
              <w:bottom w:val="single" w:color="auto" w:sz="8" w:space="0"/>
              <w:right w:val="single" w:color="auto" w:sz="8" w:space="0"/>
            </w:tcBorders>
            <w:shd w:val="clear" w:color="auto" w:fill="auto"/>
            <w:vAlign w:val="bottom"/>
          </w:tcPr>
          <w:p w14:paraId="451686DE">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r>
      <w:tr w14:paraId="61A8BD52">
        <w:tblPrEx>
          <w:tblCellMar>
            <w:top w:w="0" w:type="dxa"/>
            <w:left w:w="108" w:type="dxa"/>
            <w:bottom w:w="0" w:type="dxa"/>
            <w:right w:w="108" w:type="dxa"/>
          </w:tblCellMar>
        </w:tblPrEx>
        <w:trPr>
          <w:trHeight w:val="302" w:hRule="atLeast"/>
          <w:jc w:val="center"/>
        </w:trPr>
        <w:tc>
          <w:tcPr>
            <w:tcW w:w="1660" w:type="dxa"/>
            <w:tcBorders>
              <w:top w:val="nil"/>
              <w:left w:val="single" w:color="auto" w:sz="8" w:space="0"/>
              <w:bottom w:val="single" w:color="auto" w:sz="8" w:space="0"/>
              <w:right w:val="single" w:color="auto" w:sz="8" w:space="0"/>
            </w:tcBorders>
            <w:shd w:val="clear" w:color="auto" w:fill="auto"/>
            <w:noWrap/>
            <w:vAlign w:val="bottom"/>
          </w:tcPr>
          <w:p w14:paraId="7A60921E">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住宿费收入</w:t>
            </w:r>
          </w:p>
        </w:tc>
        <w:tc>
          <w:tcPr>
            <w:tcW w:w="1077" w:type="dxa"/>
            <w:tcBorders>
              <w:top w:val="nil"/>
              <w:left w:val="nil"/>
              <w:bottom w:val="single" w:color="auto" w:sz="8" w:space="0"/>
              <w:right w:val="single" w:color="auto" w:sz="8" w:space="0"/>
            </w:tcBorders>
            <w:shd w:val="clear" w:color="auto" w:fill="auto"/>
            <w:vAlign w:val="bottom"/>
          </w:tcPr>
          <w:p w14:paraId="5BC9575E">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59.22</w:t>
            </w:r>
          </w:p>
        </w:tc>
        <w:tc>
          <w:tcPr>
            <w:tcW w:w="1200" w:type="dxa"/>
            <w:tcBorders>
              <w:top w:val="nil"/>
              <w:left w:val="nil"/>
              <w:bottom w:val="single" w:color="auto" w:sz="8" w:space="0"/>
              <w:right w:val="single" w:color="auto" w:sz="8" w:space="0"/>
            </w:tcBorders>
            <w:shd w:val="clear" w:color="auto" w:fill="auto"/>
            <w:vAlign w:val="bottom"/>
          </w:tcPr>
          <w:p w14:paraId="20CCC6C4">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82.91</w:t>
            </w:r>
          </w:p>
        </w:tc>
        <w:tc>
          <w:tcPr>
            <w:tcW w:w="1200" w:type="dxa"/>
            <w:tcBorders>
              <w:top w:val="nil"/>
              <w:left w:val="nil"/>
              <w:bottom w:val="single" w:color="auto" w:sz="8" w:space="0"/>
              <w:right w:val="single" w:color="auto" w:sz="8" w:space="0"/>
            </w:tcBorders>
            <w:shd w:val="clear" w:color="auto" w:fill="auto"/>
            <w:vAlign w:val="bottom"/>
          </w:tcPr>
          <w:p w14:paraId="6543BCC1">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149" w:type="dxa"/>
            <w:tcBorders>
              <w:top w:val="nil"/>
              <w:left w:val="nil"/>
              <w:bottom w:val="single" w:color="auto" w:sz="8" w:space="0"/>
              <w:right w:val="single" w:color="auto" w:sz="8" w:space="0"/>
            </w:tcBorders>
            <w:shd w:val="clear" w:color="auto" w:fill="auto"/>
            <w:vAlign w:val="bottom"/>
          </w:tcPr>
          <w:p w14:paraId="5A7F6951">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51" w:type="dxa"/>
            <w:tcBorders>
              <w:top w:val="nil"/>
              <w:left w:val="nil"/>
              <w:bottom w:val="single" w:color="auto" w:sz="8" w:space="0"/>
              <w:right w:val="single" w:color="auto" w:sz="8" w:space="0"/>
            </w:tcBorders>
            <w:shd w:val="clear" w:color="auto" w:fill="auto"/>
            <w:vAlign w:val="bottom"/>
          </w:tcPr>
          <w:p w14:paraId="5E2DAEFF">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34" w:type="dxa"/>
            <w:tcBorders>
              <w:top w:val="nil"/>
              <w:left w:val="nil"/>
              <w:bottom w:val="single" w:color="auto" w:sz="8" w:space="0"/>
              <w:right w:val="single" w:color="auto" w:sz="8" w:space="0"/>
            </w:tcBorders>
            <w:shd w:val="clear" w:color="auto" w:fill="auto"/>
            <w:vAlign w:val="bottom"/>
          </w:tcPr>
          <w:p w14:paraId="3F4F74AC">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34" w:type="dxa"/>
            <w:tcBorders>
              <w:top w:val="nil"/>
              <w:left w:val="nil"/>
              <w:bottom w:val="single" w:color="auto" w:sz="8" w:space="0"/>
              <w:right w:val="single" w:color="auto" w:sz="8" w:space="0"/>
            </w:tcBorders>
            <w:shd w:val="clear" w:color="auto" w:fill="auto"/>
            <w:vAlign w:val="bottom"/>
          </w:tcPr>
          <w:p w14:paraId="6D6DD9C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r>
      <w:tr w14:paraId="45BB1C62">
        <w:tblPrEx>
          <w:tblCellMar>
            <w:top w:w="0" w:type="dxa"/>
            <w:left w:w="108" w:type="dxa"/>
            <w:bottom w:w="0" w:type="dxa"/>
            <w:right w:w="108" w:type="dxa"/>
          </w:tblCellMar>
        </w:tblPrEx>
        <w:trPr>
          <w:trHeight w:val="302" w:hRule="atLeast"/>
          <w:jc w:val="center"/>
        </w:trPr>
        <w:tc>
          <w:tcPr>
            <w:tcW w:w="1660" w:type="dxa"/>
            <w:tcBorders>
              <w:top w:val="nil"/>
              <w:left w:val="single" w:color="auto" w:sz="8" w:space="0"/>
              <w:bottom w:val="single" w:color="auto" w:sz="4" w:space="0"/>
              <w:right w:val="single" w:color="auto" w:sz="8" w:space="0"/>
            </w:tcBorders>
            <w:shd w:val="clear" w:color="auto" w:fill="auto"/>
            <w:noWrap/>
            <w:vAlign w:val="bottom"/>
          </w:tcPr>
          <w:p w14:paraId="52B54ED4">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其他收入</w:t>
            </w:r>
          </w:p>
        </w:tc>
        <w:tc>
          <w:tcPr>
            <w:tcW w:w="1077" w:type="dxa"/>
            <w:tcBorders>
              <w:top w:val="nil"/>
              <w:left w:val="nil"/>
              <w:bottom w:val="single" w:color="auto" w:sz="4" w:space="0"/>
              <w:right w:val="single" w:color="auto" w:sz="8" w:space="0"/>
            </w:tcBorders>
            <w:shd w:val="clear" w:color="auto" w:fill="auto"/>
            <w:vAlign w:val="bottom"/>
          </w:tcPr>
          <w:p w14:paraId="32CC6C16">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73.71</w:t>
            </w:r>
          </w:p>
        </w:tc>
        <w:tc>
          <w:tcPr>
            <w:tcW w:w="1200" w:type="dxa"/>
            <w:tcBorders>
              <w:top w:val="nil"/>
              <w:left w:val="nil"/>
              <w:bottom w:val="single" w:color="auto" w:sz="4" w:space="0"/>
              <w:right w:val="single" w:color="auto" w:sz="8" w:space="0"/>
            </w:tcBorders>
            <w:shd w:val="clear" w:color="auto" w:fill="auto"/>
            <w:vAlign w:val="bottom"/>
          </w:tcPr>
          <w:p w14:paraId="4AE46A2D">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103.19</w:t>
            </w:r>
          </w:p>
        </w:tc>
        <w:tc>
          <w:tcPr>
            <w:tcW w:w="1200" w:type="dxa"/>
            <w:tcBorders>
              <w:top w:val="nil"/>
              <w:left w:val="nil"/>
              <w:bottom w:val="single" w:color="auto" w:sz="4" w:space="0"/>
              <w:right w:val="single" w:color="auto" w:sz="8" w:space="0"/>
            </w:tcBorders>
            <w:shd w:val="clear" w:color="auto" w:fill="auto"/>
            <w:vAlign w:val="bottom"/>
          </w:tcPr>
          <w:p w14:paraId="4BEF86EC">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149" w:type="dxa"/>
            <w:tcBorders>
              <w:top w:val="nil"/>
              <w:left w:val="nil"/>
              <w:bottom w:val="single" w:color="auto" w:sz="4" w:space="0"/>
              <w:right w:val="single" w:color="auto" w:sz="8" w:space="0"/>
            </w:tcBorders>
            <w:shd w:val="clear" w:color="auto" w:fill="auto"/>
            <w:vAlign w:val="bottom"/>
          </w:tcPr>
          <w:p w14:paraId="14AEAE72">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51" w:type="dxa"/>
            <w:tcBorders>
              <w:top w:val="nil"/>
              <w:left w:val="nil"/>
              <w:bottom w:val="single" w:color="auto" w:sz="4" w:space="0"/>
              <w:right w:val="single" w:color="auto" w:sz="8" w:space="0"/>
            </w:tcBorders>
            <w:shd w:val="clear" w:color="auto" w:fill="auto"/>
            <w:vAlign w:val="bottom"/>
          </w:tcPr>
          <w:p w14:paraId="1AF02465">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34" w:type="dxa"/>
            <w:tcBorders>
              <w:top w:val="nil"/>
              <w:left w:val="nil"/>
              <w:bottom w:val="single" w:color="auto" w:sz="4" w:space="0"/>
              <w:right w:val="single" w:color="auto" w:sz="8" w:space="0"/>
            </w:tcBorders>
            <w:shd w:val="clear" w:color="auto" w:fill="auto"/>
            <w:vAlign w:val="bottom"/>
          </w:tcPr>
          <w:p w14:paraId="20BCB61E">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34" w:type="dxa"/>
            <w:tcBorders>
              <w:top w:val="nil"/>
              <w:left w:val="nil"/>
              <w:bottom w:val="single" w:color="auto" w:sz="4" w:space="0"/>
              <w:right w:val="single" w:color="auto" w:sz="8" w:space="0"/>
            </w:tcBorders>
            <w:shd w:val="clear" w:color="auto" w:fill="auto"/>
            <w:vAlign w:val="bottom"/>
          </w:tcPr>
          <w:p w14:paraId="08D51D0A">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r>
      <w:tr w14:paraId="67DAC16E">
        <w:tblPrEx>
          <w:tblCellMar>
            <w:top w:w="0" w:type="dxa"/>
            <w:left w:w="108" w:type="dxa"/>
            <w:bottom w:w="0" w:type="dxa"/>
            <w:right w:w="108" w:type="dxa"/>
          </w:tblCellMar>
        </w:tblPrEx>
        <w:trPr>
          <w:trHeight w:val="302" w:hRule="atLeast"/>
          <w:jc w:val="center"/>
        </w:trPr>
        <w:tc>
          <w:tcPr>
            <w:tcW w:w="1660"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0CEA9347">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b/>
                <w:bCs/>
                <w:color w:val="000000"/>
                <w:sz w:val="20"/>
                <w:szCs w:val="20"/>
              </w:rPr>
            </w:pPr>
            <w:r>
              <w:rPr>
                <w:rFonts w:hint="eastAsia" w:ascii="华文细黑" w:hAnsi="华文细黑" w:eastAsia="华文细黑" w:cs="华文细黑"/>
                <w:b/>
                <w:bCs/>
                <w:i w:val="0"/>
                <w:iCs w:val="0"/>
                <w:color w:val="000000"/>
                <w:kern w:val="0"/>
                <w:sz w:val="20"/>
                <w:szCs w:val="20"/>
                <w:u w:val="none"/>
                <w:lang w:val="en-US" w:eastAsia="zh-CN" w:bidi="ar"/>
              </w:rPr>
              <w:t>成本估算</w:t>
            </w:r>
          </w:p>
        </w:tc>
        <w:tc>
          <w:tcPr>
            <w:tcW w:w="1077"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1695D8C2">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59.02</w:t>
            </w:r>
          </w:p>
        </w:tc>
        <w:tc>
          <w:tcPr>
            <w:tcW w:w="1200"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1F151F3">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82.63</w:t>
            </w:r>
          </w:p>
        </w:tc>
        <w:tc>
          <w:tcPr>
            <w:tcW w:w="1200"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64482D1C">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149"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123CC40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51"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CE2BBF3">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34"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53D49C6E">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34"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14CF2784">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r>
      <w:tr w14:paraId="4D947E32">
        <w:tblPrEx>
          <w:tblCellMar>
            <w:top w:w="0" w:type="dxa"/>
            <w:left w:w="108" w:type="dxa"/>
            <w:bottom w:w="0" w:type="dxa"/>
            <w:right w:w="108" w:type="dxa"/>
          </w:tblCellMar>
        </w:tblPrEx>
        <w:trPr>
          <w:trHeight w:val="302" w:hRule="atLeast"/>
          <w:jc w:val="center"/>
        </w:trPr>
        <w:tc>
          <w:tcPr>
            <w:tcW w:w="16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C535AF8">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水电费</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bottom"/>
          </w:tcPr>
          <w:p w14:paraId="4A10DB40">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34.02</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bottom"/>
          </w:tcPr>
          <w:p w14:paraId="7093DC24">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47.63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bottom"/>
          </w:tcPr>
          <w:p w14:paraId="54613184">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bottom"/>
          </w:tcPr>
          <w:p w14:paraId="5E3510A9">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bottom"/>
          </w:tcPr>
          <w:p w14:paraId="0E02AC99">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bottom"/>
          </w:tcPr>
          <w:p w14:paraId="5168079C">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bottom"/>
          </w:tcPr>
          <w:p w14:paraId="43B60983">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r>
      <w:tr w14:paraId="0073D6D2">
        <w:tblPrEx>
          <w:tblCellMar>
            <w:top w:w="0" w:type="dxa"/>
            <w:left w:w="108" w:type="dxa"/>
            <w:bottom w:w="0" w:type="dxa"/>
            <w:right w:w="108" w:type="dxa"/>
          </w:tblCellMar>
        </w:tblPrEx>
        <w:trPr>
          <w:trHeight w:val="302" w:hRule="atLeast"/>
          <w:jc w:val="center"/>
        </w:trPr>
        <w:tc>
          <w:tcPr>
            <w:tcW w:w="166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072B19F">
            <w:pPr>
              <w:keepNext w:val="0"/>
              <w:keepLines w:val="0"/>
              <w:widowControl/>
              <w:suppressLineNumbers w:val="0"/>
              <w:spacing w:before="0" w:beforeAutospacing="0" w:after="0" w:afterAutospacing="0"/>
              <w:ind w:left="0" w:right="0"/>
              <w:jc w:val="left"/>
              <w:textAlignment w:val="bottom"/>
              <w:rPr>
                <w:rFonts w:hint="eastAsia" w:ascii="华文细黑" w:hAnsi="华文细黑" w:eastAsia="华文细黑" w:cs="华文细黑"/>
                <w:color w:val="000000"/>
                <w:kern w:val="0"/>
                <w:sz w:val="20"/>
                <w:szCs w:val="20"/>
                <w:lang w:bidi="ar"/>
              </w:rPr>
            </w:pPr>
            <w:r>
              <w:rPr>
                <w:rFonts w:hint="eastAsia" w:ascii="华文细黑" w:hAnsi="华文细黑" w:eastAsia="华文细黑" w:cs="华文细黑"/>
                <w:i w:val="0"/>
                <w:iCs w:val="0"/>
                <w:color w:val="000000"/>
                <w:kern w:val="0"/>
                <w:sz w:val="20"/>
                <w:szCs w:val="20"/>
                <w:u w:val="none"/>
                <w:lang w:val="en-US" w:eastAsia="zh-CN" w:bidi="ar"/>
              </w:rPr>
              <w:t>伙食费成本</w:t>
            </w:r>
          </w:p>
        </w:tc>
        <w:tc>
          <w:tcPr>
            <w:tcW w:w="1077" w:type="dxa"/>
            <w:tcBorders>
              <w:top w:val="single" w:color="auto" w:sz="4" w:space="0"/>
              <w:left w:val="single" w:color="auto" w:sz="4" w:space="0"/>
              <w:bottom w:val="single" w:color="auto" w:sz="4" w:space="0"/>
              <w:right w:val="single" w:color="auto" w:sz="4" w:space="0"/>
            </w:tcBorders>
            <w:shd w:val="clear" w:color="auto" w:fill="auto"/>
            <w:vAlign w:val="bottom"/>
          </w:tcPr>
          <w:p w14:paraId="6A363D6D">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25</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bottom"/>
          </w:tcPr>
          <w:p w14:paraId="01E993EE">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35</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bottom"/>
          </w:tcPr>
          <w:p w14:paraId="75001EE6">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bottom"/>
          </w:tcPr>
          <w:p w14:paraId="1B0423D6">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bottom"/>
          </w:tcPr>
          <w:p w14:paraId="7DC766E7">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bottom"/>
          </w:tcPr>
          <w:p w14:paraId="40E7377D">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bottom"/>
          </w:tcPr>
          <w:p w14:paraId="243EB526">
            <w:pPr>
              <w:keepNext w:val="0"/>
              <w:keepLines w:val="0"/>
              <w:widowControl/>
              <w:suppressLineNumbers w:val="0"/>
              <w:spacing w:before="0" w:beforeAutospacing="0" w:after="0" w:afterAutospacing="0"/>
              <w:ind w:left="0" w:right="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r>
    </w:tbl>
    <w:p w14:paraId="199EAEDF">
      <w:pPr>
        <w:spacing w:line="259" w:lineRule="auto"/>
        <w:ind w:right="-431"/>
        <w:jc w:val="left"/>
        <w:rPr>
          <w:rFonts w:hint="eastAsia" w:ascii="Verdana" w:hAnsi="Verdana" w:eastAsia="华文细黑"/>
          <w:sz w:val="20"/>
          <w:szCs w:val="20"/>
          <w:lang w:val="en-US" w:eastAsia="zh-CN"/>
        </w:rPr>
      </w:pPr>
      <w:r>
        <w:rPr>
          <w:rFonts w:hint="eastAsia" w:ascii="Verdana" w:hAnsi="Verdana" w:eastAsia="华文细黑"/>
          <w:sz w:val="20"/>
          <w:szCs w:val="20"/>
          <w:lang w:val="en-US" w:eastAsia="zh-CN"/>
        </w:rPr>
        <w:t>续上表</w:t>
      </w:r>
    </w:p>
    <w:tbl>
      <w:tblPr>
        <w:tblStyle w:val="15"/>
        <w:tblW w:w="10178" w:type="dxa"/>
        <w:jc w:val="center"/>
        <w:tblLayout w:type="fixed"/>
        <w:tblCellMar>
          <w:top w:w="0" w:type="dxa"/>
          <w:left w:w="108" w:type="dxa"/>
          <w:bottom w:w="0" w:type="dxa"/>
          <w:right w:w="108" w:type="dxa"/>
        </w:tblCellMar>
      </w:tblPr>
      <w:tblGrid>
        <w:gridCol w:w="1702"/>
        <w:gridCol w:w="1183"/>
        <w:gridCol w:w="1180"/>
        <w:gridCol w:w="1219"/>
        <w:gridCol w:w="1192"/>
        <w:gridCol w:w="1208"/>
        <w:gridCol w:w="1247"/>
        <w:gridCol w:w="1247"/>
      </w:tblGrid>
      <w:tr w14:paraId="10D6E8CA">
        <w:tblPrEx>
          <w:tblCellMar>
            <w:top w:w="0" w:type="dxa"/>
            <w:left w:w="108" w:type="dxa"/>
            <w:bottom w:w="0" w:type="dxa"/>
            <w:right w:w="108" w:type="dxa"/>
          </w:tblCellMar>
        </w:tblPrEx>
        <w:trPr>
          <w:trHeight w:val="300" w:hRule="atLeast"/>
          <w:tblHeader/>
          <w:jc w:val="center"/>
        </w:trPr>
        <w:tc>
          <w:tcPr>
            <w:tcW w:w="1702" w:type="dxa"/>
            <w:tcBorders>
              <w:top w:val="single" w:color="auto" w:sz="8" w:space="0"/>
              <w:left w:val="single" w:color="auto" w:sz="8" w:space="0"/>
              <w:bottom w:val="single" w:color="auto" w:sz="8" w:space="0"/>
              <w:right w:val="single" w:color="auto" w:sz="8" w:space="0"/>
            </w:tcBorders>
            <w:shd w:val="clear" w:color="auto" w:fill="0070C0"/>
            <w:noWrap/>
            <w:vAlign w:val="bottom"/>
          </w:tcPr>
          <w:p w14:paraId="6860306E">
            <w:pPr>
              <w:keepNext w:val="0"/>
              <w:keepLines w:val="0"/>
              <w:widowControl/>
              <w:suppressLineNumbers w:val="0"/>
              <w:spacing w:before="0" w:beforeAutospacing="0" w:after="0" w:afterAutospacing="0"/>
              <w:ind w:left="0" w:right="0"/>
              <w:jc w:val="center"/>
              <w:textAlignment w:val="bottom"/>
              <w:rPr>
                <w:rFonts w:hint="default" w:ascii="华文细黑" w:hAnsi="华文细黑" w:eastAsia="华文细黑" w:cs="Arial"/>
                <w:b/>
                <w:bCs/>
                <w:color w:val="FFFFFF"/>
                <w:sz w:val="20"/>
                <w:szCs w:val="20"/>
              </w:rPr>
            </w:pPr>
            <w:r>
              <w:rPr>
                <w:rFonts w:hint="eastAsia" w:ascii="华文细黑" w:hAnsi="华文细黑" w:eastAsia="华文细黑" w:cs="华文细黑"/>
                <w:b/>
                <w:bCs/>
                <w:i w:val="0"/>
                <w:iCs w:val="0"/>
                <w:color w:val="FFFFFF"/>
                <w:kern w:val="0"/>
                <w:sz w:val="20"/>
                <w:szCs w:val="20"/>
                <w:u w:val="none"/>
                <w:lang w:val="en-US" w:eastAsia="zh-CN" w:bidi="ar"/>
              </w:rPr>
              <w:t>年份</w:t>
            </w:r>
            <w:r>
              <w:rPr>
                <w:rFonts w:hint="default" w:ascii="Verdana" w:hAnsi="Verdana" w:eastAsia="华文细黑" w:cs="Verdana"/>
                <w:b/>
                <w:bCs/>
                <w:i w:val="0"/>
                <w:iCs w:val="0"/>
                <w:color w:val="FFFFFF"/>
                <w:kern w:val="0"/>
                <w:sz w:val="20"/>
                <w:szCs w:val="20"/>
                <w:u w:val="none"/>
                <w:lang w:val="en-US" w:eastAsia="zh-CN" w:bidi="ar"/>
              </w:rPr>
              <w:t>/</w:t>
            </w:r>
            <w:r>
              <w:rPr>
                <w:rFonts w:hint="eastAsia" w:ascii="华文细黑" w:hAnsi="华文细黑" w:eastAsia="华文细黑" w:cs="华文细黑"/>
                <w:b/>
                <w:bCs/>
                <w:i w:val="0"/>
                <w:iCs w:val="0"/>
                <w:color w:val="FFFFFF"/>
                <w:kern w:val="0"/>
                <w:sz w:val="20"/>
                <w:szCs w:val="20"/>
                <w:u w:val="none"/>
                <w:lang w:val="en-US" w:eastAsia="zh-CN" w:bidi="ar"/>
              </w:rPr>
              <w:t>项目</w:t>
            </w:r>
          </w:p>
        </w:tc>
        <w:tc>
          <w:tcPr>
            <w:tcW w:w="1183" w:type="dxa"/>
            <w:tcBorders>
              <w:top w:val="single" w:color="auto" w:sz="8" w:space="0"/>
              <w:left w:val="nil"/>
              <w:bottom w:val="single" w:color="auto" w:sz="8" w:space="0"/>
              <w:right w:val="single" w:color="auto" w:sz="8" w:space="0"/>
            </w:tcBorders>
            <w:shd w:val="clear" w:color="auto" w:fill="0070C0"/>
            <w:noWrap/>
            <w:vAlign w:val="bottom"/>
          </w:tcPr>
          <w:p w14:paraId="378C7743">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203</w:t>
            </w:r>
            <w:r>
              <w:rPr>
                <w:rFonts w:hint="eastAsia" w:ascii="Verdana" w:hAnsi="Verdana" w:cs="Verdana"/>
                <w:b/>
                <w:bCs/>
                <w:i w:val="0"/>
                <w:iCs w:val="0"/>
                <w:color w:val="FFFFFF"/>
                <w:kern w:val="0"/>
                <w:sz w:val="20"/>
                <w:szCs w:val="20"/>
                <w:u w:val="none"/>
                <w:lang w:val="en-US" w:eastAsia="zh-CN" w:bidi="ar"/>
              </w:rPr>
              <w:t>4</w:t>
            </w:r>
          </w:p>
        </w:tc>
        <w:tc>
          <w:tcPr>
            <w:tcW w:w="1180" w:type="dxa"/>
            <w:tcBorders>
              <w:top w:val="single" w:color="auto" w:sz="8" w:space="0"/>
              <w:left w:val="nil"/>
              <w:bottom w:val="single" w:color="auto" w:sz="8" w:space="0"/>
              <w:right w:val="single" w:color="auto" w:sz="8" w:space="0"/>
            </w:tcBorders>
            <w:shd w:val="clear" w:color="auto" w:fill="0070C0"/>
            <w:noWrap/>
            <w:vAlign w:val="bottom"/>
          </w:tcPr>
          <w:p w14:paraId="4306E218">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203</w:t>
            </w:r>
            <w:r>
              <w:rPr>
                <w:rFonts w:hint="eastAsia" w:ascii="Verdana" w:hAnsi="Verdana" w:cs="Verdana"/>
                <w:b/>
                <w:bCs/>
                <w:i w:val="0"/>
                <w:iCs w:val="0"/>
                <w:color w:val="FFFFFF"/>
                <w:kern w:val="0"/>
                <w:sz w:val="20"/>
                <w:szCs w:val="20"/>
                <w:u w:val="none"/>
                <w:lang w:val="en-US" w:eastAsia="zh-CN" w:bidi="ar"/>
              </w:rPr>
              <w:t>5</w:t>
            </w:r>
          </w:p>
        </w:tc>
        <w:tc>
          <w:tcPr>
            <w:tcW w:w="1219" w:type="dxa"/>
            <w:tcBorders>
              <w:top w:val="single" w:color="auto" w:sz="8" w:space="0"/>
              <w:left w:val="nil"/>
              <w:bottom w:val="single" w:color="auto" w:sz="8" w:space="0"/>
              <w:right w:val="single" w:color="auto" w:sz="8" w:space="0"/>
            </w:tcBorders>
            <w:shd w:val="clear" w:color="auto" w:fill="0070C0"/>
            <w:noWrap/>
            <w:vAlign w:val="bottom"/>
          </w:tcPr>
          <w:p w14:paraId="1DD8C83D">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203</w:t>
            </w:r>
            <w:r>
              <w:rPr>
                <w:rFonts w:hint="eastAsia" w:ascii="Verdana" w:hAnsi="Verdana" w:cs="Verdana"/>
                <w:b/>
                <w:bCs/>
                <w:i w:val="0"/>
                <w:iCs w:val="0"/>
                <w:color w:val="FFFFFF"/>
                <w:kern w:val="0"/>
                <w:sz w:val="20"/>
                <w:szCs w:val="20"/>
                <w:u w:val="none"/>
                <w:lang w:val="en-US" w:eastAsia="zh-CN" w:bidi="ar"/>
              </w:rPr>
              <w:t>6</w:t>
            </w:r>
          </w:p>
        </w:tc>
        <w:tc>
          <w:tcPr>
            <w:tcW w:w="1192" w:type="dxa"/>
            <w:tcBorders>
              <w:top w:val="single" w:color="auto" w:sz="8" w:space="0"/>
              <w:left w:val="nil"/>
              <w:bottom w:val="single" w:color="auto" w:sz="8" w:space="0"/>
              <w:right w:val="single" w:color="auto" w:sz="8" w:space="0"/>
            </w:tcBorders>
            <w:shd w:val="clear" w:color="auto" w:fill="0070C0"/>
            <w:noWrap/>
            <w:vAlign w:val="bottom"/>
          </w:tcPr>
          <w:p w14:paraId="5364E5A2">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203</w:t>
            </w:r>
            <w:r>
              <w:rPr>
                <w:rFonts w:hint="eastAsia" w:ascii="Verdana" w:hAnsi="Verdana" w:cs="Verdana"/>
                <w:b/>
                <w:bCs/>
                <w:i w:val="0"/>
                <w:iCs w:val="0"/>
                <w:color w:val="FFFFFF"/>
                <w:kern w:val="0"/>
                <w:sz w:val="20"/>
                <w:szCs w:val="20"/>
                <w:u w:val="none"/>
                <w:lang w:val="en-US" w:eastAsia="zh-CN" w:bidi="ar"/>
              </w:rPr>
              <w:t>7</w:t>
            </w:r>
          </w:p>
        </w:tc>
        <w:tc>
          <w:tcPr>
            <w:tcW w:w="1208" w:type="dxa"/>
            <w:tcBorders>
              <w:top w:val="single" w:color="auto" w:sz="8" w:space="0"/>
              <w:left w:val="nil"/>
              <w:bottom w:val="single" w:color="auto" w:sz="8" w:space="0"/>
              <w:right w:val="single" w:color="auto" w:sz="8" w:space="0"/>
            </w:tcBorders>
            <w:shd w:val="clear" w:color="auto" w:fill="0070C0"/>
            <w:noWrap/>
            <w:vAlign w:val="bottom"/>
          </w:tcPr>
          <w:p w14:paraId="098F2622">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203</w:t>
            </w:r>
            <w:r>
              <w:rPr>
                <w:rFonts w:hint="eastAsia" w:ascii="Verdana" w:hAnsi="Verdana" w:cs="Verdana"/>
                <w:b/>
                <w:bCs/>
                <w:i w:val="0"/>
                <w:iCs w:val="0"/>
                <w:color w:val="FFFFFF"/>
                <w:kern w:val="0"/>
                <w:sz w:val="20"/>
                <w:szCs w:val="20"/>
                <w:u w:val="none"/>
                <w:lang w:val="en-US" w:eastAsia="zh-CN" w:bidi="ar"/>
              </w:rPr>
              <w:t>8</w:t>
            </w:r>
          </w:p>
        </w:tc>
        <w:tc>
          <w:tcPr>
            <w:tcW w:w="1247" w:type="dxa"/>
            <w:tcBorders>
              <w:top w:val="single" w:color="auto" w:sz="8" w:space="0"/>
              <w:left w:val="nil"/>
              <w:bottom w:val="single" w:color="auto" w:sz="8" w:space="0"/>
              <w:right w:val="single" w:color="auto" w:sz="8" w:space="0"/>
            </w:tcBorders>
            <w:shd w:val="clear" w:color="auto" w:fill="0070C0"/>
            <w:noWrap/>
            <w:vAlign w:val="bottom"/>
          </w:tcPr>
          <w:p w14:paraId="6DCD9A40">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203</w:t>
            </w:r>
            <w:r>
              <w:rPr>
                <w:rFonts w:hint="eastAsia" w:ascii="Verdana" w:hAnsi="Verdana" w:cs="Verdana"/>
                <w:b/>
                <w:bCs/>
                <w:i w:val="0"/>
                <w:iCs w:val="0"/>
                <w:color w:val="FFFFFF"/>
                <w:kern w:val="0"/>
                <w:sz w:val="20"/>
                <w:szCs w:val="20"/>
                <w:u w:val="none"/>
                <w:lang w:val="en-US" w:eastAsia="zh-CN" w:bidi="ar"/>
              </w:rPr>
              <w:t>9</w:t>
            </w:r>
          </w:p>
        </w:tc>
        <w:tc>
          <w:tcPr>
            <w:tcW w:w="1247" w:type="dxa"/>
            <w:tcBorders>
              <w:top w:val="single" w:color="auto" w:sz="8" w:space="0"/>
              <w:left w:val="nil"/>
              <w:bottom w:val="single" w:color="auto" w:sz="8" w:space="0"/>
              <w:right w:val="single" w:color="auto" w:sz="8" w:space="0"/>
            </w:tcBorders>
            <w:shd w:val="clear" w:color="auto" w:fill="0070C0"/>
            <w:noWrap/>
            <w:vAlign w:val="bottom"/>
          </w:tcPr>
          <w:p w14:paraId="4F8E7DA3">
            <w:pPr>
              <w:keepNext w:val="0"/>
              <w:keepLines w:val="0"/>
              <w:widowControl/>
              <w:suppressLineNumbers w:val="0"/>
              <w:spacing w:before="0" w:beforeAutospacing="0" w:after="0" w:afterAutospacing="0"/>
              <w:ind w:left="0" w:right="0"/>
              <w:jc w:val="center"/>
              <w:textAlignment w:val="bottom"/>
              <w:rPr>
                <w:rFonts w:hint="default" w:ascii="Verdana" w:hAnsi="Verdana" w:eastAsia="宋体" w:cs="Verdana"/>
                <w:b/>
                <w:bCs/>
                <w:i w:val="0"/>
                <w:iCs w:val="0"/>
                <w:color w:val="FFFFFF"/>
                <w:kern w:val="0"/>
                <w:sz w:val="20"/>
                <w:szCs w:val="20"/>
                <w:u w:val="none"/>
                <w:lang w:val="en-US" w:eastAsia="zh-CN" w:bidi="ar"/>
              </w:rPr>
            </w:pPr>
            <w:r>
              <w:rPr>
                <w:rFonts w:hint="eastAsia" w:ascii="Verdana" w:hAnsi="Verdana" w:cs="Verdana"/>
                <w:b/>
                <w:bCs/>
                <w:i w:val="0"/>
                <w:iCs w:val="0"/>
                <w:color w:val="FFFFFF"/>
                <w:kern w:val="0"/>
                <w:sz w:val="20"/>
                <w:szCs w:val="20"/>
                <w:u w:val="none"/>
                <w:lang w:val="en-US" w:eastAsia="zh-CN" w:bidi="ar"/>
              </w:rPr>
              <w:t>2040</w:t>
            </w:r>
          </w:p>
        </w:tc>
      </w:tr>
      <w:tr w14:paraId="1813BF37">
        <w:tblPrEx>
          <w:tblCellMar>
            <w:top w:w="0" w:type="dxa"/>
            <w:left w:w="108" w:type="dxa"/>
            <w:bottom w:w="0" w:type="dxa"/>
            <w:right w:w="108" w:type="dxa"/>
          </w:tblCellMar>
        </w:tblPrEx>
        <w:trPr>
          <w:trHeight w:val="381" w:hRule="atLeast"/>
          <w:jc w:val="center"/>
        </w:trPr>
        <w:tc>
          <w:tcPr>
            <w:tcW w:w="1702" w:type="dxa"/>
            <w:tcBorders>
              <w:top w:val="nil"/>
              <w:left w:val="single" w:color="auto" w:sz="8" w:space="0"/>
              <w:bottom w:val="single" w:color="auto" w:sz="8" w:space="0"/>
              <w:right w:val="single" w:color="auto" w:sz="8" w:space="0"/>
            </w:tcBorders>
            <w:shd w:val="clear" w:color="auto" w:fill="D3DFEE"/>
            <w:noWrap/>
            <w:vAlign w:val="bottom"/>
          </w:tcPr>
          <w:p w14:paraId="2B458A99">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b/>
                <w:bCs/>
                <w:color w:val="000000"/>
                <w:sz w:val="20"/>
                <w:szCs w:val="20"/>
              </w:rPr>
            </w:pPr>
            <w:r>
              <w:rPr>
                <w:rFonts w:hint="eastAsia" w:ascii="华文细黑" w:hAnsi="华文细黑" w:eastAsia="华文细黑" w:cs="华文细黑"/>
                <w:b/>
                <w:bCs/>
                <w:i w:val="0"/>
                <w:iCs w:val="0"/>
                <w:color w:val="000000"/>
                <w:kern w:val="0"/>
                <w:sz w:val="20"/>
                <w:szCs w:val="20"/>
                <w:u w:val="none"/>
                <w:lang w:val="en-US" w:eastAsia="zh-CN" w:bidi="ar"/>
              </w:rPr>
              <w:t>收入估算</w:t>
            </w:r>
          </w:p>
        </w:tc>
        <w:tc>
          <w:tcPr>
            <w:tcW w:w="1183" w:type="dxa"/>
            <w:tcBorders>
              <w:top w:val="nil"/>
              <w:left w:val="nil"/>
              <w:bottom w:val="single" w:color="auto" w:sz="8" w:space="0"/>
              <w:right w:val="single" w:color="auto" w:sz="8" w:space="0"/>
            </w:tcBorders>
            <w:shd w:val="clear" w:color="auto" w:fill="D3DFEE"/>
            <w:noWrap/>
            <w:vAlign w:val="bottom"/>
          </w:tcPr>
          <w:p w14:paraId="3D83F21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180" w:type="dxa"/>
            <w:tcBorders>
              <w:top w:val="nil"/>
              <w:left w:val="nil"/>
              <w:bottom w:val="single" w:color="auto" w:sz="8" w:space="0"/>
              <w:right w:val="single" w:color="auto" w:sz="8" w:space="0"/>
            </w:tcBorders>
            <w:shd w:val="clear" w:color="auto" w:fill="D3DFEE"/>
            <w:noWrap/>
            <w:vAlign w:val="bottom"/>
          </w:tcPr>
          <w:p w14:paraId="4C07C0A0">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19" w:type="dxa"/>
            <w:tcBorders>
              <w:top w:val="nil"/>
              <w:left w:val="nil"/>
              <w:bottom w:val="single" w:color="auto" w:sz="8" w:space="0"/>
              <w:right w:val="single" w:color="auto" w:sz="8" w:space="0"/>
            </w:tcBorders>
            <w:shd w:val="clear" w:color="auto" w:fill="D3DFEE"/>
            <w:noWrap/>
            <w:vAlign w:val="bottom"/>
          </w:tcPr>
          <w:p w14:paraId="10AC66FF">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192" w:type="dxa"/>
            <w:tcBorders>
              <w:top w:val="nil"/>
              <w:left w:val="nil"/>
              <w:bottom w:val="single" w:color="auto" w:sz="8" w:space="0"/>
              <w:right w:val="single" w:color="auto" w:sz="8" w:space="0"/>
            </w:tcBorders>
            <w:shd w:val="clear" w:color="auto" w:fill="D3DFEE"/>
            <w:noWrap/>
            <w:vAlign w:val="bottom"/>
          </w:tcPr>
          <w:p w14:paraId="24D33ED4">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08" w:type="dxa"/>
            <w:tcBorders>
              <w:top w:val="nil"/>
              <w:left w:val="nil"/>
              <w:bottom w:val="single" w:color="auto" w:sz="8" w:space="0"/>
              <w:right w:val="single" w:color="auto" w:sz="8" w:space="0"/>
            </w:tcBorders>
            <w:shd w:val="clear" w:color="auto" w:fill="D3DFEE"/>
            <w:noWrap/>
            <w:vAlign w:val="bottom"/>
          </w:tcPr>
          <w:p w14:paraId="06BFEA5F">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47" w:type="dxa"/>
            <w:tcBorders>
              <w:top w:val="nil"/>
              <w:left w:val="nil"/>
              <w:bottom w:val="single" w:color="auto" w:sz="8" w:space="0"/>
              <w:right w:val="single" w:color="auto" w:sz="8" w:space="0"/>
            </w:tcBorders>
            <w:shd w:val="clear" w:color="auto" w:fill="D3DFEE"/>
            <w:noWrap/>
            <w:vAlign w:val="bottom"/>
          </w:tcPr>
          <w:p w14:paraId="6E67496D">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47" w:type="dxa"/>
            <w:tcBorders>
              <w:top w:val="nil"/>
              <w:left w:val="nil"/>
              <w:bottom w:val="single" w:color="auto" w:sz="8" w:space="0"/>
              <w:right w:val="single" w:color="auto" w:sz="8" w:space="0"/>
            </w:tcBorders>
            <w:shd w:val="clear" w:color="auto" w:fill="D3DFEE"/>
            <w:noWrap/>
            <w:vAlign w:val="bottom"/>
          </w:tcPr>
          <w:p w14:paraId="781C74DF">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r>
      <w:tr w14:paraId="51980FE2">
        <w:tblPrEx>
          <w:tblCellMar>
            <w:top w:w="0" w:type="dxa"/>
            <w:left w:w="108" w:type="dxa"/>
            <w:bottom w:w="0" w:type="dxa"/>
            <w:right w:w="108" w:type="dxa"/>
          </w:tblCellMar>
        </w:tblPrEx>
        <w:trPr>
          <w:trHeight w:val="311" w:hRule="atLeast"/>
          <w:jc w:val="center"/>
        </w:trPr>
        <w:tc>
          <w:tcPr>
            <w:tcW w:w="1702" w:type="dxa"/>
            <w:tcBorders>
              <w:top w:val="nil"/>
              <w:left w:val="single" w:color="auto" w:sz="8" w:space="0"/>
              <w:bottom w:val="single" w:color="auto" w:sz="8" w:space="0"/>
              <w:right w:val="single" w:color="auto" w:sz="8" w:space="0"/>
            </w:tcBorders>
            <w:shd w:val="clear" w:color="auto" w:fill="auto"/>
            <w:noWrap/>
            <w:vAlign w:val="bottom"/>
          </w:tcPr>
          <w:p w14:paraId="2FC70508">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保教费收入</w:t>
            </w:r>
          </w:p>
        </w:tc>
        <w:tc>
          <w:tcPr>
            <w:tcW w:w="1183" w:type="dxa"/>
            <w:tcBorders>
              <w:top w:val="nil"/>
              <w:left w:val="nil"/>
              <w:bottom w:val="single" w:color="auto" w:sz="8" w:space="0"/>
              <w:right w:val="single" w:color="auto" w:sz="8" w:space="0"/>
            </w:tcBorders>
            <w:shd w:val="clear" w:color="auto" w:fill="auto"/>
            <w:vAlign w:val="bottom"/>
          </w:tcPr>
          <w:p w14:paraId="10744C2E">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180" w:type="dxa"/>
            <w:tcBorders>
              <w:top w:val="nil"/>
              <w:left w:val="nil"/>
              <w:bottom w:val="single" w:color="auto" w:sz="8" w:space="0"/>
              <w:right w:val="single" w:color="auto" w:sz="8" w:space="0"/>
            </w:tcBorders>
            <w:shd w:val="clear" w:color="auto" w:fill="auto"/>
            <w:vAlign w:val="bottom"/>
          </w:tcPr>
          <w:p w14:paraId="64203EA9">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19" w:type="dxa"/>
            <w:tcBorders>
              <w:top w:val="nil"/>
              <w:left w:val="nil"/>
              <w:bottom w:val="single" w:color="auto" w:sz="8" w:space="0"/>
              <w:right w:val="single" w:color="auto" w:sz="8" w:space="0"/>
            </w:tcBorders>
            <w:shd w:val="clear" w:color="auto" w:fill="auto"/>
            <w:vAlign w:val="bottom"/>
          </w:tcPr>
          <w:p w14:paraId="316E4E6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192" w:type="dxa"/>
            <w:tcBorders>
              <w:top w:val="nil"/>
              <w:left w:val="nil"/>
              <w:bottom w:val="single" w:color="auto" w:sz="8" w:space="0"/>
              <w:right w:val="single" w:color="auto" w:sz="8" w:space="0"/>
            </w:tcBorders>
            <w:shd w:val="clear" w:color="auto" w:fill="auto"/>
            <w:vAlign w:val="bottom"/>
          </w:tcPr>
          <w:p w14:paraId="2A924147">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08" w:type="dxa"/>
            <w:tcBorders>
              <w:top w:val="nil"/>
              <w:left w:val="nil"/>
              <w:bottom w:val="single" w:color="auto" w:sz="8" w:space="0"/>
              <w:right w:val="single" w:color="auto" w:sz="8" w:space="0"/>
            </w:tcBorders>
            <w:shd w:val="clear" w:color="auto" w:fill="auto"/>
            <w:vAlign w:val="bottom"/>
          </w:tcPr>
          <w:p w14:paraId="438693F4">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47" w:type="dxa"/>
            <w:tcBorders>
              <w:top w:val="nil"/>
              <w:left w:val="nil"/>
              <w:bottom w:val="single" w:color="auto" w:sz="8" w:space="0"/>
              <w:right w:val="single" w:color="auto" w:sz="8" w:space="0"/>
            </w:tcBorders>
            <w:shd w:val="clear" w:color="auto" w:fill="auto"/>
            <w:vAlign w:val="bottom"/>
          </w:tcPr>
          <w:p w14:paraId="64AF7143">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47" w:type="dxa"/>
            <w:tcBorders>
              <w:top w:val="nil"/>
              <w:left w:val="nil"/>
              <w:bottom w:val="single" w:color="auto" w:sz="8" w:space="0"/>
              <w:right w:val="single" w:color="auto" w:sz="8" w:space="0"/>
            </w:tcBorders>
            <w:shd w:val="clear" w:color="auto" w:fill="auto"/>
            <w:vAlign w:val="bottom"/>
          </w:tcPr>
          <w:p w14:paraId="7BBB9F49">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r>
      <w:tr w14:paraId="28650E71">
        <w:tblPrEx>
          <w:tblCellMar>
            <w:top w:w="0" w:type="dxa"/>
            <w:left w:w="108" w:type="dxa"/>
            <w:bottom w:w="0" w:type="dxa"/>
            <w:right w:w="108" w:type="dxa"/>
          </w:tblCellMar>
        </w:tblPrEx>
        <w:trPr>
          <w:trHeight w:val="311" w:hRule="atLeast"/>
          <w:jc w:val="center"/>
        </w:trPr>
        <w:tc>
          <w:tcPr>
            <w:tcW w:w="1702" w:type="dxa"/>
            <w:tcBorders>
              <w:top w:val="nil"/>
              <w:left w:val="single" w:color="auto" w:sz="8" w:space="0"/>
              <w:bottom w:val="single" w:color="auto" w:sz="8" w:space="0"/>
              <w:right w:val="single" w:color="auto" w:sz="8" w:space="0"/>
            </w:tcBorders>
            <w:shd w:val="clear" w:color="auto" w:fill="auto"/>
            <w:noWrap/>
            <w:vAlign w:val="bottom"/>
          </w:tcPr>
          <w:p w14:paraId="17CFC5ED">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伙食费收入</w:t>
            </w:r>
          </w:p>
        </w:tc>
        <w:tc>
          <w:tcPr>
            <w:tcW w:w="1183" w:type="dxa"/>
            <w:tcBorders>
              <w:top w:val="nil"/>
              <w:left w:val="nil"/>
              <w:bottom w:val="single" w:color="auto" w:sz="8" w:space="0"/>
              <w:right w:val="single" w:color="auto" w:sz="8" w:space="0"/>
            </w:tcBorders>
            <w:shd w:val="clear" w:color="auto" w:fill="auto"/>
            <w:vAlign w:val="bottom"/>
          </w:tcPr>
          <w:p w14:paraId="199E875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180" w:type="dxa"/>
            <w:tcBorders>
              <w:top w:val="nil"/>
              <w:left w:val="nil"/>
              <w:bottom w:val="single" w:color="auto" w:sz="8" w:space="0"/>
              <w:right w:val="single" w:color="auto" w:sz="8" w:space="0"/>
            </w:tcBorders>
            <w:shd w:val="clear" w:color="auto" w:fill="auto"/>
            <w:vAlign w:val="bottom"/>
          </w:tcPr>
          <w:p w14:paraId="75645C5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19" w:type="dxa"/>
            <w:tcBorders>
              <w:top w:val="nil"/>
              <w:left w:val="nil"/>
              <w:bottom w:val="single" w:color="auto" w:sz="8" w:space="0"/>
              <w:right w:val="single" w:color="auto" w:sz="8" w:space="0"/>
            </w:tcBorders>
            <w:shd w:val="clear" w:color="auto" w:fill="auto"/>
            <w:vAlign w:val="bottom"/>
          </w:tcPr>
          <w:p w14:paraId="2270FEFE">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192" w:type="dxa"/>
            <w:tcBorders>
              <w:top w:val="nil"/>
              <w:left w:val="nil"/>
              <w:bottom w:val="single" w:color="auto" w:sz="8" w:space="0"/>
              <w:right w:val="single" w:color="auto" w:sz="8" w:space="0"/>
            </w:tcBorders>
            <w:shd w:val="clear" w:color="auto" w:fill="auto"/>
            <w:vAlign w:val="bottom"/>
          </w:tcPr>
          <w:p w14:paraId="5B8A9B1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08" w:type="dxa"/>
            <w:tcBorders>
              <w:top w:val="nil"/>
              <w:left w:val="nil"/>
              <w:bottom w:val="single" w:color="auto" w:sz="8" w:space="0"/>
              <w:right w:val="single" w:color="auto" w:sz="8" w:space="0"/>
            </w:tcBorders>
            <w:shd w:val="clear" w:color="auto" w:fill="auto"/>
            <w:vAlign w:val="bottom"/>
          </w:tcPr>
          <w:p w14:paraId="27F2934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47" w:type="dxa"/>
            <w:tcBorders>
              <w:top w:val="nil"/>
              <w:left w:val="nil"/>
              <w:bottom w:val="single" w:color="auto" w:sz="8" w:space="0"/>
              <w:right w:val="single" w:color="auto" w:sz="8" w:space="0"/>
            </w:tcBorders>
            <w:shd w:val="clear" w:color="auto" w:fill="auto"/>
            <w:vAlign w:val="bottom"/>
          </w:tcPr>
          <w:p w14:paraId="1F2A035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47" w:type="dxa"/>
            <w:tcBorders>
              <w:top w:val="nil"/>
              <w:left w:val="nil"/>
              <w:bottom w:val="single" w:color="auto" w:sz="8" w:space="0"/>
              <w:right w:val="single" w:color="auto" w:sz="8" w:space="0"/>
            </w:tcBorders>
            <w:shd w:val="clear" w:color="auto" w:fill="auto"/>
            <w:vAlign w:val="bottom"/>
          </w:tcPr>
          <w:p w14:paraId="6D8F10A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r>
      <w:tr w14:paraId="47F96F3F">
        <w:tblPrEx>
          <w:tblCellMar>
            <w:top w:w="0" w:type="dxa"/>
            <w:left w:w="108" w:type="dxa"/>
            <w:bottom w:w="0" w:type="dxa"/>
            <w:right w:w="108" w:type="dxa"/>
          </w:tblCellMar>
        </w:tblPrEx>
        <w:trPr>
          <w:trHeight w:val="311" w:hRule="atLeast"/>
          <w:jc w:val="center"/>
        </w:trPr>
        <w:tc>
          <w:tcPr>
            <w:tcW w:w="1702" w:type="dxa"/>
            <w:tcBorders>
              <w:top w:val="nil"/>
              <w:left w:val="single" w:color="auto" w:sz="8" w:space="0"/>
              <w:bottom w:val="single" w:color="auto" w:sz="8" w:space="0"/>
              <w:right w:val="single" w:color="auto" w:sz="8" w:space="0"/>
            </w:tcBorders>
            <w:shd w:val="clear" w:color="auto" w:fill="auto"/>
            <w:noWrap/>
            <w:vAlign w:val="bottom"/>
          </w:tcPr>
          <w:p w14:paraId="02272979">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课后托管费收入</w:t>
            </w:r>
          </w:p>
        </w:tc>
        <w:tc>
          <w:tcPr>
            <w:tcW w:w="1183" w:type="dxa"/>
            <w:tcBorders>
              <w:top w:val="nil"/>
              <w:left w:val="nil"/>
              <w:bottom w:val="single" w:color="auto" w:sz="8" w:space="0"/>
              <w:right w:val="single" w:color="auto" w:sz="8" w:space="0"/>
            </w:tcBorders>
            <w:shd w:val="clear" w:color="auto" w:fill="auto"/>
            <w:vAlign w:val="bottom"/>
          </w:tcPr>
          <w:p w14:paraId="18B76F6C">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180" w:type="dxa"/>
            <w:tcBorders>
              <w:top w:val="nil"/>
              <w:left w:val="nil"/>
              <w:bottom w:val="single" w:color="auto" w:sz="8" w:space="0"/>
              <w:right w:val="single" w:color="auto" w:sz="8" w:space="0"/>
            </w:tcBorders>
            <w:shd w:val="clear" w:color="auto" w:fill="auto"/>
            <w:vAlign w:val="bottom"/>
          </w:tcPr>
          <w:p w14:paraId="755DC303">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19" w:type="dxa"/>
            <w:tcBorders>
              <w:top w:val="nil"/>
              <w:left w:val="nil"/>
              <w:bottom w:val="single" w:color="auto" w:sz="8" w:space="0"/>
              <w:right w:val="single" w:color="auto" w:sz="8" w:space="0"/>
            </w:tcBorders>
            <w:shd w:val="clear" w:color="auto" w:fill="auto"/>
            <w:vAlign w:val="bottom"/>
          </w:tcPr>
          <w:p w14:paraId="6443390B">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192" w:type="dxa"/>
            <w:tcBorders>
              <w:top w:val="nil"/>
              <w:left w:val="nil"/>
              <w:bottom w:val="single" w:color="auto" w:sz="8" w:space="0"/>
              <w:right w:val="single" w:color="auto" w:sz="8" w:space="0"/>
            </w:tcBorders>
            <w:shd w:val="clear" w:color="auto" w:fill="auto"/>
            <w:vAlign w:val="bottom"/>
          </w:tcPr>
          <w:p w14:paraId="688678C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08" w:type="dxa"/>
            <w:tcBorders>
              <w:top w:val="nil"/>
              <w:left w:val="nil"/>
              <w:bottom w:val="single" w:color="auto" w:sz="8" w:space="0"/>
              <w:right w:val="single" w:color="auto" w:sz="8" w:space="0"/>
            </w:tcBorders>
            <w:shd w:val="clear" w:color="auto" w:fill="auto"/>
            <w:vAlign w:val="bottom"/>
          </w:tcPr>
          <w:p w14:paraId="357C1AF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47" w:type="dxa"/>
            <w:tcBorders>
              <w:top w:val="nil"/>
              <w:left w:val="nil"/>
              <w:bottom w:val="single" w:color="auto" w:sz="8" w:space="0"/>
              <w:right w:val="single" w:color="auto" w:sz="8" w:space="0"/>
            </w:tcBorders>
            <w:shd w:val="clear" w:color="auto" w:fill="auto"/>
            <w:vAlign w:val="bottom"/>
          </w:tcPr>
          <w:p w14:paraId="48A2F1C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47" w:type="dxa"/>
            <w:tcBorders>
              <w:top w:val="nil"/>
              <w:left w:val="nil"/>
              <w:bottom w:val="single" w:color="auto" w:sz="8" w:space="0"/>
              <w:right w:val="single" w:color="auto" w:sz="8" w:space="0"/>
            </w:tcBorders>
            <w:shd w:val="clear" w:color="auto" w:fill="auto"/>
            <w:vAlign w:val="bottom"/>
          </w:tcPr>
          <w:p w14:paraId="02C68C2E">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r>
      <w:tr w14:paraId="4EDAA9CA">
        <w:tblPrEx>
          <w:tblCellMar>
            <w:top w:w="0" w:type="dxa"/>
            <w:left w:w="108" w:type="dxa"/>
            <w:bottom w:w="0" w:type="dxa"/>
            <w:right w:w="108" w:type="dxa"/>
          </w:tblCellMar>
        </w:tblPrEx>
        <w:trPr>
          <w:trHeight w:val="311" w:hRule="atLeast"/>
          <w:jc w:val="center"/>
        </w:trPr>
        <w:tc>
          <w:tcPr>
            <w:tcW w:w="1702" w:type="dxa"/>
            <w:tcBorders>
              <w:top w:val="nil"/>
              <w:left w:val="single" w:color="auto" w:sz="8" w:space="0"/>
              <w:bottom w:val="single" w:color="auto" w:sz="8" w:space="0"/>
              <w:right w:val="single" w:color="auto" w:sz="8" w:space="0"/>
            </w:tcBorders>
            <w:shd w:val="clear" w:color="auto" w:fill="auto"/>
            <w:noWrap/>
            <w:vAlign w:val="bottom"/>
          </w:tcPr>
          <w:p w14:paraId="4E1CFDFF">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住宿费收入</w:t>
            </w:r>
          </w:p>
        </w:tc>
        <w:tc>
          <w:tcPr>
            <w:tcW w:w="1183" w:type="dxa"/>
            <w:tcBorders>
              <w:top w:val="nil"/>
              <w:left w:val="nil"/>
              <w:bottom w:val="single" w:color="auto" w:sz="8" w:space="0"/>
              <w:right w:val="single" w:color="auto" w:sz="8" w:space="0"/>
            </w:tcBorders>
            <w:shd w:val="clear" w:color="auto" w:fill="auto"/>
            <w:vAlign w:val="bottom"/>
          </w:tcPr>
          <w:p w14:paraId="6B38638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180" w:type="dxa"/>
            <w:tcBorders>
              <w:top w:val="nil"/>
              <w:left w:val="nil"/>
              <w:bottom w:val="single" w:color="auto" w:sz="8" w:space="0"/>
              <w:right w:val="single" w:color="auto" w:sz="8" w:space="0"/>
            </w:tcBorders>
            <w:shd w:val="clear" w:color="auto" w:fill="auto"/>
            <w:vAlign w:val="bottom"/>
          </w:tcPr>
          <w:p w14:paraId="772783E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19" w:type="dxa"/>
            <w:tcBorders>
              <w:top w:val="nil"/>
              <w:left w:val="nil"/>
              <w:bottom w:val="single" w:color="auto" w:sz="8" w:space="0"/>
              <w:right w:val="single" w:color="auto" w:sz="8" w:space="0"/>
            </w:tcBorders>
            <w:shd w:val="clear" w:color="auto" w:fill="auto"/>
            <w:vAlign w:val="bottom"/>
          </w:tcPr>
          <w:p w14:paraId="382398A3">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192" w:type="dxa"/>
            <w:tcBorders>
              <w:top w:val="nil"/>
              <w:left w:val="nil"/>
              <w:bottom w:val="single" w:color="auto" w:sz="8" w:space="0"/>
              <w:right w:val="single" w:color="auto" w:sz="8" w:space="0"/>
            </w:tcBorders>
            <w:shd w:val="clear" w:color="auto" w:fill="auto"/>
            <w:vAlign w:val="bottom"/>
          </w:tcPr>
          <w:p w14:paraId="091AFB2C">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08" w:type="dxa"/>
            <w:tcBorders>
              <w:top w:val="nil"/>
              <w:left w:val="nil"/>
              <w:bottom w:val="single" w:color="auto" w:sz="8" w:space="0"/>
              <w:right w:val="single" w:color="auto" w:sz="8" w:space="0"/>
            </w:tcBorders>
            <w:shd w:val="clear" w:color="auto" w:fill="auto"/>
            <w:vAlign w:val="bottom"/>
          </w:tcPr>
          <w:p w14:paraId="2510BFE1">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47" w:type="dxa"/>
            <w:tcBorders>
              <w:top w:val="nil"/>
              <w:left w:val="nil"/>
              <w:bottom w:val="single" w:color="auto" w:sz="8" w:space="0"/>
              <w:right w:val="single" w:color="auto" w:sz="8" w:space="0"/>
            </w:tcBorders>
            <w:shd w:val="clear" w:color="auto" w:fill="auto"/>
            <w:vAlign w:val="bottom"/>
          </w:tcPr>
          <w:p w14:paraId="50E55DC3">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47" w:type="dxa"/>
            <w:tcBorders>
              <w:top w:val="nil"/>
              <w:left w:val="nil"/>
              <w:bottom w:val="single" w:color="auto" w:sz="8" w:space="0"/>
              <w:right w:val="single" w:color="auto" w:sz="8" w:space="0"/>
            </w:tcBorders>
            <w:shd w:val="clear" w:color="auto" w:fill="auto"/>
            <w:vAlign w:val="bottom"/>
          </w:tcPr>
          <w:p w14:paraId="70C2A10B">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r>
      <w:tr w14:paraId="16D6C480">
        <w:tblPrEx>
          <w:tblCellMar>
            <w:top w:w="0" w:type="dxa"/>
            <w:left w:w="108" w:type="dxa"/>
            <w:bottom w:w="0" w:type="dxa"/>
            <w:right w:w="108" w:type="dxa"/>
          </w:tblCellMar>
        </w:tblPrEx>
        <w:trPr>
          <w:trHeight w:val="302" w:hRule="atLeast"/>
          <w:jc w:val="center"/>
        </w:trPr>
        <w:tc>
          <w:tcPr>
            <w:tcW w:w="1702" w:type="dxa"/>
            <w:tcBorders>
              <w:top w:val="nil"/>
              <w:left w:val="single" w:color="auto" w:sz="8" w:space="0"/>
              <w:bottom w:val="single" w:color="auto" w:sz="4" w:space="0"/>
              <w:right w:val="single" w:color="auto" w:sz="8" w:space="0"/>
            </w:tcBorders>
            <w:shd w:val="clear" w:color="auto" w:fill="auto"/>
            <w:noWrap/>
            <w:vAlign w:val="bottom"/>
          </w:tcPr>
          <w:p w14:paraId="42526FD9">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其他收入</w:t>
            </w:r>
          </w:p>
        </w:tc>
        <w:tc>
          <w:tcPr>
            <w:tcW w:w="1183" w:type="dxa"/>
            <w:tcBorders>
              <w:top w:val="nil"/>
              <w:left w:val="nil"/>
              <w:bottom w:val="single" w:color="auto" w:sz="4" w:space="0"/>
              <w:right w:val="single" w:color="auto" w:sz="8" w:space="0"/>
            </w:tcBorders>
            <w:shd w:val="clear" w:color="auto" w:fill="auto"/>
            <w:vAlign w:val="bottom"/>
          </w:tcPr>
          <w:p w14:paraId="35FA723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180" w:type="dxa"/>
            <w:tcBorders>
              <w:top w:val="nil"/>
              <w:left w:val="nil"/>
              <w:bottom w:val="single" w:color="auto" w:sz="4" w:space="0"/>
              <w:right w:val="single" w:color="auto" w:sz="8" w:space="0"/>
            </w:tcBorders>
            <w:shd w:val="clear" w:color="auto" w:fill="auto"/>
            <w:vAlign w:val="bottom"/>
          </w:tcPr>
          <w:p w14:paraId="0821B87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19" w:type="dxa"/>
            <w:tcBorders>
              <w:top w:val="nil"/>
              <w:left w:val="nil"/>
              <w:bottom w:val="single" w:color="auto" w:sz="4" w:space="0"/>
              <w:right w:val="single" w:color="auto" w:sz="8" w:space="0"/>
            </w:tcBorders>
            <w:shd w:val="clear" w:color="auto" w:fill="auto"/>
            <w:vAlign w:val="bottom"/>
          </w:tcPr>
          <w:p w14:paraId="6EBAC04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192" w:type="dxa"/>
            <w:tcBorders>
              <w:top w:val="nil"/>
              <w:left w:val="nil"/>
              <w:bottom w:val="single" w:color="auto" w:sz="4" w:space="0"/>
              <w:right w:val="single" w:color="auto" w:sz="8" w:space="0"/>
            </w:tcBorders>
            <w:shd w:val="clear" w:color="auto" w:fill="auto"/>
            <w:vAlign w:val="bottom"/>
          </w:tcPr>
          <w:p w14:paraId="3E2049C3">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08" w:type="dxa"/>
            <w:tcBorders>
              <w:top w:val="nil"/>
              <w:left w:val="nil"/>
              <w:bottom w:val="single" w:color="auto" w:sz="4" w:space="0"/>
              <w:right w:val="single" w:color="auto" w:sz="8" w:space="0"/>
            </w:tcBorders>
            <w:shd w:val="clear" w:color="auto" w:fill="auto"/>
            <w:vAlign w:val="bottom"/>
          </w:tcPr>
          <w:p w14:paraId="5EE3FA25">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47" w:type="dxa"/>
            <w:tcBorders>
              <w:top w:val="nil"/>
              <w:left w:val="nil"/>
              <w:bottom w:val="single" w:color="auto" w:sz="4" w:space="0"/>
              <w:right w:val="single" w:color="auto" w:sz="8" w:space="0"/>
            </w:tcBorders>
            <w:shd w:val="clear" w:color="auto" w:fill="auto"/>
            <w:vAlign w:val="bottom"/>
          </w:tcPr>
          <w:p w14:paraId="1B0BEE34">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47" w:type="dxa"/>
            <w:tcBorders>
              <w:top w:val="nil"/>
              <w:left w:val="nil"/>
              <w:bottom w:val="single" w:color="auto" w:sz="4" w:space="0"/>
              <w:right w:val="single" w:color="auto" w:sz="8" w:space="0"/>
            </w:tcBorders>
            <w:shd w:val="clear" w:color="auto" w:fill="auto"/>
            <w:vAlign w:val="bottom"/>
          </w:tcPr>
          <w:p w14:paraId="3F677DBE">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r>
      <w:tr w14:paraId="0C016AE6">
        <w:tblPrEx>
          <w:tblCellMar>
            <w:top w:w="0" w:type="dxa"/>
            <w:left w:w="108" w:type="dxa"/>
            <w:bottom w:w="0" w:type="dxa"/>
            <w:right w:w="108" w:type="dxa"/>
          </w:tblCellMar>
        </w:tblPrEx>
        <w:trPr>
          <w:trHeight w:val="302" w:hRule="atLeast"/>
          <w:jc w:val="center"/>
        </w:trPr>
        <w:tc>
          <w:tcPr>
            <w:tcW w:w="1702"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E64BB19">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b/>
                <w:bCs/>
                <w:color w:val="000000"/>
                <w:sz w:val="20"/>
                <w:szCs w:val="20"/>
              </w:rPr>
            </w:pPr>
            <w:r>
              <w:rPr>
                <w:rFonts w:hint="eastAsia" w:ascii="华文细黑" w:hAnsi="华文细黑" w:eastAsia="华文细黑" w:cs="华文细黑"/>
                <w:b/>
                <w:bCs/>
                <w:i w:val="0"/>
                <w:iCs w:val="0"/>
                <w:color w:val="000000"/>
                <w:kern w:val="0"/>
                <w:sz w:val="20"/>
                <w:szCs w:val="20"/>
                <w:u w:val="none"/>
                <w:lang w:val="en-US" w:eastAsia="zh-CN" w:bidi="ar"/>
              </w:rPr>
              <w:t>成本估算</w:t>
            </w:r>
          </w:p>
        </w:tc>
        <w:tc>
          <w:tcPr>
            <w:tcW w:w="1183"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6A286BF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180"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2DE2009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19"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0D9E1DFF">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192"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541DF9B">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08"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69AD503A">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47"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542B8DFE">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47"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70D7F20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r>
      <w:tr w14:paraId="435AF968">
        <w:tblPrEx>
          <w:tblCellMar>
            <w:top w:w="0" w:type="dxa"/>
            <w:left w:w="108" w:type="dxa"/>
            <w:bottom w:w="0" w:type="dxa"/>
            <w:right w:w="108" w:type="dxa"/>
          </w:tblCellMar>
        </w:tblPrEx>
        <w:trPr>
          <w:trHeight w:val="302" w:hRule="atLeast"/>
          <w:jc w:val="center"/>
        </w:trPr>
        <w:tc>
          <w:tcPr>
            <w:tcW w:w="170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60D285D">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水电费</w:t>
            </w:r>
          </w:p>
        </w:tc>
        <w:tc>
          <w:tcPr>
            <w:tcW w:w="1183" w:type="dxa"/>
            <w:tcBorders>
              <w:top w:val="single" w:color="auto" w:sz="4" w:space="0"/>
              <w:left w:val="single" w:color="auto" w:sz="4" w:space="0"/>
              <w:bottom w:val="single" w:color="auto" w:sz="4" w:space="0"/>
              <w:right w:val="single" w:color="auto" w:sz="4" w:space="0"/>
            </w:tcBorders>
            <w:shd w:val="clear" w:color="auto" w:fill="auto"/>
            <w:vAlign w:val="bottom"/>
          </w:tcPr>
          <w:p w14:paraId="3AC07D1B">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bottom"/>
          </w:tcPr>
          <w:p w14:paraId="0D8308CC">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bottom"/>
          </w:tcPr>
          <w:p w14:paraId="1D68637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192" w:type="dxa"/>
            <w:tcBorders>
              <w:top w:val="single" w:color="auto" w:sz="4" w:space="0"/>
              <w:left w:val="single" w:color="auto" w:sz="4" w:space="0"/>
              <w:bottom w:val="single" w:color="auto" w:sz="4" w:space="0"/>
              <w:right w:val="single" w:color="auto" w:sz="4" w:space="0"/>
            </w:tcBorders>
            <w:shd w:val="clear" w:color="auto" w:fill="auto"/>
            <w:vAlign w:val="bottom"/>
          </w:tcPr>
          <w:p w14:paraId="61DAAFAC">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08" w:type="dxa"/>
            <w:tcBorders>
              <w:top w:val="single" w:color="auto" w:sz="4" w:space="0"/>
              <w:left w:val="single" w:color="auto" w:sz="4" w:space="0"/>
              <w:bottom w:val="single" w:color="auto" w:sz="4" w:space="0"/>
              <w:right w:val="single" w:color="auto" w:sz="4" w:space="0"/>
            </w:tcBorders>
            <w:shd w:val="clear" w:color="auto" w:fill="auto"/>
            <w:vAlign w:val="bottom"/>
          </w:tcPr>
          <w:p w14:paraId="5D2BCC63">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47" w:type="dxa"/>
            <w:tcBorders>
              <w:top w:val="single" w:color="auto" w:sz="4" w:space="0"/>
              <w:left w:val="single" w:color="auto" w:sz="4" w:space="0"/>
              <w:bottom w:val="single" w:color="auto" w:sz="4" w:space="0"/>
              <w:right w:val="single" w:color="auto" w:sz="4" w:space="0"/>
            </w:tcBorders>
            <w:shd w:val="clear" w:color="auto" w:fill="auto"/>
            <w:vAlign w:val="bottom"/>
          </w:tcPr>
          <w:p w14:paraId="3B4A49B2">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47" w:type="dxa"/>
            <w:tcBorders>
              <w:top w:val="single" w:color="auto" w:sz="4" w:space="0"/>
              <w:left w:val="single" w:color="auto" w:sz="4" w:space="0"/>
              <w:bottom w:val="single" w:color="auto" w:sz="4" w:space="0"/>
              <w:right w:val="single" w:color="auto" w:sz="4" w:space="0"/>
            </w:tcBorders>
            <w:shd w:val="clear" w:color="auto" w:fill="auto"/>
            <w:vAlign w:val="bottom"/>
          </w:tcPr>
          <w:p w14:paraId="1F2B903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r>
      <w:tr w14:paraId="10B0162B">
        <w:tblPrEx>
          <w:tblCellMar>
            <w:top w:w="0" w:type="dxa"/>
            <w:left w:w="108" w:type="dxa"/>
            <w:bottom w:w="0" w:type="dxa"/>
            <w:right w:w="108" w:type="dxa"/>
          </w:tblCellMar>
        </w:tblPrEx>
        <w:trPr>
          <w:trHeight w:val="302" w:hRule="atLeast"/>
          <w:jc w:val="center"/>
        </w:trPr>
        <w:tc>
          <w:tcPr>
            <w:tcW w:w="1702" w:type="dxa"/>
            <w:tcBorders>
              <w:top w:val="single" w:color="auto" w:sz="4" w:space="0"/>
              <w:left w:val="single" w:color="auto" w:sz="4" w:space="0"/>
              <w:bottom w:val="single" w:color="auto" w:sz="4" w:space="0"/>
              <w:right w:val="single" w:color="auto" w:sz="4" w:space="0"/>
            </w:tcBorders>
            <w:shd w:val="clear" w:color="auto" w:fill="auto"/>
            <w:noWrap/>
            <w:vAlign w:val="bottom"/>
          </w:tcPr>
          <w:p w14:paraId="0B377EC0">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color w:val="000000"/>
                <w:kern w:val="0"/>
                <w:sz w:val="20"/>
                <w:szCs w:val="20"/>
                <w:lang w:bidi="ar"/>
              </w:rPr>
            </w:pPr>
            <w:r>
              <w:rPr>
                <w:rFonts w:hint="eastAsia" w:ascii="华文细黑" w:hAnsi="华文细黑" w:eastAsia="华文细黑" w:cs="华文细黑"/>
                <w:i w:val="0"/>
                <w:iCs w:val="0"/>
                <w:color w:val="000000"/>
                <w:kern w:val="0"/>
                <w:sz w:val="20"/>
                <w:szCs w:val="20"/>
                <w:u w:val="none"/>
                <w:lang w:val="en-US" w:eastAsia="zh-CN" w:bidi="ar"/>
              </w:rPr>
              <w:t>伙食费成本</w:t>
            </w:r>
          </w:p>
        </w:tc>
        <w:tc>
          <w:tcPr>
            <w:tcW w:w="1183" w:type="dxa"/>
            <w:tcBorders>
              <w:top w:val="single" w:color="auto" w:sz="4" w:space="0"/>
              <w:left w:val="single" w:color="auto" w:sz="4" w:space="0"/>
              <w:bottom w:val="single" w:color="auto" w:sz="4" w:space="0"/>
              <w:right w:val="single" w:color="auto" w:sz="4" w:space="0"/>
            </w:tcBorders>
            <w:shd w:val="clear" w:color="auto" w:fill="auto"/>
            <w:vAlign w:val="bottom"/>
          </w:tcPr>
          <w:p w14:paraId="7E02A09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180" w:type="dxa"/>
            <w:tcBorders>
              <w:top w:val="single" w:color="auto" w:sz="4" w:space="0"/>
              <w:left w:val="single" w:color="auto" w:sz="4" w:space="0"/>
              <w:bottom w:val="single" w:color="auto" w:sz="4" w:space="0"/>
              <w:right w:val="single" w:color="auto" w:sz="4" w:space="0"/>
            </w:tcBorders>
            <w:shd w:val="clear" w:color="auto" w:fill="auto"/>
            <w:vAlign w:val="bottom"/>
          </w:tcPr>
          <w:p w14:paraId="4D96829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bottom"/>
          </w:tcPr>
          <w:p w14:paraId="10BB588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192" w:type="dxa"/>
            <w:tcBorders>
              <w:top w:val="single" w:color="auto" w:sz="4" w:space="0"/>
              <w:left w:val="single" w:color="auto" w:sz="4" w:space="0"/>
              <w:bottom w:val="single" w:color="auto" w:sz="4" w:space="0"/>
              <w:right w:val="single" w:color="auto" w:sz="4" w:space="0"/>
            </w:tcBorders>
            <w:shd w:val="clear" w:color="auto" w:fill="auto"/>
            <w:vAlign w:val="bottom"/>
          </w:tcPr>
          <w:p w14:paraId="2E49DC65">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08" w:type="dxa"/>
            <w:tcBorders>
              <w:top w:val="single" w:color="auto" w:sz="4" w:space="0"/>
              <w:left w:val="single" w:color="auto" w:sz="4" w:space="0"/>
              <w:bottom w:val="single" w:color="auto" w:sz="4" w:space="0"/>
              <w:right w:val="single" w:color="auto" w:sz="4" w:space="0"/>
            </w:tcBorders>
            <w:shd w:val="clear" w:color="auto" w:fill="auto"/>
            <w:vAlign w:val="bottom"/>
          </w:tcPr>
          <w:p w14:paraId="640C12F2">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47" w:type="dxa"/>
            <w:tcBorders>
              <w:top w:val="single" w:color="auto" w:sz="4" w:space="0"/>
              <w:left w:val="single" w:color="auto" w:sz="4" w:space="0"/>
              <w:bottom w:val="single" w:color="auto" w:sz="4" w:space="0"/>
              <w:right w:val="single" w:color="auto" w:sz="4" w:space="0"/>
            </w:tcBorders>
            <w:shd w:val="clear" w:color="auto" w:fill="auto"/>
            <w:vAlign w:val="bottom"/>
          </w:tcPr>
          <w:p w14:paraId="2E47AD02">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47" w:type="dxa"/>
            <w:tcBorders>
              <w:top w:val="single" w:color="auto" w:sz="4" w:space="0"/>
              <w:left w:val="single" w:color="auto" w:sz="4" w:space="0"/>
              <w:bottom w:val="single" w:color="auto" w:sz="4" w:space="0"/>
              <w:right w:val="single" w:color="auto" w:sz="4" w:space="0"/>
            </w:tcBorders>
            <w:shd w:val="clear" w:color="auto" w:fill="auto"/>
            <w:vAlign w:val="bottom"/>
          </w:tcPr>
          <w:p w14:paraId="79E0D1E3">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r>
    </w:tbl>
    <w:p w14:paraId="51A77FB6">
      <w:pPr>
        <w:spacing w:line="259" w:lineRule="auto"/>
        <w:ind w:right="-431"/>
        <w:jc w:val="left"/>
        <w:rPr>
          <w:rFonts w:hint="default" w:ascii="Verdana" w:hAnsi="Verdana" w:eastAsia="华文细黑"/>
          <w:sz w:val="20"/>
          <w:szCs w:val="20"/>
          <w:lang w:val="en-US" w:eastAsia="zh-CN"/>
        </w:rPr>
      </w:pPr>
      <w:r>
        <w:rPr>
          <w:rFonts w:hint="eastAsia" w:ascii="Verdana" w:hAnsi="Verdana" w:eastAsia="华文细黑"/>
          <w:sz w:val="20"/>
          <w:szCs w:val="20"/>
          <w:lang w:val="en-US" w:eastAsia="zh-CN"/>
        </w:rPr>
        <w:t>续上表</w:t>
      </w:r>
    </w:p>
    <w:tbl>
      <w:tblPr>
        <w:tblStyle w:val="15"/>
        <w:tblW w:w="10929" w:type="dxa"/>
        <w:jc w:val="center"/>
        <w:tblLayout w:type="fixed"/>
        <w:tblCellMar>
          <w:top w:w="0" w:type="dxa"/>
          <w:left w:w="108" w:type="dxa"/>
          <w:bottom w:w="0" w:type="dxa"/>
          <w:right w:w="108" w:type="dxa"/>
        </w:tblCellMar>
      </w:tblPr>
      <w:tblGrid>
        <w:gridCol w:w="1686"/>
        <w:gridCol w:w="1184"/>
        <w:gridCol w:w="1196"/>
        <w:gridCol w:w="1189"/>
        <w:gridCol w:w="1335"/>
        <w:gridCol w:w="1295"/>
        <w:gridCol w:w="1435"/>
        <w:gridCol w:w="1609"/>
      </w:tblGrid>
      <w:tr w14:paraId="420F170D">
        <w:tblPrEx>
          <w:tblCellMar>
            <w:top w:w="0" w:type="dxa"/>
            <w:left w:w="108" w:type="dxa"/>
            <w:bottom w:w="0" w:type="dxa"/>
            <w:right w:w="108" w:type="dxa"/>
          </w:tblCellMar>
        </w:tblPrEx>
        <w:trPr>
          <w:trHeight w:val="302" w:hRule="atLeast"/>
          <w:jc w:val="center"/>
        </w:trPr>
        <w:tc>
          <w:tcPr>
            <w:tcW w:w="1686" w:type="dxa"/>
            <w:tcBorders>
              <w:top w:val="single" w:color="auto" w:sz="8" w:space="0"/>
              <w:left w:val="single" w:color="auto" w:sz="8" w:space="0"/>
              <w:bottom w:val="single" w:color="auto" w:sz="8" w:space="0"/>
              <w:right w:val="single" w:color="auto" w:sz="8" w:space="0"/>
            </w:tcBorders>
            <w:shd w:val="clear" w:color="auto" w:fill="0070C0"/>
            <w:noWrap/>
            <w:vAlign w:val="bottom"/>
          </w:tcPr>
          <w:p w14:paraId="48FB6BE4">
            <w:pPr>
              <w:keepNext w:val="0"/>
              <w:keepLines w:val="0"/>
              <w:widowControl/>
              <w:suppressLineNumbers w:val="0"/>
              <w:spacing w:before="0" w:beforeAutospacing="0" w:after="0" w:afterAutospacing="0"/>
              <w:ind w:left="0" w:right="0"/>
              <w:jc w:val="center"/>
              <w:textAlignment w:val="bottom"/>
              <w:rPr>
                <w:rFonts w:hint="default" w:ascii="华文细黑" w:hAnsi="华文细黑" w:eastAsia="华文细黑" w:cs="Arial"/>
                <w:b/>
                <w:bCs/>
                <w:color w:val="FFFFFF"/>
                <w:sz w:val="20"/>
                <w:szCs w:val="20"/>
              </w:rPr>
            </w:pPr>
            <w:r>
              <w:rPr>
                <w:rFonts w:hint="eastAsia" w:ascii="华文细黑" w:hAnsi="华文细黑" w:eastAsia="华文细黑" w:cs="华文细黑"/>
                <w:b/>
                <w:bCs/>
                <w:i w:val="0"/>
                <w:iCs w:val="0"/>
                <w:color w:val="FFFFFF"/>
                <w:kern w:val="0"/>
                <w:sz w:val="20"/>
                <w:szCs w:val="20"/>
                <w:u w:val="none"/>
                <w:lang w:val="en-US" w:eastAsia="zh-CN" w:bidi="ar"/>
              </w:rPr>
              <w:t>年份</w:t>
            </w:r>
            <w:r>
              <w:rPr>
                <w:rFonts w:hint="default" w:ascii="Verdana" w:hAnsi="Verdana" w:eastAsia="华文细黑" w:cs="Verdana"/>
                <w:b/>
                <w:bCs/>
                <w:i w:val="0"/>
                <w:iCs w:val="0"/>
                <w:color w:val="FFFFFF"/>
                <w:kern w:val="0"/>
                <w:sz w:val="20"/>
                <w:szCs w:val="20"/>
                <w:u w:val="none"/>
                <w:lang w:val="en-US" w:eastAsia="zh-CN" w:bidi="ar"/>
              </w:rPr>
              <w:t>/</w:t>
            </w:r>
            <w:r>
              <w:rPr>
                <w:rFonts w:hint="eastAsia" w:ascii="华文细黑" w:hAnsi="华文细黑" w:eastAsia="华文细黑" w:cs="华文细黑"/>
                <w:b/>
                <w:bCs/>
                <w:i w:val="0"/>
                <w:iCs w:val="0"/>
                <w:color w:val="FFFFFF"/>
                <w:kern w:val="0"/>
                <w:sz w:val="20"/>
                <w:szCs w:val="20"/>
                <w:u w:val="none"/>
                <w:lang w:val="en-US" w:eastAsia="zh-CN" w:bidi="ar"/>
              </w:rPr>
              <w:t>项目</w:t>
            </w:r>
          </w:p>
        </w:tc>
        <w:tc>
          <w:tcPr>
            <w:tcW w:w="1184" w:type="dxa"/>
            <w:tcBorders>
              <w:top w:val="single" w:color="auto" w:sz="8" w:space="0"/>
              <w:left w:val="nil"/>
              <w:bottom w:val="single" w:color="auto" w:sz="8" w:space="0"/>
              <w:right w:val="single" w:color="auto" w:sz="8" w:space="0"/>
            </w:tcBorders>
            <w:shd w:val="clear" w:color="auto" w:fill="0070C0"/>
            <w:noWrap/>
            <w:vAlign w:val="bottom"/>
          </w:tcPr>
          <w:p w14:paraId="7ED3824E">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41</w:t>
            </w:r>
          </w:p>
        </w:tc>
        <w:tc>
          <w:tcPr>
            <w:tcW w:w="1196" w:type="dxa"/>
            <w:tcBorders>
              <w:top w:val="single" w:color="auto" w:sz="8" w:space="0"/>
              <w:left w:val="nil"/>
              <w:bottom w:val="single" w:color="auto" w:sz="8" w:space="0"/>
              <w:right w:val="single" w:color="auto" w:sz="8" w:space="0"/>
            </w:tcBorders>
            <w:shd w:val="clear" w:color="auto" w:fill="0070C0"/>
            <w:noWrap/>
            <w:vAlign w:val="bottom"/>
          </w:tcPr>
          <w:p w14:paraId="664B658F">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42</w:t>
            </w:r>
          </w:p>
        </w:tc>
        <w:tc>
          <w:tcPr>
            <w:tcW w:w="1189" w:type="dxa"/>
            <w:tcBorders>
              <w:top w:val="single" w:color="auto" w:sz="8" w:space="0"/>
              <w:left w:val="nil"/>
              <w:bottom w:val="single" w:color="auto" w:sz="8" w:space="0"/>
              <w:right w:val="single" w:color="auto" w:sz="8" w:space="0"/>
            </w:tcBorders>
            <w:shd w:val="clear" w:color="auto" w:fill="0070C0"/>
            <w:noWrap/>
            <w:vAlign w:val="bottom"/>
          </w:tcPr>
          <w:p w14:paraId="15848B10">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43</w:t>
            </w:r>
          </w:p>
        </w:tc>
        <w:tc>
          <w:tcPr>
            <w:tcW w:w="1335" w:type="dxa"/>
            <w:tcBorders>
              <w:top w:val="single" w:color="auto" w:sz="8" w:space="0"/>
              <w:left w:val="nil"/>
              <w:bottom w:val="single" w:color="auto" w:sz="8" w:space="0"/>
              <w:right w:val="single" w:color="auto" w:sz="8" w:space="0"/>
            </w:tcBorders>
            <w:shd w:val="clear" w:color="auto" w:fill="0070C0"/>
            <w:noWrap/>
            <w:vAlign w:val="bottom"/>
          </w:tcPr>
          <w:p w14:paraId="1D21DA7E">
            <w:pPr>
              <w:keepNext w:val="0"/>
              <w:keepLines w:val="0"/>
              <w:widowControl/>
              <w:suppressLineNumbers w:val="0"/>
              <w:spacing w:before="0" w:beforeAutospacing="0" w:after="0" w:afterAutospacing="0"/>
              <w:ind w:left="0" w:right="0"/>
              <w:jc w:val="center"/>
              <w:textAlignment w:val="bottom"/>
              <w:rPr>
                <w:rFonts w:hint="default" w:ascii="Verdana" w:hAnsi="Verdana" w:eastAsia="宋体" w:cs="Arial"/>
                <w:b/>
                <w:bCs/>
                <w:color w:val="FFFFFF"/>
                <w:sz w:val="20"/>
                <w:szCs w:val="20"/>
                <w:lang w:val="en-US" w:eastAsia="zh-CN"/>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44</w:t>
            </w:r>
          </w:p>
        </w:tc>
        <w:tc>
          <w:tcPr>
            <w:tcW w:w="1295" w:type="dxa"/>
            <w:tcBorders>
              <w:top w:val="single" w:color="auto" w:sz="8" w:space="0"/>
              <w:left w:val="nil"/>
              <w:bottom w:val="single" w:color="auto" w:sz="8" w:space="0"/>
              <w:right w:val="single" w:color="auto" w:sz="8" w:space="0"/>
            </w:tcBorders>
            <w:shd w:val="clear" w:color="auto" w:fill="0070C0"/>
            <w:noWrap/>
            <w:vAlign w:val="bottom"/>
          </w:tcPr>
          <w:p w14:paraId="2A1920BA">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45</w:t>
            </w:r>
          </w:p>
        </w:tc>
        <w:tc>
          <w:tcPr>
            <w:tcW w:w="1435" w:type="dxa"/>
            <w:tcBorders>
              <w:top w:val="single" w:color="auto" w:sz="8" w:space="0"/>
              <w:left w:val="nil"/>
              <w:bottom w:val="single" w:color="auto" w:sz="8" w:space="0"/>
              <w:right w:val="single" w:color="auto" w:sz="8" w:space="0"/>
            </w:tcBorders>
            <w:shd w:val="clear" w:color="auto" w:fill="0070C0"/>
            <w:noWrap/>
            <w:vAlign w:val="bottom"/>
          </w:tcPr>
          <w:p w14:paraId="75C05146">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bCs/>
                <w:i w:val="0"/>
                <w:iCs w:val="0"/>
                <w:color w:val="FFFFFF"/>
                <w:kern w:val="0"/>
                <w:sz w:val="20"/>
                <w:szCs w:val="20"/>
                <w:u w:val="none"/>
                <w:lang w:val="en-US" w:eastAsia="zh-CN" w:bidi="ar"/>
              </w:rPr>
            </w:pPr>
            <w:r>
              <w:rPr>
                <w:rFonts w:hint="default" w:ascii="Verdana" w:hAnsi="Verdana" w:eastAsia="宋体" w:cs="Verdana"/>
                <w:b/>
                <w:bCs/>
                <w:i w:val="0"/>
                <w:iCs w:val="0"/>
                <w:color w:val="FFFFFF"/>
                <w:kern w:val="0"/>
                <w:sz w:val="20"/>
                <w:szCs w:val="20"/>
                <w:u w:val="none"/>
                <w:lang w:val="en-US" w:eastAsia="zh-CN" w:bidi="ar"/>
              </w:rPr>
              <w:t>20</w:t>
            </w:r>
            <w:r>
              <w:rPr>
                <w:rFonts w:hint="eastAsia" w:ascii="Verdana" w:hAnsi="Verdana" w:cs="Verdana"/>
                <w:b/>
                <w:bCs/>
                <w:i w:val="0"/>
                <w:iCs w:val="0"/>
                <w:color w:val="FFFFFF"/>
                <w:kern w:val="0"/>
                <w:sz w:val="20"/>
                <w:szCs w:val="20"/>
                <w:u w:val="none"/>
                <w:lang w:val="en-US" w:eastAsia="zh-CN" w:bidi="ar"/>
              </w:rPr>
              <w:t>46</w:t>
            </w:r>
          </w:p>
        </w:tc>
        <w:tc>
          <w:tcPr>
            <w:tcW w:w="1609" w:type="dxa"/>
            <w:tcBorders>
              <w:top w:val="single" w:color="auto" w:sz="8" w:space="0"/>
              <w:left w:val="nil"/>
              <w:bottom w:val="single" w:color="auto" w:sz="8" w:space="0"/>
              <w:right w:val="single" w:color="auto" w:sz="8" w:space="0"/>
            </w:tcBorders>
            <w:shd w:val="clear" w:color="auto" w:fill="0070C0"/>
            <w:noWrap/>
            <w:vAlign w:val="bottom"/>
          </w:tcPr>
          <w:p w14:paraId="54A24B1E">
            <w:pPr>
              <w:keepNext w:val="0"/>
              <w:keepLines w:val="0"/>
              <w:widowControl/>
              <w:suppressLineNumbers w:val="0"/>
              <w:spacing w:before="0" w:beforeAutospacing="0" w:after="0" w:afterAutospacing="0"/>
              <w:ind w:left="0" w:right="0"/>
              <w:jc w:val="center"/>
              <w:textAlignment w:val="bottom"/>
              <w:rPr>
                <w:rFonts w:hint="eastAsia" w:ascii="Verdana" w:hAnsi="Verdana" w:eastAsia="宋体" w:cs="Arial"/>
                <w:b/>
                <w:bCs/>
                <w:color w:val="FFFFFF"/>
                <w:sz w:val="20"/>
                <w:szCs w:val="20"/>
                <w:lang w:val="en-US" w:eastAsia="zh-CN"/>
              </w:rPr>
            </w:pPr>
            <w:r>
              <w:rPr>
                <w:rFonts w:hint="eastAsia" w:ascii="宋体" w:hAnsi="宋体" w:eastAsia="宋体" w:cs="宋体"/>
                <w:b/>
                <w:bCs/>
                <w:i w:val="0"/>
                <w:iCs w:val="0"/>
                <w:color w:val="FFFFFF"/>
                <w:kern w:val="0"/>
                <w:sz w:val="20"/>
                <w:szCs w:val="20"/>
                <w:u w:val="none"/>
                <w:lang w:val="en-US" w:eastAsia="zh-CN" w:bidi="ar"/>
              </w:rPr>
              <w:t>合计</w:t>
            </w:r>
          </w:p>
        </w:tc>
      </w:tr>
      <w:tr w14:paraId="0B0AAA1E">
        <w:tblPrEx>
          <w:tblCellMar>
            <w:top w:w="0" w:type="dxa"/>
            <w:left w:w="108" w:type="dxa"/>
            <w:bottom w:w="0" w:type="dxa"/>
            <w:right w:w="108" w:type="dxa"/>
          </w:tblCellMar>
        </w:tblPrEx>
        <w:trPr>
          <w:trHeight w:val="302" w:hRule="atLeast"/>
          <w:jc w:val="center"/>
        </w:trPr>
        <w:tc>
          <w:tcPr>
            <w:tcW w:w="1686" w:type="dxa"/>
            <w:tcBorders>
              <w:top w:val="nil"/>
              <w:left w:val="single" w:color="auto" w:sz="8" w:space="0"/>
              <w:bottom w:val="single" w:color="auto" w:sz="8" w:space="0"/>
              <w:right w:val="single" w:color="auto" w:sz="8" w:space="0"/>
            </w:tcBorders>
            <w:shd w:val="clear" w:color="auto" w:fill="D3DFEE"/>
            <w:noWrap/>
            <w:vAlign w:val="bottom"/>
          </w:tcPr>
          <w:p w14:paraId="7B8C7316">
            <w:pPr>
              <w:keepNext w:val="0"/>
              <w:keepLines w:val="0"/>
              <w:widowControl/>
              <w:suppressLineNumbers w:val="0"/>
              <w:spacing w:before="0" w:beforeAutospacing="0" w:after="0" w:afterAutospacing="0"/>
              <w:ind w:left="0" w:right="0"/>
              <w:jc w:val="left"/>
              <w:textAlignment w:val="bottom"/>
              <w:rPr>
                <w:rFonts w:hint="default" w:ascii="华文细黑" w:hAnsi="华文细黑" w:eastAsia="华文细黑" w:cs="Arial"/>
                <w:b/>
                <w:bCs/>
                <w:color w:val="000000"/>
                <w:sz w:val="20"/>
                <w:szCs w:val="20"/>
              </w:rPr>
            </w:pPr>
            <w:r>
              <w:rPr>
                <w:rFonts w:hint="eastAsia" w:ascii="华文细黑" w:hAnsi="华文细黑" w:eastAsia="华文细黑" w:cs="华文细黑"/>
                <w:b/>
                <w:bCs/>
                <w:i w:val="0"/>
                <w:iCs w:val="0"/>
                <w:color w:val="000000"/>
                <w:kern w:val="0"/>
                <w:sz w:val="20"/>
                <w:szCs w:val="20"/>
                <w:u w:val="none"/>
                <w:lang w:val="en-US" w:eastAsia="zh-CN" w:bidi="ar"/>
              </w:rPr>
              <w:t>收入估算</w:t>
            </w:r>
          </w:p>
        </w:tc>
        <w:tc>
          <w:tcPr>
            <w:tcW w:w="1184" w:type="dxa"/>
            <w:tcBorders>
              <w:top w:val="nil"/>
              <w:left w:val="nil"/>
              <w:bottom w:val="single" w:color="auto" w:sz="8" w:space="0"/>
              <w:right w:val="single" w:color="auto" w:sz="8" w:space="0"/>
            </w:tcBorders>
            <w:shd w:val="clear" w:color="auto" w:fill="D3DFEE"/>
            <w:noWrap/>
            <w:vAlign w:val="bottom"/>
          </w:tcPr>
          <w:p w14:paraId="488C8D19">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196" w:type="dxa"/>
            <w:tcBorders>
              <w:top w:val="nil"/>
              <w:left w:val="nil"/>
              <w:bottom w:val="single" w:color="auto" w:sz="8" w:space="0"/>
              <w:right w:val="single" w:color="auto" w:sz="8" w:space="0"/>
            </w:tcBorders>
            <w:shd w:val="clear" w:color="auto" w:fill="D3DFEE"/>
            <w:noWrap/>
            <w:vAlign w:val="bottom"/>
          </w:tcPr>
          <w:p w14:paraId="1C63843F">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189" w:type="dxa"/>
            <w:tcBorders>
              <w:top w:val="nil"/>
              <w:left w:val="nil"/>
              <w:bottom w:val="single" w:color="auto" w:sz="8" w:space="0"/>
              <w:right w:val="single" w:color="auto" w:sz="8" w:space="0"/>
            </w:tcBorders>
            <w:shd w:val="clear" w:color="auto" w:fill="D3DFEE"/>
            <w:noWrap/>
            <w:vAlign w:val="bottom"/>
          </w:tcPr>
          <w:p w14:paraId="17A5C3F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335" w:type="dxa"/>
            <w:tcBorders>
              <w:top w:val="nil"/>
              <w:left w:val="nil"/>
              <w:bottom w:val="single" w:color="auto" w:sz="8" w:space="0"/>
              <w:right w:val="single" w:color="auto" w:sz="8" w:space="0"/>
            </w:tcBorders>
            <w:shd w:val="clear" w:color="auto" w:fill="D3DFEE"/>
            <w:noWrap/>
            <w:vAlign w:val="bottom"/>
          </w:tcPr>
          <w:p w14:paraId="296632EA">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295" w:type="dxa"/>
            <w:tcBorders>
              <w:top w:val="nil"/>
              <w:left w:val="nil"/>
              <w:bottom w:val="single" w:color="auto" w:sz="8" w:space="0"/>
              <w:right w:val="single" w:color="auto" w:sz="8" w:space="0"/>
            </w:tcBorders>
            <w:shd w:val="clear" w:color="auto" w:fill="D3DFEE"/>
            <w:noWrap/>
            <w:vAlign w:val="bottom"/>
          </w:tcPr>
          <w:p w14:paraId="1268D70D">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1130.17</w:t>
            </w:r>
          </w:p>
        </w:tc>
        <w:tc>
          <w:tcPr>
            <w:tcW w:w="1435" w:type="dxa"/>
            <w:tcBorders>
              <w:top w:val="nil"/>
              <w:left w:val="nil"/>
              <w:bottom w:val="single" w:color="auto" w:sz="8" w:space="0"/>
              <w:right w:val="single" w:color="auto" w:sz="8" w:space="0"/>
            </w:tcBorders>
            <w:shd w:val="clear" w:color="auto" w:fill="D3DFEE"/>
            <w:noWrap/>
            <w:vAlign w:val="bottom"/>
          </w:tcPr>
          <w:p w14:paraId="2B2B5E60">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565.1</w:t>
            </w:r>
          </w:p>
        </w:tc>
        <w:tc>
          <w:tcPr>
            <w:tcW w:w="1609" w:type="dxa"/>
            <w:tcBorders>
              <w:top w:val="nil"/>
              <w:left w:val="nil"/>
              <w:bottom w:val="single" w:color="auto" w:sz="8" w:space="0"/>
              <w:right w:val="single" w:color="auto" w:sz="8" w:space="0"/>
            </w:tcBorders>
            <w:shd w:val="clear" w:color="auto" w:fill="D3DFEE"/>
            <w:noWrap/>
            <w:vAlign w:val="bottom"/>
          </w:tcPr>
          <w:p w14:paraId="619F36AB">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21134.22</w:t>
            </w:r>
          </w:p>
        </w:tc>
      </w:tr>
      <w:tr w14:paraId="5140B75A">
        <w:tblPrEx>
          <w:tblCellMar>
            <w:top w:w="0" w:type="dxa"/>
            <w:left w:w="108" w:type="dxa"/>
            <w:bottom w:w="0" w:type="dxa"/>
            <w:right w:w="108" w:type="dxa"/>
          </w:tblCellMar>
        </w:tblPrEx>
        <w:trPr>
          <w:trHeight w:val="302" w:hRule="atLeast"/>
          <w:jc w:val="center"/>
        </w:trPr>
        <w:tc>
          <w:tcPr>
            <w:tcW w:w="1686" w:type="dxa"/>
            <w:tcBorders>
              <w:top w:val="nil"/>
              <w:left w:val="single" w:color="auto" w:sz="8" w:space="0"/>
              <w:bottom w:val="single" w:color="auto" w:sz="8" w:space="0"/>
              <w:right w:val="single" w:color="auto" w:sz="8" w:space="0"/>
            </w:tcBorders>
            <w:shd w:val="clear" w:color="auto" w:fill="auto"/>
            <w:noWrap/>
            <w:vAlign w:val="bottom"/>
          </w:tcPr>
          <w:p w14:paraId="61FF01DC">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保教费收入</w:t>
            </w:r>
          </w:p>
        </w:tc>
        <w:tc>
          <w:tcPr>
            <w:tcW w:w="1184" w:type="dxa"/>
            <w:tcBorders>
              <w:top w:val="nil"/>
              <w:left w:val="nil"/>
              <w:bottom w:val="single" w:color="auto" w:sz="8" w:space="0"/>
              <w:right w:val="single" w:color="auto" w:sz="8" w:space="0"/>
            </w:tcBorders>
            <w:shd w:val="clear" w:color="auto" w:fill="auto"/>
            <w:vAlign w:val="bottom"/>
          </w:tcPr>
          <w:p w14:paraId="225664F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196" w:type="dxa"/>
            <w:tcBorders>
              <w:top w:val="nil"/>
              <w:left w:val="nil"/>
              <w:bottom w:val="single" w:color="auto" w:sz="8" w:space="0"/>
              <w:right w:val="single" w:color="auto" w:sz="8" w:space="0"/>
            </w:tcBorders>
            <w:shd w:val="clear" w:color="auto" w:fill="auto"/>
            <w:vAlign w:val="bottom"/>
          </w:tcPr>
          <w:p w14:paraId="79DFB3F8">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189" w:type="dxa"/>
            <w:tcBorders>
              <w:top w:val="nil"/>
              <w:left w:val="nil"/>
              <w:bottom w:val="single" w:color="auto" w:sz="8" w:space="0"/>
              <w:right w:val="single" w:color="auto" w:sz="8" w:space="0"/>
            </w:tcBorders>
            <w:shd w:val="clear" w:color="auto" w:fill="auto"/>
            <w:vAlign w:val="bottom"/>
          </w:tcPr>
          <w:p w14:paraId="2CC63127">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335" w:type="dxa"/>
            <w:tcBorders>
              <w:top w:val="nil"/>
              <w:left w:val="nil"/>
              <w:bottom w:val="single" w:color="auto" w:sz="8" w:space="0"/>
              <w:right w:val="single" w:color="auto" w:sz="8" w:space="0"/>
            </w:tcBorders>
            <w:shd w:val="clear" w:color="auto" w:fill="auto"/>
            <w:vAlign w:val="bottom"/>
          </w:tcPr>
          <w:p w14:paraId="47EB5B12">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295" w:type="dxa"/>
            <w:tcBorders>
              <w:top w:val="nil"/>
              <w:left w:val="nil"/>
              <w:bottom w:val="single" w:color="auto" w:sz="8" w:space="0"/>
              <w:right w:val="single" w:color="auto" w:sz="8" w:space="0"/>
            </w:tcBorders>
            <w:shd w:val="clear" w:color="auto" w:fill="auto"/>
            <w:vAlign w:val="bottom"/>
          </w:tcPr>
          <w:p w14:paraId="5479DD4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198</w:t>
            </w:r>
          </w:p>
        </w:tc>
        <w:tc>
          <w:tcPr>
            <w:tcW w:w="1435" w:type="dxa"/>
            <w:tcBorders>
              <w:top w:val="nil"/>
              <w:left w:val="nil"/>
              <w:bottom w:val="single" w:color="auto" w:sz="8" w:space="0"/>
              <w:right w:val="single" w:color="auto" w:sz="8" w:space="0"/>
            </w:tcBorders>
            <w:shd w:val="clear" w:color="auto" w:fill="auto"/>
            <w:vAlign w:val="bottom"/>
          </w:tcPr>
          <w:p w14:paraId="4D66A9C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99</w:t>
            </w:r>
          </w:p>
        </w:tc>
        <w:tc>
          <w:tcPr>
            <w:tcW w:w="1609" w:type="dxa"/>
            <w:tcBorders>
              <w:top w:val="nil"/>
              <w:left w:val="nil"/>
              <w:bottom w:val="single" w:color="auto" w:sz="8" w:space="0"/>
              <w:right w:val="single" w:color="auto" w:sz="8" w:space="0"/>
            </w:tcBorders>
            <w:shd w:val="clear" w:color="auto" w:fill="auto"/>
            <w:vAlign w:val="bottom"/>
          </w:tcPr>
          <w:p w14:paraId="12E8C70E">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3702.6</w:t>
            </w:r>
          </w:p>
        </w:tc>
      </w:tr>
      <w:tr w14:paraId="5BD56D64">
        <w:tblPrEx>
          <w:tblCellMar>
            <w:top w:w="0" w:type="dxa"/>
            <w:left w:w="108" w:type="dxa"/>
            <w:bottom w:w="0" w:type="dxa"/>
            <w:right w:w="108" w:type="dxa"/>
          </w:tblCellMar>
        </w:tblPrEx>
        <w:trPr>
          <w:trHeight w:val="302" w:hRule="atLeast"/>
          <w:jc w:val="center"/>
        </w:trPr>
        <w:tc>
          <w:tcPr>
            <w:tcW w:w="1686" w:type="dxa"/>
            <w:tcBorders>
              <w:top w:val="nil"/>
              <w:left w:val="single" w:color="auto" w:sz="8" w:space="0"/>
              <w:bottom w:val="single" w:color="auto" w:sz="8" w:space="0"/>
              <w:right w:val="single" w:color="auto" w:sz="8" w:space="0"/>
            </w:tcBorders>
            <w:shd w:val="clear" w:color="auto" w:fill="auto"/>
            <w:noWrap/>
            <w:vAlign w:val="bottom"/>
          </w:tcPr>
          <w:p w14:paraId="7EA3CE37">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伙食费收入</w:t>
            </w:r>
          </w:p>
        </w:tc>
        <w:tc>
          <w:tcPr>
            <w:tcW w:w="1184" w:type="dxa"/>
            <w:tcBorders>
              <w:top w:val="nil"/>
              <w:left w:val="nil"/>
              <w:bottom w:val="single" w:color="auto" w:sz="8" w:space="0"/>
              <w:right w:val="single" w:color="auto" w:sz="8" w:space="0"/>
            </w:tcBorders>
            <w:shd w:val="clear" w:color="auto" w:fill="auto"/>
            <w:vAlign w:val="bottom"/>
          </w:tcPr>
          <w:p w14:paraId="43ED3871">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196" w:type="dxa"/>
            <w:tcBorders>
              <w:top w:val="nil"/>
              <w:left w:val="nil"/>
              <w:bottom w:val="single" w:color="auto" w:sz="8" w:space="0"/>
              <w:right w:val="single" w:color="auto" w:sz="8" w:space="0"/>
            </w:tcBorders>
            <w:shd w:val="clear" w:color="auto" w:fill="auto"/>
            <w:vAlign w:val="bottom"/>
          </w:tcPr>
          <w:p w14:paraId="2175E57C">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189" w:type="dxa"/>
            <w:tcBorders>
              <w:top w:val="nil"/>
              <w:left w:val="nil"/>
              <w:bottom w:val="single" w:color="auto" w:sz="8" w:space="0"/>
              <w:right w:val="single" w:color="auto" w:sz="8" w:space="0"/>
            </w:tcBorders>
            <w:shd w:val="clear" w:color="auto" w:fill="auto"/>
            <w:vAlign w:val="bottom"/>
          </w:tcPr>
          <w:p w14:paraId="79C8C468">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335" w:type="dxa"/>
            <w:tcBorders>
              <w:top w:val="nil"/>
              <w:left w:val="nil"/>
              <w:bottom w:val="single" w:color="auto" w:sz="8" w:space="0"/>
              <w:right w:val="single" w:color="auto" w:sz="8" w:space="0"/>
            </w:tcBorders>
            <w:shd w:val="clear" w:color="auto" w:fill="auto"/>
            <w:vAlign w:val="bottom"/>
          </w:tcPr>
          <w:p w14:paraId="36B69950">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295" w:type="dxa"/>
            <w:tcBorders>
              <w:top w:val="nil"/>
              <w:left w:val="nil"/>
              <w:bottom w:val="single" w:color="auto" w:sz="8" w:space="0"/>
              <w:right w:val="single" w:color="auto" w:sz="8" w:space="0"/>
            </w:tcBorders>
            <w:shd w:val="clear" w:color="auto" w:fill="auto"/>
            <w:vAlign w:val="bottom"/>
          </w:tcPr>
          <w:p w14:paraId="46534B99">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97.81</w:t>
            </w:r>
          </w:p>
        </w:tc>
        <w:tc>
          <w:tcPr>
            <w:tcW w:w="1435" w:type="dxa"/>
            <w:tcBorders>
              <w:top w:val="nil"/>
              <w:left w:val="nil"/>
              <w:bottom w:val="single" w:color="auto" w:sz="8" w:space="0"/>
              <w:right w:val="single" w:color="auto" w:sz="8" w:space="0"/>
            </w:tcBorders>
            <w:shd w:val="clear" w:color="auto" w:fill="auto"/>
            <w:vAlign w:val="bottom"/>
          </w:tcPr>
          <w:p w14:paraId="6D049FC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48.91</w:t>
            </w:r>
          </w:p>
        </w:tc>
        <w:tc>
          <w:tcPr>
            <w:tcW w:w="1609" w:type="dxa"/>
            <w:tcBorders>
              <w:top w:val="nil"/>
              <w:left w:val="nil"/>
              <w:bottom w:val="single" w:color="auto" w:sz="8" w:space="0"/>
              <w:right w:val="single" w:color="auto" w:sz="8" w:space="0"/>
            </w:tcBorders>
            <w:shd w:val="clear" w:color="auto" w:fill="auto"/>
            <w:vAlign w:val="bottom"/>
          </w:tcPr>
          <w:p w14:paraId="635B121B">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1829.06</w:t>
            </w:r>
          </w:p>
        </w:tc>
      </w:tr>
      <w:tr w14:paraId="04FDCC3B">
        <w:tblPrEx>
          <w:tblCellMar>
            <w:top w:w="0" w:type="dxa"/>
            <w:left w:w="108" w:type="dxa"/>
            <w:bottom w:w="0" w:type="dxa"/>
            <w:right w:w="108" w:type="dxa"/>
          </w:tblCellMar>
        </w:tblPrEx>
        <w:trPr>
          <w:trHeight w:val="302" w:hRule="atLeast"/>
          <w:jc w:val="center"/>
        </w:trPr>
        <w:tc>
          <w:tcPr>
            <w:tcW w:w="1686" w:type="dxa"/>
            <w:tcBorders>
              <w:top w:val="nil"/>
              <w:left w:val="single" w:color="auto" w:sz="8" w:space="0"/>
              <w:bottom w:val="single" w:color="auto" w:sz="8" w:space="0"/>
              <w:right w:val="single" w:color="auto" w:sz="8" w:space="0"/>
            </w:tcBorders>
            <w:shd w:val="clear" w:color="auto" w:fill="auto"/>
            <w:noWrap/>
            <w:vAlign w:val="bottom"/>
          </w:tcPr>
          <w:p w14:paraId="0DD4F690">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课后托管费收入</w:t>
            </w:r>
          </w:p>
        </w:tc>
        <w:tc>
          <w:tcPr>
            <w:tcW w:w="1184" w:type="dxa"/>
            <w:tcBorders>
              <w:top w:val="nil"/>
              <w:left w:val="nil"/>
              <w:bottom w:val="single" w:color="auto" w:sz="8" w:space="0"/>
              <w:right w:val="single" w:color="auto" w:sz="8" w:space="0"/>
            </w:tcBorders>
            <w:shd w:val="clear" w:color="auto" w:fill="auto"/>
            <w:vAlign w:val="bottom"/>
          </w:tcPr>
          <w:p w14:paraId="2F34CC7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196" w:type="dxa"/>
            <w:tcBorders>
              <w:top w:val="nil"/>
              <w:left w:val="nil"/>
              <w:bottom w:val="single" w:color="auto" w:sz="8" w:space="0"/>
              <w:right w:val="single" w:color="auto" w:sz="8" w:space="0"/>
            </w:tcBorders>
            <w:shd w:val="clear" w:color="auto" w:fill="auto"/>
            <w:vAlign w:val="bottom"/>
          </w:tcPr>
          <w:p w14:paraId="7E4833C8">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189" w:type="dxa"/>
            <w:tcBorders>
              <w:top w:val="nil"/>
              <w:left w:val="nil"/>
              <w:bottom w:val="single" w:color="auto" w:sz="8" w:space="0"/>
              <w:right w:val="single" w:color="auto" w:sz="8" w:space="0"/>
            </w:tcBorders>
            <w:shd w:val="clear" w:color="auto" w:fill="auto"/>
            <w:vAlign w:val="bottom"/>
          </w:tcPr>
          <w:p w14:paraId="500B46FD">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335" w:type="dxa"/>
            <w:tcBorders>
              <w:top w:val="nil"/>
              <w:left w:val="nil"/>
              <w:bottom w:val="single" w:color="auto" w:sz="8" w:space="0"/>
              <w:right w:val="single" w:color="auto" w:sz="8" w:space="0"/>
            </w:tcBorders>
            <w:shd w:val="clear" w:color="auto" w:fill="auto"/>
            <w:vAlign w:val="bottom"/>
          </w:tcPr>
          <w:p w14:paraId="42E98EF1">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295" w:type="dxa"/>
            <w:tcBorders>
              <w:top w:val="nil"/>
              <w:left w:val="nil"/>
              <w:bottom w:val="single" w:color="auto" w:sz="8" w:space="0"/>
              <w:right w:val="single" w:color="auto" w:sz="8" w:space="0"/>
            </w:tcBorders>
            <w:shd w:val="clear" w:color="auto" w:fill="auto"/>
            <w:vAlign w:val="bottom"/>
          </w:tcPr>
          <w:p w14:paraId="0CC57D4D">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568.51</w:t>
            </w:r>
          </w:p>
        </w:tc>
        <w:tc>
          <w:tcPr>
            <w:tcW w:w="1435" w:type="dxa"/>
            <w:tcBorders>
              <w:top w:val="nil"/>
              <w:left w:val="nil"/>
              <w:bottom w:val="single" w:color="auto" w:sz="8" w:space="0"/>
              <w:right w:val="single" w:color="auto" w:sz="8" w:space="0"/>
            </w:tcBorders>
            <w:shd w:val="clear" w:color="auto" w:fill="auto"/>
            <w:vAlign w:val="bottom"/>
          </w:tcPr>
          <w:p w14:paraId="7DA85601">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284.26</w:t>
            </w:r>
          </w:p>
        </w:tc>
        <w:tc>
          <w:tcPr>
            <w:tcW w:w="1609" w:type="dxa"/>
            <w:tcBorders>
              <w:top w:val="nil"/>
              <w:left w:val="nil"/>
              <w:bottom w:val="single" w:color="auto" w:sz="8" w:space="0"/>
              <w:right w:val="single" w:color="auto" w:sz="8" w:space="0"/>
            </w:tcBorders>
            <w:shd w:val="clear" w:color="auto" w:fill="auto"/>
            <w:vAlign w:val="bottom"/>
          </w:tcPr>
          <w:p w14:paraId="2B827371">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10631.15</w:t>
            </w:r>
          </w:p>
        </w:tc>
      </w:tr>
      <w:tr w14:paraId="4BAF901E">
        <w:tblPrEx>
          <w:tblCellMar>
            <w:top w:w="0" w:type="dxa"/>
            <w:left w:w="108" w:type="dxa"/>
            <w:bottom w:w="0" w:type="dxa"/>
            <w:right w:w="108" w:type="dxa"/>
          </w:tblCellMar>
        </w:tblPrEx>
        <w:trPr>
          <w:trHeight w:val="302" w:hRule="atLeast"/>
          <w:jc w:val="center"/>
        </w:trPr>
        <w:tc>
          <w:tcPr>
            <w:tcW w:w="1686" w:type="dxa"/>
            <w:tcBorders>
              <w:top w:val="nil"/>
              <w:left w:val="single" w:color="auto" w:sz="8" w:space="0"/>
              <w:bottom w:val="single" w:color="auto" w:sz="8" w:space="0"/>
              <w:right w:val="single" w:color="auto" w:sz="8" w:space="0"/>
            </w:tcBorders>
            <w:shd w:val="clear" w:color="auto" w:fill="auto"/>
            <w:noWrap/>
            <w:vAlign w:val="bottom"/>
          </w:tcPr>
          <w:p w14:paraId="7816A8B3">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i w:val="0"/>
                <w:iCs w:val="0"/>
                <w:color w:val="000000"/>
                <w:kern w:val="0"/>
                <w:sz w:val="20"/>
                <w:szCs w:val="20"/>
                <w:u w:val="none"/>
                <w:lang w:val="en-US" w:eastAsia="zh-CN" w:bidi="ar"/>
              </w:rPr>
            </w:pPr>
            <w:r>
              <w:rPr>
                <w:rFonts w:hint="eastAsia" w:ascii="华文细黑" w:hAnsi="华文细黑" w:eastAsia="华文细黑" w:cs="华文细黑"/>
                <w:i w:val="0"/>
                <w:iCs w:val="0"/>
                <w:color w:val="000000"/>
                <w:kern w:val="0"/>
                <w:sz w:val="20"/>
                <w:szCs w:val="20"/>
                <w:u w:val="none"/>
                <w:lang w:val="en-US" w:eastAsia="zh-CN" w:bidi="ar"/>
              </w:rPr>
              <w:t>住宿费收入</w:t>
            </w:r>
          </w:p>
        </w:tc>
        <w:tc>
          <w:tcPr>
            <w:tcW w:w="1184" w:type="dxa"/>
            <w:tcBorders>
              <w:top w:val="nil"/>
              <w:left w:val="nil"/>
              <w:bottom w:val="single" w:color="auto" w:sz="8" w:space="0"/>
              <w:right w:val="single" w:color="auto" w:sz="8" w:space="0"/>
            </w:tcBorders>
            <w:shd w:val="clear" w:color="auto" w:fill="auto"/>
            <w:vAlign w:val="bottom"/>
          </w:tcPr>
          <w:p w14:paraId="637C4C9E">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196" w:type="dxa"/>
            <w:tcBorders>
              <w:top w:val="nil"/>
              <w:left w:val="nil"/>
              <w:bottom w:val="single" w:color="auto" w:sz="8" w:space="0"/>
              <w:right w:val="single" w:color="auto" w:sz="8" w:space="0"/>
            </w:tcBorders>
            <w:shd w:val="clear" w:color="auto" w:fill="auto"/>
            <w:vAlign w:val="bottom"/>
          </w:tcPr>
          <w:p w14:paraId="7753110E">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189" w:type="dxa"/>
            <w:tcBorders>
              <w:top w:val="nil"/>
              <w:left w:val="nil"/>
              <w:bottom w:val="single" w:color="auto" w:sz="8" w:space="0"/>
              <w:right w:val="single" w:color="auto" w:sz="8" w:space="0"/>
            </w:tcBorders>
            <w:shd w:val="clear" w:color="auto" w:fill="auto"/>
            <w:vAlign w:val="bottom"/>
          </w:tcPr>
          <w:p w14:paraId="2D4FB887">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335" w:type="dxa"/>
            <w:tcBorders>
              <w:top w:val="nil"/>
              <w:left w:val="nil"/>
              <w:bottom w:val="single" w:color="auto" w:sz="8" w:space="0"/>
              <w:right w:val="single" w:color="auto" w:sz="8" w:space="0"/>
            </w:tcBorders>
            <w:shd w:val="clear" w:color="auto" w:fill="auto"/>
            <w:vAlign w:val="bottom"/>
          </w:tcPr>
          <w:p w14:paraId="3096420A">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295" w:type="dxa"/>
            <w:tcBorders>
              <w:top w:val="nil"/>
              <w:left w:val="nil"/>
              <w:bottom w:val="single" w:color="auto" w:sz="8" w:space="0"/>
              <w:right w:val="single" w:color="auto" w:sz="8" w:space="0"/>
            </w:tcBorders>
            <w:shd w:val="clear" w:color="auto" w:fill="auto"/>
            <w:vAlign w:val="bottom"/>
          </w:tcPr>
          <w:p w14:paraId="24D5803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118.44</w:t>
            </w:r>
          </w:p>
        </w:tc>
        <w:tc>
          <w:tcPr>
            <w:tcW w:w="1435" w:type="dxa"/>
            <w:tcBorders>
              <w:top w:val="nil"/>
              <w:left w:val="nil"/>
              <w:bottom w:val="single" w:color="auto" w:sz="8" w:space="0"/>
              <w:right w:val="single" w:color="auto" w:sz="8" w:space="0"/>
            </w:tcBorders>
            <w:shd w:val="clear" w:color="auto" w:fill="auto"/>
            <w:vAlign w:val="bottom"/>
          </w:tcPr>
          <w:p w14:paraId="55141A4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59.22</w:t>
            </w:r>
          </w:p>
        </w:tc>
        <w:tc>
          <w:tcPr>
            <w:tcW w:w="1609" w:type="dxa"/>
            <w:tcBorders>
              <w:top w:val="nil"/>
              <w:left w:val="nil"/>
              <w:bottom w:val="single" w:color="auto" w:sz="8" w:space="0"/>
              <w:right w:val="single" w:color="auto" w:sz="8" w:space="0"/>
            </w:tcBorders>
            <w:shd w:val="clear" w:color="auto" w:fill="auto"/>
            <w:vAlign w:val="bottom"/>
          </w:tcPr>
          <w:p w14:paraId="4AF81A19">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2214.83</w:t>
            </w:r>
          </w:p>
        </w:tc>
      </w:tr>
      <w:tr w14:paraId="7D16AE29">
        <w:tblPrEx>
          <w:tblCellMar>
            <w:top w:w="0" w:type="dxa"/>
            <w:left w:w="108" w:type="dxa"/>
            <w:bottom w:w="0" w:type="dxa"/>
            <w:right w:w="108" w:type="dxa"/>
          </w:tblCellMar>
        </w:tblPrEx>
        <w:trPr>
          <w:trHeight w:val="302" w:hRule="atLeast"/>
          <w:jc w:val="center"/>
        </w:trPr>
        <w:tc>
          <w:tcPr>
            <w:tcW w:w="1686" w:type="dxa"/>
            <w:tcBorders>
              <w:top w:val="nil"/>
              <w:left w:val="single" w:color="auto" w:sz="8" w:space="0"/>
              <w:bottom w:val="single" w:color="auto" w:sz="4" w:space="0"/>
              <w:right w:val="single" w:color="auto" w:sz="8" w:space="0"/>
            </w:tcBorders>
            <w:shd w:val="clear" w:color="auto" w:fill="auto"/>
            <w:noWrap/>
            <w:vAlign w:val="bottom"/>
          </w:tcPr>
          <w:p w14:paraId="19F81BD3">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其他收入</w:t>
            </w:r>
          </w:p>
        </w:tc>
        <w:tc>
          <w:tcPr>
            <w:tcW w:w="1184" w:type="dxa"/>
            <w:tcBorders>
              <w:top w:val="nil"/>
              <w:left w:val="nil"/>
              <w:bottom w:val="single" w:color="auto" w:sz="4" w:space="0"/>
              <w:right w:val="single" w:color="auto" w:sz="8" w:space="0"/>
            </w:tcBorders>
            <w:shd w:val="clear" w:color="auto" w:fill="auto"/>
            <w:vAlign w:val="bottom"/>
          </w:tcPr>
          <w:p w14:paraId="6B68ACC3">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196" w:type="dxa"/>
            <w:tcBorders>
              <w:top w:val="nil"/>
              <w:left w:val="nil"/>
              <w:bottom w:val="single" w:color="auto" w:sz="4" w:space="0"/>
              <w:right w:val="single" w:color="auto" w:sz="8" w:space="0"/>
            </w:tcBorders>
            <w:shd w:val="clear" w:color="auto" w:fill="auto"/>
            <w:vAlign w:val="bottom"/>
          </w:tcPr>
          <w:p w14:paraId="2A5B1F48">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189" w:type="dxa"/>
            <w:tcBorders>
              <w:top w:val="nil"/>
              <w:left w:val="nil"/>
              <w:bottom w:val="single" w:color="auto" w:sz="4" w:space="0"/>
              <w:right w:val="single" w:color="auto" w:sz="8" w:space="0"/>
            </w:tcBorders>
            <w:shd w:val="clear" w:color="auto" w:fill="auto"/>
            <w:vAlign w:val="bottom"/>
          </w:tcPr>
          <w:p w14:paraId="112F27E8">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335" w:type="dxa"/>
            <w:tcBorders>
              <w:top w:val="nil"/>
              <w:left w:val="nil"/>
              <w:bottom w:val="single" w:color="auto" w:sz="4" w:space="0"/>
              <w:right w:val="single" w:color="auto" w:sz="8" w:space="0"/>
            </w:tcBorders>
            <w:shd w:val="clear" w:color="auto" w:fill="auto"/>
            <w:vAlign w:val="bottom"/>
          </w:tcPr>
          <w:p w14:paraId="62DB1527">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295" w:type="dxa"/>
            <w:tcBorders>
              <w:top w:val="nil"/>
              <w:left w:val="nil"/>
              <w:bottom w:val="single" w:color="auto" w:sz="4" w:space="0"/>
              <w:right w:val="single" w:color="auto" w:sz="8" w:space="0"/>
            </w:tcBorders>
            <w:shd w:val="clear" w:color="auto" w:fill="auto"/>
            <w:vAlign w:val="bottom"/>
          </w:tcPr>
          <w:p w14:paraId="7C8BE289">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147.41</w:t>
            </w:r>
          </w:p>
        </w:tc>
        <w:tc>
          <w:tcPr>
            <w:tcW w:w="1435" w:type="dxa"/>
            <w:tcBorders>
              <w:top w:val="nil"/>
              <w:left w:val="nil"/>
              <w:bottom w:val="single" w:color="auto" w:sz="4" w:space="0"/>
              <w:right w:val="single" w:color="auto" w:sz="8" w:space="0"/>
            </w:tcBorders>
            <w:shd w:val="clear" w:color="auto" w:fill="auto"/>
            <w:vAlign w:val="bottom"/>
          </w:tcPr>
          <w:p w14:paraId="16EDEEE0">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73.71</w:t>
            </w:r>
          </w:p>
        </w:tc>
        <w:tc>
          <w:tcPr>
            <w:tcW w:w="1609" w:type="dxa"/>
            <w:tcBorders>
              <w:top w:val="nil"/>
              <w:left w:val="nil"/>
              <w:bottom w:val="single" w:color="auto" w:sz="4" w:space="0"/>
              <w:right w:val="single" w:color="auto" w:sz="8" w:space="0"/>
            </w:tcBorders>
            <w:shd w:val="clear" w:color="auto" w:fill="auto"/>
            <w:vAlign w:val="bottom"/>
          </w:tcPr>
          <w:p w14:paraId="433A1552">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2756.58</w:t>
            </w:r>
          </w:p>
        </w:tc>
      </w:tr>
      <w:tr w14:paraId="51EA5F94">
        <w:tblPrEx>
          <w:tblCellMar>
            <w:top w:w="0" w:type="dxa"/>
            <w:left w:w="108" w:type="dxa"/>
            <w:bottom w:w="0" w:type="dxa"/>
            <w:right w:w="108" w:type="dxa"/>
          </w:tblCellMar>
        </w:tblPrEx>
        <w:trPr>
          <w:trHeight w:val="302" w:hRule="atLeast"/>
          <w:jc w:val="center"/>
        </w:trPr>
        <w:tc>
          <w:tcPr>
            <w:tcW w:w="1686"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70644028">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b/>
                <w:bCs/>
                <w:color w:val="000000"/>
                <w:sz w:val="20"/>
                <w:szCs w:val="20"/>
              </w:rPr>
            </w:pPr>
            <w:r>
              <w:rPr>
                <w:rFonts w:hint="eastAsia" w:ascii="华文细黑" w:hAnsi="华文细黑" w:eastAsia="华文细黑" w:cs="华文细黑"/>
                <w:b/>
                <w:bCs/>
                <w:i w:val="0"/>
                <w:iCs w:val="0"/>
                <w:color w:val="000000"/>
                <w:kern w:val="0"/>
                <w:sz w:val="20"/>
                <w:szCs w:val="20"/>
                <w:u w:val="none"/>
                <w:lang w:val="en-US" w:eastAsia="zh-CN" w:bidi="ar"/>
              </w:rPr>
              <w:t>成本估算</w:t>
            </w:r>
          </w:p>
        </w:tc>
        <w:tc>
          <w:tcPr>
            <w:tcW w:w="1184"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57EA6E9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196"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427A967">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189"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E111324">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335"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7B7963AF">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295"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396735BB">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118.04</w:t>
            </w:r>
          </w:p>
        </w:tc>
        <w:tc>
          <w:tcPr>
            <w:tcW w:w="1435"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730BCC60">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59.02</w:t>
            </w:r>
          </w:p>
        </w:tc>
        <w:tc>
          <w:tcPr>
            <w:tcW w:w="1609" w:type="dxa"/>
            <w:tcBorders>
              <w:top w:val="single" w:color="auto" w:sz="4" w:space="0"/>
              <w:left w:val="single" w:color="auto" w:sz="4" w:space="0"/>
              <w:bottom w:val="single" w:color="auto" w:sz="4" w:space="0"/>
              <w:right w:val="single" w:color="auto" w:sz="4" w:space="0"/>
            </w:tcBorders>
            <w:shd w:val="clear" w:color="auto" w:fill="D3DFEE"/>
            <w:noWrap/>
            <w:vAlign w:val="bottom"/>
          </w:tcPr>
          <w:p w14:paraId="0FF4E061">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2207.35</w:t>
            </w:r>
          </w:p>
        </w:tc>
      </w:tr>
      <w:tr w14:paraId="766D350E">
        <w:tblPrEx>
          <w:tblCellMar>
            <w:top w:w="0" w:type="dxa"/>
            <w:left w:w="108" w:type="dxa"/>
            <w:bottom w:w="0" w:type="dxa"/>
            <w:right w:w="108" w:type="dxa"/>
          </w:tblCellMar>
        </w:tblPrEx>
        <w:trPr>
          <w:trHeight w:val="302" w:hRule="atLeast"/>
          <w:jc w:val="center"/>
        </w:trPr>
        <w:tc>
          <w:tcPr>
            <w:tcW w:w="1686" w:type="dxa"/>
            <w:tcBorders>
              <w:top w:val="single" w:color="auto" w:sz="4" w:space="0"/>
              <w:left w:val="single" w:color="auto" w:sz="4" w:space="0"/>
              <w:bottom w:val="single" w:color="auto" w:sz="4" w:space="0"/>
              <w:right w:val="single" w:color="auto" w:sz="4" w:space="0"/>
            </w:tcBorders>
            <w:shd w:val="clear" w:color="auto" w:fill="auto"/>
            <w:noWrap/>
            <w:vAlign w:val="bottom"/>
          </w:tcPr>
          <w:p w14:paraId="56F6C253">
            <w:pPr>
              <w:keepNext w:val="0"/>
              <w:keepLines w:val="0"/>
              <w:widowControl/>
              <w:suppressLineNumbers w:val="0"/>
              <w:spacing w:before="0" w:beforeAutospacing="0" w:after="0" w:afterAutospacing="0"/>
              <w:ind w:left="0" w:leftChars="0" w:right="0" w:rightChars="0"/>
              <w:jc w:val="left"/>
              <w:textAlignment w:val="bottom"/>
              <w:rPr>
                <w:rFonts w:hint="default" w:ascii="华文细黑" w:hAnsi="华文细黑" w:eastAsia="华文细黑" w:cs="Arial"/>
                <w:color w:val="000000"/>
                <w:sz w:val="20"/>
                <w:szCs w:val="20"/>
              </w:rPr>
            </w:pPr>
            <w:r>
              <w:rPr>
                <w:rFonts w:hint="eastAsia" w:ascii="华文细黑" w:hAnsi="华文细黑" w:eastAsia="华文细黑" w:cs="华文细黑"/>
                <w:i w:val="0"/>
                <w:iCs w:val="0"/>
                <w:color w:val="000000"/>
                <w:kern w:val="0"/>
                <w:sz w:val="20"/>
                <w:szCs w:val="20"/>
                <w:u w:val="none"/>
                <w:lang w:val="en-US" w:eastAsia="zh-CN" w:bidi="ar"/>
              </w:rPr>
              <w:t>水电费</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14:paraId="52E4B368">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bottom"/>
          </w:tcPr>
          <w:p w14:paraId="5DBC1EB0">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189" w:type="dxa"/>
            <w:tcBorders>
              <w:top w:val="single" w:color="auto" w:sz="4" w:space="0"/>
              <w:left w:val="single" w:color="auto" w:sz="4" w:space="0"/>
              <w:bottom w:val="single" w:color="auto" w:sz="4" w:space="0"/>
              <w:right w:val="single" w:color="auto" w:sz="4" w:space="0"/>
            </w:tcBorders>
            <w:shd w:val="clear" w:color="auto" w:fill="auto"/>
            <w:vAlign w:val="bottom"/>
          </w:tcPr>
          <w:p w14:paraId="72B3CE07">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bottom"/>
          </w:tcPr>
          <w:p w14:paraId="1536567A">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295" w:type="dxa"/>
            <w:tcBorders>
              <w:top w:val="single" w:color="auto" w:sz="4" w:space="0"/>
              <w:left w:val="single" w:color="auto" w:sz="4" w:space="0"/>
              <w:bottom w:val="single" w:color="auto" w:sz="4" w:space="0"/>
              <w:right w:val="single" w:color="auto" w:sz="4" w:space="0"/>
            </w:tcBorders>
            <w:shd w:val="clear" w:color="auto" w:fill="auto"/>
            <w:vAlign w:val="bottom"/>
          </w:tcPr>
          <w:p w14:paraId="1B2256D6">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68.04</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bottom"/>
          </w:tcPr>
          <w:p w14:paraId="3913E4B7">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34.02</w:t>
            </w:r>
          </w:p>
        </w:tc>
        <w:tc>
          <w:tcPr>
            <w:tcW w:w="1609" w:type="dxa"/>
            <w:tcBorders>
              <w:top w:val="single" w:color="auto" w:sz="4" w:space="0"/>
              <w:left w:val="single" w:color="auto" w:sz="4" w:space="0"/>
              <w:bottom w:val="single" w:color="auto" w:sz="4" w:space="0"/>
              <w:right w:val="single" w:color="auto" w:sz="4" w:space="0"/>
            </w:tcBorders>
            <w:shd w:val="clear" w:color="auto" w:fill="auto"/>
            <w:vAlign w:val="bottom"/>
          </w:tcPr>
          <w:p w14:paraId="02DB861C">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1272.35</w:t>
            </w:r>
          </w:p>
        </w:tc>
      </w:tr>
      <w:tr w14:paraId="1A614DFD">
        <w:tblPrEx>
          <w:tblCellMar>
            <w:top w:w="0" w:type="dxa"/>
            <w:left w:w="108" w:type="dxa"/>
            <w:bottom w:w="0" w:type="dxa"/>
            <w:right w:w="108" w:type="dxa"/>
          </w:tblCellMar>
        </w:tblPrEx>
        <w:trPr>
          <w:trHeight w:val="302" w:hRule="atLeast"/>
          <w:jc w:val="center"/>
        </w:trPr>
        <w:tc>
          <w:tcPr>
            <w:tcW w:w="1686" w:type="dxa"/>
            <w:tcBorders>
              <w:top w:val="single" w:color="auto" w:sz="4" w:space="0"/>
              <w:left w:val="single" w:color="auto" w:sz="4" w:space="0"/>
              <w:bottom w:val="single" w:color="auto" w:sz="4" w:space="0"/>
              <w:right w:val="single" w:color="auto" w:sz="4" w:space="0"/>
            </w:tcBorders>
            <w:shd w:val="clear" w:color="auto" w:fill="auto"/>
            <w:noWrap/>
            <w:vAlign w:val="bottom"/>
          </w:tcPr>
          <w:p w14:paraId="3D43058D">
            <w:pPr>
              <w:keepNext w:val="0"/>
              <w:keepLines w:val="0"/>
              <w:widowControl/>
              <w:suppressLineNumbers w:val="0"/>
              <w:spacing w:before="0" w:beforeAutospacing="0" w:after="0" w:afterAutospacing="0"/>
              <w:ind w:left="0" w:leftChars="0" w:right="0" w:rightChars="0"/>
              <w:jc w:val="left"/>
              <w:textAlignment w:val="bottom"/>
              <w:rPr>
                <w:rFonts w:hint="eastAsia" w:ascii="华文细黑" w:hAnsi="华文细黑" w:eastAsia="华文细黑" w:cs="华文细黑"/>
                <w:color w:val="000000"/>
                <w:kern w:val="0"/>
                <w:sz w:val="20"/>
                <w:szCs w:val="20"/>
                <w:lang w:bidi="ar"/>
              </w:rPr>
            </w:pPr>
            <w:r>
              <w:rPr>
                <w:rFonts w:hint="eastAsia" w:ascii="华文细黑" w:hAnsi="华文细黑" w:eastAsia="华文细黑" w:cs="华文细黑"/>
                <w:i w:val="0"/>
                <w:iCs w:val="0"/>
                <w:color w:val="000000"/>
                <w:kern w:val="0"/>
                <w:sz w:val="20"/>
                <w:szCs w:val="20"/>
                <w:u w:val="none"/>
                <w:lang w:val="en-US" w:eastAsia="zh-CN" w:bidi="ar"/>
              </w:rPr>
              <w:t>伙食费成本</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bottom"/>
          </w:tcPr>
          <w:p w14:paraId="1BF7436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196" w:type="dxa"/>
            <w:tcBorders>
              <w:top w:val="single" w:color="auto" w:sz="4" w:space="0"/>
              <w:left w:val="single" w:color="auto" w:sz="4" w:space="0"/>
              <w:bottom w:val="single" w:color="auto" w:sz="4" w:space="0"/>
              <w:right w:val="single" w:color="auto" w:sz="4" w:space="0"/>
            </w:tcBorders>
            <w:shd w:val="clear" w:color="auto" w:fill="auto"/>
            <w:vAlign w:val="bottom"/>
          </w:tcPr>
          <w:p w14:paraId="0C69A027">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189" w:type="dxa"/>
            <w:tcBorders>
              <w:top w:val="single" w:color="auto" w:sz="4" w:space="0"/>
              <w:left w:val="single" w:color="auto" w:sz="4" w:space="0"/>
              <w:bottom w:val="single" w:color="auto" w:sz="4" w:space="0"/>
              <w:right w:val="single" w:color="auto" w:sz="4" w:space="0"/>
            </w:tcBorders>
            <w:shd w:val="clear" w:color="auto" w:fill="auto"/>
            <w:vAlign w:val="bottom"/>
          </w:tcPr>
          <w:p w14:paraId="3E84F64C">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bottom"/>
          </w:tcPr>
          <w:p w14:paraId="70344983">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295" w:type="dxa"/>
            <w:tcBorders>
              <w:top w:val="single" w:color="auto" w:sz="4" w:space="0"/>
              <w:left w:val="single" w:color="auto" w:sz="4" w:space="0"/>
              <w:bottom w:val="single" w:color="auto" w:sz="4" w:space="0"/>
              <w:right w:val="single" w:color="auto" w:sz="4" w:space="0"/>
            </w:tcBorders>
            <w:shd w:val="clear" w:color="auto" w:fill="auto"/>
            <w:vAlign w:val="bottom"/>
          </w:tcPr>
          <w:p w14:paraId="225EDB82">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50</w:t>
            </w:r>
          </w:p>
        </w:tc>
        <w:tc>
          <w:tcPr>
            <w:tcW w:w="1435" w:type="dxa"/>
            <w:tcBorders>
              <w:top w:val="single" w:color="auto" w:sz="4" w:space="0"/>
              <w:left w:val="single" w:color="auto" w:sz="4" w:space="0"/>
              <w:bottom w:val="single" w:color="auto" w:sz="4" w:space="0"/>
              <w:right w:val="single" w:color="auto" w:sz="4" w:space="0"/>
            </w:tcBorders>
            <w:shd w:val="clear" w:color="auto" w:fill="auto"/>
            <w:vAlign w:val="bottom"/>
          </w:tcPr>
          <w:p w14:paraId="637B7A35">
            <w:pPr>
              <w:keepNext w:val="0"/>
              <w:keepLines w:val="0"/>
              <w:widowControl/>
              <w:suppressLineNumbers w:val="0"/>
              <w:spacing w:before="0" w:beforeAutospacing="0" w:after="0" w:afterAutospacing="0"/>
              <w:ind w:left="0" w:leftChars="0" w:right="0" w:rightChars="0"/>
              <w:jc w:val="right"/>
              <w:textAlignment w:val="bottom"/>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25</w:t>
            </w:r>
          </w:p>
        </w:tc>
        <w:tc>
          <w:tcPr>
            <w:tcW w:w="1609" w:type="dxa"/>
            <w:tcBorders>
              <w:top w:val="single" w:color="auto" w:sz="4" w:space="0"/>
              <w:left w:val="single" w:color="auto" w:sz="4" w:space="0"/>
              <w:bottom w:val="single" w:color="auto" w:sz="4" w:space="0"/>
              <w:right w:val="single" w:color="auto" w:sz="4" w:space="0"/>
            </w:tcBorders>
            <w:shd w:val="clear" w:color="auto" w:fill="auto"/>
            <w:vAlign w:val="bottom"/>
          </w:tcPr>
          <w:p w14:paraId="75110D35">
            <w:pPr>
              <w:keepNext w:val="0"/>
              <w:keepLines w:val="0"/>
              <w:widowControl/>
              <w:suppressLineNumbers w:val="0"/>
              <w:spacing w:before="0" w:beforeAutospacing="0" w:after="0" w:afterAutospacing="0"/>
              <w:ind w:left="0" w:leftChars="0" w:right="0" w:rightChars="0"/>
              <w:jc w:val="right"/>
              <w:textAlignment w:val="bottom"/>
              <w:rPr>
                <w:rFonts w:hint="eastAsia" w:ascii="Verdana" w:hAnsi="Verdana" w:eastAsia="宋体" w:cs="Verdana"/>
                <w:b/>
                <w:bCs/>
                <w:i w:val="0"/>
                <w:iCs w:val="0"/>
                <w:color w:val="000000"/>
                <w:kern w:val="0"/>
                <w:sz w:val="20"/>
                <w:szCs w:val="20"/>
                <w:u w:val="none"/>
                <w:lang w:val="en-US" w:eastAsia="zh-CN" w:bidi="ar"/>
              </w:rPr>
            </w:pPr>
            <w:r>
              <w:rPr>
                <w:rFonts w:hint="default" w:ascii="Verdana" w:hAnsi="Verdana" w:eastAsia="宋体" w:cs="Verdana"/>
                <w:b/>
                <w:bCs/>
                <w:i w:val="0"/>
                <w:iCs w:val="0"/>
                <w:color w:val="000000"/>
                <w:kern w:val="0"/>
                <w:sz w:val="20"/>
                <w:szCs w:val="20"/>
                <w:u w:val="none"/>
                <w:lang w:val="en-US" w:eastAsia="zh-CN" w:bidi="ar"/>
              </w:rPr>
              <w:t>935</w:t>
            </w:r>
          </w:p>
        </w:tc>
      </w:tr>
    </w:tbl>
    <w:p w14:paraId="20CBA8F6">
      <w:pPr>
        <w:widowControl/>
        <w:spacing w:before="120" w:after="120" w:line="520" w:lineRule="exact"/>
        <w:ind w:firstLine="480" w:firstLineChars="200"/>
        <w:rPr>
          <w:rFonts w:ascii="Verdana" w:hAnsi="Verdana" w:eastAsia="华文细黑" w:cs="Times New Roman"/>
          <w:color w:val="000000"/>
          <w:kern w:val="0"/>
          <w:sz w:val="24"/>
          <w:szCs w:val="24"/>
        </w:rPr>
      </w:pPr>
      <w:r>
        <w:rPr>
          <w:rFonts w:ascii="Times New Roman" w:hAnsi="Times New Roman" w:eastAsia="华文细黑" w:cs="Arial"/>
          <w:color w:val="000000"/>
          <w:kern w:val="0"/>
          <w:sz w:val="24"/>
          <w:szCs w:val="24"/>
        </w:rPr>
        <w:t>按照预估的</w:t>
      </w:r>
      <w:r>
        <w:rPr>
          <w:rFonts w:hint="eastAsia" w:ascii="Times New Roman" w:hAnsi="Times New Roman" w:eastAsia="华文细黑" w:cs="Arial"/>
          <w:color w:val="000000"/>
          <w:kern w:val="0"/>
          <w:sz w:val="24"/>
          <w:szCs w:val="24"/>
        </w:rPr>
        <w:t>运营收入</w:t>
      </w:r>
      <w:r>
        <w:rPr>
          <w:rFonts w:ascii="Times New Roman" w:hAnsi="Times New Roman" w:eastAsia="华文细黑" w:cs="Arial"/>
          <w:color w:val="000000"/>
          <w:kern w:val="0"/>
          <w:sz w:val="24"/>
          <w:szCs w:val="24"/>
        </w:rPr>
        <w:t>及</w:t>
      </w:r>
      <w:r>
        <w:rPr>
          <w:rFonts w:hint="eastAsia" w:ascii="Times New Roman" w:hAnsi="Times New Roman" w:eastAsia="华文细黑" w:cs="Arial"/>
          <w:color w:val="000000"/>
          <w:kern w:val="0"/>
          <w:sz w:val="24"/>
          <w:szCs w:val="24"/>
        </w:rPr>
        <w:t>运营</w:t>
      </w:r>
      <w:r>
        <w:rPr>
          <w:rFonts w:ascii="Times New Roman" w:hAnsi="Times New Roman" w:eastAsia="华文细黑" w:cs="Arial"/>
          <w:color w:val="000000"/>
          <w:kern w:val="0"/>
          <w:sz w:val="24"/>
          <w:szCs w:val="24"/>
        </w:rPr>
        <w:t>成本，</w:t>
      </w:r>
      <w:r>
        <w:rPr>
          <w:rFonts w:hint="eastAsia" w:ascii="Times New Roman" w:hAnsi="Times New Roman" w:eastAsia="华文细黑" w:cs="Arial"/>
          <w:color w:val="000000"/>
          <w:kern w:val="0"/>
          <w:sz w:val="24"/>
          <w:szCs w:val="24"/>
        </w:rPr>
        <w:t>在项目存续期间有稳定的收入，</w:t>
      </w:r>
      <w:r>
        <w:rPr>
          <w:rFonts w:ascii="Verdana" w:hAnsi="Verdana" w:eastAsia="华文细黑" w:cs="Times New Roman"/>
          <w:color w:val="000000"/>
          <w:kern w:val="0"/>
          <w:sz w:val="24"/>
          <w:szCs w:val="24"/>
        </w:rPr>
        <w:t>可稳定覆盖债券存续期间各年利息及到期偿还本金的支出需求。因此，</w:t>
      </w:r>
      <w:r>
        <w:rPr>
          <w:rFonts w:hint="eastAsia" w:ascii="Verdana" w:hAnsi="Verdana" w:eastAsia="华文细黑" w:cs="Times New Roman"/>
          <w:color w:val="000000"/>
          <w:kern w:val="0"/>
          <w:sz w:val="24"/>
          <w:szCs w:val="24"/>
        </w:rPr>
        <w:t>本次专项债券</w:t>
      </w:r>
      <w:r>
        <w:rPr>
          <w:rFonts w:ascii="Verdana" w:hAnsi="Verdana" w:eastAsia="华文细黑" w:cs="Times New Roman"/>
          <w:color w:val="000000"/>
          <w:kern w:val="0"/>
          <w:sz w:val="24"/>
          <w:szCs w:val="24"/>
        </w:rPr>
        <w:t>项目资金稳定性较可靠。</w:t>
      </w:r>
      <w:r>
        <w:rPr>
          <w:rFonts w:hint="eastAsia" w:ascii="Verdana" w:hAnsi="Verdana" w:eastAsia="华文细黑" w:cs="Times New Roman"/>
          <w:color w:val="000000"/>
          <w:kern w:val="0"/>
          <w:sz w:val="24"/>
          <w:szCs w:val="24"/>
          <w:lang w:val="en-US" w:eastAsia="zh-CN"/>
        </w:rPr>
        <w:t>本</w:t>
      </w:r>
      <w:r>
        <w:rPr>
          <w:rFonts w:ascii="Verdana" w:hAnsi="Verdana" w:eastAsia="华文细黑" w:cs="Times New Roman"/>
          <w:color w:val="000000"/>
          <w:kern w:val="0"/>
          <w:sz w:val="24"/>
          <w:szCs w:val="24"/>
        </w:rPr>
        <w:t>项目债券存续期内资金留存情况如</w:t>
      </w:r>
      <w:r>
        <w:rPr>
          <w:rFonts w:hint="eastAsia" w:ascii="Verdana" w:hAnsi="Verdana" w:eastAsia="华文细黑" w:cs="Times New Roman"/>
          <w:color w:val="000000"/>
          <w:kern w:val="0"/>
          <w:sz w:val="24"/>
          <w:szCs w:val="24"/>
        </w:rPr>
        <w:t>下图</w:t>
      </w:r>
      <w:r>
        <w:rPr>
          <w:rFonts w:ascii="Verdana" w:hAnsi="Verdana" w:eastAsia="华文细黑" w:cs="Times New Roman"/>
          <w:color w:val="000000"/>
          <w:kern w:val="0"/>
          <w:sz w:val="24"/>
          <w:szCs w:val="24"/>
        </w:rPr>
        <w:t>所示。</w:t>
      </w:r>
    </w:p>
    <w:p w14:paraId="33FDE7A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华文细黑" w:hAnsi="华文细黑" w:eastAsia="华文细黑" w:cs="华文细黑"/>
          <w:b/>
          <w:color w:val="000000"/>
          <w:kern w:val="0"/>
          <w:sz w:val="24"/>
          <w:szCs w:val="24"/>
          <w:lang w:bidi="ar"/>
        </w:rPr>
      </w:pPr>
      <w:r>
        <w:rPr>
          <w:rFonts w:ascii="华文细黑" w:hAnsi="华文细黑" w:eastAsia="华文细黑" w:cs="华文细黑"/>
          <w:b/>
          <w:color w:val="000000"/>
          <w:kern w:val="0"/>
          <w:sz w:val="24"/>
          <w:szCs w:val="24"/>
          <w:lang w:bidi="ar"/>
        </w:rPr>
        <w:t>图</w:t>
      </w:r>
      <w:r>
        <w:rPr>
          <w:rFonts w:hint="eastAsia" w:ascii="华文细黑" w:hAnsi="华文细黑" w:eastAsia="华文细黑" w:cs="华文细黑"/>
          <w:b/>
          <w:color w:val="000000"/>
          <w:kern w:val="0"/>
          <w:sz w:val="24"/>
          <w:szCs w:val="24"/>
          <w:lang w:val="en-US" w:eastAsia="zh-CN" w:bidi="ar"/>
        </w:rPr>
        <w:t>1</w:t>
      </w:r>
      <w:r>
        <w:rPr>
          <w:rFonts w:ascii="华文细黑" w:hAnsi="华文细黑" w:eastAsia="华文细黑" w:cs="华文细黑"/>
          <w:b/>
          <w:color w:val="000000"/>
          <w:kern w:val="0"/>
          <w:sz w:val="24"/>
          <w:szCs w:val="24"/>
          <w:lang w:bidi="ar"/>
        </w:rPr>
        <w:t>债券存续期内</w:t>
      </w:r>
      <w:r>
        <w:rPr>
          <w:rFonts w:hint="eastAsia" w:ascii="华文细黑" w:hAnsi="华文细黑" w:eastAsia="华文细黑" w:cs="华文细黑"/>
          <w:b/>
          <w:color w:val="000000"/>
          <w:kern w:val="0"/>
          <w:sz w:val="24"/>
          <w:szCs w:val="24"/>
          <w:lang w:eastAsia="zh-CN" w:bidi="ar"/>
        </w:rPr>
        <w:t>海口江东新区CBD南片区幼儿园及配套基础设施项目</w:t>
      </w:r>
      <w:r>
        <w:rPr>
          <w:rFonts w:ascii="华文细黑" w:hAnsi="华文细黑" w:eastAsia="华文细黑" w:cs="华文细黑"/>
          <w:b/>
          <w:color w:val="000000"/>
          <w:kern w:val="0"/>
          <w:sz w:val="24"/>
          <w:szCs w:val="24"/>
          <w:lang w:bidi="ar"/>
        </w:rPr>
        <w:t>资金留存情况</w:t>
      </w:r>
    </w:p>
    <w:p w14:paraId="531865D4">
      <w:pPr>
        <w:keepNext w:val="0"/>
        <w:keepLines w:val="0"/>
        <w:pageBreakBefore w:val="0"/>
        <w:widowControl w:val="0"/>
        <w:kinsoku/>
        <w:wordWrap/>
        <w:overflowPunct/>
        <w:topLinePunct w:val="0"/>
        <w:autoSpaceDE/>
        <w:autoSpaceDN/>
        <w:bidi w:val="0"/>
        <w:adjustRightInd/>
        <w:snapToGrid/>
        <w:spacing w:before="120" w:after="120" w:line="240" w:lineRule="auto"/>
        <w:textAlignment w:val="auto"/>
      </w:pPr>
      <w:r>
        <w:drawing>
          <wp:inline distT="0" distB="0" distL="114300" distR="114300">
            <wp:extent cx="5271770" cy="184594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1770" cy="1845945"/>
                    </a:xfrm>
                    <a:prstGeom prst="rect">
                      <a:avLst/>
                    </a:prstGeom>
                    <a:noFill/>
                    <a:ln>
                      <a:noFill/>
                    </a:ln>
                  </pic:spPr>
                </pic:pic>
              </a:graphicData>
            </a:graphic>
          </wp:inline>
        </w:drawing>
      </w:r>
    </w:p>
    <w:p w14:paraId="61BCFD37">
      <w:pPr>
        <w:keepNext w:val="0"/>
        <w:keepLines w:val="0"/>
        <w:pageBreakBefore w:val="0"/>
        <w:widowControl w:val="0"/>
        <w:kinsoku/>
        <w:wordWrap/>
        <w:overflowPunct/>
        <w:topLinePunct w:val="0"/>
        <w:autoSpaceDE/>
        <w:autoSpaceDN/>
        <w:bidi w:val="0"/>
        <w:adjustRightInd/>
        <w:snapToGrid/>
        <w:spacing w:after="0" w:line="520" w:lineRule="exact"/>
        <w:ind w:left="210" w:leftChars="100" w:firstLine="480" w:firstLineChars="200"/>
        <w:jc w:val="both"/>
        <w:textAlignment w:val="auto"/>
        <w:rPr>
          <w:rFonts w:hint="eastAsia" w:ascii="华文细黑" w:hAnsi="华文细黑" w:eastAsia="华文细黑" w:cs="华文细黑"/>
          <w:sz w:val="24"/>
          <w:szCs w:val="24"/>
          <w:lang w:val="en-GB"/>
        </w:rPr>
      </w:pPr>
      <w:r>
        <w:rPr>
          <w:rFonts w:hint="eastAsia" w:ascii="华文细黑" w:hAnsi="华文细黑" w:eastAsia="华文细黑" w:cs="华文细黑"/>
          <w:sz w:val="24"/>
          <w:szCs w:val="24"/>
          <w:lang w:val="en-GB"/>
        </w:rPr>
        <w:t>综上，针对项目在本期专项债券存续期内还本付息资金的测算，我们未注意到可能对本项目资金稳定性产生重大影响的情况。</w:t>
      </w:r>
    </w:p>
    <w:p w14:paraId="40646EBC">
      <w:pPr>
        <w:spacing w:before="240" w:after="120" w:line="360" w:lineRule="auto"/>
        <w:ind w:firstLine="480" w:firstLineChars="200"/>
        <w:outlineLvl w:val="0"/>
        <w:rPr>
          <w:rFonts w:hint="eastAsia" w:ascii="华文细黑" w:hAnsi="华文细黑" w:eastAsia="华文细黑"/>
          <w:b/>
          <w:sz w:val="24"/>
          <w:szCs w:val="24"/>
        </w:rPr>
      </w:pPr>
      <w:bookmarkStart w:id="26" w:name="_Toc15688"/>
      <w:r>
        <w:rPr>
          <w:rFonts w:hint="eastAsia" w:ascii="华文细黑" w:hAnsi="华文细黑" w:eastAsia="华文细黑"/>
          <w:b/>
          <w:sz w:val="24"/>
          <w:szCs w:val="24"/>
        </w:rPr>
        <w:t>六、风险分析</w:t>
      </w:r>
      <w:bookmarkEnd w:id="26"/>
    </w:p>
    <w:p w14:paraId="5B6DECC4">
      <w:pPr>
        <w:widowControl/>
        <w:spacing w:after="0" w:line="520" w:lineRule="exact"/>
        <w:ind w:firstLine="480" w:firstLineChars="200"/>
        <w:jc w:val="both"/>
        <w:rPr>
          <w:rFonts w:hint="eastAsia" w:ascii="华文细黑" w:hAnsi="华文细黑" w:eastAsia="华文细黑" w:cs="华文细黑"/>
          <w:color w:val="000000"/>
          <w:kern w:val="0"/>
          <w:sz w:val="24"/>
          <w:szCs w:val="24"/>
          <w:lang w:bidi="ar"/>
        </w:rPr>
      </w:pPr>
      <w:r>
        <w:rPr>
          <w:rFonts w:ascii="华文细黑" w:hAnsi="华文细黑" w:eastAsia="华文细黑" w:cs="华文细黑"/>
          <w:color w:val="000000"/>
          <w:kern w:val="0"/>
          <w:sz w:val="24"/>
          <w:szCs w:val="24"/>
          <w:lang w:bidi="ar"/>
        </w:rPr>
        <w:t>根据</w:t>
      </w:r>
      <w:r>
        <w:rPr>
          <w:rFonts w:hint="eastAsia" w:ascii="华文细黑" w:hAnsi="华文细黑" w:eastAsia="华文细黑" w:cs="华文细黑"/>
          <w:color w:val="000000"/>
          <w:kern w:val="0"/>
          <w:sz w:val="24"/>
          <w:szCs w:val="24"/>
          <w:lang w:val="en-US" w:eastAsia="zh-CN" w:bidi="ar"/>
        </w:rPr>
        <w:t>本</w:t>
      </w:r>
      <w:r>
        <w:rPr>
          <w:rFonts w:hint="eastAsia" w:ascii="华文细黑" w:hAnsi="华文细黑" w:eastAsia="华文细黑" w:cs="华文细黑"/>
          <w:sz w:val="24"/>
          <w:szCs w:val="24"/>
          <w:lang w:val="en-GB"/>
        </w:rPr>
        <w:t>项目收益与融资平衡的压力测试结果，当</w:t>
      </w:r>
      <w:r>
        <w:rPr>
          <w:rFonts w:hint="eastAsia" w:ascii="华文细黑" w:hAnsi="华文细黑" w:eastAsia="华文细黑" w:cs="华文细黑"/>
          <w:sz w:val="24"/>
          <w:szCs w:val="24"/>
          <w:lang w:val="en-US" w:eastAsia="zh-CN"/>
        </w:rPr>
        <w:t>本</w:t>
      </w:r>
      <w:r>
        <w:rPr>
          <w:rFonts w:hint="eastAsia" w:ascii="华文细黑" w:hAnsi="华文细黑" w:eastAsia="华文细黑" w:cs="华文细黑"/>
          <w:sz w:val="24"/>
          <w:szCs w:val="24"/>
          <w:lang w:val="en-GB"/>
        </w:rPr>
        <w:t>项目的运营收入下降1</w:t>
      </w:r>
      <w:r>
        <w:rPr>
          <w:rFonts w:hint="eastAsia" w:ascii="华文细黑" w:hAnsi="华文细黑" w:eastAsia="华文细黑" w:cs="华文细黑"/>
          <w:sz w:val="24"/>
          <w:szCs w:val="24"/>
        </w:rPr>
        <w:t>5</w:t>
      </w:r>
      <w:r>
        <w:rPr>
          <w:rFonts w:hint="eastAsia" w:ascii="华文细黑" w:hAnsi="华文细黑" w:eastAsia="华文细黑" w:cs="华文细黑"/>
          <w:sz w:val="24"/>
          <w:szCs w:val="24"/>
          <w:lang w:val="en-GB"/>
        </w:rPr>
        <w:t>%的情况下，</w:t>
      </w:r>
      <w:r>
        <w:rPr>
          <w:rFonts w:hint="eastAsia" w:ascii="华文细黑" w:hAnsi="华文细黑" w:eastAsia="华文细黑" w:cs="华文细黑"/>
          <w:sz w:val="24"/>
          <w:szCs w:val="24"/>
          <w:lang w:val="en-US" w:eastAsia="zh-CN"/>
        </w:rPr>
        <w:t>本</w:t>
      </w:r>
      <w:r>
        <w:rPr>
          <w:rFonts w:hint="eastAsia" w:ascii="华文细黑" w:hAnsi="华文细黑" w:eastAsia="华文细黑" w:cs="华文细黑"/>
          <w:sz w:val="24"/>
          <w:szCs w:val="24"/>
          <w:lang w:val="en-GB"/>
        </w:rPr>
        <w:t>项目的债券本息覆盖率仍然＞1；当</w:t>
      </w:r>
      <w:r>
        <w:rPr>
          <w:rFonts w:hint="eastAsia" w:ascii="华文细黑" w:hAnsi="华文细黑" w:eastAsia="华文细黑" w:cs="华文细黑"/>
          <w:sz w:val="24"/>
          <w:szCs w:val="24"/>
          <w:lang w:val="en-US" w:eastAsia="zh-CN"/>
        </w:rPr>
        <w:t>本</w:t>
      </w:r>
      <w:r>
        <w:rPr>
          <w:rFonts w:hint="eastAsia" w:ascii="华文细黑" w:hAnsi="华文细黑" w:eastAsia="华文细黑" w:cs="华文细黑"/>
          <w:sz w:val="24"/>
          <w:szCs w:val="24"/>
          <w:lang w:val="en-GB"/>
        </w:rPr>
        <w:t>项目的运营成本和利率分别上升1</w:t>
      </w:r>
      <w:r>
        <w:rPr>
          <w:rFonts w:hint="eastAsia" w:ascii="华文细黑" w:hAnsi="华文细黑" w:eastAsia="华文细黑" w:cs="华文细黑"/>
          <w:sz w:val="24"/>
          <w:szCs w:val="24"/>
        </w:rPr>
        <w:t>5</w:t>
      </w:r>
      <w:r>
        <w:rPr>
          <w:rFonts w:hint="eastAsia" w:ascii="华文细黑" w:hAnsi="华文细黑" w:eastAsia="华文细黑" w:cs="华文细黑"/>
          <w:sz w:val="24"/>
          <w:szCs w:val="24"/>
          <w:lang w:val="en-GB"/>
        </w:rPr>
        <w:t>%的情况下，</w:t>
      </w:r>
      <w:r>
        <w:rPr>
          <w:rFonts w:hint="eastAsia" w:ascii="华文细黑" w:hAnsi="华文细黑" w:eastAsia="华文细黑" w:cs="华文细黑"/>
          <w:sz w:val="24"/>
          <w:szCs w:val="24"/>
          <w:lang w:val="en-US" w:eastAsia="zh-CN"/>
        </w:rPr>
        <w:t>本</w:t>
      </w:r>
      <w:r>
        <w:rPr>
          <w:rFonts w:hint="eastAsia" w:ascii="华文细黑" w:hAnsi="华文细黑" w:eastAsia="华文细黑" w:cs="华文细黑"/>
          <w:sz w:val="24"/>
          <w:szCs w:val="24"/>
          <w:lang w:val="en-GB"/>
        </w:rPr>
        <w:t>项目的债券本息覆盖率仍然＞1。因此，</w:t>
      </w:r>
      <w:r>
        <w:rPr>
          <w:rFonts w:hint="eastAsia" w:ascii="华文细黑" w:hAnsi="华文细黑" w:eastAsia="华文细黑" w:cs="华文细黑"/>
          <w:sz w:val="24"/>
          <w:szCs w:val="24"/>
          <w:lang w:val="en-US" w:eastAsia="zh-CN"/>
        </w:rPr>
        <w:t>本</w:t>
      </w:r>
      <w:r>
        <w:rPr>
          <w:rFonts w:hint="eastAsia" w:ascii="华文细黑" w:hAnsi="华文细黑" w:eastAsia="华文细黑" w:cs="华文细黑"/>
          <w:sz w:val="24"/>
          <w:szCs w:val="24"/>
          <w:lang w:val="en-GB"/>
        </w:rPr>
        <w:t>项目的项目收益对债券还本付息保障性较高，项目可通过压力测试，还本付息资金具有一定的稳定性与风险抵抗能力。</w:t>
      </w:r>
      <w:r>
        <w:rPr>
          <w:rFonts w:hint="eastAsia" w:ascii="华文细黑" w:hAnsi="华文细黑" w:eastAsia="华文细黑" w:cs="华文细黑"/>
          <w:sz w:val="24"/>
          <w:szCs w:val="24"/>
          <w:lang w:val="en-US" w:eastAsia="zh-CN"/>
        </w:rPr>
        <w:t>本</w:t>
      </w:r>
      <w:r>
        <w:rPr>
          <w:rFonts w:hint="eastAsia" w:ascii="华文细黑" w:hAnsi="华文细黑" w:eastAsia="华文细黑" w:cs="华文细黑"/>
          <w:sz w:val="24"/>
          <w:szCs w:val="24"/>
          <w:lang w:val="en-GB"/>
        </w:rPr>
        <w:t>项目</w:t>
      </w:r>
      <w:r>
        <w:rPr>
          <w:rFonts w:ascii="华文细黑" w:hAnsi="华文细黑" w:eastAsia="华文细黑" w:cs="华文细黑"/>
          <w:color w:val="000000"/>
          <w:kern w:val="0"/>
          <w:sz w:val="24"/>
          <w:szCs w:val="24"/>
          <w:lang w:bidi="ar"/>
        </w:rPr>
        <w:t>的压力测试情况详见下表：</w:t>
      </w:r>
    </w:p>
    <w:p w14:paraId="34E280B5">
      <w:pPr>
        <w:widowControl/>
        <w:spacing w:after="0" w:line="254" w:lineRule="auto"/>
        <w:jc w:val="center"/>
        <w:rPr>
          <w:rFonts w:hint="eastAsia" w:ascii="华文细黑" w:hAnsi="华文细黑" w:eastAsia="华文细黑" w:cs="华文细黑"/>
          <w:b/>
          <w:color w:val="000000"/>
          <w:kern w:val="0"/>
          <w:sz w:val="24"/>
          <w:szCs w:val="24"/>
          <w:lang w:bidi="ar"/>
        </w:rPr>
      </w:pPr>
      <w:r>
        <w:rPr>
          <w:rFonts w:hint="eastAsia" w:ascii="华文细黑" w:hAnsi="华文细黑" w:eastAsia="华文细黑" w:cs="华文细黑"/>
          <w:b/>
          <w:color w:val="000000"/>
          <w:kern w:val="0"/>
          <w:sz w:val="24"/>
          <w:szCs w:val="24"/>
          <w:lang w:bidi="ar"/>
        </w:rPr>
        <w:t>表</w:t>
      </w:r>
      <w:r>
        <w:rPr>
          <w:rFonts w:hint="eastAsia" w:ascii="华文细黑" w:hAnsi="华文细黑" w:eastAsia="华文细黑" w:cs="华文细黑"/>
          <w:b/>
          <w:color w:val="000000"/>
          <w:kern w:val="0"/>
          <w:sz w:val="24"/>
          <w:szCs w:val="24"/>
          <w:lang w:val="en-US" w:eastAsia="zh-CN" w:bidi="ar"/>
        </w:rPr>
        <w:t>8</w:t>
      </w:r>
      <w:r>
        <w:rPr>
          <w:rFonts w:hint="eastAsia" w:ascii="华文细黑" w:hAnsi="华文细黑" w:eastAsia="华文细黑" w:cs="华文细黑"/>
          <w:b/>
          <w:color w:val="000000"/>
          <w:kern w:val="0"/>
          <w:sz w:val="24"/>
          <w:szCs w:val="24"/>
          <w:lang w:eastAsia="zh-CN" w:bidi="ar"/>
        </w:rPr>
        <w:t>海口江东新区CBD南片区幼儿园及配套基础设施项目</w:t>
      </w:r>
      <w:r>
        <w:rPr>
          <w:rFonts w:hint="eastAsia" w:ascii="华文细黑" w:hAnsi="华文细黑" w:eastAsia="华文细黑" w:cs="华文细黑"/>
          <w:b/>
          <w:color w:val="000000"/>
          <w:kern w:val="0"/>
          <w:sz w:val="24"/>
          <w:szCs w:val="24"/>
          <w:lang w:bidi="ar"/>
        </w:rPr>
        <w:t>压力测试表</w:t>
      </w:r>
    </w:p>
    <w:tbl>
      <w:tblPr>
        <w:tblStyle w:val="15"/>
        <w:tblW w:w="9797" w:type="dxa"/>
        <w:jc w:val="center"/>
        <w:tblLayout w:type="autofit"/>
        <w:tblCellMar>
          <w:top w:w="0" w:type="dxa"/>
          <w:left w:w="108" w:type="dxa"/>
          <w:bottom w:w="0" w:type="dxa"/>
          <w:right w:w="108" w:type="dxa"/>
        </w:tblCellMar>
      </w:tblPr>
      <w:tblGrid>
        <w:gridCol w:w="2657"/>
        <w:gridCol w:w="1020"/>
        <w:gridCol w:w="1020"/>
        <w:gridCol w:w="1020"/>
        <w:gridCol w:w="1020"/>
        <w:gridCol w:w="1020"/>
        <w:gridCol w:w="1020"/>
        <w:gridCol w:w="1020"/>
      </w:tblGrid>
      <w:tr w14:paraId="3E891335">
        <w:tblPrEx>
          <w:tblCellMar>
            <w:top w:w="0" w:type="dxa"/>
            <w:left w:w="108" w:type="dxa"/>
            <w:bottom w:w="0" w:type="dxa"/>
            <w:right w:w="108" w:type="dxa"/>
          </w:tblCellMar>
        </w:tblPrEx>
        <w:trPr>
          <w:trHeight w:val="340" w:hRule="atLeast"/>
          <w:tblHeader/>
          <w:jc w:val="center"/>
        </w:trPr>
        <w:tc>
          <w:tcPr>
            <w:tcW w:w="2657" w:type="dxa"/>
            <w:tcBorders>
              <w:top w:val="single" w:color="auto" w:sz="8" w:space="0"/>
              <w:left w:val="single" w:color="auto" w:sz="8" w:space="0"/>
              <w:bottom w:val="single" w:color="auto" w:sz="8" w:space="0"/>
              <w:right w:val="single" w:color="auto" w:sz="8" w:space="0"/>
            </w:tcBorders>
            <w:shd w:val="clear" w:color="000000" w:fill="0070C0"/>
            <w:noWrap/>
            <w:vAlign w:val="center"/>
          </w:tcPr>
          <w:p w14:paraId="06757CAD">
            <w:pPr>
              <w:widowControl/>
              <w:spacing w:after="0" w:line="240" w:lineRule="auto"/>
              <w:jc w:val="center"/>
              <w:rPr>
                <w:rFonts w:ascii="华文细黑" w:hAnsi="华文细黑" w:eastAsia="华文细黑" w:cs="Arial"/>
                <w:b/>
                <w:bCs/>
                <w:color w:val="FFFFFF"/>
                <w:kern w:val="0"/>
                <w:sz w:val="18"/>
                <w:szCs w:val="18"/>
              </w:rPr>
            </w:pPr>
            <w:r>
              <w:rPr>
                <w:rFonts w:hint="eastAsia" w:ascii="华文细黑" w:hAnsi="华文细黑" w:eastAsia="华文细黑" w:cs="Arial"/>
                <w:b/>
                <w:bCs/>
                <w:color w:val="FFFFFF"/>
                <w:kern w:val="0"/>
                <w:sz w:val="18"/>
                <w:szCs w:val="18"/>
              </w:rPr>
              <w:t>资金覆盖率-压力测试（单因素敏感性分析）</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4C4CEBEA">
            <w:pPr>
              <w:widowControl/>
              <w:spacing w:after="0" w:line="240" w:lineRule="auto"/>
              <w:jc w:val="center"/>
              <w:rPr>
                <w:rFonts w:hint="eastAsia" w:ascii="Verdana" w:hAnsi="Verdana" w:cs="Arial"/>
                <w:b/>
                <w:bCs/>
                <w:color w:val="FFFFFF"/>
                <w:kern w:val="0"/>
                <w:sz w:val="18"/>
                <w:szCs w:val="18"/>
              </w:rPr>
            </w:pPr>
            <w:r>
              <w:rPr>
                <w:rFonts w:ascii="Verdana" w:hAnsi="Verdana" w:cs="Arial"/>
                <w:b/>
                <w:bCs/>
                <w:color w:val="FFFFFF"/>
                <w:kern w:val="0"/>
                <w:sz w:val="18"/>
                <w:szCs w:val="18"/>
              </w:rPr>
              <w:t>-15%</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0C9AFC75">
            <w:pPr>
              <w:widowControl/>
              <w:spacing w:after="0" w:line="240" w:lineRule="auto"/>
              <w:jc w:val="center"/>
              <w:rPr>
                <w:rFonts w:ascii="Verdana" w:hAnsi="Verdana" w:cs="Arial"/>
                <w:b/>
                <w:bCs/>
                <w:color w:val="FFFFFF"/>
                <w:kern w:val="0"/>
                <w:sz w:val="18"/>
                <w:szCs w:val="18"/>
              </w:rPr>
            </w:pPr>
            <w:r>
              <w:rPr>
                <w:rFonts w:ascii="Verdana" w:hAnsi="Verdana" w:cs="Arial"/>
                <w:b/>
                <w:bCs/>
                <w:color w:val="FFFFFF"/>
                <w:kern w:val="0"/>
                <w:sz w:val="18"/>
                <w:szCs w:val="18"/>
              </w:rPr>
              <w:t>-10%</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04C6E26D">
            <w:pPr>
              <w:widowControl/>
              <w:spacing w:after="0" w:line="240" w:lineRule="auto"/>
              <w:jc w:val="center"/>
              <w:rPr>
                <w:rFonts w:ascii="Verdana" w:hAnsi="Verdana" w:cs="Arial"/>
                <w:b/>
                <w:bCs/>
                <w:color w:val="FFFFFF"/>
                <w:kern w:val="0"/>
                <w:sz w:val="18"/>
                <w:szCs w:val="18"/>
              </w:rPr>
            </w:pPr>
            <w:r>
              <w:rPr>
                <w:rFonts w:ascii="Verdana" w:hAnsi="Verdana" w:cs="Arial"/>
                <w:b/>
                <w:bCs/>
                <w:color w:val="FFFFFF"/>
                <w:kern w:val="0"/>
                <w:sz w:val="18"/>
                <w:szCs w:val="18"/>
              </w:rPr>
              <w:t>-5%</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1DCF7A5C">
            <w:pPr>
              <w:widowControl/>
              <w:spacing w:after="0" w:line="240" w:lineRule="auto"/>
              <w:jc w:val="center"/>
              <w:rPr>
                <w:rFonts w:ascii="Verdana" w:hAnsi="Verdana" w:cs="Arial"/>
                <w:b/>
                <w:bCs/>
                <w:color w:val="FFFFFF"/>
                <w:kern w:val="0"/>
                <w:sz w:val="18"/>
                <w:szCs w:val="18"/>
              </w:rPr>
            </w:pPr>
            <w:r>
              <w:rPr>
                <w:rFonts w:ascii="Verdana" w:hAnsi="Verdana" w:cs="Arial"/>
                <w:b/>
                <w:bCs/>
                <w:color w:val="FFFFFF"/>
                <w:kern w:val="0"/>
                <w:sz w:val="18"/>
                <w:szCs w:val="18"/>
              </w:rPr>
              <w:t>0%</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1B0A7A75">
            <w:pPr>
              <w:widowControl/>
              <w:spacing w:after="0" w:line="240" w:lineRule="auto"/>
              <w:jc w:val="center"/>
              <w:rPr>
                <w:rFonts w:ascii="Verdana" w:hAnsi="Verdana" w:cs="Arial"/>
                <w:b/>
                <w:bCs/>
                <w:color w:val="FFFFFF"/>
                <w:kern w:val="0"/>
                <w:sz w:val="18"/>
                <w:szCs w:val="18"/>
              </w:rPr>
            </w:pPr>
            <w:r>
              <w:rPr>
                <w:rFonts w:ascii="Verdana" w:hAnsi="Verdana" w:cs="Arial"/>
                <w:b/>
                <w:bCs/>
                <w:color w:val="FFFFFF"/>
                <w:kern w:val="0"/>
                <w:sz w:val="18"/>
                <w:szCs w:val="18"/>
              </w:rPr>
              <w:t>5%</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0C551293">
            <w:pPr>
              <w:widowControl/>
              <w:spacing w:after="0" w:line="240" w:lineRule="auto"/>
              <w:jc w:val="center"/>
              <w:rPr>
                <w:rFonts w:ascii="Verdana" w:hAnsi="Verdana" w:cs="Arial"/>
                <w:b/>
                <w:bCs/>
                <w:color w:val="FFFFFF"/>
                <w:kern w:val="0"/>
                <w:sz w:val="18"/>
                <w:szCs w:val="18"/>
              </w:rPr>
            </w:pPr>
            <w:r>
              <w:rPr>
                <w:rFonts w:ascii="Verdana" w:hAnsi="Verdana" w:cs="Arial"/>
                <w:b/>
                <w:bCs/>
                <w:color w:val="FFFFFF"/>
                <w:kern w:val="0"/>
                <w:sz w:val="18"/>
                <w:szCs w:val="18"/>
              </w:rPr>
              <w:t>10%</w:t>
            </w:r>
          </w:p>
        </w:tc>
        <w:tc>
          <w:tcPr>
            <w:tcW w:w="1020" w:type="dxa"/>
            <w:tcBorders>
              <w:top w:val="single" w:color="auto" w:sz="8" w:space="0"/>
              <w:left w:val="nil"/>
              <w:bottom w:val="single" w:color="auto" w:sz="8" w:space="0"/>
              <w:right w:val="single" w:color="auto" w:sz="8" w:space="0"/>
            </w:tcBorders>
            <w:shd w:val="clear" w:color="000000" w:fill="0070C0"/>
            <w:noWrap/>
            <w:vAlign w:val="center"/>
          </w:tcPr>
          <w:p w14:paraId="6D95FD0E">
            <w:pPr>
              <w:widowControl/>
              <w:spacing w:after="0" w:line="240" w:lineRule="auto"/>
              <w:jc w:val="center"/>
              <w:rPr>
                <w:rFonts w:ascii="Verdana" w:hAnsi="Verdana" w:cs="Arial"/>
                <w:b/>
                <w:bCs/>
                <w:color w:val="FFFFFF"/>
                <w:kern w:val="0"/>
                <w:sz w:val="18"/>
                <w:szCs w:val="18"/>
              </w:rPr>
            </w:pPr>
            <w:r>
              <w:rPr>
                <w:rFonts w:ascii="Verdana" w:hAnsi="Verdana" w:cs="Arial"/>
                <w:b/>
                <w:bCs/>
                <w:color w:val="FFFFFF"/>
                <w:kern w:val="0"/>
                <w:sz w:val="18"/>
                <w:szCs w:val="18"/>
              </w:rPr>
              <w:t>15%</w:t>
            </w:r>
          </w:p>
        </w:tc>
      </w:tr>
      <w:tr w14:paraId="4F72710C">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000000" w:fill="D3DFEE"/>
            <w:noWrap/>
            <w:vAlign w:val="center"/>
          </w:tcPr>
          <w:p w14:paraId="6380961B">
            <w:pPr>
              <w:widowControl/>
              <w:spacing w:after="0" w:line="240" w:lineRule="auto"/>
              <w:jc w:val="left"/>
              <w:rPr>
                <w:rFonts w:hint="eastAsia" w:ascii="华文细黑" w:hAnsi="华文细黑" w:eastAsia="华文细黑" w:cs="Arial"/>
                <w:b/>
                <w:bCs/>
                <w:color w:val="000000"/>
                <w:kern w:val="0"/>
                <w:sz w:val="18"/>
                <w:szCs w:val="18"/>
              </w:rPr>
            </w:pPr>
            <w:r>
              <w:rPr>
                <w:rFonts w:hint="eastAsia" w:ascii="华文细黑" w:hAnsi="华文细黑" w:eastAsia="华文细黑" w:cs="Arial"/>
                <w:b/>
                <w:bCs/>
                <w:color w:val="000000"/>
                <w:kern w:val="0"/>
                <w:sz w:val="18"/>
                <w:szCs w:val="18"/>
                <w:lang w:val="en-US" w:eastAsia="zh-CN"/>
              </w:rPr>
              <w:t>运营收入变动敏感性分析</w:t>
            </w:r>
          </w:p>
        </w:tc>
        <w:tc>
          <w:tcPr>
            <w:tcW w:w="1020" w:type="dxa"/>
            <w:tcBorders>
              <w:top w:val="nil"/>
              <w:left w:val="nil"/>
              <w:bottom w:val="single" w:color="auto" w:sz="8" w:space="0"/>
              <w:right w:val="single" w:color="auto" w:sz="8" w:space="0"/>
            </w:tcBorders>
            <w:shd w:val="clear" w:color="000000" w:fill="D3DFEE"/>
            <w:noWrap/>
            <w:vAlign w:val="center"/>
          </w:tcPr>
          <w:p w14:paraId="3DF27A40">
            <w:pPr>
              <w:jc w:val="center"/>
              <w:rPr>
                <w:rFonts w:hint="eastAsia" w:ascii="Verdana" w:hAnsi="Verdana" w:cs="Arial"/>
                <w:color w:val="000000"/>
                <w:kern w:val="0"/>
                <w:sz w:val="20"/>
                <w:szCs w:val="20"/>
              </w:rPr>
            </w:pPr>
          </w:p>
        </w:tc>
        <w:tc>
          <w:tcPr>
            <w:tcW w:w="1020" w:type="dxa"/>
            <w:tcBorders>
              <w:top w:val="nil"/>
              <w:left w:val="nil"/>
              <w:bottom w:val="single" w:color="auto" w:sz="8" w:space="0"/>
              <w:right w:val="single" w:color="auto" w:sz="8" w:space="0"/>
            </w:tcBorders>
            <w:shd w:val="clear" w:color="000000" w:fill="D3DFEE"/>
            <w:noWrap/>
            <w:vAlign w:val="center"/>
          </w:tcPr>
          <w:p w14:paraId="53036B11">
            <w:pPr>
              <w:jc w:val="center"/>
              <w:rPr>
                <w:rFonts w:ascii="Verdana" w:hAnsi="Verdana" w:cs="Arial"/>
                <w:color w:val="000000"/>
                <w:kern w:val="0"/>
                <w:sz w:val="20"/>
                <w:szCs w:val="20"/>
              </w:rPr>
            </w:pPr>
          </w:p>
        </w:tc>
        <w:tc>
          <w:tcPr>
            <w:tcW w:w="1020" w:type="dxa"/>
            <w:tcBorders>
              <w:top w:val="nil"/>
              <w:left w:val="nil"/>
              <w:bottom w:val="single" w:color="auto" w:sz="8" w:space="0"/>
              <w:right w:val="single" w:color="auto" w:sz="8" w:space="0"/>
            </w:tcBorders>
            <w:shd w:val="clear" w:color="000000" w:fill="D3DFEE"/>
            <w:noWrap/>
            <w:vAlign w:val="center"/>
          </w:tcPr>
          <w:p w14:paraId="3833D4AD">
            <w:pPr>
              <w:jc w:val="center"/>
              <w:rPr>
                <w:rFonts w:ascii="Verdana" w:hAnsi="Verdana" w:cs="Arial"/>
                <w:color w:val="000000"/>
                <w:kern w:val="0"/>
                <w:sz w:val="20"/>
                <w:szCs w:val="20"/>
              </w:rPr>
            </w:pPr>
          </w:p>
        </w:tc>
        <w:tc>
          <w:tcPr>
            <w:tcW w:w="1020" w:type="dxa"/>
            <w:tcBorders>
              <w:top w:val="nil"/>
              <w:left w:val="nil"/>
              <w:bottom w:val="single" w:color="auto" w:sz="8" w:space="0"/>
              <w:right w:val="single" w:color="auto" w:sz="8" w:space="0"/>
            </w:tcBorders>
            <w:shd w:val="clear" w:color="000000" w:fill="D3DFEE"/>
            <w:noWrap/>
            <w:vAlign w:val="center"/>
          </w:tcPr>
          <w:p w14:paraId="77149E52">
            <w:pPr>
              <w:jc w:val="center"/>
              <w:rPr>
                <w:rFonts w:ascii="Verdana" w:hAnsi="Verdana" w:cs="Arial"/>
                <w:color w:val="000000"/>
                <w:kern w:val="0"/>
                <w:sz w:val="20"/>
                <w:szCs w:val="20"/>
              </w:rPr>
            </w:pPr>
          </w:p>
        </w:tc>
        <w:tc>
          <w:tcPr>
            <w:tcW w:w="1020" w:type="dxa"/>
            <w:tcBorders>
              <w:top w:val="nil"/>
              <w:left w:val="nil"/>
              <w:bottom w:val="single" w:color="auto" w:sz="8" w:space="0"/>
              <w:right w:val="single" w:color="auto" w:sz="8" w:space="0"/>
            </w:tcBorders>
            <w:shd w:val="clear" w:color="000000" w:fill="D3DFEE"/>
            <w:noWrap/>
            <w:vAlign w:val="center"/>
          </w:tcPr>
          <w:p w14:paraId="765E3572">
            <w:pPr>
              <w:jc w:val="center"/>
              <w:rPr>
                <w:rFonts w:ascii="Verdana" w:hAnsi="Verdana" w:cs="Arial"/>
                <w:color w:val="000000"/>
                <w:kern w:val="0"/>
                <w:sz w:val="20"/>
                <w:szCs w:val="20"/>
              </w:rPr>
            </w:pPr>
          </w:p>
        </w:tc>
        <w:tc>
          <w:tcPr>
            <w:tcW w:w="1020" w:type="dxa"/>
            <w:tcBorders>
              <w:top w:val="nil"/>
              <w:left w:val="nil"/>
              <w:bottom w:val="single" w:color="auto" w:sz="8" w:space="0"/>
              <w:right w:val="single" w:color="auto" w:sz="8" w:space="0"/>
            </w:tcBorders>
            <w:shd w:val="clear" w:color="000000" w:fill="D3DFEE"/>
            <w:noWrap/>
            <w:vAlign w:val="center"/>
          </w:tcPr>
          <w:p w14:paraId="6FDF14A1">
            <w:pPr>
              <w:jc w:val="center"/>
              <w:rPr>
                <w:rFonts w:ascii="Verdana" w:hAnsi="Verdana" w:cs="Arial"/>
                <w:color w:val="000000"/>
                <w:kern w:val="0"/>
                <w:sz w:val="20"/>
                <w:szCs w:val="20"/>
              </w:rPr>
            </w:pPr>
          </w:p>
        </w:tc>
        <w:tc>
          <w:tcPr>
            <w:tcW w:w="1020" w:type="dxa"/>
            <w:tcBorders>
              <w:top w:val="nil"/>
              <w:left w:val="nil"/>
              <w:bottom w:val="single" w:color="auto" w:sz="8" w:space="0"/>
              <w:right w:val="single" w:color="auto" w:sz="8" w:space="0"/>
            </w:tcBorders>
            <w:shd w:val="clear" w:color="000000" w:fill="D3DFEE"/>
            <w:noWrap/>
            <w:vAlign w:val="center"/>
          </w:tcPr>
          <w:p w14:paraId="0591CB98">
            <w:pPr>
              <w:jc w:val="center"/>
              <w:rPr>
                <w:rFonts w:ascii="Verdana" w:hAnsi="Verdana" w:cs="Arial"/>
                <w:color w:val="000000"/>
                <w:kern w:val="0"/>
                <w:sz w:val="20"/>
                <w:szCs w:val="20"/>
              </w:rPr>
            </w:pPr>
          </w:p>
        </w:tc>
      </w:tr>
      <w:tr w14:paraId="5796D618">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29902D2B">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债券本金资金覆盖率</w:t>
            </w:r>
          </w:p>
        </w:tc>
        <w:tc>
          <w:tcPr>
            <w:tcW w:w="1020" w:type="dxa"/>
            <w:tcBorders>
              <w:top w:val="nil"/>
              <w:left w:val="nil"/>
              <w:bottom w:val="single" w:color="auto" w:sz="8" w:space="0"/>
              <w:right w:val="single" w:color="auto" w:sz="8" w:space="0"/>
            </w:tcBorders>
            <w:shd w:val="clear" w:color="auto" w:fill="auto"/>
            <w:noWrap/>
            <w:vAlign w:val="center"/>
          </w:tcPr>
          <w:p w14:paraId="0FE9D533">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1.59 </w:t>
            </w:r>
          </w:p>
        </w:tc>
        <w:tc>
          <w:tcPr>
            <w:tcW w:w="1020" w:type="dxa"/>
            <w:tcBorders>
              <w:top w:val="nil"/>
              <w:left w:val="nil"/>
              <w:bottom w:val="single" w:color="auto" w:sz="8" w:space="0"/>
              <w:right w:val="single" w:color="auto" w:sz="8" w:space="0"/>
            </w:tcBorders>
            <w:shd w:val="clear" w:color="auto" w:fill="auto"/>
            <w:noWrap/>
            <w:vAlign w:val="center"/>
          </w:tcPr>
          <w:p w14:paraId="07C8B5B9">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1.73 </w:t>
            </w:r>
          </w:p>
        </w:tc>
        <w:tc>
          <w:tcPr>
            <w:tcW w:w="1020" w:type="dxa"/>
            <w:tcBorders>
              <w:top w:val="nil"/>
              <w:left w:val="nil"/>
              <w:bottom w:val="single" w:color="auto" w:sz="8" w:space="0"/>
              <w:right w:val="single" w:color="auto" w:sz="8" w:space="0"/>
            </w:tcBorders>
            <w:shd w:val="clear" w:color="auto" w:fill="auto"/>
            <w:noWrap/>
            <w:vAlign w:val="center"/>
          </w:tcPr>
          <w:p w14:paraId="7D042602">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1.87 </w:t>
            </w:r>
          </w:p>
        </w:tc>
        <w:tc>
          <w:tcPr>
            <w:tcW w:w="1020" w:type="dxa"/>
            <w:tcBorders>
              <w:top w:val="nil"/>
              <w:left w:val="nil"/>
              <w:bottom w:val="single" w:color="auto" w:sz="8" w:space="0"/>
              <w:right w:val="single" w:color="auto" w:sz="8" w:space="0"/>
            </w:tcBorders>
            <w:shd w:val="clear" w:color="auto" w:fill="auto"/>
            <w:noWrap/>
            <w:vAlign w:val="center"/>
          </w:tcPr>
          <w:p w14:paraId="6AAD5B8E">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2.01 </w:t>
            </w:r>
          </w:p>
        </w:tc>
        <w:tc>
          <w:tcPr>
            <w:tcW w:w="1020" w:type="dxa"/>
            <w:tcBorders>
              <w:top w:val="nil"/>
              <w:left w:val="nil"/>
              <w:bottom w:val="single" w:color="auto" w:sz="8" w:space="0"/>
              <w:right w:val="single" w:color="auto" w:sz="8" w:space="0"/>
            </w:tcBorders>
            <w:shd w:val="clear" w:color="auto" w:fill="auto"/>
            <w:noWrap/>
            <w:vAlign w:val="center"/>
          </w:tcPr>
          <w:p w14:paraId="2BEC3EFF">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2.15 </w:t>
            </w:r>
          </w:p>
        </w:tc>
        <w:tc>
          <w:tcPr>
            <w:tcW w:w="1020" w:type="dxa"/>
            <w:tcBorders>
              <w:top w:val="nil"/>
              <w:left w:val="nil"/>
              <w:bottom w:val="single" w:color="auto" w:sz="8" w:space="0"/>
              <w:right w:val="single" w:color="auto" w:sz="8" w:space="0"/>
            </w:tcBorders>
            <w:shd w:val="clear" w:color="auto" w:fill="auto"/>
            <w:noWrap/>
            <w:vAlign w:val="center"/>
          </w:tcPr>
          <w:p w14:paraId="05D8C6FF">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2.29 </w:t>
            </w:r>
          </w:p>
        </w:tc>
        <w:tc>
          <w:tcPr>
            <w:tcW w:w="1020" w:type="dxa"/>
            <w:tcBorders>
              <w:top w:val="nil"/>
              <w:left w:val="nil"/>
              <w:bottom w:val="single" w:color="auto" w:sz="8" w:space="0"/>
              <w:right w:val="single" w:color="auto" w:sz="8" w:space="0"/>
            </w:tcBorders>
            <w:shd w:val="clear" w:color="auto" w:fill="auto"/>
            <w:noWrap/>
            <w:vAlign w:val="center"/>
          </w:tcPr>
          <w:p w14:paraId="365D092A">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2.43 </w:t>
            </w:r>
          </w:p>
        </w:tc>
      </w:tr>
      <w:tr w14:paraId="1C259B1B">
        <w:tblPrEx>
          <w:tblCellMar>
            <w:top w:w="0" w:type="dxa"/>
            <w:left w:w="108" w:type="dxa"/>
            <w:bottom w:w="0" w:type="dxa"/>
            <w:right w:w="108" w:type="dxa"/>
          </w:tblCellMar>
        </w:tblPrEx>
        <w:trPr>
          <w:trHeight w:val="172"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1BAE79FE">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债券本息资金覆盖率</w:t>
            </w:r>
          </w:p>
        </w:tc>
        <w:tc>
          <w:tcPr>
            <w:tcW w:w="1020" w:type="dxa"/>
            <w:tcBorders>
              <w:top w:val="nil"/>
              <w:left w:val="nil"/>
              <w:bottom w:val="single" w:color="auto" w:sz="8" w:space="0"/>
              <w:right w:val="single" w:color="auto" w:sz="8" w:space="0"/>
            </w:tcBorders>
            <w:shd w:val="clear" w:color="auto" w:fill="auto"/>
            <w:noWrap/>
            <w:vAlign w:val="center"/>
          </w:tcPr>
          <w:p w14:paraId="5F57845C">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1.38 </w:t>
            </w:r>
          </w:p>
        </w:tc>
        <w:tc>
          <w:tcPr>
            <w:tcW w:w="1020" w:type="dxa"/>
            <w:tcBorders>
              <w:top w:val="nil"/>
              <w:left w:val="nil"/>
              <w:bottom w:val="single" w:color="auto" w:sz="8" w:space="0"/>
              <w:right w:val="single" w:color="auto" w:sz="8" w:space="0"/>
            </w:tcBorders>
            <w:shd w:val="clear" w:color="auto" w:fill="auto"/>
            <w:noWrap/>
            <w:vAlign w:val="center"/>
          </w:tcPr>
          <w:p w14:paraId="672CE99F">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1.47 </w:t>
            </w:r>
          </w:p>
        </w:tc>
        <w:tc>
          <w:tcPr>
            <w:tcW w:w="1020" w:type="dxa"/>
            <w:tcBorders>
              <w:top w:val="nil"/>
              <w:left w:val="nil"/>
              <w:bottom w:val="single" w:color="auto" w:sz="8" w:space="0"/>
              <w:right w:val="single" w:color="auto" w:sz="8" w:space="0"/>
            </w:tcBorders>
            <w:shd w:val="clear" w:color="auto" w:fill="auto"/>
            <w:noWrap/>
            <w:vAlign w:val="center"/>
          </w:tcPr>
          <w:p w14:paraId="4D138F85">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1.56 </w:t>
            </w:r>
          </w:p>
        </w:tc>
        <w:tc>
          <w:tcPr>
            <w:tcW w:w="1020" w:type="dxa"/>
            <w:tcBorders>
              <w:top w:val="nil"/>
              <w:left w:val="nil"/>
              <w:bottom w:val="single" w:color="auto" w:sz="8" w:space="0"/>
              <w:right w:val="single" w:color="auto" w:sz="8" w:space="0"/>
            </w:tcBorders>
            <w:shd w:val="clear" w:color="auto" w:fill="auto"/>
            <w:noWrap/>
            <w:vAlign w:val="center"/>
          </w:tcPr>
          <w:p w14:paraId="78F62289">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1.65 </w:t>
            </w:r>
          </w:p>
        </w:tc>
        <w:tc>
          <w:tcPr>
            <w:tcW w:w="1020" w:type="dxa"/>
            <w:tcBorders>
              <w:top w:val="nil"/>
              <w:left w:val="nil"/>
              <w:bottom w:val="single" w:color="auto" w:sz="8" w:space="0"/>
              <w:right w:val="single" w:color="auto" w:sz="8" w:space="0"/>
            </w:tcBorders>
            <w:shd w:val="clear" w:color="auto" w:fill="auto"/>
            <w:noWrap/>
            <w:vAlign w:val="center"/>
          </w:tcPr>
          <w:p w14:paraId="6549B9EF">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1.74 </w:t>
            </w:r>
          </w:p>
        </w:tc>
        <w:tc>
          <w:tcPr>
            <w:tcW w:w="1020" w:type="dxa"/>
            <w:tcBorders>
              <w:top w:val="nil"/>
              <w:left w:val="nil"/>
              <w:bottom w:val="single" w:color="auto" w:sz="8" w:space="0"/>
              <w:right w:val="single" w:color="auto" w:sz="8" w:space="0"/>
            </w:tcBorders>
            <w:shd w:val="clear" w:color="auto" w:fill="auto"/>
            <w:noWrap/>
            <w:vAlign w:val="center"/>
          </w:tcPr>
          <w:p w14:paraId="2F4326DC">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1.84 </w:t>
            </w:r>
          </w:p>
        </w:tc>
        <w:tc>
          <w:tcPr>
            <w:tcW w:w="1020" w:type="dxa"/>
            <w:tcBorders>
              <w:top w:val="nil"/>
              <w:left w:val="nil"/>
              <w:bottom w:val="single" w:color="auto" w:sz="8" w:space="0"/>
              <w:right w:val="single" w:color="auto" w:sz="8" w:space="0"/>
            </w:tcBorders>
            <w:shd w:val="clear" w:color="auto" w:fill="auto"/>
            <w:noWrap/>
            <w:vAlign w:val="center"/>
          </w:tcPr>
          <w:p w14:paraId="02F5701D">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1.93 </w:t>
            </w:r>
          </w:p>
        </w:tc>
      </w:tr>
      <w:tr w14:paraId="372A3B82">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1B1E0382">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债券本息资金覆盖倍数</w:t>
            </w:r>
          </w:p>
        </w:tc>
        <w:tc>
          <w:tcPr>
            <w:tcW w:w="1020" w:type="dxa"/>
            <w:tcBorders>
              <w:top w:val="nil"/>
              <w:left w:val="nil"/>
              <w:bottom w:val="single" w:color="auto" w:sz="8" w:space="0"/>
              <w:right w:val="single" w:color="auto" w:sz="8" w:space="0"/>
            </w:tcBorders>
            <w:shd w:val="clear" w:color="auto" w:fill="auto"/>
            <w:noWrap/>
            <w:vAlign w:val="center"/>
          </w:tcPr>
          <w:p w14:paraId="43F250FF">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1.36 </w:t>
            </w:r>
          </w:p>
        </w:tc>
        <w:tc>
          <w:tcPr>
            <w:tcW w:w="1020" w:type="dxa"/>
            <w:tcBorders>
              <w:top w:val="nil"/>
              <w:left w:val="nil"/>
              <w:bottom w:val="single" w:color="auto" w:sz="8" w:space="0"/>
              <w:right w:val="single" w:color="auto" w:sz="8" w:space="0"/>
            </w:tcBorders>
            <w:shd w:val="clear" w:color="auto" w:fill="auto"/>
            <w:noWrap/>
            <w:vAlign w:val="center"/>
          </w:tcPr>
          <w:p w14:paraId="1ACE55F1">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1.45 </w:t>
            </w:r>
          </w:p>
        </w:tc>
        <w:tc>
          <w:tcPr>
            <w:tcW w:w="1020" w:type="dxa"/>
            <w:tcBorders>
              <w:top w:val="nil"/>
              <w:left w:val="nil"/>
              <w:bottom w:val="single" w:color="auto" w:sz="8" w:space="0"/>
              <w:right w:val="single" w:color="auto" w:sz="8" w:space="0"/>
            </w:tcBorders>
            <w:shd w:val="clear" w:color="auto" w:fill="auto"/>
            <w:noWrap/>
            <w:vAlign w:val="center"/>
          </w:tcPr>
          <w:p w14:paraId="55D76F60">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1.54 </w:t>
            </w:r>
          </w:p>
        </w:tc>
        <w:tc>
          <w:tcPr>
            <w:tcW w:w="1020" w:type="dxa"/>
            <w:tcBorders>
              <w:top w:val="nil"/>
              <w:left w:val="nil"/>
              <w:bottom w:val="single" w:color="auto" w:sz="8" w:space="0"/>
              <w:right w:val="single" w:color="auto" w:sz="8" w:space="0"/>
            </w:tcBorders>
            <w:shd w:val="clear" w:color="auto" w:fill="auto"/>
            <w:noWrap/>
            <w:vAlign w:val="center"/>
          </w:tcPr>
          <w:p w14:paraId="69157191">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1.63 </w:t>
            </w:r>
          </w:p>
        </w:tc>
        <w:tc>
          <w:tcPr>
            <w:tcW w:w="1020" w:type="dxa"/>
            <w:tcBorders>
              <w:top w:val="nil"/>
              <w:left w:val="nil"/>
              <w:bottom w:val="single" w:color="auto" w:sz="8" w:space="0"/>
              <w:right w:val="single" w:color="auto" w:sz="8" w:space="0"/>
            </w:tcBorders>
            <w:shd w:val="clear" w:color="auto" w:fill="auto"/>
            <w:noWrap/>
            <w:vAlign w:val="center"/>
          </w:tcPr>
          <w:p w14:paraId="289AF41D">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1.72 </w:t>
            </w:r>
          </w:p>
        </w:tc>
        <w:tc>
          <w:tcPr>
            <w:tcW w:w="1020" w:type="dxa"/>
            <w:tcBorders>
              <w:top w:val="nil"/>
              <w:left w:val="nil"/>
              <w:bottom w:val="single" w:color="auto" w:sz="8" w:space="0"/>
              <w:right w:val="single" w:color="auto" w:sz="8" w:space="0"/>
            </w:tcBorders>
            <w:shd w:val="clear" w:color="auto" w:fill="auto"/>
            <w:noWrap/>
            <w:vAlign w:val="center"/>
          </w:tcPr>
          <w:p w14:paraId="393E6515">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1.82 </w:t>
            </w:r>
          </w:p>
        </w:tc>
        <w:tc>
          <w:tcPr>
            <w:tcW w:w="1020" w:type="dxa"/>
            <w:tcBorders>
              <w:top w:val="nil"/>
              <w:left w:val="nil"/>
              <w:bottom w:val="single" w:color="auto" w:sz="8" w:space="0"/>
              <w:right w:val="single" w:color="auto" w:sz="8" w:space="0"/>
            </w:tcBorders>
            <w:shd w:val="clear" w:color="auto" w:fill="auto"/>
            <w:noWrap/>
            <w:vAlign w:val="center"/>
          </w:tcPr>
          <w:p w14:paraId="1BBD6794">
            <w:pPr>
              <w:widowControl/>
              <w:spacing w:after="0" w:line="240" w:lineRule="auto"/>
              <w:jc w:val="right"/>
              <w:rPr>
                <w:rFonts w:hint="default" w:ascii="Verdana" w:hAnsi="Verdana" w:eastAsia="宋体" w:cs="Arial"/>
                <w:color w:val="000000"/>
                <w:kern w:val="0"/>
                <w:sz w:val="20"/>
                <w:szCs w:val="20"/>
                <w:lang w:val="en-US" w:eastAsia="zh-CN"/>
              </w:rPr>
            </w:pPr>
            <w:r>
              <w:rPr>
                <w:rFonts w:hint="default" w:ascii="Verdana" w:hAnsi="Verdana" w:eastAsia="宋体" w:cs="Arial"/>
                <w:color w:val="000000"/>
                <w:kern w:val="0"/>
                <w:sz w:val="20"/>
                <w:szCs w:val="20"/>
                <w:lang w:val="en-US" w:eastAsia="zh-CN"/>
              </w:rPr>
              <w:t xml:space="preserve"> 1.91 </w:t>
            </w:r>
          </w:p>
        </w:tc>
      </w:tr>
      <w:tr w14:paraId="464BE039">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000000" w:fill="D3DFEE"/>
            <w:noWrap/>
            <w:vAlign w:val="center"/>
          </w:tcPr>
          <w:p w14:paraId="11DD6431">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bCs/>
                <w:color w:val="000000"/>
                <w:kern w:val="0"/>
                <w:sz w:val="18"/>
                <w:szCs w:val="18"/>
                <w:lang w:val="en-US" w:eastAsia="zh-CN"/>
              </w:rPr>
              <w:t>营运成本变动敏感性分析</w:t>
            </w:r>
          </w:p>
        </w:tc>
        <w:tc>
          <w:tcPr>
            <w:tcW w:w="1020" w:type="dxa"/>
            <w:tcBorders>
              <w:top w:val="nil"/>
              <w:left w:val="nil"/>
              <w:bottom w:val="single" w:color="auto" w:sz="8" w:space="0"/>
              <w:right w:val="single" w:color="auto" w:sz="8" w:space="0"/>
            </w:tcBorders>
            <w:shd w:val="clear" w:color="000000" w:fill="D3DFEE"/>
            <w:noWrap/>
            <w:vAlign w:val="center"/>
          </w:tcPr>
          <w:p w14:paraId="069AA13C">
            <w:pPr>
              <w:rPr>
                <w:rFonts w:hint="default" w:ascii="Verdana" w:hAnsi="Verdana" w:eastAsia="宋体" w:cs="Arial"/>
                <w:color w:val="000000"/>
                <w:kern w:val="0"/>
                <w:sz w:val="20"/>
                <w:szCs w:val="20"/>
                <w:lang w:val="en-US" w:eastAsia="zh-CN" w:bidi="ar-SA"/>
              </w:rPr>
            </w:pPr>
          </w:p>
        </w:tc>
        <w:tc>
          <w:tcPr>
            <w:tcW w:w="1020" w:type="dxa"/>
            <w:tcBorders>
              <w:top w:val="nil"/>
              <w:left w:val="nil"/>
              <w:bottom w:val="single" w:color="auto" w:sz="8" w:space="0"/>
              <w:right w:val="single" w:color="auto" w:sz="8" w:space="0"/>
            </w:tcBorders>
            <w:shd w:val="clear" w:color="000000" w:fill="D3DFEE"/>
            <w:noWrap/>
            <w:vAlign w:val="center"/>
          </w:tcPr>
          <w:p w14:paraId="4BE818C2">
            <w:pPr>
              <w:rPr>
                <w:rFonts w:hint="default" w:ascii="Verdana" w:hAnsi="Verdana" w:eastAsia="宋体" w:cs="Arial"/>
                <w:color w:val="000000"/>
                <w:kern w:val="0"/>
                <w:sz w:val="20"/>
                <w:szCs w:val="20"/>
                <w:lang w:val="en-US" w:eastAsia="zh-CN" w:bidi="ar-SA"/>
              </w:rPr>
            </w:pPr>
          </w:p>
        </w:tc>
        <w:tc>
          <w:tcPr>
            <w:tcW w:w="1020" w:type="dxa"/>
            <w:tcBorders>
              <w:top w:val="nil"/>
              <w:left w:val="nil"/>
              <w:bottom w:val="single" w:color="auto" w:sz="8" w:space="0"/>
              <w:right w:val="single" w:color="auto" w:sz="8" w:space="0"/>
            </w:tcBorders>
            <w:shd w:val="clear" w:color="000000" w:fill="D3DFEE"/>
            <w:noWrap/>
            <w:vAlign w:val="center"/>
          </w:tcPr>
          <w:p w14:paraId="31D4E87F">
            <w:pPr>
              <w:rPr>
                <w:rFonts w:hint="default" w:ascii="Verdana" w:hAnsi="Verdana" w:eastAsia="宋体" w:cs="Arial"/>
                <w:color w:val="000000"/>
                <w:kern w:val="0"/>
                <w:sz w:val="20"/>
                <w:szCs w:val="20"/>
                <w:lang w:val="en-US" w:eastAsia="zh-CN" w:bidi="ar-SA"/>
              </w:rPr>
            </w:pPr>
          </w:p>
        </w:tc>
        <w:tc>
          <w:tcPr>
            <w:tcW w:w="1020" w:type="dxa"/>
            <w:tcBorders>
              <w:top w:val="nil"/>
              <w:left w:val="nil"/>
              <w:bottom w:val="single" w:color="auto" w:sz="8" w:space="0"/>
              <w:right w:val="single" w:color="auto" w:sz="8" w:space="0"/>
            </w:tcBorders>
            <w:shd w:val="clear" w:color="000000" w:fill="D3DFEE"/>
            <w:noWrap/>
            <w:vAlign w:val="center"/>
          </w:tcPr>
          <w:p w14:paraId="4AB3978B">
            <w:pPr>
              <w:rPr>
                <w:rFonts w:hint="default" w:ascii="Verdana" w:hAnsi="Verdana" w:eastAsia="宋体" w:cs="Arial"/>
                <w:color w:val="000000"/>
                <w:kern w:val="0"/>
                <w:sz w:val="20"/>
                <w:szCs w:val="20"/>
                <w:lang w:val="en-US" w:eastAsia="zh-CN" w:bidi="ar-SA"/>
              </w:rPr>
            </w:pPr>
          </w:p>
        </w:tc>
        <w:tc>
          <w:tcPr>
            <w:tcW w:w="1020" w:type="dxa"/>
            <w:tcBorders>
              <w:top w:val="nil"/>
              <w:left w:val="nil"/>
              <w:bottom w:val="single" w:color="auto" w:sz="8" w:space="0"/>
              <w:right w:val="single" w:color="auto" w:sz="8" w:space="0"/>
            </w:tcBorders>
            <w:shd w:val="clear" w:color="000000" w:fill="D3DFEE"/>
            <w:noWrap/>
            <w:vAlign w:val="center"/>
          </w:tcPr>
          <w:p w14:paraId="2CC50036">
            <w:pPr>
              <w:rPr>
                <w:rFonts w:hint="default" w:ascii="Verdana" w:hAnsi="Verdana" w:eastAsia="宋体" w:cs="Arial"/>
                <w:color w:val="000000"/>
                <w:kern w:val="0"/>
                <w:sz w:val="20"/>
                <w:szCs w:val="20"/>
                <w:lang w:val="en-US" w:eastAsia="zh-CN" w:bidi="ar-SA"/>
              </w:rPr>
            </w:pPr>
          </w:p>
        </w:tc>
        <w:tc>
          <w:tcPr>
            <w:tcW w:w="1020" w:type="dxa"/>
            <w:tcBorders>
              <w:top w:val="nil"/>
              <w:left w:val="nil"/>
              <w:bottom w:val="single" w:color="auto" w:sz="8" w:space="0"/>
              <w:right w:val="single" w:color="auto" w:sz="8" w:space="0"/>
            </w:tcBorders>
            <w:shd w:val="clear" w:color="000000" w:fill="D3DFEE"/>
            <w:noWrap/>
            <w:vAlign w:val="center"/>
          </w:tcPr>
          <w:p w14:paraId="7348051D">
            <w:pPr>
              <w:rPr>
                <w:rFonts w:hint="default" w:ascii="Verdana" w:hAnsi="Verdana" w:eastAsia="宋体" w:cs="Arial"/>
                <w:color w:val="000000"/>
                <w:kern w:val="0"/>
                <w:sz w:val="20"/>
                <w:szCs w:val="20"/>
                <w:lang w:val="en-US" w:eastAsia="zh-CN" w:bidi="ar-SA"/>
              </w:rPr>
            </w:pPr>
          </w:p>
        </w:tc>
        <w:tc>
          <w:tcPr>
            <w:tcW w:w="1020" w:type="dxa"/>
            <w:tcBorders>
              <w:top w:val="nil"/>
              <w:left w:val="nil"/>
              <w:bottom w:val="single" w:color="auto" w:sz="8" w:space="0"/>
              <w:right w:val="single" w:color="auto" w:sz="8" w:space="0"/>
            </w:tcBorders>
            <w:shd w:val="clear" w:color="000000" w:fill="D3DFEE"/>
            <w:noWrap/>
            <w:vAlign w:val="center"/>
          </w:tcPr>
          <w:p w14:paraId="749916A0">
            <w:pPr>
              <w:rPr>
                <w:rFonts w:hint="default" w:ascii="Verdana" w:hAnsi="Verdana" w:eastAsia="宋体" w:cs="Arial"/>
                <w:color w:val="000000"/>
                <w:kern w:val="0"/>
                <w:sz w:val="20"/>
                <w:szCs w:val="20"/>
                <w:lang w:val="en-US" w:eastAsia="zh-CN" w:bidi="ar-SA"/>
              </w:rPr>
            </w:pPr>
          </w:p>
        </w:tc>
      </w:tr>
      <w:tr w14:paraId="38227E31">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596B626C">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债券本金资金覆盖率</w:t>
            </w:r>
          </w:p>
        </w:tc>
        <w:tc>
          <w:tcPr>
            <w:tcW w:w="1020" w:type="dxa"/>
            <w:tcBorders>
              <w:top w:val="nil"/>
              <w:left w:val="nil"/>
              <w:bottom w:val="single" w:color="auto" w:sz="8" w:space="0"/>
              <w:right w:val="single" w:color="auto" w:sz="8" w:space="0"/>
            </w:tcBorders>
            <w:shd w:val="clear" w:color="auto" w:fill="auto"/>
            <w:noWrap/>
            <w:vAlign w:val="center"/>
          </w:tcPr>
          <w:p w14:paraId="3075AFD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2.05 </w:t>
            </w:r>
          </w:p>
        </w:tc>
        <w:tc>
          <w:tcPr>
            <w:tcW w:w="1020" w:type="dxa"/>
            <w:tcBorders>
              <w:top w:val="nil"/>
              <w:left w:val="nil"/>
              <w:bottom w:val="single" w:color="auto" w:sz="8" w:space="0"/>
              <w:right w:val="single" w:color="auto" w:sz="8" w:space="0"/>
            </w:tcBorders>
            <w:shd w:val="clear" w:color="auto" w:fill="auto"/>
            <w:noWrap/>
            <w:vAlign w:val="center"/>
          </w:tcPr>
          <w:p w14:paraId="00FA238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2.04 </w:t>
            </w:r>
          </w:p>
        </w:tc>
        <w:tc>
          <w:tcPr>
            <w:tcW w:w="1020" w:type="dxa"/>
            <w:tcBorders>
              <w:top w:val="nil"/>
              <w:left w:val="nil"/>
              <w:bottom w:val="single" w:color="auto" w:sz="8" w:space="0"/>
              <w:right w:val="single" w:color="auto" w:sz="8" w:space="0"/>
            </w:tcBorders>
            <w:shd w:val="clear" w:color="auto" w:fill="auto"/>
            <w:noWrap/>
            <w:vAlign w:val="center"/>
          </w:tcPr>
          <w:p w14:paraId="503DDC4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2.02 </w:t>
            </w:r>
          </w:p>
        </w:tc>
        <w:tc>
          <w:tcPr>
            <w:tcW w:w="1020" w:type="dxa"/>
            <w:tcBorders>
              <w:top w:val="nil"/>
              <w:left w:val="nil"/>
              <w:bottom w:val="single" w:color="auto" w:sz="8" w:space="0"/>
              <w:right w:val="single" w:color="auto" w:sz="8" w:space="0"/>
            </w:tcBorders>
            <w:shd w:val="clear" w:color="auto" w:fill="auto"/>
            <w:noWrap/>
            <w:vAlign w:val="center"/>
          </w:tcPr>
          <w:p w14:paraId="460497B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2.01 </w:t>
            </w:r>
          </w:p>
        </w:tc>
        <w:tc>
          <w:tcPr>
            <w:tcW w:w="1020" w:type="dxa"/>
            <w:tcBorders>
              <w:top w:val="nil"/>
              <w:left w:val="nil"/>
              <w:bottom w:val="single" w:color="auto" w:sz="8" w:space="0"/>
              <w:right w:val="single" w:color="auto" w:sz="8" w:space="0"/>
            </w:tcBorders>
            <w:shd w:val="clear" w:color="auto" w:fill="auto"/>
            <w:noWrap/>
            <w:vAlign w:val="center"/>
          </w:tcPr>
          <w:p w14:paraId="114AFDF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1.99 </w:t>
            </w:r>
          </w:p>
        </w:tc>
        <w:tc>
          <w:tcPr>
            <w:tcW w:w="1020" w:type="dxa"/>
            <w:tcBorders>
              <w:top w:val="nil"/>
              <w:left w:val="nil"/>
              <w:bottom w:val="single" w:color="auto" w:sz="8" w:space="0"/>
              <w:right w:val="single" w:color="auto" w:sz="8" w:space="0"/>
            </w:tcBorders>
            <w:shd w:val="clear" w:color="auto" w:fill="auto"/>
            <w:noWrap/>
            <w:vAlign w:val="center"/>
          </w:tcPr>
          <w:p w14:paraId="6AA55EB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1.98 </w:t>
            </w:r>
          </w:p>
        </w:tc>
        <w:tc>
          <w:tcPr>
            <w:tcW w:w="1020" w:type="dxa"/>
            <w:tcBorders>
              <w:top w:val="nil"/>
              <w:left w:val="nil"/>
              <w:bottom w:val="single" w:color="auto" w:sz="8" w:space="0"/>
              <w:right w:val="single" w:color="auto" w:sz="8" w:space="0"/>
            </w:tcBorders>
            <w:shd w:val="clear" w:color="auto" w:fill="auto"/>
            <w:noWrap/>
            <w:vAlign w:val="center"/>
          </w:tcPr>
          <w:p w14:paraId="3819DCF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1.96 </w:t>
            </w:r>
          </w:p>
        </w:tc>
      </w:tr>
      <w:tr w14:paraId="232FFED4">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394BFC5A">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债券本息资金覆盖率</w:t>
            </w:r>
          </w:p>
        </w:tc>
        <w:tc>
          <w:tcPr>
            <w:tcW w:w="1020" w:type="dxa"/>
            <w:tcBorders>
              <w:top w:val="nil"/>
              <w:left w:val="nil"/>
              <w:bottom w:val="single" w:color="auto" w:sz="8" w:space="0"/>
              <w:right w:val="single" w:color="auto" w:sz="8" w:space="0"/>
            </w:tcBorders>
            <w:shd w:val="clear" w:color="auto" w:fill="auto"/>
            <w:noWrap/>
            <w:vAlign w:val="center"/>
          </w:tcPr>
          <w:p w14:paraId="1677B83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1.68 </w:t>
            </w:r>
          </w:p>
        </w:tc>
        <w:tc>
          <w:tcPr>
            <w:tcW w:w="1020" w:type="dxa"/>
            <w:tcBorders>
              <w:top w:val="nil"/>
              <w:left w:val="nil"/>
              <w:bottom w:val="single" w:color="auto" w:sz="8" w:space="0"/>
              <w:right w:val="single" w:color="auto" w:sz="8" w:space="0"/>
            </w:tcBorders>
            <w:shd w:val="clear" w:color="auto" w:fill="auto"/>
            <w:noWrap/>
            <w:vAlign w:val="center"/>
          </w:tcPr>
          <w:p w14:paraId="52FACED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1.67 </w:t>
            </w:r>
          </w:p>
        </w:tc>
        <w:tc>
          <w:tcPr>
            <w:tcW w:w="1020" w:type="dxa"/>
            <w:tcBorders>
              <w:top w:val="nil"/>
              <w:left w:val="nil"/>
              <w:bottom w:val="single" w:color="auto" w:sz="8" w:space="0"/>
              <w:right w:val="single" w:color="auto" w:sz="8" w:space="0"/>
            </w:tcBorders>
            <w:shd w:val="clear" w:color="auto" w:fill="auto"/>
            <w:noWrap/>
            <w:vAlign w:val="center"/>
          </w:tcPr>
          <w:p w14:paraId="4D7EC0F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1.66 </w:t>
            </w:r>
          </w:p>
        </w:tc>
        <w:tc>
          <w:tcPr>
            <w:tcW w:w="1020" w:type="dxa"/>
            <w:tcBorders>
              <w:top w:val="nil"/>
              <w:left w:val="nil"/>
              <w:bottom w:val="single" w:color="auto" w:sz="8" w:space="0"/>
              <w:right w:val="single" w:color="auto" w:sz="8" w:space="0"/>
            </w:tcBorders>
            <w:shd w:val="clear" w:color="auto" w:fill="auto"/>
            <w:noWrap/>
            <w:vAlign w:val="center"/>
          </w:tcPr>
          <w:p w14:paraId="3F1B4EB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1.65 </w:t>
            </w:r>
          </w:p>
        </w:tc>
        <w:tc>
          <w:tcPr>
            <w:tcW w:w="1020" w:type="dxa"/>
            <w:tcBorders>
              <w:top w:val="nil"/>
              <w:left w:val="nil"/>
              <w:bottom w:val="single" w:color="auto" w:sz="8" w:space="0"/>
              <w:right w:val="single" w:color="auto" w:sz="8" w:space="0"/>
            </w:tcBorders>
            <w:shd w:val="clear" w:color="auto" w:fill="auto"/>
            <w:noWrap/>
            <w:vAlign w:val="center"/>
          </w:tcPr>
          <w:p w14:paraId="5484B15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1.64 </w:t>
            </w:r>
          </w:p>
        </w:tc>
        <w:tc>
          <w:tcPr>
            <w:tcW w:w="1020" w:type="dxa"/>
            <w:tcBorders>
              <w:top w:val="nil"/>
              <w:left w:val="nil"/>
              <w:bottom w:val="single" w:color="auto" w:sz="8" w:space="0"/>
              <w:right w:val="single" w:color="auto" w:sz="8" w:space="0"/>
            </w:tcBorders>
            <w:shd w:val="clear" w:color="auto" w:fill="auto"/>
            <w:noWrap/>
            <w:vAlign w:val="center"/>
          </w:tcPr>
          <w:p w14:paraId="37A42A1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1.63 </w:t>
            </w:r>
          </w:p>
        </w:tc>
        <w:tc>
          <w:tcPr>
            <w:tcW w:w="1020" w:type="dxa"/>
            <w:tcBorders>
              <w:top w:val="nil"/>
              <w:left w:val="nil"/>
              <w:bottom w:val="single" w:color="auto" w:sz="8" w:space="0"/>
              <w:right w:val="single" w:color="auto" w:sz="8" w:space="0"/>
            </w:tcBorders>
            <w:shd w:val="clear" w:color="auto" w:fill="auto"/>
            <w:noWrap/>
            <w:vAlign w:val="center"/>
          </w:tcPr>
          <w:p w14:paraId="3336B92B">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1.62 </w:t>
            </w:r>
          </w:p>
        </w:tc>
      </w:tr>
      <w:tr w14:paraId="0DBCA644">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1226647B">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债券本息资金覆盖倍数</w:t>
            </w:r>
          </w:p>
        </w:tc>
        <w:tc>
          <w:tcPr>
            <w:tcW w:w="1020" w:type="dxa"/>
            <w:tcBorders>
              <w:top w:val="nil"/>
              <w:left w:val="nil"/>
              <w:bottom w:val="single" w:color="auto" w:sz="8" w:space="0"/>
              <w:right w:val="single" w:color="auto" w:sz="8" w:space="0"/>
            </w:tcBorders>
            <w:shd w:val="clear" w:color="auto" w:fill="auto"/>
            <w:noWrap/>
            <w:vAlign w:val="center"/>
          </w:tcPr>
          <w:p w14:paraId="62CACEC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1.66 </w:t>
            </w:r>
          </w:p>
        </w:tc>
        <w:tc>
          <w:tcPr>
            <w:tcW w:w="1020" w:type="dxa"/>
            <w:tcBorders>
              <w:top w:val="nil"/>
              <w:left w:val="nil"/>
              <w:bottom w:val="single" w:color="auto" w:sz="8" w:space="0"/>
              <w:right w:val="single" w:color="auto" w:sz="8" w:space="0"/>
            </w:tcBorders>
            <w:shd w:val="clear" w:color="auto" w:fill="auto"/>
            <w:noWrap/>
            <w:vAlign w:val="center"/>
          </w:tcPr>
          <w:p w14:paraId="792387B1">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1.65 </w:t>
            </w:r>
          </w:p>
        </w:tc>
        <w:tc>
          <w:tcPr>
            <w:tcW w:w="1020" w:type="dxa"/>
            <w:tcBorders>
              <w:top w:val="nil"/>
              <w:left w:val="nil"/>
              <w:bottom w:val="single" w:color="auto" w:sz="8" w:space="0"/>
              <w:right w:val="single" w:color="auto" w:sz="8" w:space="0"/>
            </w:tcBorders>
            <w:shd w:val="clear" w:color="auto" w:fill="auto"/>
            <w:noWrap/>
            <w:vAlign w:val="center"/>
          </w:tcPr>
          <w:p w14:paraId="3920A1B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1.64 </w:t>
            </w:r>
          </w:p>
        </w:tc>
        <w:tc>
          <w:tcPr>
            <w:tcW w:w="1020" w:type="dxa"/>
            <w:tcBorders>
              <w:top w:val="nil"/>
              <w:left w:val="nil"/>
              <w:bottom w:val="single" w:color="auto" w:sz="8" w:space="0"/>
              <w:right w:val="single" w:color="auto" w:sz="8" w:space="0"/>
            </w:tcBorders>
            <w:shd w:val="clear" w:color="auto" w:fill="auto"/>
            <w:noWrap/>
            <w:vAlign w:val="center"/>
          </w:tcPr>
          <w:p w14:paraId="05F78280">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1.63 </w:t>
            </w:r>
          </w:p>
        </w:tc>
        <w:tc>
          <w:tcPr>
            <w:tcW w:w="1020" w:type="dxa"/>
            <w:tcBorders>
              <w:top w:val="nil"/>
              <w:left w:val="nil"/>
              <w:bottom w:val="single" w:color="auto" w:sz="8" w:space="0"/>
              <w:right w:val="single" w:color="auto" w:sz="8" w:space="0"/>
            </w:tcBorders>
            <w:shd w:val="clear" w:color="auto" w:fill="auto"/>
            <w:noWrap/>
            <w:vAlign w:val="center"/>
          </w:tcPr>
          <w:p w14:paraId="0F772A6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1.62 </w:t>
            </w:r>
          </w:p>
        </w:tc>
        <w:tc>
          <w:tcPr>
            <w:tcW w:w="1020" w:type="dxa"/>
            <w:tcBorders>
              <w:top w:val="nil"/>
              <w:left w:val="nil"/>
              <w:bottom w:val="single" w:color="auto" w:sz="8" w:space="0"/>
              <w:right w:val="single" w:color="auto" w:sz="8" w:space="0"/>
            </w:tcBorders>
            <w:shd w:val="clear" w:color="auto" w:fill="auto"/>
            <w:noWrap/>
            <w:vAlign w:val="center"/>
          </w:tcPr>
          <w:p w14:paraId="274D15C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1.61 </w:t>
            </w:r>
          </w:p>
        </w:tc>
        <w:tc>
          <w:tcPr>
            <w:tcW w:w="1020" w:type="dxa"/>
            <w:tcBorders>
              <w:top w:val="nil"/>
              <w:left w:val="nil"/>
              <w:bottom w:val="single" w:color="auto" w:sz="8" w:space="0"/>
              <w:right w:val="single" w:color="auto" w:sz="8" w:space="0"/>
            </w:tcBorders>
            <w:shd w:val="clear" w:color="auto" w:fill="auto"/>
            <w:noWrap/>
            <w:vAlign w:val="center"/>
          </w:tcPr>
          <w:p w14:paraId="1BD30DA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1.61 </w:t>
            </w:r>
          </w:p>
        </w:tc>
      </w:tr>
      <w:tr w14:paraId="717BD2AC">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000000" w:fill="D3DFEE"/>
            <w:noWrap/>
            <w:vAlign w:val="center"/>
          </w:tcPr>
          <w:p w14:paraId="02782F32">
            <w:pPr>
              <w:widowControl/>
              <w:spacing w:after="0" w:line="240" w:lineRule="auto"/>
              <w:jc w:val="left"/>
              <w:rPr>
                <w:rFonts w:hint="eastAsia" w:ascii="华文细黑" w:hAnsi="华文细黑" w:eastAsia="华文细黑" w:cs="Arial"/>
                <w:b/>
                <w:bCs/>
                <w:color w:val="000000"/>
                <w:kern w:val="0"/>
                <w:sz w:val="18"/>
                <w:szCs w:val="18"/>
              </w:rPr>
            </w:pPr>
            <w:r>
              <w:rPr>
                <w:rFonts w:hint="eastAsia" w:ascii="华文细黑" w:hAnsi="华文细黑" w:eastAsia="华文细黑" w:cs="Arial"/>
                <w:b/>
                <w:bCs/>
                <w:color w:val="000000"/>
                <w:kern w:val="0"/>
                <w:sz w:val="18"/>
                <w:szCs w:val="18"/>
                <w:lang w:val="en-US" w:eastAsia="zh-CN"/>
              </w:rPr>
              <w:t>利率变动敏感性分析</w:t>
            </w:r>
          </w:p>
        </w:tc>
        <w:tc>
          <w:tcPr>
            <w:tcW w:w="1020" w:type="dxa"/>
            <w:tcBorders>
              <w:top w:val="nil"/>
              <w:left w:val="nil"/>
              <w:bottom w:val="single" w:color="auto" w:sz="8" w:space="0"/>
              <w:right w:val="single" w:color="auto" w:sz="8" w:space="0"/>
            </w:tcBorders>
            <w:shd w:val="clear" w:color="000000" w:fill="D3DFEE"/>
            <w:noWrap/>
            <w:vAlign w:val="center"/>
          </w:tcPr>
          <w:p w14:paraId="0514D24C">
            <w:pPr>
              <w:widowControl/>
              <w:spacing w:after="0" w:line="240" w:lineRule="auto"/>
              <w:jc w:val="right"/>
              <w:rPr>
                <w:rFonts w:hint="default" w:ascii="Verdana" w:hAnsi="Verdana" w:eastAsia="宋体" w:cs="Arial"/>
                <w:color w:val="000000"/>
                <w:kern w:val="0"/>
                <w:sz w:val="20"/>
                <w:szCs w:val="20"/>
                <w:lang w:val="en-US" w:eastAsia="zh-CN"/>
              </w:rPr>
            </w:pPr>
          </w:p>
        </w:tc>
        <w:tc>
          <w:tcPr>
            <w:tcW w:w="1020" w:type="dxa"/>
            <w:tcBorders>
              <w:top w:val="nil"/>
              <w:left w:val="nil"/>
              <w:bottom w:val="single" w:color="auto" w:sz="8" w:space="0"/>
              <w:right w:val="single" w:color="auto" w:sz="8" w:space="0"/>
            </w:tcBorders>
            <w:shd w:val="clear" w:color="000000" w:fill="D3DFEE"/>
            <w:noWrap/>
            <w:vAlign w:val="center"/>
          </w:tcPr>
          <w:p w14:paraId="77BC8ED9">
            <w:pPr>
              <w:widowControl/>
              <w:spacing w:after="0" w:line="240" w:lineRule="auto"/>
              <w:jc w:val="right"/>
              <w:rPr>
                <w:rFonts w:hint="default" w:ascii="Verdana" w:hAnsi="Verdana" w:eastAsia="宋体" w:cs="Arial"/>
                <w:color w:val="000000"/>
                <w:kern w:val="0"/>
                <w:sz w:val="20"/>
                <w:szCs w:val="20"/>
                <w:lang w:val="en-US" w:eastAsia="zh-CN"/>
              </w:rPr>
            </w:pPr>
          </w:p>
        </w:tc>
        <w:tc>
          <w:tcPr>
            <w:tcW w:w="1020" w:type="dxa"/>
            <w:tcBorders>
              <w:top w:val="nil"/>
              <w:left w:val="nil"/>
              <w:bottom w:val="single" w:color="auto" w:sz="8" w:space="0"/>
              <w:right w:val="single" w:color="auto" w:sz="8" w:space="0"/>
            </w:tcBorders>
            <w:shd w:val="clear" w:color="000000" w:fill="D3DFEE"/>
            <w:noWrap/>
            <w:vAlign w:val="center"/>
          </w:tcPr>
          <w:p w14:paraId="289618B8">
            <w:pPr>
              <w:widowControl/>
              <w:spacing w:after="0" w:line="240" w:lineRule="auto"/>
              <w:jc w:val="right"/>
              <w:rPr>
                <w:rFonts w:hint="default" w:ascii="Verdana" w:hAnsi="Verdana" w:eastAsia="宋体" w:cs="Arial"/>
                <w:color w:val="000000"/>
                <w:kern w:val="0"/>
                <w:sz w:val="20"/>
                <w:szCs w:val="20"/>
                <w:lang w:val="en-US" w:eastAsia="zh-CN"/>
              </w:rPr>
            </w:pPr>
          </w:p>
        </w:tc>
        <w:tc>
          <w:tcPr>
            <w:tcW w:w="1020" w:type="dxa"/>
            <w:tcBorders>
              <w:top w:val="nil"/>
              <w:left w:val="nil"/>
              <w:bottom w:val="single" w:color="auto" w:sz="8" w:space="0"/>
              <w:right w:val="single" w:color="auto" w:sz="8" w:space="0"/>
            </w:tcBorders>
            <w:shd w:val="clear" w:color="000000" w:fill="D3DFEE"/>
            <w:noWrap/>
            <w:vAlign w:val="center"/>
          </w:tcPr>
          <w:p w14:paraId="0267221C">
            <w:pPr>
              <w:widowControl/>
              <w:spacing w:after="0" w:line="240" w:lineRule="auto"/>
              <w:jc w:val="right"/>
              <w:rPr>
                <w:rFonts w:hint="default" w:ascii="Verdana" w:hAnsi="Verdana" w:eastAsia="宋体" w:cs="Arial"/>
                <w:color w:val="000000"/>
                <w:kern w:val="0"/>
                <w:sz w:val="20"/>
                <w:szCs w:val="20"/>
                <w:lang w:val="en-US" w:eastAsia="zh-CN"/>
              </w:rPr>
            </w:pPr>
          </w:p>
        </w:tc>
        <w:tc>
          <w:tcPr>
            <w:tcW w:w="1020" w:type="dxa"/>
            <w:tcBorders>
              <w:top w:val="nil"/>
              <w:left w:val="nil"/>
              <w:bottom w:val="single" w:color="auto" w:sz="8" w:space="0"/>
              <w:right w:val="single" w:color="auto" w:sz="8" w:space="0"/>
            </w:tcBorders>
            <w:shd w:val="clear" w:color="000000" w:fill="D3DFEE"/>
            <w:noWrap/>
            <w:vAlign w:val="center"/>
          </w:tcPr>
          <w:p w14:paraId="2581A852">
            <w:pPr>
              <w:widowControl/>
              <w:spacing w:after="0" w:line="240" w:lineRule="auto"/>
              <w:jc w:val="right"/>
              <w:rPr>
                <w:rFonts w:hint="default" w:ascii="Verdana" w:hAnsi="Verdana" w:eastAsia="宋体" w:cs="Arial"/>
                <w:color w:val="000000"/>
                <w:kern w:val="0"/>
                <w:sz w:val="20"/>
                <w:szCs w:val="20"/>
                <w:lang w:val="en-US" w:eastAsia="zh-CN"/>
              </w:rPr>
            </w:pPr>
          </w:p>
        </w:tc>
        <w:tc>
          <w:tcPr>
            <w:tcW w:w="1020" w:type="dxa"/>
            <w:tcBorders>
              <w:top w:val="nil"/>
              <w:left w:val="nil"/>
              <w:bottom w:val="single" w:color="auto" w:sz="8" w:space="0"/>
              <w:right w:val="single" w:color="auto" w:sz="8" w:space="0"/>
            </w:tcBorders>
            <w:shd w:val="clear" w:color="000000" w:fill="D3DFEE"/>
            <w:noWrap/>
            <w:vAlign w:val="center"/>
          </w:tcPr>
          <w:p w14:paraId="45C6DFDA">
            <w:pPr>
              <w:widowControl/>
              <w:spacing w:after="0" w:line="240" w:lineRule="auto"/>
              <w:jc w:val="right"/>
              <w:rPr>
                <w:rFonts w:hint="default" w:ascii="Verdana" w:hAnsi="Verdana" w:eastAsia="宋体" w:cs="Arial"/>
                <w:color w:val="000000"/>
                <w:kern w:val="0"/>
                <w:sz w:val="20"/>
                <w:szCs w:val="20"/>
                <w:lang w:val="en-US" w:eastAsia="zh-CN"/>
              </w:rPr>
            </w:pPr>
          </w:p>
        </w:tc>
        <w:tc>
          <w:tcPr>
            <w:tcW w:w="1020" w:type="dxa"/>
            <w:tcBorders>
              <w:top w:val="nil"/>
              <w:left w:val="nil"/>
              <w:bottom w:val="single" w:color="auto" w:sz="8" w:space="0"/>
              <w:right w:val="single" w:color="auto" w:sz="8" w:space="0"/>
            </w:tcBorders>
            <w:shd w:val="clear" w:color="000000" w:fill="D3DFEE"/>
            <w:noWrap/>
            <w:vAlign w:val="center"/>
          </w:tcPr>
          <w:p w14:paraId="7A42E0E7">
            <w:pPr>
              <w:widowControl/>
              <w:spacing w:after="0" w:line="240" w:lineRule="auto"/>
              <w:jc w:val="right"/>
              <w:rPr>
                <w:rFonts w:hint="default" w:ascii="Verdana" w:hAnsi="Verdana" w:eastAsia="宋体" w:cs="Arial"/>
                <w:color w:val="000000"/>
                <w:kern w:val="0"/>
                <w:sz w:val="20"/>
                <w:szCs w:val="20"/>
                <w:lang w:val="en-US" w:eastAsia="zh-CN"/>
              </w:rPr>
            </w:pPr>
          </w:p>
        </w:tc>
      </w:tr>
      <w:tr w14:paraId="21701760">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3CC7CBE5">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债券本金资金覆盖率</w:t>
            </w:r>
          </w:p>
        </w:tc>
        <w:tc>
          <w:tcPr>
            <w:tcW w:w="1020" w:type="dxa"/>
            <w:tcBorders>
              <w:top w:val="nil"/>
              <w:left w:val="nil"/>
              <w:bottom w:val="single" w:color="auto" w:sz="8" w:space="0"/>
              <w:right w:val="single" w:color="auto" w:sz="8" w:space="0"/>
            </w:tcBorders>
            <w:shd w:val="clear" w:color="auto" w:fill="auto"/>
            <w:noWrap/>
            <w:vAlign w:val="center"/>
          </w:tcPr>
          <w:p w14:paraId="40130E1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3.17 </w:t>
            </w:r>
          </w:p>
        </w:tc>
        <w:tc>
          <w:tcPr>
            <w:tcW w:w="1020" w:type="dxa"/>
            <w:tcBorders>
              <w:top w:val="nil"/>
              <w:left w:val="nil"/>
              <w:bottom w:val="single" w:color="auto" w:sz="8" w:space="0"/>
              <w:right w:val="single" w:color="auto" w:sz="8" w:space="0"/>
            </w:tcBorders>
            <w:shd w:val="clear" w:color="auto" w:fill="auto"/>
            <w:noWrap/>
            <w:vAlign w:val="center"/>
          </w:tcPr>
          <w:p w14:paraId="3FA419A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3.30 </w:t>
            </w:r>
          </w:p>
        </w:tc>
        <w:tc>
          <w:tcPr>
            <w:tcW w:w="1020" w:type="dxa"/>
            <w:tcBorders>
              <w:top w:val="nil"/>
              <w:left w:val="nil"/>
              <w:bottom w:val="single" w:color="auto" w:sz="8" w:space="0"/>
              <w:right w:val="single" w:color="auto" w:sz="8" w:space="0"/>
            </w:tcBorders>
            <w:shd w:val="clear" w:color="auto" w:fill="auto"/>
            <w:noWrap/>
            <w:vAlign w:val="center"/>
          </w:tcPr>
          <w:p w14:paraId="27F65BD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3.43 </w:t>
            </w:r>
          </w:p>
        </w:tc>
        <w:tc>
          <w:tcPr>
            <w:tcW w:w="1020" w:type="dxa"/>
            <w:tcBorders>
              <w:top w:val="nil"/>
              <w:left w:val="nil"/>
              <w:bottom w:val="single" w:color="auto" w:sz="8" w:space="0"/>
              <w:right w:val="single" w:color="auto" w:sz="8" w:space="0"/>
            </w:tcBorders>
            <w:shd w:val="clear" w:color="auto" w:fill="auto"/>
            <w:noWrap/>
            <w:vAlign w:val="center"/>
          </w:tcPr>
          <w:p w14:paraId="2911FBD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2.01 </w:t>
            </w:r>
          </w:p>
        </w:tc>
        <w:tc>
          <w:tcPr>
            <w:tcW w:w="1020" w:type="dxa"/>
            <w:tcBorders>
              <w:top w:val="nil"/>
              <w:left w:val="nil"/>
              <w:bottom w:val="single" w:color="auto" w:sz="8" w:space="0"/>
              <w:right w:val="single" w:color="auto" w:sz="8" w:space="0"/>
            </w:tcBorders>
            <w:shd w:val="clear" w:color="auto" w:fill="auto"/>
            <w:noWrap/>
            <w:vAlign w:val="center"/>
          </w:tcPr>
          <w:p w14:paraId="37B4BEEF">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3.68 </w:t>
            </w:r>
          </w:p>
        </w:tc>
        <w:tc>
          <w:tcPr>
            <w:tcW w:w="1020" w:type="dxa"/>
            <w:tcBorders>
              <w:top w:val="nil"/>
              <w:left w:val="nil"/>
              <w:bottom w:val="single" w:color="auto" w:sz="8" w:space="0"/>
              <w:right w:val="single" w:color="auto" w:sz="8" w:space="0"/>
            </w:tcBorders>
            <w:shd w:val="clear" w:color="auto" w:fill="auto"/>
            <w:noWrap/>
            <w:vAlign w:val="center"/>
          </w:tcPr>
          <w:p w14:paraId="71C961D6">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3.80 </w:t>
            </w:r>
          </w:p>
        </w:tc>
        <w:tc>
          <w:tcPr>
            <w:tcW w:w="1020" w:type="dxa"/>
            <w:tcBorders>
              <w:top w:val="nil"/>
              <w:left w:val="nil"/>
              <w:bottom w:val="single" w:color="auto" w:sz="8" w:space="0"/>
              <w:right w:val="single" w:color="auto" w:sz="8" w:space="0"/>
            </w:tcBorders>
            <w:shd w:val="clear" w:color="auto" w:fill="auto"/>
            <w:noWrap/>
            <w:vAlign w:val="center"/>
          </w:tcPr>
          <w:p w14:paraId="15026845">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3.93 </w:t>
            </w:r>
          </w:p>
        </w:tc>
      </w:tr>
      <w:tr w14:paraId="3638F993">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3A68CB68">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债券本息资金覆盖率</w:t>
            </w:r>
          </w:p>
        </w:tc>
        <w:tc>
          <w:tcPr>
            <w:tcW w:w="1020" w:type="dxa"/>
            <w:tcBorders>
              <w:top w:val="nil"/>
              <w:left w:val="nil"/>
              <w:bottom w:val="single" w:color="auto" w:sz="8" w:space="0"/>
              <w:right w:val="single" w:color="auto" w:sz="8" w:space="0"/>
            </w:tcBorders>
            <w:shd w:val="clear" w:color="auto" w:fill="auto"/>
            <w:noWrap/>
            <w:vAlign w:val="center"/>
          </w:tcPr>
          <w:p w14:paraId="2645E17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1.41 </w:t>
            </w:r>
          </w:p>
        </w:tc>
        <w:tc>
          <w:tcPr>
            <w:tcW w:w="1020" w:type="dxa"/>
            <w:tcBorders>
              <w:top w:val="nil"/>
              <w:left w:val="nil"/>
              <w:bottom w:val="single" w:color="auto" w:sz="8" w:space="0"/>
              <w:right w:val="single" w:color="auto" w:sz="8" w:space="0"/>
            </w:tcBorders>
            <w:shd w:val="clear" w:color="auto" w:fill="auto"/>
            <w:noWrap/>
            <w:vAlign w:val="center"/>
          </w:tcPr>
          <w:p w14:paraId="1425D47C">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1.49 </w:t>
            </w:r>
          </w:p>
        </w:tc>
        <w:tc>
          <w:tcPr>
            <w:tcW w:w="1020" w:type="dxa"/>
            <w:tcBorders>
              <w:top w:val="nil"/>
              <w:left w:val="nil"/>
              <w:bottom w:val="single" w:color="auto" w:sz="8" w:space="0"/>
              <w:right w:val="single" w:color="auto" w:sz="8" w:space="0"/>
            </w:tcBorders>
            <w:shd w:val="clear" w:color="auto" w:fill="auto"/>
            <w:noWrap/>
            <w:vAlign w:val="center"/>
          </w:tcPr>
          <w:p w14:paraId="282AC41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1.57 </w:t>
            </w:r>
          </w:p>
        </w:tc>
        <w:tc>
          <w:tcPr>
            <w:tcW w:w="1020" w:type="dxa"/>
            <w:tcBorders>
              <w:top w:val="nil"/>
              <w:left w:val="nil"/>
              <w:bottom w:val="single" w:color="auto" w:sz="8" w:space="0"/>
              <w:right w:val="single" w:color="auto" w:sz="8" w:space="0"/>
            </w:tcBorders>
            <w:shd w:val="clear" w:color="auto" w:fill="auto"/>
            <w:noWrap/>
            <w:vAlign w:val="center"/>
          </w:tcPr>
          <w:p w14:paraId="78834252">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1.65 </w:t>
            </w:r>
          </w:p>
        </w:tc>
        <w:tc>
          <w:tcPr>
            <w:tcW w:w="1020" w:type="dxa"/>
            <w:tcBorders>
              <w:top w:val="nil"/>
              <w:left w:val="nil"/>
              <w:bottom w:val="single" w:color="auto" w:sz="8" w:space="0"/>
              <w:right w:val="single" w:color="auto" w:sz="8" w:space="0"/>
            </w:tcBorders>
            <w:shd w:val="clear" w:color="auto" w:fill="auto"/>
            <w:noWrap/>
            <w:vAlign w:val="center"/>
          </w:tcPr>
          <w:p w14:paraId="76206C97">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1.73 </w:t>
            </w:r>
          </w:p>
        </w:tc>
        <w:tc>
          <w:tcPr>
            <w:tcW w:w="1020" w:type="dxa"/>
            <w:tcBorders>
              <w:top w:val="nil"/>
              <w:left w:val="nil"/>
              <w:bottom w:val="single" w:color="auto" w:sz="8" w:space="0"/>
              <w:right w:val="single" w:color="auto" w:sz="8" w:space="0"/>
            </w:tcBorders>
            <w:shd w:val="clear" w:color="auto" w:fill="auto"/>
            <w:noWrap/>
            <w:vAlign w:val="center"/>
          </w:tcPr>
          <w:p w14:paraId="7F330684">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1.82 </w:t>
            </w:r>
          </w:p>
        </w:tc>
        <w:tc>
          <w:tcPr>
            <w:tcW w:w="1020" w:type="dxa"/>
            <w:tcBorders>
              <w:top w:val="nil"/>
              <w:left w:val="nil"/>
              <w:bottom w:val="single" w:color="auto" w:sz="8" w:space="0"/>
              <w:right w:val="single" w:color="auto" w:sz="8" w:space="0"/>
            </w:tcBorders>
            <w:shd w:val="clear" w:color="auto" w:fill="auto"/>
            <w:noWrap/>
            <w:vAlign w:val="center"/>
          </w:tcPr>
          <w:p w14:paraId="2FFB2753">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1.90 </w:t>
            </w:r>
          </w:p>
        </w:tc>
      </w:tr>
      <w:tr w14:paraId="19DCCED1">
        <w:tblPrEx>
          <w:tblCellMar>
            <w:top w:w="0" w:type="dxa"/>
            <w:left w:w="108" w:type="dxa"/>
            <w:bottom w:w="0" w:type="dxa"/>
            <w:right w:w="108" w:type="dxa"/>
          </w:tblCellMar>
        </w:tblPrEx>
        <w:trPr>
          <w:trHeight w:val="340" w:hRule="atLeast"/>
          <w:jc w:val="center"/>
        </w:trPr>
        <w:tc>
          <w:tcPr>
            <w:tcW w:w="2657" w:type="dxa"/>
            <w:tcBorders>
              <w:top w:val="nil"/>
              <w:left w:val="single" w:color="auto" w:sz="8" w:space="0"/>
              <w:bottom w:val="single" w:color="auto" w:sz="8" w:space="0"/>
              <w:right w:val="single" w:color="auto" w:sz="8" w:space="0"/>
            </w:tcBorders>
            <w:shd w:val="clear" w:color="auto" w:fill="auto"/>
            <w:noWrap/>
            <w:vAlign w:val="center"/>
          </w:tcPr>
          <w:p w14:paraId="30AADE7C">
            <w:pPr>
              <w:widowControl/>
              <w:spacing w:after="0" w:line="240" w:lineRule="auto"/>
              <w:jc w:val="left"/>
              <w:rPr>
                <w:rFonts w:hint="eastAsia" w:ascii="华文细黑" w:hAnsi="华文细黑" w:eastAsia="华文细黑" w:cs="Arial"/>
                <w:b w:val="0"/>
                <w:bCs w:val="0"/>
                <w:color w:val="000000"/>
                <w:kern w:val="0"/>
                <w:sz w:val="18"/>
                <w:szCs w:val="18"/>
              </w:rPr>
            </w:pPr>
            <w:r>
              <w:rPr>
                <w:rFonts w:hint="eastAsia" w:ascii="华文细黑" w:hAnsi="华文细黑" w:eastAsia="华文细黑" w:cs="Arial"/>
                <w:b w:val="0"/>
                <w:bCs w:val="0"/>
                <w:color w:val="000000"/>
                <w:kern w:val="0"/>
                <w:sz w:val="18"/>
                <w:szCs w:val="18"/>
                <w:lang w:val="en-US" w:eastAsia="zh-CN"/>
              </w:rPr>
              <w:t>债券本息资金覆盖倍数</w:t>
            </w:r>
          </w:p>
        </w:tc>
        <w:tc>
          <w:tcPr>
            <w:tcW w:w="1020" w:type="dxa"/>
            <w:tcBorders>
              <w:top w:val="nil"/>
              <w:left w:val="nil"/>
              <w:bottom w:val="single" w:color="auto" w:sz="8" w:space="0"/>
              <w:right w:val="single" w:color="auto" w:sz="8" w:space="0"/>
            </w:tcBorders>
            <w:shd w:val="clear" w:color="auto" w:fill="auto"/>
            <w:noWrap/>
            <w:vAlign w:val="center"/>
          </w:tcPr>
          <w:p w14:paraId="78FB5BE9">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1.39 </w:t>
            </w:r>
          </w:p>
        </w:tc>
        <w:tc>
          <w:tcPr>
            <w:tcW w:w="1020" w:type="dxa"/>
            <w:tcBorders>
              <w:top w:val="nil"/>
              <w:left w:val="nil"/>
              <w:bottom w:val="single" w:color="auto" w:sz="8" w:space="0"/>
              <w:right w:val="single" w:color="auto" w:sz="8" w:space="0"/>
            </w:tcBorders>
            <w:shd w:val="clear" w:color="auto" w:fill="auto"/>
            <w:noWrap/>
            <w:vAlign w:val="center"/>
          </w:tcPr>
          <w:p w14:paraId="0B168A2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1.47 </w:t>
            </w:r>
          </w:p>
        </w:tc>
        <w:tc>
          <w:tcPr>
            <w:tcW w:w="1020" w:type="dxa"/>
            <w:tcBorders>
              <w:top w:val="nil"/>
              <w:left w:val="nil"/>
              <w:bottom w:val="single" w:color="auto" w:sz="8" w:space="0"/>
              <w:right w:val="single" w:color="auto" w:sz="8" w:space="0"/>
            </w:tcBorders>
            <w:shd w:val="clear" w:color="auto" w:fill="auto"/>
            <w:noWrap/>
            <w:vAlign w:val="center"/>
          </w:tcPr>
          <w:p w14:paraId="1E92644E">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1.55 </w:t>
            </w:r>
          </w:p>
        </w:tc>
        <w:tc>
          <w:tcPr>
            <w:tcW w:w="1020" w:type="dxa"/>
            <w:tcBorders>
              <w:top w:val="nil"/>
              <w:left w:val="nil"/>
              <w:bottom w:val="single" w:color="auto" w:sz="8" w:space="0"/>
              <w:right w:val="single" w:color="auto" w:sz="8" w:space="0"/>
            </w:tcBorders>
            <w:shd w:val="clear" w:color="auto" w:fill="auto"/>
            <w:noWrap/>
            <w:vAlign w:val="center"/>
          </w:tcPr>
          <w:p w14:paraId="163CCFBD">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1.63 </w:t>
            </w:r>
          </w:p>
        </w:tc>
        <w:tc>
          <w:tcPr>
            <w:tcW w:w="1020" w:type="dxa"/>
            <w:tcBorders>
              <w:top w:val="nil"/>
              <w:left w:val="nil"/>
              <w:bottom w:val="single" w:color="auto" w:sz="8" w:space="0"/>
              <w:right w:val="single" w:color="auto" w:sz="8" w:space="0"/>
            </w:tcBorders>
            <w:shd w:val="clear" w:color="auto" w:fill="auto"/>
            <w:noWrap/>
            <w:vAlign w:val="center"/>
          </w:tcPr>
          <w:p w14:paraId="11160C9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1.72 </w:t>
            </w:r>
          </w:p>
        </w:tc>
        <w:tc>
          <w:tcPr>
            <w:tcW w:w="1020" w:type="dxa"/>
            <w:tcBorders>
              <w:top w:val="nil"/>
              <w:left w:val="nil"/>
              <w:bottom w:val="single" w:color="auto" w:sz="8" w:space="0"/>
              <w:right w:val="single" w:color="auto" w:sz="8" w:space="0"/>
            </w:tcBorders>
            <w:shd w:val="clear" w:color="auto" w:fill="auto"/>
            <w:noWrap/>
            <w:vAlign w:val="center"/>
          </w:tcPr>
          <w:p w14:paraId="36E80728">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1.80 </w:t>
            </w:r>
          </w:p>
        </w:tc>
        <w:tc>
          <w:tcPr>
            <w:tcW w:w="1020" w:type="dxa"/>
            <w:tcBorders>
              <w:top w:val="nil"/>
              <w:left w:val="nil"/>
              <w:bottom w:val="single" w:color="auto" w:sz="8" w:space="0"/>
              <w:right w:val="single" w:color="auto" w:sz="8" w:space="0"/>
            </w:tcBorders>
            <w:shd w:val="clear" w:color="auto" w:fill="auto"/>
            <w:noWrap/>
            <w:vAlign w:val="center"/>
          </w:tcPr>
          <w:p w14:paraId="5D58AA3A">
            <w:pPr>
              <w:widowControl/>
              <w:spacing w:after="0" w:line="240" w:lineRule="auto"/>
              <w:jc w:val="right"/>
              <w:rPr>
                <w:rFonts w:hint="default" w:ascii="Verdana" w:hAnsi="Verdana" w:eastAsia="宋体" w:cs="Arial"/>
                <w:color w:val="000000"/>
                <w:kern w:val="0"/>
                <w:sz w:val="20"/>
                <w:szCs w:val="20"/>
                <w:lang w:val="en-US" w:eastAsia="zh-CN" w:bidi="ar-SA"/>
              </w:rPr>
            </w:pPr>
            <w:r>
              <w:rPr>
                <w:rFonts w:hint="default" w:ascii="Verdana" w:hAnsi="Verdana" w:eastAsia="宋体" w:cs="Arial"/>
                <w:color w:val="000000"/>
                <w:kern w:val="0"/>
                <w:sz w:val="20"/>
                <w:szCs w:val="20"/>
                <w:lang w:val="en-US" w:eastAsia="zh-CN" w:bidi="ar-SA"/>
              </w:rPr>
              <w:t xml:space="preserve"> 1.88 </w:t>
            </w:r>
          </w:p>
        </w:tc>
      </w:tr>
    </w:tbl>
    <w:p w14:paraId="41704CEA">
      <w:pPr>
        <w:widowControl/>
        <w:spacing w:after="0" w:line="520" w:lineRule="exact"/>
        <w:ind w:firstLine="480" w:firstLineChars="200"/>
        <w:jc w:val="left"/>
        <w:rPr>
          <w:rFonts w:hint="eastAsia" w:ascii="华文细黑" w:hAnsi="华文细黑" w:eastAsia="华文细黑" w:cs="华文细黑"/>
          <w:color w:val="000000"/>
          <w:kern w:val="0"/>
          <w:sz w:val="24"/>
          <w:szCs w:val="24"/>
          <w:lang w:bidi="ar"/>
        </w:rPr>
      </w:pPr>
      <w:r>
        <w:rPr>
          <w:rFonts w:hint="eastAsia" w:ascii="华文细黑" w:hAnsi="华文细黑" w:eastAsia="华文细黑" w:cs="华文细黑"/>
          <w:color w:val="000000"/>
          <w:kern w:val="0"/>
          <w:sz w:val="24"/>
          <w:szCs w:val="24"/>
          <w:lang w:bidi="ar"/>
        </w:rPr>
        <w:t>总体来看，本期项目专项收入对其拟使用的募集资金保障程度较高；但未来募投项目运营期收入等受宏观经济影响大。若未能实现收入计划，不能偿还到期债券本金，可在专项债务限额内以及满足覆盖倍数的情况下发行专项债券周转偿还，进而在项目收入实现后予以归还，或者通过追加自筹资金等方式来满足还本付息要求。</w:t>
      </w:r>
    </w:p>
    <w:p w14:paraId="4EE0F64F">
      <w:pPr>
        <w:spacing w:before="120" w:after="120" w:line="520" w:lineRule="exact"/>
        <w:outlineLvl w:val="0"/>
        <w:rPr>
          <w:rFonts w:hint="eastAsia" w:ascii="华文细黑" w:hAnsi="华文细黑" w:eastAsia="华文细黑" w:cs="华文细黑"/>
          <w:sz w:val="24"/>
          <w:szCs w:val="24"/>
        </w:rPr>
      </w:pPr>
      <w:bookmarkStart w:id="27" w:name="_Toc21136"/>
      <w:r>
        <w:rPr>
          <w:rFonts w:hint="eastAsia" w:ascii="华文细黑" w:hAnsi="华文细黑" w:eastAsia="华文细黑" w:cs="华文细黑"/>
          <w:b/>
          <w:sz w:val="24"/>
          <w:szCs w:val="24"/>
        </w:rPr>
        <w:t>七、</w:t>
      </w:r>
      <w:r>
        <w:rPr>
          <w:rFonts w:hint="eastAsia" w:ascii="华文细黑" w:hAnsi="华文细黑" w:eastAsia="华文细黑" w:cs="华文细黑"/>
          <w:b/>
          <w:bCs/>
          <w:sz w:val="24"/>
          <w:szCs w:val="24"/>
        </w:rPr>
        <w:t>风险评估</w:t>
      </w:r>
      <w:bookmarkEnd w:id="27"/>
    </w:p>
    <w:p w14:paraId="44CB0F2B">
      <w:pPr>
        <w:pStyle w:val="2"/>
        <w:spacing w:after="0" w:line="520" w:lineRule="exact"/>
        <w:ind w:firstLine="480"/>
        <w:rPr>
          <w:rFonts w:hint="eastAsia" w:ascii="华文细黑" w:hAnsi="华文细黑" w:eastAsia="华文细黑" w:cs="华文细黑"/>
          <w:sz w:val="24"/>
          <w:szCs w:val="24"/>
        </w:rPr>
      </w:pPr>
      <w:bookmarkStart w:id="28" w:name="_Toc13504"/>
      <w:r>
        <w:rPr>
          <w:rFonts w:hint="eastAsia" w:ascii="华文细黑" w:hAnsi="华文细黑" w:eastAsia="华文细黑" w:cs="华文细黑"/>
          <w:sz w:val="24"/>
          <w:szCs w:val="24"/>
        </w:rPr>
        <w:t>（一）影响项目施工进度或正常运营的风险及控制措施</w:t>
      </w:r>
      <w:bookmarkEnd w:id="28"/>
    </w:p>
    <w:p w14:paraId="054206DA">
      <w:pPr>
        <w:pStyle w:val="4"/>
        <w:spacing w:before="120" w:after="120" w:line="520" w:lineRule="exact"/>
        <w:ind w:firstLine="480"/>
        <w:rPr>
          <w:rFonts w:hint="eastAsia" w:ascii="华文细黑" w:hAnsi="华文细黑" w:eastAsia="华文细黑" w:cs="华文细黑"/>
          <w:sz w:val="24"/>
          <w:szCs w:val="24"/>
        </w:rPr>
      </w:pPr>
      <w:r>
        <w:rPr>
          <w:rFonts w:hint="eastAsia" w:ascii="华文细黑" w:hAnsi="华文细黑" w:eastAsia="华文细黑" w:cs="华文细黑"/>
          <w:sz w:val="24"/>
          <w:szCs w:val="24"/>
        </w:rPr>
        <w:t>1、政策风险</w:t>
      </w:r>
    </w:p>
    <w:p w14:paraId="40ED007F">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30E97B0E">
      <w:pPr>
        <w:pStyle w:val="4"/>
        <w:spacing w:before="120" w:after="120" w:line="520" w:lineRule="exact"/>
        <w:ind w:firstLine="480"/>
        <w:rPr>
          <w:rFonts w:hint="eastAsia" w:ascii="华文细黑" w:hAnsi="华文细黑" w:eastAsia="华文细黑" w:cs="华文细黑"/>
          <w:sz w:val="24"/>
          <w:szCs w:val="24"/>
        </w:rPr>
      </w:pPr>
      <w:r>
        <w:rPr>
          <w:rFonts w:hint="eastAsia" w:ascii="华文细黑" w:hAnsi="华文细黑" w:eastAsia="华文细黑" w:cs="华文细黑"/>
          <w:sz w:val="24"/>
          <w:szCs w:val="24"/>
        </w:rPr>
        <w:t>2、项目实施与管理风险</w:t>
      </w:r>
    </w:p>
    <w:p w14:paraId="5792D229">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项目建设期间严格执行文明施工标准，确保项目对民众生活的影响降至最低。</w:t>
      </w:r>
    </w:p>
    <w:p w14:paraId="30C4126A">
      <w:pPr>
        <w:pStyle w:val="4"/>
        <w:spacing w:before="120" w:after="120" w:line="520" w:lineRule="exact"/>
        <w:ind w:firstLine="480"/>
        <w:rPr>
          <w:rFonts w:hint="eastAsia" w:ascii="华文细黑" w:hAnsi="华文细黑" w:eastAsia="华文细黑" w:cs="华文细黑"/>
          <w:sz w:val="24"/>
          <w:szCs w:val="24"/>
        </w:rPr>
      </w:pPr>
      <w:r>
        <w:rPr>
          <w:rFonts w:hint="eastAsia" w:ascii="华文细黑" w:hAnsi="华文细黑" w:eastAsia="华文细黑" w:cs="华文细黑"/>
          <w:sz w:val="24"/>
          <w:szCs w:val="24"/>
        </w:rPr>
        <w:t>3、财务风险</w:t>
      </w:r>
    </w:p>
    <w:p w14:paraId="064B7839">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项目总投资规模较大，可能会形成由于资金落实不到位，使项目工期延长，无法按时完成项目建设的风险。项目资金来源拟通过财政拨款、申请融资筹集解决，在融资资金的支撑下，项目的实施将会顺利进行，因此，项目面临的财务风险较小。</w:t>
      </w:r>
    </w:p>
    <w:p w14:paraId="000DE5BD">
      <w:pPr>
        <w:pStyle w:val="2"/>
        <w:spacing w:before="120" w:after="120" w:line="520" w:lineRule="exact"/>
        <w:ind w:firstLine="480"/>
        <w:rPr>
          <w:rFonts w:hint="eastAsia" w:ascii="华文细黑" w:hAnsi="华文细黑" w:eastAsia="华文细黑" w:cs="华文细黑"/>
          <w:b w:val="0"/>
          <w:bCs w:val="0"/>
          <w:sz w:val="24"/>
          <w:szCs w:val="24"/>
        </w:rPr>
      </w:pPr>
      <w:bookmarkStart w:id="29" w:name="_Toc24514"/>
      <w:r>
        <w:rPr>
          <w:rFonts w:hint="eastAsia" w:ascii="华文细黑" w:hAnsi="华文细黑" w:eastAsia="华文细黑" w:cs="华文细黑"/>
          <w:sz w:val="24"/>
          <w:szCs w:val="24"/>
        </w:rPr>
        <w:t>（二）影响项目收益的风险及控制措施</w:t>
      </w:r>
      <w:bookmarkEnd w:id="29"/>
    </w:p>
    <w:p w14:paraId="68A9334B">
      <w:pPr>
        <w:pStyle w:val="4"/>
        <w:spacing w:before="120" w:after="120" w:line="520" w:lineRule="exact"/>
        <w:ind w:firstLine="480"/>
        <w:rPr>
          <w:rFonts w:hint="eastAsia" w:ascii="华文细黑" w:hAnsi="华文细黑" w:eastAsia="华文细黑" w:cs="华文细黑"/>
          <w:sz w:val="24"/>
          <w:szCs w:val="24"/>
        </w:rPr>
      </w:pPr>
      <w:r>
        <w:rPr>
          <w:rFonts w:hint="eastAsia" w:ascii="华文细黑" w:hAnsi="华文细黑" w:eastAsia="华文细黑" w:cs="华文细黑"/>
          <w:sz w:val="24"/>
          <w:szCs w:val="24"/>
        </w:rPr>
        <w:t>1、工程项目总投资不准确风险</w:t>
      </w:r>
    </w:p>
    <w:p w14:paraId="0FC127B0">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工程可行性研究报告中的总投资额与实际造价成本可能会发生偏差，影响资金项目资金投入和发债计划安排。</w:t>
      </w:r>
    </w:p>
    <w:p w14:paraId="1005AE92">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风险控制措施：按照市政府主管部门的批复结果及时调整项目资金投入计划，保障项目顺利实施。</w:t>
      </w:r>
    </w:p>
    <w:p w14:paraId="54832163">
      <w:pPr>
        <w:tabs>
          <w:tab w:val="left" w:pos="789"/>
        </w:tabs>
        <w:spacing w:before="120" w:after="120" w:line="520" w:lineRule="exact"/>
        <w:ind w:left="420" w:leftChars="200"/>
        <w:jc w:val="left"/>
        <w:outlineLvl w:val="1"/>
        <w:rPr>
          <w:rFonts w:hint="eastAsia" w:ascii="华文细黑" w:hAnsi="华文细黑" w:eastAsia="华文细黑" w:cs="华文细黑"/>
          <w:b/>
          <w:bCs/>
          <w:sz w:val="24"/>
          <w:szCs w:val="24"/>
        </w:rPr>
      </w:pPr>
      <w:bookmarkStart w:id="30" w:name="_Toc760"/>
      <w:r>
        <w:rPr>
          <w:rFonts w:hint="eastAsia" w:ascii="华文细黑" w:hAnsi="华文细黑" w:eastAsia="华文细黑" w:cs="华文细黑"/>
          <w:b/>
          <w:bCs/>
          <w:sz w:val="24"/>
          <w:szCs w:val="24"/>
        </w:rPr>
        <w:t>（三）影响融资平衡结果的风险及控制措施</w:t>
      </w:r>
      <w:bookmarkEnd w:id="30"/>
    </w:p>
    <w:p w14:paraId="6A4E7985">
      <w:pPr>
        <w:tabs>
          <w:tab w:val="left" w:pos="789"/>
        </w:tabs>
        <w:spacing w:before="120" w:after="120" w:line="520" w:lineRule="exact"/>
        <w:ind w:left="420" w:leftChars="200"/>
        <w:jc w:val="left"/>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1、投资测算不准确风险</w:t>
      </w:r>
    </w:p>
    <w:p w14:paraId="66415056">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656D7EC6">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风险控制措施：债券内所含项目的可行性研究报告均聘请了国内知名研究院经过大量分析论证工作后得出，分析结果较为可靠。</w:t>
      </w:r>
    </w:p>
    <w:p w14:paraId="3D3636CB">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南省政府有权视项目平衡情况动态调整项目自筹资金比例。</w:t>
      </w:r>
    </w:p>
    <w:p w14:paraId="43A20376">
      <w:pPr>
        <w:pStyle w:val="4"/>
        <w:spacing w:before="120" w:after="120" w:line="520" w:lineRule="exact"/>
        <w:ind w:firstLine="480"/>
        <w:rPr>
          <w:rFonts w:hint="eastAsia" w:ascii="华文细黑" w:hAnsi="华文细黑" w:eastAsia="华文细黑" w:cs="华文细黑"/>
          <w:sz w:val="24"/>
          <w:szCs w:val="24"/>
        </w:rPr>
      </w:pPr>
      <w:r>
        <w:rPr>
          <w:rFonts w:hint="eastAsia" w:ascii="华文细黑" w:hAnsi="华文细黑" w:eastAsia="华文细黑" w:cs="华文细黑"/>
          <w:sz w:val="24"/>
          <w:szCs w:val="24"/>
        </w:rPr>
        <w:t>2、利率波动风险</w:t>
      </w:r>
    </w:p>
    <w:p w14:paraId="6CF1C855">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67CDD239">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2D26BC10">
      <w:pPr>
        <w:pStyle w:val="4"/>
        <w:spacing w:before="120" w:after="120" w:line="520" w:lineRule="exact"/>
        <w:ind w:firstLine="480"/>
        <w:rPr>
          <w:rFonts w:hint="eastAsia" w:ascii="华文细黑" w:hAnsi="华文细黑" w:eastAsia="华文细黑" w:cs="华文细黑"/>
          <w:sz w:val="24"/>
          <w:szCs w:val="24"/>
        </w:rPr>
      </w:pPr>
      <w:r>
        <w:rPr>
          <w:rFonts w:hint="eastAsia" w:ascii="华文细黑" w:hAnsi="华文细黑" w:eastAsia="华文细黑" w:cs="华文细黑"/>
          <w:sz w:val="24"/>
          <w:szCs w:val="24"/>
        </w:rPr>
        <w:t>3、存续债券置换不畅风险</w:t>
      </w:r>
    </w:p>
    <w:p w14:paraId="5DAAE2E5">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根据《地方政府专项债务预算管理办法》（财预〔2016〕155号）第六条规定，专项债务本金通过对应的政府性基金收入、专项收入、发行专项债券等偿还。由于本期发行债券涉及项目建设期较长，项目经营收入回款较慢，若本期政府专项债券到期时项目收入不足以偿还本期债券，发行人将发行新一期政府专项债券置换本期债券。因此存在由于新一期政府专项债券不能足额及时募集而造成本期政府专项债券不能按期足额兑付的风险。</w:t>
      </w:r>
    </w:p>
    <w:p w14:paraId="1857FC19">
      <w:pPr>
        <w:spacing w:before="120" w:after="120" w:line="520" w:lineRule="exact"/>
        <w:ind w:firstLine="480" w:firstLineChars="200"/>
        <w:textAlignment w:val="center"/>
        <w:rPr>
          <w:rFonts w:hint="eastAsia" w:ascii="华文细黑" w:hAnsi="华文细黑" w:eastAsia="华文细黑" w:cs="华文细黑"/>
          <w:sz w:val="24"/>
          <w:szCs w:val="24"/>
        </w:rPr>
      </w:pPr>
      <w:r>
        <w:rPr>
          <w:rFonts w:hint="eastAsia" w:ascii="华文细黑" w:hAnsi="华文细黑" w:eastAsia="华文细黑" w:cs="华文细黑"/>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737985E5">
      <w:pPr>
        <w:spacing w:before="120" w:after="120" w:line="520" w:lineRule="exact"/>
        <w:ind w:firstLine="480" w:firstLineChars="200"/>
        <w:textAlignment w:val="center"/>
        <w:outlineLvl w:val="0"/>
        <w:rPr>
          <w:rFonts w:hint="eastAsia" w:ascii="华文细黑" w:hAnsi="华文细黑" w:eastAsia="华文细黑" w:cs="华文细黑"/>
          <w:b/>
          <w:bCs/>
          <w:sz w:val="24"/>
          <w:szCs w:val="24"/>
        </w:rPr>
      </w:pPr>
      <w:bookmarkStart w:id="31" w:name="_Toc8660"/>
      <w:r>
        <w:rPr>
          <w:rFonts w:hint="eastAsia" w:ascii="华文细黑" w:hAnsi="华文细黑" w:eastAsia="华文细黑" w:cs="华文细黑"/>
          <w:b/>
          <w:bCs/>
          <w:sz w:val="24"/>
          <w:szCs w:val="24"/>
          <w:lang w:val="en-US" w:eastAsia="zh-CN"/>
        </w:rPr>
        <w:t>八</w:t>
      </w:r>
      <w:r>
        <w:rPr>
          <w:rFonts w:hint="eastAsia" w:ascii="华文细黑" w:hAnsi="华文细黑" w:eastAsia="华文细黑" w:cs="华文细黑"/>
          <w:b/>
          <w:bCs/>
          <w:sz w:val="24"/>
          <w:szCs w:val="24"/>
        </w:rPr>
        <w:t>、偿债保障及投资者保护</w:t>
      </w:r>
      <w:bookmarkEnd w:id="31"/>
    </w:p>
    <w:p w14:paraId="5A481065">
      <w:pPr>
        <w:spacing w:before="120" w:after="120" w:line="520" w:lineRule="exact"/>
        <w:ind w:firstLine="480" w:firstLineChars="200"/>
        <w:outlineLvl w:val="1"/>
        <w:rPr>
          <w:rFonts w:hint="eastAsia" w:ascii="华文细黑" w:hAnsi="华文细黑" w:eastAsia="华文细黑" w:cs="华文细黑"/>
          <w:b/>
          <w:bCs/>
          <w:sz w:val="24"/>
          <w:szCs w:val="24"/>
        </w:rPr>
      </w:pPr>
      <w:bookmarkStart w:id="32" w:name="_Toc3129"/>
      <w:r>
        <w:rPr>
          <w:rFonts w:hint="eastAsia" w:ascii="华文细黑" w:hAnsi="华文细黑" w:eastAsia="华文细黑" w:cs="华文细黑"/>
          <w:b/>
          <w:bCs/>
          <w:sz w:val="24"/>
          <w:szCs w:val="24"/>
        </w:rPr>
        <w:t>（一）本期专项债券偿债保障措施</w:t>
      </w:r>
      <w:bookmarkEnd w:id="32"/>
    </w:p>
    <w:p w14:paraId="300B5A59">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1、根据《财政部关于印发&lt;地方政府专项债务预算管理办法&gt;的通知》（财预〔2016〕155号）规定，专项债务应当有偿还计划和稳定的偿还资金来源。专项债券本金通过对应的政府性基金收入、专项收入、发行专项债券等偿还。专项债券利息通过对应的政府性基金收入、专项收入偿还，不通过发行专项债券偿还。专项债券收支按照对应的政府性基金收入、专项收入实现项目收支平衡。</w:t>
      </w:r>
    </w:p>
    <w:p w14:paraId="107682E6">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1F1079DF">
      <w:pPr>
        <w:spacing w:before="120" w:after="120" w:line="520" w:lineRule="exact"/>
        <w:ind w:firstLine="480" w:firstLineChars="200"/>
        <w:outlineLvl w:val="1"/>
        <w:rPr>
          <w:rFonts w:hint="eastAsia" w:ascii="华文细黑" w:hAnsi="华文细黑" w:eastAsia="华文细黑" w:cs="华文细黑"/>
          <w:b/>
          <w:bCs/>
          <w:sz w:val="24"/>
          <w:szCs w:val="24"/>
        </w:rPr>
      </w:pPr>
      <w:bookmarkStart w:id="33" w:name="_Toc5842"/>
      <w:r>
        <w:rPr>
          <w:rFonts w:hint="eastAsia" w:ascii="华文细黑" w:hAnsi="华文细黑" w:eastAsia="华文细黑" w:cs="华文细黑"/>
          <w:b/>
          <w:bCs/>
          <w:sz w:val="24"/>
          <w:szCs w:val="24"/>
        </w:rPr>
        <w:t>（二）本期专项债券的投资者保护措施</w:t>
      </w:r>
      <w:bookmarkEnd w:id="33"/>
    </w:p>
    <w:p w14:paraId="5FAD3077">
      <w:pPr>
        <w:spacing w:before="120" w:after="120" w:line="520" w:lineRule="exact"/>
        <w:ind w:firstLine="480" w:firstLineChars="200"/>
        <w:rPr>
          <w:rFonts w:hint="eastAsia" w:ascii="华文细黑" w:hAnsi="华文细黑" w:eastAsia="华文细黑" w:cs="华文细黑"/>
          <w:sz w:val="24"/>
          <w:szCs w:val="24"/>
        </w:rPr>
      </w:pPr>
      <w:r>
        <w:rPr>
          <w:rFonts w:hint="eastAsia" w:ascii="华文细黑" w:hAnsi="华文细黑" w:eastAsia="华文细黑" w:cs="华文细黑"/>
          <w:sz w:val="24"/>
          <w:szCs w:val="24"/>
        </w:rPr>
        <w:t>根据《中华人民共和国预算法》（</w:t>
      </w:r>
      <w:r>
        <w:rPr>
          <w:rFonts w:ascii="华文细黑" w:hAnsi="华文细黑" w:eastAsia="华文细黑" w:cs="华文细黑"/>
          <w:sz w:val="24"/>
          <w:szCs w:val="24"/>
        </w:rPr>
        <w:t>2018</w:t>
      </w:r>
      <w:r>
        <w:rPr>
          <w:rFonts w:hint="eastAsia" w:ascii="华文细黑" w:hAnsi="华文细黑" w:eastAsia="华文细黑" w:cs="华文细黑"/>
          <w:sz w:val="24"/>
          <w:szCs w:val="24"/>
        </w:rPr>
        <w:t>年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6DC41F74">
      <w:pPr>
        <w:spacing w:before="120" w:after="120" w:line="520" w:lineRule="exact"/>
        <w:ind w:firstLine="480" w:firstLineChars="200"/>
        <w:outlineLvl w:val="0"/>
        <w:rPr>
          <w:rFonts w:hint="eastAsia" w:ascii="华文细黑" w:hAnsi="华文细黑" w:eastAsia="华文细黑" w:cs="华文细黑"/>
          <w:b/>
          <w:sz w:val="24"/>
          <w:szCs w:val="24"/>
        </w:rPr>
      </w:pPr>
      <w:bookmarkStart w:id="34" w:name="_Toc32157"/>
      <w:r>
        <w:rPr>
          <w:rFonts w:hint="eastAsia" w:ascii="华文细黑" w:hAnsi="华文细黑" w:eastAsia="华文细黑" w:cs="华文细黑"/>
          <w:b/>
          <w:sz w:val="24"/>
          <w:szCs w:val="24"/>
          <w:lang w:val="en-US" w:eastAsia="zh-CN"/>
        </w:rPr>
        <w:t>九</w:t>
      </w:r>
      <w:r>
        <w:rPr>
          <w:rFonts w:hint="eastAsia" w:ascii="华文细黑" w:hAnsi="华文细黑" w:eastAsia="华文细黑" w:cs="华文细黑"/>
          <w:b/>
          <w:sz w:val="24"/>
          <w:szCs w:val="24"/>
        </w:rPr>
        <w:t>、结论</w:t>
      </w:r>
      <w:bookmarkEnd w:id="34"/>
    </w:p>
    <w:p w14:paraId="6344B35F">
      <w:pPr>
        <w:spacing w:before="120" w:after="120" w:line="520" w:lineRule="exact"/>
        <w:ind w:firstLine="510"/>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基于财政部对地方政府发行专项债券的要求，本项目可以通过发行调整专项债券的方式进行融资以完成资金筹措，并以运营期收入和其他收入所对应的充足、稳定现金流作为还本付息的资金来源。通过对本项目收益与融资自求平衡情况的分析，我们未注意到本期专项债券存续期内出现无法满足专项债券还本付息要求的情况。</w:t>
      </w:r>
    </w:p>
    <w:p w14:paraId="33610ACF">
      <w:pPr>
        <w:spacing w:before="120" w:after="120" w:line="520" w:lineRule="exact"/>
        <w:ind w:firstLine="480" w:firstLineChars="200"/>
        <w:rPr>
          <w:rFonts w:hint="eastAsia" w:ascii="华文细黑" w:hAnsi="华文细黑" w:eastAsia="华文细黑" w:cs="华文细黑"/>
          <w:color w:val="000000"/>
          <w:sz w:val="24"/>
          <w:szCs w:val="24"/>
        </w:rPr>
      </w:pPr>
      <w:r>
        <w:rPr>
          <w:rFonts w:hint="eastAsia" w:ascii="华文细黑" w:hAnsi="华文细黑" w:eastAsia="华文细黑" w:cs="华文细黑"/>
          <w:color w:val="000000"/>
          <w:sz w:val="24"/>
          <w:szCs w:val="24"/>
        </w:rPr>
        <w:t>综上所述，本次调增项目债券金额，不影响原发行项目的资金平衡，满足</w:t>
      </w:r>
      <w:r>
        <w:rPr>
          <w:rFonts w:hint="eastAsia" w:ascii="华文细黑" w:hAnsi="华文细黑" w:eastAsia="华文细黑" w:cs="华文细黑"/>
          <w:color w:val="000000"/>
          <w:sz w:val="24"/>
          <w:szCs w:val="24"/>
          <w:lang w:val="en-US" w:eastAsia="zh-CN"/>
        </w:rPr>
        <w:t>海口市</w:t>
      </w:r>
      <w:r>
        <w:rPr>
          <w:rFonts w:hint="eastAsia" w:ascii="华文细黑" w:hAnsi="华文细黑" w:eastAsia="华文细黑" w:cs="华文细黑"/>
          <w:color w:val="000000"/>
          <w:sz w:val="24"/>
          <w:szCs w:val="24"/>
        </w:rPr>
        <w:t>本期调增项目的资金需求，应是现阶段较优的资金解决方案。</w:t>
      </w:r>
    </w:p>
    <w:p w14:paraId="26AB2604">
      <w:pPr>
        <w:rPr>
          <w:rFonts w:hint="eastAsia"/>
        </w:rPr>
      </w:pPr>
    </w:p>
    <w:p w14:paraId="68E63D5F">
      <w:pPr>
        <w:rPr>
          <w:rFonts w:hint="eastAsia"/>
        </w:rPr>
      </w:pPr>
    </w:p>
    <w:p w14:paraId="3DCF9245">
      <w:pPr>
        <w:spacing w:after="0" w:line="520" w:lineRule="exact"/>
        <w:ind w:right="662" w:firstLine="480" w:firstLineChars="200"/>
        <w:jc w:val="both"/>
        <w:rPr>
          <w:rFonts w:hint="eastAsia" w:ascii="华文细黑" w:hAnsi="华文细黑" w:eastAsia="华文细黑" w:cs="华文细黑"/>
          <w:color w:val="000000"/>
          <w:sz w:val="24"/>
          <w:szCs w:val="24"/>
          <w:lang w:val="en-US" w:eastAsia="zh-CN"/>
        </w:rPr>
      </w:pPr>
      <w:bookmarkStart w:id="35" w:name="_GoBack"/>
      <w:bookmarkEnd w:id="35"/>
      <w:r>
        <w:rPr>
          <w:rFonts w:hint="eastAsia" w:ascii="华文细黑" w:hAnsi="华文细黑" w:eastAsia="华文细黑" w:cs="华文细黑"/>
          <w:color w:val="000000"/>
          <w:sz w:val="24"/>
          <w:szCs w:val="24"/>
          <w:lang w:val="en-US" w:eastAsia="zh-CN"/>
        </w:rPr>
        <w:t>海口江东新区管理局              海口市恒慧基础建设有限公司</w:t>
      </w:r>
    </w:p>
    <w:p w14:paraId="61359AD0">
      <w:pPr>
        <w:spacing w:after="0" w:line="520" w:lineRule="exact"/>
        <w:ind w:right="662" w:firstLine="480" w:firstLineChars="200"/>
        <w:jc w:val="right"/>
        <w:rPr>
          <w:rFonts w:hint="eastAsia" w:ascii="华文细黑" w:hAnsi="华文细黑" w:eastAsia="华文细黑" w:cs="华文细黑"/>
        </w:rPr>
      </w:pPr>
      <w:r>
        <w:rPr>
          <w:rFonts w:hint="eastAsia" w:ascii="华文细黑" w:hAnsi="华文细黑" w:eastAsia="华文细黑" w:cs="华文细黑"/>
          <w:color w:val="000000"/>
          <w:kern w:val="0"/>
          <w:sz w:val="24"/>
          <w:szCs w:val="24"/>
        </w:rPr>
        <w:t>202</w:t>
      </w:r>
      <w:r>
        <w:rPr>
          <w:rFonts w:hint="eastAsia" w:ascii="华文细黑" w:hAnsi="华文细黑" w:eastAsia="华文细黑" w:cs="华文细黑"/>
          <w:color w:val="000000"/>
          <w:kern w:val="0"/>
          <w:sz w:val="24"/>
          <w:szCs w:val="24"/>
          <w:lang w:val="en-US" w:eastAsia="zh-CN"/>
        </w:rPr>
        <w:t>5</w:t>
      </w:r>
      <w:r>
        <w:rPr>
          <w:rFonts w:hint="eastAsia" w:ascii="华文细黑" w:hAnsi="华文细黑" w:eastAsia="华文细黑" w:cs="华文细黑"/>
          <w:color w:val="000000"/>
          <w:kern w:val="0"/>
          <w:sz w:val="24"/>
          <w:szCs w:val="24"/>
        </w:rPr>
        <w:t>年</w:t>
      </w:r>
      <w:r>
        <w:rPr>
          <w:rFonts w:hint="eastAsia" w:ascii="华文细黑" w:hAnsi="华文细黑" w:eastAsia="华文细黑" w:cs="华文细黑"/>
          <w:color w:val="000000"/>
          <w:kern w:val="0"/>
          <w:sz w:val="24"/>
          <w:szCs w:val="24"/>
          <w:lang w:val="en-US" w:eastAsia="zh-CN"/>
        </w:rPr>
        <w:t>12</w:t>
      </w:r>
      <w:r>
        <w:rPr>
          <w:rFonts w:hint="eastAsia" w:ascii="华文细黑" w:hAnsi="华文细黑" w:eastAsia="华文细黑" w:cs="华文细黑"/>
          <w:color w:val="000000"/>
          <w:kern w:val="0"/>
          <w:sz w:val="24"/>
          <w:szCs w:val="24"/>
        </w:rPr>
        <w:t>月</w:t>
      </w:r>
      <w:r>
        <w:rPr>
          <w:rFonts w:hint="eastAsia" w:ascii="华文细黑" w:hAnsi="华文细黑" w:eastAsia="华文细黑" w:cs="华文细黑"/>
          <w:color w:val="000000"/>
          <w:kern w:val="0"/>
          <w:sz w:val="24"/>
          <w:szCs w:val="24"/>
          <w:lang w:val="en-US" w:eastAsia="zh-CN"/>
        </w:rPr>
        <w:t>9</w:t>
      </w:r>
      <w:r>
        <w:rPr>
          <w:rFonts w:hint="eastAsia" w:ascii="华文细黑" w:hAnsi="华文细黑" w:eastAsia="华文细黑" w:cs="华文细黑"/>
          <w:color w:val="000000"/>
          <w:kern w:val="0"/>
          <w:sz w:val="24"/>
          <w:szCs w:val="24"/>
        </w:rPr>
        <w:t>日</w:t>
      </w:r>
    </w:p>
    <w:p w14:paraId="0965793D"/>
    <w:sectPr>
      <w:footerReference r:id="rId6" w:type="default"/>
      <w:pgSz w:w="11906" w:h="16838"/>
      <w:pgMar w:top="1213" w:right="1800" w:bottom="1213" w:left="1800" w:header="851" w:footer="850"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23C1F">
    <w:pPr>
      <w:pStyle w:val="7"/>
      <w:rPr>
        <w:rFonts w:ascii="Verdana" w:hAnsi="Verdana"/>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3845431"/>
    </w:sdtPr>
    <w:sdtEndPr>
      <w:rPr>
        <w:rFonts w:ascii="Verdana" w:hAnsi="Verdana"/>
        <w:sz w:val="20"/>
        <w:szCs w:val="20"/>
      </w:rPr>
    </w:sdtEndPr>
    <w:sdtContent>
      <w:p w14:paraId="79B6380E">
        <w:pPr>
          <w:pStyle w:val="7"/>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PAGE   \* MERGEFORMAT </w:instrText>
        </w:r>
        <w:r>
          <w:rPr>
            <w:rFonts w:ascii="Verdana" w:hAnsi="Verdana"/>
            <w:sz w:val="20"/>
            <w:szCs w:val="20"/>
          </w:rPr>
          <w:fldChar w:fldCharType="separate"/>
        </w:r>
        <w:r>
          <w:rPr>
            <w:rFonts w:ascii="Verdana" w:hAnsi="Verdana"/>
            <w:sz w:val="20"/>
            <w:szCs w:val="20"/>
          </w:rPr>
          <w:t>2</w:t>
        </w:r>
        <w:r>
          <w:rPr>
            <w:rFonts w:ascii="Verdana" w:hAnsi="Verdana"/>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59" w:lineRule="auto"/>
      </w:pPr>
      <w:r>
        <w:separator/>
      </w:r>
    </w:p>
  </w:footnote>
  <w:footnote w:type="continuationSeparator" w:id="5">
    <w:p>
      <w:pPr>
        <w:spacing w:before="0" w:after="0" w:line="259" w:lineRule="auto"/>
      </w:pPr>
      <w:r>
        <w:continuationSeparator/>
      </w:r>
    </w:p>
  </w:footnote>
  <w:footnote w:id="0">
    <w:p w14:paraId="3A0A334F">
      <w:pPr>
        <w:pStyle w:val="10"/>
        <w:rPr>
          <w:rFonts w:ascii="Verdana" w:hAnsi="Verdana" w:eastAsia="华文细黑"/>
        </w:rPr>
      </w:pPr>
      <w:r>
        <w:rPr>
          <w:rStyle w:val="20"/>
          <w:rFonts w:ascii="Verdana" w:hAnsi="Verdana" w:eastAsia="华文细黑"/>
          <w:sz w:val="18"/>
        </w:rPr>
        <w:footnoteRef/>
      </w:r>
      <w:r>
        <w:rPr>
          <w:rFonts w:hint="eastAsia" w:ascii="Verdana" w:hAnsi="Verdana" w:eastAsia="华文细黑"/>
          <w:sz w:val="18"/>
        </w:rPr>
        <w:t>本息覆盖率</w:t>
      </w:r>
      <w:r>
        <w:rPr>
          <w:rFonts w:ascii="Verdana" w:hAnsi="Verdana" w:eastAsia="华文细黑"/>
          <w:sz w:val="18"/>
        </w:rPr>
        <w:t>=</w:t>
      </w:r>
      <w:r>
        <w:rPr>
          <w:rFonts w:hint="eastAsia" w:ascii="Verdana" w:hAnsi="Verdana" w:eastAsia="华文细黑"/>
          <w:sz w:val="18"/>
        </w:rPr>
        <w:t>（期末项目累计现金结存额</w:t>
      </w:r>
      <w:r>
        <w:rPr>
          <w:rFonts w:ascii="Verdana" w:hAnsi="Verdana" w:eastAsia="华文细黑"/>
          <w:sz w:val="18"/>
        </w:rPr>
        <w:t>/</w:t>
      </w:r>
      <w:r>
        <w:rPr>
          <w:rFonts w:hint="eastAsia" w:ascii="Verdana" w:hAnsi="Verdana" w:eastAsia="华文细黑"/>
          <w:sz w:val="18"/>
        </w:rPr>
        <w:t>债券本息）</w:t>
      </w:r>
      <w:r>
        <w:rPr>
          <w:rFonts w:ascii="Verdana" w:hAnsi="Verdana" w:eastAsia="华文细黑"/>
          <w:sz w:val="18"/>
        </w:rPr>
        <w:t>+1</w:t>
      </w:r>
      <w:r>
        <w:rPr>
          <w:rFonts w:hint="eastAsia" w:ascii="Verdana" w:hAnsi="Verdana" w:eastAsia="华文细黑"/>
          <w:sz w:val="18"/>
        </w:rPr>
        <w:t>，下同</w:t>
      </w:r>
    </w:p>
  </w:footnote>
  <w:footnote w:id="1">
    <w:p w14:paraId="319CA874">
      <w:pPr>
        <w:pStyle w:val="10"/>
        <w:rPr>
          <w:rFonts w:eastAsia="华文细黑" w:asciiTheme="majorHAnsi" w:hAnsiTheme="majorHAnsi"/>
          <w:sz w:val="18"/>
          <w:szCs w:val="18"/>
        </w:rPr>
      </w:pPr>
      <w:r>
        <w:rPr>
          <w:rStyle w:val="20"/>
          <w:rFonts w:eastAsia="华文细黑" w:asciiTheme="majorHAnsi" w:hAnsiTheme="majorHAnsi"/>
          <w:sz w:val="18"/>
          <w:szCs w:val="18"/>
        </w:rPr>
        <w:footnoteRef/>
      </w:r>
      <w:r>
        <w:rPr>
          <w:rFonts w:hint="eastAsia" w:eastAsia="华文细黑" w:asciiTheme="majorHAnsi" w:hAnsiTheme="majorHAnsi"/>
          <w:sz w:val="18"/>
          <w:szCs w:val="18"/>
        </w:rPr>
        <w:t>本息覆倍数</w:t>
      </w:r>
      <w:r>
        <w:rPr>
          <w:rFonts w:eastAsia="华文细黑" w:asciiTheme="majorHAnsi" w:hAnsiTheme="majorHAnsi"/>
          <w:sz w:val="18"/>
          <w:szCs w:val="18"/>
        </w:rPr>
        <w:t>=</w:t>
      </w:r>
      <w:r>
        <w:rPr>
          <w:rFonts w:hint="eastAsia" w:eastAsia="华文细黑" w:asciiTheme="majorHAnsi" w:hAnsiTheme="majorHAnsi"/>
          <w:sz w:val="18"/>
          <w:szCs w:val="18"/>
        </w:rPr>
        <w:t>项目总收益</w:t>
      </w:r>
      <w:r>
        <w:rPr>
          <w:rFonts w:eastAsia="华文细黑" w:asciiTheme="majorHAnsi" w:hAnsiTheme="majorHAnsi"/>
          <w:sz w:val="18"/>
          <w:szCs w:val="18"/>
        </w:rPr>
        <w:t>/</w:t>
      </w:r>
      <w:r>
        <w:rPr>
          <w:rFonts w:hint="eastAsia" w:eastAsia="华文细黑" w:asciiTheme="majorHAnsi" w:hAnsiTheme="majorHAnsi"/>
          <w:sz w:val="18"/>
          <w:szCs w:val="18"/>
        </w:rPr>
        <w:t>债券本息，下同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FD864"/>
    <w:multiLevelType w:val="singleLevel"/>
    <w:tmpl w:val="C15FD864"/>
    <w:lvl w:ilvl="0" w:tentative="0">
      <w:start w:val="1"/>
      <w:numFmt w:val="chineseCounting"/>
      <w:suff w:val="nothing"/>
      <w:lvlText w:val="（%1）"/>
      <w:lvlJc w:val="left"/>
      <w:rPr>
        <w:rFonts w:hint="eastAsia"/>
      </w:rPr>
    </w:lvl>
  </w:abstractNum>
  <w:abstractNum w:abstractNumId="1">
    <w:nsid w:val="4286592A"/>
    <w:multiLevelType w:val="singleLevel"/>
    <w:tmpl w:val="4286592A"/>
    <w:lvl w:ilvl="0" w:tentative="0">
      <w:start w:val="2"/>
      <w:numFmt w:val="chineseCounting"/>
      <w:suff w:val="nothing"/>
      <w:lvlText w:val="%1、"/>
      <w:lvlJc w:val="left"/>
      <w:rPr>
        <w:rFonts w:hint="eastAsia"/>
      </w:rPr>
    </w:lvl>
  </w:abstractNum>
  <w:abstractNum w:abstractNumId="2">
    <w:nsid w:val="611B7230"/>
    <w:multiLevelType w:val="singleLevel"/>
    <w:tmpl w:val="611B7230"/>
    <w:lvl w:ilvl="0" w:tentative="0">
      <w:start w:val="4"/>
      <w:numFmt w:val="chineseCounting"/>
      <w:suff w:val="nothing"/>
      <w:lvlText w:val="%1、"/>
      <w:lvlJc w:val="left"/>
    </w:lvl>
  </w:abstractNum>
  <w:abstractNum w:abstractNumId="3">
    <w:nsid w:val="6F293DCA"/>
    <w:multiLevelType w:val="multilevel"/>
    <w:tmpl w:val="6F293DCA"/>
    <w:lvl w:ilvl="0" w:tentative="0">
      <w:start w:val="3"/>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4"/>
    <w:footnote w:id="5"/>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Y0ZDEyNWJmNDNjYTBhZTJjNjMyYTU1Njk2NzAzZDcifQ=="/>
  </w:docVars>
  <w:rsids>
    <w:rsidRoot w:val="00172A27"/>
    <w:rsid w:val="000024A1"/>
    <w:rsid w:val="00014F9A"/>
    <w:rsid w:val="00031FB1"/>
    <w:rsid w:val="00051CB1"/>
    <w:rsid w:val="0005239A"/>
    <w:rsid w:val="00070A10"/>
    <w:rsid w:val="000A0B87"/>
    <w:rsid w:val="000A3FC3"/>
    <w:rsid w:val="000C55B8"/>
    <w:rsid w:val="000E105F"/>
    <w:rsid w:val="000E202B"/>
    <w:rsid w:val="001005E9"/>
    <w:rsid w:val="00113778"/>
    <w:rsid w:val="001149F0"/>
    <w:rsid w:val="001679E3"/>
    <w:rsid w:val="0017051B"/>
    <w:rsid w:val="0017250B"/>
    <w:rsid w:val="00172A27"/>
    <w:rsid w:val="0018370C"/>
    <w:rsid w:val="0019753E"/>
    <w:rsid w:val="001A0F12"/>
    <w:rsid w:val="001A2108"/>
    <w:rsid w:val="001C2479"/>
    <w:rsid w:val="001C4840"/>
    <w:rsid w:val="001D4AF2"/>
    <w:rsid w:val="001E5128"/>
    <w:rsid w:val="001E6E51"/>
    <w:rsid w:val="002375F5"/>
    <w:rsid w:val="00237D93"/>
    <w:rsid w:val="002553FC"/>
    <w:rsid w:val="00260D42"/>
    <w:rsid w:val="00283CD6"/>
    <w:rsid w:val="002860C9"/>
    <w:rsid w:val="002C0601"/>
    <w:rsid w:val="002E4946"/>
    <w:rsid w:val="00302537"/>
    <w:rsid w:val="00310478"/>
    <w:rsid w:val="0032157B"/>
    <w:rsid w:val="00332B67"/>
    <w:rsid w:val="00334EB0"/>
    <w:rsid w:val="00345147"/>
    <w:rsid w:val="003501C8"/>
    <w:rsid w:val="003A75DB"/>
    <w:rsid w:val="003B61FC"/>
    <w:rsid w:val="003C0CE7"/>
    <w:rsid w:val="003F28A3"/>
    <w:rsid w:val="003F5C82"/>
    <w:rsid w:val="00422BD9"/>
    <w:rsid w:val="004329BC"/>
    <w:rsid w:val="00436829"/>
    <w:rsid w:val="004527AC"/>
    <w:rsid w:val="004544CD"/>
    <w:rsid w:val="00462A4A"/>
    <w:rsid w:val="004665A8"/>
    <w:rsid w:val="004669FE"/>
    <w:rsid w:val="00483A2D"/>
    <w:rsid w:val="004864A9"/>
    <w:rsid w:val="004867AB"/>
    <w:rsid w:val="004912B6"/>
    <w:rsid w:val="004A266E"/>
    <w:rsid w:val="004B1D1A"/>
    <w:rsid w:val="004B411D"/>
    <w:rsid w:val="004C1797"/>
    <w:rsid w:val="005133D8"/>
    <w:rsid w:val="00527D03"/>
    <w:rsid w:val="00540AA5"/>
    <w:rsid w:val="005442E8"/>
    <w:rsid w:val="00554448"/>
    <w:rsid w:val="0057714F"/>
    <w:rsid w:val="0058312D"/>
    <w:rsid w:val="00590997"/>
    <w:rsid w:val="005A1996"/>
    <w:rsid w:val="005B3BFA"/>
    <w:rsid w:val="005B6EDB"/>
    <w:rsid w:val="005D38CD"/>
    <w:rsid w:val="00630CA0"/>
    <w:rsid w:val="006357B5"/>
    <w:rsid w:val="00643354"/>
    <w:rsid w:val="00645872"/>
    <w:rsid w:val="00676348"/>
    <w:rsid w:val="00685766"/>
    <w:rsid w:val="0068622F"/>
    <w:rsid w:val="006934DF"/>
    <w:rsid w:val="0069628B"/>
    <w:rsid w:val="006B0459"/>
    <w:rsid w:val="006B576F"/>
    <w:rsid w:val="006B733A"/>
    <w:rsid w:val="006D0270"/>
    <w:rsid w:val="006E1D07"/>
    <w:rsid w:val="006E1D79"/>
    <w:rsid w:val="0072382C"/>
    <w:rsid w:val="00786CB6"/>
    <w:rsid w:val="00790CE9"/>
    <w:rsid w:val="007936D8"/>
    <w:rsid w:val="007B2112"/>
    <w:rsid w:val="007B79AD"/>
    <w:rsid w:val="007D1F29"/>
    <w:rsid w:val="007D4138"/>
    <w:rsid w:val="007D7027"/>
    <w:rsid w:val="007D7B68"/>
    <w:rsid w:val="007E0B43"/>
    <w:rsid w:val="00810F9D"/>
    <w:rsid w:val="00816290"/>
    <w:rsid w:val="00833A70"/>
    <w:rsid w:val="00852804"/>
    <w:rsid w:val="00856755"/>
    <w:rsid w:val="008754B3"/>
    <w:rsid w:val="00876209"/>
    <w:rsid w:val="00885CA9"/>
    <w:rsid w:val="0089647B"/>
    <w:rsid w:val="008A1BC3"/>
    <w:rsid w:val="008A3AE2"/>
    <w:rsid w:val="008C232A"/>
    <w:rsid w:val="008C69FF"/>
    <w:rsid w:val="008D63E1"/>
    <w:rsid w:val="009168E6"/>
    <w:rsid w:val="00922B91"/>
    <w:rsid w:val="00926833"/>
    <w:rsid w:val="00935E0E"/>
    <w:rsid w:val="00964281"/>
    <w:rsid w:val="009977F0"/>
    <w:rsid w:val="009B0AE6"/>
    <w:rsid w:val="009B29C3"/>
    <w:rsid w:val="009B797B"/>
    <w:rsid w:val="009C1A1B"/>
    <w:rsid w:val="009E44F2"/>
    <w:rsid w:val="009E5572"/>
    <w:rsid w:val="00A1535E"/>
    <w:rsid w:val="00A15712"/>
    <w:rsid w:val="00A3768A"/>
    <w:rsid w:val="00A52966"/>
    <w:rsid w:val="00A56C34"/>
    <w:rsid w:val="00A66BED"/>
    <w:rsid w:val="00A76DD9"/>
    <w:rsid w:val="00AA5138"/>
    <w:rsid w:val="00AB3DD6"/>
    <w:rsid w:val="00AB550F"/>
    <w:rsid w:val="00AC4B1D"/>
    <w:rsid w:val="00AD3FF6"/>
    <w:rsid w:val="00AE6FB7"/>
    <w:rsid w:val="00AF4424"/>
    <w:rsid w:val="00B27553"/>
    <w:rsid w:val="00B27777"/>
    <w:rsid w:val="00B27790"/>
    <w:rsid w:val="00B463F3"/>
    <w:rsid w:val="00B7327D"/>
    <w:rsid w:val="00B82D85"/>
    <w:rsid w:val="00B87D04"/>
    <w:rsid w:val="00BA5198"/>
    <w:rsid w:val="00BB4012"/>
    <w:rsid w:val="00BB76FD"/>
    <w:rsid w:val="00BC6F58"/>
    <w:rsid w:val="00BE6CA6"/>
    <w:rsid w:val="00BF2451"/>
    <w:rsid w:val="00C0285D"/>
    <w:rsid w:val="00C11E66"/>
    <w:rsid w:val="00C123A0"/>
    <w:rsid w:val="00C2237B"/>
    <w:rsid w:val="00C305EF"/>
    <w:rsid w:val="00C3180D"/>
    <w:rsid w:val="00C45D5E"/>
    <w:rsid w:val="00C5291A"/>
    <w:rsid w:val="00C60D0E"/>
    <w:rsid w:val="00C6119F"/>
    <w:rsid w:val="00C61C1E"/>
    <w:rsid w:val="00C84BCE"/>
    <w:rsid w:val="00C92064"/>
    <w:rsid w:val="00CA2583"/>
    <w:rsid w:val="00CE2D00"/>
    <w:rsid w:val="00CE6337"/>
    <w:rsid w:val="00D1429A"/>
    <w:rsid w:val="00D25902"/>
    <w:rsid w:val="00D3114F"/>
    <w:rsid w:val="00D41878"/>
    <w:rsid w:val="00D443ED"/>
    <w:rsid w:val="00DA03A1"/>
    <w:rsid w:val="00DB3A3F"/>
    <w:rsid w:val="00DD0A15"/>
    <w:rsid w:val="00DD5711"/>
    <w:rsid w:val="00DF239E"/>
    <w:rsid w:val="00E01F28"/>
    <w:rsid w:val="00E02C03"/>
    <w:rsid w:val="00E1143C"/>
    <w:rsid w:val="00E164A5"/>
    <w:rsid w:val="00E22CBE"/>
    <w:rsid w:val="00E3219D"/>
    <w:rsid w:val="00E3634C"/>
    <w:rsid w:val="00E415CA"/>
    <w:rsid w:val="00E44813"/>
    <w:rsid w:val="00E53578"/>
    <w:rsid w:val="00E709D0"/>
    <w:rsid w:val="00ED4F1B"/>
    <w:rsid w:val="00EE3B78"/>
    <w:rsid w:val="00EE5A8B"/>
    <w:rsid w:val="00EF4BD2"/>
    <w:rsid w:val="00F309B3"/>
    <w:rsid w:val="00F34998"/>
    <w:rsid w:val="00F405FE"/>
    <w:rsid w:val="00F5053C"/>
    <w:rsid w:val="00F71671"/>
    <w:rsid w:val="00F75A71"/>
    <w:rsid w:val="00F8389F"/>
    <w:rsid w:val="00FA1E58"/>
    <w:rsid w:val="00FC122C"/>
    <w:rsid w:val="00FD5B1B"/>
    <w:rsid w:val="00FE1408"/>
    <w:rsid w:val="00FE75B6"/>
    <w:rsid w:val="010C0502"/>
    <w:rsid w:val="01541F44"/>
    <w:rsid w:val="017A1C97"/>
    <w:rsid w:val="01D944E1"/>
    <w:rsid w:val="02323136"/>
    <w:rsid w:val="023E36CF"/>
    <w:rsid w:val="023F15E6"/>
    <w:rsid w:val="028508A4"/>
    <w:rsid w:val="02AE0853"/>
    <w:rsid w:val="02AF6C0F"/>
    <w:rsid w:val="02D66B8C"/>
    <w:rsid w:val="032D5603"/>
    <w:rsid w:val="03B24CA9"/>
    <w:rsid w:val="047B65D7"/>
    <w:rsid w:val="04B0613C"/>
    <w:rsid w:val="04CB2483"/>
    <w:rsid w:val="05483AD3"/>
    <w:rsid w:val="05B9677F"/>
    <w:rsid w:val="05DB1CC1"/>
    <w:rsid w:val="06046ED3"/>
    <w:rsid w:val="060606D1"/>
    <w:rsid w:val="06E635A4"/>
    <w:rsid w:val="071D4B6E"/>
    <w:rsid w:val="074E42FE"/>
    <w:rsid w:val="07724E9C"/>
    <w:rsid w:val="07CE1158"/>
    <w:rsid w:val="08031F33"/>
    <w:rsid w:val="082A201D"/>
    <w:rsid w:val="08517143"/>
    <w:rsid w:val="089A15DB"/>
    <w:rsid w:val="08A54D99"/>
    <w:rsid w:val="08F61F12"/>
    <w:rsid w:val="091B7796"/>
    <w:rsid w:val="0A4565CD"/>
    <w:rsid w:val="0AE7171C"/>
    <w:rsid w:val="0B162D0E"/>
    <w:rsid w:val="0BCB1C13"/>
    <w:rsid w:val="0C22417E"/>
    <w:rsid w:val="0C410BCC"/>
    <w:rsid w:val="0CAD1D83"/>
    <w:rsid w:val="0D486FA1"/>
    <w:rsid w:val="0E1F6271"/>
    <w:rsid w:val="0F2D5066"/>
    <w:rsid w:val="1097590F"/>
    <w:rsid w:val="1186164E"/>
    <w:rsid w:val="11DE4ADC"/>
    <w:rsid w:val="11E64F51"/>
    <w:rsid w:val="128345BA"/>
    <w:rsid w:val="12902B82"/>
    <w:rsid w:val="13426A3E"/>
    <w:rsid w:val="13E744B7"/>
    <w:rsid w:val="14D20B63"/>
    <w:rsid w:val="15325C06"/>
    <w:rsid w:val="15E81FF7"/>
    <w:rsid w:val="16371982"/>
    <w:rsid w:val="168236D8"/>
    <w:rsid w:val="177A138D"/>
    <w:rsid w:val="17EE6EB2"/>
    <w:rsid w:val="183A436C"/>
    <w:rsid w:val="18887B2D"/>
    <w:rsid w:val="193528E5"/>
    <w:rsid w:val="19E83D23"/>
    <w:rsid w:val="19E86929"/>
    <w:rsid w:val="1A833F35"/>
    <w:rsid w:val="1AF27439"/>
    <w:rsid w:val="1BE10867"/>
    <w:rsid w:val="1E7B1E69"/>
    <w:rsid w:val="211B785C"/>
    <w:rsid w:val="215313DE"/>
    <w:rsid w:val="21927EB0"/>
    <w:rsid w:val="2238133F"/>
    <w:rsid w:val="229C12E2"/>
    <w:rsid w:val="22D74891"/>
    <w:rsid w:val="22D8077E"/>
    <w:rsid w:val="232B72D3"/>
    <w:rsid w:val="245C4A4D"/>
    <w:rsid w:val="248024EA"/>
    <w:rsid w:val="249E4837"/>
    <w:rsid w:val="24B83114"/>
    <w:rsid w:val="25464479"/>
    <w:rsid w:val="2588391F"/>
    <w:rsid w:val="258A0E93"/>
    <w:rsid w:val="25CA4A7A"/>
    <w:rsid w:val="25E10907"/>
    <w:rsid w:val="264B4D7A"/>
    <w:rsid w:val="267F1023"/>
    <w:rsid w:val="274E6E1D"/>
    <w:rsid w:val="278976B7"/>
    <w:rsid w:val="29035C6E"/>
    <w:rsid w:val="2911315D"/>
    <w:rsid w:val="29171F27"/>
    <w:rsid w:val="294E1460"/>
    <w:rsid w:val="29CD29F3"/>
    <w:rsid w:val="2A54533A"/>
    <w:rsid w:val="2AD410D0"/>
    <w:rsid w:val="2AFF19E3"/>
    <w:rsid w:val="2B546EF3"/>
    <w:rsid w:val="2C3474B5"/>
    <w:rsid w:val="2C894DA0"/>
    <w:rsid w:val="2CBB3C3D"/>
    <w:rsid w:val="2CEB2E12"/>
    <w:rsid w:val="2DAD4E16"/>
    <w:rsid w:val="2E3C1D71"/>
    <w:rsid w:val="2EBF49BF"/>
    <w:rsid w:val="2F2E0D25"/>
    <w:rsid w:val="2F590A81"/>
    <w:rsid w:val="302D6169"/>
    <w:rsid w:val="3040012F"/>
    <w:rsid w:val="308E6024"/>
    <w:rsid w:val="30DB6E5C"/>
    <w:rsid w:val="316D194D"/>
    <w:rsid w:val="31C85A54"/>
    <w:rsid w:val="32224A59"/>
    <w:rsid w:val="326316A8"/>
    <w:rsid w:val="33211143"/>
    <w:rsid w:val="34190265"/>
    <w:rsid w:val="34362376"/>
    <w:rsid w:val="348B03D1"/>
    <w:rsid w:val="34F30B3B"/>
    <w:rsid w:val="34F62354"/>
    <w:rsid w:val="35136283"/>
    <w:rsid w:val="35896130"/>
    <w:rsid w:val="35BB4BAB"/>
    <w:rsid w:val="35E35AD6"/>
    <w:rsid w:val="35EE351F"/>
    <w:rsid w:val="366B33E0"/>
    <w:rsid w:val="37523A90"/>
    <w:rsid w:val="37987F2A"/>
    <w:rsid w:val="381268AC"/>
    <w:rsid w:val="38170F5F"/>
    <w:rsid w:val="38227B20"/>
    <w:rsid w:val="38231E84"/>
    <w:rsid w:val="395468E7"/>
    <w:rsid w:val="3A2B2D95"/>
    <w:rsid w:val="3A341CF3"/>
    <w:rsid w:val="3A354F9A"/>
    <w:rsid w:val="3ADD6108"/>
    <w:rsid w:val="3B4A31E6"/>
    <w:rsid w:val="3B712735"/>
    <w:rsid w:val="3C7B05B7"/>
    <w:rsid w:val="3D2B59E9"/>
    <w:rsid w:val="3DC777C3"/>
    <w:rsid w:val="3DD3130C"/>
    <w:rsid w:val="3EBB78F3"/>
    <w:rsid w:val="3F6726C7"/>
    <w:rsid w:val="3F8B4F16"/>
    <w:rsid w:val="3FA37DC4"/>
    <w:rsid w:val="40775B93"/>
    <w:rsid w:val="40AD25D6"/>
    <w:rsid w:val="40AF2FFD"/>
    <w:rsid w:val="40D278FC"/>
    <w:rsid w:val="41635215"/>
    <w:rsid w:val="434A72FE"/>
    <w:rsid w:val="43E67F44"/>
    <w:rsid w:val="44357982"/>
    <w:rsid w:val="445250E0"/>
    <w:rsid w:val="44CB391A"/>
    <w:rsid w:val="44F95CC4"/>
    <w:rsid w:val="459B7771"/>
    <w:rsid w:val="45B941B6"/>
    <w:rsid w:val="45BF086A"/>
    <w:rsid w:val="45CD26D7"/>
    <w:rsid w:val="464A5E88"/>
    <w:rsid w:val="464C40AB"/>
    <w:rsid w:val="469943E1"/>
    <w:rsid w:val="47BE547F"/>
    <w:rsid w:val="47FD2781"/>
    <w:rsid w:val="4808470D"/>
    <w:rsid w:val="4851281A"/>
    <w:rsid w:val="485C2328"/>
    <w:rsid w:val="48992285"/>
    <w:rsid w:val="49D224B7"/>
    <w:rsid w:val="49D55F98"/>
    <w:rsid w:val="49E04D11"/>
    <w:rsid w:val="4A073BEF"/>
    <w:rsid w:val="4A68578C"/>
    <w:rsid w:val="4AFC73DF"/>
    <w:rsid w:val="4BA34B8C"/>
    <w:rsid w:val="4BB02E05"/>
    <w:rsid w:val="4BB5292F"/>
    <w:rsid w:val="4BD77E39"/>
    <w:rsid w:val="4C2C6F78"/>
    <w:rsid w:val="4C2D252F"/>
    <w:rsid w:val="4CEC7CDE"/>
    <w:rsid w:val="4D1B4B7D"/>
    <w:rsid w:val="4D6A04C9"/>
    <w:rsid w:val="4D6F28D7"/>
    <w:rsid w:val="4DF0398D"/>
    <w:rsid w:val="4DFB5918"/>
    <w:rsid w:val="4E4E72A1"/>
    <w:rsid w:val="4E600B13"/>
    <w:rsid w:val="4E8F2284"/>
    <w:rsid w:val="4E944C60"/>
    <w:rsid w:val="4EEA28EE"/>
    <w:rsid w:val="4F882246"/>
    <w:rsid w:val="4FE118B1"/>
    <w:rsid w:val="51136FD6"/>
    <w:rsid w:val="51A4340C"/>
    <w:rsid w:val="51A52E86"/>
    <w:rsid w:val="52272EF0"/>
    <w:rsid w:val="523249D6"/>
    <w:rsid w:val="525C1B12"/>
    <w:rsid w:val="526F45F9"/>
    <w:rsid w:val="52971E0E"/>
    <w:rsid w:val="53EC070E"/>
    <w:rsid w:val="54695382"/>
    <w:rsid w:val="54C33BA9"/>
    <w:rsid w:val="54DE6C35"/>
    <w:rsid w:val="54F804A8"/>
    <w:rsid w:val="551A14AA"/>
    <w:rsid w:val="55515659"/>
    <w:rsid w:val="55F444E4"/>
    <w:rsid w:val="55FA3400"/>
    <w:rsid w:val="567B24C2"/>
    <w:rsid w:val="57870687"/>
    <w:rsid w:val="57F16BBD"/>
    <w:rsid w:val="58064742"/>
    <w:rsid w:val="585A65D3"/>
    <w:rsid w:val="585B1B61"/>
    <w:rsid w:val="58FA1460"/>
    <w:rsid w:val="59A1428A"/>
    <w:rsid w:val="59AD3D90"/>
    <w:rsid w:val="5A4237C2"/>
    <w:rsid w:val="5A927EA6"/>
    <w:rsid w:val="5ABB5323"/>
    <w:rsid w:val="5B185646"/>
    <w:rsid w:val="5B3D3C17"/>
    <w:rsid w:val="5B512E60"/>
    <w:rsid w:val="5B5271B9"/>
    <w:rsid w:val="5B79308E"/>
    <w:rsid w:val="5BA107DB"/>
    <w:rsid w:val="5BA34766"/>
    <w:rsid w:val="5BBE36DA"/>
    <w:rsid w:val="5C5248D1"/>
    <w:rsid w:val="5C723FC5"/>
    <w:rsid w:val="5D3E1CAF"/>
    <w:rsid w:val="5D405FE7"/>
    <w:rsid w:val="5D427F90"/>
    <w:rsid w:val="5DDF103E"/>
    <w:rsid w:val="5DE13845"/>
    <w:rsid w:val="5DEF70AD"/>
    <w:rsid w:val="5E9A473B"/>
    <w:rsid w:val="5EBD6724"/>
    <w:rsid w:val="5EE578CE"/>
    <w:rsid w:val="5F185E60"/>
    <w:rsid w:val="5F36640D"/>
    <w:rsid w:val="5F69491F"/>
    <w:rsid w:val="5FFE6467"/>
    <w:rsid w:val="60365B5E"/>
    <w:rsid w:val="61740490"/>
    <w:rsid w:val="61C336DE"/>
    <w:rsid w:val="63A77346"/>
    <w:rsid w:val="63AF6CD1"/>
    <w:rsid w:val="63C630E7"/>
    <w:rsid w:val="64152099"/>
    <w:rsid w:val="642F3009"/>
    <w:rsid w:val="644228B0"/>
    <w:rsid w:val="64472C7B"/>
    <w:rsid w:val="656713F3"/>
    <w:rsid w:val="6645588A"/>
    <w:rsid w:val="668F1A8F"/>
    <w:rsid w:val="66D7244D"/>
    <w:rsid w:val="6739419F"/>
    <w:rsid w:val="67964CF5"/>
    <w:rsid w:val="67B24DA2"/>
    <w:rsid w:val="6811363D"/>
    <w:rsid w:val="68CF0147"/>
    <w:rsid w:val="68D76BFF"/>
    <w:rsid w:val="68F25BB4"/>
    <w:rsid w:val="69676769"/>
    <w:rsid w:val="69C252B9"/>
    <w:rsid w:val="69FB3873"/>
    <w:rsid w:val="6A301889"/>
    <w:rsid w:val="6A924353"/>
    <w:rsid w:val="6BFA7EED"/>
    <w:rsid w:val="6C6B4DFB"/>
    <w:rsid w:val="6CC27384"/>
    <w:rsid w:val="6D02294E"/>
    <w:rsid w:val="6D4D7E13"/>
    <w:rsid w:val="6D840DA7"/>
    <w:rsid w:val="6E150AE9"/>
    <w:rsid w:val="6E4F68DE"/>
    <w:rsid w:val="6E7718FD"/>
    <w:rsid w:val="6EFB07A2"/>
    <w:rsid w:val="6F2363D1"/>
    <w:rsid w:val="6FB16DDE"/>
    <w:rsid w:val="70072325"/>
    <w:rsid w:val="709C33FE"/>
    <w:rsid w:val="72152165"/>
    <w:rsid w:val="725738A4"/>
    <w:rsid w:val="72BC347C"/>
    <w:rsid w:val="73353487"/>
    <w:rsid w:val="73505940"/>
    <w:rsid w:val="73852458"/>
    <w:rsid w:val="739C29B6"/>
    <w:rsid w:val="73DB472C"/>
    <w:rsid w:val="73F346F9"/>
    <w:rsid w:val="741B5111"/>
    <w:rsid w:val="75937A5B"/>
    <w:rsid w:val="75F73002"/>
    <w:rsid w:val="76451D1D"/>
    <w:rsid w:val="77560B02"/>
    <w:rsid w:val="777E57F6"/>
    <w:rsid w:val="78475E15"/>
    <w:rsid w:val="78581644"/>
    <w:rsid w:val="79715C4B"/>
    <w:rsid w:val="7A6025FF"/>
    <w:rsid w:val="7ACA239D"/>
    <w:rsid w:val="7CC51E3F"/>
    <w:rsid w:val="7D3256CC"/>
    <w:rsid w:val="7E584AB3"/>
    <w:rsid w:val="7E6051FA"/>
    <w:rsid w:val="7EBB0A3E"/>
    <w:rsid w:val="7F1002D7"/>
    <w:rsid w:val="7F1B445E"/>
    <w:rsid w:val="7F473DA1"/>
    <w:rsid w:val="7F8A15E4"/>
    <w:rsid w:val="7FBE46D7"/>
    <w:rsid w:val="7FE47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黑体"/>
      <w:kern w:val="2"/>
      <w:sz w:val="21"/>
      <w:szCs w:val="22"/>
      <w:lang w:val="en-US" w:eastAsia="zh-CN" w:bidi="ar-SA"/>
    </w:rPr>
  </w:style>
  <w:style w:type="paragraph" w:styleId="3">
    <w:name w:val="heading 1"/>
    <w:basedOn w:val="1"/>
    <w:next w:val="1"/>
    <w:qFormat/>
    <w:uiPriority w:val="9"/>
    <w:pPr>
      <w:keepNext/>
      <w:keepLines/>
      <w:spacing w:before="240"/>
      <w:outlineLvl w:val="0"/>
    </w:pPr>
    <w:rPr>
      <w:rFonts w:asciiTheme="majorHAnsi" w:hAnsiTheme="majorHAnsi" w:eastAsiaTheme="majorEastAsia" w:cstheme="majorBidi"/>
      <w:color w:val="2E75B6" w:themeColor="accent1" w:themeShade="BF"/>
      <w:sz w:val="32"/>
      <w:szCs w:val="32"/>
    </w:rPr>
  </w:style>
  <w:style w:type="paragraph" w:styleId="2">
    <w:name w:val="heading 2"/>
    <w:basedOn w:val="1"/>
    <w:next w:val="1"/>
    <w:unhideWhenUsed/>
    <w:qFormat/>
    <w:uiPriority w:val="0"/>
    <w:pPr>
      <w:keepNext/>
      <w:keepLines/>
      <w:spacing w:line="300" w:lineRule="auto"/>
      <w:ind w:firstLine="1446" w:firstLineChars="200"/>
      <w:outlineLvl w:val="1"/>
    </w:pPr>
    <w:rPr>
      <w:rFonts w:eastAsia="方正小标宋简体" w:asciiTheme="majorHAnsi" w:hAnsiTheme="majorHAnsi" w:cstheme="majorBidi"/>
      <w:b/>
      <w:bCs/>
      <w:sz w:val="28"/>
      <w:szCs w:val="32"/>
    </w:rPr>
  </w:style>
  <w:style w:type="paragraph" w:styleId="4">
    <w:name w:val="heading 3"/>
    <w:basedOn w:val="1"/>
    <w:next w:val="1"/>
    <w:unhideWhenUsed/>
    <w:qFormat/>
    <w:uiPriority w:val="0"/>
    <w:pPr>
      <w:keepNext/>
      <w:keepLines/>
      <w:spacing w:line="300" w:lineRule="auto"/>
      <w:ind w:firstLine="1446" w:firstLineChars="200"/>
      <w:outlineLvl w:val="2"/>
    </w:pPr>
    <w:rPr>
      <w:b/>
      <w:bCs/>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style>
  <w:style w:type="paragraph" w:styleId="6">
    <w:name w:val="Body Text Indent"/>
    <w:basedOn w:val="1"/>
    <w:qFormat/>
    <w:uiPriority w:val="0"/>
    <w:pPr>
      <w:ind w:firstLine="560"/>
      <w:jc w:val="left"/>
    </w:pPr>
    <w:rPr>
      <w:kern w:val="0"/>
      <w:szCs w:val="20"/>
    </w:rPr>
  </w:style>
  <w:style w:type="paragraph" w:styleId="7">
    <w:name w:val="footer"/>
    <w:basedOn w:val="1"/>
    <w:link w:val="34"/>
    <w:qFormat/>
    <w:uiPriority w:val="99"/>
    <w:pPr>
      <w:tabs>
        <w:tab w:val="center" w:pos="4320"/>
        <w:tab w:val="right" w:pos="8640"/>
      </w:tabs>
    </w:p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toc 1"/>
    <w:basedOn w:val="1"/>
    <w:next w:val="1"/>
    <w:unhideWhenUsed/>
    <w:qFormat/>
    <w:uiPriority w:val="39"/>
    <w:pPr>
      <w:spacing w:after="100"/>
    </w:pPr>
    <w:rPr>
      <w:rFonts w:eastAsia="华文细黑" w:asciiTheme="minorHAnsi" w:hAnsiTheme="minorHAnsi"/>
      <w:b/>
    </w:rPr>
  </w:style>
  <w:style w:type="paragraph" w:styleId="10">
    <w:name w:val="footnote text"/>
    <w:basedOn w:val="1"/>
    <w:unhideWhenUsed/>
    <w:qFormat/>
    <w:uiPriority w:val="99"/>
    <w:pPr>
      <w:spacing w:after="0" w:line="240" w:lineRule="auto"/>
    </w:pPr>
    <w:rPr>
      <w:sz w:val="20"/>
      <w:szCs w:val="20"/>
    </w:rPr>
  </w:style>
  <w:style w:type="paragraph" w:styleId="11">
    <w:name w:val="toc 2"/>
    <w:basedOn w:val="1"/>
    <w:next w:val="1"/>
    <w:unhideWhenUsed/>
    <w:qFormat/>
    <w:uiPriority w:val="39"/>
    <w:pPr>
      <w:spacing w:after="100" w:line="360" w:lineRule="auto"/>
      <w:ind w:left="200" w:hanging="200"/>
    </w:pPr>
  </w:style>
  <w:style w:type="paragraph" w:styleId="12">
    <w:name w:val="Normal (Web)"/>
    <w:basedOn w:val="1"/>
    <w:qFormat/>
    <w:uiPriority w:val="0"/>
    <w:rPr>
      <w:sz w:val="24"/>
    </w:rPr>
  </w:style>
  <w:style w:type="paragraph" w:styleId="13">
    <w:name w:val="annotation subject"/>
    <w:basedOn w:val="5"/>
    <w:next w:val="5"/>
    <w:link w:val="31"/>
    <w:qFormat/>
    <w:uiPriority w:val="0"/>
    <w:rPr>
      <w:b/>
      <w:bCs/>
    </w:rPr>
  </w:style>
  <w:style w:type="paragraph" w:styleId="14">
    <w:name w:val="Body Text First Indent 2"/>
    <w:basedOn w:val="6"/>
    <w:qFormat/>
    <w:uiPriority w:val="0"/>
    <w:pPr>
      <w:ind w:firstLine="42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0"/>
    <w:rPr>
      <w:color w:val="0000FF"/>
      <w:u w:val="single"/>
    </w:rPr>
  </w:style>
  <w:style w:type="character" w:styleId="19">
    <w:name w:val="annotation reference"/>
    <w:basedOn w:val="17"/>
    <w:qFormat/>
    <w:uiPriority w:val="0"/>
    <w:rPr>
      <w:sz w:val="21"/>
      <w:szCs w:val="21"/>
    </w:rPr>
  </w:style>
  <w:style w:type="character" w:styleId="20">
    <w:name w:val="footnote reference"/>
    <w:basedOn w:val="17"/>
    <w:unhideWhenUsed/>
    <w:qFormat/>
    <w:uiPriority w:val="99"/>
    <w:rPr>
      <w:vertAlign w:val="superscript"/>
    </w:rPr>
  </w:style>
  <w:style w:type="paragraph" w:customStyle="1" w:styleId="21">
    <w:name w:val="样式 行距: 固定值 20 磅"/>
    <w:basedOn w:val="1"/>
    <w:qFormat/>
    <w:uiPriority w:val="0"/>
    <w:pPr>
      <w:ind w:firstLine="480"/>
    </w:pPr>
    <w:rPr>
      <w:rFonts w:cs="宋体"/>
    </w:rPr>
  </w:style>
  <w:style w:type="paragraph" w:customStyle="1" w:styleId="22">
    <w:name w:val="Default"/>
    <w:qFormat/>
    <w:uiPriority w:val="0"/>
    <w:pPr>
      <w:widowControl w:val="0"/>
      <w:autoSpaceDE w:val="0"/>
      <w:autoSpaceDN w:val="0"/>
      <w:adjustRightInd w:val="0"/>
      <w:spacing w:after="160" w:line="259" w:lineRule="auto"/>
    </w:pPr>
    <w:rPr>
      <w:rFonts w:ascii="宋体" w:hAnsi="Times New Roman" w:eastAsia="宋体" w:cs="宋体"/>
      <w:color w:val="000000"/>
      <w:sz w:val="24"/>
      <w:szCs w:val="24"/>
      <w:lang w:val="en-US" w:eastAsia="zh-CN" w:bidi="ar-SA"/>
    </w:rPr>
  </w:style>
  <w:style w:type="paragraph" w:customStyle="1" w:styleId="23">
    <w:name w:val="CM13"/>
    <w:basedOn w:val="1"/>
    <w:next w:val="1"/>
    <w:qFormat/>
    <w:uiPriority w:val="99"/>
    <w:pPr>
      <w:autoSpaceDE w:val="0"/>
      <w:autoSpaceDN w:val="0"/>
      <w:adjustRightInd w:val="0"/>
      <w:jc w:val="left"/>
    </w:pPr>
    <w:rPr>
      <w:rFonts w:ascii="宋体"/>
      <w:kern w:val="0"/>
      <w:sz w:val="24"/>
      <w:szCs w:val="24"/>
    </w:rPr>
  </w:style>
  <w:style w:type="paragraph" w:customStyle="1" w:styleId="24">
    <w:name w:val="列出段落1"/>
    <w:basedOn w:val="1"/>
    <w:qFormat/>
    <w:uiPriority w:val="34"/>
    <w:pPr>
      <w:ind w:left="720"/>
      <w:contextualSpacing/>
    </w:pPr>
  </w:style>
  <w:style w:type="character" w:customStyle="1" w:styleId="25">
    <w:name w:val="font11"/>
    <w:basedOn w:val="17"/>
    <w:qFormat/>
    <w:uiPriority w:val="0"/>
    <w:rPr>
      <w:rFonts w:hint="eastAsia" w:ascii="华文楷体" w:hAnsi="华文楷体" w:eastAsia="华文楷体" w:cs="华文楷体"/>
      <w:color w:val="000000"/>
      <w:sz w:val="20"/>
      <w:szCs w:val="20"/>
      <w:u w:val="none"/>
    </w:rPr>
  </w:style>
  <w:style w:type="character" w:customStyle="1" w:styleId="26">
    <w:name w:val="font21"/>
    <w:basedOn w:val="17"/>
    <w:qFormat/>
    <w:uiPriority w:val="0"/>
    <w:rPr>
      <w:rFonts w:hint="eastAsia" w:ascii="华文楷体" w:hAnsi="华文楷体" w:eastAsia="华文楷体" w:cs="华文楷体"/>
      <w:b/>
      <w:color w:val="000000"/>
      <w:sz w:val="20"/>
      <w:szCs w:val="20"/>
      <w:u w:val="none"/>
    </w:rPr>
  </w:style>
  <w:style w:type="paragraph" w:customStyle="1" w:styleId="27">
    <w:name w:val="列表段落1"/>
    <w:basedOn w:val="1"/>
    <w:link w:val="35"/>
    <w:qFormat/>
    <w:uiPriority w:val="34"/>
    <w:pPr>
      <w:ind w:left="720"/>
      <w:contextualSpacing/>
    </w:pPr>
  </w:style>
  <w:style w:type="character" w:customStyle="1" w:styleId="28">
    <w:name w:val="font51"/>
    <w:basedOn w:val="17"/>
    <w:qFormat/>
    <w:uiPriority w:val="0"/>
    <w:rPr>
      <w:rFonts w:ascii="Verdana" w:hAnsi="Verdana" w:cs="Verdana"/>
      <w:b/>
      <w:bCs/>
      <w:color w:val="FFFFFF"/>
      <w:sz w:val="18"/>
      <w:szCs w:val="18"/>
      <w:u w:val="none"/>
    </w:rPr>
  </w:style>
  <w:style w:type="paragraph" w:customStyle="1" w:styleId="29">
    <w:name w:val="列表段落2"/>
    <w:basedOn w:val="1"/>
    <w:unhideWhenUsed/>
    <w:qFormat/>
    <w:uiPriority w:val="99"/>
    <w:pPr>
      <w:ind w:firstLine="420" w:firstLineChars="200"/>
    </w:pPr>
  </w:style>
  <w:style w:type="character" w:customStyle="1" w:styleId="30">
    <w:name w:val="批注文字 字符"/>
    <w:basedOn w:val="17"/>
    <w:link w:val="5"/>
    <w:qFormat/>
    <w:uiPriority w:val="0"/>
    <w:rPr>
      <w:rFonts w:ascii="Calibri" w:hAnsi="Calibri" w:cs="黑体"/>
      <w:kern w:val="2"/>
      <w:sz w:val="21"/>
      <w:szCs w:val="22"/>
    </w:rPr>
  </w:style>
  <w:style w:type="character" w:customStyle="1" w:styleId="31">
    <w:name w:val="批注主题 字符"/>
    <w:basedOn w:val="30"/>
    <w:link w:val="13"/>
    <w:qFormat/>
    <w:uiPriority w:val="0"/>
    <w:rPr>
      <w:rFonts w:ascii="Calibri" w:hAnsi="Calibri" w:cs="黑体"/>
      <w:b/>
      <w:bCs/>
      <w:kern w:val="2"/>
      <w:sz w:val="21"/>
      <w:szCs w:val="22"/>
    </w:rPr>
  </w:style>
  <w:style w:type="character" w:customStyle="1" w:styleId="32">
    <w:name w:val="15"/>
    <w:basedOn w:val="17"/>
    <w:qFormat/>
    <w:uiPriority w:val="0"/>
    <w:rPr>
      <w:rFonts w:hint="default" w:ascii="Times New Roman" w:hAnsi="Times New Roman" w:cs="Times New Roman"/>
      <w:vertAlign w:val="superscript"/>
    </w:rPr>
  </w:style>
  <w:style w:type="character" w:customStyle="1" w:styleId="33">
    <w:name w:val="10"/>
    <w:basedOn w:val="17"/>
    <w:qFormat/>
    <w:uiPriority w:val="0"/>
    <w:rPr>
      <w:rFonts w:hint="default" w:ascii="Times New Roman" w:hAnsi="Times New Roman" w:cs="Times New Roman"/>
    </w:rPr>
  </w:style>
  <w:style w:type="character" w:customStyle="1" w:styleId="34">
    <w:name w:val="页脚 字符"/>
    <w:basedOn w:val="17"/>
    <w:link w:val="7"/>
    <w:qFormat/>
    <w:uiPriority w:val="99"/>
    <w:rPr>
      <w:rFonts w:ascii="Calibri" w:hAnsi="Calibri" w:cs="黑体"/>
      <w:kern w:val="2"/>
      <w:sz w:val="21"/>
      <w:szCs w:val="22"/>
    </w:rPr>
  </w:style>
  <w:style w:type="character" w:customStyle="1" w:styleId="35">
    <w:name w:val="列出段落 字符"/>
    <w:link w:val="27"/>
    <w:qFormat/>
    <w:uiPriority w:val="34"/>
    <w:rPr>
      <w:rFonts w:ascii="Calibri" w:hAnsi="Calibri" w:cs="黑体"/>
      <w:kern w:val="2"/>
      <w:sz w:val="21"/>
      <w:szCs w:val="22"/>
    </w:rPr>
  </w:style>
  <w:style w:type="character" w:customStyle="1" w:styleId="36">
    <w:name w:val="font81"/>
    <w:basedOn w:val="17"/>
    <w:qFormat/>
    <w:uiPriority w:val="0"/>
    <w:rPr>
      <w:rFonts w:hint="default" w:ascii="Verdana" w:hAnsi="Verdana" w:cs="Verdana"/>
      <w:color w:val="000000"/>
      <w:sz w:val="20"/>
      <w:szCs w:val="20"/>
      <w:u w:val="none"/>
    </w:rPr>
  </w:style>
  <w:style w:type="paragraph" w:styleId="37">
    <w:name w:val="List Paragraph"/>
    <w:basedOn w:val="1"/>
    <w:unhideWhenUsed/>
    <w:qFormat/>
    <w:uiPriority w:val="99"/>
    <w:pPr>
      <w:ind w:firstLine="420" w:firstLineChars="200"/>
    </w:pPr>
  </w:style>
  <w:style w:type="paragraph" w:customStyle="1" w:styleId="38">
    <w:name w:val="修订1"/>
    <w:hidden/>
    <w:unhideWhenUsed/>
    <w:qFormat/>
    <w:uiPriority w:val="99"/>
    <w:rPr>
      <w:rFonts w:ascii="Calibri" w:hAnsi="Calibri" w:eastAsia="宋体" w:cs="黑体"/>
      <w:kern w:val="2"/>
      <w:sz w:val="21"/>
      <w:szCs w:val="22"/>
      <w:lang w:val="en-US" w:eastAsia="zh-CN" w:bidi="ar-SA"/>
    </w:rPr>
  </w:style>
  <w:style w:type="paragraph" w:customStyle="1" w:styleId="39">
    <w:name w:val="修订2"/>
    <w:hidden/>
    <w:unhideWhenUsed/>
    <w:qFormat/>
    <w:uiPriority w:val="99"/>
    <w:rPr>
      <w:rFonts w:ascii="Calibri" w:hAnsi="Calibri" w:eastAsia="宋体" w:cs="黑体"/>
      <w:kern w:val="2"/>
      <w:sz w:val="21"/>
      <w:szCs w:val="22"/>
      <w:lang w:val="en-US" w:eastAsia="zh-CN" w:bidi="ar-SA"/>
    </w:rPr>
  </w:style>
  <w:style w:type="paragraph" w:customStyle="1" w:styleId="40">
    <w:name w:val="修订3"/>
    <w:hidden/>
    <w:unhideWhenUsed/>
    <w:qFormat/>
    <w:uiPriority w:val="99"/>
    <w:rPr>
      <w:rFonts w:ascii="Calibri" w:hAnsi="Calibri" w:eastAsia="宋体" w:cs="黑体"/>
      <w:kern w:val="2"/>
      <w:sz w:val="21"/>
      <w:szCs w:val="22"/>
      <w:lang w:val="en-US" w:eastAsia="zh-CN" w:bidi="ar-SA"/>
    </w:r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3">
    <w:name w:val="TOC 标题1"/>
    <w:basedOn w:val="3"/>
    <w:next w:val="1"/>
    <w:unhideWhenUsed/>
    <w:qFormat/>
    <w:uiPriority w:val="39"/>
    <w:pPr>
      <w:outlineLvl w:val="9"/>
    </w:pPr>
    <w:rPr>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6094</Words>
  <Characters>7455</Characters>
  <Lines>687</Lines>
  <Paragraphs>193</Paragraphs>
  <TotalTime>45</TotalTime>
  <ScaleCrop>false</ScaleCrop>
  <LinksUpToDate>false</LinksUpToDate>
  <CharactersWithSpaces>7532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2023-04-04T08:13:00Z</dcterms:created>
  <dc:creator>Administrator</dc:creator>
  <cp:lastModifiedBy>彭辉斌</cp:lastModifiedBy>
  <cp:lastPrinted>2025-12-10T01:33:34Z</cp:lastPrinted>
  <dcterms:modified xsi:type="dcterms:W3CDTF">2025-12-10T02:09:13Z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5793DEF8DBED40B2A3E85944462F3D92_13</vt:lpwstr>
  </property>
  <property fmtid="{D5CDD505-2E9C-101B-9397-08002B2CF9AE}" pid="4" name="KSOTemplateDocerSaveRecord">
    <vt:lpwstr>eyJoZGlkIjoiMDEzZjVlMWE4Yjc3MmYwN2VkNjY4M2NkNDY0MTc4MDAiLCJ1c2VySWQiOiIxNTY4NjkyMjEzIn0=</vt:lpwstr>
  </property>
</Properties>
</file>