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bookmarkStart w:id="0" w:name="_Hlk121670811"/>
      <w:r>
        <w:rPr>
          <w:rFonts w:hint="eastAsia" w:ascii="黑体" w:hAnsi="黑体" w:eastAsia="黑体" w:cs="仿宋_GB2312"/>
          <w:bCs/>
          <w:color w:val="000000" w:themeColor="text1"/>
          <w:sz w:val="36"/>
          <w:szCs w:val="36"/>
          <w14:textFill>
            <w14:solidFill>
              <w14:schemeClr w14:val="tx1"/>
            </w14:solidFill>
          </w14:textFill>
        </w:rPr>
        <w:t>2025年海南省政府专项债券(二十九期)——</w:t>
      </w:r>
    </w:p>
    <w:p>
      <w:pPr>
        <w:spacing w:line="700" w:lineRule="exact"/>
        <w:jc w:val="center"/>
        <w:rPr>
          <w:rFonts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海口江东新区排水设施完善工程（一期）</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项目</w:t>
      </w:r>
      <w:bookmarkEnd w:id="0"/>
      <w:r>
        <w:rPr>
          <w:rFonts w:hint="eastAsia" w:ascii="黑体" w:hAnsi="黑体" w:eastAsia="黑体" w:cs="仿宋_GB2312"/>
          <w:bCs/>
          <w:color w:val="000000" w:themeColor="text1"/>
          <w:sz w:val="36"/>
          <w:szCs w:val="36"/>
          <w14:textFill>
            <w14:solidFill>
              <w14:schemeClr w14:val="tx1"/>
            </w14:solidFill>
          </w14:textFill>
        </w:rPr>
        <w:t>收益与融资自求平衡方案</w:t>
      </w: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r>
        <w:rPr>
          <w:rFonts w:hint="eastAsia" w:ascii="黑体" w:hAnsi="黑体" w:eastAsia="黑体" w:cs="仿宋_GB2312"/>
          <w:bCs/>
          <w:color w:val="000000" w:themeColor="text1"/>
          <w:sz w:val="32"/>
          <w:szCs w:val="32"/>
          <w14:textFill>
            <w14:solidFill>
              <w14:schemeClr w14:val="tx1"/>
            </w14:solidFill>
          </w14:textFill>
        </w:rPr>
        <w:t>财政部门：</w:t>
      </w:r>
      <w:r>
        <w:rPr>
          <w:rFonts w:hint="eastAsia" w:ascii="黑体" w:hAnsi="黑体" w:eastAsia="黑体" w:cs="仿宋_GB2312"/>
          <w:bCs/>
          <w:color w:val="000000" w:themeColor="text1"/>
          <w:sz w:val="36"/>
          <w:szCs w:val="36"/>
          <w14:textFill>
            <w14:solidFill>
              <w14:schemeClr w14:val="tx1"/>
            </w14:solidFill>
          </w14:textFill>
        </w:rPr>
        <w:t>海口市财政局</w:t>
      </w: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2"/>
          <w:szCs w:val="32"/>
          <w14:textFill>
            <w14:solidFill>
              <w14:schemeClr w14:val="tx1"/>
            </w14:solidFill>
          </w14:textFill>
        </w:rPr>
        <w:t>主管部门：</w:t>
      </w:r>
      <w:r>
        <w:rPr>
          <w:rFonts w:hint="eastAsia" w:ascii="黑体" w:hAnsi="黑体" w:eastAsia="黑体" w:cs="仿宋_GB2312"/>
          <w:bCs/>
          <w:color w:val="000000" w:themeColor="text1"/>
          <w:sz w:val="36"/>
          <w:szCs w:val="36"/>
          <w14:textFill>
            <w14:solidFill>
              <w14:schemeClr w14:val="tx1"/>
            </w14:solidFill>
          </w14:textFill>
        </w:rPr>
        <w:t>海口江东新区管理局</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highlight w:val="red"/>
          <w14:textFill>
            <w14:solidFill>
              <w14:schemeClr w14:val="tx1"/>
            </w14:solidFill>
          </w14:textFill>
        </w:rPr>
      </w:pPr>
      <w:r>
        <w:rPr>
          <w:rFonts w:hint="eastAsia" w:ascii="黑体" w:hAnsi="黑体" w:eastAsia="黑体" w:cs="仿宋_GB2312"/>
          <w:bCs/>
          <w:color w:val="000000" w:themeColor="text1"/>
          <w:sz w:val="32"/>
          <w:szCs w:val="32"/>
          <w14:textFill>
            <w14:solidFill>
              <w14:schemeClr w14:val="tx1"/>
            </w14:solidFill>
          </w14:textFill>
        </w:rPr>
        <w:t>项目单位：</w:t>
      </w:r>
      <w:r>
        <w:rPr>
          <w:rFonts w:hint="eastAsia" w:ascii="黑体" w:hAnsi="黑体" w:eastAsia="黑体" w:cs="仿宋_GB2312"/>
          <w:bCs/>
          <w:color w:val="000000" w:themeColor="text1"/>
          <w:sz w:val="36"/>
          <w:szCs w:val="36"/>
          <w:highlight w:val="none"/>
          <w14:textFill>
            <w14:solidFill>
              <w14:schemeClr w14:val="tx1"/>
            </w14:solidFill>
          </w14:textFill>
        </w:rPr>
        <w:t>海口市路桥建设投资有限公司</w:t>
      </w: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highlight w:val="none"/>
          <w14:textFill>
            <w14:solidFill>
              <w14:schemeClr w14:val="tx1"/>
            </w14:solidFill>
          </w14:textFill>
        </w:rPr>
        <w:sectPr>
          <w:headerReference r:id="rId4" w:type="first"/>
          <w:headerReference r:id="rId3" w:type="default"/>
          <w:footerReference r:id="rId5" w:type="default"/>
          <w:pgSz w:w="11906" w:h="16838"/>
          <w:pgMar w:top="2041" w:right="1701" w:bottom="2041" w:left="1701" w:header="851" w:footer="1361" w:gutter="0"/>
          <w:pgBorders>
            <w:top w:val="none" w:sz="0" w:space="0"/>
            <w:left w:val="none" w:sz="0" w:space="0"/>
            <w:bottom w:val="none" w:sz="0" w:space="0"/>
            <w:right w:val="none" w:sz="0" w:space="0"/>
          </w:pgBorders>
          <w:cols w:space="425" w:num="1"/>
          <w:titlePg/>
          <w:docGrid w:type="lines" w:linePitch="312" w:charSpace="0"/>
        </w:sectPr>
      </w:pPr>
      <w:r>
        <w:rPr>
          <w:rFonts w:hint="eastAsia" w:ascii="黑体" w:hAnsi="黑体" w:eastAsia="黑体" w:cs="仿宋_GB2312"/>
          <w:bCs/>
          <w:color w:val="000000" w:themeColor="text1"/>
          <w:sz w:val="32"/>
          <w:szCs w:val="32"/>
          <w:highlight w:val="none"/>
          <w14:textFill>
            <w14:solidFill>
              <w14:schemeClr w14:val="tx1"/>
            </w14:solidFill>
          </w14:textFill>
        </w:rPr>
        <w:t>2025年</w:t>
      </w:r>
      <w:r>
        <w:rPr>
          <w:rFonts w:hint="eastAsia" w:ascii="黑体" w:hAnsi="黑体" w:eastAsia="黑体" w:cs="仿宋_GB2312"/>
          <w:bCs/>
          <w:color w:val="000000" w:themeColor="text1"/>
          <w:sz w:val="32"/>
          <w:szCs w:val="32"/>
          <w:highlight w:val="none"/>
          <w:lang w:val="en-US" w:eastAsia="zh-CN"/>
          <w14:textFill>
            <w14:solidFill>
              <w14:schemeClr w14:val="tx1"/>
            </w14:solidFill>
          </w14:textFill>
        </w:rPr>
        <w:t>11</w:t>
      </w:r>
      <w:r>
        <w:rPr>
          <w:rFonts w:hint="eastAsia" w:ascii="黑体" w:hAnsi="黑体" w:eastAsia="黑体" w:cs="仿宋_GB2312"/>
          <w:bCs/>
          <w:color w:val="000000" w:themeColor="text1"/>
          <w:sz w:val="32"/>
          <w:szCs w:val="32"/>
          <w:highlight w:val="none"/>
          <w14:textFill>
            <w14:solidFill>
              <w14:schemeClr w14:val="tx1"/>
            </w14:solidFill>
          </w14:textFill>
        </w:rPr>
        <w:t>月</w:t>
      </w:r>
    </w:p>
    <w:p>
      <w:pPr>
        <w:pStyle w:val="2"/>
        <w:numPr>
          <w:ilvl w:val="0"/>
          <w:numId w:val="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区域经济情况</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（一）海口市概况</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国家历史文化名城”、“全国文明城市”、“全国双拥模范城市”等荣誉称号，荣获由住建部颁发的年度“中国人居环境奖”，2018年被联合国国际湿地公约组织评定为全球首批“国际湿地城市”。</w:t>
      </w:r>
    </w:p>
    <w:p>
      <w:pPr>
        <w:pStyle w:val="4"/>
        <w:ind w:firstLine="640"/>
        <w:rPr>
          <w:color w:val="000000" w:themeColor="text1"/>
          <w14:textFill>
            <w14:solidFill>
              <w14:schemeClr w14:val="tx1"/>
            </w14:solidFill>
          </w14:textFill>
        </w:rPr>
      </w:pPr>
      <w:bookmarkStart w:id="1" w:name="_Toc28017"/>
      <w:bookmarkStart w:id="2" w:name="_Toc158033775"/>
      <w:bookmarkStart w:id="3" w:name="_Toc7392"/>
      <w:bookmarkStart w:id="4" w:name="_Toc142554209"/>
      <w:bookmarkStart w:id="5" w:name="_Toc26402"/>
      <w:bookmarkStart w:id="6" w:name="_Toc11289"/>
      <w:bookmarkStart w:id="7" w:name="_Toc908"/>
      <w:bookmarkStart w:id="8" w:name="_Toc2316"/>
      <w:bookmarkStart w:id="9" w:name="_Toc400"/>
      <w:bookmarkStart w:id="10" w:name="_Toc115429643"/>
      <w:bookmarkStart w:id="11" w:name="_Toc9167"/>
      <w:bookmarkStart w:id="12" w:name="_Toc5402"/>
      <w:bookmarkStart w:id="13" w:name="_Toc158126903"/>
      <w:bookmarkStart w:id="14" w:name="_Toc24526"/>
      <w:r>
        <w:rPr>
          <w:rFonts w:hint="eastAsia"/>
          <w:color w:val="000000" w:themeColor="text1"/>
          <w14:textFill>
            <w14:solidFill>
              <w14:schemeClr w14:val="tx1"/>
            </w14:solidFill>
          </w14:textFill>
        </w:rPr>
        <w:t>（二）海口市经济发展情况及财政情况</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36"/>
        <w:rPr>
          <w:color w:val="000000" w:themeColor="text1"/>
          <w14:textFill>
            <w14:solidFill>
              <w14:schemeClr w14:val="tx1"/>
            </w14:solidFill>
          </w14:textFill>
        </w:rPr>
      </w:pPr>
      <w:bookmarkStart w:id="15" w:name="_Toc38966126"/>
      <w:bookmarkStart w:id="16" w:name="_Toc38920843"/>
      <w:bookmarkStart w:id="17" w:name="_Toc25162473"/>
      <w:bookmarkStart w:id="18" w:name="_Toc38905991"/>
      <w:bookmarkStart w:id="19" w:name="_Toc41496149"/>
      <w:bookmarkStart w:id="20" w:name="_Toc38898997"/>
      <w:bookmarkStart w:id="21" w:name="_Toc28675796"/>
      <w:r>
        <w:rPr>
          <w:rFonts w:hint="eastAsia"/>
          <w:color w:val="000000" w:themeColor="text1"/>
          <w14:textFill>
            <w14:solidFill>
              <w14:schemeClr w14:val="tx1"/>
            </w14:solidFill>
          </w14:textFill>
        </w:rPr>
        <w:t>表1  海口市20</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2—2024年财政经济数据</w:t>
      </w:r>
    </w:p>
    <w:p>
      <w:pPr>
        <w:pStyle w:val="36"/>
        <w:jc w:val="right"/>
        <w:rPr>
          <w:rFonts w:ascii="宋体" w:hAnsi="宋体" w:eastAsia="宋体"/>
          <w:color w:val="000000" w:themeColor="text1"/>
          <w:sz w:val="21"/>
          <w:szCs w:val="21"/>
          <w14:textFill>
            <w14:solidFill>
              <w14:schemeClr w14:val="tx1"/>
            </w14:solidFill>
          </w14:textFill>
        </w:rPr>
      </w:pPr>
      <w:bookmarkStart w:id="22" w:name="_Hlk209285192"/>
      <w:r>
        <w:rPr>
          <w:rFonts w:hint="eastAsia" w:ascii="宋体" w:hAnsi="宋体" w:eastAsia="宋体"/>
          <w:color w:val="000000" w:themeColor="text1"/>
          <w:sz w:val="21"/>
          <w:szCs w:val="21"/>
          <w14:textFill>
            <w14:solidFill>
              <w14:schemeClr w14:val="tx1"/>
            </w14:solidFill>
          </w14:textFill>
        </w:rPr>
        <w:t>单位：亿元</w:t>
      </w:r>
    </w:p>
    <w:bookmarkEnd w:id="22"/>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38"/>
        <w:gridCol w:w="1327"/>
        <w:gridCol w:w="1327"/>
        <w:gridCol w:w="13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adjustRightInd w:val="0"/>
              <w:snapToGrid w:val="0"/>
              <w:jc w:val="center"/>
              <w:rPr>
                <w:rFonts w:ascii="宋体" w:hAnsi="宋体" w:cs="Arial Unicode MS"/>
                <w:b/>
                <w:color w:val="000000" w:themeColor="text1"/>
                <w:kern w:val="0"/>
                <w:szCs w:val="21"/>
                <w14:textFill>
                  <w14:solidFill>
                    <w14:schemeClr w14:val="tx1"/>
                  </w14:solidFill>
                </w14:textFill>
              </w:rPr>
            </w:pPr>
            <w:r>
              <w:rPr>
                <w:rFonts w:hint="eastAsia" w:ascii="宋体" w:hAnsi="宋体" w:cs="Arial Unicode MS"/>
                <w:b/>
                <w:color w:val="000000" w:themeColor="text1"/>
                <w:kern w:val="0"/>
                <w:szCs w:val="21"/>
                <w14:textFill>
                  <w14:solidFill>
                    <w14:schemeClr w14:val="tx1"/>
                  </w14:solidFill>
                </w14:textFill>
              </w:rPr>
              <w:t>项目</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2022年</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2023年</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2024年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地区生产总值</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2,134.80</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2,358.44</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2,470.63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一般预算收入（一般公共预算收入）</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204.82</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266.87</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258.26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一般预算收入（一般公共预算总收入）</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518.12</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578.08</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597.76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政府性基金收入</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192.34</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140.39</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120.4</w:t>
            </w:r>
            <w:r>
              <w:rPr>
                <w:rFonts w:hint="eastAsia"/>
                <w:color w:val="000000" w:themeColor="text1"/>
                <w:kern w:val="0"/>
                <w:szCs w:val="21"/>
                <w:lang w:bidi="ar"/>
                <w14:textFill>
                  <w14:solidFill>
                    <w14:schemeClr w14:val="tx1"/>
                  </w14:solidFill>
                </w14:textFill>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其中：国有土地出让收入</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176.60</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124.67</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108.59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政府性基金支出</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310.21</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264.76</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294.</w:t>
            </w:r>
            <w:r>
              <w:rPr>
                <w:rFonts w:hint="eastAsia"/>
                <w:color w:val="000000" w:themeColor="text1"/>
                <w:kern w:val="0"/>
                <w:szCs w:val="21"/>
                <w:lang w:bidi="ar"/>
                <w14:textFill>
                  <w14:solidFill>
                    <w14:schemeClr w14:val="tx1"/>
                  </w14:solidFill>
                </w14:textFill>
              </w:rPr>
              <w:t>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其中：国有土地出让支出</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147.61</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109.46</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72.02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地方债务限额</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892.40</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w:t>
            </w:r>
            <w:r>
              <w:rPr>
                <w:rFonts w:hint="eastAsia"/>
                <w:color w:val="000000" w:themeColor="text1"/>
                <w:kern w:val="0"/>
                <w:szCs w:val="21"/>
                <w:lang w:bidi="ar"/>
                <w14:textFill>
                  <w14:solidFill>
                    <w14:schemeClr w14:val="tx1"/>
                  </w14:solidFill>
                </w14:textFill>
              </w:rPr>
              <w:t>6</w:t>
            </w:r>
            <w:r>
              <w:rPr>
                <w:color w:val="000000" w:themeColor="text1"/>
                <w:kern w:val="0"/>
                <w:szCs w:val="21"/>
                <w:lang w:bidi="ar"/>
                <w14:textFill>
                  <w14:solidFill>
                    <w14:schemeClr w14:val="tx1"/>
                  </w14:solidFill>
                </w14:textFill>
              </w:rPr>
              <w:t>1.</w:t>
            </w:r>
            <w:r>
              <w:rPr>
                <w:rFonts w:hint="eastAsia"/>
                <w:color w:val="000000" w:themeColor="text1"/>
                <w:kern w:val="0"/>
                <w:szCs w:val="21"/>
                <w:lang w:bidi="ar"/>
                <w14:textFill>
                  <w14:solidFill>
                    <w14:schemeClr w14:val="tx1"/>
                  </w14:solidFill>
                </w14:textFill>
              </w:rPr>
              <w:t>3</w:t>
            </w:r>
            <w:r>
              <w:rPr>
                <w:color w:val="000000" w:themeColor="text1"/>
                <w:kern w:val="0"/>
                <w:szCs w:val="21"/>
                <w:lang w:bidi="ar"/>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其中：一般债务限额</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230.47</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235.24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专项债务限额</w:t>
            </w:r>
          </w:p>
        </w:tc>
        <w:tc>
          <w:tcPr>
            <w:tcW w:w="761" w:type="pct"/>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661.93</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926.07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left"/>
              <w:textAlignment w:val="center"/>
              <w:rPr>
                <w:rFonts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地方债务余额</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889.45</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1,141.70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left"/>
              <w:textAlignment w:val="center"/>
              <w:rPr>
                <w:rFonts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其中：一般债务余额</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228.11</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227.3</w:t>
            </w:r>
            <w:r>
              <w:rPr>
                <w:rFonts w:hint="eastAsia"/>
                <w:color w:val="000000" w:themeColor="text1"/>
                <w:kern w:val="0"/>
                <w:szCs w:val="21"/>
                <w:lang w:bidi="ar"/>
                <w14:textFill>
                  <w14:solidFill>
                    <w14:schemeClr w14:val="tx1"/>
                  </w14:solidFill>
                </w14:textFill>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left"/>
              <w:textAlignment w:val="center"/>
              <w:rPr>
                <w:rFonts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专项债务余额</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661.34</w:t>
            </w:r>
          </w:p>
        </w:tc>
        <w:tc>
          <w:tcPr>
            <w:tcW w:w="1328" w:type="dxa"/>
            <w:shd w:val="clear" w:color="auto" w:fill="auto"/>
            <w:vAlign w:val="center"/>
          </w:tcPr>
          <w:p>
            <w:pPr>
              <w:widowControl/>
              <w:jc w:val="right"/>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914.</w:t>
            </w:r>
            <w:r>
              <w:rPr>
                <w:rFonts w:hint="eastAsia"/>
                <w:color w:val="000000" w:themeColor="text1"/>
                <w:kern w:val="0"/>
                <w:szCs w:val="21"/>
                <w:lang w:bidi="ar"/>
                <w14:textFill>
                  <w14:solidFill>
                    <w14:schemeClr w14:val="tx1"/>
                  </w14:solidFill>
                </w14:textFill>
              </w:rPr>
              <w:t>37</w:t>
            </w:r>
          </w:p>
        </w:tc>
      </w:tr>
    </w:tbl>
    <w:p>
      <w:pPr>
        <w:pStyle w:val="3"/>
        <w:ind w:firstLine="0" w:firstLineChars="0"/>
        <w:rPr>
          <w:color w:val="000000" w:themeColor="text1"/>
          <w14:textFill>
            <w14:solidFill>
              <w14:schemeClr w14:val="tx1"/>
            </w14:solidFill>
          </w14:textFill>
        </w:rPr>
      </w:pPr>
      <w:r>
        <w:rPr>
          <w:rFonts w:hint="eastAsia" w:eastAsia="宋体"/>
          <w:color w:val="000000" w:themeColor="text1"/>
          <w:kern w:val="0"/>
          <w:sz w:val="20"/>
          <w:szCs w:val="20"/>
          <w:shd w:val="clear" w:color="auto" w:fill="FFFFFF"/>
          <w14:textFill>
            <w14:solidFill>
              <w14:schemeClr w14:val="tx1"/>
            </w14:solidFill>
          </w14:textFill>
        </w:rPr>
        <w:t>注：以上数据来源于海口市财政局。</w:t>
      </w:r>
      <w:bookmarkEnd w:id="15"/>
      <w:bookmarkEnd w:id="16"/>
      <w:bookmarkEnd w:id="17"/>
      <w:bookmarkEnd w:id="18"/>
      <w:bookmarkEnd w:id="19"/>
      <w:bookmarkEnd w:id="20"/>
      <w:bookmarkEnd w:id="21"/>
    </w:p>
    <w:p>
      <w:pPr>
        <w:pStyle w:val="2"/>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二、项目概况</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（一）项目名称</w:t>
      </w:r>
    </w:p>
    <w:p>
      <w:pPr>
        <w:pStyle w:val="3"/>
        <w:ind w:firstLine="640"/>
        <w:rPr>
          <w:color w:val="000000" w:themeColor="text1"/>
          <w14:textFill>
            <w14:solidFill>
              <w14:schemeClr w14:val="tx1"/>
            </w14:solidFill>
          </w14:textFill>
        </w:rPr>
      </w:pPr>
      <w:bookmarkStart w:id="23" w:name="OLE_LINK1"/>
      <w:r>
        <w:rPr>
          <w:rFonts w:hint="eastAsia"/>
          <w:color w:val="000000" w:themeColor="text1"/>
          <w14:textFill>
            <w14:solidFill>
              <w14:schemeClr w14:val="tx1"/>
            </w14:solidFill>
          </w14:textFill>
        </w:rPr>
        <w:t>海口江东新区排水设施完善工程（一期）</w:t>
      </w:r>
    </w:p>
    <w:bookmarkEnd w:id="23"/>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（二）项目单位</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本项目的立项单位为</w:t>
      </w:r>
      <w:bookmarkStart w:id="24" w:name="OLE_LINK4"/>
      <w:r>
        <w:rPr>
          <w:rFonts w:hint="eastAsia"/>
          <w:color w:val="000000" w:themeColor="text1"/>
          <w14:textFill>
            <w14:solidFill>
              <w14:schemeClr w14:val="tx1"/>
            </w14:solidFill>
          </w14:textFill>
        </w:rPr>
        <w:t>海口市路桥建设投资有限公司</w:t>
      </w:r>
      <w:bookmarkEnd w:id="24"/>
      <w:r>
        <w:rPr>
          <w:rFonts w:hint="eastAsia"/>
          <w:color w:val="000000" w:themeColor="text1"/>
          <w14:textFill>
            <w14:solidFill>
              <w14:schemeClr w14:val="tx1"/>
            </w14:solidFill>
          </w14:textFill>
        </w:rPr>
        <w:t>。</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公司成立于2003年9月27日，系海口市建工集团有限公司的全资子公司，海口市建工集团有限公司股东为海口市国有资产监督管理委员会、海南省财政厅，持股比例分别为90%、10%；</w:t>
      </w:r>
      <w:r>
        <w:rPr>
          <w:rFonts w:hint="eastAsia"/>
          <w:bCs/>
          <w:color w:val="000000" w:themeColor="text1"/>
          <w14:textFill>
            <w14:solidFill>
              <w14:schemeClr w14:val="tx1"/>
            </w14:solidFill>
          </w14:textFill>
        </w:rPr>
        <w:t>公司注册资本</w:t>
      </w:r>
      <w:r>
        <w:rPr>
          <w:rFonts w:hint="eastAsia"/>
          <w:color w:val="000000" w:themeColor="text1"/>
          <w14:textFill>
            <w14:solidFill>
              <w14:schemeClr w14:val="tx1"/>
            </w14:solidFill>
          </w14:textFill>
        </w:rPr>
        <w:t>4,791.47</w:t>
      </w:r>
      <w:r>
        <w:rPr>
          <w:rFonts w:hint="eastAsia"/>
          <w:bCs/>
          <w:color w:val="000000" w:themeColor="text1"/>
          <w14:textFill>
            <w14:solidFill>
              <w14:schemeClr w14:val="tx1"/>
            </w14:solidFill>
          </w14:textFill>
        </w:rPr>
        <w:t>万元，注册地</w:t>
      </w:r>
      <w:r>
        <w:rPr>
          <w:rFonts w:hint="eastAsia"/>
          <w:color w:val="000000" w:themeColor="text1"/>
          <w14:textFill>
            <w14:solidFill>
              <w14:schemeClr w14:val="tx1"/>
            </w14:solidFill>
          </w14:textFill>
        </w:rPr>
        <w:t>位于海口市世纪广场路1号世纪大桥监控中心，法定代表人为冯所晓</w:t>
      </w:r>
      <w:r>
        <w:rPr>
          <w:rFonts w:hint="eastAsia"/>
          <w:bCs/>
          <w:color w:val="000000" w:themeColor="text1"/>
          <w14:textFill>
            <w14:solidFill>
              <w14:schemeClr w14:val="tx1"/>
            </w14:solidFill>
          </w14:textFill>
        </w:rPr>
        <w:t>，统一社会信用代码为</w:t>
      </w:r>
      <w:r>
        <w:rPr>
          <w:color w:val="000000" w:themeColor="text1"/>
          <w14:textFill>
            <w14:solidFill>
              <w14:schemeClr w14:val="tx1"/>
            </w14:solidFill>
          </w14:textFill>
        </w:rPr>
        <w:t>91460100754353726F</w:t>
      </w:r>
      <w:r>
        <w:rPr>
          <w:rFonts w:hint="eastAsia"/>
          <w:bCs/>
          <w:color w:val="000000" w:themeColor="text1"/>
          <w14:textFill>
            <w14:solidFill>
              <w14:schemeClr w14:val="tx1"/>
            </w14:solidFill>
          </w14:textFill>
        </w:rPr>
        <w:t>，经营范围</w:t>
      </w:r>
      <w:r>
        <w:rPr>
          <w:rFonts w:hint="eastAsia"/>
          <w:color w:val="000000" w:themeColor="text1"/>
          <w14:textFill>
            <w14:solidFill>
              <w14:schemeClr w14:val="tx1"/>
            </w14:solidFill>
          </w14:textFill>
        </w:rPr>
        <w:t>包括许可项目：建筑智能化系统设计（依法须经批准的项目，经相关部门批准后方可开展经营活动）一般项目：工程管理服务；市政设施管理；自有资金投资的资产管理服务；以自有资金从事投资活动；旅游开发项目策划咨询；城乡市容管理；城市绿化管理；与农业生产经营有关的技术、信息、设施建设运营等服务；农业专业及辅助性活动；科技中介服务；建筑材料销售；建筑装饰材料销售；广告设计、代理；医院管理；土地使用权租赁；非居住房地产租赁（除许可业务外，可自主依法经营法律法规非禁止或限制的项目）</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（三）</w:t>
      </w:r>
      <w:bookmarkStart w:id="25" w:name="_Hlk121819982"/>
      <w:r>
        <w:rPr>
          <w:rFonts w:hint="eastAsia"/>
          <w:color w:val="000000" w:themeColor="text1"/>
          <w14:textFill>
            <w14:solidFill>
              <w14:schemeClr w14:val="tx1"/>
            </w14:solidFill>
          </w14:textFill>
        </w:rPr>
        <w:t>项目规划审批</w:t>
      </w:r>
    </w:p>
    <w:p>
      <w:pPr>
        <w:pStyle w:val="3"/>
        <w:ind w:firstLine="640"/>
        <w:rPr>
          <w:rFonts w:hint="eastAsia"/>
          <w:color w:val="000000" w:themeColor="text1"/>
          <w:highlight w:val="none"/>
          <w14:textFill>
            <w14:solidFill>
              <w14:schemeClr w14:val="tx1"/>
            </w14:solidFill>
          </w14:textFill>
        </w:rPr>
      </w:pPr>
      <w:bookmarkStart w:id="26" w:name="_Hlk206853224"/>
      <w:bookmarkStart w:id="27" w:name="_Hlk206862988"/>
      <w:bookmarkStart w:id="28" w:name="_Hlk206864033"/>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2024年5月24日，本项目取得海口江东新区管理局</w:t>
      </w:r>
      <w:bookmarkEnd w:id="26"/>
      <w:r>
        <w:rPr>
          <w:rFonts w:hint="eastAsia"/>
          <w:color w:val="000000" w:themeColor="text1"/>
          <w:highlight w:val="none"/>
          <w14:textFill>
            <w14:solidFill>
              <w14:schemeClr w14:val="tx1"/>
            </w14:solidFill>
          </w14:textFill>
        </w:rPr>
        <w:t>《关于同意海口江东新区排水设施完善工程（一期）可行性研究报告的复函》</w:t>
      </w:r>
      <w:bookmarkEnd w:id="27"/>
      <w:bookmarkEnd w:id="28"/>
      <w:r>
        <w:rPr>
          <w:rFonts w:hint="eastAsia"/>
          <w:highlight w:val="none"/>
        </w:rPr>
        <w:t>（海江东审〔2024〕52号）</w:t>
      </w:r>
      <w:r>
        <w:rPr>
          <w:rFonts w:hint="eastAsia"/>
          <w:color w:val="000000" w:themeColor="text1"/>
          <w:highlight w:val="none"/>
          <w14:textFill>
            <w14:solidFill>
              <w14:schemeClr w14:val="tx1"/>
            </w14:solidFill>
          </w14:textFill>
        </w:rPr>
        <w:t>，文件批复项目估算总投资为18</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223.08万元，其中工程费13</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442.40万元，工程建设其他费用3</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227.08万元，预备费1</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333.56万元，建设单位管理费220.03万元。</w:t>
      </w:r>
    </w:p>
    <w:p>
      <w:pPr>
        <w:pStyle w:val="3"/>
        <w:ind w:firstLine="64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2、2024年11月22日，本项目A段取得海口江东新区管理局</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关于同意海口江东新区排水设施完善工程（一期）A段初步设计及概算的复函</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海江东审〔2024</w:t>
      </w:r>
      <w:r>
        <w:rPr>
          <w:rFonts w:hint="eastAsia"/>
          <w:highlight w:val="none"/>
        </w:rPr>
        <w:t>〕</w:t>
      </w:r>
      <w:r>
        <w:rPr>
          <w:rFonts w:hint="eastAsia"/>
          <w:color w:val="000000" w:themeColor="text1"/>
          <w:highlight w:val="none"/>
          <w14:textFill>
            <w14:solidFill>
              <w14:schemeClr w14:val="tx1"/>
            </w14:solidFill>
          </w14:textFill>
        </w:rPr>
        <w:t>121号</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文件批复项目概算总投资为8</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153.93万元，其中工程费6</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495.98万元，工程建设其它费用1</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158.62万元，预备费382.73万元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建设单位管理费116.60万元。</w:t>
      </w:r>
    </w:p>
    <w:p>
      <w:pPr>
        <w:pStyle w:val="3"/>
        <w:ind w:firstLine="64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3、2025年5月26日，本项目B段取得海口江东新区管理局《关于同意海口江东新区排水设施完善工程（一期）B段初步设计及概算的复函》（海江东审〔2025</w:t>
      </w:r>
      <w:r>
        <w:rPr>
          <w:rFonts w:hint="eastAsia"/>
          <w:highlight w:val="none"/>
        </w:rPr>
        <w:t>〕</w:t>
      </w:r>
      <w:r>
        <w:rPr>
          <w:rFonts w:hint="eastAsia"/>
          <w:color w:val="000000" w:themeColor="text1"/>
          <w:highlight w:val="none"/>
          <w:lang w:val="en-US" w:eastAsia="zh-CN"/>
          <w14:textFill>
            <w14:solidFill>
              <w14:schemeClr w14:val="tx1"/>
            </w14:solidFill>
          </w14:textFill>
        </w:rPr>
        <w:t>56号），</w:t>
      </w:r>
      <w:r>
        <w:rPr>
          <w:rFonts w:hint="eastAsia"/>
          <w:color w:val="000000" w:themeColor="text1"/>
          <w:highlight w:val="none"/>
          <w14:textFill>
            <w14:solidFill>
              <w14:schemeClr w14:val="tx1"/>
            </w14:solidFill>
          </w14:textFill>
        </w:rPr>
        <w:t>文件批复项目概算总投资为8</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830.50万元，其中工程费6</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943.61万元，工程建设其它费用1</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342.45万元，预备费420.13 万元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建设单位管理费124.31万元</w:t>
      </w:r>
      <w:r>
        <w:rPr>
          <w:rFonts w:hint="eastAsia"/>
          <w:color w:val="000000" w:themeColor="text1"/>
          <w:highlight w:val="none"/>
          <w:lang w:eastAsia="zh-CN"/>
          <w14:textFill>
            <w14:solidFill>
              <w14:schemeClr w14:val="tx1"/>
            </w14:solidFill>
          </w14:textFill>
        </w:rPr>
        <w:t>。</w:t>
      </w:r>
    </w:p>
    <w:bookmarkEnd w:id="25"/>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（四）项目规模与主要建设内容</w:t>
      </w:r>
    </w:p>
    <w:p>
      <w:pPr>
        <w:pStyle w:val="3"/>
        <w:ind w:firstLine="64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本项目建设内容主要包括</w:t>
      </w:r>
      <w:r>
        <w:rPr>
          <w:rFonts w:hint="eastAsia"/>
          <w:color w:val="000000" w:themeColor="text1"/>
          <w:highlight w:val="none"/>
          <w:lang w:eastAsia="zh-CN"/>
          <w14:textFill>
            <w14:solidFill>
              <w14:schemeClr w14:val="tx1"/>
            </w14:solidFill>
          </w14:textFill>
        </w:rPr>
        <w:t>：</w:t>
      </w:r>
    </w:p>
    <w:p>
      <w:pPr>
        <w:pStyle w:val="3"/>
        <w:ind w:firstLine="64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海口江东新区排水设施完善工程（一期）A段：本工程建设内容主要包括江东新区水质净化中心系统提质增效“一厂一策”工程（东营西路的文营西三路以西段、东营环路、淘沙路、琼山大道的江东大道以北段、东祥路、文营路、文营西三路、东营一横路、东营东路、东营西一路、东营东一路、江东大道一期的淘沙路以西段）、江东大道二期（林海三路以西段）污水系统完善工程、美灵南三路积水点改造工程。</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海口江东新区排水设施完善工程（一期）B段：本工程主要建设内容及规模</w:t>
      </w:r>
      <w:r>
        <w:rPr>
          <w:rFonts w:hint="eastAsia" w:eastAsia="仿宋_GB2312" w:cstheme="minorBidi"/>
          <w:color w:val="000000" w:themeColor="text1"/>
          <w:kern w:val="2"/>
          <w:sz w:val="32"/>
          <w:szCs w:val="22"/>
          <w:highlight w:val="none"/>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（1）13条市政路的排水管道修复及混错接点改造；（2）排污户污水驳接改造；（3）机场西侧3处积水点新建雨水临时连接管；（4）江东大道一期（文营路至琼山大道段）新建污水主管。</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（一）13条市政路的排水管道修复及混错接点改造</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1.管道修复：污水主要包括管道清淤约2km、混凝土固结物清除约100m³、管堵拆除、点状原位固化修复306环、紫外光原位固化修复910m、碎管法新建管道约1.6km、管道开挖翻排约1km等。雨水主要包括管道清淤约590m、点状原位固化修复10环、不锈钢双胀环修复2环等。</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2.错接点改造：本次共改造3处错接点，管径为 d200~d300。</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3</w:t>
      </w:r>
      <w:r>
        <w:rPr>
          <w:rFonts w:hint="eastAsia" w:eastAsia="仿宋_GB2312" w:cstheme="minorBidi"/>
          <w:color w:val="000000" w:themeColor="text1"/>
          <w:kern w:val="2"/>
          <w:sz w:val="32"/>
          <w:szCs w:val="22"/>
          <w:highlight w:val="none"/>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在线水质水量检测：本次在污水主管关键井位设置在线水质水量检测设备18处。</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（二）排污户污水驳接改造</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本次共进行排污户污水驳接改造，新建DN300~DN400雨水管约100m，新建 DN400污水管约180m。</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（三）机场西侧3处积水点改造</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本次于机场西侧3处积水点处新建雨水临时连接管，主要包括新建 d1000~d2000雨水管道约590m。</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（四）江东大道（文营路至琼山大道段）新建污水主管</w:t>
      </w:r>
    </w:p>
    <w:p>
      <w:pPr>
        <w:ind w:firstLine="640" w:firstLineChars="200"/>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2"/>
          <w:highlight w:val="none"/>
          <w:lang w:val="en-US" w:eastAsia="zh-CN" w:bidi="ar-SA"/>
          <w14:textFill>
            <w14:solidFill>
              <w14:schemeClr w14:val="tx1"/>
            </w14:solidFill>
          </w14:textFill>
        </w:rPr>
        <w:t>本次与江东大道一期（文营路至琼山大道段）道路南侧非机动车道和机动车道下新建DN400~DN800污水主管，长度约1.7km。</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（五）</w:t>
      </w:r>
      <w:bookmarkStart w:id="29" w:name="_Hlk121820053"/>
      <w:r>
        <w:rPr>
          <w:rFonts w:hint="eastAsia"/>
          <w:color w:val="000000" w:themeColor="text1"/>
          <w:highlight w:val="none"/>
          <w14:textFill>
            <w14:solidFill>
              <w14:schemeClr w14:val="tx1"/>
            </w14:solidFill>
          </w14:textFill>
        </w:rPr>
        <w:t>项目建设期限</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本项目预计工期为2024年12月30日至2026年12月30日。</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（六）项目进度</w:t>
      </w:r>
    </w:p>
    <w:p>
      <w:pPr>
        <w:pStyle w:val="3"/>
        <w:ind w:firstLine="64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本项目</w:t>
      </w:r>
      <w:r>
        <w:rPr>
          <w:rFonts w:hint="eastAsia"/>
          <w:color w:val="000000" w:themeColor="text1"/>
          <w:highlight w:val="none"/>
          <w14:textFill>
            <w14:solidFill>
              <w14:schemeClr w14:val="tx1"/>
            </w14:solidFill>
          </w14:textFill>
        </w:rPr>
        <w:t>整体形象</w:t>
      </w:r>
      <w:r>
        <w:rPr>
          <w:rFonts w:hint="eastAsia"/>
          <w:color w:val="000000" w:themeColor="text1"/>
          <w:highlight w:val="none"/>
          <w:lang w:val="en-US" w:eastAsia="zh-CN"/>
          <w14:textFill>
            <w14:solidFill>
              <w14:schemeClr w14:val="tx1"/>
            </w14:solidFill>
          </w14:textFill>
        </w:rPr>
        <w:t>进度20</w:t>
      </w:r>
      <w:r>
        <w:rPr>
          <w:rFonts w:hint="eastAsia"/>
          <w:color w:val="000000" w:themeColor="text1"/>
          <w:highlight w:val="none"/>
          <w14:textFill>
            <w14:solidFill>
              <w14:schemeClr w14:val="tx1"/>
            </w14:solidFill>
          </w14:textFill>
        </w:rPr>
        <w:t>%。</w:t>
      </w:r>
    </w:p>
    <w:bookmarkEnd w:id="29"/>
    <w:p>
      <w:pPr>
        <w:pStyle w:val="2"/>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三、平衡方案</w:t>
      </w:r>
    </w:p>
    <w:p>
      <w:pPr>
        <w:pStyle w:val="3"/>
        <w:spacing w:before="156" w:beforeLines="50" w:after="156" w:afterLines="50"/>
        <w:ind w:firstLine="640"/>
        <w:rPr>
          <w:rFonts w:ascii="楷体" w:hAnsi="楷体" w:eastAsia="楷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（一）项目投资估算及资金筹措方案</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1、编制依据</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（1）上海市政工程设计研究总院（集团）有限公司出具的《海口江东新区排水设施完善工程（一期）可行性研究报告》；</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（2）《市政工程投资估算编制办法》（建标[2007]164号文）；</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（3）住房和城乡建设部文件《市政公用工程设计文件编制深度规定》（2013 年版）（修订版）建质[2013]57号；</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（4）定额依据</w:t>
      </w:r>
    </w:p>
    <w:p>
      <w:pPr>
        <w:pStyle w:val="3"/>
        <w:ind w:firstLine="960" w:firstLineChars="3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①《海南省市政工程概算定额》（2023）；</w:t>
      </w:r>
    </w:p>
    <w:p>
      <w:pPr>
        <w:pStyle w:val="3"/>
        <w:ind w:firstLine="960" w:firstLineChars="3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②《海南省房屋建筑与装饰工程概算定额》（2023）；</w:t>
      </w:r>
    </w:p>
    <w:p>
      <w:pPr>
        <w:pStyle w:val="3"/>
        <w:ind w:firstLine="960" w:firstLineChars="3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③《海南省安装工程概算定额》（2023）；</w:t>
      </w:r>
    </w:p>
    <w:p>
      <w:pPr>
        <w:pStyle w:val="3"/>
        <w:ind w:firstLine="960" w:firstLineChars="3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④《海南省建设工程施工机械台班单价》（2023）；</w:t>
      </w:r>
    </w:p>
    <w:p>
      <w:pPr>
        <w:pStyle w:val="3"/>
        <w:ind w:firstLine="960" w:firstLineChars="3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⑤《海南省园林绿化工程概算定额》（2023）；</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（5）材料价格采用《海南工程造价信息》（2024年第2 期）；</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（6）人工价格采用琼建规[2022]3号、琼建标定函[2021]14 号；</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（7）类似工程技术经济资料。 </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2、资金筹措方案</w:t>
      </w:r>
    </w:p>
    <w:p>
      <w:pPr>
        <w:pStyle w:val="3"/>
        <w:ind w:firstLine="640"/>
        <w:rPr>
          <w:rFonts w:hint="eastAsia"/>
          <w:color w:val="000000" w:themeColor="text1"/>
          <w:highlight w:val="none"/>
          <w:lang w:eastAsia="zh-CN"/>
          <w14:textFill>
            <w14:solidFill>
              <w14:schemeClr w14:val="tx1"/>
            </w14:solidFill>
          </w14:textFill>
        </w:rPr>
      </w:pPr>
      <w:bookmarkStart w:id="30" w:name="_Hlk24098697"/>
      <w:r>
        <w:rPr>
          <w:rFonts w:hint="eastAsia"/>
          <w:color w:val="000000" w:themeColor="text1"/>
          <w:highlight w:val="none"/>
          <w14:textFill>
            <w14:solidFill>
              <w14:schemeClr w14:val="tx1"/>
            </w14:solidFill>
          </w14:textFill>
        </w:rPr>
        <w:t>本项目估算总投资16,984.43万元，其中：项目单位资本金</w:t>
      </w:r>
      <w:r>
        <w:rPr>
          <w:rFonts w:hint="eastAsia"/>
          <w:color w:val="000000" w:themeColor="text1"/>
          <w:highlight w:val="none"/>
          <w:lang w:val="en-US" w:eastAsia="zh-CN"/>
          <w14:textFill>
            <w14:solidFill>
              <w14:schemeClr w14:val="tx1"/>
            </w14:solidFill>
          </w14:textFill>
        </w:rPr>
        <w:t>15,984.43</w:t>
      </w:r>
      <w:r>
        <w:rPr>
          <w:rFonts w:hint="eastAsia"/>
          <w:color w:val="000000" w:themeColor="text1"/>
          <w:highlight w:val="none"/>
          <w14:textFill>
            <w14:solidFill>
              <w14:schemeClr w14:val="tx1"/>
            </w14:solidFill>
          </w14:textFill>
        </w:rPr>
        <w:t>万元（由政府通过财政资金统筹安排），</w:t>
      </w:r>
      <w:r>
        <w:rPr>
          <w:rFonts w:hint="eastAsia"/>
          <w:highlight w:val="none"/>
        </w:rPr>
        <w:t>本次拟</w:t>
      </w:r>
      <w:r>
        <w:rPr>
          <w:rFonts w:hint="eastAsia"/>
          <w:highlight w:val="none"/>
          <w:lang w:val="en-US" w:eastAsia="zh-CN"/>
        </w:rPr>
        <w:t>发行</w:t>
      </w:r>
      <w:r>
        <w:rPr>
          <w:rFonts w:hint="eastAsia"/>
          <w:highlight w:val="none"/>
        </w:rPr>
        <w:t>专项债券</w:t>
      </w:r>
      <w:r>
        <w:rPr>
          <w:rFonts w:hint="eastAsia"/>
          <w:highlight w:val="none"/>
          <w:lang w:val="en-US" w:eastAsia="zh-CN"/>
        </w:rPr>
        <w:t>1</w:t>
      </w:r>
      <w:r>
        <w:rPr>
          <w:rFonts w:hint="eastAsia"/>
          <w:color w:val="000000" w:themeColor="text1"/>
          <w:highlight w:val="none"/>
          <w14:textFill>
            <w14:solidFill>
              <w14:schemeClr w14:val="tx1"/>
            </w14:solidFill>
          </w14:textFill>
        </w:rPr>
        <w:t>,000.00万元</w:t>
      </w:r>
      <w:r>
        <w:rPr>
          <w:rFonts w:hint="eastAsia"/>
          <w:color w:val="000000" w:themeColor="text1"/>
          <w:highlight w:val="none"/>
          <w:lang w:eastAsia="zh-CN"/>
          <w14:textFill>
            <w14:solidFill>
              <w14:schemeClr w14:val="tx1"/>
            </w14:solidFill>
          </w14:textFill>
        </w:rPr>
        <w:t>。</w:t>
      </w:r>
    </w:p>
    <w:p>
      <w:pPr>
        <w:pStyle w:val="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项目资金来源情况</w:t>
      </w:r>
    </w:p>
    <w:tbl>
      <w:tblPr>
        <w:tblStyle w:val="18"/>
        <w:tblpPr w:leftFromText="180" w:rightFromText="180" w:vertAnchor="text" w:horzAnchor="margin" w:tblpXSpec="center" w:tblpY="5"/>
        <w:tblW w:w="7879" w:type="dxa"/>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962"/>
        <w:gridCol w:w="1527"/>
        <w:gridCol w:w="1390"/>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tcBorders>
              <w:top w:val="single" w:color="auto" w:sz="12" w:space="0"/>
              <w:bottom w:val="single" w:color="auto" w:sz="8" w:space="0"/>
            </w:tcBorders>
            <w:shd w:val="clear" w:color="auto" w:fill="auto"/>
            <w:vAlign w:val="center"/>
          </w:tcPr>
          <w:p>
            <w:pPr>
              <w:widowControl/>
              <w:jc w:val="center"/>
              <w:rPr>
                <w:rFonts w:ascii="黑体" w:hAnsi="黑体" w:eastAsia="黑体" w:cs="仿宋_GB2312"/>
                <w:color w:val="000000" w:themeColor="text1"/>
                <w:kern w:val="0"/>
                <w:szCs w:val="21"/>
                <w14:textFill>
                  <w14:solidFill>
                    <w14:schemeClr w14:val="tx1"/>
                  </w14:solidFill>
                </w14:textFill>
              </w:rPr>
            </w:pPr>
            <w:r>
              <w:rPr>
                <w:rFonts w:hint="eastAsia" w:ascii="黑体" w:hAnsi="黑体" w:eastAsia="黑体" w:cs="仿宋_GB2312"/>
                <w:color w:val="000000" w:themeColor="text1"/>
                <w:kern w:val="0"/>
                <w:szCs w:val="21"/>
                <w14:textFill>
                  <w14:solidFill>
                    <w14:schemeClr w14:val="tx1"/>
                  </w14:solidFill>
                </w14:textFill>
              </w:rPr>
              <w:t>资金来源</w:t>
            </w:r>
          </w:p>
        </w:tc>
        <w:tc>
          <w:tcPr>
            <w:tcW w:w="1527" w:type="dxa"/>
            <w:tcBorders>
              <w:top w:val="single" w:color="auto" w:sz="12" w:space="0"/>
              <w:bottom w:val="single" w:color="auto" w:sz="8" w:space="0"/>
            </w:tcBorders>
            <w:shd w:val="clear" w:color="auto" w:fill="auto"/>
            <w:vAlign w:val="center"/>
          </w:tcPr>
          <w:p>
            <w:pPr>
              <w:widowControl/>
              <w:jc w:val="center"/>
              <w:rPr>
                <w:rFonts w:ascii="黑体" w:hAnsi="黑体" w:eastAsia="黑体" w:cs="仿宋_GB2312"/>
                <w:color w:val="000000" w:themeColor="text1"/>
                <w:kern w:val="0"/>
                <w:szCs w:val="21"/>
                <w14:textFill>
                  <w14:solidFill>
                    <w14:schemeClr w14:val="tx1"/>
                  </w14:solidFill>
                </w14:textFill>
              </w:rPr>
            </w:pPr>
            <w:r>
              <w:rPr>
                <w:rFonts w:hint="eastAsia" w:ascii="黑体" w:hAnsi="黑体" w:eastAsia="黑体" w:cs="仿宋_GB2312"/>
                <w:color w:val="000000" w:themeColor="text1"/>
                <w:kern w:val="0"/>
                <w:szCs w:val="21"/>
                <w14:textFill>
                  <w14:solidFill>
                    <w14:schemeClr w14:val="tx1"/>
                  </w14:solidFill>
                </w14:textFill>
              </w:rPr>
              <w:t>金额（万元）</w:t>
            </w:r>
          </w:p>
        </w:tc>
        <w:tc>
          <w:tcPr>
            <w:tcW w:w="1390" w:type="dxa"/>
            <w:tcBorders>
              <w:top w:val="single" w:color="auto" w:sz="12" w:space="0"/>
              <w:bottom w:val="single" w:color="auto" w:sz="8" w:space="0"/>
            </w:tcBorders>
            <w:shd w:val="clear" w:color="auto" w:fill="auto"/>
            <w:vAlign w:val="center"/>
          </w:tcPr>
          <w:p>
            <w:pPr>
              <w:widowControl/>
              <w:jc w:val="center"/>
              <w:rPr>
                <w:rFonts w:ascii="黑体" w:hAnsi="黑体" w:eastAsia="黑体" w:cs="仿宋_GB2312"/>
                <w:color w:val="000000" w:themeColor="text1"/>
                <w:kern w:val="0"/>
                <w:szCs w:val="21"/>
                <w14:textFill>
                  <w14:solidFill>
                    <w14:schemeClr w14:val="tx1"/>
                  </w14:solidFill>
                </w14:textFill>
              </w:rPr>
            </w:pPr>
            <w:r>
              <w:rPr>
                <w:rFonts w:hint="eastAsia" w:ascii="黑体" w:hAnsi="黑体" w:eastAsia="黑体" w:cs="仿宋_GB2312"/>
                <w:color w:val="000000" w:themeColor="text1"/>
                <w:kern w:val="0"/>
                <w:szCs w:val="21"/>
                <w14:textFill>
                  <w14:solidFill>
                    <w14:schemeClr w14:val="tx1"/>
                  </w14:solidFill>
                </w14:textFill>
              </w:rPr>
              <w:t>占比</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tcBorders>
              <w:top w:val="single" w:color="auto" w:sz="8" w:space="0"/>
            </w:tcBorders>
            <w:shd w:val="clear" w:color="auto" w:fill="auto"/>
            <w:vAlign w:val="center"/>
          </w:tcPr>
          <w:p>
            <w:pPr>
              <w:widowControl/>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一、资本金</w:t>
            </w:r>
          </w:p>
        </w:tc>
        <w:tc>
          <w:tcPr>
            <w:tcW w:w="1527" w:type="dxa"/>
            <w:tcBorders>
              <w:top w:val="single" w:color="auto" w:sz="8" w:space="0"/>
            </w:tcBorders>
            <w:shd w:val="clear" w:color="auto" w:fill="auto"/>
            <w:vAlign w:val="center"/>
          </w:tcPr>
          <w:p>
            <w:pPr>
              <w:keepNext w:val="0"/>
              <w:keepLines w:val="0"/>
              <w:widowControl/>
              <w:suppressLineNumbers w:val="0"/>
              <w:jc w:val="right"/>
              <w:textAlignment w:val="center"/>
              <w:rPr>
                <w:color w:val="000000" w:themeColor="text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15,984.43</w:t>
            </w:r>
          </w:p>
        </w:tc>
        <w:tc>
          <w:tcPr>
            <w:tcW w:w="1390" w:type="dxa"/>
            <w:tcBorders>
              <w:top w:val="single" w:color="auto" w:sz="8" w:space="0"/>
            </w:tcBorders>
            <w:shd w:val="clear" w:color="auto" w:fill="auto"/>
            <w:vAlign w:val="center"/>
          </w:tcPr>
          <w:p>
            <w:pPr>
              <w:keepNext w:val="0"/>
              <w:keepLines w:val="0"/>
              <w:widowControl/>
              <w:suppressLineNumbers w:val="0"/>
              <w:jc w:val="right"/>
              <w:textAlignment w:val="center"/>
              <w:rPr>
                <w:color w:val="000000" w:themeColor="text1"/>
                <w:kern w:val="0"/>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94.11%</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shd w:val="clear" w:color="auto" w:fill="auto"/>
            <w:vAlign w:val="center"/>
          </w:tcPr>
          <w:p>
            <w:pPr>
              <w:widowControl/>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二、专项债券</w:t>
            </w:r>
          </w:p>
        </w:tc>
        <w:tc>
          <w:tcPr>
            <w:tcW w:w="1527" w:type="dxa"/>
            <w:shd w:val="clear" w:color="auto" w:fill="auto"/>
            <w:vAlign w:val="center"/>
          </w:tcPr>
          <w:p>
            <w:pPr>
              <w:keepNext w:val="0"/>
              <w:keepLines w:val="0"/>
              <w:widowControl/>
              <w:suppressLineNumbers w:val="0"/>
              <w:jc w:val="right"/>
              <w:textAlignment w:val="center"/>
              <w:rPr>
                <w:color w:val="000000" w:themeColor="text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1,000.00</w:t>
            </w:r>
          </w:p>
        </w:tc>
        <w:tc>
          <w:tcPr>
            <w:tcW w:w="1390" w:type="dxa"/>
            <w:shd w:val="clear" w:color="auto" w:fill="auto"/>
            <w:vAlign w:val="center"/>
          </w:tcPr>
          <w:p>
            <w:pPr>
              <w:keepNext w:val="0"/>
              <w:keepLines w:val="0"/>
              <w:widowControl/>
              <w:suppressLineNumbers w:val="0"/>
              <w:jc w:val="right"/>
              <w:textAlignment w:val="center"/>
              <w:rPr>
                <w:color w:val="000000" w:themeColor="text1"/>
                <w:kern w:val="0"/>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5.89%</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shd w:val="clear" w:color="auto" w:fill="auto"/>
            <w:vAlign w:val="center"/>
          </w:tcPr>
          <w:p>
            <w:pPr>
              <w:widowControl/>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（一）</w:t>
            </w:r>
            <w:r>
              <w:rPr>
                <w:rFonts w:hint="eastAsia" w:ascii="宋体" w:hAnsi="宋体" w:cs="仿宋_GB2312"/>
                <w:color w:val="000000" w:themeColor="text1"/>
                <w:kern w:val="0"/>
                <w:szCs w:val="21"/>
                <w:lang w:val="en-US" w:eastAsia="zh-CN"/>
                <w14:textFill>
                  <w14:solidFill>
                    <w14:schemeClr w14:val="tx1"/>
                  </w14:solidFill>
                </w14:textFill>
              </w:rPr>
              <w:t>前期</w:t>
            </w:r>
            <w:r>
              <w:rPr>
                <w:rFonts w:hint="eastAsia" w:ascii="宋体" w:hAnsi="宋体" w:cs="仿宋_GB2312"/>
                <w:color w:val="000000" w:themeColor="text1"/>
                <w:kern w:val="0"/>
                <w:szCs w:val="21"/>
                <w14:textFill>
                  <w14:solidFill>
                    <w14:schemeClr w14:val="tx1"/>
                  </w14:solidFill>
                </w14:textFill>
              </w:rPr>
              <w:t>发行专项债券</w:t>
            </w:r>
          </w:p>
        </w:tc>
        <w:tc>
          <w:tcPr>
            <w:tcW w:w="1527" w:type="dxa"/>
            <w:shd w:val="clear" w:color="auto" w:fill="auto"/>
            <w:vAlign w:val="center"/>
          </w:tcPr>
          <w:p>
            <w:pPr>
              <w:jc w:val="right"/>
              <w:rPr>
                <w:color w:val="000000" w:themeColor="text1"/>
                <w:szCs w:val="21"/>
                <w:highlight w:val="green"/>
                <w14:textFill>
                  <w14:solidFill>
                    <w14:schemeClr w14:val="tx1"/>
                  </w14:solidFill>
                </w14:textFill>
              </w:rPr>
            </w:pPr>
          </w:p>
        </w:tc>
        <w:tc>
          <w:tcPr>
            <w:tcW w:w="1390" w:type="dxa"/>
            <w:shd w:val="clear" w:color="auto" w:fill="auto"/>
            <w:vAlign w:val="center"/>
          </w:tcPr>
          <w:p>
            <w:pPr>
              <w:jc w:val="right"/>
              <w:rPr>
                <w:color w:val="000000" w:themeColor="text1"/>
                <w:kern w:val="0"/>
                <w:szCs w:val="21"/>
                <w:highlight w:val="green"/>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shd w:val="clear" w:color="auto" w:fill="auto"/>
            <w:vAlign w:val="center"/>
          </w:tcPr>
          <w:p>
            <w:pPr>
              <w:widowControl/>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（二）本次拟发行专项债券</w:t>
            </w:r>
          </w:p>
        </w:tc>
        <w:tc>
          <w:tcPr>
            <w:tcW w:w="1527" w:type="dxa"/>
            <w:shd w:val="clear" w:color="auto" w:fill="auto"/>
            <w:vAlign w:val="center"/>
          </w:tcPr>
          <w:p>
            <w:pPr>
              <w:keepNext w:val="0"/>
              <w:keepLines w:val="0"/>
              <w:widowControl/>
              <w:suppressLineNumbers w:val="0"/>
              <w:jc w:val="right"/>
              <w:textAlignment w:val="center"/>
              <w:rPr>
                <w:color w:val="000000" w:themeColor="text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1,000.00</w:t>
            </w:r>
          </w:p>
        </w:tc>
        <w:tc>
          <w:tcPr>
            <w:tcW w:w="1390" w:type="dxa"/>
            <w:shd w:val="clear" w:color="auto" w:fill="auto"/>
            <w:vAlign w:val="center"/>
          </w:tcPr>
          <w:p>
            <w:pPr>
              <w:keepNext w:val="0"/>
              <w:keepLines w:val="0"/>
              <w:widowControl/>
              <w:suppressLineNumbers w:val="0"/>
              <w:jc w:val="right"/>
              <w:textAlignment w:val="center"/>
              <w:rPr>
                <w:color w:val="000000" w:themeColor="text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5.89%</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962" w:type="dxa"/>
            <w:shd w:val="clear" w:color="auto" w:fill="auto"/>
            <w:vAlign w:val="center"/>
          </w:tcPr>
          <w:p>
            <w:pPr>
              <w:widowControl/>
              <w:ind w:firstLine="420" w:firstLineChars="200"/>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（三）后续拟发行专项债券</w:t>
            </w:r>
          </w:p>
        </w:tc>
        <w:tc>
          <w:tcPr>
            <w:tcW w:w="1527" w:type="dxa"/>
            <w:shd w:val="clear" w:color="auto" w:fill="auto"/>
            <w:vAlign w:val="center"/>
          </w:tcPr>
          <w:p>
            <w:pPr>
              <w:jc w:val="right"/>
              <w:rPr>
                <w:color w:val="000000" w:themeColor="text1"/>
                <w:szCs w:val="21"/>
                <w:highlight w:val="green"/>
                <w14:textFill>
                  <w14:solidFill>
                    <w14:schemeClr w14:val="tx1"/>
                  </w14:solidFill>
                </w14:textFill>
              </w:rPr>
            </w:pPr>
          </w:p>
        </w:tc>
        <w:tc>
          <w:tcPr>
            <w:tcW w:w="1390" w:type="dxa"/>
            <w:shd w:val="clear" w:color="auto" w:fill="auto"/>
            <w:vAlign w:val="center"/>
          </w:tcPr>
          <w:p>
            <w:pPr>
              <w:jc w:val="right"/>
              <w:rPr>
                <w:color w:val="000000" w:themeColor="text1"/>
                <w:kern w:val="0"/>
                <w:szCs w:val="21"/>
                <w:highlight w:val="green"/>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exact"/>
        </w:trPr>
        <w:tc>
          <w:tcPr>
            <w:tcW w:w="4962" w:type="dxa"/>
            <w:tcBorders>
              <w:bottom w:val="single" w:color="auto" w:sz="12" w:space="0"/>
            </w:tcBorders>
            <w:shd w:val="clear" w:color="auto" w:fill="auto"/>
            <w:vAlign w:val="center"/>
          </w:tcPr>
          <w:p>
            <w:pPr>
              <w:widowControl/>
              <w:jc w:val="left"/>
              <w:rPr>
                <w:rFonts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三、合计</w:t>
            </w:r>
          </w:p>
        </w:tc>
        <w:tc>
          <w:tcPr>
            <w:tcW w:w="1527" w:type="dxa"/>
            <w:tcBorders>
              <w:bottom w:val="single" w:color="auto" w:sz="12" w:space="0"/>
            </w:tcBorders>
            <w:shd w:val="clear" w:color="auto" w:fill="auto"/>
            <w:vAlign w:val="center"/>
          </w:tcPr>
          <w:p>
            <w:pPr>
              <w:keepNext w:val="0"/>
              <w:keepLines w:val="0"/>
              <w:widowControl/>
              <w:suppressLineNumbers w:val="0"/>
              <w:jc w:val="right"/>
              <w:textAlignment w:val="center"/>
              <w:rPr>
                <w:color w:val="000000" w:themeColor="text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16,984.43</w:t>
            </w:r>
          </w:p>
        </w:tc>
        <w:tc>
          <w:tcPr>
            <w:tcW w:w="1390" w:type="dxa"/>
            <w:tcBorders>
              <w:bottom w:val="single" w:color="auto" w:sz="12" w:space="0"/>
            </w:tcBorders>
            <w:shd w:val="clear" w:color="auto" w:fill="auto"/>
            <w:vAlign w:val="center"/>
          </w:tcPr>
          <w:p>
            <w:pPr>
              <w:keepNext w:val="0"/>
              <w:keepLines w:val="0"/>
              <w:widowControl/>
              <w:suppressLineNumbers w:val="0"/>
              <w:jc w:val="right"/>
              <w:textAlignment w:val="center"/>
              <w:rPr>
                <w:color w:val="000000" w:themeColor="text1"/>
                <w:kern w:val="0"/>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100.00%</w:t>
            </w:r>
          </w:p>
        </w:tc>
      </w:tr>
    </w:tbl>
    <w:p>
      <w:pPr>
        <w:pStyle w:val="3"/>
        <w:spacing w:before="156" w:beforeLines="50" w:after="156" w:afterLines="50"/>
        <w:ind w:firstLine="640"/>
        <w:rPr>
          <w:rFonts w:ascii="楷体" w:hAnsi="楷体" w:eastAsia="楷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（二）项目预期现金流入、成本及融资平衡情况</w:t>
      </w:r>
      <w:bookmarkEnd w:id="30"/>
    </w:p>
    <w:p>
      <w:pPr>
        <w:pStyle w:val="3"/>
        <w:ind w:firstLine="640"/>
        <w:rPr>
          <w:color w:val="000000" w:themeColor="text1"/>
          <w:highlight w:val="none"/>
          <w14:textFill>
            <w14:solidFill>
              <w14:schemeClr w14:val="tx1"/>
            </w14:solidFill>
          </w14:textFill>
        </w:rPr>
      </w:pPr>
      <w:bookmarkStart w:id="31" w:name="_Toc23747"/>
      <w:r>
        <w:rPr>
          <w:rFonts w:hint="eastAsia"/>
          <w:color w:val="000000" w:themeColor="text1"/>
          <w:highlight w:val="none"/>
          <w14:textFill>
            <w14:solidFill>
              <w14:schemeClr w14:val="tx1"/>
            </w14:solidFill>
          </w14:textFill>
        </w:rPr>
        <w:t>1、项目现金流入预测</w:t>
      </w:r>
      <w:bookmarkEnd w:id="31"/>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本项目预期产生的现金流入主要来源于江东新区水质净化中心污水处理费收入。</w:t>
      </w:r>
    </w:p>
    <w:p>
      <w:pPr>
        <w:pStyle w:val="3"/>
        <w:ind w:firstLine="640"/>
        <w:rPr>
          <w:rFonts w:hint="default" w:eastAsia="仿宋_GB2312"/>
          <w:highlight w:val="none"/>
          <w:lang w:val="en-US" w:eastAsia="zh-CN"/>
        </w:rPr>
      </w:pPr>
      <w:r>
        <w:rPr>
          <w:rFonts w:hint="eastAsia"/>
          <w:color w:val="000000" w:themeColor="text1"/>
          <w:highlight w:val="none"/>
          <w14:textFill>
            <w14:solidFill>
              <w14:schemeClr w14:val="tx1"/>
            </w14:solidFill>
          </w14:textFill>
        </w:rPr>
        <w:t>根据上海市政工程设计研究总院（集团）有限公司出具的《海口江东新区排水设施完善工程（一期）可行性研究报告》，以及参照本地区同类型项目情况，本项目建成后，江东新区水质净化中心污水收集率由34.9%提升至65%，污水处理量可达15</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000</w:t>
      </w:r>
      <w:r>
        <w:rPr>
          <w:color w:val="000000" w:themeColor="text1"/>
          <w:highlight w:val="none"/>
          <w14:textFill>
            <w14:solidFill>
              <w14:schemeClr w14:val="tx1"/>
            </w14:solidFill>
          </w14:textFill>
        </w:rPr>
        <w:t xml:space="preserve"> m³</w:t>
      </w:r>
      <w:r>
        <w:rPr>
          <w:rFonts w:hint="eastAsia"/>
          <w:color w:val="000000" w:themeColor="text1"/>
          <w:highlight w:val="none"/>
          <w14:textFill>
            <w14:solidFill>
              <w14:schemeClr w14:val="tx1"/>
            </w14:solidFill>
          </w14:textFill>
        </w:rPr>
        <w:t>/天</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根据</w:t>
      </w:r>
      <w:r>
        <w:rPr>
          <w:rFonts w:hint="eastAsia"/>
          <w:color w:val="000000" w:themeColor="text1"/>
          <w:highlight w:val="none"/>
          <w14:textFill>
            <w14:solidFill>
              <w14:schemeClr w14:val="tx1"/>
            </w14:solidFill>
          </w14:textFill>
        </w:rPr>
        <w:t>海口市城镇污水处理费</w:t>
      </w:r>
      <w:r>
        <w:rPr>
          <w:rFonts w:hint="eastAsia"/>
          <w:color w:val="000000" w:themeColor="text1"/>
          <w:highlight w:val="none"/>
          <w:lang w:val="en-US" w:eastAsia="zh-CN"/>
          <w14:textFill>
            <w14:solidFill>
              <w14:schemeClr w14:val="tx1"/>
            </w14:solidFill>
          </w14:textFill>
        </w:rPr>
        <w:t>收费标准，并保持谨慎性原则，污水处理费收入标准</w:t>
      </w:r>
      <w:r>
        <w:rPr>
          <w:rFonts w:hint="eastAsia"/>
          <w:color w:val="000000" w:themeColor="text1"/>
          <w:highlight w:val="none"/>
          <w14:textFill>
            <w14:solidFill>
              <w14:schemeClr w14:val="tx1"/>
            </w14:solidFill>
          </w14:textFill>
        </w:rPr>
        <w:t>按</w:t>
      </w:r>
      <w:r>
        <w:rPr>
          <w:rFonts w:hint="eastAsia"/>
          <w:color w:val="000000" w:themeColor="text1"/>
          <w:highlight w:val="none"/>
          <w:lang w:val="en-US" w:eastAsia="zh-CN"/>
          <w14:textFill>
            <w14:solidFill>
              <w14:schemeClr w14:val="tx1"/>
            </w14:solidFill>
          </w14:textFill>
        </w:rPr>
        <w:t>1.10</w:t>
      </w:r>
      <w:r>
        <w:rPr>
          <w:rFonts w:hint="eastAsia"/>
          <w:color w:val="000000" w:themeColor="text1"/>
          <w:highlight w:val="none"/>
          <w14:textFill>
            <w14:solidFill>
              <w14:schemeClr w14:val="tx1"/>
            </w14:solidFill>
          </w14:textFill>
        </w:rPr>
        <w:t>元/</w:t>
      </w:r>
      <w:r>
        <w:rPr>
          <w:highlight w:val="none"/>
        </w:rPr>
        <w:t xml:space="preserve"> </w:t>
      </w:r>
      <w:r>
        <w:rPr>
          <w:color w:val="000000" w:themeColor="text1"/>
          <w:highlight w:val="none"/>
          <w14:textFill>
            <w14:solidFill>
              <w14:schemeClr w14:val="tx1"/>
            </w14:solidFill>
          </w14:textFill>
        </w:rPr>
        <w:t>m³</w:t>
      </w:r>
      <w:r>
        <w:rPr>
          <w:rFonts w:hint="eastAsia"/>
          <w:color w:val="000000" w:themeColor="text1"/>
          <w:highlight w:val="none"/>
          <w14:textFill>
            <w14:solidFill>
              <w14:schemeClr w14:val="tx1"/>
            </w14:solidFill>
          </w14:textFill>
        </w:rPr>
        <w:t>计算，</w:t>
      </w:r>
      <w:r>
        <w:rPr>
          <w:rFonts w:hint="eastAsia"/>
          <w:color w:val="000000" w:themeColor="text1"/>
          <w:highlight w:val="none"/>
          <w:lang w:val="en-US" w:eastAsia="zh-CN"/>
          <w14:textFill>
            <w14:solidFill>
              <w14:schemeClr w14:val="tx1"/>
            </w14:solidFill>
          </w14:textFill>
        </w:rPr>
        <w:t>每年</w:t>
      </w:r>
      <w:r>
        <w:rPr>
          <w:rFonts w:hint="eastAsia"/>
          <w:highlight w:val="none"/>
          <w:lang w:val="en-US" w:eastAsia="zh-CN"/>
        </w:rPr>
        <w:t>取值40</w:t>
      </w:r>
      <w:r>
        <w:rPr>
          <w:rFonts w:hint="eastAsia"/>
          <w:highlight w:val="none"/>
        </w:rPr>
        <w:t>.</w:t>
      </w:r>
      <w:r>
        <w:rPr>
          <w:highlight w:val="none"/>
        </w:rPr>
        <w:t>00</w:t>
      </w:r>
      <w:r>
        <w:rPr>
          <w:rFonts w:hint="eastAsia"/>
          <w:highlight w:val="none"/>
        </w:rPr>
        <w:t>%预测。</w:t>
      </w:r>
      <w:r>
        <w:rPr>
          <w:rFonts w:hint="eastAsia"/>
          <w:highlight w:val="none"/>
          <w:lang w:val="en-US" w:eastAsia="zh-CN"/>
        </w:rPr>
        <w:t>运营期各年收入预测如下：</w:t>
      </w:r>
    </w:p>
    <w:p>
      <w:pPr>
        <w:pStyle w:val="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运营收入估算表(单位</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万元)</w:t>
      </w:r>
    </w:p>
    <w:tbl>
      <w:tblPr>
        <w:tblStyle w:val="18"/>
        <w:tblpPr w:leftFromText="180" w:rightFromText="180" w:vertAnchor="text" w:horzAnchor="margin" w:tblpXSpec="center" w:tblpY="5"/>
        <w:tblW w:w="8758" w:type="dxa"/>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99"/>
        <w:gridCol w:w="3308"/>
        <w:gridCol w:w="2651"/>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pPr>
            <w:bookmarkStart w:id="32" w:name="_Toc4659"/>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年度</w:t>
            </w:r>
          </w:p>
        </w:tc>
        <w:tc>
          <w:tcPr>
            <w:tcW w:w="3308"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 w:val="21"/>
                <w:szCs w:val="21"/>
                <w14:textFill>
                  <w14:solidFill>
                    <w14:schemeClr w14:val="tx1"/>
                  </w14:solidFill>
                </w14:textFill>
              </w:rPr>
            </w:pPr>
            <w:r>
              <w:rPr>
                <w:rFonts w:hint="default" w:ascii="Times New Roman" w:hAnsi="Times New Roman" w:eastAsia="黑体" w:cs="Times New Roman"/>
                <w:color w:val="000000" w:themeColor="text1"/>
                <w:kern w:val="0"/>
                <w:sz w:val="21"/>
                <w:szCs w:val="21"/>
                <w14:textFill>
                  <w14:solidFill>
                    <w14:schemeClr w14:val="tx1"/>
                  </w14:solidFill>
                </w14:textFill>
              </w:rPr>
              <w:t>污水处理费</w:t>
            </w:r>
          </w:p>
        </w:tc>
        <w:tc>
          <w:tcPr>
            <w:tcW w:w="2651"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合计</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2027年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2028年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2029年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2030年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2031年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2032年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2033年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2034年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2035年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2036年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2037年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2038年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2039年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2040年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2041年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2042年</w:t>
            </w:r>
          </w:p>
        </w:tc>
        <w:tc>
          <w:tcPr>
            <w:tcW w:w="330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2043年</w:t>
            </w:r>
          </w:p>
        </w:tc>
        <w:tc>
          <w:tcPr>
            <w:tcW w:w="330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2044年</w:t>
            </w:r>
          </w:p>
        </w:tc>
        <w:tc>
          <w:tcPr>
            <w:tcW w:w="330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c>
          <w:tcPr>
            <w:tcW w:w="2651"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241.56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 w:val="21"/>
                <w:szCs w:val="21"/>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2045年</w:t>
            </w:r>
          </w:p>
        </w:tc>
        <w:tc>
          <w:tcPr>
            <w:tcW w:w="330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c>
          <w:tcPr>
            <w:tcW w:w="2651"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240.90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bottom w:val="single" w:color="auto" w:sz="12" w:space="0"/>
            </w:tcBorders>
            <w:shd w:val="clear" w:color="auto" w:fill="auto"/>
            <w:vAlign w:val="center"/>
          </w:tcPr>
          <w:p>
            <w:pPr>
              <w:widowControl/>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cs="Times New Roman"/>
                <w:color w:val="000000" w:themeColor="text1"/>
                <w:kern w:val="0"/>
                <w:sz w:val="21"/>
                <w:szCs w:val="21"/>
                <w:lang w:val="en-US" w:eastAsia="zh-CN"/>
                <w14:textFill>
                  <w14:solidFill>
                    <w14:schemeClr w14:val="tx1"/>
                  </w14:solidFill>
                </w14:textFill>
              </w:rPr>
              <w:t>合计</w:t>
            </w:r>
          </w:p>
        </w:tc>
        <w:tc>
          <w:tcPr>
            <w:tcW w:w="3308" w:type="dxa"/>
            <w:tcBorders>
              <w:bottom w:val="single" w:color="auto" w:sz="12"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4,580.40 </w:t>
            </w:r>
          </w:p>
        </w:tc>
        <w:tc>
          <w:tcPr>
            <w:tcW w:w="2651" w:type="dxa"/>
            <w:tcBorders>
              <w:bottom w:val="single" w:color="auto" w:sz="12"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4,580.40 </w:t>
            </w:r>
          </w:p>
        </w:tc>
      </w:tr>
    </w:tbl>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2、项目成本预测</w:t>
      </w:r>
      <w:bookmarkEnd w:id="32"/>
    </w:p>
    <w:p>
      <w:pPr>
        <w:pStyle w:val="3"/>
        <w:ind w:firstLine="64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本项目总成本费用包括：动力费、维修费、利息支出、折旧摊销费等。运营支出是指扣除折旧摊销费、利息支出后的现金流出。年度运营支出预测如下</w:t>
      </w:r>
      <w:r>
        <w:rPr>
          <w:rFonts w:hint="eastAsia"/>
          <w:color w:val="000000" w:themeColor="text1"/>
          <w:highlight w:val="none"/>
          <w:lang w:eastAsia="zh-CN"/>
          <w14:textFill>
            <w14:solidFill>
              <w14:schemeClr w14:val="tx1"/>
            </w14:solidFill>
          </w14:textFill>
        </w:rPr>
        <w:t>：</w:t>
      </w:r>
    </w:p>
    <w:p>
      <w:pPr>
        <w:pStyle w:val="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运营</w:t>
      </w:r>
      <w:r>
        <w:rPr>
          <w:rFonts w:hint="eastAsia"/>
          <w:color w:val="000000" w:themeColor="text1"/>
          <w:highlight w:val="none"/>
          <w:lang w:val="en-US" w:eastAsia="zh-CN"/>
          <w14:textFill>
            <w14:solidFill>
              <w14:schemeClr w14:val="tx1"/>
            </w14:solidFill>
          </w14:textFill>
        </w:rPr>
        <w:t>支出</w:t>
      </w:r>
      <w:r>
        <w:rPr>
          <w:rFonts w:hint="eastAsia"/>
          <w:color w:val="000000" w:themeColor="text1"/>
          <w:highlight w:val="none"/>
          <w14:textFill>
            <w14:solidFill>
              <w14:schemeClr w14:val="tx1"/>
            </w14:solidFill>
          </w14:textFill>
        </w:rPr>
        <w:t>估算表(单位</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万元)</w:t>
      </w:r>
    </w:p>
    <w:tbl>
      <w:tblPr>
        <w:tblStyle w:val="18"/>
        <w:tblpPr w:leftFromText="180" w:rightFromText="180" w:vertAnchor="text" w:horzAnchor="margin" w:tblpXSpec="center" w:tblpY="5"/>
        <w:tblW w:w="9485" w:type="dxa"/>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99"/>
        <w:gridCol w:w="2150"/>
        <w:gridCol w:w="2268"/>
        <w:gridCol w:w="2268"/>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Cs w:val="21"/>
                <w:lang w:val="en-US" w:eastAsia="zh-CN"/>
                <w14:textFill>
                  <w14:solidFill>
                    <w14:schemeClr w14:val="tx1"/>
                  </w14:solidFill>
                </w14:textFill>
              </w:rPr>
              <w:t>年度</w:t>
            </w:r>
          </w:p>
        </w:tc>
        <w:tc>
          <w:tcPr>
            <w:tcW w:w="2150"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Cs w:val="21"/>
                <w:lang w:val="en-US" w:eastAsia="zh-CN"/>
                <w14:textFill>
                  <w14:solidFill>
                    <w14:schemeClr w14:val="tx1"/>
                  </w14:solidFill>
                </w14:textFill>
              </w:rPr>
              <w:t>动力费</w:t>
            </w:r>
          </w:p>
        </w:tc>
        <w:tc>
          <w:tcPr>
            <w:tcW w:w="2268"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Cs w:val="21"/>
                <w:lang w:val="en-US" w:eastAsia="zh-CN"/>
                <w14:textFill>
                  <w14:solidFill>
                    <w14:schemeClr w14:val="tx1"/>
                  </w14:solidFill>
                </w14:textFill>
              </w:rPr>
              <w:t>维修费</w:t>
            </w:r>
          </w:p>
        </w:tc>
        <w:tc>
          <w:tcPr>
            <w:tcW w:w="2268" w:type="dxa"/>
            <w:tcBorders>
              <w:top w:val="single" w:color="auto" w:sz="12" w:space="0"/>
              <w:bottom w:val="single" w:color="auto" w:sz="8" w:space="0"/>
            </w:tcBorders>
            <w:shd w:val="clear" w:color="auto" w:fill="auto"/>
            <w:vAlign w:val="center"/>
          </w:tcPr>
          <w:p>
            <w:pPr>
              <w:widowControl/>
              <w:jc w:val="center"/>
              <w:rPr>
                <w:rFonts w:hint="default" w:ascii="Times New Roman" w:hAnsi="Times New Roman" w:eastAsia="黑体" w:cs="Times New Roman"/>
                <w:color w:val="000000" w:themeColor="text1"/>
                <w:kern w:val="0"/>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Cs w:val="21"/>
                <w:lang w:val="en-US" w:eastAsia="zh-CN"/>
                <w14:textFill>
                  <w14:solidFill>
                    <w14:schemeClr w14:val="tx1"/>
                  </w14:solidFill>
                </w14:textFill>
              </w:rPr>
              <w:t>合计</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2027年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2028年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2029年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2030年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2031年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2032年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2033年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2034年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2035年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2036年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2037年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2038年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2039年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2040年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2041年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top w:val="single" w:color="auto"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2042年</w:t>
            </w:r>
          </w:p>
        </w:tc>
        <w:tc>
          <w:tcPr>
            <w:tcW w:w="2150"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tcBorders>
              <w:top w:val="single" w:color="auto" w:sz="8"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2043年</w:t>
            </w:r>
          </w:p>
        </w:tc>
        <w:tc>
          <w:tcPr>
            <w:tcW w:w="2150"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2044年</w:t>
            </w:r>
          </w:p>
        </w:tc>
        <w:tc>
          <w:tcPr>
            <w:tcW w:w="2150"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shd w:val="clear" w:color="auto" w:fill="auto"/>
            <w:vAlign w:val="center"/>
          </w:tcPr>
          <w:p>
            <w:pPr>
              <w:keepNext w:val="0"/>
              <w:keepLines w:val="0"/>
              <w:widowControl/>
              <w:suppressLineNumbers w:val="0"/>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i w:val="0"/>
                <w:iCs w:val="0"/>
                <w:color w:val="000000"/>
                <w:kern w:val="0"/>
                <w:sz w:val="22"/>
                <w:szCs w:val="22"/>
                <w:u w:val="none"/>
                <w:lang w:val="en-US" w:eastAsia="zh-CN" w:bidi="ar"/>
              </w:rPr>
              <w:t>2045年</w:t>
            </w:r>
          </w:p>
        </w:tc>
        <w:tc>
          <w:tcPr>
            <w:tcW w:w="2150"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0.67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84.92 </w:t>
            </w:r>
          </w:p>
        </w:tc>
        <w:tc>
          <w:tcPr>
            <w:tcW w:w="2268" w:type="dxa"/>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85.59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799" w:type="dxa"/>
            <w:tcBorders>
              <w:bottom w:val="single" w:color="auto" w:sz="12" w:space="0"/>
            </w:tcBorders>
            <w:shd w:val="clear" w:color="auto" w:fill="auto"/>
            <w:vAlign w:val="center"/>
          </w:tcPr>
          <w:p>
            <w:pPr>
              <w:widowControl/>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合计</w:t>
            </w:r>
          </w:p>
        </w:tc>
        <w:tc>
          <w:tcPr>
            <w:tcW w:w="2150" w:type="dxa"/>
            <w:tcBorders>
              <w:bottom w:val="single" w:color="auto" w:sz="12"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12.73 </w:t>
            </w:r>
          </w:p>
        </w:tc>
        <w:tc>
          <w:tcPr>
            <w:tcW w:w="2268" w:type="dxa"/>
            <w:tcBorders>
              <w:bottom w:val="single" w:color="auto" w:sz="12" w:space="0"/>
            </w:tcBorders>
            <w:shd w:val="clear" w:color="auto" w:fill="auto"/>
            <w:vAlign w:val="center"/>
          </w:tcPr>
          <w:p>
            <w:pPr>
              <w:keepNext w:val="0"/>
              <w:keepLines w:val="0"/>
              <w:widowControl/>
              <w:suppressLineNumbers w:val="0"/>
              <w:jc w:val="right"/>
              <w:textAlignment w:val="bottom"/>
              <w:rPr>
                <w:rFonts w:hint="default" w:ascii="Times New Roman" w:hAnsi="Times New Roman" w:cs="Times New Roman"/>
                <w:color w:val="000000" w:themeColor="text1"/>
                <w:kern w:val="0"/>
                <w:sz w:val="21"/>
                <w:szCs w:val="21"/>
                <w:highlight w:val="gree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 1,613.48 </w:t>
            </w:r>
          </w:p>
        </w:tc>
        <w:tc>
          <w:tcPr>
            <w:tcW w:w="2268" w:type="dxa"/>
            <w:tcBorders>
              <w:bottom w:val="single" w:color="auto" w:sz="12" w:space="0"/>
            </w:tcBorders>
            <w:shd w:val="clear" w:color="auto" w:fill="auto"/>
            <w:vAlign w:val="center"/>
          </w:tcPr>
          <w:p>
            <w:pPr>
              <w:keepNext w:val="0"/>
              <w:keepLines w:val="0"/>
              <w:widowControl/>
              <w:suppressLineNumbers w:val="0"/>
              <w:jc w:val="right"/>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1,626.21 </w:t>
            </w:r>
          </w:p>
        </w:tc>
      </w:tr>
    </w:tbl>
    <w:p>
      <w:pPr>
        <w:pStyle w:val="3"/>
        <w:ind w:firstLine="640"/>
        <w:rPr>
          <w:rFonts w:hint="eastAsia"/>
          <w:color w:val="000000" w:themeColor="text1"/>
          <w:highlight w:val="none"/>
          <w14:textFill>
            <w14:solidFill>
              <w14:schemeClr w14:val="tx1"/>
            </w14:solidFill>
          </w14:textFill>
        </w:rPr>
      </w:pPr>
    </w:p>
    <w:p>
      <w:pPr>
        <w:pStyle w:val="3"/>
        <w:ind w:firstLine="64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成本预测方法说明：</w:t>
      </w:r>
    </w:p>
    <w:p>
      <w:pPr>
        <w:pStyle w:val="3"/>
        <w:ind w:firstLine="640"/>
        <w:rPr>
          <w:color w:val="000000" w:themeColor="text1"/>
          <w:highlight w:val="none"/>
          <w14:textFill>
            <w14:solidFill>
              <w14:schemeClr w14:val="tx1"/>
            </w14:solidFill>
          </w14:textFill>
        </w:rPr>
      </w:pPr>
      <w:bookmarkStart w:id="33" w:name="_Toc8183"/>
      <w:r>
        <w:rPr>
          <w:rFonts w:hint="eastAsia"/>
          <w:color w:val="000000" w:themeColor="text1"/>
          <w:highlight w:val="none"/>
          <w14:textFill>
            <w14:solidFill>
              <w14:schemeClr w14:val="tx1"/>
            </w14:solidFill>
          </w14:textFill>
        </w:rPr>
        <w:t>（1）动力费</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参照本地区同类型项目，预计动力费为0.67万元/年。</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）维修费</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按固定资产的0.5%计取，预计维修费 84.92 万元/年。</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（3）折旧摊销费用</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项目建成后预计摊销年限2</w:t>
      </w:r>
      <w:r>
        <w:rPr>
          <w:color w:val="000000" w:themeColor="text1"/>
          <w:highlight w:val="none"/>
          <w14:textFill>
            <w14:solidFill>
              <w14:schemeClr w14:val="tx1"/>
            </w14:solidFill>
          </w14:textFill>
        </w:rPr>
        <w:t>0</w:t>
      </w:r>
      <w:r>
        <w:rPr>
          <w:rFonts w:hint="eastAsia"/>
          <w:color w:val="000000" w:themeColor="text1"/>
          <w:highlight w:val="none"/>
          <w14:textFill>
            <w14:solidFill>
              <w14:schemeClr w14:val="tx1"/>
            </w14:solidFill>
          </w14:textFill>
        </w:rPr>
        <w:t>年，残值率4</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，年折旧额 815.25万元。</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3、应付本息情况</w:t>
      </w:r>
      <w:bookmarkEnd w:id="33"/>
    </w:p>
    <w:p>
      <w:pPr>
        <w:pStyle w:val="3"/>
        <w:ind w:firstLine="640"/>
        <w:rPr>
          <w:rFonts w:hint="eastAsia" w:eastAsia="仿宋_GB2312"/>
          <w:color w:val="000000" w:themeColor="text1"/>
          <w:highlight w:val="none"/>
          <w14:textFill>
            <w14:solidFill>
              <w14:schemeClr w14:val="tx1"/>
            </w14:solidFill>
          </w14:textFill>
        </w:rPr>
      </w:pPr>
      <w:bookmarkStart w:id="34" w:name="_Toc28935659"/>
      <w:bookmarkStart w:id="35" w:name="_Toc39820845"/>
      <w:r>
        <w:rPr>
          <w:rFonts w:hint="eastAsia"/>
          <w:color w:val="000000" w:themeColor="text1"/>
          <w:highlight w:val="none"/>
          <w:lang w:val="en-US" w:eastAsia="zh-CN"/>
          <w14:textFill>
            <w14:solidFill>
              <w14:schemeClr w14:val="tx1"/>
            </w14:solidFill>
          </w14:textFill>
        </w:rPr>
        <w:t>本项目</w:t>
      </w:r>
      <w:r>
        <w:rPr>
          <w:rFonts w:hint="eastAsia"/>
          <w:color w:val="000000" w:themeColor="text1"/>
          <w:highlight w:val="none"/>
          <w14:textFill>
            <w14:solidFill>
              <w14:schemeClr w14:val="tx1"/>
            </w14:solidFill>
          </w14:textFill>
        </w:rPr>
        <w:t>本期拟发行专项债券</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,000.00万元，</w:t>
      </w:r>
      <w:r>
        <w:rPr>
          <w:rFonts w:hint="eastAsia" w:eastAsia="仿宋_GB2312"/>
          <w:color w:val="000000" w:themeColor="text1"/>
          <w:highlight w:val="none"/>
          <w14:textFill>
            <w14:solidFill>
              <w14:schemeClr w14:val="tx1"/>
            </w14:solidFill>
          </w14:textFill>
        </w:rPr>
        <w:t>假设债券期限为20年，利率为3.20%。在债券存续期每</w:t>
      </w:r>
      <w:r>
        <w:rPr>
          <w:rFonts w:hint="eastAsia"/>
          <w:color w:val="000000" w:themeColor="text1"/>
          <w:highlight w:val="none"/>
          <w:lang w:val="en-US" w:eastAsia="zh-CN"/>
          <w14:textFill>
            <w14:solidFill>
              <w14:schemeClr w14:val="tx1"/>
            </w14:solidFill>
          </w14:textFill>
        </w:rPr>
        <w:t>半年</w:t>
      </w:r>
      <w:r>
        <w:rPr>
          <w:rFonts w:hint="eastAsia" w:eastAsia="仿宋_GB2312"/>
          <w:color w:val="000000" w:themeColor="text1"/>
          <w:highlight w:val="none"/>
          <w14:textFill>
            <w14:solidFill>
              <w14:schemeClr w14:val="tx1"/>
            </w14:solidFill>
          </w14:textFill>
        </w:rPr>
        <w:t>支付债券利息，到期一次性偿还本金。专项债券还本付息情况如下。</w:t>
      </w:r>
      <w:bookmarkEnd w:id="34"/>
      <w:bookmarkEnd w:id="35"/>
    </w:p>
    <w:p>
      <w:pPr>
        <w:pStyle w:val="36"/>
        <w:spacing w:before="156" w:beforeLines="50"/>
        <w:rPr>
          <w:rFonts w:hint="eastAsia"/>
          <w:highlight w:val="none"/>
        </w:rPr>
      </w:pPr>
      <w:r>
        <w:rPr>
          <w:rFonts w:hint="eastAsia"/>
          <w:highlight w:val="none"/>
        </w:rPr>
        <w:t>表</w:t>
      </w:r>
      <w:r>
        <w:rPr>
          <w:rFonts w:hint="eastAsia"/>
          <w:highlight w:val="none"/>
          <w:lang w:val="en-US" w:eastAsia="zh-CN"/>
        </w:rPr>
        <w:t xml:space="preserve">5 </w:t>
      </w:r>
      <w:r>
        <w:rPr>
          <w:rFonts w:hint="eastAsia"/>
          <w:highlight w:val="none"/>
        </w:rPr>
        <w:t xml:space="preserve"> 本项目专项债券还本付息情况-</w:t>
      </w:r>
      <w:r>
        <w:rPr>
          <w:rFonts w:hint="eastAsia"/>
          <w:highlight w:val="none"/>
          <w:lang w:val="en-US" w:eastAsia="zh-CN"/>
        </w:rPr>
        <w:t>本次</w:t>
      </w:r>
      <w:r>
        <w:rPr>
          <w:rFonts w:hint="eastAsia"/>
          <w:highlight w:val="none"/>
        </w:rPr>
        <w:t>拟发行</w:t>
      </w:r>
    </w:p>
    <w:p>
      <w:pPr>
        <w:pStyle w:val="36"/>
        <w:jc w:val="right"/>
        <w:rPr>
          <w:rFonts w:ascii="宋体" w:hAnsi="宋体" w:eastAsia="宋体"/>
          <w:sz w:val="18"/>
          <w:szCs w:val="18"/>
          <w:highlight w:val="none"/>
        </w:rPr>
      </w:pPr>
      <w:r>
        <w:rPr>
          <w:rFonts w:hint="eastAsia" w:ascii="黑体" w:hAnsi="黑体" w:eastAsia="黑体"/>
          <w:sz w:val="18"/>
          <w:szCs w:val="18"/>
          <w:highlight w:val="none"/>
        </w:rPr>
        <w:t>单位：万元</w:t>
      </w:r>
    </w:p>
    <w:tbl>
      <w:tblPr>
        <w:tblStyle w:val="18"/>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93"/>
        <w:gridCol w:w="992"/>
        <w:gridCol w:w="1070"/>
        <w:gridCol w:w="1118"/>
        <w:gridCol w:w="961"/>
        <w:gridCol w:w="1046"/>
        <w:gridCol w:w="119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134"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债券存续期</w:t>
            </w:r>
          </w:p>
        </w:tc>
        <w:tc>
          <w:tcPr>
            <w:tcW w:w="993"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期初本金余额</w:t>
            </w:r>
          </w:p>
        </w:tc>
        <w:tc>
          <w:tcPr>
            <w:tcW w:w="992"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本期增加金额</w:t>
            </w:r>
          </w:p>
        </w:tc>
        <w:tc>
          <w:tcPr>
            <w:tcW w:w="1070"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本期偿还金额</w:t>
            </w:r>
          </w:p>
        </w:tc>
        <w:tc>
          <w:tcPr>
            <w:tcW w:w="1118"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期末本金余额</w:t>
            </w:r>
          </w:p>
        </w:tc>
        <w:tc>
          <w:tcPr>
            <w:tcW w:w="961"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融资利率</w:t>
            </w:r>
          </w:p>
        </w:tc>
        <w:tc>
          <w:tcPr>
            <w:tcW w:w="1046"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应付利息</w:t>
            </w:r>
          </w:p>
        </w:tc>
        <w:tc>
          <w:tcPr>
            <w:tcW w:w="1190" w:type="dxa"/>
            <w:shd w:val="clear" w:color="auto" w:fill="auto"/>
            <w:noWrap/>
            <w:vAlign w:val="center"/>
          </w:tcPr>
          <w:p>
            <w:pPr>
              <w:jc w:val="center"/>
              <w:textAlignment w:val="center"/>
              <w:rPr>
                <w:rFonts w:ascii="黑体" w:hAnsi="黑体" w:eastAsia="黑体" w:cs="仿宋_GB2312"/>
                <w:bCs/>
                <w:sz w:val="18"/>
                <w:szCs w:val="18"/>
                <w:highlight w:val="none"/>
              </w:rPr>
            </w:pPr>
            <w:r>
              <w:rPr>
                <w:rFonts w:hint="eastAsia" w:ascii="黑体" w:hAnsi="黑体" w:eastAsia="黑体" w:cs="仿宋_GB2312"/>
                <w:bCs/>
                <w:sz w:val="18"/>
                <w:szCs w:val="18"/>
                <w:highlight w:val="none"/>
              </w:rPr>
              <w:t>还本付息合计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eastAsia" w:ascii="Times New Roman" w:hAnsi="Times New Roman" w:eastAsia="宋体" w:cs="Times New Roman"/>
                <w:i w:val="0"/>
                <w:iCs w:val="0"/>
                <w:color w:val="000000"/>
                <w:kern w:val="0"/>
                <w:sz w:val="21"/>
                <w:szCs w:val="21"/>
                <w:highlight w:val="none"/>
                <w:u w:val="none"/>
                <w:lang w:val="en-US" w:eastAsia="zh-CN" w:bidi="ar"/>
              </w:rPr>
              <w:t>2025年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 </w:t>
            </w:r>
          </w:p>
        </w:tc>
        <w:tc>
          <w:tcPr>
            <w:tcW w:w="992"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1,000.00 </w:t>
            </w:r>
          </w:p>
        </w:tc>
        <w:tc>
          <w:tcPr>
            <w:tcW w:w="1070" w:type="dxa"/>
            <w:shd w:val="clear" w:color="auto" w:fill="auto"/>
            <w:noWrap/>
            <w:vAlign w:val="center"/>
          </w:tcPr>
          <w:p>
            <w:pPr>
              <w:jc w:val="right"/>
              <w:rPr>
                <w:rFonts w:eastAsia="等线"/>
                <w:color w:val="000000"/>
                <w:kern w:val="0"/>
                <w:sz w:val="18"/>
                <w:szCs w:val="18"/>
                <w:highlight w:val="none"/>
              </w:rPr>
            </w:pPr>
          </w:p>
        </w:tc>
        <w:tc>
          <w:tcPr>
            <w:tcW w:w="1118"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highlight w:val="none"/>
              </w:rPr>
            </w:pPr>
          </w:p>
        </w:tc>
        <w:tc>
          <w:tcPr>
            <w:tcW w:w="1190" w:type="dxa"/>
            <w:shd w:val="clear" w:color="auto" w:fill="auto"/>
            <w:noWrap/>
            <w:vAlign w:val="center"/>
          </w:tcPr>
          <w:p>
            <w:pPr>
              <w:keepNext w:val="0"/>
              <w:keepLines w:val="0"/>
              <w:widowControl/>
              <w:suppressLineNumbers w:val="0"/>
              <w:jc w:val="right"/>
              <w:textAlignment w:val="center"/>
              <w:rPr>
                <w:sz w:val="18"/>
                <w:szCs w:val="18"/>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eastAsia" w:ascii="Times New Roman" w:hAnsi="Times New Roman" w:eastAsia="宋体" w:cs="Times New Roman"/>
                <w:i w:val="0"/>
                <w:iCs w:val="0"/>
                <w:color w:val="000000"/>
                <w:kern w:val="0"/>
                <w:sz w:val="21"/>
                <w:szCs w:val="21"/>
                <w:highlight w:val="none"/>
                <w:u w:val="none"/>
                <w:lang w:val="en-US" w:eastAsia="zh-CN" w:bidi="ar"/>
              </w:rPr>
              <w:t>2026年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1,000.00 </w:t>
            </w:r>
          </w:p>
        </w:tc>
        <w:tc>
          <w:tcPr>
            <w:tcW w:w="992" w:type="dxa"/>
            <w:shd w:val="clear" w:color="auto" w:fill="auto"/>
            <w:noWrap/>
            <w:vAlign w:val="center"/>
          </w:tcPr>
          <w:p>
            <w:pPr>
              <w:jc w:val="right"/>
              <w:rPr>
                <w:sz w:val="18"/>
                <w:szCs w:val="18"/>
                <w:highlight w:val="none"/>
              </w:rPr>
            </w:pPr>
          </w:p>
        </w:tc>
        <w:tc>
          <w:tcPr>
            <w:tcW w:w="1070" w:type="dxa"/>
            <w:shd w:val="clear" w:color="auto" w:fill="auto"/>
            <w:noWrap/>
            <w:vAlign w:val="center"/>
          </w:tcPr>
          <w:p>
            <w:pPr>
              <w:jc w:val="right"/>
              <w:rPr>
                <w:rFonts w:eastAsia="等线"/>
                <w:color w:val="000000"/>
                <w:kern w:val="0"/>
                <w:sz w:val="18"/>
                <w:szCs w:val="18"/>
                <w:highlight w:val="none"/>
              </w:rPr>
            </w:pPr>
          </w:p>
        </w:tc>
        <w:tc>
          <w:tcPr>
            <w:tcW w:w="1118"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2027年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2028年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2029年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2030年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2031年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2032年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2033年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2034年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2035年</w:t>
            </w:r>
          </w:p>
        </w:tc>
        <w:tc>
          <w:tcPr>
            <w:tcW w:w="993"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rFonts w:eastAsia="等线"/>
                <w:color w:val="000000"/>
                <w:kern w:val="0"/>
                <w:sz w:val="18"/>
                <w:szCs w:val="18"/>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2036年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2037年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2038年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2039年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2040年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2041年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2042年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2043年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2044年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jc w:val="right"/>
              <w:rPr>
                <w:color w:val="000000"/>
                <w:szCs w:val="21"/>
              </w:rPr>
            </w:pP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2045年</w:t>
            </w:r>
          </w:p>
        </w:tc>
        <w:tc>
          <w:tcPr>
            <w:tcW w:w="993"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992" w:type="dxa"/>
            <w:shd w:val="clear" w:color="auto" w:fill="auto"/>
            <w:noWrap/>
            <w:vAlign w:val="center"/>
          </w:tcPr>
          <w:p>
            <w:pPr>
              <w:jc w:val="right"/>
              <w:rPr>
                <w:sz w:val="18"/>
                <w:szCs w:val="18"/>
              </w:rPr>
            </w:pPr>
          </w:p>
        </w:tc>
        <w:tc>
          <w:tcPr>
            <w:tcW w:w="107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1118" w:type="dxa"/>
            <w:shd w:val="clear" w:color="auto" w:fill="auto"/>
            <w:noWrap/>
            <w:vAlign w:val="center"/>
          </w:tcPr>
          <w:p>
            <w:pPr>
              <w:keepNext w:val="0"/>
              <w:keepLines w:val="0"/>
              <w:widowControl/>
              <w:suppressLineNumbers w:val="0"/>
              <w:jc w:val="right"/>
              <w:textAlignment w:val="center"/>
              <w:rPr>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961"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w:t>
            </w:r>
          </w:p>
        </w:tc>
        <w:tc>
          <w:tcPr>
            <w:tcW w:w="1046"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32.00 </w:t>
            </w:r>
          </w:p>
        </w:tc>
        <w:tc>
          <w:tcPr>
            <w:tcW w:w="1190" w:type="dxa"/>
            <w:shd w:val="clear" w:color="auto" w:fill="auto"/>
            <w:noWrap/>
            <w:vAlign w:val="center"/>
          </w:tcPr>
          <w:p>
            <w:pPr>
              <w:keepNext w:val="0"/>
              <w:keepLines w:val="0"/>
              <w:widowControl/>
              <w:suppressLineNumbers w:val="0"/>
              <w:jc w:val="right"/>
              <w:textAlignment w:val="center"/>
              <w:rPr>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1,032.00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合计</w:t>
            </w:r>
          </w:p>
        </w:tc>
        <w:tc>
          <w:tcPr>
            <w:tcW w:w="993" w:type="dxa"/>
            <w:shd w:val="clear" w:color="auto" w:fill="auto"/>
            <w:noWrap/>
            <w:vAlign w:val="center"/>
          </w:tcPr>
          <w:p>
            <w:pPr>
              <w:jc w:val="right"/>
              <w:rPr>
                <w:rFonts w:eastAsia="等线"/>
                <w:color w:val="000000"/>
                <w:kern w:val="0"/>
                <w:sz w:val="18"/>
                <w:szCs w:val="18"/>
              </w:rPr>
            </w:pPr>
          </w:p>
        </w:tc>
        <w:tc>
          <w:tcPr>
            <w:tcW w:w="992"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1070"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1,000.00 </w:t>
            </w:r>
          </w:p>
        </w:tc>
        <w:tc>
          <w:tcPr>
            <w:tcW w:w="1118" w:type="dxa"/>
            <w:shd w:val="clear" w:color="auto" w:fill="auto"/>
            <w:noWrap/>
            <w:vAlign w:val="center"/>
          </w:tcPr>
          <w:p>
            <w:pPr>
              <w:jc w:val="right"/>
              <w:rPr>
                <w:rFonts w:eastAsia="等线"/>
                <w:color w:val="000000"/>
                <w:kern w:val="0"/>
                <w:sz w:val="18"/>
                <w:szCs w:val="18"/>
              </w:rPr>
            </w:pPr>
          </w:p>
        </w:tc>
        <w:tc>
          <w:tcPr>
            <w:tcW w:w="961" w:type="dxa"/>
            <w:shd w:val="clear" w:color="auto" w:fill="auto"/>
            <w:noWrap/>
            <w:vAlign w:val="center"/>
          </w:tcPr>
          <w:p>
            <w:pPr>
              <w:jc w:val="right"/>
              <w:rPr>
                <w:rFonts w:eastAsia="等线"/>
                <w:color w:val="000000"/>
                <w:kern w:val="0"/>
                <w:sz w:val="18"/>
                <w:szCs w:val="18"/>
              </w:rPr>
            </w:pPr>
          </w:p>
        </w:tc>
        <w:tc>
          <w:tcPr>
            <w:tcW w:w="1046"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640.00 </w:t>
            </w:r>
          </w:p>
        </w:tc>
        <w:tc>
          <w:tcPr>
            <w:tcW w:w="1190" w:type="dxa"/>
            <w:shd w:val="clear" w:color="auto" w:fill="auto"/>
            <w:noWrap/>
            <w:vAlign w:val="center"/>
          </w:tcPr>
          <w:p>
            <w:pPr>
              <w:keepNext w:val="0"/>
              <w:keepLines w:val="0"/>
              <w:widowControl/>
              <w:suppressLineNumbers w:val="0"/>
              <w:jc w:val="right"/>
              <w:textAlignment w:val="center"/>
              <w:rPr>
                <w:rFonts w:eastAsia="等线"/>
                <w:color w:val="000000"/>
                <w:kern w:val="0"/>
                <w:sz w:val="18"/>
                <w:szCs w:val="18"/>
              </w:rPr>
            </w:pPr>
            <w:r>
              <w:rPr>
                <w:rFonts w:hint="default" w:ascii="Times New Roman" w:hAnsi="Times New Roman" w:eastAsia="宋体" w:cs="Times New Roman"/>
                <w:i w:val="0"/>
                <w:iCs w:val="0"/>
                <w:color w:val="000000"/>
                <w:kern w:val="0"/>
                <w:sz w:val="21"/>
                <w:szCs w:val="21"/>
                <w:u w:val="none"/>
                <w:lang w:val="en-US" w:eastAsia="zh-CN" w:bidi="ar"/>
              </w:rPr>
              <w:t xml:space="preserve">1,640.00 </w:t>
            </w:r>
          </w:p>
        </w:tc>
      </w:tr>
    </w:tbl>
    <w:p>
      <w:pPr>
        <w:pStyle w:val="3"/>
        <w:spacing w:before="312" w:beforeLines="100"/>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4、项目资金测算平衡表</w:t>
      </w:r>
    </w:p>
    <w:p>
      <w:pPr>
        <w:pStyle w:val="36"/>
        <w:rPr>
          <w:color w:val="000000" w:themeColor="text1"/>
          <w:highlight w:val="none"/>
          <w14:textFill>
            <w14:solidFill>
              <w14:schemeClr w14:val="tx1"/>
            </w14:solidFill>
          </w14:textFill>
        </w:rPr>
      </w:pPr>
      <w:bookmarkStart w:id="36" w:name="_Toc39820847"/>
    </w:p>
    <w:p>
      <w:pPr>
        <w:pStyle w:val="36"/>
        <w:rPr>
          <w:color w:val="000000" w:themeColor="text1"/>
          <w:highlight w:val="none"/>
          <w14:textFill>
            <w14:solidFill>
              <w14:schemeClr w14:val="tx1"/>
            </w14:solidFill>
          </w14:textFill>
        </w:rPr>
        <w:sectPr>
          <w:pgSz w:w="11906" w:h="16838"/>
          <w:pgMar w:top="2041" w:right="1701" w:bottom="2041" w:left="1701" w:header="851" w:footer="1361" w:gutter="0"/>
          <w:pgBorders>
            <w:top w:val="none" w:sz="0" w:space="0"/>
            <w:left w:val="none" w:sz="0" w:space="0"/>
            <w:bottom w:val="none" w:sz="0" w:space="0"/>
            <w:right w:val="none" w:sz="0" w:space="0"/>
          </w:pgBorders>
          <w:pgNumType w:start="1"/>
          <w:cols w:space="425" w:num="1"/>
          <w:docGrid w:type="lines" w:linePitch="312" w:charSpace="0"/>
        </w:sectPr>
      </w:pPr>
    </w:p>
    <w:p>
      <w:pPr>
        <w:pStyle w:val="36"/>
        <w:rPr>
          <w:color w:val="000000" w:themeColor="text1"/>
          <w:highlight w:val="green"/>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 xml:space="preserve">  项目资金测算平衡表（单位：万元）</w:t>
      </w:r>
    </w:p>
    <w:tbl>
      <w:tblPr>
        <w:tblStyle w:val="19"/>
        <w:tblW w:w="4996"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539"/>
        <w:gridCol w:w="1035"/>
        <w:gridCol w:w="1181"/>
        <w:gridCol w:w="1173"/>
        <w:gridCol w:w="1181"/>
        <w:gridCol w:w="1181"/>
        <w:gridCol w:w="1168"/>
        <w:gridCol w:w="1168"/>
        <w:gridCol w:w="1168"/>
        <w:gridCol w:w="1168"/>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jc w:val="center"/>
              <w:rPr>
                <w:rFonts w:ascii="黑体" w:hAnsi="黑体" w:eastAsia="黑体"/>
                <w:sz w:val="18"/>
                <w:szCs w:val="18"/>
              </w:rPr>
            </w:pPr>
            <w:bookmarkStart w:id="37" w:name="_Hlk208347546"/>
            <w:r>
              <w:rPr>
                <w:rFonts w:ascii="黑体" w:hAnsi="黑体" w:eastAsia="黑体"/>
                <w:sz w:val="18"/>
                <w:szCs w:val="18"/>
              </w:rPr>
              <w:t>项目/年度</w:t>
            </w:r>
          </w:p>
        </w:tc>
        <w:tc>
          <w:tcPr>
            <w:tcW w:w="399" w:type="pct"/>
            <w:vAlign w:val="center"/>
          </w:tcPr>
          <w:p>
            <w:pPr>
              <w:jc w:val="center"/>
              <w:rPr>
                <w:rFonts w:ascii="黑体" w:hAnsi="黑体" w:eastAsia="黑体"/>
                <w:color w:val="000000"/>
                <w:sz w:val="18"/>
                <w:szCs w:val="18"/>
              </w:rPr>
            </w:pPr>
            <w:r>
              <w:rPr>
                <w:rFonts w:ascii="黑体" w:hAnsi="黑体" w:eastAsia="黑体"/>
                <w:color w:val="000000"/>
                <w:sz w:val="18"/>
                <w:szCs w:val="18"/>
              </w:rPr>
              <w:t>公式</w:t>
            </w:r>
          </w:p>
        </w:tc>
        <w:tc>
          <w:tcPr>
            <w:tcW w:w="455" w:type="pct"/>
            <w:vAlign w:val="center"/>
          </w:tcPr>
          <w:p>
            <w:pPr>
              <w:jc w:val="center"/>
              <w:rPr>
                <w:rFonts w:ascii="黑体" w:hAnsi="黑体" w:eastAsia="黑体"/>
                <w:color w:val="000000"/>
                <w:sz w:val="18"/>
                <w:szCs w:val="18"/>
              </w:rPr>
            </w:pPr>
            <w:r>
              <w:rPr>
                <w:rFonts w:ascii="黑体" w:hAnsi="黑体" w:eastAsia="黑体"/>
                <w:color w:val="000000"/>
                <w:sz w:val="18"/>
                <w:szCs w:val="18"/>
              </w:rPr>
              <w:t>合计</w:t>
            </w:r>
          </w:p>
        </w:tc>
        <w:tc>
          <w:tcPr>
            <w:tcW w:w="452"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2025年</w:t>
            </w:r>
          </w:p>
        </w:tc>
        <w:tc>
          <w:tcPr>
            <w:tcW w:w="455"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2026年</w:t>
            </w:r>
          </w:p>
        </w:tc>
        <w:tc>
          <w:tcPr>
            <w:tcW w:w="455"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2027年</w:t>
            </w:r>
          </w:p>
        </w:tc>
        <w:tc>
          <w:tcPr>
            <w:tcW w:w="450"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2028年</w:t>
            </w:r>
          </w:p>
        </w:tc>
        <w:tc>
          <w:tcPr>
            <w:tcW w:w="450"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2029年</w:t>
            </w:r>
          </w:p>
        </w:tc>
        <w:tc>
          <w:tcPr>
            <w:tcW w:w="450"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2030年</w:t>
            </w:r>
          </w:p>
        </w:tc>
        <w:tc>
          <w:tcPr>
            <w:tcW w:w="450" w:type="pct"/>
            <w:vAlign w:val="center"/>
          </w:tcPr>
          <w:p>
            <w:pPr>
              <w:keepNext w:val="0"/>
              <w:keepLines w:val="0"/>
              <w:widowControl/>
              <w:suppressLineNumbers w:val="0"/>
              <w:jc w:val="center"/>
              <w:textAlignment w:val="center"/>
              <w:rPr>
                <w:rFonts w:hint="default" w:ascii="Times New Roman" w:hAnsi="Times New Roman" w:eastAsia="黑体" w:cs="Times New Roman"/>
                <w:color w:val="000000"/>
                <w:sz w:val="18"/>
                <w:szCs w:val="18"/>
              </w:rPr>
            </w:pPr>
            <w:r>
              <w:rPr>
                <w:rFonts w:hint="default" w:ascii="Times New Roman" w:hAnsi="Times New Roman" w:eastAsia="宋体" w:cs="Times New Roman"/>
                <w:i w:val="0"/>
                <w:iCs w:val="0"/>
                <w:color w:val="000000"/>
                <w:kern w:val="0"/>
                <w:sz w:val="18"/>
                <w:szCs w:val="18"/>
                <w:u w:val="none"/>
                <w:lang w:val="en-US" w:eastAsia="zh-CN" w:bidi="ar"/>
              </w:rPr>
              <w:t>2031年</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rPr>
                <w:rFonts w:ascii="宋体" w:hAnsi="宋体"/>
                <w:sz w:val="18"/>
                <w:szCs w:val="18"/>
              </w:rPr>
            </w:pPr>
            <w:r>
              <w:rPr>
                <w:rFonts w:ascii="宋体" w:hAnsi="宋体"/>
                <w:sz w:val="18"/>
                <w:szCs w:val="18"/>
              </w:rPr>
              <w:t>一、经营活动产生的现金</w:t>
            </w:r>
          </w:p>
        </w:tc>
        <w:tc>
          <w:tcPr>
            <w:tcW w:w="399" w:type="pct"/>
            <w:vAlign w:val="center"/>
          </w:tcPr>
          <w:p>
            <w:pPr>
              <w:jc w:val="center"/>
              <w:rPr>
                <w:rFonts w:ascii="宋体" w:hAnsi="宋体"/>
                <w:sz w:val="18"/>
                <w:szCs w:val="18"/>
              </w:rPr>
            </w:pPr>
            <w:r>
              <w:rPr>
                <w:rFonts w:ascii="宋体" w:hAnsi="宋体"/>
                <w:sz w:val="18"/>
                <w:szCs w:val="18"/>
              </w:rPr>
              <w:t>—</w:t>
            </w:r>
          </w:p>
        </w:tc>
        <w:tc>
          <w:tcPr>
            <w:tcW w:w="455" w:type="pct"/>
            <w:vAlign w:val="center"/>
          </w:tcPr>
          <w:p>
            <w:pPr>
              <w:rPr>
                <w:rFonts w:hint="default" w:ascii="Times New Roman" w:hAnsi="Times New Roman" w:cs="Times New Roman"/>
                <w:sz w:val="18"/>
                <w:szCs w:val="18"/>
              </w:rPr>
            </w:pPr>
          </w:p>
        </w:tc>
        <w:tc>
          <w:tcPr>
            <w:tcW w:w="452" w:type="pct"/>
            <w:vAlign w:val="center"/>
          </w:tcPr>
          <w:p>
            <w:pPr>
              <w:rPr>
                <w:rFonts w:hint="default" w:ascii="Times New Roman" w:hAnsi="Times New Roman" w:cs="Times New Roman"/>
                <w:sz w:val="18"/>
                <w:szCs w:val="18"/>
              </w:rPr>
            </w:pPr>
          </w:p>
        </w:tc>
        <w:tc>
          <w:tcPr>
            <w:tcW w:w="455" w:type="pct"/>
            <w:vAlign w:val="center"/>
          </w:tcPr>
          <w:p>
            <w:pPr>
              <w:rPr>
                <w:rFonts w:hint="default" w:ascii="Times New Roman" w:hAnsi="Times New Roman" w:cs="Times New Roman"/>
                <w:sz w:val="18"/>
                <w:szCs w:val="18"/>
              </w:rPr>
            </w:pPr>
          </w:p>
        </w:tc>
        <w:tc>
          <w:tcPr>
            <w:tcW w:w="455" w:type="pct"/>
            <w:vAlign w:val="center"/>
          </w:tcPr>
          <w:p>
            <w:pPr>
              <w:rPr>
                <w:rFonts w:hint="default" w:ascii="Times New Roman" w:hAnsi="Times New Roman" w:cs="Times New Roman"/>
                <w:sz w:val="18"/>
                <w:szCs w:val="18"/>
              </w:rPr>
            </w:pPr>
          </w:p>
        </w:tc>
        <w:tc>
          <w:tcPr>
            <w:tcW w:w="450" w:type="pct"/>
            <w:vAlign w:val="center"/>
          </w:tcPr>
          <w:p>
            <w:pPr>
              <w:rPr>
                <w:rFonts w:hint="default" w:ascii="Times New Roman" w:hAnsi="Times New Roman" w:cs="Times New Roman"/>
                <w:sz w:val="18"/>
                <w:szCs w:val="18"/>
              </w:rPr>
            </w:pPr>
          </w:p>
        </w:tc>
        <w:tc>
          <w:tcPr>
            <w:tcW w:w="450" w:type="pct"/>
            <w:vAlign w:val="center"/>
          </w:tcPr>
          <w:p>
            <w:pPr>
              <w:rPr>
                <w:rFonts w:hint="default" w:ascii="Times New Roman" w:hAnsi="Times New Roman" w:cs="Times New Roman"/>
                <w:sz w:val="18"/>
                <w:szCs w:val="18"/>
              </w:rPr>
            </w:pPr>
          </w:p>
        </w:tc>
        <w:tc>
          <w:tcPr>
            <w:tcW w:w="450" w:type="pct"/>
            <w:shd w:val="clear" w:color="auto" w:fill="auto"/>
            <w:vAlign w:val="center"/>
          </w:tcPr>
          <w:p>
            <w:pPr>
              <w:rPr>
                <w:rFonts w:hint="default" w:ascii="Times New Roman" w:hAnsi="Times New Roman" w:cs="Times New Roman"/>
                <w:sz w:val="18"/>
                <w:szCs w:val="18"/>
              </w:rPr>
            </w:pPr>
          </w:p>
        </w:tc>
        <w:tc>
          <w:tcPr>
            <w:tcW w:w="450" w:type="pct"/>
            <w:shd w:val="clear" w:color="auto" w:fill="auto"/>
            <w:vAlign w:val="center"/>
          </w:tcPr>
          <w:p>
            <w:pPr>
              <w:rPr>
                <w:rFonts w:hint="default" w:ascii="Times New Roman" w:hAnsi="Times New Roman" w:cs="Times New Roman"/>
                <w:sz w:val="18"/>
                <w:szCs w:val="18"/>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经营活动收入</w:t>
            </w:r>
          </w:p>
        </w:tc>
        <w:tc>
          <w:tcPr>
            <w:tcW w:w="399" w:type="pct"/>
            <w:vAlign w:val="center"/>
          </w:tcPr>
          <w:p>
            <w:pPr>
              <w:jc w:val="center"/>
              <w:rPr>
                <w:rFonts w:ascii="宋体" w:hAnsi="宋体"/>
                <w:sz w:val="18"/>
                <w:szCs w:val="18"/>
              </w:rPr>
            </w:pPr>
            <w:r>
              <w:rPr>
                <w:rFonts w:ascii="宋体" w:hAnsi="宋体"/>
                <w:sz w:val="18"/>
                <w:szCs w:val="18"/>
              </w:rPr>
              <w:t>A</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4,580.40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241.56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经营活动支出</w:t>
            </w:r>
          </w:p>
        </w:tc>
        <w:tc>
          <w:tcPr>
            <w:tcW w:w="399" w:type="pct"/>
            <w:vAlign w:val="center"/>
          </w:tcPr>
          <w:p>
            <w:pPr>
              <w:jc w:val="center"/>
              <w:rPr>
                <w:rFonts w:ascii="宋体" w:hAnsi="宋体"/>
                <w:sz w:val="18"/>
                <w:szCs w:val="18"/>
              </w:rPr>
            </w:pPr>
            <w:r>
              <w:rPr>
                <w:rFonts w:ascii="宋体" w:hAnsi="宋体"/>
                <w:sz w:val="18"/>
                <w:szCs w:val="18"/>
              </w:rPr>
              <w:t>B</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1,626.21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支付的各项税费</w:t>
            </w:r>
          </w:p>
        </w:tc>
        <w:tc>
          <w:tcPr>
            <w:tcW w:w="399" w:type="pct"/>
            <w:shd w:val="clear" w:color="000000" w:fill="FFFFFF"/>
            <w:vAlign w:val="center"/>
          </w:tcPr>
          <w:p>
            <w:pPr>
              <w:jc w:val="center"/>
              <w:rPr>
                <w:rFonts w:ascii="宋体" w:hAnsi="宋体"/>
                <w:sz w:val="18"/>
                <w:szCs w:val="18"/>
              </w:rPr>
            </w:pPr>
            <w:r>
              <w:rPr>
                <w:rFonts w:ascii="宋体" w:hAnsi="宋体"/>
                <w:sz w:val="18"/>
                <w:szCs w:val="18"/>
              </w:rPr>
              <w:t>C</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73"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经营活动现金净流量</w:t>
            </w:r>
          </w:p>
        </w:tc>
        <w:tc>
          <w:tcPr>
            <w:tcW w:w="399" w:type="pct"/>
            <w:vAlign w:val="center"/>
          </w:tcPr>
          <w:p>
            <w:pPr>
              <w:jc w:val="center"/>
              <w:rPr>
                <w:rFonts w:ascii="宋体" w:hAnsi="宋体"/>
                <w:sz w:val="18"/>
                <w:szCs w:val="18"/>
              </w:rPr>
            </w:pPr>
            <w:r>
              <w:rPr>
                <w:rFonts w:ascii="宋体" w:hAnsi="宋体"/>
                <w:sz w:val="18"/>
                <w:szCs w:val="18"/>
              </w:rPr>
              <w:t>D=A-B-C</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2,954.19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155.97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rPr>
                <w:rFonts w:ascii="宋体" w:hAnsi="宋体"/>
                <w:sz w:val="18"/>
                <w:szCs w:val="18"/>
              </w:rPr>
            </w:pPr>
            <w:r>
              <w:rPr>
                <w:rFonts w:ascii="宋体" w:hAnsi="宋体"/>
                <w:sz w:val="18"/>
                <w:szCs w:val="18"/>
              </w:rPr>
              <w:t>二、投资活动产生的现金</w:t>
            </w:r>
          </w:p>
        </w:tc>
        <w:tc>
          <w:tcPr>
            <w:tcW w:w="399" w:type="pct"/>
            <w:vAlign w:val="center"/>
          </w:tcPr>
          <w:p>
            <w:pPr>
              <w:jc w:val="center"/>
              <w:rPr>
                <w:rFonts w:ascii="宋体" w:hAnsi="宋体"/>
                <w:sz w:val="18"/>
                <w:szCs w:val="18"/>
              </w:rPr>
            </w:pPr>
            <w:r>
              <w:rPr>
                <w:rFonts w:ascii="宋体" w:hAnsi="宋体"/>
                <w:sz w:val="18"/>
                <w:szCs w:val="18"/>
              </w:rPr>
              <w:t>—</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建设成本支出</w:t>
            </w:r>
          </w:p>
        </w:tc>
        <w:tc>
          <w:tcPr>
            <w:tcW w:w="399" w:type="pct"/>
            <w:vAlign w:val="center"/>
          </w:tcPr>
          <w:p>
            <w:pPr>
              <w:jc w:val="center"/>
              <w:rPr>
                <w:rFonts w:ascii="宋体" w:hAnsi="宋体"/>
                <w:sz w:val="18"/>
                <w:szCs w:val="18"/>
              </w:rPr>
            </w:pPr>
            <w:r>
              <w:rPr>
                <w:rFonts w:ascii="宋体" w:hAnsi="宋体"/>
                <w:sz w:val="18"/>
                <w:szCs w:val="18"/>
              </w:rPr>
              <w:t>E</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16,952.43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2,546.00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14,406.43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流动资金支出</w:t>
            </w:r>
          </w:p>
        </w:tc>
        <w:tc>
          <w:tcPr>
            <w:tcW w:w="399" w:type="pct"/>
            <w:vAlign w:val="center"/>
          </w:tcPr>
          <w:p>
            <w:pPr>
              <w:jc w:val="center"/>
              <w:rPr>
                <w:rFonts w:ascii="宋体" w:hAnsi="宋体"/>
                <w:sz w:val="18"/>
                <w:szCs w:val="18"/>
              </w:rPr>
            </w:pPr>
            <w:r>
              <w:rPr>
                <w:rFonts w:ascii="宋体" w:hAnsi="宋体"/>
                <w:sz w:val="18"/>
                <w:szCs w:val="18"/>
              </w:rPr>
              <w:t>F</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投资活动现金净流量</w:t>
            </w:r>
          </w:p>
        </w:tc>
        <w:tc>
          <w:tcPr>
            <w:tcW w:w="399" w:type="pct"/>
            <w:vAlign w:val="center"/>
          </w:tcPr>
          <w:p>
            <w:pPr>
              <w:jc w:val="center"/>
              <w:rPr>
                <w:rFonts w:ascii="宋体" w:hAnsi="宋体"/>
                <w:sz w:val="18"/>
                <w:szCs w:val="18"/>
              </w:rPr>
            </w:pPr>
            <w:r>
              <w:rPr>
                <w:rFonts w:ascii="宋体" w:hAnsi="宋体"/>
                <w:sz w:val="18"/>
                <w:szCs w:val="18"/>
              </w:rPr>
              <w:t>G=-E-F</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-16,952.43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-2,546.00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-14,406.43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rPr>
                <w:rFonts w:ascii="宋体" w:hAnsi="宋体"/>
                <w:sz w:val="18"/>
                <w:szCs w:val="18"/>
              </w:rPr>
            </w:pPr>
            <w:r>
              <w:rPr>
                <w:rFonts w:ascii="宋体" w:hAnsi="宋体"/>
                <w:sz w:val="18"/>
                <w:szCs w:val="18"/>
              </w:rPr>
              <w:t>三、融资活动产生的现金</w:t>
            </w:r>
          </w:p>
        </w:tc>
        <w:tc>
          <w:tcPr>
            <w:tcW w:w="399" w:type="pct"/>
            <w:vAlign w:val="center"/>
          </w:tcPr>
          <w:p>
            <w:pPr>
              <w:jc w:val="center"/>
              <w:rPr>
                <w:rFonts w:ascii="宋体" w:hAnsi="宋体"/>
                <w:color w:val="000000"/>
                <w:sz w:val="18"/>
                <w:szCs w:val="18"/>
              </w:rPr>
            </w:pPr>
            <w:r>
              <w:rPr>
                <w:rFonts w:ascii="宋体" w:hAnsi="宋体"/>
                <w:sz w:val="18"/>
                <w:szCs w:val="18"/>
              </w:rPr>
              <w:t>—</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资本金</w:t>
            </w:r>
          </w:p>
        </w:tc>
        <w:tc>
          <w:tcPr>
            <w:tcW w:w="399" w:type="pct"/>
            <w:vAlign w:val="center"/>
          </w:tcPr>
          <w:p>
            <w:pPr>
              <w:jc w:val="center"/>
              <w:rPr>
                <w:rFonts w:ascii="宋体" w:hAnsi="宋体"/>
                <w:color w:val="000000"/>
                <w:sz w:val="18"/>
                <w:szCs w:val="18"/>
              </w:rPr>
            </w:pPr>
            <w:r>
              <w:rPr>
                <w:rFonts w:ascii="宋体" w:hAnsi="宋体"/>
                <w:color w:val="000000"/>
                <w:sz w:val="18"/>
                <w:szCs w:val="18"/>
              </w:rPr>
              <w:t>H</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15,984.43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1,546.00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14,438.43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专项债券</w:t>
            </w:r>
          </w:p>
        </w:tc>
        <w:tc>
          <w:tcPr>
            <w:tcW w:w="399" w:type="pct"/>
            <w:vAlign w:val="center"/>
          </w:tcPr>
          <w:p>
            <w:pPr>
              <w:jc w:val="center"/>
              <w:rPr>
                <w:rFonts w:ascii="宋体" w:hAnsi="宋体"/>
                <w:color w:val="000000"/>
                <w:sz w:val="18"/>
                <w:szCs w:val="18"/>
              </w:rPr>
            </w:pPr>
            <w:r>
              <w:rPr>
                <w:rFonts w:ascii="宋体" w:hAnsi="宋体"/>
                <w:color w:val="000000"/>
                <w:sz w:val="18"/>
                <w:szCs w:val="18"/>
              </w:rPr>
              <w:t>I</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1,000.00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1,000.00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偿还债券本金</w:t>
            </w:r>
          </w:p>
        </w:tc>
        <w:tc>
          <w:tcPr>
            <w:tcW w:w="399" w:type="pct"/>
            <w:shd w:val="clear" w:color="000000" w:fill="FFFFFF"/>
            <w:vAlign w:val="center"/>
          </w:tcPr>
          <w:p>
            <w:pPr>
              <w:jc w:val="center"/>
              <w:rPr>
                <w:rFonts w:ascii="宋体" w:hAnsi="宋体"/>
                <w:color w:val="000000"/>
                <w:sz w:val="18"/>
                <w:szCs w:val="18"/>
              </w:rPr>
            </w:pPr>
            <w:r>
              <w:rPr>
                <w:rFonts w:ascii="宋体" w:hAnsi="宋体"/>
                <w:color w:val="000000"/>
                <w:sz w:val="18"/>
                <w:szCs w:val="18"/>
              </w:rPr>
              <w:t>K</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1,000.00 </w:t>
            </w:r>
          </w:p>
        </w:tc>
        <w:tc>
          <w:tcPr>
            <w:tcW w:w="1173"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支付债券利息</w:t>
            </w:r>
          </w:p>
        </w:tc>
        <w:tc>
          <w:tcPr>
            <w:tcW w:w="399" w:type="pct"/>
            <w:shd w:val="clear" w:color="000000" w:fill="FFFFFF"/>
            <w:vAlign w:val="center"/>
          </w:tcPr>
          <w:p>
            <w:pPr>
              <w:jc w:val="center"/>
              <w:rPr>
                <w:rFonts w:ascii="宋体" w:hAnsi="宋体"/>
                <w:color w:val="000000"/>
                <w:sz w:val="18"/>
                <w:szCs w:val="18"/>
              </w:rPr>
            </w:pPr>
            <w:r>
              <w:rPr>
                <w:rFonts w:ascii="宋体" w:hAnsi="宋体"/>
                <w:color w:val="000000"/>
                <w:sz w:val="18"/>
                <w:szCs w:val="18"/>
              </w:rPr>
              <w:t>M</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640.00 </w:t>
            </w:r>
          </w:p>
        </w:tc>
        <w:tc>
          <w:tcPr>
            <w:tcW w:w="1173"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8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融资活动现金净流量</w:t>
            </w:r>
          </w:p>
        </w:tc>
        <w:tc>
          <w:tcPr>
            <w:tcW w:w="399" w:type="pct"/>
            <w:vAlign w:val="center"/>
          </w:tcPr>
          <w:p>
            <w:pPr>
              <w:jc w:val="center"/>
              <w:rPr>
                <w:rFonts w:ascii="宋体" w:hAnsi="宋体"/>
                <w:color w:val="000000"/>
                <w:sz w:val="18"/>
                <w:szCs w:val="18"/>
              </w:rPr>
            </w:pPr>
            <w:r>
              <w:rPr>
                <w:rFonts w:ascii="宋体" w:hAnsi="宋体"/>
                <w:color w:val="000000"/>
                <w:sz w:val="18"/>
                <w:szCs w:val="18"/>
              </w:rPr>
              <w:t>O=H+I-K-M</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15,344.43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2,546.00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14,406.43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rPr>
                <w:rFonts w:ascii="宋体" w:hAnsi="宋体"/>
                <w:sz w:val="18"/>
                <w:szCs w:val="18"/>
              </w:rPr>
            </w:pPr>
            <w:r>
              <w:rPr>
                <w:rFonts w:ascii="宋体" w:hAnsi="宋体"/>
                <w:sz w:val="18"/>
                <w:szCs w:val="18"/>
              </w:rPr>
              <w:t>四、期初现金</w:t>
            </w:r>
          </w:p>
        </w:tc>
        <w:tc>
          <w:tcPr>
            <w:tcW w:w="399" w:type="pct"/>
            <w:vAlign w:val="center"/>
          </w:tcPr>
          <w:p>
            <w:pPr>
              <w:jc w:val="center"/>
              <w:rPr>
                <w:rFonts w:ascii="宋体" w:hAnsi="宋体"/>
                <w:color w:val="000000"/>
                <w:sz w:val="18"/>
                <w:szCs w:val="18"/>
              </w:rPr>
            </w:pPr>
            <w:r>
              <w:rPr>
                <w:rFonts w:ascii="宋体" w:hAnsi="宋体"/>
                <w:color w:val="000000"/>
                <w:sz w:val="18"/>
                <w:szCs w:val="18"/>
              </w:rPr>
              <w:t>P</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247.28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370.59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493.90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ind w:firstLine="360" w:firstLineChars="200"/>
              <w:rPr>
                <w:rFonts w:ascii="宋体" w:hAnsi="宋体"/>
                <w:sz w:val="18"/>
                <w:szCs w:val="18"/>
              </w:rPr>
            </w:pPr>
            <w:r>
              <w:rPr>
                <w:rFonts w:ascii="宋体" w:hAnsi="宋体"/>
                <w:sz w:val="18"/>
                <w:szCs w:val="18"/>
              </w:rPr>
              <w:t>期内现金变动</w:t>
            </w:r>
          </w:p>
        </w:tc>
        <w:tc>
          <w:tcPr>
            <w:tcW w:w="399" w:type="pct"/>
            <w:vAlign w:val="center"/>
          </w:tcPr>
          <w:p>
            <w:pPr>
              <w:jc w:val="center"/>
              <w:rPr>
                <w:rFonts w:ascii="宋体" w:hAnsi="宋体"/>
                <w:color w:val="000000"/>
                <w:sz w:val="18"/>
                <w:szCs w:val="18"/>
              </w:rPr>
            </w:pPr>
            <w:r>
              <w:rPr>
                <w:rFonts w:ascii="宋体" w:hAnsi="宋体"/>
                <w:color w:val="000000"/>
                <w:sz w:val="18"/>
                <w:szCs w:val="18"/>
              </w:rPr>
              <w:t>Q=D+G+O</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1,346.19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123.97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40" w:hRule="atLeast"/>
          <w:jc w:val="center"/>
        </w:trPr>
        <w:tc>
          <w:tcPr>
            <w:tcW w:w="979" w:type="pct"/>
            <w:vAlign w:val="center"/>
          </w:tcPr>
          <w:p>
            <w:pPr>
              <w:rPr>
                <w:rFonts w:ascii="宋体" w:hAnsi="宋体"/>
                <w:sz w:val="18"/>
                <w:szCs w:val="18"/>
              </w:rPr>
            </w:pPr>
            <w:r>
              <w:rPr>
                <w:rFonts w:ascii="宋体" w:hAnsi="宋体"/>
                <w:sz w:val="18"/>
                <w:szCs w:val="18"/>
              </w:rPr>
              <w:t>五、期末现金</w:t>
            </w:r>
          </w:p>
        </w:tc>
        <w:tc>
          <w:tcPr>
            <w:tcW w:w="399" w:type="pct"/>
            <w:vAlign w:val="center"/>
          </w:tcPr>
          <w:p>
            <w:pPr>
              <w:jc w:val="center"/>
              <w:rPr>
                <w:rFonts w:ascii="宋体" w:hAnsi="宋体"/>
                <w:color w:val="000000"/>
                <w:sz w:val="18"/>
                <w:szCs w:val="18"/>
              </w:rPr>
            </w:pPr>
            <w:r>
              <w:rPr>
                <w:rFonts w:ascii="宋体" w:hAnsi="宋体"/>
                <w:color w:val="000000"/>
                <w:sz w:val="18"/>
                <w:szCs w:val="18"/>
              </w:rPr>
              <w:t>R=P+Q</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73"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18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247.28 </w:t>
            </w:r>
          </w:p>
        </w:tc>
        <w:tc>
          <w:tcPr>
            <w:tcW w:w="11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370.59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493.90 </w:t>
            </w:r>
          </w:p>
        </w:tc>
        <w:tc>
          <w:tcPr>
            <w:tcW w:w="1168"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617.21 </w:t>
            </w:r>
          </w:p>
        </w:tc>
      </w:tr>
      <w:bookmarkEnd w:id="37"/>
    </w:tbl>
    <w:p>
      <w:pPr>
        <w:pStyle w:val="36"/>
        <w:rPr>
          <w:color w:val="000000" w:themeColor="text1"/>
          <w14:textFill>
            <w14:solidFill>
              <w14:schemeClr w14:val="tx1"/>
            </w14:solidFill>
          </w14:textFill>
        </w:rPr>
      </w:pP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（续）表</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 xml:space="preserve">  项目资金测算平衡表（单位：万元）</w:t>
      </w:r>
    </w:p>
    <w:tbl>
      <w:tblPr>
        <w:tblStyle w:val="19"/>
        <w:tblW w:w="13564" w:type="dxa"/>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444"/>
        <w:gridCol w:w="1312"/>
        <w:gridCol w:w="1226"/>
        <w:gridCol w:w="1226"/>
        <w:gridCol w:w="1226"/>
        <w:gridCol w:w="1226"/>
        <w:gridCol w:w="1234"/>
        <w:gridCol w:w="1226"/>
        <w:gridCol w:w="1222"/>
        <w:gridCol w:w="1222"/>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2444" w:type="dxa"/>
            <w:vAlign w:val="center"/>
          </w:tcPr>
          <w:p>
            <w:pPr>
              <w:jc w:val="center"/>
              <w:rPr>
                <w:rFonts w:ascii="黑体" w:hAnsi="黑体" w:eastAsia="黑体"/>
                <w:sz w:val="18"/>
                <w:szCs w:val="18"/>
              </w:rPr>
            </w:pPr>
            <w:bookmarkStart w:id="38" w:name="_Hlk208347568"/>
            <w:r>
              <w:rPr>
                <w:rFonts w:ascii="黑体" w:hAnsi="黑体" w:eastAsia="黑体"/>
                <w:sz w:val="18"/>
                <w:szCs w:val="18"/>
              </w:rPr>
              <w:t>项目/年度</w:t>
            </w:r>
          </w:p>
        </w:tc>
        <w:tc>
          <w:tcPr>
            <w:tcW w:w="1312" w:type="dxa"/>
            <w:vAlign w:val="center"/>
          </w:tcPr>
          <w:p>
            <w:pPr>
              <w:jc w:val="center"/>
              <w:rPr>
                <w:rFonts w:ascii="黑体" w:hAnsi="黑体" w:eastAsia="黑体"/>
                <w:color w:val="000000"/>
                <w:sz w:val="18"/>
                <w:szCs w:val="18"/>
              </w:rPr>
            </w:pPr>
            <w:r>
              <w:rPr>
                <w:rFonts w:ascii="黑体" w:hAnsi="黑体" w:eastAsia="黑体"/>
                <w:color w:val="000000"/>
                <w:sz w:val="18"/>
                <w:szCs w:val="18"/>
              </w:rPr>
              <w:t>公式</w:t>
            </w:r>
          </w:p>
        </w:tc>
        <w:tc>
          <w:tcPr>
            <w:tcW w:w="1226"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2032年</w:t>
            </w:r>
          </w:p>
        </w:tc>
        <w:tc>
          <w:tcPr>
            <w:tcW w:w="1226"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2033年</w:t>
            </w:r>
          </w:p>
        </w:tc>
        <w:tc>
          <w:tcPr>
            <w:tcW w:w="1226"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2034年</w:t>
            </w:r>
          </w:p>
        </w:tc>
        <w:tc>
          <w:tcPr>
            <w:tcW w:w="1226"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2035年</w:t>
            </w:r>
          </w:p>
        </w:tc>
        <w:tc>
          <w:tcPr>
            <w:tcW w:w="1234"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2036年</w:t>
            </w:r>
          </w:p>
        </w:tc>
        <w:tc>
          <w:tcPr>
            <w:tcW w:w="1226"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2037年</w:t>
            </w:r>
          </w:p>
        </w:tc>
        <w:tc>
          <w:tcPr>
            <w:tcW w:w="1222"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2038年</w:t>
            </w:r>
          </w:p>
        </w:tc>
        <w:tc>
          <w:tcPr>
            <w:tcW w:w="1222" w:type="dxa"/>
            <w:vAlign w:val="center"/>
          </w:tcPr>
          <w:p>
            <w:pPr>
              <w:keepNext w:val="0"/>
              <w:keepLines w:val="0"/>
              <w:widowControl/>
              <w:suppressLineNumbers w:val="0"/>
              <w:jc w:val="center"/>
              <w:textAlignment w:val="center"/>
              <w:rPr>
                <w:rFonts w:ascii="黑体" w:hAnsi="黑体" w:eastAsia="黑体"/>
                <w:color w:val="000000"/>
                <w:sz w:val="18"/>
                <w:szCs w:val="18"/>
              </w:rPr>
            </w:pPr>
            <w:r>
              <w:rPr>
                <w:rStyle w:val="45"/>
                <w:rFonts w:eastAsia="宋体"/>
                <w:lang w:val="en-US" w:eastAsia="zh-CN" w:bidi="ar"/>
              </w:rPr>
              <w:t>2039年</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rPr>
                <w:rFonts w:ascii="宋体" w:hAnsi="宋体"/>
                <w:sz w:val="18"/>
                <w:szCs w:val="18"/>
              </w:rPr>
            </w:pPr>
            <w:r>
              <w:rPr>
                <w:rFonts w:ascii="宋体" w:hAnsi="宋体"/>
                <w:sz w:val="18"/>
                <w:szCs w:val="18"/>
              </w:rPr>
              <w:t>一、经营活动产生的现金</w:t>
            </w:r>
          </w:p>
        </w:tc>
        <w:tc>
          <w:tcPr>
            <w:tcW w:w="1312" w:type="dxa"/>
            <w:vAlign w:val="center"/>
          </w:tcPr>
          <w:p>
            <w:pPr>
              <w:jc w:val="center"/>
              <w:rPr>
                <w:rFonts w:ascii="宋体" w:hAnsi="宋体"/>
                <w:sz w:val="18"/>
                <w:szCs w:val="18"/>
              </w:rPr>
            </w:pPr>
            <w:r>
              <w:rPr>
                <w:rFonts w:ascii="宋体" w:hAnsi="宋体"/>
                <w:sz w:val="18"/>
                <w:szCs w:val="18"/>
              </w:rPr>
              <w:t>—</w:t>
            </w:r>
          </w:p>
        </w:tc>
        <w:tc>
          <w:tcPr>
            <w:tcW w:w="1226" w:type="dxa"/>
            <w:vAlign w:val="center"/>
          </w:tcPr>
          <w:p>
            <w:pPr>
              <w:rPr>
                <w:sz w:val="18"/>
                <w:szCs w:val="18"/>
              </w:rPr>
            </w:pPr>
          </w:p>
        </w:tc>
        <w:tc>
          <w:tcPr>
            <w:tcW w:w="1226" w:type="dxa"/>
            <w:vAlign w:val="center"/>
          </w:tcPr>
          <w:p>
            <w:pPr>
              <w:rPr>
                <w:sz w:val="18"/>
                <w:szCs w:val="18"/>
              </w:rPr>
            </w:pPr>
          </w:p>
        </w:tc>
        <w:tc>
          <w:tcPr>
            <w:tcW w:w="1226" w:type="dxa"/>
            <w:vAlign w:val="center"/>
          </w:tcPr>
          <w:p>
            <w:pPr>
              <w:rPr>
                <w:sz w:val="18"/>
                <w:szCs w:val="18"/>
              </w:rPr>
            </w:pPr>
          </w:p>
        </w:tc>
        <w:tc>
          <w:tcPr>
            <w:tcW w:w="1226" w:type="dxa"/>
            <w:vAlign w:val="center"/>
          </w:tcPr>
          <w:p>
            <w:pPr>
              <w:rPr>
                <w:sz w:val="18"/>
                <w:szCs w:val="18"/>
              </w:rPr>
            </w:pPr>
          </w:p>
        </w:tc>
        <w:tc>
          <w:tcPr>
            <w:tcW w:w="1234" w:type="dxa"/>
            <w:vAlign w:val="center"/>
          </w:tcPr>
          <w:p>
            <w:pPr>
              <w:rPr>
                <w:sz w:val="18"/>
                <w:szCs w:val="18"/>
              </w:rPr>
            </w:pPr>
          </w:p>
        </w:tc>
        <w:tc>
          <w:tcPr>
            <w:tcW w:w="1226" w:type="dxa"/>
            <w:vAlign w:val="center"/>
          </w:tcPr>
          <w:p>
            <w:pPr>
              <w:rPr>
                <w:sz w:val="18"/>
                <w:szCs w:val="18"/>
              </w:rPr>
            </w:pPr>
          </w:p>
        </w:tc>
        <w:tc>
          <w:tcPr>
            <w:tcW w:w="1222" w:type="dxa"/>
            <w:shd w:val="clear" w:color="auto" w:fill="auto"/>
            <w:vAlign w:val="center"/>
          </w:tcPr>
          <w:p>
            <w:pPr>
              <w:rPr>
                <w:sz w:val="18"/>
                <w:szCs w:val="18"/>
              </w:rPr>
            </w:pPr>
          </w:p>
        </w:tc>
        <w:tc>
          <w:tcPr>
            <w:tcW w:w="1222" w:type="dxa"/>
            <w:shd w:val="clear" w:color="auto" w:fill="auto"/>
            <w:vAlign w:val="center"/>
          </w:tcPr>
          <w:p>
            <w:pPr>
              <w:rPr>
                <w:sz w:val="18"/>
                <w:szCs w:val="18"/>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经营活动收入</w:t>
            </w:r>
          </w:p>
        </w:tc>
        <w:tc>
          <w:tcPr>
            <w:tcW w:w="1312" w:type="dxa"/>
            <w:vAlign w:val="center"/>
          </w:tcPr>
          <w:p>
            <w:pPr>
              <w:jc w:val="center"/>
              <w:rPr>
                <w:rFonts w:ascii="宋体" w:hAnsi="宋体"/>
                <w:sz w:val="18"/>
                <w:szCs w:val="18"/>
              </w:rPr>
            </w:pPr>
            <w:r>
              <w:rPr>
                <w:rFonts w:ascii="宋体" w:hAnsi="宋体"/>
                <w:sz w:val="18"/>
                <w:szCs w:val="18"/>
              </w:rPr>
              <w:t>A</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241.56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241.56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经营活动支出</w:t>
            </w:r>
          </w:p>
        </w:tc>
        <w:tc>
          <w:tcPr>
            <w:tcW w:w="1312" w:type="dxa"/>
            <w:vAlign w:val="center"/>
          </w:tcPr>
          <w:p>
            <w:pPr>
              <w:jc w:val="center"/>
              <w:rPr>
                <w:rFonts w:ascii="宋体" w:hAnsi="宋体"/>
                <w:sz w:val="18"/>
                <w:szCs w:val="18"/>
              </w:rPr>
            </w:pPr>
            <w:r>
              <w:rPr>
                <w:rFonts w:ascii="宋体" w:hAnsi="宋体"/>
                <w:sz w:val="18"/>
                <w:szCs w:val="18"/>
              </w:rPr>
              <w:t>B</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支付的各项税费</w:t>
            </w:r>
          </w:p>
        </w:tc>
        <w:tc>
          <w:tcPr>
            <w:tcW w:w="1312" w:type="dxa"/>
            <w:shd w:val="clear" w:color="000000" w:fill="FFFFFF"/>
            <w:vAlign w:val="center"/>
          </w:tcPr>
          <w:p>
            <w:pPr>
              <w:jc w:val="center"/>
              <w:rPr>
                <w:rFonts w:ascii="宋体" w:hAnsi="宋体"/>
                <w:sz w:val="18"/>
                <w:szCs w:val="18"/>
              </w:rPr>
            </w:pPr>
            <w:r>
              <w:rPr>
                <w:rFonts w:ascii="宋体" w:hAnsi="宋体"/>
                <w:sz w:val="18"/>
                <w:szCs w:val="18"/>
              </w:rPr>
              <w:t>C</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经营活动现金净流量</w:t>
            </w:r>
          </w:p>
        </w:tc>
        <w:tc>
          <w:tcPr>
            <w:tcW w:w="1312" w:type="dxa"/>
            <w:vAlign w:val="center"/>
          </w:tcPr>
          <w:p>
            <w:pPr>
              <w:jc w:val="center"/>
              <w:rPr>
                <w:rFonts w:ascii="宋体" w:hAnsi="宋体"/>
                <w:sz w:val="18"/>
                <w:szCs w:val="18"/>
              </w:rPr>
            </w:pPr>
            <w:r>
              <w:rPr>
                <w:rFonts w:ascii="宋体" w:hAnsi="宋体"/>
                <w:sz w:val="18"/>
                <w:szCs w:val="18"/>
              </w:rPr>
              <w:t>D=A-B-C</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155.97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155.97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rPr>
                <w:rFonts w:ascii="宋体" w:hAnsi="宋体"/>
                <w:sz w:val="18"/>
                <w:szCs w:val="18"/>
              </w:rPr>
            </w:pPr>
            <w:r>
              <w:rPr>
                <w:rFonts w:ascii="宋体" w:hAnsi="宋体"/>
                <w:sz w:val="18"/>
                <w:szCs w:val="18"/>
              </w:rPr>
              <w:t>二、投资活动产生的现金</w:t>
            </w:r>
          </w:p>
        </w:tc>
        <w:tc>
          <w:tcPr>
            <w:tcW w:w="1312" w:type="dxa"/>
            <w:vAlign w:val="center"/>
          </w:tcPr>
          <w:p>
            <w:pPr>
              <w:jc w:val="center"/>
              <w:rPr>
                <w:rFonts w:ascii="宋体" w:hAnsi="宋体"/>
                <w:sz w:val="18"/>
                <w:szCs w:val="18"/>
              </w:rPr>
            </w:pPr>
            <w:r>
              <w:rPr>
                <w:rFonts w:ascii="宋体" w:hAnsi="宋体"/>
                <w:sz w:val="18"/>
                <w:szCs w:val="18"/>
              </w:rPr>
              <w:t>—</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建设成本支出</w:t>
            </w:r>
          </w:p>
        </w:tc>
        <w:tc>
          <w:tcPr>
            <w:tcW w:w="1312" w:type="dxa"/>
            <w:vAlign w:val="center"/>
          </w:tcPr>
          <w:p>
            <w:pPr>
              <w:jc w:val="center"/>
              <w:rPr>
                <w:rFonts w:ascii="宋体" w:hAnsi="宋体"/>
                <w:sz w:val="18"/>
                <w:szCs w:val="18"/>
              </w:rPr>
            </w:pPr>
            <w:r>
              <w:rPr>
                <w:rFonts w:ascii="宋体" w:hAnsi="宋体"/>
                <w:sz w:val="18"/>
                <w:szCs w:val="18"/>
              </w:rPr>
              <w:t>E</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流动资金支出</w:t>
            </w:r>
          </w:p>
        </w:tc>
        <w:tc>
          <w:tcPr>
            <w:tcW w:w="1312" w:type="dxa"/>
            <w:vAlign w:val="center"/>
          </w:tcPr>
          <w:p>
            <w:pPr>
              <w:jc w:val="center"/>
              <w:rPr>
                <w:rFonts w:ascii="宋体" w:hAnsi="宋体"/>
                <w:sz w:val="18"/>
                <w:szCs w:val="18"/>
              </w:rPr>
            </w:pPr>
            <w:r>
              <w:rPr>
                <w:rFonts w:ascii="宋体" w:hAnsi="宋体"/>
                <w:sz w:val="18"/>
                <w:szCs w:val="18"/>
              </w:rPr>
              <w:t>F</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投资活动现金净流量</w:t>
            </w:r>
          </w:p>
        </w:tc>
        <w:tc>
          <w:tcPr>
            <w:tcW w:w="1312" w:type="dxa"/>
            <w:vAlign w:val="center"/>
          </w:tcPr>
          <w:p>
            <w:pPr>
              <w:jc w:val="center"/>
              <w:rPr>
                <w:rFonts w:ascii="宋体" w:hAnsi="宋体"/>
                <w:sz w:val="18"/>
                <w:szCs w:val="18"/>
              </w:rPr>
            </w:pPr>
            <w:r>
              <w:rPr>
                <w:rFonts w:ascii="宋体" w:hAnsi="宋体"/>
                <w:sz w:val="18"/>
                <w:szCs w:val="18"/>
              </w:rPr>
              <w:t>G=-E-F</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rPr>
                <w:rFonts w:ascii="宋体" w:hAnsi="宋体"/>
                <w:sz w:val="18"/>
                <w:szCs w:val="18"/>
              </w:rPr>
            </w:pPr>
            <w:r>
              <w:rPr>
                <w:rFonts w:ascii="宋体" w:hAnsi="宋体"/>
                <w:sz w:val="18"/>
                <w:szCs w:val="18"/>
              </w:rPr>
              <w:t>三、融资活动产生的现金</w:t>
            </w:r>
          </w:p>
        </w:tc>
        <w:tc>
          <w:tcPr>
            <w:tcW w:w="1312" w:type="dxa"/>
            <w:vAlign w:val="center"/>
          </w:tcPr>
          <w:p>
            <w:pPr>
              <w:jc w:val="center"/>
              <w:rPr>
                <w:rFonts w:ascii="宋体" w:hAnsi="宋体"/>
                <w:color w:val="000000"/>
                <w:sz w:val="18"/>
                <w:szCs w:val="18"/>
              </w:rPr>
            </w:pPr>
            <w:r>
              <w:rPr>
                <w:rFonts w:ascii="宋体" w:hAnsi="宋体"/>
                <w:sz w:val="18"/>
                <w:szCs w:val="18"/>
              </w:rPr>
              <w:t>—</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资本金</w:t>
            </w:r>
          </w:p>
        </w:tc>
        <w:tc>
          <w:tcPr>
            <w:tcW w:w="1312" w:type="dxa"/>
            <w:vAlign w:val="center"/>
          </w:tcPr>
          <w:p>
            <w:pPr>
              <w:jc w:val="center"/>
              <w:rPr>
                <w:rFonts w:ascii="宋体" w:hAnsi="宋体"/>
                <w:color w:val="000000"/>
                <w:sz w:val="18"/>
                <w:szCs w:val="18"/>
              </w:rPr>
            </w:pPr>
            <w:r>
              <w:rPr>
                <w:rFonts w:ascii="宋体" w:hAnsi="宋体"/>
                <w:color w:val="000000"/>
                <w:sz w:val="18"/>
                <w:szCs w:val="18"/>
              </w:rPr>
              <w:t>H</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专项债券</w:t>
            </w:r>
          </w:p>
        </w:tc>
        <w:tc>
          <w:tcPr>
            <w:tcW w:w="1312" w:type="dxa"/>
            <w:vAlign w:val="center"/>
          </w:tcPr>
          <w:p>
            <w:pPr>
              <w:jc w:val="center"/>
              <w:rPr>
                <w:rFonts w:ascii="宋体" w:hAnsi="宋体"/>
                <w:color w:val="000000"/>
                <w:sz w:val="18"/>
                <w:szCs w:val="18"/>
              </w:rPr>
            </w:pPr>
            <w:r>
              <w:rPr>
                <w:rFonts w:ascii="宋体" w:hAnsi="宋体"/>
                <w:color w:val="000000"/>
                <w:sz w:val="18"/>
                <w:szCs w:val="18"/>
              </w:rPr>
              <w:t>I</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偿还债券本金</w:t>
            </w:r>
          </w:p>
        </w:tc>
        <w:tc>
          <w:tcPr>
            <w:tcW w:w="1312" w:type="dxa"/>
            <w:shd w:val="clear" w:color="000000" w:fill="FFFFFF"/>
            <w:vAlign w:val="center"/>
          </w:tcPr>
          <w:p>
            <w:pPr>
              <w:jc w:val="center"/>
              <w:rPr>
                <w:rFonts w:ascii="宋体" w:hAnsi="宋体"/>
                <w:color w:val="000000"/>
                <w:sz w:val="18"/>
                <w:szCs w:val="18"/>
              </w:rPr>
            </w:pPr>
            <w:r>
              <w:rPr>
                <w:rFonts w:ascii="宋体" w:hAnsi="宋体"/>
                <w:color w:val="000000"/>
                <w:sz w:val="18"/>
                <w:szCs w:val="18"/>
              </w:rPr>
              <w:t>K</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34"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支付债券利息</w:t>
            </w:r>
          </w:p>
        </w:tc>
        <w:tc>
          <w:tcPr>
            <w:tcW w:w="1312" w:type="dxa"/>
            <w:shd w:val="clear" w:color="000000" w:fill="FFFFFF"/>
            <w:vAlign w:val="center"/>
          </w:tcPr>
          <w:p>
            <w:pPr>
              <w:jc w:val="center"/>
              <w:rPr>
                <w:rFonts w:ascii="宋体" w:hAnsi="宋体"/>
                <w:color w:val="000000"/>
                <w:sz w:val="18"/>
                <w:szCs w:val="18"/>
              </w:rPr>
            </w:pPr>
            <w:r>
              <w:rPr>
                <w:rFonts w:ascii="宋体" w:hAnsi="宋体"/>
                <w:color w:val="000000"/>
                <w:sz w:val="18"/>
                <w:szCs w:val="18"/>
              </w:rPr>
              <w:t>M</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34"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2"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450"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融资活动现金净流量</w:t>
            </w:r>
          </w:p>
        </w:tc>
        <w:tc>
          <w:tcPr>
            <w:tcW w:w="1312" w:type="dxa"/>
            <w:vAlign w:val="center"/>
          </w:tcPr>
          <w:p>
            <w:pPr>
              <w:jc w:val="center"/>
              <w:rPr>
                <w:rFonts w:ascii="宋体" w:hAnsi="宋体"/>
                <w:color w:val="000000"/>
                <w:sz w:val="18"/>
                <w:szCs w:val="18"/>
              </w:rPr>
            </w:pPr>
            <w:r>
              <w:rPr>
                <w:rFonts w:ascii="宋体" w:hAnsi="宋体"/>
                <w:color w:val="000000"/>
                <w:sz w:val="18"/>
                <w:szCs w:val="18"/>
              </w:rPr>
              <w:t>O=H+I-K-M</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rPr>
                <w:rFonts w:ascii="宋体" w:hAnsi="宋体"/>
                <w:sz w:val="18"/>
                <w:szCs w:val="18"/>
              </w:rPr>
            </w:pPr>
            <w:r>
              <w:rPr>
                <w:rFonts w:ascii="宋体" w:hAnsi="宋体"/>
                <w:sz w:val="18"/>
                <w:szCs w:val="18"/>
              </w:rPr>
              <w:t>四、期初现金</w:t>
            </w:r>
          </w:p>
        </w:tc>
        <w:tc>
          <w:tcPr>
            <w:tcW w:w="1312" w:type="dxa"/>
            <w:vAlign w:val="center"/>
          </w:tcPr>
          <w:p>
            <w:pPr>
              <w:jc w:val="center"/>
              <w:rPr>
                <w:rFonts w:ascii="宋体" w:hAnsi="宋体"/>
                <w:color w:val="000000"/>
                <w:sz w:val="18"/>
                <w:szCs w:val="18"/>
              </w:rPr>
            </w:pPr>
            <w:r>
              <w:rPr>
                <w:rFonts w:ascii="宋体" w:hAnsi="宋体"/>
                <w:color w:val="000000"/>
                <w:sz w:val="18"/>
                <w:szCs w:val="18"/>
              </w:rPr>
              <w:t>P</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617.21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741.18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864.49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987.80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1,111.11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1,235.08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1,358.39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1,481.70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ind w:firstLine="360" w:firstLineChars="200"/>
              <w:rPr>
                <w:rFonts w:ascii="宋体" w:hAnsi="宋体"/>
                <w:sz w:val="18"/>
                <w:szCs w:val="18"/>
              </w:rPr>
            </w:pPr>
            <w:r>
              <w:rPr>
                <w:rFonts w:ascii="宋体" w:hAnsi="宋体"/>
                <w:sz w:val="18"/>
                <w:szCs w:val="18"/>
              </w:rPr>
              <w:t>期内现金变动</w:t>
            </w:r>
          </w:p>
        </w:tc>
        <w:tc>
          <w:tcPr>
            <w:tcW w:w="1312" w:type="dxa"/>
            <w:vAlign w:val="center"/>
          </w:tcPr>
          <w:p>
            <w:pPr>
              <w:jc w:val="center"/>
              <w:rPr>
                <w:rFonts w:ascii="宋体" w:hAnsi="宋体"/>
                <w:color w:val="000000"/>
                <w:sz w:val="18"/>
                <w:szCs w:val="18"/>
              </w:rPr>
            </w:pPr>
            <w:r>
              <w:rPr>
                <w:rFonts w:ascii="宋体" w:hAnsi="宋体"/>
                <w:color w:val="000000"/>
                <w:sz w:val="18"/>
                <w:szCs w:val="18"/>
              </w:rPr>
              <w:t>Q=D+G+O</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123.97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123.97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397" w:hRule="exact"/>
          <w:jc w:val="center"/>
        </w:trPr>
        <w:tc>
          <w:tcPr>
            <w:tcW w:w="2444" w:type="dxa"/>
            <w:vAlign w:val="center"/>
          </w:tcPr>
          <w:p>
            <w:pPr>
              <w:rPr>
                <w:rFonts w:ascii="宋体" w:hAnsi="宋体"/>
                <w:sz w:val="18"/>
                <w:szCs w:val="18"/>
              </w:rPr>
            </w:pPr>
            <w:r>
              <w:rPr>
                <w:rFonts w:ascii="宋体" w:hAnsi="宋体"/>
                <w:sz w:val="18"/>
                <w:szCs w:val="18"/>
              </w:rPr>
              <w:t>五、期末现金</w:t>
            </w:r>
          </w:p>
        </w:tc>
        <w:tc>
          <w:tcPr>
            <w:tcW w:w="1312" w:type="dxa"/>
            <w:vAlign w:val="center"/>
          </w:tcPr>
          <w:p>
            <w:pPr>
              <w:jc w:val="center"/>
              <w:rPr>
                <w:rFonts w:ascii="宋体" w:hAnsi="宋体"/>
                <w:color w:val="000000"/>
                <w:sz w:val="18"/>
                <w:szCs w:val="18"/>
              </w:rPr>
            </w:pPr>
            <w:r>
              <w:rPr>
                <w:rFonts w:ascii="宋体" w:hAnsi="宋体"/>
                <w:color w:val="000000"/>
                <w:sz w:val="18"/>
                <w:szCs w:val="18"/>
              </w:rPr>
              <w:t>R=P+Q</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741.18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864.49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987.80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1,111.11 </w:t>
            </w:r>
          </w:p>
        </w:tc>
        <w:tc>
          <w:tcPr>
            <w:tcW w:w="1234"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1,235.08 </w:t>
            </w:r>
          </w:p>
        </w:tc>
        <w:tc>
          <w:tcPr>
            <w:tcW w:w="122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1,358.39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1,481.70 </w:t>
            </w:r>
          </w:p>
        </w:tc>
        <w:tc>
          <w:tcPr>
            <w:tcW w:w="1222"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1,605.01 </w:t>
            </w:r>
          </w:p>
        </w:tc>
      </w:tr>
      <w:bookmarkEnd w:id="38"/>
    </w:tbl>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（续）表</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 xml:space="preserve">  项目资金测算平衡表（单位：万元）</w:t>
      </w:r>
    </w:p>
    <w:tbl>
      <w:tblPr>
        <w:tblStyle w:val="19"/>
        <w:tblW w:w="4998" w:type="pct"/>
        <w:jc w:val="center"/>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Layout w:type="autofit"/>
        <w:tblCellMar>
          <w:top w:w="0" w:type="dxa"/>
          <w:left w:w="108" w:type="dxa"/>
          <w:bottom w:w="0" w:type="dxa"/>
          <w:right w:w="108" w:type="dxa"/>
        </w:tblCellMar>
      </w:tblPr>
      <w:tblGrid>
        <w:gridCol w:w="3253"/>
        <w:gridCol w:w="1638"/>
        <w:gridCol w:w="1311"/>
        <w:gridCol w:w="1368"/>
        <w:gridCol w:w="1345"/>
        <w:gridCol w:w="1345"/>
        <w:gridCol w:w="1378"/>
        <w:gridCol w:w="1329"/>
      </w:tblGrid>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jc w:val="center"/>
              <w:rPr>
                <w:rFonts w:ascii="黑体" w:hAnsi="黑体" w:eastAsia="黑体"/>
                <w:sz w:val="18"/>
                <w:szCs w:val="18"/>
              </w:rPr>
            </w:pPr>
            <w:bookmarkStart w:id="39" w:name="_Hlk208347609"/>
            <w:r>
              <w:rPr>
                <w:rFonts w:ascii="黑体" w:hAnsi="黑体" w:eastAsia="黑体"/>
                <w:sz w:val="18"/>
                <w:szCs w:val="18"/>
              </w:rPr>
              <w:t>项目/年度</w:t>
            </w:r>
          </w:p>
        </w:tc>
        <w:tc>
          <w:tcPr>
            <w:tcW w:w="631" w:type="pct"/>
            <w:vAlign w:val="center"/>
          </w:tcPr>
          <w:p>
            <w:pPr>
              <w:jc w:val="center"/>
              <w:rPr>
                <w:rFonts w:ascii="黑体" w:hAnsi="黑体" w:eastAsia="黑体"/>
                <w:color w:val="000000"/>
                <w:sz w:val="18"/>
                <w:szCs w:val="18"/>
              </w:rPr>
            </w:pPr>
            <w:r>
              <w:rPr>
                <w:rFonts w:ascii="黑体" w:hAnsi="黑体" w:eastAsia="黑体"/>
                <w:color w:val="000000"/>
                <w:sz w:val="18"/>
                <w:szCs w:val="18"/>
              </w:rPr>
              <w:t>公式</w:t>
            </w:r>
          </w:p>
        </w:tc>
        <w:tc>
          <w:tcPr>
            <w:tcW w:w="505"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2040年</w:t>
            </w:r>
          </w:p>
        </w:tc>
        <w:tc>
          <w:tcPr>
            <w:tcW w:w="527"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2041年</w:t>
            </w:r>
          </w:p>
        </w:tc>
        <w:tc>
          <w:tcPr>
            <w:tcW w:w="518"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2042年</w:t>
            </w:r>
          </w:p>
        </w:tc>
        <w:tc>
          <w:tcPr>
            <w:tcW w:w="518"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2043年</w:t>
            </w:r>
          </w:p>
        </w:tc>
        <w:tc>
          <w:tcPr>
            <w:tcW w:w="531"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2044年</w:t>
            </w:r>
          </w:p>
        </w:tc>
        <w:tc>
          <w:tcPr>
            <w:tcW w:w="512" w:type="pct"/>
            <w:vAlign w:val="center"/>
          </w:tcPr>
          <w:p>
            <w:pPr>
              <w:keepNext w:val="0"/>
              <w:keepLines w:val="0"/>
              <w:widowControl/>
              <w:suppressLineNumbers w:val="0"/>
              <w:jc w:val="center"/>
              <w:textAlignment w:val="center"/>
              <w:rPr>
                <w:rFonts w:ascii="黑体" w:hAnsi="黑体" w:eastAsia="黑体"/>
                <w:color w:val="000000"/>
                <w:sz w:val="18"/>
                <w:szCs w:val="18"/>
              </w:rPr>
            </w:pPr>
            <w:r>
              <w:rPr>
                <w:rFonts w:hint="default" w:ascii="Times New Roman" w:hAnsi="Times New Roman" w:eastAsia="宋体" w:cs="Times New Roman"/>
                <w:i w:val="0"/>
                <w:iCs w:val="0"/>
                <w:color w:val="000000"/>
                <w:kern w:val="0"/>
                <w:sz w:val="20"/>
                <w:szCs w:val="20"/>
                <w:u w:val="none"/>
                <w:lang w:val="en-US" w:eastAsia="zh-CN" w:bidi="ar"/>
              </w:rPr>
              <w:t>2045年</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rPr>
                <w:rFonts w:ascii="宋体" w:hAnsi="宋体"/>
                <w:sz w:val="18"/>
                <w:szCs w:val="18"/>
              </w:rPr>
            </w:pPr>
            <w:r>
              <w:rPr>
                <w:rFonts w:ascii="宋体" w:hAnsi="宋体"/>
                <w:sz w:val="18"/>
                <w:szCs w:val="18"/>
              </w:rPr>
              <w:t>一、经营活动产生的现金</w:t>
            </w:r>
          </w:p>
        </w:tc>
        <w:tc>
          <w:tcPr>
            <w:tcW w:w="631" w:type="pct"/>
            <w:vAlign w:val="center"/>
          </w:tcPr>
          <w:p>
            <w:pPr>
              <w:jc w:val="center"/>
              <w:rPr>
                <w:rFonts w:ascii="宋体" w:hAnsi="宋体"/>
                <w:sz w:val="18"/>
                <w:szCs w:val="18"/>
              </w:rPr>
            </w:pPr>
            <w:r>
              <w:rPr>
                <w:rFonts w:ascii="宋体" w:hAnsi="宋体"/>
                <w:sz w:val="18"/>
                <w:szCs w:val="18"/>
              </w:rPr>
              <w:t>—</w:t>
            </w:r>
          </w:p>
        </w:tc>
        <w:tc>
          <w:tcPr>
            <w:tcW w:w="505" w:type="pct"/>
            <w:vAlign w:val="center"/>
          </w:tcPr>
          <w:p>
            <w:pPr>
              <w:rPr>
                <w:sz w:val="18"/>
                <w:szCs w:val="18"/>
              </w:rPr>
            </w:pPr>
          </w:p>
        </w:tc>
        <w:tc>
          <w:tcPr>
            <w:tcW w:w="527" w:type="pct"/>
            <w:vAlign w:val="center"/>
          </w:tcPr>
          <w:p>
            <w:pPr>
              <w:rPr>
                <w:sz w:val="18"/>
                <w:szCs w:val="18"/>
              </w:rPr>
            </w:pPr>
          </w:p>
        </w:tc>
        <w:tc>
          <w:tcPr>
            <w:tcW w:w="518" w:type="pct"/>
            <w:vAlign w:val="center"/>
          </w:tcPr>
          <w:p>
            <w:pPr>
              <w:rPr>
                <w:sz w:val="18"/>
                <w:szCs w:val="18"/>
              </w:rPr>
            </w:pPr>
          </w:p>
        </w:tc>
        <w:tc>
          <w:tcPr>
            <w:tcW w:w="518" w:type="pct"/>
            <w:vAlign w:val="center"/>
          </w:tcPr>
          <w:p>
            <w:pPr>
              <w:rPr>
                <w:sz w:val="18"/>
                <w:szCs w:val="18"/>
              </w:rPr>
            </w:pPr>
          </w:p>
        </w:tc>
        <w:tc>
          <w:tcPr>
            <w:tcW w:w="531" w:type="pct"/>
            <w:vAlign w:val="center"/>
          </w:tcPr>
          <w:p>
            <w:pPr>
              <w:rPr>
                <w:sz w:val="18"/>
                <w:szCs w:val="18"/>
              </w:rPr>
            </w:pPr>
          </w:p>
        </w:tc>
        <w:tc>
          <w:tcPr>
            <w:tcW w:w="512" w:type="pct"/>
            <w:shd w:val="clear" w:color="auto" w:fill="auto"/>
            <w:vAlign w:val="center"/>
          </w:tcPr>
          <w:p>
            <w:pPr>
              <w:rPr>
                <w:sz w:val="18"/>
                <w:szCs w:val="18"/>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经营活动收入</w:t>
            </w:r>
          </w:p>
        </w:tc>
        <w:tc>
          <w:tcPr>
            <w:tcW w:w="631" w:type="pct"/>
            <w:vAlign w:val="center"/>
          </w:tcPr>
          <w:p>
            <w:pPr>
              <w:jc w:val="center"/>
              <w:rPr>
                <w:rFonts w:ascii="宋体" w:hAnsi="宋体"/>
                <w:sz w:val="18"/>
                <w:szCs w:val="18"/>
              </w:rPr>
            </w:pPr>
            <w:r>
              <w:rPr>
                <w:rFonts w:ascii="宋体" w:hAnsi="宋体"/>
                <w:sz w:val="18"/>
                <w:szCs w:val="18"/>
              </w:rPr>
              <w:t>A</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241.56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241.56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240.90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经营活动支出</w:t>
            </w:r>
          </w:p>
        </w:tc>
        <w:tc>
          <w:tcPr>
            <w:tcW w:w="631" w:type="pct"/>
            <w:vAlign w:val="center"/>
          </w:tcPr>
          <w:p>
            <w:pPr>
              <w:jc w:val="center"/>
              <w:rPr>
                <w:rFonts w:ascii="宋体" w:hAnsi="宋体"/>
                <w:sz w:val="18"/>
                <w:szCs w:val="18"/>
              </w:rPr>
            </w:pPr>
            <w:r>
              <w:rPr>
                <w:rFonts w:ascii="宋体" w:hAnsi="宋体"/>
                <w:sz w:val="18"/>
                <w:szCs w:val="18"/>
              </w:rPr>
              <w:t>B</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85.59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支付的各项税费</w:t>
            </w:r>
          </w:p>
        </w:tc>
        <w:tc>
          <w:tcPr>
            <w:tcW w:w="631" w:type="pct"/>
            <w:shd w:val="clear" w:color="000000" w:fill="FFFFFF"/>
            <w:vAlign w:val="center"/>
          </w:tcPr>
          <w:p>
            <w:pPr>
              <w:jc w:val="center"/>
              <w:rPr>
                <w:rFonts w:ascii="宋体" w:hAnsi="宋体"/>
                <w:sz w:val="18"/>
                <w:szCs w:val="18"/>
              </w:rPr>
            </w:pPr>
            <w:r>
              <w:rPr>
                <w:rFonts w:ascii="宋体" w:hAnsi="宋体"/>
                <w:sz w:val="18"/>
                <w:szCs w:val="18"/>
              </w:rPr>
              <w:t>C</w:t>
            </w:r>
          </w:p>
        </w:tc>
        <w:tc>
          <w:tcPr>
            <w:tcW w:w="131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经营活动现金净流量</w:t>
            </w:r>
          </w:p>
        </w:tc>
        <w:tc>
          <w:tcPr>
            <w:tcW w:w="631" w:type="pct"/>
            <w:vAlign w:val="center"/>
          </w:tcPr>
          <w:p>
            <w:pPr>
              <w:jc w:val="center"/>
              <w:rPr>
                <w:rFonts w:ascii="宋体" w:hAnsi="宋体"/>
                <w:sz w:val="18"/>
                <w:szCs w:val="18"/>
              </w:rPr>
            </w:pPr>
            <w:r>
              <w:rPr>
                <w:rFonts w:ascii="宋体" w:hAnsi="宋体"/>
                <w:sz w:val="18"/>
                <w:szCs w:val="18"/>
              </w:rPr>
              <w:t>D=A-B-C</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155.97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155.97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155.31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rPr>
                <w:rFonts w:ascii="宋体" w:hAnsi="宋体"/>
                <w:sz w:val="18"/>
                <w:szCs w:val="18"/>
              </w:rPr>
            </w:pPr>
            <w:r>
              <w:rPr>
                <w:rFonts w:ascii="宋体" w:hAnsi="宋体"/>
                <w:sz w:val="18"/>
                <w:szCs w:val="18"/>
              </w:rPr>
              <w:t>二、投资活动产生的现金</w:t>
            </w:r>
          </w:p>
        </w:tc>
        <w:tc>
          <w:tcPr>
            <w:tcW w:w="631" w:type="pct"/>
            <w:vAlign w:val="center"/>
          </w:tcPr>
          <w:p>
            <w:pPr>
              <w:jc w:val="center"/>
              <w:rPr>
                <w:rFonts w:ascii="宋体" w:hAnsi="宋体"/>
                <w:sz w:val="18"/>
                <w:szCs w:val="18"/>
              </w:rPr>
            </w:pPr>
            <w:r>
              <w:rPr>
                <w:rFonts w:ascii="宋体" w:hAnsi="宋体"/>
                <w:sz w:val="18"/>
                <w:szCs w:val="18"/>
              </w:rPr>
              <w:t>—</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建设成本支出</w:t>
            </w:r>
          </w:p>
        </w:tc>
        <w:tc>
          <w:tcPr>
            <w:tcW w:w="631" w:type="pct"/>
            <w:vAlign w:val="center"/>
          </w:tcPr>
          <w:p>
            <w:pPr>
              <w:jc w:val="center"/>
              <w:rPr>
                <w:rFonts w:ascii="宋体" w:hAnsi="宋体"/>
                <w:sz w:val="18"/>
                <w:szCs w:val="18"/>
              </w:rPr>
            </w:pPr>
            <w:r>
              <w:rPr>
                <w:rFonts w:ascii="宋体" w:hAnsi="宋体"/>
                <w:sz w:val="18"/>
                <w:szCs w:val="18"/>
              </w:rPr>
              <w:t>E</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流动资金支出</w:t>
            </w:r>
          </w:p>
        </w:tc>
        <w:tc>
          <w:tcPr>
            <w:tcW w:w="631" w:type="pct"/>
            <w:vAlign w:val="center"/>
          </w:tcPr>
          <w:p>
            <w:pPr>
              <w:jc w:val="center"/>
              <w:rPr>
                <w:rFonts w:ascii="宋体" w:hAnsi="宋体"/>
                <w:sz w:val="18"/>
                <w:szCs w:val="18"/>
              </w:rPr>
            </w:pPr>
            <w:r>
              <w:rPr>
                <w:rFonts w:ascii="宋体" w:hAnsi="宋体"/>
                <w:sz w:val="18"/>
                <w:szCs w:val="18"/>
              </w:rPr>
              <w:t>F</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投资活动现金净流量</w:t>
            </w:r>
          </w:p>
        </w:tc>
        <w:tc>
          <w:tcPr>
            <w:tcW w:w="631" w:type="pct"/>
            <w:vAlign w:val="center"/>
          </w:tcPr>
          <w:p>
            <w:pPr>
              <w:jc w:val="center"/>
              <w:rPr>
                <w:rFonts w:ascii="宋体" w:hAnsi="宋体"/>
                <w:sz w:val="18"/>
                <w:szCs w:val="18"/>
              </w:rPr>
            </w:pPr>
            <w:r>
              <w:rPr>
                <w:rFonts w:ascii="宋体" w:hAnsi="宋体"/>
                <w:sz w:val="18"/>
                <w:szCs w:val="18"/>
              </w:rPr>
              <w:t>G=-E-F</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rPr>
                <w:rFonts w:ascii="宋体" w:hAnsi="宋体"/>
                <w:sz w:val="18"/>
                <w:szCs w:val="18"/>
              </w:rPr>
            </w:pPr>
            <w:r>
              <w:rPr>
                <w:rFonts w:ascii="宋体" w:hAnsi="宋体"/>
                <w:sz w:val="18"/>
                <w:szCs w:val="18"/>
              </w:rPr>
              <w:t>三、融资活动产生的现金</w:t>
            </w:r>
          </w:p>
        </w:tc>
        <w:tc>
          <w:tcPr>
            <w:tcW w:w="631" w:type="pct"/>
            <w:vAlign w:val="center"/>
          </w:tcPr>
          <w:p>
            <w:pPr>
              <w:jc w:val="center"/>
              <w:rPr>
                <w:rFonts w:ascii="宋体" w:hAnsi="宋体"/>
                <w:color w:val="000000"/>
                <w:sz w:val="18"/>
                <w:szCs w:val="18"/>
              </w:rPr>
            </w:pPr>
            <w:r>
              <w:rPr>
                <w:rFonts w:ascii="宋体" w:hAnsi="宋体"/>
                <w:sz w:val="18"/>
                <w:szCs w:val="18"/>
              </w:rPr>
              <w:t>—</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资本金</w:t>
            </w:r>
          </w:p>
        </w:tc>
        <w:tc>
          <w:tcPr>
            <w:tcW w:w="631" w:type="pct"/>
            <w:vAlign w:val="center"/>
          </w:tcPr>
          <w:p>
            <w:pPr>
              <w:jc w:val="center"/>
              <w:rPr>
                <w:rFonts w:ascii="宋体" w:hAnsi="宋体"/>
                <w:color w:val="000000"/>
                <w:sz w:val="18"/>
                <w:szCs w:val="18"/>
              </w:rPr>
            </w:pPr>
            <w:r>
              <w:rPr>
                <w:rFonts w:ascii="宋体" w:hAnsi="宋体"/>
                <w:color w:val="000000"/>
                <w:sz w:val="18"/>
                <w:szCs w:val="18"/>
              </w:rPr>
              <w:t>H</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专项债券</w:t>
            </w:r>
          </w:p>
        </w:tc>
        <w:tc>
          <w:tcPr>
            <w:tcW w:w="631" w:type="pct"/>
            <w:vAlign w:val="center"/>
          </w:tcPr>
          <w:p>
            <w:pPr>
              <w:jc w:val="center"/>
              <w:rPr>
                <w:rFonts w:ascii="宋体" w:hAnsi="宋体"/>
                <w:color w:val="000000"/>
                <w:sz w:val="18"/>
                <w:szCs w:val="18"/>
              </w:rPr>
            </w:pPr>
            <w:r>
              <w:rPr>
                <w:rFonts w:ascii="宋体" w:hAnsi="宋体"/>
                <w:color w:val="000000"/>
                <w:sz w:val="18"/>
                <w:szCs w:val="18"/>
              </w:rPr>
              <w:t>I</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偿还债券本金</w:t>
            </w:r>
          </w:p>
        </w:tc>
        <w:tc>
          <w:tcPr>
            <w:tcW w:w="631" w:type="pct"/>
            <w:shd w:val="clear" w:color="000000" w:fill="FFFFFF"/>
            <w:vAlign w:val="center"/>
          </w:tcPr>
          <w:p>
            <w:pPr>
              <w:jc w:val="center"/>
              <w:rPr>
                <w:rFonts w:ascii="宋体" w:hAnsi="宋体"/>
                <w:color w:val="000000"/>
                <w:sz w:val="18"/>
                <w:szCs w:val="18"/>
              </w:rPr>
            </w:pPr>
            <w:r>
              <w:rPr>
                <w:rFonts w:ascii="宋体" w:hAnsi="宋体"/>
                <w:color w:val="000000"/>
                <w:sz w:val="18"/>
                <w:szCs w:val="18"/>
              </w:rPr>
              <w:t>K</w:t>
            </w:r>
          </w:p>
        </w:tc>
        <w:tc>
          <w:tcPr>
            <w:tcW w:w="131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7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329"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1,000.00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支付债券利息</w:t>
            </w:r>
          </w:p>
        </w:tc>
        <w:tc>
          <w:tcPr>
            <w:tcW w:w="631" w:type="pct"/>
            <w:shd w:val="clear" w:color="000000" w:fill="FFFFFF"/>
            <w:vAlign w:val="center"/>
          </w:tcPr>
          <w:p>
            <w:pPr>
              <w:jc w:val="center"/>
              <w:rPr>
                <w:rFonts w:ascii="宋体" w:hAnsi="宋体"/>
                <w:color w:val="000000"/>
                <w:sz w:val="18"/>
                <w:szCs w:val="18"/>
              </w:rPr>
            </w:pPr>
            <w:r>
              <w:rPr>
                <w:rFonts w:ascii="宋体" w:hAnsi="宋体"/>
                <w:color w:val="000000"/>
                <w:sz w:val="18"/>
                <w:szCs w:val="18"/>
              </w:rPr>
              <w:t>M</w:t>
            </w:r>
          </w:p>
        </w:tc>
        <w:tc>
          <w:tcPr>
            <w:tcW w:w="1311"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6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45"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78"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29" w:type="dxa"/>
            <w:shd w:val="clear" w:color="000000"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592"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融资活动现金净流量</w:t>
            </w:r>
          </w:p>
        </w:tc>
        <w:tc>
          <w:tcPr>
            <w:tcW w:w="631" w:type="pct"/>
            <w:vAlign w:val="center"/>
          </w:tcPr>
          <w:p>
            <w:pPr>
              <w:jc w:val="center"/>
              <w:rPr>
                <w:rFonts w:ascii="宋体" w:hAnsi="宋体"/>
                <w:color w:val="000000"/>
                <w:sz w:val="18"/>
                <w:szCs w:val="18"/>
              </w:rPr>
            </w:pPr>
            <w:r>
              <w:rPr>
                <w:rFonts w:ascii="宋体" w:hAnsi="宋体"/>
                <w:color w:val="000000"/>
                <w:sz w:val="18"/>
                <w:szCs w:val="18"/>
              </w:rPr>
              <w:t>O=H+I-K-M</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-32.00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-1,032.00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rPr>
                <w:rFonts w:ascii="宋体" w:hAnsi="宋体"/>
                <w:sz w:val="18"/>
                <w:szCs w:val="18"/>
              </w:rPr>
            </w:pPr>
            <w:r>
              <w:rPr>
                <w:rFonts w:ascii="宋体" w:hAnsi="宋体"/>
                <w:sz w:val="18"/>
                <w:szCs w:val="18"/>
              </w:rPr>
              <w:t>四、期初现金</w:t>
            </w:r>
          </w:p>
        </w:tc>
        <w:tc>
          <w:tcPr>
            <w:tcW w:w="631" w:type="pct"/>
            <w:vAlign w:val="center"/>
          </w:tcPr>
          <w:p>
            <w:pPr>
              <w:jc w:val="center"/>
              <w:rPr>
                <w:rFonts w:ascii="宋体" w:hAnsi="宋体"/>
                <w:color w:val="000000"/>
                <w:sz w:val="18"/>
                <w:szCs w:val="18"/>
              </w:rPr>
            </w:pPr>
            <w:r>
              <w:rPr>
                <w:rFonts w:ascii="宋体" w:hAnsi="宋体"/>
                <w:color w:val="000000"/>
                <w:sz w:val="18"/>
                <w:szCs w:val="18"/>
              </w:rPr>
              <w:t>P</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1,605.01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1,728.98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1,852.29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1,975.60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2,098.91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2,222.88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ind w:firstLine="360" w:firstLineChars="200"/>
              <w:rPr>
                <w:rFonts w:ascii="宋体" w:hAnsi="宋体"/>
                <w:sz w:val="18"/>
                <w:szCs w:val="18"/>
              </w:rPr>
            </w:pPr>
            <w:r>
              <w:rPr>
                <w:rFonts w:ascii="宋体" w:hAnsi="宋体"/>
                <w:sz w:val="18"/>
                <w:szCs w:val="18"/>
              </w:rPr>
              <w:t>期内现金变动</w:t>
            </w:r>
          </w:p>
        </w:tc>
        <w:tc>
          <w:tcPr>
            <w:tcW w:w="631" w:type="pct"/>
            <w:vAlign w:val="center"/>
          </w:tcPr>
          <w:p>
            <w:pPr>
              <w:jc w:val="center"/>
              <w:rPr>
                <w:rFonts w:ascii="宋体" w:hAnsi="宋体"/>
                <w:color w:val="000000"/>
                <w:sz w:val="18"/>
                <w:szCs w:val="18"/>
              </w:rPr>
            </w:pPr>
            <w:r>
              <w:rPr>
                <w:rFonts w:ascii="宋体" w:hAnsi="宋体"/>
                <w:color w:val="000000"/>
                <w:sz w:val="18"/>
                <w:szCs w:val="18"/>
              </w:rPr>
              <w:t>Q=D+G+O</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123.97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123.31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123.97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-876.69 </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4" w:space="0"/>
          </w:tblBorders>
          <w:tblCellMar>
            <w:top w:w="0" w:type="dxa"/>
            <w:left w:w="108" w:type="dxa"/>
            <w:bottom w:w="0" w:type="dxa"/>
            <w:right w:w="108" w:type="dxa"/>
          </w:tblCellMar>
        </w:tblPrEx>
        <w:trPr>
          <w:cantSplit/>
          <w:trHeight w:val="397" w:hRule="exact"/>
          <w:jc w:val="center"/>
        </w:trPr>
        <w:tc>
          <w:tcPr>
            <w:tcW w:w="1253" w:type="pct"/>
            <w:vAlign w:val="center"/>
          </w:tcPr>
          <w:p>
            <w:pPr>
              <w:rPr>
                <w:rFonts w:ascii="宋体" w:hAnsi="宋体"/>
                <w:sz w:val="18"/>
                <w:szCs w:val="18"/>
              </w:rPr>
            </w:pPr>
            <w:r>
              <w:rPr>
                <w:rFonts w:ascii="宋体" w:hAnsi="宋体"/>
                <w:sz w:val="18"/>
                <w:szCs w:val="18"/>
              </w:rPr>
              <w:t>五、期末现金</w:t>
            </w:r>
          </w:p>
        </w:tc>
        <w:tc>
          <w:tcPr>
            <w:tcW w:w="631" w:type="pct"/>
            <w:vAlign w:val="center"/>
          </w:tcPr>
          <w:p>
            <w:pPr>
              <w:jc w:val="center"/>
              <w:rPr>
                <w:rFonts w:ascii="宋体" w:hAnsi="宋体"/>
                <w:color w:val="000000"/>
                <w:sz w:val="18"/>
                <w:szCs w:val="18"/>
              </w:rPr>
            </w:pPr>
            <w:r>
              <w:rPr>
                <w:rFonts w:ascii="宋体" w:hAnsi="宋体"/>
                <w:color w:val="000000"/>
                <w:sz w:val="18"/>
                <w:szCs w:val="18"/>
              </w:rPr>
              <w:t>R=P+Q</w:t>
            </w:r>
          </w:p>
        </w:tc>
        <w:tc>
          <w:tcPr>
            <w:tcW w:w="1311"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1,728.98 </w:t>
            </w:r>
          </w:p>
        </w:tc>
        <w:tc>
          <w:tcPr>
            <w:tcW w:w="136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1,852.29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1,975.60 </w:t>
            </w:r>
          </w:p>
        </w:tc>
        <w:tc>
          <w:tcPr>
            <w:tcW w:w="1345"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2,098.91 </w:t>
            </w:r>
          </w:p>
        </w:tc>
        <w:tc>
          <w:tcPr>
            <w:tcW w:w="1378"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2,222.88 </w:t>
            </w:r>
          </w:p>
        </w:tc>
        <w:tc>
          <w:tcPr>
            <w:tcW w:w="1329" w:type="dxa"/>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1,346.19 </w:t>
            </w:r>
          </w:p>
        </w:tc>
      </w:tr>
      <w:bookmarkEnd w:id="39"/>
    </w:tbl>
    <w:p>
      <w:pPr>
        <w:pStyle w:val="4"/>
        <w:ind w:firstLine="0" w:firstLineChars="0"/>
        <w:rPr>
          <w:color w:val="000000" w:themeColor="text1"/>
          <w14:textFill>
            <w14:solidFill>
              <w14:schemeClr w14:val="tx1"/>
            </w14:solidFill>
          </w14:textFill>
        </w:rPr>
        <w:sectPr>
          <w:footerReference r:id="rId6" w:type="default"/>
          <w:pgSz w:w="16838" w:h="11906" w:orient="landscape"/>
          <w:pgMar w:top="1701" w:right="2041" w:bottom="1701" w:left="2041" w:header="850" w:footer="567" w:gutter="0"/>
          <w:pgBorders>
            <w:top w:val="none" w:sz="0" w:space="0"/>
            <w:left w:val="none" w:sz="0" w:space="0"/>
            <w:bottom w:val="none" w:sz="0" w:space="0"/>
            <w:right w:val="none" w:sz="0" w:space="0"/>
          </w:pgBorders>
          <w:cols w:space="0" w:num="1"/>
          <w:docGrid w:type="lines" w:linePitch="314" w:charSpace="0"/>
        </w:sectPr>
      </w:pPr>
    </w:p>
    <w:bookmarkEnd w:id="36"/>
    <w:p>
      <w:pPr>
        <w:pStyle w:val="3"/>
        <w:ind w:firstLine="640"/>
        <w:rPr>
          <w:color w:val="000000" w:themeColor="text1"/>
          <w:highlight w:val="none"/>
          <w14:textFill>
            <w14:solidFill>
              <w14:schemeClr w14:val="tx1"/>
            </w14:solidFill>
          </w14:textFill>
        </w:rPr>
      </w:pPr>
      <w:bookmarkStart w:id="40" w:name="_Toc39820851"/>
      <w:r>
        <w:rPr>
          <w:rFonts w:hint="eastAsia"/>
          <w:color w:val="000000" w:themeColor="text1"/>
          <w:highlight w:val="none"/>
          <w14:textFill>
            <w14:solidFill>
              <w14:schemeClr w14:val="tx1"/>
            </w14:solidFill>
          </w14:textFill>
        </w:rPr>
        <w:t>5、本息覆盖倍数</w:t>
      </w:r>
    </w:p>
    <w:p>
      <w:pPr>
        <w:pStyle w:val="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现金流覆盖情况表（单位：万元）</w:t>
      </w:r>
    </w:p>
    <w:tbl>
      <w:tblPr>
        <w:tblStyle w:val="18"/>
        <w:tblW w:w="5000"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453"/>
        <w:gridCol w:w="1453"/>
        <w:gridCol w:w="1622"/>
        <w:gridCol w:w="2099"/>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vMerge w:val="restart"/>
            <w:noWrap/>
            <w:vAlign w:val="center"/>
          </w:tcPr>
          <w:p>
            <w:pPr>
              <w:pStyle w:val="36"/>
              <w:tabs>
                <w:tab w:val="left" w:pos="303"/>
                <w:tab w:val="center" w:pos="1179"/>
              </w:tabs>
              <w:jc w:val="center"/>
              <w:rPr>
                <w:rFonts w:ascii="黑体" w:hAnsi="黑体" w:eastAsia="黑体" w:cs="仿宋_GB2312"/>
                <w:color w:val="000000" w:themeColor="text1"/>
                <w:sz w:val="21"/>
                <w:szCs w:val="21"/>
                <w:highlight w:val="none"/>
                <w14:textFill>
                  <w14:solidFill>
                    <w14:schemeClr w14:val="tx1"/>
                  </w14:solidFill>
                </w14:textFill>
              </w:rPr>
            </w:pPr>
            <w:r>
              <w:rPr>
                <w:rFonts w:hint="eastAsia" w:ascii="黑体" w:hAnsi="黑体" w:eastAsia="黑体" w:cs="仿宋_GB2312"/>
                <w:color w:val="000000" w:themeColor="text1"/>
                <w:sz w:val="21"/>
                <w:szCs w:val="21"/>
                <w:highlight w:val="none"/>
                <w14:textFill>
                  <w14:solidFill>
                    <w14:schemeClr w14:val="tx1"/>
                  </w14:solidFill>
                </w14:textFill>
              </w:rPr>
              <w:t>融资方式</w:t>
            </w:r>
          </w:p>
        </w:tc>
        <w:tc>
          <w:tcPr>
            <w:tcW w:w="2596" w:type="pct"/>
            <w:gridSpan w:val="3"/>
            <w:noWrap/>
            <w:vAlign w:val="center"/>
          </w:tcPr>
          <w:p>
            <w:pPr>
              <w:pStyle w:val="36"/>
              <w:jc w:val="center"/>
              <w:rPr>
                <w:rFonts w:ascii="黑体" w:hAnsi="黑体" w:eastAsia="黑体" w:cs="仿宋_GB2312"/>
                <w:color w:val="000000" w:themeColor="text1"/>
                <w:sz w:val="21"/>
                <w:szCs w:val="21"/>
                <w:highlight w:val="none"/>
                <w14:textFill>
                  <w14:solidFill>
                    <w14:schemeClr w14:val="tx1"/>
                  </w14:solidFill>
                </w14:textFill>
              </w:rPr>
            </w:pPr>
            <w:r>
              <w:rPr>
                <w:rFonts w:hint="eastAsia" w:ascii="黑体" w:hAnsi="黑体" w:eastAsia="黑体" w:cs="仿宋_GB2312"/>
                <w:color w:val="000000" w:themeColor="text1"/>
                <w:sz w:val="21"/>
                <w:szCs w:val="21"/>
                <w:highlight w:val="none"/>
                <w14:textFill>
                  <w14:solidFill>
                    <w14:schemeClr w14:val="tx1"/>
                  </w14:solidFill>
                </w14:textFill>
              </w:rPr>
              <w:t>借贷本息支付</w:t>
            </w:r>
          </w:p>
        </w:tc>
        <w:tc>
          <w:tcPr>
            <w:tcW w:w="1202" w:type="pct"/>
            <w:vMerge w:val="restart"/>
            <w:noWrap/>
            <w:vAlign w:val="center"/>
          </w:tcPr>
          <w:p>
            <w:pPr>
              <w:pStyle w:val="36"/>
              <w:jc w:val="center"/>
              <w:rPr>
                <w:rFonts w:ascii="黑体" w:hAnsi="黑体" w:eastAsia="黑体" w:cs="仿宋_GB2312"/>
                <w:color w:val="000000" w:themeColor="text1"/>
                <w:sz w:val="21"/>
                <w:szCs w:val="21"/>
                <w:highlight w:val="none"/>
                <w14:textFill>
                  <w14:solidFill>
                    <w14:schemeClr w14:val="tx1"/>
                  </w14:solidFill>
                </w14:textFill>
              </w:rPr>
            </w:pPr>
            <w:r>
              <w:rPr>
                <w:rFonts w:hint="eastAsia" w:ascii="黑体" w:hAnsi="黑体" w:eastAsia="黑体" w:cs="仿宋_GB2312"/>
                <w:color w:val="000000" w:themeColor="text1"/>
                <w:sz w:val="21"/>
                <w:szCs w:val="21"/>
                <w:highlight w:val="none"/>
                <w14:textFill>
                  <w14:solidFill>
                    <w14:schemeClr w14:val="tx1"/>
                  </w14:solidFill>
                </w14:textFill>
              </w:rPr>
              <w:t>项目净现金流入</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vMerge w:val="continue"/>
            <w:noWrap/>
            <w:vAlign w:val="center"/>
          </w:tcPr>
          <w:p>
            <w:pPr>
              <w:pStyle w:val="36"/>
              <w:ind w:firstLine="360"/>
              <w:rPr>
                <w:rFonts w:ascii="黑体" w:hAnsi="黑体" w:eastAsia="黑体" w:cs="仿宋_GB2312"/>
                <w:color w:val="000000" w:themeColor="text1"/>
                <w:sz w:val="18"/>
                <w:szCs w:val="18"/>
                <w:highlight w:val="none"/>
                <w14:textFill>
                  <w14:solidFill>
                    <w14:schemeClr w14:val="tx1"/>
                  </w14:solidFill>
                </w14:textFill>
              </w:rPr>
            </w:pPr>
          </w:p>
        </w:tc>
        <w:tc>
          <w:tcPr>
            <w:tcW w:w="833" w:type="pct"/>
            <w:noWrap/>
            <w:vAlign w:val="center"/>
          </w:tcPr>
          <w:p>
            <w:pPr>
              <w:pStyle w:val="36"/>
              <w:jc w:val="center"/>
              <w:rPr>
                <w:rFonts w:ascii="黑体" w:hAnsi="黑体" w:eastAsia="黑体" w:cs="仿宋_GB2312"/>
                <w:color w:val="000000" w:themeColor="text1"/>
                <w:sz w:val="18"/>
                <w:szCs w:val="18"/>
                <w:highlight w:val="none"/>
                <w14:textFill>
                  <w14:solidFill>
                    <w14:schemeClr w14:val="tx1"/>
                  </w14:solidFill>
                </w14:textFill>
              </w:rPr>
            </w:pPr>
            <w:r>
              <w:rPr>
                <w:rFonts w:hint="eastAsia" w:ascii="黑体" w:hAnsi="黑体" w:eastAsia="黑体" w:cs="仿宋_GB2312"/>
                <w:color w:val="000000" w:themeColor="text1"/>
                <w:sz w:val="18"/>
                <w:szCs w:val="18"/>
                <w:highlight w:val="none"/>
                <w14:textFill>
                  <w14:solidFill>
                    <w14:schemeClr w14:val="tx1"/>
                  </w14:solidFill>
                </w14:textFill>
              </w:rPr>
              <w:t>本金</w:t>
            </w:r>
          </w:p>
        </w:tc>
        <w:tc>
          <w:tcPr>
            <w:tcW w:w="833" w:type="pct"/>
            <w:noWrap/>
            <w:vAlign w:val="center"/>
          </w:tcPr>
          <w:p>
            <w:pPr>
              <w:pStyle w:val="36"/>
              <w:jc w:val="center"/>
              <w:rPr>
                <w:rFonts w:ascii="黑体" w:hAnsi="黑体" w:eastAsia="黑体" w:cs="仿宋_GB2312"/>
                <w:color w:val="000000" w:themeColor="text1"/>
                <w:sz w:val="18"/>
                <w:szCs w:val="18"/>
                <w:highlight w:val="none"/>
                <w14:textFill>
                  <w14:solidFill>
                    <w14:schemeClr w14:val="tx1"/>
                  </w14:solidFill>
                </w14:textFill>
              </w:rPr>
            </w:pPr>
            <w:r>
              <w:rPr>
                <w:rFonts w:hint="eastAsia" w:ascii="黑体" w:hAnsi="黑体" w:eastAsia="黑体" w:cs="仿宋_GB2312"/>
                <w:color w:val="000000" w:themeColor="text1"/>
                <w:sz w:val="18"/>
                <w:szCs w:val="18"/>
                <w:highlight w:val="none"/>
                <w14:textFill>
                  <w14:solidFill>
                    <w14:schemeClr w14:val="tx1"/>
                  </w14:solidFill>
                </w14:textFill>
              </w:rPr>
              <w:t>利息</w:t>
            </w:r>
          </w:p>
        </w:tc>
        <w:tc>
          <w:tcPr>
            <w:tcW w:w="930" w:type="pct"/>
            <w:noWrap/>
            <w:vAlign w:val="center"/>
          </w:tcPr>
          <w:p>
            <w:pPr>
              <w:pStyle w:val="36"/>
              <w:jc w:val="center"/>
              <w:rPr>
                <w:rFonts w:ascii="黑体" w:hAnsi="黑体" w:eastAsia="黑体" w:cs="仿宋_GB2312"/>
                <w:color w:val="000000" w:themeColor="text1"/>
                <w:sz w:val="18"/>
                <w:szCs w:val="18"/>
                <w:highlight w:val="none"/>
                <w14:textFill>
                  <w14:solidFill>
                    <w14:schemeClr w14:val="tx1"/>
                  </w14:solidFill>
                </w14:textFill>
              </w:rPr>
            </w:pPr>
            <w:r>
              <w:rPr>
                <w:rFonts w:hint="eastAsia" w:ascii="黑体" w:hAnsi="黑体" w:eastAsia="黑体" w:cs="仿宋_GB2312"/>
                <w:color w:val="000000" w:themeColor="text1"/>
                <w:sz w:val="18"/>
                <w:szCs w:val="18"/>
                <w:highlight w:val="none"/>
                <w14:textFill>
                  <w14:solidFill>
                    <w14:schemeClr w14:val="tx1"/>
                  </w14:solidFill>
                </w14:textFill>
              </w:rPr>
              <w:t>本息合计</w:t>
            </w:r>
          </w:p>
        </w:tc>
        <w:tc>
          <w:tcPr>
            <w:tcW w:w="1202" w:type="pct"/>
            <w:vMerge w:val="continue"/>
            <w:noWrap/>
            <w:vAlign w:val="center"/>
          </w:tcPr>
          <w:p>
            <w:pPr>
              <w:pStyle w:val="36"/>
              <w:ind w:firstLine="360"/>
              <w:rPr>
                <w:rFonts w:ascii="仿宋_GB2312" w:hAnsi="仿宋_GB2312" w:eastAsia="仿宋_GB2312" w:cs="仿宋_GB2312"/>
                <w:color w:val="000000" w:themeColor="text1"/>
                <w:sz w:val="18"/>
                <w:szCs w:val="18"/>
                <w:highlight w:val="none"/>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noWrap/>
            <w:vAlign w:val="center"/>
          </w:tcPr>
          <w:p>
            <w:pPr>
              <w:jc w:val="center"/>
              <w:rPr>
                <w:rFonts w:ascii="宋体" w:hAnsi="宋体"/>
                <w:sz w:val="21"/>
                <w:szCs w:val="21"/>
                <w:highlight w:val="none"/>
              </w:rPr>
            </w:pPr>
            <w:r>
              <w:rPr>
                <w:rFonts w:hint="eastAsia" w:ascii="宋体" w:hAnsi="宋体"/>
                <w:sz w:val="21"/>
                <w:szCs w:val="21"/>
                <w:highlight w:val="none"/>
              </w:rPr>
              <w:t>专项债券</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highlight w:val="none"/>
                <w:u w:val="none"/>
                <w:lang w:val="en-US" w:eastAsia="zh-CN" w:bidi="ar"/>
              </w:rPr>
              <w:t>1,000.00</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eastAsia" w:cs="Times New Roman"/>
                <w:i w:val="0"/>
                <w:iCs w:val="0"/>
                <w:color w:val="000000"/>
                <w:kern w:val="0"/>
                <w:sz w:val="21"/>
                <w:szCs w:val="21"/>
                <w:highlight w:val="none"/>
                <w:u w:val="none"/>
                <w:lang w:val="en-US" w:eastAsia="zh-CN" w:bidi="ar"/>
              </w:rPr>
              <w:t>64</w:t>
            </w:r>
            <w:r>
              <w:rPr>
                <w:rFonts w:hint="default" w:ascii="Times New Roman" w:hAnsi="Times New Roman" w:eastAsia="宋体" w:cs="Times New Roman"/>
                <w:i w:val="0"/>
                <w:iCs w:val="0"/>
                <w:color w:val="000000"/>
                <w:kern w:val="0"/>
                <w:sz w:val="21"/>
                <w:szCs w:val="21"/>
                <w:highlight w:val="none"/>
                <w:u w:val="none"/>
                <w:lang w:val="en-US" w:eastAsia="zh-CN" w:bidi="ar"/>
              </w:rPr>
              <w:t>0.00</w:t>
            </w:r>
          </w:p>
        </w:tc>
        <w:tc>
          <w:tcPr>
            <w:tcW w:w="930" w:type="pct"/>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1,640.00</w:t>
            </w:r>
          </w:p>
        </w:tc>
        <w:tc>
          <w:tcPr>
            <w:tcW w:w="1202" w:type="pct"/>
            <w:vMerge w:val="restart"/>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t>2,954.19</w:t>
            </w:r>
            <w:r>
              <w:rPr>
                <w:rFonts w:hint="default" w:ascii="Times New Roman" w:hAnsi="Times New Roman" w:eastAsia="宋体" w:cs="Times New Roman"/>
                <w:i w:val="0"/>
                <w:iCs w:val="0"/>
                <w:color w:val="000000"/>
                <w:kern w:val="0"/>
                <w:sz w:val="21"/>
                <w:szCs w:val="21"/>
                <w:highlight w:val="none"/>
                <w:u w:val="none"/>
                <w:lang w:val="en-US" w:eastAsia="zh-CN" w:bidi="ar"/>
              </w:rPr>
              <w:t xml:space="preserve"> </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noWrap/>
            <w:vAlign w:val="center"/>
          </w:tcPr>
          <w:p>
            <w:pPr>
              <w:jc w:val="center"/>
              <w:rPr>
                <w:rFonts w:ascii="宋体" w:hAnsi="宋体"/>
                <w:sz w:val="21"/>
                <w:szCs w:val="21"/>
                <w:highlight w:val="none"/>
              </w:rPr>
            </w:pPr>
            <w:r>
              <w:rPr>
                <w:rFonts w:hint="eastAsia" w:ascii="宋体" w:hAnsi="宋体"/>
                <w:sz w:val="21"/>
                <w:szCs w:val="21"/>
                <w:highlight w:val="none"/>
              </w:rPr>
              <w:t>其他融资</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highlight w:val="none"/>
                <w:u w:val="none"/>
                <w:lang w:val="en-US" w:eastAsia="zh-CN" w:bidi="ar"/>
              </w:rPr>
              <w:t>　</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highlight w:val="none"/>
                <w:u w:val="none"/>
                <w:lang w:val="en-US" w:eastAsia="zh-CN" w:bidi="ar"/>
              </w:rPr>
              <w:t>　</w:t>
            </w:r>
          </w:p>
        </w:tc>
        <w:tc>
          <w:tcPr>
            <w:tcW w:w="930" w:type="pct"/>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　</w:t>
            </w:r>
          </w:p>
        </w:tc>
        <w:tc>
          <w:tcPr>
            <w:tcW w:w="1202" w:type="pct"/>
            <w:vMerge w:val="continue"/>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noWrap/>
            <w:vAlign w:val="center"/>
          </w:tcPr>
          <w:p>
            <w:pPr>
              <w:jc w:val="center"/>
              <w:rPr>
                <w:rFonts w:ascii="宋体" w:hAnsi="宋体"/>
                <w:sz w:val="21"/>
                <w:szCs w:val="21"/>
                <w:highlight w:val="none"/>
              </w:rPr>
            </w:pPr>
            <w:r>
              <w:rPr>
                <w:rFonts w:hint="eastAsia" w:ascii="宋体" w:hAnsi="宋体"/>
                <w:sz w:val="21"/>
                <w:szCs w:val="21"/>
                <w:highlight w:val="none"/>
              </w:rPr>
              <w:t>融资合计</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highlight w:val="none"/>
                <w:u w:val="none"/>
                <w:lang w:val="en-US" w:eastAsia="zh-CN" w:bidi="ar"/>
              </w:rPr>
              <w:t>1,000.00</w:t>
            </w:r>
          </w:p>
        </w:tc>
        <w:tc>
          <w:tcPr>
            <w:tcW w:w="833" w:type="pct"/>
            <w:noWrap/>
            <w:vAlign w:val="center"/>
          </w:tcPr>
          <w:p>
            <w:pPr>
              <w:keepNext w:val="0"/>
              <w:keepLines w:val="0"/>
              <w:widowControl/>
              <w:suppressLineNumbers w:val="0"/>
              <w:jc w:val="right"/>
              <w:textAlignment w:val="center"/>
              <w:rPr>
                <w:rFonts w:ascii="仿宋" w:hAnsi="仿宋" w:eastAsia="仿宋" w:cs="仿宋_GB2312"/>
                <w:color w:val="000000" w:themeColor="text1"/>
                <w:sz w:val="21"/>
                <w:szCs w:val="21"/>
                <w:highlight w:val="none"/>
                <w14:textFill>
                  <w14:solidFill>
                    <w14:schemeClr w14:val="tx1"/>
                  </w14:solidFill>
                </w14:textFill>
              </w:rPr>
            </w:pPr>
            <w:r>
              <w:rPr>
                <w:rFonts w:hint="eastAsia" w:cs="Times New Roman"/>
                <w:i w:val="0"/>
                <w:iCs w:val="0"/>
                <w:color w:val="000000"/>
                <w:kern w:val="0"/>
                <w:sz w:val="21"/>
                <w:szCs w:val="21"/>
                <w:highlight w:val="none"/>
                <w:u w:val="none"/>
                <w:lang w:val="en-US" w:eastAsia="zh-CN" w:bidi="ar"/>
              </w:rPr>
              <w:t>64</w:t>
            </w:r>
            <w:r>
              <w:rPr>
                <w:rFonts w:hint="default" w:ascii="Times New Roman" w:hAnsi="Times New Roman" w:eastAsia="宋体" w:cs="Times New Roman"/>
                <w:i w:val="0"/>
                <w:iCs w:val="0"/>
                <w:color w:val="000000"/>
                <w:kern w:val="0"/>
                <w:sz w:val="21"/>
                <w:szCs w:val="21"/>
                <w:highlight w:val="none"/>
                <w:u w:val="none"/>
                <w:lang w:val="en-US" w:eastAsia="zh-CN" w:bidi="ar"/>
              </w:rPr>
              <w:t>0.00</w:t>
            </w:r>
          </w:p>
        </w:tc>
        <w:tc>
          <w:tcPr>
            <w:tcW w:w="930" w:type="pct"/>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1,640.00</w:t>
            </w:r>
          </w:p>
        </w:tc>
        <w:tc>
          <w:tcPr>
            <w:tcW w:w="1202" w:type="pct"/>
            <w:vMerge w:val="continue"/>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0" w:type="pct"/>
            <w:noWrap/>
            <w:vAlign w:val="center"/>
          </w:tcPr>
          <w:p>
            <w:pPr>
              <w:jc w:val="center"/>
              <w:rPr>
                <w:rFonts w:ascii="宋体" w:hAnsi="宋体"/>
                <w:sz w:val="21"/>
                <w:szCs w:val="21"/>
                <w:highlight w:val="none"/>
              </w:rPr>
            </w:pPr>
            <w:r>
              <w:rPr>
                <w:rFonts w:hint="eastAsia" w:ascii="宋体" w:hAnsi="宋体"/>
                <w:sz w:val="21"/>
                <w:szCs w:val="21"/>
                <w:highlight w:val="none"/>
              </w:rPr>
              <w:t>覆盖倍数</w:t>
            </w:r>
          </w:p>
        </w:tc>
        <w:tc>
          <w:tcPr>
            <w:tcW w:w="3799" w:type="pct"/>
            <w:gridSpan w:val="4"/>
            <w:noWrap/>
            <w:vAlign w:val="center"/>
          </w:tcPr>
          <w:p>
            <w:pPr>
              <w:keepNext w:val="0"/>
              <w:keepLines w:val="0"/>
              <w:widowControl/>
              <w:suppressLineNumbers w:val="0"/>
              <w:jc w:val="center"/>
              <w:textAlignment w:val="center"/>
              <w:rPr>
                <w:rFonts w:hint="default" w:eastAsia="仿宋" w:cs="Times New Roman"/>
                <w:color w:val="000000" w:themeColor="text1"/>
                <w:sz w:val="21"/>
                <w:szCs w:val="21"/>
                <w:highlight w:val="none"/>
                <w:lang w:val="en-US"/>
                <w14:textFill>
                  <w14:solidFill>
                    <w14:schemeClr w14:val="tx1"/>
                  </w14:solidFill>
                </w14:textFill>
              </w:rPr>
            </w:pPr>
            <w:r>
              <w:rPr>
                <w:rFonts w:hint="default" w:ascii="Times New Roman" w:hAnsi="Times New Roman" w:eastAsia="宋体" w:cs="Times New Roman"/>
                <w:i w:val="0"/>
                <w:iCs w:val="0"/>
                <w:color w:val="000000"/>
                <w:kern w:val="0"/>
                <w:sz w:val="21"/>
                <w:szCs w:val="21"/>
                <w:highlight w:val="none"/>
                <w:u w:val="none"/>
                <w:lang w:val="en-US" w:eastAsia="zh-CN" w:bidi="ar"/>
              </w:rPr>
              <w:t>1.</w:t>
            </w:r>
            <w:r>
              <w:rPr>
                <w:rFonts w:hint="eastAsia" w:cs="Times New Roman"/>
                <w:i w:val="0"/>
                <w:iCs w:val="0"/>
                <w:color w:val="000000"/>
                <w:kern w:val="0"/>
                <w:sz w:val="21"/>
                <w:szCs w:val="21"/>
                <w:highlight w:val="none"/>
                <w:u w:val="none"/>
                <w:lang w:val="en-US" w:eastAsia="zh-CN" w:bidi="ar"/>
              </w:rPr>
              <w:t>80</w:t>
            </w:r>
          </w:p>
        </w:tc>
      </w:tr>
    </w:tbl>
    <w:p>
      <w:pPr>
        <w:pStyle w:val="3"/>
        <w:ind w:firstLine="64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本项目可用于资金平衡的息前净现金流为2,954.19万元，融资本息合计1,640.00万元，项目净现金流覆盖融资本息的覆盖倍数为1.80。</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6、压力测试</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本项目收益与融资平衡的压力测试结果，当项目的运营收入下降15%的情况下，项目的债券本息覆盖率仍然&gt;1;当项目的运营成本上升15%的情况下，项目的债券本息覆盖率仍然&gt;1；当项目的债券利率上升15%的情况下，项目的债券本息覆盖率仍然&gt;1。因此，本项目的项目收益对债券还本付息保障性较高，项目可通过压力测试，还本付息资金具有一定的稳定性与风险抵抗能力。压力测试情况详见下表:</w:t>
      </w:r>
    </w:p>
    <w:p>
      <w:pPr>
        <w:pStyle w:val="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 xml:space="preserve">8 </w:t>
      </w:r>
      <w:r>
        <w:rPr>
          <w:rFonts w:hint="eastAsia"/>
          <w:color w:val="000000" w:themeColor="text1"/>
          <w:highlight w:val="none"/>
          <w14:textFill>
            <w14:solidFill>
              <w14:schemeClr w14:val="tx1"/>
            </w14:solidFill>
          </w14:textFill>
        </w:rPr>
        <w:t>压力测试表</w:t>
      </w:r>
    </w:p>
    <w:tbl>
      <w:tblPr>
        <w:tblStyle w:val="18"/>
        <w:tblW w:w="878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87"/>
        <w:gridCol w:w="878"/>
        <w:gridCol w:w="878"/>
        <w:gridCol w:w="878"/>
        <w:gridCol w:w="878"/>
        <w:gridCol w:w="878"/>
        <w:gridCol w:w="878"/>
        <w:gridCol w:w="8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2" w:hRule="exact"/>
          <w:tblHeader/>
        </w:trPr>
        <w:tc>
          <w:tcPr>
            <w:tcW w:w="1530" w:type="pct"/>
            <w:shd w:val="clear" w:color="000000" w:fill="0070C0"/>
            <w:vAlign w:val="center"/>
          </w:tcPr>
          <w:p>
            <w:pPr>
              <w:widowControl/>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资金覆盖率-压力测试（单因素敏感性分析）</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-15%</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-10%</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-5%</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0%</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5%</w:t>
            </w:r>
          </w:p>
        </w:tc>
        <w:tc>
          <w:tcPr>
            <w:tcW w:w="50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10%</w:t>
            </w:r>
          </w:p>
        </w:tc>
        <w:tc>
          <w:tcPr>
            <w:tcW w:w="470" w:type="pct"/>
            <w:shd w:val="clear" w:color="000000" w:fill="0070C0"/>
            <w:vAlign w:val="center"/>
          </w:tcPr>
          <w:p>
            <w:pPr>
              <w:widowControl/>
              <w:jc w:val="center"/>
              <w:rPr>
                <w:b/>
                <w:bCs/>
                <w:color w:val="000000" w:themeColor="text1"/>
                <w:kern w:val="0"/>
                <w:sz w:val="21"/>
                <w:szCs w:val="21"/>
                <w:highlight w:val="none"/>
                <w14:textFill>
                  <w14:solidFill>
                    <w14:schemeClr w14:val="tx1"/>
                  </w14:solidFill>
                </w14:textFill>
              </w:rPr>
            </w:pPr>
            <w:r>
              <w:rPr>
                <w:b/>
                <w:bCs/>
                <w:color w:val="000000" w:themeColor="text1"/>
                <w:kern w:val="0"/>
                <w:sz w:val="21"/>
                <w:szCs w:val="21"/>
                <w:highlight w:val="none"/>
                <w14:textFill>
                  <w14:solidFill>
                    <w14:schemeClr w14:val="tx1"/>
                  </w14:solidFill>
                </w14:textFill>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000000" w:fill="D3DFEE"/>
            <w:vAlign w:val="center"/>
          </w:tcPr>
          <w:p>
            <w:pPr>
              <w:widowControl/>
              <w:jc w:val="left"/>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运营收入变动敏感性分析</w:t>
            </w: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50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c>
          <w:tcPr>
            <w:tcW w:w="470" w:type="pct"/>
            <w:shd w:val="clear" w:color="000000" w:fill="D3DFEE"/>
          </w:tcPr>
          <w:p>
            <w:pPr>
              <w:widowControl/>
              <w:jc w:val="right"/>
              <w:rPr>
                <w:color w:val="000000" w:themeColor="text1"/>
                <w:kern w:val="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债券本金资金覆盖率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2.58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2.80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3.03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1.40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1.54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1.68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2.24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债券本息资金覆盖倍数</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1.38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1.80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2.08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2.22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000000" w:fill="D3DFEE"/>
            <w:vAlign w:val="center"/>
          </w:tcPr>
          <w:p>
            <w:pPr>
              <w:widowControl/>
              <w:jc w:val="left"/>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运营成本变动敏感性分析</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26"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债券本金资金覆盖率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2.59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2.51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2.43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2.26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2.18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债券本息资金覆盖率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1.97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1.77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1.72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债券本息资金覆盖倍数</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1.90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1.70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000000" w:fill="D3DFEE"/>
            <w:vAlign w:val="center"/>
          </w:tcPr>
          <w:p>
            <w:pPr>
              <w:widowControl/>
              <w:jc w:val="left"/>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利率变动敏感性分析</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78"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c>
          <w:tcPr>
            <w:tcW w:w="826" w:type="dxa"/>
            <w:shd w:val="clear" w:color="000000" w:fill="D3DFEE"/>
            <w:vAlign w:val="center"/>
          </w:tcPr>
          <w:p>
            <w:pPr>
              <w:keepNext w:val="0"/>
              <w:keepLines w:val="0"/>
              <w:widowControl/>
              <w:suppressLineNumbers w:val="0"/>
              <w:jc w:val="left"/>
              <w:textAlignment w:val="center"/>
              <w:rPr>
                <w:rFonts w:hint="default" w:ascii="Times New Roman" w:hAnsi="Times New Roman"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债券本金资金覆盖率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2.44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2.41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2.38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2.35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2.31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2.28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2.25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债券本息资金覆盖率</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1.93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1.86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1.82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1.79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1.75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1.72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债券本息资金覆盖倍数</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1.84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1.80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1.77 </w:t>
            </w:r>
          </w:p>
        </w:tc>
        <w:tc>
          <w:tcPr>
            <w:tcW w:w="878"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1.73 </w:t>
            </w:r>
          </w:p>
        </w:tc>
        <w:tc>
          <w:tcPr>
            <w:tcW w:w="826" w:type="dxa"/>
            <w:vAlign w:val="center"/>
          </w:tcPr>
          <w:p>
            <w:pPr>
              <w:keepNext w:val="0"/>
              <w:keepLines w:val="0"/>
              <w:widowControl/>
              <w:suppressLineNumbers w:val="0"/>
              <w:jc w:val="right"/>
              <w:textAlignment w:val="center"/>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1.70 </w:t>
            </w:r>
          </w:p>
        </w:tc>
      </w:tr>
    </w:tbl>
    <w:p>
      <w:pPr>
        <w:pStyle w:val="2"/>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四、专项债券使用与项目收入缴库安排</w:t>
      </w:r>
      <w:bookmarkEnd w:id="40"/>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项目单位（包括项目单位的管理单位）保证严格按照政府债券管理相关规定履行相应义务，确保政府专项债券资金专款专用。</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项债券收支纳入政府性基金预算管理，根据专项债券《信息披露文件》规定的还本付息安排，项目单位（包括项目单位的管理单位）应以本方案中的项目收入按照对应的缴库科目上缴财政，按时、足额支付政府专项债券本息。</w:t>
      </w:r>
    </w:p>
    <w:p>
      <w:pPr>
        <w:pStyle w:val="2"/>
        <w:ind w:firstLine="640"/>
        <w:rPr>
          <w:color w:val="000000" w:themeColor="text1"/>
          <w:highlight w:val="none"/>
          <w14:textFill>
            <w14:solidFill>
              <w14:schemeClr w14:val="tx1"/>
            </w14:solidFill>
          </w14:textFill>
        </w:rPr>
      </w:pPr>
      <w:bookmarkStart w:id="41" w:name="_Toc39820852"/>
      <w:bookmarkStart w:id="42" w:name="_Toc28935665"/>
      <w:r>
        <w:rPr>
          <w:rFonts w:hint="eastAsia"/>
          <w:color w:val="000000" w:themeColor="text1"/>
          <w:highlight w:val="none"/>
          <w14:textFill>
            <w14:solidFill>
              <w14:schemeClr w14:val="tx1"/>
            </w14:solidFill>
          </w14:textFill>
        </w:rPr>
        <w:t>五、项目风险分析</w:t>
      </w:r>
      <w:bookmarkEnd w:id="41"/>
      <w:bookmarkEnd w:id="42"/>
    </w:p>
    <w:p>
      <w:pPr>
        <w:pStyle w:val="4"/>
        <w:ind w:firstLine="640"/>
        <w:rPr>
          <w:color w:val="000000" w:themeColor="text1"/>
          <w:highlight w:val="none"/>
          <w14:textFill>
            <w14:solidFill>
              <w14:schemeClr w14:val="tx1"/>
            </w14:solidFill>
          </w14:textFill>
        </w:rPr>
      </w:pPr>
      <w:bookmarkStart w:id="43" w:name="_Toc28935666"/>
      <w:bookmarkStart w:id="44" w:name="_Toc39820853"/>
      <w:r>
        <w:rPr>
          <w:rFonts w:hint="eastAsia"/>
          <w:color w:val="000000" w:themeColor="text1"/>
          <w:highlight w:val="none"/>
          <w14:textFill>
            <w14:solidFill>
              <w14:schemeClr w14:val="tx1"/>
            </w14:solidFill>
          </w14:textFill>
        </w:rPr>
        <w:t>（一）</w:t>
      </w:r>
      <w:bookmarkEnd w:id="43"/>
      <w:r>
        <w:rPr>
          <w:rFonts w:hint="eastAsia"/>
          <w:color w:val="000000" w:themeColor="text1"/>
          <w:highlight w:val="none"/>
          <w14:textFill>
            <w14:solidFill>
              <w14:schemeClr w14:val="tx1"/>
            </w14:solidFill>
          </w14:textFill>
        </w:rPr>
        <w:t>与项目建设相关的风险</w:t>
      </w:r>
      <w:bookmarkEnd w:id="44"/>
    </w:p>
    <w:p>
      <w:pPr>
        <w:pStyle w:val="3"/>
        <w:ind w:firstLine="640"/>
        <w:rPr>
          <w:color w:val="000000" w:themeColor="text1"/>
          <w:highlight w:val="none"/>
          <w14:textFill>
            <w14:solidFill>
              <w14:schemeClr w14:val="tx1"/>
            </w14:solidFill>
          </w14:textFill>
        </w:rPr>
      </w:pPr>
      <w:bookmarkStart w:id="45" w:name="_Toc24187687"/>
      <w:r>
        <w:rPr>
          <w:rFonts w:hint="eastAsia"/>
          <w:color w:val="000000" w:themeColor="text1"/>
          <w:highlight w:val="none"/>
          <w14:textFill>
            <w14:solidFill>
              <w14:schemeClr w14:val="tx1"/>
            </w14:solidFill>
          </w14:textFill>
        </w:rPr>
        <w:t>1、技术风险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影响工程质量的潜在风险因素有：材料供应无计划、堆放不规范、无标识牌、混堆，管理不善，导致材料受潮、变质、锈蚀，失去原有的性质；材料检测不及时、漏检、使不合格的材料当作合格材料使用，造成不应有的质量隐患；施工中未按设计图纸的规定要求采购，未及时检测控制，易造成质量事故。</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风险控制措施：加强各种资源管理，提高资源的利用效率，及时提出有关的施工中质量的隐患和预防措施要求；现场掌握工程质量动态，确保工程质量。</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2、工程事故风险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事故是在施工阶段一些难以预测的地质情况或施工不当、管理不善引起的，国内多个城市的项目在施工中发生的事故都造成了较大的影响和损失，应当在工程事故防范上引起足够的重视。事故会引起工程延期、人员伤亡、投资增加等。</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深化各阶段设计方案，强化地质勘探工作，减少工程设计方案的变更，避免因设计方案的变更而拖延工期或造成报废工程；选择有较高施工技术与管理水平，经济实力雄厚并拥有先进施工设备的施工队伍，确保工程的质量与进度;通过选择资信好、技术可靠的设计、施工承包商，签订规范的合同（包括在承包商不能履行合同时确定损失额的条款），切实做好合同管理的工作，可以达到抵御风险的目的。</w:t>
      </w:r>
    </w:p>
    <w:p>
      <w:pPr>
        <w:pStyle w:val="4"/>
        <w:ind w:firstLine="640"/>
        <w:rPr>
          <w:color w:val="000000" w:themeColor="text1"/>
          <w:highlight w:val="none"/>
          <w14:textFill>
            <w14:solidFill>
              <w14:schemeClr w14:val="tx1"/>
            </w14:solidFill>
          </w14:textFill>
        </w:rPr>
      </w:pPr>
      <w:bookmarkStart w:id="46" w:name="_Toc39820854"/>
      <w:r>
        <w:rPr>
          <w:rFonts w:hint="eastAsia"/>
          <w:color w:val="000000" w:themeColor="text1"/>
          <w:highlight w:val="none"/>
          <w14:textFill>
            <w14:solidFill>
              <w14:schemeClr w14:val="tx1"/>
            </w14:solidFill>
          </w14:textFill>
        </w:rPr>
        <w:t>（二）与项目收益相关的风险</w:t>
      </w:r>
      <w:bookmarkEnd w:id="45"/>
      <w:bookmarkEnd w:id="46"/>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1、污水处理量达不到预期风险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本政府专项债券主要依赖污水处理费收入作为还款来源。若达不到设计进水量或者工期拖延，收入可能出现波动，从而影响项目效益。</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随时关注施工进度，并及时采取必要的应对措施。项目单位需建立专项债券项目资金绩效跟踪监测机制，对绩效目标实现程度进行动态监控，发现问题及时纠正并告知同级财政部门，提高专项债券资金使用效益，确保绩效目标如期实现。</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另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以上风险控制措施中，周转发行偿还的方式受届时当地的债务额度限制，是否能够全额满足到期债务偿还条件具有一定不确定性，因此，要充分做好债务偿还风险预案。</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2、利率波动风险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在本专项债券存续期内，国际、国内宏观经济环境的变化，国家经济政策变动等因素会引起债务资本市场利率的波动，市场利率波动将会对本项目的财务成本产生影响，进而影响项目投资收益的平衡。</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pStyle w:val="2"/>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六、项目事前绩效评估</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（一）项目概况</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海口江东新区排水设施完善工程（一期）项目主管部门为海口江东新区管理局，项目单位为海口市路桥建设投资有限公司，本次拟申请专项债券</w:t>
      </w:r>
      <w:r>
        <w:rPr>
          <w:rFonts w:hint="eastAsia"/>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t>,000.00</w:t>
      </w:r>
      <w:r>
        <w:rPr>
          <w:rFonts w:hint="eastAsia"/>
          <w:color w:val="000000" w:themeColor="text1"/>
          <w:highlight w:val="none"/>
          <w14:textFill>
            <w14:solidFill>
              <w14:schemeClr w14:val="tx1"/>
            </w14:solidFill>
          </w14:textFill>
        </w:rPr>
        <w:t xml:space="preserve">万元用于项目建设。 </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（二）评估内容</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1、项目实施的必要性</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2022年3月28日，四部委印发《深入打好城市黑臭水体治理攻坚战实施方案》。实施方案要求，现有污水处理厂进水生化需氧量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BOD</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浓度低于100 毫克/升的城市，要制定系统化整治方案，明确管网排查改造、清污分流、工业废水和工程疏干排水清退、溯源执法等措施，不应盲目提高污水处理厂出水标准、新扩建污水处理厂。到2025年，进水BOD浓度高于100 毫克/升的城市生活污水处理厂规模占比达90%以上。</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2023年9月，海南省水务厅发布《海南省“六水共治”实施方案（2023—2026年）》，实施方案明确了“二三五”工作目标，即：两年消除城市</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县城</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黑臭水体，三年剿灭劣Ⅴ类水体，五年省控国控断面全部达标。</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的实施可以调查清楚江东新区水质净化中心服务范围内污水管线情况，针对问题对症下药，提高净化中心污水收集率、减少外水入侵量并提高污水厂进水浓度；完善江东大道二期道路（林海三路以西段）污水主管建设，满足两侧地块污水收集需求；完善美灵南三路与琼山大道路口雨水排水口建设，解决积水问题。因此本项目的实施是必要的，也是急迫的。</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2、项目实施的公益性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济快速发展的同时，江东新区也面临着城镇生活污水收集效能低、现状排水管网破损严重和区域积水严重等问题，本项目的实施可以改善市民生活品质及生活环境、增强城市可持续发展后劲的需要，具有较强公益性。</w:t>
      </w:r>
    </w:p>
    <w:p>
      <w:pPr>
        <w:pStyle w:val="3"/>
        <w:ind w:left="420" w:leftChars="200" w:firstLine="0" w:firstLineChars="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3、项目实施的收益性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期专项债券还本付息以江东新区水质净化中心污水处理费收入为基础，按照预估的运营收入及运营成本，在项目存续期间有稳定的收入，可稳定覆盖债券存续期间各年利息及到期偿还本金的支出需求。因此，本项目资金稳定性较可靠。</w:t>
      </w:r>
    </w:p>
    <w:p>
      <w:pPr>
        <w:pStyle w:val="3"/>
        <w:ind w:left="420" w:leftChars="200" w:firstLine="0" w:firstLineChars="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4、项目建设投资合规性</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本项目的建设，符合《海口市国土空间总体规划》、《海口市城市排水专项规划（</w:t>
      </w:r>
      <w:r>
        <w:rPr>
          <w:color w:val="000000" w:themeColor="text1"/>
          <w:highlight w:val="none"/>
          <w14:textFill>
            <w14:solidFill>
              <w14:schemeClr w14:val="tx1"/>
            </w14:solidFill>
          </w14:textFill>
        </w:rPr>
        <w:t>2021</w:t>
      </w:r>
      <w:r>
        <w:rPr>
          <w:rFonts w:hint="eastAsia"/>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t>2035</w:t>
      </w:r>
      <w:r>
        <w:rPr>
          <w:rFonts w:hint="eastAsia"/>
          <w:color w:val="000000" w:themeColor="text1"/>
          <w:highlight w:val="none"/>
          <w14:textFill>
            <w14:solidFill>
              <w14:schemeClr w14:val="tx1"/>
            </w14:solidFill>
          </w14:textFill>
        </w:rPr>
        <w:t xml:space="preserve">年）》等政策要求，并于2024年5月24日，取得了海口江东新区管理局《关于同意海口江东新区排水设施完善工程（一期）可行性研究报告的复函》，投资建设合规。 </w:t>
      </w:r>
    </w:p>
    <w:p>
      <w:pPr>
        <w:pStyle w:val="3"/>
        <w:ind w:left="420" w:leftChars="200" w:firstLine="0" w:firstLineChars="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5、项目成熟度</w:t>
      </w:r>
    </w:p>
    <w:p>
      <w:pPr>
        <w:pStyle w:val="3"/>
        <w:ind w:firstLine="640"/>
        <w:rPr>
          <w:rFonts w:hint="eastAsia"/>
          <w:color w:val="000000" w:themeColor="text1"/>
          <w:highlight w:val="none"/>
          <w14:textFill>
            <w14:solidFill>
              <w14:schemeClr w14:val="tx1"/>
            </w14:solidFill>
          </w14:textFill>
        </w:rPr>
      </w:pPr>
      <w:r>
        <w:rPr>
          <w:rFonts w:hint="eastAsia"/>
        </w:rPr>
        <w:t>本项目前期手续已办理完成，正在按照实施计划有序推进，本项目技术经济合理，有较好的可实施性，具备在要求时限内的开工条件且能够形成实物工作量，项目成熟度较高。</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6、项目资金来源和到位可行性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（1）项目资金来源</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项目资金来源合理。通过财政资金加境外蓝色专项债的方式解决项目所需资金，资金支持方式科学合理。</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（2）项目资金到位可行性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同步项目资本金已落实，根据债券发行计划同步投入，可行性较高，筹资风险较小。</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7、项目收入、成本、收益预测合理性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本项目收入、成本、收益的预测基于项目可行性研究报告，以及参考了本地区同类型项目的情况，项目收入成本测算充分，综合考虑了政策、市场环境因素等影响，具有合理性。</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8、债券资金需求合理性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按照“资金跟着项目走”原则，该项目本次申请债券资金</w:t>
      </w:r>
      <w:r>
        <w:rPr>
          <w:rFonts w:hint="eastAsia"/>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t>,000.00</w:t>
      </w:r>
      <w:r>
        <w:rPr>
          <w:rFonts w:hint="eastAsia"/>
          <w:color w:val="000000" w:themeColor="text1"/>
          <w:highlight w:val="none"/>
          <w14:textFill>
            <w14:solidFill>
              <w14:schemeClr w14:val="tx1"/>
            </w14:solidFill>
          </w14:textFill>
        </w:rPr>
        <w:t>万元，与投资支出进度相匹配，需求合理。</w:t>
      </w:r>
    </w:p>
    <w:p>
      <w:pPr>
        <w:pStyle w:val="3"/>
        <w:ind w:firstLine="640"/>
        <w:outlineLvl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r>
        <w:rPr>
          <w:rFonts w:hint="eastAsia"/>
          <w:color w:val="000000" w:themeColor="text1"/>
          <w:highlight w:val="none"/>
          <w14:textFill>
            <w14:solidFill>
              <w14:schemeClr w14:val="tx1"/>
            </w14:solidFill>
          </w14:textFill>
        </w:rPr>
        <w:t>、项目偿债计划可行性和偿债风险点</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（1）项目偿债计划的可行性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本次债券所涉及的海口江东新区排水设施完善工程（一期）项目本息覆盖</w:t>
      </w:r>
      <w:r>
        <w:rPr>
          <w:rFonts w:hint="eastAsia"/>
          <w:color w:val="000000" w:themeColor="text1"/>
          <w:highlight w:val="none"/>
          <w:lang w:val="en-US" w:eastAsia="zh-CN"/>
          <w14:textFill>
            <w14:solidFill>
              <w14:schemeClr w14:val="tx1"/>
            </w14:solidFill>
          </w14:textFill>
        </w:rPr>
        <w:t>倍数</w:t>
      </w:r>
      <w:r>
        <w:rPr>
          <w:rFonts w:hint="eastAsia"/>
          <w:color w:val="000000" w:themeColor="text1"/>
          <w:highlight w:val="none"/>
          <w14:textFill>
            <w14:solidFill>
              <w14:schemeClr w14:val="tx1"/>
            </w14:solidFill>
          </w14:textFill>
        </w:rPr>
        <w:t>可达到1.</w:t>
      </w:r>
      <w:r>
        <w:rPr>
          <w:rFonts w:hint="eastAsia"/>
          <w:color w:val="000000" w:themeColor="text1"/>
          <w:highlight w:val="none"/>
          <w:lang w:val="en-US" w:eastAsia="zh-CN"/>
          <w14:textFill>
            <w14:solidFill>
              <w14:schemeClr w14:val="tx1"/>
            </w14:solidFill>
          </w14:textFill>
        </w:rPr>
        <w:t>80</w:t>
      </w:r>
      <w:r>
        <w:rPr>
          <w:rFonts w:hint="eastAsia"/>
          <w:color w:val="000000" w:themeColor="text1"/>
          <w:highlight w:val="none"/>
          <w14:textFill>
            <w14:solidFill>
              <w14:schemeClr w14:val="tx1"/>
            </w14:solidFill>
          </w14:textFill>
        </w:rPr>
        <w:t>，偿债保障性较高，偿债计划可行。</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（2）项目偿债风险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影响项目施工进度或正常运营的风险及控制措施</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①技术风险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影响工程质量的潜在风险因素有：材料供应无计划、堆放不规范、无标识牌、混堆，管理不善，导致材料受潮、变质、锈蚀，失去原有的性质；材料检测不及时、漏检、使不合格的材料当作合格材料使用，造成不应有的质量隐患；施工中未按设计图纸的规定要求采购，未及时检测控制，易造成质量事故。</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风险控制措施：加强各种资源管理，提高资源的利用效率，及时提出有关的施工中质量的隐患和预防措施要求；现场掌握工程质量动态，确保工程质量。</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②工程事故风险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事故是在施工阶段一些难以预测的地质情况或施工不当、管理不善引起的，国内多个城市的项目在施工中发生的事故都造成了较大的影响和损失，应当在工程事故防范上引起足够的重视。事故会引起工程延期、人员伤亡、投资增加等。</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深化各阶段设计方案，强化地质勘探工作，减少工程设计方案的变更，避免因设计方案的变更而拖延工期或造成报废工程；选择有较高施工技术与管理水平，经济实力雄厚并拥有先进施工设备的施工队伍，确保工程的质量与进度;通过选择资信好、技术可靠的设计、施工承包商，签订规范的合同（包括在承包商不能履行合同时确定损失额的条款），切实做好合同管理的工作，可以达到抵御风险的目的。</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影响项目收益的风险及控制措施</w:t>
      </w:r>
    </w:p>
    <w:p>
      <w:pPr>
        <w:pStyle w:val="3"/>
        <w:ind w:firstLine="640"/>
        <w:rPr>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①</w:t>
      </w:r>
      <w:r>
        <w:rPr>
          <w:rFonts w:hint="eastAsia"/>
          <w:color w:val="000000" w:themeColor="text1"/>
          <w:highlight w:val="none"/>
          <w14:textFill>
            <w14:solidFill>
              <w14:schemeClr w14:val="tx1"/>
            </w14:solidFill>
          </w14:textFill>
        </w:rPr>
        <w:t>污水处理量达不到预期风险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本政府专项债券主要依赖污水处理费收入作为还款来源。若达不到设计进水量或者工期拖延，收入可能出现波动，从而影响项目效益。</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随时关注工程进度，并及时采取必要的应对措施。项目单位需建立专项债券项目资金绩效跟踪监测机制，对绩效目标实现程度进行动态监控，发现问题及时纠正并告知同级财政部门，提高专项债券资金使用效益，确保绩效目标如期实现。</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另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以上风险控制措施中，周转发行偿还的方式受届时当地的债务额度限制，是否能够全额满足到期债务偿还条件具有一定不确定性，因此，要充分做好债务偿还风险预案。</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②利率波动风险</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在本专项债券存续期内，国际、国内宏观经济环境的变化，国家经济政策变动等因素会引起债务资本市场利率的波动，市场利率波动将会对本项目的财务成本产生影响，进而影响项目投资收益的平衡。</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pStyle w:val="3"/>
        <w:ind w:firstLine="640"/>
        <w:outlineLvl w:val="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0</w:t>
      </w:r>
      <w:r>
        <w:rPr>
          <w:rFonts w:hint="eastAsia"/>
          <w:color w:val="000000" w:themeColor="text1"/>
          <w:highlight w:val="none"/>
          <w14:textFill>
            <w14:solidFill>
              <w14:schemeClr w14:val="tx1"/>
            </w14:solidFill>
          </w14:textFill>
        </w:rPr>
        <w:t>、绩效目标合理性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（1）目标明确性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（2）目标合理性</w:t>
      </w:r>
    </w:p>
    <w:p>
      <w:pPr>
        <w:pStyle w:val="3"/>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本次事前绩效目标与申报预算的资金量相匹配，绩效指标逐级细化、量化，指标值合理具有可考核性。</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（三）评估结论</w:t>
      </w:r>
    </w:p>
    <w:p>
      <w:pPr>
        <w:pStyle w:val="3"/>
        <w:ind w:firstLine="64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本项目可用于资金平衡的项目的息前净现金流量为 2,954.19万元，融资本息合计1,640.00万元，项目净现金流覆盖融资本息的覆盖倍数为1.80，符合专项债发行要求；项目可以通过自筹、发行专项债券等方式完</w:t>
      </w:r>
      <w:r>
        <w:rPr>
          <w:rFonts w:hint="eastAsia"/>
          <w:color w:val="000000" w:themeColor="text1"/>
          <w:highlight w:val="none"/>
          <w14:textFill>
            <w14:solidFill>
              <w14:schemeClr w14:val="tx1"/>
            </w14:solidFill>
          </w14:textFill>
        </w:rPr>
        <w:t xml:space="preserve">成资金筹措，为本项目提供足够的资金支持，保证本项目的顺利施工。总的来说，本项目绩效目标明确，可实施性较强，资金投入风险基本可控，本项目事前绩效评估符合专项债券申报使用要求。 </w:t>
      </w:r>
    </w:p>
    <w:p>
      <w:pPr>
        <w:pStyle w:val="3"/>
        <w:ind w:firstLine="640"/>
        <w:rPr>
          <w:rFonts w:hint="eastAsia"/>
          <w:color w:val="000000" w:themeColor="text1"/>
          <w:highlight w:val="none"/>
          <w14:textFill>
            <w14:solidFill>
              <w14:schemeClr w14:val="tx1"/>
            </w14:solidFill>
          </w14:textFill>
        </w:rPr>
      </w:pPr>
    </w:p>
    <w:p>
      <w:pPr>
        <w:pStyle w:val="3"/>
        <w:ind w:firstLine="640"/>
        <w:rPr>
          <w:rFonts w:hint="eastAsia"/>
          <w:color w:val="000000" w:themeColor="text1"/>
          <w:highlight w:val="none"/>
          <w14:textFill>
            <w14:solidFill>
              <w14:schemeClr w14:val="tx1"/>
            </w14:solidFill>
          </w14:textFill>
        </w:rPr>
      </w:pPr>
    </w:p>
    <w:p>
      <w:pPr>
        <w:pStyle w:val="3"/>
        <w:ind w:firstLine="640"/>
        <w:rPr>
          <w:rFonts w:hint="eastAsia"/>
          <w:color w:val="000000" w:themeColor="text1"/>
          <w:highlight w:val="none"/>
          <w14:textFill>
            <w14:solidFill>
              <w14:schemeClr w14:val="tx1"/>
            </w14:solidFill>
          </w14:textFill>
        </w:rPr>
      </w:pPr>
    </w:p>
    <w:p>
      <w:pPr>
        <w:pStyle w:val="3"/>
        <w:ind w:firstLine="4160" w:firstLineChars="13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海口市路桥建设投资有限公司</w:t>
      </w:r>
    </w:p>
    <w:p>
      <w:pPr>
        <w:pStyle w:val="3"/>
        <w:ind w:firstLine="5120" w:firstLineChars="1600"/>
        <w:rPr>
          <w:rFonts w:hint="default"/>
          <w:color w:val="000000" w:themeColor="text1"/>
          <w:highlight w:val="none"/>
          <w:lang w:val="en-US" w:eastAsia="zh-CN"/>
          <w14:textFill>
            <w14:solidFill>
              <w14:schemeClr w14:val="tx1"/>
            </w14:solidFill>
          </w14:textFill>
        </w:rPr>
      </w:pPr>
      <w:bookmarkStart w:id="47" w:name="_GoBack"/>
      <w:bookmarkEnd w:id="47"/>
      <w:r>
        <w:rPr>
          <w:rFonts w:hint="eastAsia"/>
          <w:color w:val="000000" w:themeColor="text1"/>
          <w:highlight w:val="none"/>
          <w:lang w:val="en-US" w:eastAsia="zh-CN"/>
          <w14:textFill>
            <w14:solidFill>
              <w14:schemeClr w14:val="tx1"/>
            </w14:solidFill>
          </w14:textFill>
        </w:rPr>
        <w:t>2025年11月28日</w:t>
      </w:r>
    </w:p>
    <w:sectPr>
      <w:footerReference r:id="rId7" w:type="default"/>
      <w:pgSz w:w="11906" w:h="16838"/>
      <w:pgMar w:top="2041" w:right="1701" w:bottom="2041" w:left="1701" w:header="851" w:footer="1361"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1368487"/>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4929"/>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43424"/>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01888"/>
    <w:multiLevelType w:val="multilevel"/>
    <w:tmpl w:val="1F401888"/>
    <w:lvl w:ilvl="0" w:tentative="0">
      <w:start w:val="1"/>
      <w:numFmt w:val="japaneseCounting"/>
      <w:lvlText w:val="%1、"/>
      <w:lvlJc w:val="left"/>
      <w:pPr>
        <w:ind w:left="1360" w:hanging="72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75B"/>
    <w:rsid w:val="00001842"/>
    <w:rsid w:val="000023A1"/>
    <w:rsid w:val="0000350A"/>
    <w:rsid w:val="0000500E"/>
    <w:rsid w:val="00005293"/>
    <w:rsid w:val="00006667"/>
    <w:rsid w:val="00013AE1"/>
    <w:rsid w:val="0001500F"/>
    <w:rsid w:val="00023246"/>
    <w:rsid w:val="00023961"/>
    <w:rsid w:val="00025B68"/>
    <w:rsid w:val="00030C03"/>
    <w:rsid w:val="000526CB"/>
    <w:rsid w:val="00055510"/>
    <w:rsid w:val="00060EFD"/>
    <w:rsid w:val="00063487"/>
    <w:rsid w:val="0006572C"/>
    <w:rsid w:val="000665E2"/>
    <w:rsid w:val="00067767"/>
    <w:rsid w:val="00070DD8"/>
    <w:rsid w:val="0007663D"/>
    <w:rsid w:val="00080E5F"/>
    <w:rsid w:val="000833F4"/>
    <w:rsid w:val="000843F1"/>
    <w:rsid w:val="00086940"/>
    <w:rsid w:val="00092959"/>
    <w:rsid w:val="00093972"/>
    <w:rsid w:val="000940C7"/>
    <w:rsid w:val="00094BF2"/>
    <w:rsid w:val="0009690A"/>
    <w:rsid w:val="000A04F1"/>
    <w:rsid w:val="000A0553"/>
    <w:rsid w:val="000B1B53"/>
    <w:rsid w:val="000B56B1"/>
    <w:rsid w:val="000B6EE7"/>
    <w:rsid w:val="000C07ED"/>
    <w:rsid w:val="000C1566"/>
    <w:rsid w:val="000C2FB2"/>
    <w:rsid w:val="000C30F7"/>
    <w:rsid w:val="000C33F8"/>
    <w:rsid w:val="000C67B6"/>
    <w:rsid w:val="000C6B0D"/>
    <w:rsid w:val="000D22B6"/>
    <w:rsid w:val="000D299C"/>
    <w:rsid w:val="000D753D"/>
    <w:rsid w:val="000E12A3"/>
    <w:rsid w:val="000F2C16"/>
    <w:rsid w:val="000F3445"/>
    <w:rsid w:val="000F588C"/>
    <w:rsid w:val="00120C2F"/>
    <w:rsid w:val="001215B1"/>
    <w:rsid w:val="001229C8"/>
    <w:rsid w:val="00133B34"/>
    <w:rsid w:val="001348A6"/>
    <w:rsid w:val="001567E9"/>
    <w:rsid w:val="00162AF2"/>
    <w:rsid w:val="00166623"/>
    <w:rsid w:val="001719AB"/>
    <w:rsid w:val="00177C0F"/>
    <w:rsid w:val="00190B1B"/>
    <w:rsid w:val="00192E86"/>
    <w:rsid w:val="00194CDB"/>
    <w:rsid w:val="00196737"/>
    <w:rsid w:val="001A108E"/>
    <w:rsid w:val="001A3FCD"/>
    <w:rsid w:val="001B060B"/>
    <w:rsid w:val="001B2477"/>
    <w:rsid w:val="001B5FD9"/>
    <w:rsid w:val="001B6161"/>
    <w:rsid w:val="001B6541"/>
    <w:rsid w:val="001C3131"/>
    <w:rsid w:val="001C6561"/>
    <w:rsid w:val="001C7951"/>
    <w:rsid w:val="001D4877"/>
    <w:rsid w:val="001D4EED"/>
    <w:rsid w:val="001D6755"/>
    <w:rsid w:val="001F4295"/>
    <w:rsid w:val="0021151D"/>
    <w:rsid w:val="00215578"/>
    <w:rsid w:val="00217885"/>
    <w:rsid w:val="002219EC"/>
    <w:rsid w:val="0022280D"/>
    <w:rsid w:val="00224946"/>
    <w:rsid w:val="002321C2"/>
    <w:rsid w:val="002369AB"/>
    <w:rsid w:val="00237F1C"/>
    <w:rsid w:val="00242CB4"/>
    <w:rsid w:val="0024617D"/>
    <w:rsid w:val="00247596"/>
    <w:rsid w:val="00247D3D"/>
    <w:rsid w:val="0025134D"/>
    <w:rsid w:val="0025192A"/>
    <w:rsid w:val="00256D59"/>
    <w:rsid w:val="00262953"/>
    <w:rsid w:val="00265D46"/>
    <w:rsid w:val="00275057"/>
    <w:rsid w:val="00280DCA"/>
    <w:rsid w:val="00282F9E"/>
    <w:rsid w:val="00283438"/>
    <w:rsid w:val="00284E75"/>
    <w:rsid w:val="002858E5"/>
    <w:rsid w:val="002920BB"/>
    <w:rsid w:val="00293DC5"/>
    <w:rsid w:val="002A1848"/>
    <w:rsid w:val="002A43A2"/>
    <w:rsid w:val="002A620C"/>
    <w:rsid w:val="002A694D"/>
    <w:rsid w:val="002A79CF"/>
    <w:rsid w:val="002A7EAF"/>
    <w:rsid w:val="002B3790"/>
    <w:rsid w:val="002C03A9"/>
    <w:rsid w:val="002C216F"/>
    <w:rsid w:val="002C6022"/>
    <w:rsid w:val="002E0B5E"/>
    <w:rsid w:val="002E1F83"/>
    <w:rsid w:val="002E4B81"/>
    <w:rsid w:val="002E65C9"/>
    <w:rsid w:val="00307970"/>
    <w:rsid w:val="00321334"/>
    <w:rsid w:val="00326753"/>
    <w:rsid w:val="00332EE7"/>
    <w:rsid w:val="00335B17"/>
    <w:rsid w:val="003519CB"/>
    <w:rsid w:val="00354227"/>
    <w:rsid w:val="003551DD"/>
    <w:rsid w:val="00361A99"/>
    <w:rsid w:val="00372958"/>
    <w:rsid w:val="00373B3C"/>
    <w:rsid w:val="00381799"/>
    <w:rsid w:val="00383ED8"/>
    <w:rsid w:val="00384B7B"/>
    <w:rsid w:val="00386268"/>
    <w:rsid w:val="0039019B"/>
    <w:rsid w:val="00396763"/>
    <w:rsid w:val="003973B4"/>
    <w:rsid w:val="003A5688"/>
    <w:rsid w:val="003A7529"/>
    <w:rsid w:val="003D37F7"/>
    <w:rsid w:val="003D4755"/>
    <w:rsid w:val="003D5C4E"/>
    <w:rsid w:val="003E0393"/>
    <w:rsid w:val="003E0968"/>
    <w:rsid w:val="003E0F42"/>
    <w:rsid w:val="003E4D62"/>
    <w:rsid w:val="003E5C13"/>
    <w:rsid w:val="003F1202"/>
    <w:rsid w:val="004043E1"/>
    <w:rsid w:val="0040799C"/>
    <w:rsid w:val="004107A0"/>
    <w:rsid w:val="00413CD3"/>
    <w:rsid w:val="00414DE3"/>
    <w:rsid w:val="0041568C"/>
    <w:rsid w:val="00415BFE"/>
    <w:rsid w:val="00420EEE"/>
    <w:rsid w:val="004241E1"/>
    <w:rsid w:val="004258AE"/>
    <w:rsid w:val="00426C68"/>
    <w:rsid w:val="00432AE4"/>
    <w:rsid w:val="00437983"/>
    <w:rsid w:val="004446BD"/>
    <w:rsid w:val="00451551"/>
    <w:rsid w:val="0045166C"/>
    <w:rsid w:val="00453C94"/>
    <w:rsid w:val="00454864"/>
    <w:rsid w:val="00457C66"/>
    <w:rsid w:val="00465D3F"/>
    <w:rsid w:val="00467EA8"/>
    <w:rsid w:val="0047296D"/>
    <w:rsid w:val="004846E4"/>
    <w:rsid w:val="00485A67"/>
    <w:rsid w:val="00490EC2"/>
    <w:rsid w:val="00496195"/>
    <w:rsid w:val="004A0082"/>
    <w:rsid w:val="004A1D1D"/>
    <w:rsid w:val="004A5CD7"/>
    <w:rsid w:val="004A6593"/>
    <w:rsid w:val="004B1A95"/>
    <w:rsid w:val="004C385B"/>
    <w:rsid w:val="004C46BC"/>
    <w:rsid w:val="004C4CC0"/>
    <w:rsid w:val="004D54F2"/>
    <w:rsid w:val="004E1190"/>
    <w:rsid w:val="004E159C"/>
    <w:rsid w:val="004E1929"/>
    <w:rsid w:val="004E1C11"/>
    <w:rsid w:val="004E55B2"/>
    <w:rsid w:val="004E58B7"/>
    <w:rsid w:val="004E7A7C"/>
    <w:rsid w:val="004F2BEF"/>
    <w:rsid w:val="00504706"/>
    <w:rsid w:val="0050559E"/>
    <w:rsid w:val="00513776"/>
    <w:rsid w:val="0052182A"/>
    <w:rsid w:val="00522C56"/>
    <w:rsid w:val="00523003"/>
    <w:rsid w:val="00530A0A"/>
    <w:rsid w:val="00530FFA"/>
    <w:rsid w:val="0053195C"/>
    <w:rsid w:val="00534C8E"/>
    <w:rsid w:val="00537EF0"/>
    <w:rsid w:val="0054184F"/>
    <w:rsid w:val="00547B9C"/>
    <w:rsid w:val="005508A1"/>
    <w:rsid w:val="00555D34"/>
    <w:rsid w:val="00556D5A"/>
    <w:rsid w:val="0056067E"/>
    <w:rsid w:val="005632CC"/>
    <w:rsid w:val="005778F0"/>
    <w:rsid w:val="00590027"/>
    <w:rsid w:val="00597A78"/>
    <w:rsid w:val="005A1635"/>
    <w:rsid w:val="005A17D2"/>
    <w:rsid w:val="005A627E"/>
    <w:rsid w:val="005B3012"/>
    <w:rsid w:val="005B4703"/>
    <w:rsid w:val="005D3C14"/>
    <w:rsid w:val="005D5713"/>
    <w:rsid w:val="005E3DCE"/>
    <w:rsid w:val="005E551B"/>
    <w:rsid w:val="005E5F67"/>
    <w:rsid w:val="005E7313"/>
    <w:rsid w:val="005F1833"/>
    <w:rsid w:val="0060030A"/>
    <w:rsid w:val="006006DD"/>
    <w:rsid w:val="006051CE"/>
    <w:rsid w:val="00607219"/>
    <w:rsid w:val="006250AD"/>
    <w:rsid w:val="00625A11"/>
    <w:rsid w:val="0063586A"/>
    <w:rsid w:val="006540D5"/>
    <w:rsid w:val="00670819"/>
    <w:rsid w:val="00670CAE"/>
    <w:rsid w:val="00673BB5"/>
    <w:rsid w:val="00680E07"/>
    <w:rsid w:val="006A689E"/>
    <w:rsid w:val="006A704B"/>
    <w:rsid w:val="006B1038"/>
    <w:rsid w:val="006B2C7E"/>
    <w:rsid w:val="006D0A2B"/>
    <w:rsid w:val="006D1374"/>
    <w:rsid w:val="006D1394"/>
    <w:rsid w:val="006D3707"/>
    <w:rsid w:val="006D5E01"/>
    <w:rsid w:val="006E0D73"/>
    <w:rsid w:val="006E167C"/>
    <w:rsid w:val="006E61C2"/>
    <w:rsid w:val="006F2799"/>
    <w:rsid w:val="006F49A7"/>
    <w:rsid w:val="006F7705"/>
    <w:rsid w:val="00703817"/>
    <w:rsid w:val="00705CC1"/>
    <w:rsid w:val="007068A4"/>
    <w:rsid w:val="007103BA"/>
    <w:rsid w:val="00714871"/>
    <w:rsid w:val="0072220B"/>
    <w:rsid w:val="0072405F"/>
    <w:rsid w:val="0072628B"/>
    <w:rsid w:val="00734728"/>
    <w:rsid w:val="00734FFC"/>
    <w:rsid w:val="00736F03"/>
    <w:rsid w:val="007401CC"/>
    <w:rsid w:val="007402C1"/>
    <w:rsid w:val="00740E85"/>
    <w:rsid w:val="00751EE4"/>
    <w:rsid w:val="007529B0"/>
    <w:rsid w:val="00753FE6"/>
    <w:rsid w:val="00757A01"/>
    <w:rsid w:val="00763DDA"/>
    <w:rsid w:val="00766DB4"/>
    <w:rsid w:val="00773420"/>
    <w:rsid w:val="00773A3A"/>
    <w:rsid w:val="0077408C"/>
    <w:rsid w:val="007769EF"/>
    <w:rsid w:val="007771FC"/>
    <w:rsid w:val="00784487"/>
    <w:rsid w:val="00787CBE"/>
    <w:rsid w:val="00793ACF"/>
    <w:rsid w:val="007A3658"/>
    <w:rsid w:val="007B12C3"/>
    <w:rsid w:val="007B76A1"/>
    <w:rsid w:val="007C48B1"/>
    <w:rsid w:val="007C4932"/>
    <w:rsid w:val="007C7379"/>
    <w:rsid w:val="007D0633"/>
    <w:rsid w:val="007E48F9"/>
    <w:rsid w:val="007E701F"/>
    <w:rsid w:val="007F0DEC"/>
    <w:rsid w:val="007F43C1"/>
    <w:rsid w:val="007F62AE"/>
    <w:rsid w:val="00801CD7"/>
    <w:rsid w:val="00802C51"/>
    <w:rsid w:val="0080335E"/>
    <w:rsid w:val="00811F24"/>
    <w:rsid w:val="00827552"/>
    <w:rsid w:val="00831465"/>
    <w:rsid w:val="00831755"/>
    <w:rsid w:val="008338D3"/>
    <w:rsid w:val="008351AD"/>
    <w:rsid w:val="0083579B"/>
    <w:rsid w:val="00836666"/>
    <w:rsid w:val="00836F75"/>
    <w:rsid w:val="00837A95"/>
    <w:rsid w:val="00846530"/>
    <w:rsid w:val="00852A4F"/>
    <w:rsid w:val="008540D9"/>
    <w:rsid w:val="00860097"/>
    <w:rsid w:val="008705C4"/>
    <w:rsid w:val="008737DA"/>
    <w:rsid w:val="008771C5"/>
    <w:rsid w:val="00880D1A"/>
    <w:rsid w:val="008871FA"/>
    <w:rsid w:val="008910E4"/>
    <w:rsid w:val="00892B34"/>
    <w:rsid w:val="0089346C"/>
    <w:rsid w:val="008A42CB"/>
    <w:rsid w:val="008A5917"/>
    <w:rsid w:val="008A6110"/>
    <w:rsid w:val="008B7787"/>
    <w:rsid w:val="008C62FB"/>
    <w:rsid w:val="008C79FF"/>
    <w:rsid w:val="008D1478"/>
    <w:rsid w:val="008E1373"/>
    <w:rsid w:val="008E277F"/>
    <w:rsid w:val="008F1F86"/>
    <w:rsid w:val="008F24CC"/>
    <w:rsid w:val="008F3BC8"/>
    <w:rsid w:val="00902CD0"/>
    <w:rsid w:val="00906E4B"/>
    <w:rsid w:val="0092075B"/>
    <w:rsid w:val="00923BA9"/>
    <w:rsid w:val="0092569D"/>
    <w:rsid w:val="009261D6"/>
    <w:rsid w:val="0092741C"/>
    <w:rsid w:val="00930274"/>
    <w:rsid w:val="00932D6C"/>
    <w:rsid w:val="009337C6"/>
    <w:rsid w:val="00933EAD"/>
    <w:rsid w:val="009466A9"/>
    <w:rsid w:val="00947613"/>
    <w:rsid w:val="00957F9E"/>
    <w:rsid w:val="009617A5"/>
    <w:rsid w:val="009630AD"/>
    <w:rsid w:val="00965134"/>
    <w:rsid w:val="009656E2"/>
    <w:rsid w:val="0098242A"/>
    <w:rsid w:val="0098272A"/>
    <w:rsid w:val="00987658"/>
    <w:rsid w:val="009953CB"/>
    <w:rsid w:val="009A12C6"/>
    <w:rsid w:val="009A59A9"/>
    <w:rsid w:val="009A7C1A"/>
    <w:rsid w:val="009B52E4"/>
    <w:rsid w:val="009C5645"/>
    <w:rsid w:val="009C5A70"/>
    <w:rsid w:val="009D2F7C"/>
    <w:rsid w:val="009E3143"/>
    <w:rsid w:val="009E661B"/>
    <w:rsid w:val="009F1C8C"/>
    <w:rsid w:val="009F2EF6"/>
    <w:rsid w:val="009F38B7"/>
    <w:rsid w:val="009F46B9"/>
    <w:rsid w:val="009F6CB2"/>
    <w:rsid w:val="00A02474"/>
    <w:rsid w:val="00A03A82"/>
    <w:rsid w:val="00A12CB5"/>
    <w:rsid w:val="00A26D9F"/>
    <w:rsid w:val="00A270C6"/>
    <w:rsid w:val="00A3678C"/>
    <w:rsid w:val="00A418B5"/>
    <w:rsid w:val="00A43544"/>
    <w:rsid w:val="00A464EF"/>
    <w:rsid w:val="00A53A0E"/>
    <w:rsid w:val="00A562C4"/>
    <w:rsid w:val="00A63A81"/>
    <w:rsid w:val="00A63BDE"/>
    <w:rsid w:val="00A657BB"/>
    <w:rsid w:val="00A67707"/>
    <w:rsid w:val="00A709FC"/>
    <w:rsid w:val="00A80B27"/>
    <w:rsid w:val="00A81734"/>
    <w:rsid w:val="00A822AE"/>
    <w:rsid w:val="00A83F94"/>
    <w:rsid w:val="00A93B97"/>
    <w:rsid w:val="00A95ABE"/>
    <w:rsid w:val="00A967F3"/>
    <w:rsid w:val="00AA1446"/>
    <w:rsid w:val="00AA637F"/>
    <w:rsid w:val="00AA6A21"/>
    <w:rsid w:val="00AA76BA"/>
    <w:rsid w:val="00AB26FB"/>
    <w:rsid w:val="00AB4290"/>
    <w:rsid w:val="00AB500C"/>
    <w:rsid w:val="00AB5C88"/>
    <w:rsid w:val="00AB5E96"/>
    <w:rsid w:val="00AB7A69"/>
    <w:rsid w:val="00AB7FE6"/>
    <w:rsid w:val="00AC15FC"/>
    <w:rsid w:val="00AC1C95"/>
    <w:rsid w:val="00AC2A0A"/>
    <w:rsid w:val="00AC4E8A"/>
    <w:rsid w:val="00AC7371"/>
    <w:rsid w:val="00AD60BB"/>
    <w:rsid w:val="00AD6C86"/>
    <w:rsid w:val="00AE06C8"/>
    <w:rsid w:val="00AF61F1"/>
    <w:rsid w:val="00AF71BB"/>
    <w:rsid w:val="00B021C9"/>
    <w:rsid w:val="00B1179C"/>
    <w:rsid w:val="00B118FC"/>
    <w:rsid w:val="00B13314"/>
    <w:rsid w:val="00B178B9"/>
    <w:rsid w:val="00B23E42"/>
    <w:rsid w:val="00B32C18"/>
    <w:rsid w:val="00B3571B"/>
    <w:rsid w:val="00B362F2"/>
    <w:rsid w:val="00B36A0C"/>
    <w:rsid w:val="00B41BEF"/>
    <w:rsid w:val="00B47967"/>
    <w:rsid w:val="00B5137E"/>
    <w:rsid w:val="00B52669"/>
    <w:rsid w:val="00B56A52"/>
    <w:rsid w:val="00B629E2"/>
    <w:rsid w:val="00B641E4"/>
    <w:rsid w:val="00B65507"/>
    <w:rsid w:val="00B66474"/>
    <w:rsid w:val="00B70EC2"/>
    <w:rsid w:val="00B749D0"/>
    <w:rsid w:val="00B85CA5"/>
    <w:rsid w:val="00B96E64"/>
    <w:rsid w:val="00BA23CA"/>
    <w:rsid w:val="00BA3D9F"/>
    <w:rsid w:val="00BA6930"/>
    <w:rsid w:val="00BB0D2A"/>
    <w:rsid w:val="00BC1ABC"/>
    <w:rsid w:val="00BC3DA2"/>
    <w:rsid w:val="00BD2A67"/>
    <w:rsid w:val="00BD2F29"/>
    <w:rsid w:val="00BD3827"/>
    <w:rsid w:val="00BD4C58"/>
    <w:rsid w:val="00BD749F"/>
    <w:rsid w:val="00BE09D9"/>
    <w:rsid w:val="00BE2D0B"/>
    <w:rsid w:val="00BE4CAD"/>
    <w:rsid w:val="00BF3787"/>
    <w:rsid w:val="00C01FD2"/>
    <w:rsid w:val="00C0297A"/>
    <w:rsid w:val="00C141B0"/>
    <w:rsid w:val="00C14D7C"/>
    <w:rsid w:val="00C1598A"/>
    <w:rsid w:val="00C25CFC"/>
    <w:rsid w:val="00C27E9C"/>
    <w:rsid w:val="00C31B2B"/>
    <w:rsid w:val="00C33F9E"/>
    <w:rsid w:val="00C37ADC"/>
    <w:rsid w:val="00C41845"/>
    <w:rsid w:val="00C42DA0"/>
    <w:rsid w:val="00C521C6"/>
    <w:rsid w:val="00C54FBF"/>
    <w:rsid w:val="00C562E2"/>
    <w:rsid w:val="00C56340"/>
    <w:rsid w:val="00C5798C"/>
    <w:rsid w:val="00C60246"/>
    <w:rsid w:val="00C61004"/>
    <w:rsid w:val="00C62512"/>
    <w:rsid w:val="00C6452E"/>
    <w:rsid w:val="00C71076"/>
    <w:rsid w:val="00C72D2D"/>
    <w:rsid w:val="00C7790F"/>
    <w:rsid w:val="00C90A35"/>
    <w:rsid w:val="00C932AD"/>
    <w:rsid w:val="00C934AE"/>
    <w:rsid w:val="00C974E9"/>
    <w:rsid w:val="00CA17B4"/>
    <w:rsid w:val="00CA1CDD"/>
    <w:rsid w:val="00CA789C"/>
    <w:rsid w:val="00CB6C2F"/>
    <w:rsid w:val="00CC2633"/>
    <w:rsid w:val="00CC2D35"/>
    <w:rsid w:val="00CE5624"/>
    <w:rsid w:val="00CE695D"/>
    <w:rsid w:val="00CE7754"/>
    <w:rsid w:val="00CF7C3D"/>
    <w:rsid w:val="00D0056B"/>
    <w:rsid w:val="00D10116"/>
    <w:rsid w:val="00D14AF2"/>
    <w:rsid w:val="00D154B5"/>
    <w:rsid w:val="00D2324F"/>
    <w:rsid w:val="00D264D8"/>
    <w:rsid w:val="00D305B0"/>
    <w:rsid w:val="00D31708"/>
    <w:rsid w:val="00D32E06"/>
    <w:rsid w:val="00D52E39"/>
    <w:rsid w:val="00D6041A"/>
    <w:rsid w:val="00D71460"/>
    <w:rsid w:val="00D7265F"/>
    <w:rsid w:val="00D73FE1"/>
    <w:rsid w:val="00D77DEA"/>
    <w:rsid w:val="00D86899"/>
    <w:rsid w:val="00D901BF"/>
    <w:rsid w:val="00DA3A85"/>
    <w:rsid w:val="00DA463B"/>
    <w:rsid w:val="00DB7FB0"/>
    <w:rsid w:val="00DC20CA"/>
    <w:rsid w:val="00DC359B"/>
    <w:rsid w:val="00DC6935"/>
    <w:rsid w:val="00DC7785"/>
    <w:rsid w:val="00DD156A"/>
    <w:rsid w:val="00DD3C5D"/>
    <w:rsid w:val="00DF01EF"/>
    <w:rsid w:val="00DF1150"/>
    <w:rsid w:val="00E00FDC"/>
    <w:rsid w:val="00E01046"/>
    <w:rsid w:val="00E034BE"/>
    <w:rsid w:val="00E04DCC"/>
    <w:rsid w:val="00E17DD8"/>
    <w:rsid w:val="00E20E43"/>
    <w:rsid w:val="00E246E0"/>
    <w:rsid w:val="00E24A0F"/>
    <w:rsid w:val="00E43703"/>
    <w:rsid w:val="00E46D40"/>
    <w:rsid w:val="00E50FBB"/>
    <w:rsid w:val="00E54452"/>
    <w:rsid w:val="00E55B8B"/>
    <w:rsid w:val="00E61CB9"/>
    <w:rsid w:val="00E64593"/>
    <w:rsid w:val="00E71EA0"/>
    <w:rsid w:val="00E720DA"/>
    <w:rsid w:val="00E743E8"/>
    <w:rsid w:val="00E7522A"/>
    <w:rsid w:val="00E77CB7"/>
    <w:rsid w:val="00E8005B"/>
    <w:rsid w:val="00E83256"/>
    <w:rsid w:val="00E83399"/>
    <w:rsid w:val="00E85766"/>
    <w:rsid w:val="00E85CCA"/>
    <w:rsid w:val="00E876F1"/>
    <w:rsid w:val="00E87802"/>
    <w:rsid w:val="00E91C99"/>
    <w:rsid w:val="00EB43AA"/>
    <w:rsid w:val="00EB4AC3"/>
    <w:rsid w:val="00EB606A"/>
    <w:rsid w:val="00EB6F64"/>
    <w:rsid w:val="00EC04F8"/>
    <w:rsid w:val="00EC1F6D"/>
    <w:rsid w:val="00EC2CB6"/>
    <w:rsid w:val="00EC512B"/>
    <w:rsid w:val="00ED28D8"/>
    <w:rsid w:val="00EE12C6"/>
    <w:rsid w:val="00EF7017"/>
    <w:rsid w:val="00F00D0B"/>
    <w:rsid w:val="00F011BB"/>
    <w:rsid w:val="00F011E8"/>
    <w:rsid w:val="00F01266"/>
    <w:rsid w:val="00F027B5"/>
    <w:rsid w:val="00F062C7"/>
    <w:rsid w:val="00F0640C"/>
    <w:rsid w:val="00F06F3B"/>
    <w:rsid w:val="00F210F9"/>
    <w:rsid w:val="00F265F1"/>
    <w:rsid w:val="00F27E55"/>
    <w:rsid w:val="00F31CEC"/>
    <w:rsid w:val="00F32B74"/>
    <w:rsid w:val="00F33FB8"/>
    <w:rsid w:val="00F42371"/>
    <w:rsid w:val="00F43EA5"/>
    <w:rsid w:val="00F44556"/>
    <w:rsid w:val="00F449F3"/>
    <w:rsid w:val="00F46475"/>
    <w:rsid w:val="00F47ACC"/>
    <w:rsid w:val="00F53ADA"/>
    <w:rsid w:val="00F54326"/>
    <w:rsid w:val="00F61D5B"/>
    <w:rsid w:val="00F675B5"/>
    <w:rsid w:val="00F706A9"/>
    <w:rsid w:val="00F773C4"/>
    <w:rsid w:val="00F80EF6"/>
    <w:rsid w:val="00F85B8C"/>
    <w:rsid w:val="00F942FF"/>
    <w:rsid w:val="00F94BE7"/>
    <w:rsid w:val="00FA3D8E"/>
    <w:rsid w:val="00FB2DE3"/>
    <w:rsid w:val="00FC0C46"/>
    <w:rsid w:val="00FC130D"/>
    <w:rsid w:val="00FC6634"/>
    <w:rsid w:val="00FD2693"/>
    <w:rsid w:val="00FD4D67"/>
    <w:rsid w:val="00FD7F03"/>
    <w:rsid w:val="00FE3438"/>
    <w:rsid w:val="00FE4B5D"/>
    <w:rsid w:val="00FE7134"/>
    <w:rsid w:val="00FE74C4"/>
    <w:rsid w:val="00FF47EB"/>
    <w:rsid w:val="00FF5C05"/>
    <w:rsid w:val="042033D6"/>
    <w:rsid w:val="04F512AE"/>
    <w:rsid w:val="054F3944"/>
    <w:rsid w:val="057A1088"/>
    <w:rsid w:val="073C5F9B"/>
    <w:rsid w:val="08E831A0"/>
    <w:rsid w:val="0DE7312A"/>
    <w:rsid w:val="0E3C75E8"/>
    <w:rsid w:val="10F6414E"/>
    <w:rsid w:val="117C0D3F"/>
    <w:rsid w:val="12B71311"/>
    <w:rsid w:val="139525D9"/>
    <w:rsid w:val="13BB1E34"/>
    <w:rsid w:val="160A1545"/>
    <w:rsid w:val="16F7073B"/>
    <w:rsid w:val="1C9E56AD"/>
    <w:rsid w:val="1CDB5AD0"/>
    <w:rsid w:val="1E0831D3"/>
    <w:rsid w:val="1E6D158F"/>
    <w:rsid w:val="20844E8E"/>
    <w:rsid w:val="20FD4477"/>
    <w:rsid w:val="21C0259F"/>
    <w:rsid w:val="226249B0"/>
    <w:rsid w:val="22977436"/>
    <w:rsid w:val="23824A85"/>
    <w:rsid w:val="23C425E8"/>
    <w:rsid w:val="25665B84"/>
    <w:rsid w:val="257D4C7B"/>
    <w:rsid w:val="27E5759F"/>
    <w:rsid w:val="293732F9"/>
    <w:rsid w:val="29D45745"/>
    <w:rsid w:val="2A1A17D9"/>
    <w:rsid w:val="2B0A5828"/>
    <w:rsid w:val="2BD32DC7"/>
    <w:rsid w:val="2BD40FF7"/>
    <w:rsid w:val="2DFF7E04"/>
    <w:rsid w:val="2FB663B3"/>
    <w:rsid w:val="302A5878"/>
    <w:rsid w:val="31ED7D79"/>
    <w:rsid w:val="33655F6D"/>
    <w:rsid w:val="341D288D"/>
    <w:rsid w:val="343E6645"/>
    <w:rsid w:val="35AC22C9"/>
    <w:rsid w:val="37737A1B"/>
    <w:rsid w:val="39083C99"/>
    <w:rsid w:val="39BB3AC3"/>
    <w:rsid w:val="3A6A61E5"/>
    <w:rsid w:val="3CDA6EE3"/>
    <w:rsid w:val="3DCE0A75"/>
    <w:rsid w:val="407B2273"/>
    <w:rsid w:val="467D4684"/>
    <w:rsid w:val="47643349"/>
    <w:rsid w:val="4BAA21AF"/>
    <w:rsid w:val="4BCF3F9F"/>
    <w:rsid w:val="4BD55E33"/>
    <w:rsid w:val="4C884032"/>
    <w:rsid w:val="4CD928A1"/>
    <w:rsid w:val="4D50664E"/>
    <w:rsid w:val="4F0444B0"/>
    <w:rsid w:val="513F716D"/>
    <w:rsid w:val="54ED44E0"/>
    <w:rsid w:val="55932CC6"/>
    <w:rsid w:val="56126841"/>
    <w:rsid w:val="58DA7286"/>
    <w:rsid w:val="5CC475BF"/>
    <w:rsid w:val="5D712064"/>
    <w:rsid w:val="5EB32EE1"/>
    <w:rsid w:val="5EF50B59"/>
    <w:rsid w:val="5F1F1600"/>
    <w:rsid w:val="61B04539"/>
    <w:rsid w:val="621B2A1D"/>
    <w:rsid w:val="62826B2B"/>
    <w:rsid w:val="67DF08A2"/>
    <w:rsid w:val="6CD97944"/>
    <w:rsid w:val="6DA64D6A"/>
    <w:rsid w:val="6F2A1EE7"/>
    <w:rsid w:val="6FE104AF"/>
    <w:rsid w:val="71241A1C"/>
    <w:rsid w:val="716A492C"/>
    <w:rsid w:val="74626AE3"/>
    <w:rsid w:val="76640E6E"/>
    <w:rsid w:val="76D46C00"/>
    <w:rsid w:val="77FA34D6"/>
    <w:rsid w:val="7B0110F4"/>
    <w:rsid w:val="7D082A4A"/>
    <w:rsid w:val="7DC42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link w:val="22"/>
    <w:qFormat/>
    <w:uiPriority w:val="9"/>
    <w:pPr>
      <w:outlineLvl w:val="0"/>
    </w:pPr>
    <w:rPr>
      <w:rFonts w:eastAsia="黑体"/>
      <w:bCs/>
      <w:kern w:val="44"/>
      <w:szCs w:val="44"/>
    </w:rPr>
  </w:style>
  <w:style w:type="paragraph" w:styleId="4">
    <w:name w:val="heading 2"/>
    <w:basedOn w:val="1"/>
    <w:next w:val="3"/>
    <w:link w:val="25"/>
    <w:unhideWhenUsed/>
    <w:qFormat/>
    <w:uiPriority w:val="9"/>
    <w:pPr>
      <w:spacing w:line="600" w:lineRule="exact"/>
      <w:ind w:firstLine="200" w:firstLineChars="200"/>
      <w:textAlignment w:val="center"/>
      <w:outlineLvl w:val="1"/>
    </w:pPr>
    <w:rPr>
      <w:rFonts w:eastAsia="楷体_GB2312" w:cstheme="majorBidi"/>
      <w:bCs/>
      <w:sz w:val="32"/>
      <w:szCs w:val="32"/>
    </w:rPr>
  </w:style>
  <w:style w:type="paragraph" w:styleId="5">
    <w:name w:val="heading 3"/>
    <w:basedOn w:val="1"/>
    <w:next w:val="3"/>
    <w:link w:val="29"/>
    <w:unhideWhenUsed/>
    <w:qFormat/>
    <w:uiPriority w:val="9"/>
    <w:pPr>
      <w:spacing w:line="600" w:lineRule="exact"/>
      <w:ind w:firstLine="200" w:firstLineChars="200"/>
      <w:textAlignment w:val="center"/>
      <w:outlineLvl w:val="2"/>
    </w:pPr>
    <w:rPr>
      <w:rFonts w:eastAsia="仿宋_GB2312"/>
      <w:bCs/>
      <w:sz w:val="32"/>
      <w:szCs w:val="32"/>
    </w:rPr>
  </w:style>
  <w:style w:type="paragraph" w:styleId="6">
    <w:name w:val="heading 4"/>
    <w:basedOn w:val="1"/>
    <w:next w:val="3"/>
    <w:link w:val="30"/>
    <w:unhideWhenUsed/>
    <w:qFormat/>
    <w:uiPriority w:val="9"/>
    <w:pPr>
      <w:spacing w:line="600" w:lineRule="exact"/>
      <w:ind w:firstLine="200" w:firstLineChars="200"/>
      <w:textAlignment w:val="center"/>
      <w:outlineLvl w:val="3"/>
    </w:pPr>
    <w:rPr>
      <w:rFonts w:eastAsia="仿宋_GB2312" w:cstheme="majorBidi"/>
      <w:bCs/>
      <w:sz w:val="32"/>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3">
    <w:name w:val="文本正文"/>
    <w:link w:val="23"/>
    <w:qFormat/>
    <w:uiPriority w:val="0"/>
    <w:pPr>
      <w:widowControl w:val="0"/>
      <w:overflowPunct w:val="0"/>
      <w:spacing w:line="600" w:lineRule="exact"/>
      <w:ind w:firstLine="200" w:firstLineChars="200"/>
      <w:jc w:val="both"/>
      <w:textAlignment w:val="center"/>
    </w:pPr>
    <w:rPr>
      <w:rFonts w:ascii="Times New Roman" w:hAnsi="Times New Roman" w:eastAsia="仿宋_GB2312" w:cstheme="minorBidi"/>
      <w:kern w:val="2"/>
      <w:sz w:val="32"/>
      <w:szCs w:val="22"/>
      <w:lang w:val="en-US" w:eastAsia="zh-CN" w:bidi="ar-SA"/>
    </w:rPr>
  </w:style>
  <w:style w:type="paragraph" w:styleId="7">
    <w:name w:val="annotation text"/>
    <w:basedOn w:val="1"/>
    <w:link w:val="31"/>
    <w:semiHidden/>
    <w:unhideWhenUsed/>
    <w:qFormat/>
    <w:uiPriority w:val="99"/>
    <w:pPr>
      <w:jc w:val="left"/>
    </w:pPr>
  </w:style>
  <w:style w:type="paragraph" w:styleId="8">
    <w:name w:val="Body Text"/>
    <w:basedOn w:val="1"/>
    <w:link w:val="38"/>
    <w:qFormat/>
    <w:uiPriority w:val="99"/>
    <w:rPr>
      <w:rFonts w:ascii="仿宋_GB2312" w:hAnsi="宋体" w:eastAsia="仿宋_GB2312"/>
      <w:color w:val="FF6600"/>
      <w:sz w:val="18"/>
      <w:szCs w:val="18"/>
    </w:rPr>
  </w:style>
  <w:style w:type="paragraph" w:styleId="9">
    <w:name w:val="Date"/>
    <w:basedOn w:val="1"/>
    <w:next w:val="1"/>
    <w:link w:val="33"/>
    <w:semiHidden/>
    <w:unhideWhenUsed/>
    <w:qFormat/>
    <w:uiPriority w:val="99"/>
    <w:pPr>
      <w:ind w:left="100" w:leftChars="2500"/>
    </w:pPr>
  </w:style>
  <w:style w:type="paragraph" w:styleId="10">
    <w:name w:val="Balloon Text"/>
    <w:basedOn w:val="1"/>
    <w:link w:val="28"/>
    <w:semiHidden/>
    <w:unhideWhenUsed/>
    <w:qFormat/>
    <w:uiPriority w:val="99"/>
    <w:rPr>
      <w:sz w:val="18"/>
      <w:szCs w:val="18"/>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unhideWhenUsed/>
    <w:qFormat/>
    <w:uiPriority w:val="39"/>
  </w:style>
  <w:style w:type="paragraph" w:styleId="14">
    <w:name w:val="toc 2"/>
    <w:basedOn w:val="1"/>
    <w:next w:val="1"/>
    <w:semiHidden/>
    <w:unhideWhenUsed/>
    <w:qFormat/>
    <w:uiPriority w:val="39"/>
    <w:pPr>
      <w:ind w:left="420" w:leftChars="200"/>
    </w:pPr>
  </w:style>
  <w:style w:type="paragraph" w:styleId="15">
    <w:name w:val="Title"/>
    <w:basedOn w:val="1"/>
    <w:next w:val="3"/>
    <w:link w:val="24"/>
    <w:qFormat/>
    <w:uiPriority w:val="10"/>
    <w:pPr>
      <w:spacing w:line="600" w:lineRule="exact"/>
      <w:jc w:val="center"/>
    </w:pPr>
    <w:rPr>
      <w:rFonts w:ascii="方正小标宋简体" w:hAnsi="方正小标宋简体" w:eastAsia="方正小标宋简体" w:cstheme="majorBidi"/>
      <w:bCs/>
      <w:sz w:val="44"/>
      <w:szCs w:val="32"/>
    </w:rPr>
  </w:style>
  <w:style w:type="paragraph" w:styleId="16">
    <w:name w:val="annotation subject"/>
    <w:basedOn w:val="7"/>
    <w:next w:val="7"/>
    <w:link w:val="32"/>
    <w:semiHidden/>
    <w:unhideWhenUsed/>
    <w:qFormat/>
    <w:uiPriority w:val="99"/>
    <w:rPr>
      <w:b/>
      <w:bCs/>
    </w:rPr>
  </w:style>
  <w:style w:type="paragraph" w:styleId="17">
    <w:name w:val="Body Text First Indent"/>
    <w:basedOn w:val="8"/>
    <w:link w:val="39"/>
    <w:qFormat/>
    <w:uiPriority w:val="0"/>
    <w:pPr>
      <w:ind w:firstLine="420" w:firstLineChars="100"/>
    </w:p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semiHidden/>
    <w:unhideWhenUsed/>
    <w:qFormat/>
    <w:uiPriority w:val="99"/>
    <w:rPr>
      <w:sz w:val="21"/>
      <w:szCs w:val="21"/>
    </w:rPr>
  </w:style>
  <w:style w:type="character" w:customStyle="1" w:styleId="22">
    <w:name w:val="标题 1 字符"/>
    <w:basedOn w:val="20"/>
    <w:link w:val="2"/>
    <w:qFormat/>
    <w:uiPriority w:val="9"/>
    <w:rPr>
      <w:rFonts w:ascii="Times New Roman" w:hAnsi="Times New Roman" w:eastAsia="黑体"/>
      <w:bCs/>
      <w:kern w:val="44"/>
      <w:sz w:val="32"/>
      <w:szCs w:val="44"/>
    </w:rPr>
  </w:style>
  <w:style w:type="character" w:customStyle="1" w:styleId="23">
    <w:name w:val="文本正文 字符"/>
    <w:basedOn w:val="20"/>
    <w:link w:val="3"/>
    <w:qFormat/>
    <w:uiPriority w:val="0"/>
    <w:rPr>
      <w:rFonts w:ascii="Times New Roman" w:hAnsi="Times New Roman" w:eastAsia="仿宋_GB2312"/>
      <w:sz w:val="32"/>
    </w:rPr>
  </w:style>
  <w:style w:type="character" w:customStyle="1" w:styleId="24">
    <w:name w:val="标题 字符"/>
    <w:basedOn w:val="20"/>
    <w:link w:val="15"/>
    <w:qFormat/>
    <w:uiPriority w:val="10"/>
    <w:rPr>
      <w:rFonts w:ascii="方正小标宋简体" w:hAnsi="方正小标宋简体" w:eastAsia="方正小标宋简体" w:cstheme="majorBidi"/>
      <w:bCs/>
      <w:sz w:val="44"/>
      <w:szCs w:val="32"/>
    </w:rPr>
  </w:style>
  <w:style w:type="character" w:customStyle="1" w:styleId="25">
    <w:name w:val="标题 2 字符"/>
    <w:basedOn w:val="20"/>
    <w:link w:val="4"/>
    <w:qFormat/>
    <w:uiPriority w:val="9"/>
    <w:rPr>
      <w:rFonts w:ascii="Times New Roman" w:hAnsi="Times New Roman" w:eastAsia="楷体_GB2312" w:cstheme="majorBidi"/>
      <w:bCs/>
      <w:sz w:val="32"/>
      <w:szCs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批注框文本 字符"/>
    <w:basedOn w:val="20"/>
    <w:link w:val="10"/>
    <w:semiHidden/>
    <w:qFormat/>
    <w:uiPriority w:val="99"/>
    <w:rPr>
      <w:sz w:val="18"/>
      <w:szCs w:val="18"/>
    </w:rPr>
  </w:style>
  <w:style w:type="character" w:customStyle="1" w:styleId="29">
    <w:name w:val="标题 3 字符"/>
    <w:basedOn w:val="20"/>
    <w:link w:val="5"/>
    <w:qFormat/>
    <w:uiPriority w:val="9"/>
    <w:rPr>
      <w:rFonts w:ascii="Times New Roman" w:hAnsi="Times New Roman" w:eastAsia="仿宋_GB2312"/>
      <w:bCs/>
      <w:sz w:val="32"/>
      <w:szCs w:val="32"/>
    </w:rPr>
  </w:style>
  <w:style w:type="character" w:customStyle="1" w:styleId="30">
    <w:name w:val="标题 4 字符"/>
    <w:basedOn w:val="20"/>
    <w:link w:val="6"/>
    <w:qFormat/>
    <w:uiPriority w:val="9"/>
    <w:rPr>
      <w:rFonts w:ascii="Times New Roman" w:hAnsi="Times New Roman" w:eastAsia="仿宋_GB2312" w:cstheme="majorBidi"/>
      <w:bCs/>
      <w:sz w:val="32"/>
      <w:szCs w:val="28"/>
    </w:rPr>
  </w:style>
  <w:style w:type="character" w:customStyle="1" w:styleId="31">
    <w:name w:val="批注文字 字符"/>
    <w:basedOn w:val="20"/>
    <w:link w:val="7"/>
    <w:semiHidden/>
    <w:qFormat/>
    <w:uiPriority w:val="99"/>
  </w:style>
  <w:style w:type="character" w:customStyle="1" w:styleId="32">
    <w:name w:val="批注主题 字符"/>
    <w:basedOn w:val="31"/>
    <w:link w:val="16"/>
    <w:semiHidden/>
    <w:qFormat/>
    <w:uiPriority w:val="99"/>
    <w:rPr>
      <w:b/>
      <w:bCs/>
    </w:rPr>
  </w:style>
  <w:style w:type="character" w:customStyle="1" w:styleId="33">
    <w:name w:val="日期 字符"/>
    <w:basedOn w:val="20"/>
    <w:link w:val="9"/>
    <w:semiHidden/>
    <w:qFormat/>
    <w:uiPriority w:val="99"/>
  </w:style>
  <w:style w:type="paragraph" w:customStyle="1" w:styleId="34">
    <w:name w:val="落款"/>
    <w:basedOn w:val="3"/>
    <w:link w:val="35"/>
    <w:qFormat/>
    <w:uiPriority w:val="0"/>
    <w:pPr>
      <w:tabs>
        <w:tab w:val="center" w:pos="6510"/>
      </w:tabs>
      <w:ind w:firstLine="0" w:firstLineChars="0"/>
      <w:jc w:val="left"/>
    </w:pPr>
  </w:style>
  <w:style w:type="character" w:customStyle="1" w:styleId="35">
    <w:name w:val="落款 字符"/>
    <w:basedOn w:val="23"/>
    <w:link w:val="34"/>
    <w:qFormat/>
    <w:uiPriority w:val="0"/>
    <w:rPr>
      <w:rFonts w:ascii="Times New Roman" w:hAnsi="Times New Roman" w:eastAsia="仿宋"/>
      <w:sz w:val="32"/>
    </w:rPr>
  </w:style>
  <w:style w:type="paragraph" w:customStyle="1" w:styleId="36">
    <w:name w:val="图表"/>
    <w:basedOn w:val="3"/>
    <w:link w:val="37"/>
    <w:qFormat/>
    <w:uiPriority w:val="0"/>
    <w:pPr>
      <w:spacing w:line="240" w:lineRule="auto"/>
      <w:ind w:firstLine="0" w:firstLineChars="0"/>
      <w:jc w:val="center"/>
    </w:pPr>
    <w:rPr>
      <w:rFonts w:eastAsia="楷体_GB2312"/>
    </w:rPr>
  </w:style>
  <w:style w:type="character" w:customStyle="1" w:styleId="37">
    <w:name w:val="图表 字符"/>
    <w:basedOn w:val="23"/>
    <w:link w:val="36"/>
    <w:qFormat/>
    <w:uiPriority w:val="0"/>
    <w:rPr>
      <w:rFonts w:ascii="Times New Roman" w:hAnsi="Times New Roman" w:eastAsia="楷体_GB2312"/>
      <w:sz w:val="32"/>
    </w:rPr>
  </w:style>
  <w:style w:type="character" w:customStyle="1" w:styleId="38">
    <w:name w:val="正文文本 字符"/>
    <w:basedOn w:val="20"/>
    <w:link w:val="8"/>
    <w:qFormat/>
    <w:uiPriority w:val="99"/>
    <w:rPr>
      <w:rFonts w:ascii="仿宋_GB2312" w:hAnsi="宋体" w:eastAsia="仿宋_GB2312" w:cs="Times New Roman"/>
      <w:color w:val="FF6600"/>
      <w:sz w:val="18"/>
      <w:szCs w:val="18"/>
    </w:rPr>
  </w:style>
  <w:style w:type="character" w:customStyle="1" w:styleId="39">
    <w:name w:val="正文文本首行缩进 字符"/>
    <w:basedOn w:val="38"/>
    <w:link w:val="17"/>
    <w:qFormat/>
    <w:uiPriority w:val="0"/>
    <w:rPr>
      <w:rFonts w:ascii="仿宋_GB2312" w:hAnsi="宋体" w:eastAsia="仿宋_GB2312" w:cs="Times New Roman"/>
      <w:color w:val="FF6600"/>
      <w:kern w:val="2"/>
      <w:sz w:val="18"/>
      <w:szCs w:val="18"/>
    </w:rPr>
  </w:style>
  <w:style w:type="table" w:customStyle="1" w:styleId="40">
    <w:name w:val="Table Normal"/>
    <w:semiHidden/>
    <w:unhideWhenUsed/>
    <w:qFormat/>
    <w:uiPriority w:val="0"/>
    <w:tblPr>
      <w:tblCellMar>
        <w:top w:w="0" w:type="dxa"/>
        <w:left w:w="0" w:type="dxa"/>
        <w:bottom w:w="0" w:type="dxa"/>
        <w:right w:w="0" w:type="dxa"/>
      </w:tblCellMar>
    </w:tbl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43">
    <w:name w:val="font11"/>
    <w:basedOn w:val="20"/>
    <w:qFormat/>
    <w:uiPriority w:val="0"/>
    <w:rPr>
      <w:rFonts w:hint="eastAsia" w:ascii="黑体" w:hAnsi="宋体" w:eastAsia="黑体" w:cs="黑体"/>
      <w:color w:val="000000"/>
      <w:sz w:val="18"/>
      <w:szCs w:val="18"/>
      <w:u w:val="none"/>
    </w:rPr>
  </w:style>
  <w:style w:type="character" w:customStyle="1" w:styleId="44">
    <w:name w:val="font51"/>
    <w:basedOn w:val="20"/>
    <w:qFormat/>
    <w:uiPriority w:val="0"/>
    <w:rPr>
      <w:rFonts w:hint="default" w:ascii="Times New Roman" w:hAnsi="Times New Roman" w:cs="Times New Roman"/>
      <w:color w:val="000000"/>
      <w:sz w:val="20"/>
      <w:szCs w:val="20"/>
      <w:u w:val="none"/>
    </w:rPr>
  </w:style>
  <w:style w:type="character" w:customStyle="1" w:styleId="45">
    <w:name w:val="font21"/>
    <w:basedOn w:val="2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o\Documents\Template\&#26085;&#24120;&#26448;&#26009;&#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741C-5D4A-4779-897B-B4B2DB189671}">
  <ds:schemaRefs/>
</ds:datastoreItem>
</file>

<file path=docProps/app.xml><?xml version="1.0" encoding="utf-8"?>
<Properties xmlns="http://schemas.openxmlformats.org/officeDocument/2006/extended-properties" xmlns:vt="http://schemas.openxmlformats.org/officeDocument/2006/docPropsVTypes">
  <Template>日常材料模板</Template>
  <Company>Hewlett-Packard Company</Company>
  <Pages>26</Pages>
  <Words>384</Words>
  <Characters>396</Characters>
  <Lines>1199</Lines>
  <Paragraphs>904</Paragraphs>
  <TotalTime>22</TotalTime>
  <ScaleCrop>false</ScaleCrop>
  <LinksUpToDate>false</LinksUpToDate>
  <CharactersWithSpaces>396</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2023-08-09T06:49:00Z</dcterms:created>
  <dc:creator>Hoo</dc:creator>
  <cp:lastModifiedBy>王芳</cp:lastModifiedBy>
  <cp:lastPrinted>2025-10-09T01:39:00Z</cp:lastPrinted>
  <dcterms:modified xsi:type="dcterms:W3CDTF">2025-11-28T00:08:49Z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0FC3D3D1972A4B21A0D5DA4358B7841C</vt:lpwstr>
  </property>
  <property fmtid="{D5CDD505-2E9C-101B-9397-08002B2CF9AE}" pid="4" name="KSOTemplateDocerSaveRecord">
    <vt:lpwstr>eyJoZGlkIjoiZTA4NzIyN2MxYTlmMzQ1NGE2MjU5NWRkMjhlOGMxYTAiLCJ1c2VySWQiOiI0NDQ5ODQ4ODgifQ==</vt:lpwstr>
  </property>
</Properties>
</file>