
<file path=[Content_Types].xml><?xml version="1.0" encoding="utf-8"?>
<Types xmlns="http://schemas.openxmlformats.org/package/2006/content-types">
  <Default Extension="wmf" ContentType="image/x-wmf"/>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B09C3">
      <w:pPr>
        <w:spacing w:line="480" w:lineRule="auto"/>
        <w:jc w:val="center"/>
        <w:rPr>
          <w:rFonts w:hint="eastAsia" w:ascii="宋体" w:hAnsi="宋体" w:eastAsia="宋体" w:cs="宋体"/>
          <w:b/>
          <w:sz w:val="44"/>
          <w:szCs w:val="44"/>
        </w:rPr>
      </w:pPr>
    </w:p>
    <w:p w14:paraId="15027E6B">
      <w:pPr>
        <w:spacing w:line="480" w:lineRule="auto"/>
        <w:jc w:val="center"/>
        <w:rPr>
          <w:rFonts w:hint="eastAsia" w:ascii="宋体" w:hAnsi="宋体" w:eastAsia="宋体" w:cs="宋体"/>
          <w:b/>
          <w:sz w:val="44"/>
          <w:szCs w:val="44"/>
        </w:rPr>
      </w:pPr>
    </w:p>
    <w:p w14:paraId="1BB89D06">
      <w:pPr>
        <w:spacing w:line="720" w:lineRule="auto"/>
        <w:jc w:val="center"/>
        <w:rPr>
          <w:rFonts w:hint="eastAsia" w:ascii="宋体" w:hAnsi="宋体" w:eastAsia="宋体" w:cs="宋体"/>
          <w:b/>
          <w:sz w:val="44"/>
          <w:szCs w:val="44"/>
        </w:rPr>
      </w:pPr>
    </w:p>
    <w:p w14:paraId="146CB3F8">
      <w:pPr>
        <w:spacing w:line="720" w:lineRule="auto"/>
        <w:jc w:val="center"/>
        <w:rPr>
          <w:rFonts w:hint="eastAsia" w:ascii="宋体" w:hAnsi="宋体" w:eastAsia="宋体" w:cs="宋体"/>
          <w:b/>
          <w:sz w:val="44"/>
          <w:szCs w:val="44"/>
        </w:rPr>
      </w:pPr>
    </w:p>
    <w:p w14:paraId="2940DAD5">
      <w:pPr>
        <w:spacing w:line="480" w:lineRule="auto"/>
        <w:jc w:val="center"/>
        <w:rPr>
          <w:rFonts w:hint="eastAsia" w:ascii="宋体" w:hAnsi="宋体" w:eastAsia="宋体" w:cs="宋体"/>
          <w:b/>
          <w:sz w:val="44"/>
          <w:szCs w:val="44"/>
        </w:rPr>
      </w:pPr>
    </w:p>
    <w:p w14:paraId="3817D786">
      <w:pPr>
        <w:spacing w:line="480" w:lineRule="auto"/>
        <w:jc w:val="center"/>
        <w:rPr>
          <w:rFonts w:hint="eastAsia" w:ascii="宋体" w:hAnsi="宋体" w:eastAsia="宋体" w:cs="宋体"/>
          <w:sz w:val="44"/>
          <w:szCs w:val="44"/>
        </w:rPr>
      </w:pPr>
      <w:r>
        <w:rPr>
          <w:rFonts w:hint="eastAsia" w:ascii="宋体" w:hAnsi="宋体" w:eastAsia="宋体" w:cs="宋体"/>
          <w:sz w:val="44"/>
          <w:szCs w:val="44"/>
        </w:rPr>
        <w:t>2025年海南省政府专项债券（一期）债券资金调整收益与融资自求平衡方案</w:t>
      </w:r>
    </w:p>
    <w:p w14:paraId="05B407B9">
      <w:pPr>
        <w:spacing w:line="480" w:lineRule="auto"/>
        <w:jc w:val="center"/>
        <w:rPr>
          <w:rFonts w:hint="eastAsia" w:ascii="宋体" w:hAnsi="宋体" w:eastAsia="宋体" w:cs="宋体"/>
          <w:sz w:val="44"/>
          <w:szCs w:val="44"/>
        </w:rPr>
      </w:pPr>
      <w:r>
        <w:rPr>
          <w:rFonts w:hint="eastAsia" w:ascii="宋体" w:hAnsi="宋体" w:eastAsia="宋体" w:cs="宋体"/>
          <w:sz w:val="44"/>
          <w:szCs w:val="44"/>
        </w:rPr>
        <w:t>-海口市江东新区园区配套基础设施配套项目（五期）</w:t>
      </w:r>
    </w:p>
    <w:p w14:paraId="17D849ED">
      <w:pPr>
        <w:rPr>
          <w:rFonts w:hint="eastAsia" w:ascii="宋体" w:hAnsi="宋体" w:eastAsia="宋体" w:cs="宋体"/>
          <w:sz w:val="24"/>
          <w:szCs w:val="24"/>
        </w:rPr>
      </w:pPr>
      <w:r>
        <w:rPr>
          <w:rFonts w:hint="eastAsia" w:ascii="宋体" w:hAnsi="宋体" w:eastAsia="宋体" w:cs="宋体"/>
          <w:sz w:val="24"/>
          <w:szCs w:val="24"/>
        </w:rPr>
        <w:br w:type="page"/>
      </w:r>
    </w:p>
    <w:p w14:paraId="5F98CE54">
      <w:pPr>
        <w:spacing w:line="480" w:lineRule="auto"/>
        <w:jc w:val="center"/>
        <w:rPr>
          <w:rFonts w:hint="eastAsia" w:ascii="宋体" w:hAnsi="宋体" w:eastAsia="宋体" w:cs="宋体"/>
          <w:sz w:val="24"/>
          <w:szCs w:val="24"/>
        </w:rPr>
      </w:pPr>
    </w:p>
    <w:sdt>
      <w:sdtPr>
        <w:rPr>
          <w:rFonts w:hint="eastAsia" w:ascii="宋体" w:hAnsi="宋体" w:eastAsia="宋体" w:cs="宋体"/>
          <w:sz w:val="24"/>
          <w:szCs w:val="24"/>
        </w:rPr>
        <w:id w:val="147482000"/>
        <w15:color w:val="DBDBDB"/>
        <w:docPartObj>
          <w:docPartGallery w:val="Table of Contents"/>
          <w:docPartUnique/>
        </w:docPartObj>
      </w:sdtPr>
      <w:sdtEndPr>
        <w:rPr>
          <w:rFonts w:hint="eastAsia" w:ascii="宋体" w:hAnsi="宋体" w:eastAsia="宋体" w:cs="宋体"/>
          <w:sz w:val="24"/>
          <w:szCs w:val="24"/>
        </w:rPr>
      </w:sdtEndPr>
      <w:sdtContent>
        <w:p w14:paraId="0430666E">
          <w:pPr>
            <w:spacing w:line="480" w:lineRule="auto"/>
            <w:jc w:val="center"/>
            <w:rPr>
              <w:rFonts w:hint="eastAsia" w:ascii="宋体" w:hAnsi="宋体" w:eastAsia="宋体" w:cs="宋体"/>
              <w:sz w:val="24"/>
              <w:szCs w:val="24"/>
            </w:rPr>
          </w:pPr>
          <w:r>
            <w:rPr>
              <w:rFonts w:hint="eastAsia" w:ascii="宋体" w:hAnsi="宋体" w:eastAsia="宋体" w:cs="宋体"/>
              <w:b/>
              <w:bCs/>
              <w:sz w:val="24"/>
              <w:szCs w:val="24"/>
            </w:rPr>
            <w:t>目录</w:t>
          </w:r>
        </w:p>
        <w:p w14:paraId="4FD62B61">
          <w:pPr>
            <w:pStyle w:val="12"/>
            <w:tabs>
              <w:tab w:val="right" w:leader="dot" w:pos="8306"/>
            </w:tabs>
            <w:spacing w:line="480" w:lineRule="auto"/>
            <w:rPr>
              <w:rFonts w:hint="eastAsia" w:ascii="宋体" w:hAnsi="宋体" w:eastAsia="宋体" w:cs="宋体"/>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fldChar w:fldCharType="begin"/>
          </w:r>
          <w:r>
            <w:instrText xml:space="preserve"> HYPERLINK \l "_Toc2314" </w:instrText>
          </w:r>
          <w:r>
            <w:fldChar w:fldCharType="separate"/>
          </w:r>
          <w:r>
            <w:rPr>
              <w:rFonts w:hint="eastAsia" w:ascii="宋体" w:hAnsi="宋体" w:eastAsia="宋体" w:cs="宋体"/>
              <w:szCs w:val="24"/>
            </w:rPr>
            <w:t>一、债券调整情况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64B0286">
          <w:pPr>
            <w:pStyle w:val="12"/>
            <w:tabs>
              <w:tab w:val="right" w:leader="dot" w:pos="8306"/>
            </w:tabs>
            <w:spacing w:line="480" w:lineRule="auto"/>
            <w:rPr>
              <w:rFonts w:hint="eastAsia" w:ascii="宋体" w:hAnsi="宋体" w:eastAsia="宋体" w:cs="宋体"/>
            </w:rPr>
          </w:pPr>
          <w:r>
            <w:fldChar w:fldCharType="begin"/>
          </w:r>
          <w:r>
            <w:instrText xml:space="preserve"> HYPERLINK \l "_Toc7374" </w:instrText>
          </w:r>
          <w:r>
            <w:fldChar w:fldCharType="separate"/>
          </w:r>
          <w:r>
            <w:rPr>
              <w:rFonts w:hint="eastAsia" w:ascii="宋体" w:hAnsi="宋体" w:eastAsia="宋体" w:cs="宋体"/>
              <w:szCs w:val="24"/>
            </w:rPr>
            <w:t>二、地区情况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_Toc7374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6ACCA29">
          <w:pPr>
            <w:pStyle w:val="12"/>
            <w:tabs>
              <w:tab w:val="right" w:leader="dot" w:pos="8306"/>
            </w:tabs>
            <w:spacing w:line="480" w:lineRule="auto"/>
            <w:rPr>
              <w:rFonts w:hint="eastAsia" w:ascii="宋体" w:hAnsi="宋体" w:eastAsia="宋体" w:cs="宋体"/>
            </w:rPr>
          </w:pPr>
          <w:r>
            <w:fldChar w:fldCharType="begin"/>
          </w:r>
          <w:r>
            <w:instrText xml:space="preserve"> HYPERLINK \l "_Toc9911" </w:instrText>
          </w:r>
          <w:r>
            <w:fldChar w:fldCharType="separate"/>
          </w:r>
          <w:r>
            <w:rPr>
              <w:rFonts w:hint="eastAsia" w:ascii="宋体" w:hAnsi="宋体" w:eastAsia="宋体" w:cs="宋体"/>
              <w:szCs w:val="24"/>
            </w:rPr>
            <w:t>三、项目概述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_Toc9911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0DD46DED">
          <w:pPr>
            <w:pStyle w:val="12"/>
            <w:tabs>
              <w:tab w:val="right" w:leader="dot" w:pos="8306"/>
            </w:tabs>
            <w:spacing w:line="480" w:lineRule="auto"/>
            <w:rPr>
              <w:rFonts w:hint="eastAsia" w:ascii="宋体" w:hAnsi="宋体" w:eastAsia="宋体" w:cs="宋体"/>
            </w:rPr>
          </w:pPr>
          <w:r>
            <w:fldChar w:fldCharType="begin"/>
          </w:r>
          <w:r>
            <w:instrText xml:space="preserve"> HYPERLINK \l "_Toc3086" </w:instrText>
          </w:r>
          <w:r>
            <w:fldChar w:fldCharType="separate"/>
          </w:r>
          <w:r>
            <w:rPr>
              <w:rFonts w:hint="eastAsia" w:ascii="宋体" w:hAnsi="宋体" w:eastAsia="宋体" w:cs="宋体"/>
              <w:szCs w:val="24"/>
            </w:rPr>
            <w:t>（一）项目基本情况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_Toc3086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2989C736">
          <w:pPr>
            <w:pStyle w:val="12"/>
            <w:tabs>
              <w:tab w:val="right" w:leader="dot" w:pos="8306"/>
            </w:tabs>
            <w:spacing w:line="480" w:lineRule="auto"/>
            <w:rPr>
              <w:rFonts w:hint="eastAsia" w:ascii="宋体" w:hAnsi="宋体" w:eastAsia="宋体" w:cs="宋体"/>
            </w:rPr>
          </w:pPr>
          <w:r>
            <w:fldChar w:fldCharType="begin"/>
          </w:r>
          <w:r>
            <w:instrText xml:space="preserve"> HYPERLINK \l "_Toc6853" </w:instrText>
          </w:r>
          <w:r>
            <w:fldChar w:fldCharType="separate"/>
          </w:r>
          <w:r>
            <w:rPr>
              <w:rFonts w:hint="eastAsia" w:ascii="宋体" w:hAnsi="宋体" w:eastAsia="宋体" w:cs="宋体"/>
              <w:szCs w:val="24"/>
            </w:rPr>
            <w:t>（二）项目相关批复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_Toc6853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25AC193E">
          <w:pPr>
            <w:pStyle w:val="12"/>
            <w:tabs>
              <w:tab w:val="right" w:leader="dot" w:pos="8306"/>
            </w:tabs>
            <w:spacing w:line="480" w:lineRule="auto"/>
            <w:rPr>
              <w:rFonts w:hint="eastAsia" w:ascii="宋体" w:hAnsi="宋体" w:eastAsia="宋体" w:cs="宋体"/>
            </w:rPr>
          </w:pPr>
          <w:r>
            <w:fldChar w:fldCharType="begin"/>
          </w:r>
          <w:r>
            <w:instrText xml:space="preserve"> HYPERLINK \l "_Toc6811" </w:instrText>
          </w:r>
          <w:r>
            <w:fldChar w:fldCharType="separate"/>
          </w:r>
          <w:r>
            <w:rPr>
              <w:rFonts w:hint="eastAsia" w:ascii="宋体" w:hAnsi="宋体" w:eastAsia="宋体" w:cs="宋体"/>
              <w:szCs w:val="24"/>
            </w:rPr>
            <w:t>（三）事前绩效评估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_Toc6811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565122F5">
          <w:pPr>
            <w:pStyle w:val="12"/>
            <w:tabs>
              <w:tab w:val="right" w:leader="dot" w:pos="8306"/>
            </w:tabs>
            <w:spacing w:line="480" w:lineRule="auto"/>
            <w:rPr>
              <w:rFonts w:hint="eastAsia" w:ascii="宋体" w:hAnsi="宋体" w:eastAsia="宋体" w:cs="宋体"/>
            </w:rPr>
          </w:pPr>
          <w:r>
            <w:fldChar w:fldCharType="begin"/>
          </w:r>
          <w:r>
            <w:instrText xml:space="preserve"> HYPERLINK \l "_Toc7833" </w:instrText>
          </w:r>
          <w:r>
            <w:fldChar w:fldCharType="separate"/>
          </w:r>
          <w:r>
            <w:rPr>
              <w:rFonts w:hint="eastAsia" w:ascii="宋体" w:hAnsi="宋体" w:eastAsia="宋体" w:cs="宋体"/>
              <w:szCs w:val="24"/>
            </w:rPr>
            <w:t>四、项目平衡实施方案</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_Toc7833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01B6FD21">
          <w:pPr>
            <w:pStyle w:val="12"/>
            <w:tabs>
              <w:tab w:val="right" w:leader="dot" w:pos="8306"/>
            </w:tabs>
            <w:spacing w:line="480" w:lineRule="auto"/>
            <w:rPr>
              <w:rFonts w:hint="eastAsia" w:ascii="宋体" w:hAnsi="宋体" w:eastAsia="宋体" w:cs="宋体"/>
            </w:rPr>
          </w:pPr>
          <w:r>
            <w:fldChar w:fldCharType="begin"/>
          </w:r>
          <w:r>
            <w:instrText xml:space="preserve"> HYPERLINK \l "_Toc12755" </w:instrText>
          </w:r>
          <w:r>
            <w:fldChar w:fldCharType="separate"/>
          </w:r>
          <w:r>
            <w:rPr>
              <w:rFonts w:hint="eastAsia" w:ascii="宋体" w:hAnsi="宋体" w:eastAsia="宋体" w:cs="宋体"/>
              <w:bCs/>
              <w:szCs w:val="24"/>
            </w:rPr>
            <w:t>五、压力测试情况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_Toc12755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64199295">
          <w:pPr>
            <w:pStyle w:val="12"/>
            <w:tabs>
              <w:tab w:val="right" w:leader="dot" w:pos="8306"/>
            </w:tabs>
            <w:spacing w:line="480" w:lineRule="auto"/>
            <w:rPr>
              <w:rFonts w:hint="eastAsia" w:ascii="宋体" w:hAnsi="宋体" w:eastAsia="宋体" w:cs="宋体"/>
            </w:rPr>
          </w:pPr>
          <w:r>
            <w:fldChar w:fldCharType="begin"/>
          </w:r>
          <w:r>
            <w:instrText xml:space="preserve"> HYPERLINK \l "_Toc23928" </w:instrText>
          </w:r>
          <w:r>
            <w:fldChar w:fldCharType="separate"/>
          </w:r>
          <w:r>
            <w:rPr>
              <w:rFonts w:hint="eastAsia" w:ascii="宋体" w:hAnsi="宋体" w:eastAsia="宋体" w:cs="宋体"/>
              <w:bCs/>
              <w:szCs w:val="24"/>
            </w:rPr>
            <w:t>六、潜在风险评估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_Toc23928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441955CB">
          <w:pPr>
            <w:pStyle w:val="12"/>
            <w:tabs>
              <w:tab w:val="right" w:leader="dot" w:pos="8306"/>
            </w:tabs>
            <w:spacing w:line="480" w:lineRule="auto"/>
            <w:rPr>
              <w:rFonts w:hint="eastAsia" w:ascii="宋体" w:hAnsi="宋体" w:eastAsia="宋体" w:cs="宋体"/>
            </w:rPr>
          </w:pPr>
          <w:r>
            <w:fldChar w:fldCharType="begin"/>
          </w:r>
          <w:r>
            <w:instrText xml:space="preserve"> HYPERLINK \l "_Toc8637" </w:instrText>
          </w:r>
          <w:r>
            <w:fldChar w:fldCharType="separate"/>
          </w:r>
          <w:r>
            <w:rPr>
              <w:rFonts w:hint="eastAsia" w:ascii="宋体" w:hAnsi="宋体" w:eastAsia="宋体" w:cs="宋体"/>
              <w:bCs/>
              <w:szCs w:val="24"/>
            </w:rPr>
            <w:t>（一）影响项目施工进度或正常运营的风险及控制措施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_Toc8637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1AFD1A4D">
          <w:pPr>
            <w:pStyle w:val="12"/>
            <w:tabs>
              <w:tab w:val="right" w:leader="dot" w:pos="8306"/>
            </w:tabs>
            <w:spacing w:line="480" w:lineRule="auto"/>
            <w:rPr>
              <w:rFonts w:hint="eastAsia" w:ascii="宋体" w:hAnsi="宋体" w:eastAsia="宋体" w:cs="宋体"/>
            </w:rPr>
          </w:pPr>
          <w:r>
            <w:fldChar w:fldCharType="begin"/>
          </w:r>
          <w:r>
            <w:instrText xml:space="preserve"> HYPERLINK \l "_Toc22980" </w:instrText>
          </w:r>
          <w:r>
            <w:fldChar w:fldCharType="separate"/>
          </w:r>
          <w:r>
            <w:rPr>
              <w:rFonts w:hint="eastAsia" w:ascii="宋体" w:hAnsi="宋体" w:eastAsia="宋体" w:cs="宋体"/>
              <w:bCs/>
              <w:szCs w:val="24"/>
            </w:rPr>
            <w:t>（二）影响项目收益的风险及控制措施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_Toc22980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7AE6AF5F">
          <w:pPr>
            <w:pStyle w:val="12"/>
            <w:tabs>
              <w:tab w:val="right" w:leader="dot" w:pos="8306"/>
            </w:tabs>
            <w:spacing w:line="480" w:lineRule="auto"/>
            <w:rPr>
              <w:rFonts w:hint="eastAsia" w:ascii="宋体" w:hAnsi="宋体" w:eastAsia="宋体" w:cs="宋体"/>
            </w:rPr>
          </w:pPr>
          <w:r>
            <w:fldChar w:fldCharType="begin"/>
          </w:r>
          <w:r>
            <w:instrText xml:space="preserve"> HYPERLINK \l "_Toc21473" </w:instrText>
          </w:r>
          <w:r>
            <w:fldChar w:fldCharType="separate"/>
          </w:r>
          <w:r>
            <w:rPr>
              <w:rFonts w:hint="eastAsia" w:ascii="宋体" w:hAnsi="宋体" w:eastAsia="宋体" w:cs="宋体"/>
              <w:bCs/>
              <w:szCs w:val="24"/>
            </w:rPr>
            <w:t>（三）影响融资平衡结果的风险及控制措施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_Toc21473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7EE2C093">
          <w:pPr>
            <w:pStyle w:val="12"/>
            <w:tabs>
              <w:tab w:val="right" w:leader="dot" w:pos="8306"/>
            </w:tabs>
            <w:spacing w:line="480" w:lineRule="auto"/>
            <w:rPr>
              <w:rFonts w:hint="eastAsia" w:ascii="宋体" w:hAnsi="宋体" w:eastAsia="宋体" w:cs="宋体"/>
            </w:rPr>
          </w:pPr>
          <w:r>
            <w:fldChar w:fldCharType="begin"/>
          </w:r>
          <w:r>
            <w:instrText xml:space="preserve"> HYPERLINK \l "_Toc11488" </w:instrText>
          </w:r>
          <w:r>
            <w:fldChar w:fldCharType="separate"/>
          </w:r>
          <w:r>
            <w:rPr>
              <w:rFonts w:hint="eastAsia" w:ascii="宋体" w:hAnsi="宋体" w:eastAsia="宋体" w:cs="宋体"/>
              <w:szCs w:val="24"/>
            </w:rPr>
            <w:t>七、还款保障措施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_Toc11488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5C02CB5A">
          <w:pPr>
            <w:spacing w:line="480" w:lineRule="auto"/>
            <w:rPr>
              <w:rFonts w:hint="eastAsia" w:ascii="宋体" w:hAnsi="宋体" w:eastAsia="宋体" w:cs="宋体"/>
              <w:sz w:val="24"/>
              <w:szCs w:val="24"/>
            </w:rPr>
          </w:pPr>
          <w:r>
            <w:rPr>
              <w:rFonts w:hint="eastAsia" w:ascii="宋体" w:hAnsi="宋体" w:eastAsia="宋体" w:cs="宋体"/>
              <w:szCs w:val="32"/>
            </w:rPr>
            <w:fldChar w:fldCharType="end"/>
          </w:r>
        </w:p>
      </w:sdtContent>
    </w:sdt>
    <w:p w14:paraId="72401096">
      <w:pPr>
        <w:spacing w:line="480" w:lineRule="auto"/>
        <w:rPr>
          <w:rFonts w:hint="eastAsia" w:ascii="宋体" w:hAnsi="宋体" w:eastAsia="宋体" w:cs="宋体"/>
          <w:sz w:val="24"/>
          <w:szCs w:val="24"/>
        </w:rPr>
      </w:pPr>
    </w:p>
    <w:p w14:paraId="1EC942FB">
      <w:pPr>
        <w:pStyle w:val="29"/>
        <w:spacing w:line="360" w:lineRule="auto"/>
        <w:ind w:firstLine="482"/>
        <w:outlineLvl w:val="0"/>
        <w:rPr>
          <w:rFonts w:hint="eastAsia" w:ascii="宋体" w:hAnsi="宋体" w:eastAsia="宋体" w:cs="宋体"/>
          <w:b/>
          <w:sz w:val="24"/>
          <w:szCs w:val="24"/>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14:paraId="2A1B4DA8">
      <w:pPr>
        <w:pStyle w:val="29"/>
        <w:spacing w:line="360" w:lineRule="auto"/>
        <w:ind w:firstLine="482"/>
        <w:outlineLvl w:val="0"/>
        <w:rPr>
          <w:rFonts w:hint="eastAsia" w:ascii="宋体" w:hAnsi="宋体" w:eastAsia="宋体" w:cs="宋体"/>
          <w:b/>
          <w:sz w:val="24"/>
          <w:szCs w:val="24"/>
        </w:rPr>
      </w:pPr>
      <w:bookmarkStart w:id="0" w:name="_Toc2314"/>
      <w:r>
        <w:rPr>
          <w:rFonts w:hint="eastAsia" w:ascii="宋体" w:hAnsi="宋体" w:eastAsia="宋体" w:cs="宋体"/>
          <w:b/>
          <w:sz w:val="24"/>
          <w:szCs w:val="24"/>
        </w:rPr>
        <w:t>一、债券调整情况</w:t>
      </w:r>
      <w:bookmarkEnd w:id="0"/>
    </w:p>
    <w:p w14:paraId="747F01E4">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bookmarkStart w:id="1" w:name="_Toc7374"/>
      <w:r>
        <w:rPr>
          <w:rFonts w:hint="eastAsia" w:ascii="宋体" w:hAnsi="宋体" w:eastAsia="宋体" w:cs="宋体"/>
          <w:color w:val="000000" w:themeColor="text1"/>
          <w:sz w:val="24"/>
          <w:szCs w:val="24"/>
          <w14:textFill>
            <w14:solidFill>
              <w14:schemeClr w14:val="tx1"/>
            </w14:solidFill>
          </w14:textFill>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67E25766">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2025年海南省政府专项债券（一期）中已发行“海口市琼山区迈瀛片区（一期）城中村改造配套基础设施项目”的债券资金合计500.00万元调剂于海口市江东新区园区配套基础设施配套项目（五期）。</w:t>
      </w:r>
    </w:p>
    <w:p w14:paraId="4B679E1F">
      <w:pPr>
        <w:spacing w:before="120" w:after="12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2025年2月，2025年海南省政府专项债券（一期）发行成功，其中海口市琼山区迈瀛片区（一期）城中村改造配套基础设施项目发行金额为121,500.00万元，发行利率为1.76%，发行期限为10年。</w:t>
      </w:r>
    </w:p>
    <w:p w14:paraId="066AC84E">
      <w:pPr>
        <w:spacing w:before="120"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本期调整项目具体情况如下表：</w:t>
      </w:r>
    </w:p>
    <w:p w14:paraId="49930D9C">
      <w:pPr>
        <w:spacing w:line="240" w:lineRule="atLeas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调整项目情况汇总表</w:t>
      </w:r>
    </w:p>
    <w:p w14:paraId="297DF922">
      <w:pPr>
        <w:ind w:right="-1489" w:rightChars="-709" w:firstLine="360" w:firstLineChars="200"/>
        <w:jc w:val="right"/>
        <w:rPr>
          <w:rFonts w:hint="eastAsia" w:ascii="宋体" w:hAnsi="宋体" w:eastAsia="宋体" w:cs="宋体"/>
          <w:color w:val="000000"/>
          <w:szCs w:val="21"/>
        </w:rPr>
      </w:pPr>
      <w:r>
        <w:rPr>
          <w:rFonts w:hint="eastAsia" w:ascii="宋体" w:hAnsi="宋体" w:eastAsia="宋体" w:cs="宋体"/>
          <w:color w:val="000000"/>
          <w:sz w:val="18"/>
          <w:szCs w:val="20"/>
        </w:rPr>
        <w:t>单位：人民币万元</w:t>
      </w:r>
    </w:p>
    <w:tbl>
      <w:tblPr>
        <w:tblStyle w:val="19"/>
        <w:tblW w:w="11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50"/>
        <w:gridCol w:w="1650"/>
        <w:gridCol w:w="1650"/>
        <w:gridCol w:w="1080"/>
        <w:gridCol w:w="1079"/>
        <w:gridCol w:w="1080"/>
        <w:gridCol w:w="2012"/>
        <w:gridCol w:w="1145"/>
      </w:tblGrid>
      <w:tr w14:paraId="46E0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50" w:type="dxa"/>
            <w:shd w:val="clear" w:color="auto" w:fill="D8D8D8" w:themeFill="background1" w:themeFillShade="D9"/>
            <w:vAlign w:val="center"/>
          </w:tcPr>
          <w:p w14:paraId="60CB5090">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债券名称</w:t>
            </w:r>
          </w:p>
        </w:tc>
        <w:tc>
          <w:tcPr>
            <w:tcW w:w="1650" w:type="dxa"/>
            <w:shd w:val="clear" w:color="auto" w:fill="D8D8D8" w:themeFill="background1" w:themeFillShade="D9"/>
            <w:vAlign w:val="center"/>
          </w:tcPr>
          <w:p w14:paraId="72DE7B87">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1650" w:type="dxa"/>
            <w:shd w:val="clear" w:color="auto" w:fill="D8D8D8" w:themeFill="background1" w:themeFillShade="D9"/>
            <w:vAlign w:val="center"/>
          </w:tcPr>
          <w:p w14:paraId="5C35D45D">
            <w:pPr>
              <w:jc w:val="center"/>
              <w:rPr>
                <w:rFonts w:hint="eastAsia" w:ascii="宋体" w:hAnsi="宋体" w:eastAsia="宋体" w:cs="宋体"/>
                <w:b/>
                <w:bCs/>
                <w:color w:val="000000"/>
                <w:szCs w:val="20"/>
              </w:rPr>
            </w:pPr>
            <w:r>
              <w:rPr>
                <w:rFonts w:hint="eastAsia" w:ascii="宋体" w:hAnsi="宋体" w:eastAsia="宋体" w:cs="宋体"/>
                <w:b/>
                <w:bCs/>
                <w:color w:val="000000"/>
                <w:szCs w:val="20"/>
              </w:rPr>
              <w:t>原安排金额</w:t>
            </w:r>
          </w:p>
        </w:tc>
        <w:tc>
          <w:tcPr>
            <w:tcW w:w="1080" w:type="dxa"/>
            <w:shd w:val="clear" w:color="auto" w:fill="D8D8D8" w:themeFill="background1" w:themeFillShade="D9"/>
            <w:vAlign w:val="center"/>
          </w:tcPr>
          <w:p w14:paraId="1820EA66">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调减金额</w:t>
            </w:r>
          </w:p>
        </w:tc>
        <w:tc>
          <w:tcPr>
            <w:tcW w:w="1079" w:type="dxa"/>
            <w:shd w:val="clear" w:color="auto" w:fill="D8D8D8" w:themeFill="background1" w:themeFillShade="D9"/>
            <w:vAlign w:val="center"/>
          </w:tcPr>
          <w:p w14:paraId="41CD1323">
            <w:pPr>
              <w:jc w:val="center"/>
              <w:rPr>
                <w:rFonts w:hint="eastAsia" w:ascii="宋体" w:hAnsi="宋体" w:eastAsia="宋体" w:cs="宋体"/>
                <w:b/>
                <w:bCs/>
                <w:color w:val="000000"/>
                <w:szCs w:val="20"/>
              </w:rPr>
            </w:pPr>
            <w:r>
              <w:rPr>
                <w:rFonts w:hint="eastAsia" w:ascii="宋体" w:hAnsi="宋体" w:eastAsia="宋体" w:cs="宋体"/>
                <w:b/>
                <w:bCs/>
                <w:color w:val="000000"/>
                <w:szCs w:val="20"/>
              </w:rPr>
              <w:t>债券期限</w:t>
            </w:r>
          </w:p>
        </w:tc>
        <w:tc>
          <w:tcPr>
            <w:tcW w:w="1080" w:type="dxa"/>
            <w:shd w:val="clear" w:color="auto" w:fill="D8D8D8" w:themeFill="background1" w:themeFillShade="D9"/>
            <w:vAlign w:val="center"/>
          </w:tcPr>
          <w:p w14:paraId="7363F583">
            <w:pPr>
              <w:jc w:val="center"/>
              <w:rPr>
                <w:rFonts w:hint="eastAsia" w:ascii="宋体" w:hAnsi="宋体" w:eastAsia="宋体" w:cs="宋体"/>
                <w:b/>
                <w:bCs/>
                <w:color w:val="000000"/>
                <w:szCs w:val="20"/>
              </w:rPr>
            </w:pPr>
            <w:r>
              <w:rPr>
                <w:rFonts w:hint="eastAsia" w:ascii="宋体" w:hAnsi="宋体" w:eastAsia="宋体" w:cs="宋体"/>
                <w:b/>
                <w:bCs/>
                <w:color w:val="000000"/>
                <w:szCs w:val="20"/>
              </w:rPr>
              <w:t>发行利率</w:t>
            </w:r>
          </w:p>
        </w:tc>
        <w:tc>
          <w:tcPr>
            <w:tcW w:w="2012" w:type="dxa"/>
            <w:shd w:val="clear" w:color="auto" w:fill="D8D8D8" w:themeFill="background1" w:themeFillShade="D9"/>
            <w:vAlign w:val="center"/>
          </w:tcPr>
          <w:p w14:paraId="5CCE8D96">
            <w:pPr>
              <w:jc w:val="center"/>
              <w:rPr>
                <w:rFonts w:hint="eastAsia" w:ascii="宋体" w:hAnsi="宋体" w:eastAsia="宋体" w:cs="宋体"/>
                <w:b/>
                <w:bCs/>
                <w:color w:val="000000"/>
                <w:szCs w:val="20"/>
              </w:rPr>
            </w:pPr>
            <w:r>
              <w:rPr>
                <w:rFonts w:hint="eastAsia" w:ascii="宋体" w:hAnsi="宋体" w:eastAsia="宋体" w:cs="宋体"/>
                <w:b/>
                <w:bCs/>
                <w:color w:val="000000"/>
                <w:szCs w:val="20"/>
              </w:rPr>
              <w:t>项目名称</w:t>
            </w:r>
          </w:p>
        </w:tc>
        <w:tc>
          <w:tcPr>
            <w:tcW w:w="1145" w:type="dxa"/>
            <w:shd w:val="clear" w:color="auto" w:fill="D8D8D8" w:themeFill="background1" w:themeFillShade="D9"/>
            <w:vAlign w:val="center"/>
          </w:tcPr>
          <w:p w14:paraId="7B1A9C04">
            <w:pPr>
              <w:jc w:val="center"/>
              <w:rPr>
                <w:rFonts w:hint="eastAsia" w:ascii="宋体" w:hAnsi="宋体" w:eastAsia="宋体" w:cs="宋体"/>
                <w:b/>
                <w:bCs/>
                <w:color w:val="000000"/>
                <w:szCs w:val="20"/>
              </w:rPr>
            </w:pPr>
            <w:r>
              <w:rPr>
                <w:rFonts w:hint="eastAsia" w:ascii="宋体" w:hAnsi="宋体" w:eastAsia="宋体" w:cs="宋体"/>
                <w:b/>
                <w:bCs/>
                <w:color w:val="000000"/>
                <w:szCs w:val="20"/>
              </w:rPr>
              <w:t>调增金额</w:t>
            </w:r>
          </w:p>
        </w:tc>
      </w:tr>
      <w:tr w14:paraId="3897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650" w:type="dxa"/>
            <w:shd w:val="clear" w:color="auto" w:fill="auto"/>
            <w:noWrap/>
            <w:vAlign w:val="center"/>
          </w:tcPr>
          <w:p w14:paraId="21595856">
            <w:pPr>
              <w:jc w:val="center"/>
              <w:rPr>
                <w:rFonts w:hint="eastAsia" w:ascii="宋体" w:hAnsi="宋体" w:eastAsia="宋体" w:cs="宋体"/>
                <w:color w:val="000000"/>
                <w:szCs w:val="20"/>
              </w:rPr>
            </w:pPr>
            <w:r>
              <w:rPr>
                <w:rFonts w:hint="eastAsia" w:ascii="宋体" w:hAnsi="宋体" w:eastAsia="宋体" w:cs="宋体"/>
                <w:color w:val="000000"/>
                <w:szCs w:val="20"/>
              </w:rPr>
              <w:t>2025年海南省政府专项债券（一期）</w:t>
            </w:r>
          </w:p>
        </w:tc>
        <w:tc>
          <w:tcPr>
            <w:tcW w:w="1650" w:type="dxa"/>
            <w:shd w:val="clear" w:color="auto" w:fill="auto"/>
            <w:vAlign w:val="center"/>
          </w:tcPr>
          <w:p w14:paraId="7B9E8DBE">
            <w:pPr>
              <w:jc w:val="center"/>
              <w:rPr>
                <w:rFonts w:hint="eastAsia" w:ascii="宋体" w:hAnsi="宋体" w:eastAsia="宋体" w:cs="宋体"/>
                <w:color w:val="000000"/>
                <w:szCs w:val="20"/>
              </w:rPr>
            </w:pPr>
            <w:r>
              <w:rPr>
                <w:rFonts w:hint="eastAsia" w:ascii="宋体" w:hAnsi="宋体" w:eastAsia="宋体" w:cs="宋体"/>
                <w:color w:val="000000"/>
                <w:szCs w:val="20"/>
              </w:rPr>
              <w:t>海口市琼山区迈瀛片区（一期）城中村改造配套基础设施项目</w:t>
            </w:r>
          </w:p>
        </w:tc>
        <w:tc>
          <w:tcPr>
            <w:tcW w:w="1650" w:type="dxa"/>
            <w:shd w:val="clear" w:color="auto" w:fill="auto"/>
            <w:vAlign w:val="center"/>
          </w:tcPr>
          <w:p w14:paraId="0CB09C33">
            <w:pPr>
              <w:jc w:val="center"/>
              <w:rPr>
                <w:rFonts w:hint="eastAsia" w:ascii="宋体" w:hAnsi="宋体" w:eastAsia="宋体" w:cs="宋体"/>
                <w:color w:val="000000"/>
                <w:szCs w:val="20"/>
              </w:rPr>
            </w:pPr>
            <w:r>
              <w:rPr>
                <w:rFonts w:hint="eastAsia" w:ascii="宋体" w:hAnsi="宋体" w:eastAsia="宋体" w:cs="宋体"/>
                <w:color w:val="000000"/>
                <w:szCs w:val="20"/>
              </w:rPr>
              <w:t>121,500.00</w:t>
            </w:r>
          </w:p>
        </w:tc>
        <w:tc>
          <w:tcPr>
            <w:tcW w:w="1080" w:type="dxa"/>
            <w:shd w:val="clear" w:color="auto" w:fill="auto"/>
            <w:noWrap/>
            <w:vAlign w:val="center"/>
          </w:tcPr>
          <w:p w14:paraId="6E6512D6">
            <w:pPr>
              <w:jc w:val="center"/>
              <w:rPr>
                <w:rFonts w:hint="eastAsia" w:ascii="宋体" w:hAnsi="宋体" w:eastAsia="宋体" w:cs="宋体"/>
                <w:color w:val="000000"/>
                <w:szCs w:val="20"/>
              </w:rPr>
            </w:pPr>
            <w:r>
              <w:rPr>
                <w:rFonts w:hint="eastAsia" w:ascii="宋体" w:hAnsi="宋体" w:eastAsia="宋体" w:cs="宋体"/>
                <w:color w:val="000000"/>
                <w:szCs w:val="20"/>
              </w:rPr>
              <w:t>500.00</w:t>
            </w:r>
          </w:p>
        </w:tc>
        <w:tc>
          <w:tcPr>
            <w:tcW w:w="1079" w:type="dxa"/>
            <w:shd w:val="clear" w:color="auto" w:fill="auto"/>
            <w:noWrap/>
            <w:vAlign w:val="center"/>
          </w:tcPr>
          <w:p w14:paraId="3690926E">
            <w:pPr>
              <w:jc w:val="center"/>
              <w:rPr>
                <w:rFonts w:hint="eastAsia" w:ascii="宋体" w:hAnsi="宋体" w:eastAsia="宋体" w:cs="宋体"/>
                <w:color w:val="000000"/>
                <w:szCs w:val="20"/>
              </w:rPr>
            </w:pPr>
            <w:r>
              <w:rPr>
                <w:rFonts w:hint="eastAsia" w:ascii="宋体" w:hAnsi="宋体" w:eastAsia="宋体" w:cs="宋体"/>
                <w:color w:val="000000"/>
                <w:szCs w:val="20"/>
              </w:rPr>
              <w:t>10年</w:t>
            </w:r>
          </w:p>
        </w:tc>
        <w:tc>
          <w:tcPr>
            <w:tcW w:w="1080" w:type="dxa"/>
            <w:shd w:val="clear" w:color="auto" w:fill="auto"/>
            <w:noWrap/>
            <w:vAlign w:val="center"/>
          </w:tcPr>
          <w:p w14:paraId="634E5502">
            <w:pPr>
              <w:jc w:val="center"/>
              <w:rPr>
                <w:rFonts w:hint="eastAsia" w:ascii="宋体" w:hAnsi="宋体" w:eastAsia="宋体" w:cs="宋体"/>
                <w:color w:val="000000"/>
                <w:szCs w:val="20"/>
              </w:rPr>
            </w:pPr>
            <w:r>
              <w:rPr>
                <w:rFonts w:hint="eastAsia" w:ascii="宋体" w:hAnsi="宋体" w:eastAsia="宋体" w:cs="宋体"/>
                <w:color w:val="000000"/>
                <w:szCs w:val="20"/>
              </w:rPr>
              <w:t>1.76%</w:t>
            </w:r>
          </w:p>
        </w:tc>
        <w:tc>
          <w:tcPr>
            <w:tcW w:w="2012" w:type="dxa"/>
            <w:shd w:val="clear" w:color="auto" w:fill="auto"/>
            <w:noWrap/>
            <w:vAlign w:val="center"/>
          </w:tcPr>
          <w:p w14:paraId="4F201FC4">
            <w:pPr>
              <w:jc w:val="center"/>
              <w:rPr>
                <w:rFonts w:hint="eastAsia" w:ascii="宋体" w:hAnsi="宋体" w:eastAsia="宋体" w:cs="宋体"/>
                <w:color w:val="000000"/>
                <w:szCs w:val="20"/>
              </w:rPr>
            </w:pPr>
            <w:r>
              <w:rPr>
                <w:rFonts w:hint="eastAsia" w:ascii="宋体" w:hAnsi="宋体" w:eastAsia="宋体" w:cs="宋体"/>
                <w:color w:val="000000"/>
                <w:szCs w:val="20"/>
              </w:rPr>
              <w:t>海口市江东新区园区配套基础设施配套项目（五期）</w:t>
            </w:r>
          </w:p>
        </w:tc>
        <w:tc>
          <w:tcPr>
            <w:tcW w:w="1145" w:type="dxa"/>
            <w:shd w:val="clear" w:color="auto" w:fill="auto"/>
            <w:noWrap/>
            <w:vAlign w:val="center"/>
          </w:tcPr>
          <w:p w14:paraId="1E6F8D94">
            <w:pPr>
              <w:jc w:val="center"/>
              <w:rPr>
                <w:rFonts w:hint="eastAsia" w:ascii="宋体" w:hAnsi="宋体" w:eastAsia="宋体" w:cs="宋体"/>
                <w:color w:val="000000"/>
                <w:szCs w:val="20"/>
              </w:rPr>
            </w:pPr>
            <w:r>
              <w:rPr>
                <w:rFonts w:hint="eastAsia" w:ascii="宋体" w:hAnsi="宋体" w:eastAsia="宋体" w:cs="宋体"/>
                <w:color w:val="000000"/>
                <w:szCs w:val="20"/>
              </w:rPr>
              <w:t>500.00</w:t>
            </w:r>
          </w:p>
        </w:tc>
      </w:tr>
    </w:tbl>
    <w:p w14:paraId="4C158F43">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二、地区情况</w:t>
      </w:r>
      <w:bookmarkEnd w:id="1"/>
    </w:p>
    <w:p w14:paraId="7225DD05">
      <w:pPr>
        <w:widowControl/>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319D074C">
      <w:pPr>
        <w:pStyle w:val="29"/>
        <w:tabs>
          <w:tab w:val="left" w:pos="993"/>
          <w:tab w:val="left" w:pos="1276"/>
        </w:tabs>
        <w:spacing w:after="159" w:afterLines="50" w:line="360" w:lineRule="auto"/>
        <w:ind w:left="482" w:firstLine="0" w:firstLineChars="0"/>
        <w:jc w:val="center"/>
        <w:rPr>
          <w:rFonts w:hint="eastAsia" w:ascii="宋体" w:hAnsi="宋体" w:eastAsia="宋体" w:cs="宋体"/>
          <w:b/>
          <w:sz w:val="24"/>
          <w:szCs w:val="24"/>
        </w:rPr>
      </w:pPr>
      <w:r>
        <w:rPr>
          <w:rFonts w:hint="eastAsia" w:ascii="宋体" w:hAnsi="宋体" w:eastAsia="宋体" w:cs="宋体"/>
          <w:b/>
          <w:sz w:val="24"/>
          <w:szCs w:val="24"/>
        </w:rPr>
        <w:t>表2 2022—2024年海口市财政情况</w:t>
      </w:r>
    </w:p>
    <w:p w14:paraId="702DB976">
      <w:pPr>
        <w:jc w:val="right"/>
        <w:rPr>
          <w:rFonts w:hint="eastAsia" w:ascii="宋体" w:hAnsi="宋体" w:eastAsia="宋体" w:cs="宋体"/>
          <w:sz w:val="20"/>
          <w:szCs w:val="20"/>
        </w:rPr>
      </w:pPr>
      <w:r>
        <w:rPr>
          <w:rFonts w:hint="eastAsia" w:ascii="宋体" w:hAnsi="宋体" w:eastAsia="宋体" w:cs="宋体"/>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14:paraId="3ED15696">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14:paraId="2530CF51">
            <w:pPr>
              <w:widowControl/>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14:paraId="5C8E1C2F">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14:paraId="52DC1509">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14:paraId="601FCB91">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2024年</w:t>
            </w:r>
          </w:p>
        </w:tc>
      </w:tr>
      <w:tr w14:paraId="7B20C126">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14:paraId="7FF39B52">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地区生产总值</w:t>
            </w:r>
          </w:p>
        </w:tc>
        <w:tc>
          <w:tcPr>
            <w:tcW w:w="1653" w:type="dxa"/>
            <w:tcBorders>
              <w:top w:val="single" w:color="auto" w:sz="4" w:space="0"/>
            </w:tcBorders>
            <w:vAlign w:val="center"/>
          </w:tcPr>
          <w:p w14:paraId="3F9A890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2,134.80</w:t>
            </w:r>
          </w:p>
        </w:tc>
        <w:tc>
          <w:tcPr>
            <w:tcW w:w="1688" w:type="dxa"/>
            <w:tcBorders>
              <w:top w:val="single" w:color="auto" w:sz="4" w:space="0"/>
            </w:tcBorders>
            <w:vAlign w:val="center"/>
          </w:tcPr>
          <w:p w14:paraId="2687D5A5">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2,358.44</w:t>
            </w:r>
          </w:p>
        </w:tc>
        <w:tc>
          <w:tcPr>
            <w:tcW w:w="1688" w:type="dxa"/>
            <w:tcBorders>
              <w:top w:val="single" w:color="auto" w:sz="4" w:space="0"/>
            </w:tcBorders>
            <w:vAlign w:val="center"/>
          </w:tcPr>
          <w:p w14:paraId="441BD755">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2470.63</w:t>
            </w:r>
          </w:p>
        </w:tc>
      </w:tr>
      <w:tr w14:paraId="227D731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329ED6E0">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一般预算收入(一般公共预算收入)</w:t>
            </w:r>
          </w:p>
        </w:tc>
        <w:tc>
          <w:tcPr>
            <w:tcW w:w="1653" w:type="dxa"/>
            <w:vAlign w:val="center"/>
          </w:tcPr>
          <w:p w14:paraId="12A623D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204.82</w:t>
            </w:r>
          </w:p>
        </w:tc>
        <w:tc>
          <w:tcPr>
            <w:tcW w:w="1688" w:type="dxa"/>
            <w:vAlign w:val="center"/>
          </w:tcPr>
          <w:p w14:paraId="0AB8FDF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266.87</w:t>
            </w:r>
          </w:p>
        </w:tc>
        <w:tc>
          <w:tcPr>
            <w:tcW w:w="1688" w:type="dxa"/>
            <w:vAlign w:val="center"/>
          </w:tcPr>
          <w:p w14:paraId="75F3BBED">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258.26</w:t>
            </w:r>
          </w:p>
        </w:tc>
      </w:tr>
      <w:tr w14:paraId="7E4F769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41B48308">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一般预算收入(一般公共预算总收入)</w:t>
            </w:r>
          </w:p>
        </w:tc>
        <w:tc>
          <w:tcPr>
            <w:tcW w:w="1653" w:type="dxa"/>
            <w:vAlign w:val="center"/>
          </w:tcPr>
          <w:p w14:paraId="4513AFA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518.12</w:t>
            </w:r>
          </w:p>
        </w:tc>
        <w:tc>
          <w:tcPr>
            <w:tcW w:w="1688" w:type="dxa"/>
            <w:vAlign w:val="center"/>
          </w:tcPr>
          <w:p w14:paraId="1F46B38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578.08</w:t>
            </w:r>
          </w:p>
        </w:tc>
        <w:tc>
          <w:tcPr>
            <w:tcW w:w="1688" w:type="dxa"/>
            <w:vAlign w:val="center"/>
          </w:tcPr>
          <w:p w14:paraId="7660E57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597.76</w:t>
            </w:r>
          </w:p>
        </w:tc>
      </w:tr>
      <w:tr w14:paraId="2B9A88B7">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49849A60">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政府性基金收入</w:t>
            </w:r>
          </w:p>
        </w:tc>
        <w:tc>
          <w:tcPr>
            <w:tcW w:w="1653" w:type="dxa"/>
            <w:vAlign w:val="center"/>
          </w:tcPr>
          <w:p w14:paraId="7F233EE5">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192.34</w:t>
            </w:r>
          </w:p>
        </w:tc>
        <w:tc>
          <w:tcPr>
            <w:tcW w:w="1688" w:type="dxa"/>
            <w:vAlign w:val="center"/>
          </w:tcPr>
          <w:p w14:paraId="0630D83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140.39</w:t>
            </w:r>
          </w:p>
        </w:tc>
        <w:tc>
          <w:tcPr>
            <w:tcW w:w="1688" w:type="dxa"/>
            <w:vAlign w:val="center"/>
          </w:tcPr>
          <w:p w14:paraId="1AE3AE1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120.43</w:t>
            </w:r>
          </w:p>
        </w:tc>
      </w:tr>
      <w:tr w14:paraId="7DBFF227">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627B9E95">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其中：国有土地出让收入</w:t>
            </w:r>
          </w:p>
        </w:tc>
        <w:tc>
          <w:tcPr>
            <w:tcW w:w="1653" w:type="dxa"/>
            <w:vAlign w:val="center"/>
          </w:tcPr>
          <w:p w14:paraId="3B7FAC9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176.60</w:t>
            </w:r>
          </w:p>
        </w:tc>
        <w:tc>
          <w:tcPr>
            <w:tcW w:w="1688" w:type="dxa"/>
            <w:vAlign w:val="center"/>
          </w:tcPr>
          <w:p w14:paraId="2C0E183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124.67</w:t>
            </w:r>
          </w:p>
        </w:tc>
        <w:tc>
          <w:tcPr>
            <w:tcW w:w="1688" w:type="dxa"/>
            <w:vAlign w:val="center"/>
          </w:tcPr>
          <w:p w14:paraId="33C3E89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108.59</w:t>
            </w:r>
          </w:p>
        </w:tc>
      </w:tr>
      <w:tr w14:paraId="46BB66E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47B9AC91">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政府性基金支出</w:t>
            </w:r>
          </w:p>
        </w:tc>
        <w:tc>
          <w:tcPr>
            <w:tcW w:w="1653" w:type="dxa"/>
            <w:vAlign w:val="center"/>
          </w:tcPr>
          <w:p w14:paraId="391E0DD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1688" w:type="dxa"/>
            <w:vAlign w:val="center"/>
          </w:tcPr>
          <w:p w14:paraId="5104EE4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264.76</w:t>
            </w:r>
          </w:p>
        </w:tc>
        <w:tc>
          <w:tcPr>
            <w:tcW w:w="1688" w:type="dxa"/>
            <w:vAlign w:val="center"/>
          </w:tcPr>
          <w:p w14:paraId="4536147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294.07</w:t>
            </w:r>
          </w:p>
        </w:tc>
      </w:tr>
      <w:tr w14:paraId="04B636B9">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1E669D2F">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其中：国有土地出让支出</w:t>
            </w:r>
          </w:p>
        </w:tc>
        <w:tc>
          <w:tcPr>
            <w:tcW w:w="1653" w:type="dxa"/>
            <w:vAlign w:val="center"/>
          </w:tcPr>
          <w:p w14:paraId="61A8C69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147.61</w:t>
            </w:r>
          </w:p>
        </w:tc>
        <w:tc>
          <w:tcPr>
            <w:tcW w:w="1688" w:type="dxa"/>
            <w:vAlign w:val="center"/>
          </w:tcPr>
          <w:p w14:paraId="22D6DF94">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109.46</w:t>
            </w:r>
          </w:p>
        </w:tc>
        <w:tc>
          <w:tcPr>
            <w:tcW w:w="1688" w:type="dxa"/>
            <w:vAlign w:val="center"/>
          </w:tcPr>
          <w:p w14:paraId="284BF30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72.02</w:t>
            </w:r>
          </w:p>
        </w:tc>
      </w:tr>
      <w:tr w14:paraId="77DC90BA">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5D5E0403">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地方债务限额</w:t>
            </w:r>
          </w:p>
        </w:tc>
        <w:tc>
          <w:tcPr>
            <w:tcW w:w="1653" w:type="dxa"/>
            <w:vAlign w:val="center"/>
          </w:tcPr>
          <w:p w14:paraId="7ACCD8C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1FA4530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892.40</w:t>
            </w:r>
          </w:p>
        </w:tc>
        <w:tc>
          <w:tcPr>
            <w:tcW w:w="1688" w:type="dxa"/>
            <w:vAlign w:val="center"/>
          </w:tcPr>
          <w:p w14:paraId="7E1146F8">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1161.30</w:t>
            </w:r>
          </w:p>
        </w:tc>
      </w:tr>
      <w:tr w14:paraId="244A5CC2">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63A91A7E">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其中：一般债务限额</w:t>
            </w:r>
          </w:p>
        </w:tc>
        <w:tc>
          <w:tcPr>
            <w:tcW w:w="1653" w:type="dxa"/>
            <w:vAlign w:val="center"/>
          </w:tcPr>
          <w:p w14:paraId="696A356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2A8FA44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230.47</w:t>
            </w:r>
          </w:p>
        </w:tc>
        <w:tc>
          <w:tcPr>
            <w:tcW w:w="1688" w:type="dxa"/>
            <w:vAlign w:val="center"/>
          </w:tcPr>
          <w:p w14:paraId="639D4AC5">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235.24</w:t>
            </w:r>
          </w:p>
        </w:tc>
      </w:tr>
      <w:tr w14:paraId="14A0472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53D53540">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专项债务限额</w:t>
            </w:r>
          </w:p>
        </w:tc>
        <w:tc>
          <w:tcPr>
            <w:tcW w:w="1653" w:type="dxa"/>
            <w:vAlign w:val="center"/>
          </w:tcPr>
          <w:p w14:paraId="3568A9A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0B401CA5">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661.93</w:t>
            </w:r>
          </w:p>
        </w:tc>
        <w:tc>
          <w:tcPr>
            <w:tcW w:w="1688" w:type="dxa"/>
            <w:vAlign w:val="center"/>
          </w:tcPr>
          <w:p w14:paraId="35979E4A">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926.07</w:t>
            </w:r>
          </w:p>
        </w:tc>
      </w:tr>
      <w:tr w14:paraId="4D23BDCF">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63D5E3C7">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地方债务余额</w:t>
            </w:r>
          </w:p>
        </w:tc>
        <w:tc>
          <w:tcPr>
            <w:tcW w:w="1653" w:type="dxa"/>
            <w:vAlign w:val="center"/>
          </w:tcPr>
          <w:p w14:paraId="1F902FD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79894B0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889.45</w:t>
            </w:r>
          </w:p>
        </w:tc>
        <w:tc>
          <w:tcPr>
            <w:tcW w:w="1688" w:type="dxa"/>
            <w:vAlign w:val="center"/>
          </w:tcPr>
          <w:p w14:paraId="23108DFC">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1141.70</w:t>
            </w:r>
          </w:p>
        </w:tc>
      </w:tr>
      <w:tr w14:paraId="1E87B32F">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6F35900E">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其中：一般债务余额</w:t>
            </w:r>
          </w:p>
        </w:tc>
        <w:tc>
          <w:tcPr>
            <w:tcW w:w="1653" w:type="dxa"/>
            <w:vAlign w:val="center"/>
          </w:tcPr>
          <w:p w14:paraId="74E44B7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7530011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228.11</w:t>
            </w:r>
          </w:p>
        </w:tc>
        <w:tc>
          <w:tcPr>
            <w:tcW w:w="1688" w:type="dxa"/>
            <w:vAlign w:val="center"/>
          </w:tcPr>
          <w:p w14:paraId="4DA71970">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227.33</w:t>
            </w:r>
          </w:p>
        </w:tc>
      </w:tr>
      <w:tr w14:paraId="695ED869">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14:paraId="56F1CF37">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专项债务余额</w:t>
            </w:r>
          </w:p>
        </w:tc>
        <w:tc>
          <w:tcPr>
            <w:tcW w:w="1653" w:type="dxa"/>
            <w:vAlign w:val="center"/>
          </w:tcPr>
          <w:p w14:paraId="15A7533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4F301D7A">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661.34</w:t>
            </w:r>
          </w:p>
        </w:tc>
        <w:tc>
          <w:tcPr>
            <w:tcW w:w="1688" w:type="dxa"/>
            <w:vAlign w:val="center"/>
          </w:tcPr>
          <w:p w14:paraId="03E7A984">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914.37</w:t>
            </w:r>
          </w:p>
        </w:tc>
      </w:tr>
    </w:tbl>
    <w:p w14:paraId="76A11B78">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14:paraId="6282A2DD">
      <w:pPr>
        <w:pStyle w:val="29"/>
        <w:spacing w:line="360" w:lineRule="auto"/>
        <w:ind w:firstLine="482"/>
        <w:outlineLvl w:val="0"/>
        <w:rPr>
          <w:rFonts w:hint="eastAsia" w:ascii="宋体" w:hAnsi="宋体" w:eastAsia="宋体" w:cs="宋体"/>
          <w:b/>
          <w:sz w:val="24"/>
          <w:szCs w:val="24"/>
        </w:rPr>
      </w:pPr>
      <w:bookmarkStart w:id="2" w:name="_Toc9911"/>
      <w:r>
        <w:rPr>
          <w:rFonts w:hint="eastAsia" w:ascii="宋体" w:hAnsi="宋体" w:eastAsia="宋体" w:cs="宋体"/>
          <w:b/>
          <w:sz w:val="24"/>
          <w:szCs w:val="24"/>
        </w:rPr>
        <w:t>三、项目概述</w:t>
      </w:r>
      <w:bookmarkEnd w:id="2"/>
    </w:p>
    <w:p w14:paraId="48AEF065">
      <w:pPr>
        <w:pStyle w:val="29"/>
        <w:spacing w:line="360" w:lineRule="auto"/>
        <w:ind w:firstLine="482"/>
        <w:outlineLvl w:val="0"/>
        <w:rPr>
          <w:rFonts w:hint="eastAsia" w:ascii="宋体" w:hAnsi="宋体" w:eastAsia="宋体" w:cs="宋体"/>
          <w:b/>
          <w:sz w:val="24"/>
          <w:szCs w:val="24"/>
        </w:rPr>
      </w:pPr>
      <w:bookmarkStart w:id="3" w:name="_Toc3086"/>
      <w:r>
        <w:rPr>
          <w:rFonts w:hint="eastAsia" w:ascii="宋体" w:hAnsi="宋体" w:eastAsia="宋体" w:cs="宋体"/>
          <w:b/>
          <w:sz w:val="24"/>
          <w:szCs w:val="24"/>
        </w:rPr>
        <w:t>（一）项目基本情况</w:t>
      </w:r>
      <w:bookmarkEnd w:id="3"/>
    </w:p>
    <w:p w14:paraId="7A49330C">
      <w:pPr>
        <w:spacing w:before="120" w:after="120" w:line="360" w:lineRule="auto"/>
        <w:ind w:firstLine="480" w:firstLineChars="200"/>
        <w:rPr>
          <w:rFonts w:hint="eastAsia" w:ascii="宋体" w:hAnsi="宋体" w:eastAsia="宋体" w:cs="宋体"/>
          <w:sz w:val="24"/>
        </w:rPr>
      </w:pPr>
      <w:bookmarkStart w:id="4" w:name="_Toc6853"/>
      <w:r>
        <w:rPr>
          <w:rFonts w:hint="eastAsia" w:ascii="宋体" w:hAnsi="宋体" w:eastAsia="宋体" w:cs="宋体"/>
          <w:sz w:val="24"/>
        </w:rPr>
        <w:t>海口市江东新区园区配套基础设施配套项目（五期）的建设符合国家政策支持方向，并有利于海口市基础设施建设的发展，项目基本情况如下：</w:t>
      </w:r>
    </w:p>
    <w:p w14:paraId="66FB04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项目名称：海口市江东新区园区配套基础设施配套项目（五期）</w:t>
      </w:r>
    </w:p>
    <w:p w14:paraId="46F213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项目行业主管部门：海口江东新区管理局</w:t>
      </w:r>
    </w:p>
    <w:p w14:paraId="4FF1D9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项目业主：海口市恒慧基础建设有限公司</w:t>
      </w:r>
    </w:p>
    <w:p w14:paraId="0C1F1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项目建设期：2024年6月-2026年12月</w:t>
      </w:r>
    </w:p>
    <w:p w14:paraId="1EDBD6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内容：项目包含林海北二路、林海二路、振海东路、环洋路、林海六横路、振海七横路、林海七横路、振海八横路、振海九横路和振海十横路共计10条道路。林海六横路南段红线宽度为24.5米，近期实施宽度为21米，双向三车道城市次干路，设计速度40千米/小时；林海北二路和振海十横路红线宽度为24米，双向四车道城市次干路，设计速度40千米/小时；林海七横路红线宽度为19.57-21米，双向四车道城市支路，设计速度30千米/小时；环洋路红线宽度为18米，双向两车道城市支路，设计速度30千米/小时；林海二路、振海东路、林海六横路（北段）、振海七横路、振海八横路和振海九横路红线宽度为9-15米，双向两车道城市支路，设计速度20千米/小时。路线总长度为4,994.46米。建设内容包含道路工程、交通工程、给排水工程、管廊工程、电气工程（含合杆）等，再生水、燃气工程不含在本次工程设计范围内，仅预留管位。</w:t>
      </w:r>
    </w:p>
    <w:p w14:paraId="6E7D06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项目总体施工进度：本项目目前正在施工林海六横路和振海东路雨污水管网，截</w:t>
      </w:r>
      <w:r>
        <w:rPr>
          <w:rFonts w:hint="eastAsia" w:ascii="宋体" w:hAnsi="宋体" w:eastAsia="宋体" w:cs="宋体"/>
          <w:sz w:val="24"/>
          <w:szCs w:val="24"/>
          <w:lang w:val="en-US" w:eastAsia="zh-CN"/>
        </w:rPr>
        <w:t>至</w:t>
      </w:r>
      <w:bookmarkStart w:id="101" w:name="_GoBack"/>
      <w:bookmarkEnd w:id="101"/>
      <w:r>
        <w:rPr>
          <w:rFonts w:hint="eastAsia" w:ascii="宋体" w:hAnsi="宋体" w:eastAsia="宋体" w:cs="宋体"/>
          <w:sz w:val="24"/>
          <w:szCs w:val="24"/>
        </w:rPr>
        <w:t>目前累计完成产值约800万元，工程形象进度5%。</w:t>
      </w:r>
    </w:p>
    <w:p w14:paraId="4D68D3C7">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（二）项目相关批复</w:t>
      </w:r>
      <w:bookmarkEnd w:id="4"/>
    </w:p>
    <w:p w14:paraId="3DCD4A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2023年2月3日，取得《海口江东新区管理局关于海口市江东新区国际康养中心周边配套路网项目规划设计条件的批复》（海江东局函〔2023〕164号），该函明确：“经核实，海口市江东新区国际康养中心周边配套路网项目属《海口江东新区国际高教科研组团控制性详细规划》范围，位于滨海红树林片区，该片区控规成果已通过专家评审会”。</w:t>
      </w:r>
    </w:p>
    <w:p w14:paraId="07BB81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2023年3月17日，取得《海口江东新区管理局关于变更桂秀路(白驹大道至江东大道段)等项目名称的函》（海江东局函〔2023〕498号），将“海口市江东新区国际康养中心周边配套路网项目”名称变更为“海口江东新区国际康养中心周边配套基础设施项目”。</w:t>
      </w:r>
    </w:p>
    <w:p w14:paraId="3F557C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2023年7月14日，取得《海口江东新区管理局关于同意海口江东新区国际康养中心周边配套基础设施项目可行性研究报告的复函》（海江东审〔2023〕160号），该批复明确：“为改善区域生活环境、完善海口市江东新区城市基础设施建设，同意建设海口江东新区国际康养中心周边配套基础设施项目”。</w:t>
      </w:r>
    </w:p>
    <w:p w14:paraId="4D9AAA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2023年10月27日，取得《建设用地规划许可证》，发证机关为海口江东新区管理局，证号为地字第465102202300052号，用地单位为海口江东新区基础建设有限公司，项目名称为海口江东新区国际康养中心周边配套基础设施项目，用地位置为海口江东新区，起点与白驹大道衔接，终点至江东大道，用地面积为89368.73平方米，土地用途为市政道路建设，建设规模为本项目位于江东新区国际高教科研组团红树林滨海片区，包含10条道路。林海六横路南段远期红线宽度为25米，近期实施宽度为21米，设计速度40km／h；林海北二路和振海十横路红线宽度为24米，设计速度40km／h；林海七横路红线宽度为19.57～21米，设计速度30km／h；环洋路红线宽度为18米，设计速度30km ／h；林海二路、振海东路、林海六横路（北段）、振海七横路、振海八横路和振海九横路红线宽度为9～15米，设计速度20km／h。路线总长度为4994.46米。</w:t>
      </w:r>
    </w:p>
    <w:p w14:paraId="419E93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2023年10月27日，取得《建设工程规划许可证》，发证机关为海口江东新区管理局，证号为建字第465102202310063号，用地单位为海口江东新区基础建设有限公司，项目名称为海口江东新区国际康养中心周边配套基础设施项目，用地位置为海口江东新区。</w:t>
      </w:r>
    </w:p>
    <w:p w14:paraId="7B9A50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2023年10月30日，取得《海口江东新区管理局关于同意海口江东新区国际康养中心周边配套基础设施项目初步设计及概算的复函》（海江东审〔2023〕256号），该函明确：“海口江东新区管理局关于同意海口江东新区国际康养中心周边配套基础设施项目初步设计及概算的复函；项目建设规模及内容：项目包含林海北二路、林海二路、振海东路、环洋路、林海六横路、振海七横路、林海七横路、振海八横路、振海九横路和振海十横路共计10条道路。林海六横路南段红线宽度为24.5米，近期实施宽度为21米，双向三车道城市次干路，设计速度40km/h;林海北二路和振海十横路红线宽度为24米，双向四车道城市次干路，设计速度40km/h;林海七横路红线宽度为19.57-21米，双向四车道城市支路，设计速度30km/h;环洋路红线宽度为18米，双向两车道城市支路，设计速度30km/h;林海二路、振海东路、林海六横路(北段)、振海七横路、振海八横路和振海九横路红线宽度为9-15米，双向两车道城市支路，设计速度20km/h。路线总长度为4994.46米。建设内容包含道路工程、交通工程、给排水工程、管廊工程、电气工程(含合杆)、绿化工程等，再生水、燃气工程不含在本次工程设计范围内，仅预留管位；项目概算总投资为29170.65万元，其中建安工程费为21435.39万元，工程建设其他费用为6252.84万元(含征地拆迁费4136.91万元，该项费用以辖区政府批复为准),基本预备费为1192.08万元，建设单位管理费290.34万元”。</w:t>
      </w:r>
    </w:p>
    <w:p w14:paraId="6A0014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2023年11月16日，取得《海口江东新区管理局关于变更海口江东新区国际康养中心周边配套基础设施项目等2个项目名称的复函》（海江东局函〔2023〕498号），将“海口江东新区国际康养中心周边配套基础设施项目”名称变更为“江东新区红树林北片区基础配套设施项目”。</w:t>
      </w:r>
    </w:p>
    <w:p w14:paraId="52A785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2024年1月5日，取得《海口江东新区管理局关于变更江东新区红树林北片区基础配套设施项目等2个项目名称的复函》（海江东局函〔2024〕20号），将“江东新区红树林北片区基础配套设施项目”名称变更为“海口市江东新区园区配套基础设施配套项目(五期)”。</w:t>
      </w:r>
    </w:p>
    <w:p w14:paraId="753D61B6">
      <w:pPr>
        <w:pStyle w:val="29"/>
        <w:spacing w:line="360" w:lineRule="auto"/>
        <w:ind w:firstLine="482"/>
        <w:outlineLvl w:val="0"/>
        <w:rPr>
          <w:rFonts w:hint="eastAsia" w:ascii="宋体" w:hAnsi="宋体" w:eastAsia="宋体" w:cs="宋体"/>
          <w:b/>
          <w:sz w:val="24"/>
          <w:szCs w:val="24"/>
        </w:rPr>
      </w:pPr>
      <w:bookmarkStart w:id="5" w:name="_Toc6811"/>
      <w:r>
        <w:rPr>
          <w:rFonts w:hint="eastAsia" w:ascii="宋体" w:hAnsi="宋体" w:eastAsia="宋体" w:cs="宋体"/>
          <w:b/>
          <w:sz w:val="24"/>
          <w:szCs w:val="24"/>
        </w:rPr>
        <w:t>（三）事前绩效评估</w:t>
      </w:r>
      <w:bookmarkEnd w:id="5"/>
    </w:p>
    <w:p w14:paraId="4EDA6B58">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1.项目的必要性与收益性</w:t>
      </w:r>
    </w:p>
    <w:p w14:paraId="2C54DBEC">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（1）必要性</w:t>
      </w:r>
    </w:p>
    <w:p w14:paraId="4E85B51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6" w:name="bookmark25"/>
      <w:bookmarkEnd w:id="6"/>
      <w:bookmarkStart w:id="7" w:name="bookmark26"/>
      <w:bookmarkEnd w:id="7"/>
      <w:bookmarkStart w:id="8" w:name="bookmark24"/>
      <w:bookmarkEnd w:id="8"/>
      <w:bookmarkStart w:id="9" w:name="bookmark23"/>
      <w:bookmarkEnd w:id="9"/>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7A82053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14:paraId="690E9CC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70A0F539">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sz w:val="24"/>
          <w:szCs w:val="24"/>
        </w:rPr>
        <w:t>（2）收益性：</w:t>
      </w:r>
      <w:r>
        <w:rPr>
          <w:rFonts w:hint="eastAsia" w:ascii="宋体" w:hAnsi="宋体" w:eastAsia="宋体" w:cs="宋体"/>
          <w:sz w:val="24"/>
          <w:szCs w:val="24"/>
        </w:rPr>
        <w:t>项目收入来源于</w:t>
      </w:r>
      <w:r>
        <w:rPr>
          <w:rFonts w:hint="eastAsia" w:ascii="宋体" w:hAnsi="宋体" w:eastAsia="宋体"/>
          <w:color w:val="000000"/>
          <w:kern w:val="0"/>
          <w:sz w:val="24"/>
          <w:szCs w:val="24"/>
        </w:rPr>
        <w:t>广告牌出租收入、停车位收入</w:t>
      </w:r>
      <w:r>
        <w:rPr>
          <w:rFonts w:hint="eastAsia" w:ascii="宋体" w:hAnsi="宋体" w:eastAsia="宋体" w:cs="宋体"/>
          <w:kern w:val="0"/>
          <w:sz w:val="24"/>
        </w:rPr>
        <w:t>等。</w:t>
      </w:r>
    </w:p>
    <w:p w14:paraId="0E94365D">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kern w:val="0"/>
          <w:sz w:val="24"/>
        </w:rPr>
        <w:t>（3）公益性：</w:t>
      </w:r>
      <w:r>
        <w:rPr>
          <w:rFonts w:hint="eastAsia" w:ascii="宋体" w:hAnsi="宋体" w:eastAsia="宋体" w:cs="宋体"/>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69EC8CBB">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2.项目建设投资合规性与项目成熟度</w:t>
      </w:r>
    </w:p>
    <w:p w14:paraId="32DFDA0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本项目的建设投资符合国家、海南省有关法律法规、政策文件及规范性文件要求。</w:t>
      </w:r>
    </w:p>
    <w:p w14:paraId="50BCB85A">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3.项目资金来源和到位可行性</w:t>
      </w:r>
    </w:p>
    <w:p w14:paraId="72F9452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各项目主要通过发行地方政府专项债券融资以及财政资金投入，若条件允许，在满足合法合规、资金平衡要求的前提下，也可考虑发行债券方式筹集。</w:t>
      </w:r>
    </w:p>
    <w:p w14:paraId="5FDF286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总体来看，综合海口市财政状况，财政资金到位可行性较高，专项债券部分以最终实际发行计划为准。</w:t>
      </w:r>
    </w:p>
    <w:p w14:paraId="0F1D266C">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4.项目收入、成本、收益预测的合理性</w:t>
      </w:r>
    </w:p>
    <w:p w14:paraId="6C57C98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收入来源为广告牌出租收入、停车位收入。债券存续期内，本项目本息覆盖倍数可达1.20以上。综上，在满足假设条件的前提下，能够满足资金筹措充足性的要求。项目收入、成本、收益情况均根据充分依据测算得出，较为合理。</w:t>
      </w:r>
    </w:p>
    <w:p w14:paraId="7EDA7CFB">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5.债券资金需求的合理性</w:t>
      </w:r>
    </w:p>
    <w:p w14:paraId="1EF993A9">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67A2723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本项目通过发行专项债券募集资金可以降低融资成本，是现阶段解决项目建设资金问题的较优方案。</w:t>
      </w:r>
    </w:p>
    <w:p w14:paraId="5E048E2E">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6.项目偿债计划可行性和偿债风险点</w:t>
      </w:r>
    </w:p>
    <w:p w14:paraId="6FCF719F">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通过本项目融资平衡测算，一方面通过发行专项债券筹集资金能满足项目建设资金需求；另一方面项目收益也能保障债券还本付息，总体实现项目收益和融资的自求平衡。</w:t>
      </w:r>
    </w:p>
    <w:p w14:paraId="0446C4B8">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7.绩效目标合理性</w:t>
      </w:r>
    </w:p>
    <w:p w14:paraId="29F5864F">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4B2E58C5">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综上，本项目经事前绩效评估，已具备申请专项债券资金支持的必要性和可行性。</w:t>
      </w:r>
    </w:p>
    <w:p w14:paraId="4C104F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28D0CFA5">
      <w:pPr>
        <w:pStyle w:val="29"/>
        <w:spacing w:line="360" w:lineRule="auto"/>
        <w:ind w:firstLine="482"/>
        <w:outlineLvl w:val="0"/>
        <w:rPr>
          <w:rFonts w:hint="eastAsia" w:ascii="宋体" w:hAnsi="宋体" w:eastAsia="宋体" w:cs="宋体"/>
          <w:b/>
          <w:sz w:val="24"/>
          <w:szCs w:val="24"/>
        </w:rPr>
      </w:pPr>
      <w:bookmarkStart w:id="10" w:name="_Toc7833"/>
      <w:r>
        <w:rPr>
          <w:rFonts w:hint="eastAsia" w:ascii="宋体" w:hAnsi="宋体" w:eastAsia="宋体" w:cs="宋体"/>
          <w:b/>
          <w:sz w:val="24"/>
          <w:szCs w:val="24"/>
        </w:rPr>
        <w:t>四、项目平衡实施方案</w:t>
      </w:r>
      <w:bookmarkEnd w:id="10"/>
    </w:p>
    <w:p w14:paraId="6DBAC4AE">
      <w:pPr>
        <w:widowControl/>
        <w:spacing w:before="120" w:after="120" w:line="360" w:lineRule="auto"/>
        <w:outlineLvl w:val="1"/>
        <w:rPr>
          <w:rFonts w:hint="eastAsia" w:ascii="宋体" w:hAnsi="宋体" w:eastAsia="宋体"/>
          <w:b/>
          <w:color w:val="000000"/>
          <w:kern w:val="0"/>
          <w:sz w:val="24"/>
          <w:szCs w:val="24"/>
        </w:rPr>
      </w:pPr>
      <w:bookmarkStart w:id="11" w:name="_Toc114818421"/>
      <w:bookmarkStart w:id="12" w:name="_Toc200555354"/>
      <w:bookmarkStart w:id="13" w:name="_Toc114818531"/>
      <w:bookmarkStart w:id="14" w:name="_Toc12755"/>
      <w:r>
        <w:rPr>
          <w:rFonts w:hint="eastAsia" w:ascii="宋体" w:hAnsi="宋体" w:eastAsia="宋体"/>
          <w:b/>
          <w:color w:val="000000"/>
          <w:kern w:val="0"/>
          <w:sz w:val="24"/>
          <w:szCs w:val="24"/>
        </w:rPr>
        <w:t>（一）</w:t>
      </w:r>
      <w:r>
        <w:rPr>
          <w:rFonts w:ascii="宋体" w:hAnsi="宋体" w:eastAsia="宋体"/>
          <w:b/>
          <w:color w:val="000000"/>
          <w:kern w:val="0"/>
          <w:sz w:val="24"/>
          <w:szCs w:val="24"/>
        </w:rPr>
        <w:t>资金充足性</w:t>
      </w:r>
      <w:bookmarkEnd w:id="11"/>
      <w:bookmarkEnd w:id="12"/>
      <w:bookmarkEnd w:id="13"/>
    </w:p>
    <w:p w14:paraId="31183BF3">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15" w:name="_Toc114818422"/>
      <w:bookmarkStart w:id="16" w:name="_Toc200555355"/>
      <w:bookmarkStart w:id="17" w:name="_Toc114818532"/>
      <w:r>
        <w:rPr>
          <w:rFonts w:ascii="宋体" w:hAnsi="宋体" w:eastAsia="宋体"/>
          <w:b/>
          <w:bCs/>
          <w:color w:val="000000"/>
          <w:kern w:val="0"/>
          <w:sz w:val="24"/>
          <w:szCs w:val="24"/>
        </w:rPr>
        <w:t>1.投资估算</w:t>
      </w:r>
      <w:bookmarkEnd w:id="15"/>
      <w:bookmarkEnd w:id="16"/>
      <w:bookmarkEnd w:id="17"/>
    </w:p>
    <w:p w14:paraId="09C0B31F">
      <w:pPr>
        <w:widowControl/>
        <w:spacing w:before="120" w:after="120" w:line="360" w:lineRule="auto"/>
        <w:ind w:firstLine="480" w:firstLineChars="200"/>
        <w:rPr>
          <w:rFonts w:hint="eastAsia" w:ascii="宋体" w:hAnsi="宋体" w:eastAsia="宋体"/>
          <w:color w:val="000000"/>
          <w:kern w:val="0"/>
          <w:sz w:val="24"/>
          <w:szCs w:val="24"/>
        </w:rPr>
      </w:pPr>
      <w:r>
        <w:rPr>
          <w:rFonts w:hint="eastAsia" w:ascii="宋体" w:hAnsi="宋体" w:eastAsia="宋体"/>
          <w:color w:val="000000"/>
          <w:kern w:val="0"/>
          <w:sz w:val="24"/>
          <w:szCs w:val="24"/>
        </w:rPr>
        <w:t>海口市江东新区园区配套基础设施配套项目（五期）总投资为99,183.85万元，详见表3。</w:t>
      </w:r>
    </w:p>
    <w:p w14:paraId="40A45792">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表3海口市江东新区园区配套基础设施配套项目（五期）总投资估算表</w:t>
      </w:r>
    </w:p>
    <w:p w14:paraId="7BC0556D">
      <w:pPr>
        <w:widowControl/>
        <w:ind w:firstLine="360" w:firstLineChars="200"/>
        <w:jc w:val="right"/>
        <w:rPr>
          <w:rFonts w:hint="eastAsia" w:ascii="宋体" w:hAnsi="宋体" w:eastAsia="宋体"/>
          <w:kern w:val="0"/>
          <w:sz w:val="18"/>
          <w:szCs w:val="18"/>
          <w:lang w:val="en-GB"/>
        </w:rPr>
      </w:pPr>
      <w:r>
        <w:rPr>
          <w:rFonts w:hint="eastAsia" w:ascii="宋体" w:hAnsi="宋体" w:eastAsia="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85"/>
        <w:gridCol w:w="1566"/>
        <w:gridCol w:w="1405"/>
        <w:gridCol w:w="1649"/>
        <w:gridCol w:w="1376"/>
        <w:gridCol w:w="1575"/>
      </w:tblGrid>
      <w:tr w14:paraId="5E81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470" w:type="pct"/>
            <w:shd w:val="clear" w:color="auto" w:fill="D9D9D9"/>
            <w:vAlign w:val="center"/>
          </w:tcPr>
          <w:p w14:paraId="23E931F5">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序号</w:t>
            </w:r>
          </w:p>
        </w:tc>
        <w:tc>
          <w:tcPr>
            <w:tcW w:w="937" w:type="pct"/>
            <w:shd w:val="clear" w:color="auto" w:fill="D9D9D9"/>
            <w:vAlign w:val="center"/>
          </w:tcPr>
          <w:p w14:paraId="442E512E">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项目名称</w:t>
            </w:r>
          </w:p>
        </w:tc>
        <w:tc>
          <w:tcPr>
            <w:tcW w:w="841" w:type="pct"/>
            <w:shd w:val="clear" w:color="auto" w:fill="D9D9D9"/>
            <w:vAlign w:val="center"/>
          </w:tcPr>
          <w:p w14:paraId="3FED2EFF">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w:t>
            </w:r>
            <w:r>
              <w:rPr>
                <w:rFonts w:ascii="宋体" w:hAnsi="宋体" w:eastAsia="宋体" w:cs="Arial Unicode MS"/>
                <w:b/>
                <w:color w:val="000000"/>
                <w:kern w:val="0"/>
                <w:sz w:val="20"/>
                <w:szCs w:val="20"/>
                <w:lang w:val="en-GB"/>
              </w:rPr>
              <w:t>024</w:t>
            </w:r>
          </w:p>
        </w:tc>
        <w:tc>
          <w:tcPr>
            <w:tcW w:w="987" w:type="pct"/>
            <w:shd w:val="clear" w:color="auto" w:fill="D9D9D9"/>
            <w:vAlign w:val="center"/>
          </w:tcPr>
          <w:p w14:paraId="0930CBF3">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2025</w:t>
            </w:r>
          </w:p>
        </w:tc>
        <w:tc>
          <w:tcPr>
            <w:tcW w:w="823" w:type="pct"/>
            <w:shd w:val="clear" w:color="auto" w:fill="D9D9D9"/>
            <w:vAlign w:val="center"/>
          </w:tcPr>
          <w:p w14:paraId="300CDE8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2026</w:t>
            </w:r>
          </w:p>
        </w:tc>
        <w:tc>
          <w:tcPr>
            <w:tcW w:w="942" w:type="pct"/>
            <w:shd w:val="clear" w:color="auto" w:fill="D9D9D9"/>
            <w:vAlign w:val="center"/>
          </w:tcPr>
          <w:p w14:paraId="78C2A6AE">
            <w:pPr>
              <w:widowControl/>
              <w:jc w:val="center"/>
              <w:rPr>
                <w:rFonts w:hint="eastAsia" w:ascii="宋体" w:hAnsi="宋体" w:eastAsia="宋体" w:cs="Arial Unicode MS"/>
                <w:b/>
                <w:color w:val="000000"/>
                <w:kern w:val="0"/>
                <w:sz w:val="20"/>
                <w:szCs w:val="20"/>
                <w:lang w:val="en-GB" w:eastAsia="zh-TW"/>
              </w:rPr>
            </w:pPr>
            <w:r>
              <w:rPr>
                <w:rFonts w:hint="eastAsia" w:ascii="宋体" w:hAnsi="宋体" w:eastAsia="宋体" w:cs="Arial Unicode MS"/>
                <w:b/>
                <w:color w:val="000000"/>
                <w:kern w:val="0"/>
                <w:sz w:val="20"/>
                <w:szCs w:val="20"/>
                <w:lang w:val="en-GB" w:eastAsia="zh-TW"/>
              </w:rPr>
              <w:t>合计</w:t>
            </w:r>
          </w:p>
        </w:tc>
      </w:tr>
      <w:tr w14:paraId="2533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70" w:type="pct"/>
            <w:shd w:val="clear" w:color="000000" w:fill="FFFFFF"/>
            <w:vAlign w:val="center"/>
          </w:tcPr>
          <w:p w14:paraId="211ED850">
            <w:pPr>
              <w:widowControl/>
              <w:jc w:val="center"/>
              <w:rPr>
                <w:rFonts w:hint="eastAsia" w:ascii="宋体" w:hAnsi="宋体" w:eastAsia="宋体"/>
                <w:color w:val="000000"/>
                <w:kern w:val="0"/>
                <w:sz w:val="20"/>
                <w:szCs w:val="20"/>
                <w:lang w:val="en-GB"/>
              </w:rPr>
            </w:pPr>
            <w:r>
              <w:rPr>
                <w:rFonts w:ascii="宋体" w:hAnsi="宋体" w:eastAsia="宋体"/>
                <w:color w:val="000000"/>
                <w:kern w:val="0"/>
                <w:sz w:val="20"/>
                <w:szCs w:val="20"/>
                <w:lang w:val="en-GB"/>
              </w:rPr>
              <w:t>1.1</w:t>
            </w:r>
          </w:p>
        </w:tc>
        <w:tc>
          <w:tcPr>
            <w:tcW w:w="937" w:type="pct"/>
            <w:shd w:val="clear" w:color="000000" w:fill="FFFFFF"/>
            <w:vAlign w:val="center"/>
          </w:tcPr>
          <w:p w14:paraId="375D3FFE">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建设投资</w:t>
            </w:r>
          </w:p>
        </w:tc>
        <w:tc>
          <w:tcPr>
            <w:tcW w:w="841" w:type="pct"/>
            <w:shd w:val="clear" w:color="000000" w:fill="FFFFFF"/>
            <w:vAlign w:val="center"/>
          </w:tcPr>
          <w:p w14:paraId="0F6CBF5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2,000.00</w:t>
            </w:r>
          </w:p>
        </w:tc>
        <w:tc>
          <w:tcPr>
            <w:tcW w:w="987" w:type="pct"/>
            <w:shd w:val="clear" w:color="000000" w:fill="FFFFFF"/>
            <w:vAlign w:val="center"/>
          </w:tcPr>
          <w:p w14:paraId="59F4BB00">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75,000.00</w:t>
            </w:r>
          </w:p>
        </w:tc>
        <w:tc>
          <w:tcPr>
            <w:tcW w:w="823" w:type="pct"/>
            <w:shd w:val="clear" w:color="000000" w:fill="FFFFFF"/>
            <w:vAlign w:val="center"/>
          </w:tcPr>
          <w:p w14:paraId="1CB6E5C4">
            <w:pPr>
              <w:widowControl/>
              <w:jc w:val="right"/>
              <w:rPr>
                <w:rFonts w:hint="eastAsia" w:ascii="宋体" w:hAnsi="宋体" w:eastAsia="宋体"/>
                <w:b/>
                <w:bCs/>
                <w:kern w:val="0"/>
                <w:sz w:val="20"/>
                <w:szCs w:val="20"/>
                <w:lang w:val="en-GB"/>
              </w:rPr>
            </w:pPr>
            <w:r>
              <w:rPr>
                <w:rFonts w:hint="eastAsia" w:ascii="宋体" w:hAnsi="宋体" w:eastAsia="宋体"/>
                <w:color w:val="000000"/>
                <w:kern w:val="0"/>
                <w:sz w:val="20"/>
                <w:szCs w:val="20"/>
                <w:lang w:val="en-GB"/>
              </w:rPr>
              <w:t>22,170.65</w:t>
            </w:r>
          </w:p>
        </w:tc>
        <w:tc>
          <w:tcPr>
            <w:tcW w:w="942" w:type="pct"/>
            <w:shd w:val="clear" w:color="000000" w:fill="FFFFFF"/>
            <w:vAlign w:val="center"/>
          </w:tcPr>
          <w:p w14:paraId="2F993FD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99,170.65</w:t>
            </w:r>
          </w:p>
        </w:tc>
      </w:tr>
      <w:tr w14:paraId="5BCB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70" w:type="pct"/>
            <w:shd w:val="clear" w:color="000000" w:fill="FFFFFF"/>
            <w:vAlign w:val="center"/>
          </w:tcPr>
          <w:p w14:paraId="48ED0E11">
            <w:pPr>
              <w:widowControl/>
              <w:jc w:val="center"/>
              <w:rPr>
                <w:rFonts w:hint="eastAsia" w:ascii="宋体" w:hAnsi="宋体" w:eastAsia="宋体"/>
                <w:color w:val="000000"/>
                <w:kern w:val="0"/>
                <w:sz w:val="20"/>
                <w:szCs w:val="20"/>
                <w:lang w:val="en-GB"/>
              </w:rPr>
            </w:pPr>
            <w:r>
              <w:rPr>
                <w:rFonts w:ascii="宋体" w:hAnsi="宋体" w:eastAsia="宋体"/>
                <w:color w:val="000000"/>
                <w:kern w:val="0"/>
                <w:sz w:val="20"/>
                <w:szCs w:val="20"/>
                <w:lang w:val="en-GB"/>
              </w:rPr>
              <w:t>1.2</w:t>
            </w:r>
          </w:p>
        </w:tc>
        <w:tc>
          <w:tcPr>
            <w:tcW w:w="937" w:type="pct"/>
            <w:shd w:val="clear" w:color="000000" w:fill="FFFFFF"/>
            <w:vAlign w:val="center"/>
          </w:tcPr>
          <w:p w14:paraId="494183A8">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建设期利息</w:t>
            </w:r>
          </w:p>
        </w:tc>
        <w:tc>
          <w:tcPr>
            <w:tcW w:w="841" w:type="pct"/>
            <w:shd w:val="clear" w:color="000000" w:fill="FFFFFF"/>
            <w:vAlign w:val="center"/>
          </w:tcPr>
          <w:p w14:paraId="7164A9E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987" w:type="pct"/>
            <w:shd w:val="clear" w:color="000000" w:fill="FFFFFF"/>
            <w:vAlign w:val="center"/>
          </w:tcPr>
          <w:p w14:paraId="3DD810DD">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4.40</w:t>
            </w:r>
          </w:p>
        </w:tc>
        <w:tc>
          <w:tcPr>
            <w:tcW w:w="823" w:type="pct"/>
            <w:shd w:val="clear" w:color="000000" w:fill="FFFFFF"/>
            <w:vAlign w:val="center"/>
          </w:tcPr>
          <w:p w14:paraId="250BBC70">
            <w:pPr>
              <w:widowControl/>
              <w:jc w:val="right"/>
              <w:rPr>
                <w:rFonts w:hint="eastAsia" w:ascii="宋体" w:hAnsi="宋体" w:eastAsia="宋体"/>
                <w:b/>
                <w:bCs/>
                <w:kern w:val="0"/>
                <w:sz w:val="20"/>
                <w:szCs w:val="20"/>
                <w:lang w:val="en-GB"/>
              </w:rPr>
            </w:pPr>
            <w:r>
              <w:rPr>
                <w:rFonts w:hint="eastAsia" w:ascii="宋体" w:hAnsi="宋体" w:eastAsia="宋体"/>
                <w:color w:val="000000"/>
                <w:kern w:val="0"/>
                <w:sz w:val="20"/>
                <w:szCs w:val="20"/>
                <w:lang w:val="en-GB"/>
              </w:rPr>
              <w:t>8.80</w:t>
            </w:r>
          </w:p>
        </w:tc>
        <w:tc>
          <w:tcPr>
            <w:tcW w:w="942" w:type="pct"/>
            <w:shd w:val="clear" w:color="000000" w:fill="FFFFFF"/>
            <w:vAlign w:val="center"/>
          </w:tcPr>
          <w:p w14:paraId="4E48D979">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13.20</w:t>
            </w:r>
          </w:p>
        </w:tc>
      </w:tr>
      <w:tr w14:paraId="3B21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70" w:type="pct"/>
            <w:shd w:val="clear" w:color="000000" w:fill="FFFFFF"/>
            <w:vAlign w:val="center"/>
          </w:tcPr>
          <w:p w14:paraId="33A04498">
            <w:pPr>
              <w:widowControl/>
              <w:jc w:val="center"/>
              <w:rPr>
                <w:rFonts w:hint="eastAsia" w:ascii="宋体" w:hAnsi="宋体" w:eastAsia="宋体" w:cs="Arial Unicode MS"/>
                <w:b/>
                <w:bCs/>
                <w:color w:val="000000"/>
                <w:kern w:val="0"/>
                <w:sz w:val="20"/>
                <w:szCs w:val="20"/>
                <w:lang w:val="en-GB"/>
              </w:rPr>
            </w:pPr>
            <w:r>
              <w:rPr>
                <w:rFonts w:hint="eastAsia" w:ascii="宋体" w:hAnsi="宋体" w:eastAsia="宋体" w:cs="Arial Unicode MS"/>
                <w:b/>
                <w:bCs/>
                <w:color w:val="000000"/>
                <w:kern w:val="0"/>
                <w:sz w:val="20"/>
                <w:szCs w:val="20"/>
                <w:lang w:val="en-GB"/>
              </w:rPr>
              <w:t>1</w:t>
            </w:r>
            <w:r>
              <w:rPr>
                <w:rFonts w:ascii="宋体" w:hAnsi="宋体" w:eastAsia="宋体" w:cs="Arial Unicode MS"/>
                <w:b/>
                <w:bCs/>
                <w:color w:val="000000"/>
                <w:kern w:val="0"/>
                <w:sz w:val="20"/>
                <w:szCs w:val="20"/>
                <w:lang w:val="en-GB"/>
              </w:rPr>
              <w:t>.</w:t>
            </w:r>
            <w:r>
              <w:rPr>
                <w:rFonts w:hint="eastAsia" w:ascii="宋体" w:hAnsi="宋体" w:eastAsia="宋体" w:cs="Arial Unicode MS"/>
                <w:b/>
                <w:bCs/>
                <w:color w:val="000000"/>
                <w:kern w:val="0"/>
                <w:sz w:val="20"/>
                <w:szCs w:val="20"/>
                <w:lang w:val="en-GB"/>
              </w:rPr>
              <w:t>3</w:t>
            </w:r>
          </w:p>
        </w:tc>
        <w:tc>
          <w:tcPr>
            <w:tcW w:w="937" w:type="pct"/>
            <w:shd w:val="clear" w:color="000000" w:fill="FFFFFF"/>
            <w:vAlign w:val="center"/>
          </w:tcPr>
          <w:p w14:paraId="26745343">
            <w:pPr>
              <w:widowControl/>
              <w:jc w:val="left"/>
              <w:rPr>
                <w:rFonts w:hint="eastAsia" w:ascii="宋体" w:hAnsi="宋体" w:eastAsia="宋体" w:cs="Arial Unicode MS"/>
                <w:b/>
                <w:bCs/>
                <w:color w:val="000000"/>
                <w:kern w:val="0"/>
                <w:sz w:val="20"/>
                <w:szCs w:val="20"/>
                <w:lang w:val="en-GB"/>
              </w:rPr>
            </w:pPr>
            <w:r>
              <w:rPr>
                <w:rFonts w:hint="eastAsia" w:ascii="宋体" w:hAnsi="宋体" w:eastAsia="宋体" w:cs="Arial Unicode MS"/>
                <w:b/>
                <w:bCs/>
                <w:color w:val="000000"/>
                <w:kern w:val="0"/>
                <w:sz w:val="20"/>
                <w:szCs w:val="20"/>
                <w:lang w:val="en-GB"/>
              </w:rPr>
              <w:t>合计</w:t>
            </w:r>
          </w:p>
        </w:tc>
        <w:tc>
          <w:tcPr>
            <w:tcW w:w="841" w:type="pct"/>
            <w:shd w:val="clear" w:color="000000" w:fill="FFFFFF"/>
            <w:vAlign w:val="center"/>
          </w:tcPr>
          <w:p w14:paraId="57AAF539">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2,000.00</w:t>
            </w:r>
          </w:p>
        </w:tc>
        <w:tc>
          <w:tcPr>
            <w:tcW w:w="987" w:type="pct"/>
            <w:shd w:val="clear" w:color="000000" w:fill="FFFFFF"/>
            <w:vAlign w:val="center"/>
          </w:tcPr>
          <w:p w14:paraId="548E7B4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75,004.40</w:t>
            </w:r>
          </w:p>
        </w:tc>
        <w:tc>
          <w:tcPr>
            <w:tcW w:w="823" w:type="pct"/>
            <w:shd w:val="clear" w:color="000000" w:fill="FFFFFF"/>
            <w:vAlign w:val="center"/>
          </w:tcPr>
          <w:p w14:paraId="791C1806">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22,179.45</w:t>
            </w:r>
          </w:p>
        </w:tc>
        <w:tc>
          <w:tcPr>
            <w:tcW w:w="942" w:type="pct"/>
            <w:shd w:val="clear" w:color="000000" w:fill="FFFFFF"/>
            <w:vAlign w:val="center"/>
          </w:tcPr>
          <w:p w14:paraId="45D29817">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99,183.85</w:t>
            </w:r>
          </w:p>
        </w:tc>
      </w:tr>
    </w:tbl>
    <w:p w14:paraId="21B7E4CF">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18" w:name="_Toc114818533"/>
      <w:bookmarkStart w:id="19" w:name="_Toc200555356"/>
      <w:bookmarkStart w:id="20" w:name="_Toc114818423"/>
      <w:r>
        <w:rPr>
          <w:rFonts w:ascii="宋体" w:hAnsi="宋体" w:eastAsia="宋体"/>
          <w:b/>
          <w:bCs/>
          <w:color w:val="000000"/>
          <w:kern w:val="0"/>
          <w:sz w:val="24"/>
          <w:szCs w:val="24"/>
        </w:rPr>
        <w:t>2.资金筹措</w:t>
      </w:r>
      <w:bookmarkEnd w:id="18"/>
      <w:bookmarkEnd w:id="19"/>
      <w:bookmarkEnd w:id="20"/>
    </w:p>
    <w:p w14:paraId="61B3F188">
      <w:pPr>
        <w:widowControl/>
        <w:spacing w:before="120" w:after="120" w:line="360" w:lineRule="auto"/>
        <w:ind w:firstLine="480" w:firstLineChars="200"/>
        <w:rPr>
          <w:rFonts w:hint="eastAsia" w:ascii="宋体" w:hAnsi="宋体" w:eastAsia="宋体"/>
          <w:color w:val="000000"/>
          <w:kern w:val="0"/>
          <w:sz w:val="24"/>
          <w:szCs w:val="24"/>
        </w:rPr>
      </w:pPr>
      <w:r>
        <w:rPr>
          <w:rFonts w:hint="eastAsia" w:ascii="宋体" w:hAnsi="宋体" w:eastAsia="宋体"/>
          <w:color w:val="000000"/>
          <w:kern w:val="0"/>
          <w:sz w:val="24"/>
          <w:szCs w:val="24"/>
        </w:rPr>
        <w:t>本项目累计资金筹措总额</w:t>
      </w:r>
      <w:r>
        <w:rPr>
          <w:rFonts w:ascii="宋体" w:hAnsi="宋体" w:eastAsia="宋体"/>
          <w:color w:val="000000"/>
          <w:kern w:val="0"/>
          <w:sz w:val="24"/>
          <w:szCs w:val="24"/>
        </w:rPr>
        <w:t>99,183.85</w:t>
      </w:r>
      <w:r>
        <w:rPr>
          <w:rFonts w:hint="eastAsia" w:ascii="宋体" w:hAnsi="宋体" w:eastAsia="宋体"/>
          <w:color w:val="000000"/>
          <w:kern w:val="0"/>
          <w:sz w:val="24"/>
          <w:szCs w:val="24"/>
        </w:rPr>
        <w:t>万元，其中，自筹资金</w:t>
      </w:r>
      <w:r>
        <w:rPr>
          <w:rFonts w:ascii="宋体" w:hAnsi="宋体" w:eastAsia="宋体"/>
          <w:color w:val="000000"/>
          <w:kern w:val="0"/>
          <w:sz w:val="24"/>
          <w:szCs w:val="24"/>
        </w:rPr>
        <w:t>98,683.85</w:t>
      </w:r>
      <w:r>
        <w:rPr>
          <w:rFonts w:hint="eastAsia" w:ascii="宋体" w:hAnsi="宋体" w:eastAsia="宋体"/>
          <w:color w:val="000000"/>
          <w:kern w:val="0"/>
          <w:sz w:val="24"/>
          <w:szCs w:val="24"/>
        </w:rPr>
        <w:t>万元，本期计划调增专项债券</w:t>
      </w:r>
      <w:r>
        <w:rPr>
          <w:rFonts w:ascii="宋体" w:hAnsi="宋体" w:eastAsia="宋体"/>
          <w:color w:val="000000"/>
          <w:kern w:val="0"/>
          <w:sz w:val="24"/>
          <w:szCs w:val="24"/>
        </w:rPr>
        <w:t>500.00</w:t>
      </w:r>
      <w:r>
        <w:rPr>
          <w:rFonts w:hint="eastAsia" w:ascii="宋体" w:hAnsi="宋体" w:eastAsia="宋体"/>
          <w:color w:val="000000"/>
          <w:kern w:val="0"/>
          <w:sz w:val="24"/>
          <w:szCs w:val="24"/>
        </w:rPr>
        <w:t>万元。本项目的自筹资金，由财政资金统筹安排。</w:t>
      </w:r>
    </w:p>
    <w:p w14:paraId="4F45CCF7">
      <w:pPr>
        <w:widowControl/>
        <w:spacing w:before="120" w:after="120" w:line="360" w:lineRule="auto"/>
        <w:ind w:firstLine="480" w:firstLineChars="200"/>
        <w:rPr>
          <w:rFonts w:hint="eastAsia" w:ascii="宋体" w:hAnsi="宋体" w:eastAsia="宋体"/>
          <w:color w:val="000000"/>
          <w:kern w:val="0"/>
          <w:sz w:val="24"/>
          <w:szCs w:val="24"/>
        </w:rPr>
      </w:pPr>
      <w:r>
        <w:rPr>
          <w:rFonts w:hint="eastAsia" w:ascii="宋体" w:hAnsi="宋体" w:eastAsia="宋体"/>
          <w:color w:val="000000"/>
          <w:kern w:val="0"/>
          <w:sz w:val="24"/>
          <w:szCs w:val="24"/>
        </w:rPr>
        <w:t>项目建设期各年度投资计划及资金筹措方案详见表</w:t>
      </w:r>
      <w:r>
        <w:rPr>
          <w:rFonts w:ascii="宋体" w:hAnsi="宋体" w:eastAsia="宋体"/>
          <w:color w:val="000000"/>
          <w:kern w:val="0"/>
          <w:sz w:val="24"/>
          <w:szCs w:val="24"/>
        </w:rPr>
        <w:t>4。</w:t>
      </w:r>
    </w:p>
    <w:p w14:paraId="43D50269">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表4</w:t>
      </w:r>
      <w:r>
        <w:rPr>
          <w:rFonts w:ascii="宋体" w:hAnsi="宋体" w:eastAsia="宋体"/>
          <w:b/>
          <w:kern w:val="0"/>
          <w:sz w:val="24"/>
          <w:szCs w:val="24"/>
          <w:lang w:val="en-GB"/>
        </w:rPr>
        <w:t xml:space="preserve"> </w:t>
      </w:r>
      <w:r>
        <w:rPr>
          <w:rFonts w:hint="eastAsia" w:ascii="宋体" w:hAnsi="宋体" w:eastAsia="宋体"/>
          <w:b/>
          <w:kern w:val="0"/>
          <w:sz w:val="24"/>
          <w:szCs w:val="24"/>
          <w:lang w:val="en-GB"/>
        </w:rPr>
        <w:t>海口市江东新区园区配套基础设施配套项目（五期）</w:t>
      </w:r>
      <w:r>
        <w:rPr>
          <w:rFonts w:ascii="宋体" w:hAnsi="宋体" w:eastAsia="宋体"/>
          <w:b/>
          <w:kern w:val="0"/>
          <w:sz w:val="24"/>
          <w:szCs w:val="24"/>
          <w:lang w:val="en-GB"/>
        </w:rPr>
        <w:t>投资计划及资金筹措表</w:t>
      </w:r>
    </w:p>
    <w:p w14:paraId="5DCA5873">
      <w:pPr>
        <w:widowControl/>
        <w:ind w:firstLine="360" w:firstLineChars="200"/>
        <w:jc w:val="right"/>
        <w:rPr>
          <w:rFonts w:hint="eastAsia" w:ascii="宋体" w:hAnsi="宋体" w:eastAsia="宋体"/>
          <w:kern w:val="0"/>
          <w:sz w:val="18"/>
          <w:szCs w:val="18"/>
          <w:lang w:val="en-GB"/>
        </w:rPr>
      </w:pPr>
      <w:r>
        <w:rPr>
          <w:rFonts w:ascii="宋体" w:hAnsi="宋体" w:eastAsia="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34"/>
        <w:gridCol w:w="1745"/>
        <w:gridCol w:w="1419"/>
        <w:gridCol w:w="1583"/>
        <w:gridCol w:w="1419"/>
        <w:gridCol w:w="1456"/>
      </w:tblGrid>
      <w:tr w14:paraId="7622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440" w:type="pct"/>
            <w:shd w:val="clear" w:color="auto" w:fill="D9D9D9"/>
            <w:vAlign w:val="center"/>
          </w:tcPr>
          <w:p w14:paraId="36B0199B">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序号</w:t>
            </w:r>
          </w:p>
        </w:tc>
        <w:tc>
          <w:tcPr>
            <w:tcW w:w="1044" w:type="pct"/>
            <w:shd w:val="clear" w:color="auto" w:fill="D9D9D9"/>
            <w:vAlign w:val="center"/>
          </w:tcPr>
          <w:p w14:paraId="1CD32361">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项目名称</w:t>
            </w:r>
          </w:p>
        </w:tc>
        <w:tc>
          <w:tcPr>
            <w:tcW w:w="849" w:type="pct"/>
            <w:shd w:val="clear" w:color="auto" w:fill="D9D9D9"/>
            <w:vAlign w:val="center"/>
          </w:tcPr>
          <w:p w14:paraId="6B01126F">
            <w:pPr>
              <w:widowControl/>
              <w:jc w:val="center"/>
              <w:rPr>
                <w:rFonts w:hint="eastAsia" w:ascii="宋体" w:hAnsi="宋体" w:eastAsia="宋体" w:cs="宋体"/>
                <w:b/>
                <w:bCs/>
                <w:color w:val="000000"/>
                <w:kern w:val="0"/>
                <w:sz w:val="20"/>
                <w:szCs w:val="20"/>
                <w:lang w:val="en-GB"/>
              </w:rPr>
            </w:pPr>
            <w:r>
              <w:rPr>
                <w:rFonts w:ascii="宋体" w:hAnsi="宋体" w:eastAsia="宋体" w:cs="宋体"/>
                <w:b/>
                <w:bCs/>
                <w:color w:val="000000"/>
                <w:kern w:val="0"/>
                <w:sz w:val="20"/>
                <w:szCs w:val="20"/>
                <w:lang w:val="en-GB"/>
              </w:rPr>
              <w:t>2024</w:t>
            </w:r>
          </w:p>
        </w:tc>
        <w:tc>
          <w:tcPr>
            <w:tcW w:w="947" w:type="pct"/>
            <w:shd w:val="clear" w:color="auto" w:fill="D9D9D9"/>
            <w:vAlign w:val="center"/>
          </w:tcPr>
          <w:p w14:paraId="232D1021">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2025</w:t>
            </w:r>
          </w:p>
        </w:tc>
        <w:tc>
          <w:tcPr>
            <w:tcW w:w="849" w:type="pct"/>
            <w:shd w:val="clear" w:color="auto" w:fill="D9D9D9"/>
            <w:vAlign w:val="center"/>
          </w:tcPr>
          <w:p w14:paraId="12D099BB">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2026</w:t>
            </w:r>
          </w:p>
        </w:tc>
        <w:tc>
          <w:tcPr>
            <w:tcW w:w="871" w:type="pct"/>
            <w:shd w:val="clear" w:color="auto" w:fill="D9D9D9"/>
            <w:vAlign w:val="center"/>
          </w:tcPr>
          <w:p w14:paraId="67A6694E">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合计</w:t>
            </w:r>
          </w:p>
        </w:tc>
      </w:tr>
      <w:tr w14:paraId="1A30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40" w:type="pct"/>
            <w:shd w:val="clear" w:color="000000" w:fill="FFFFFF"/>
            <w:vAlign w:val="center"/>
          </w:tcPr>
          <w:p w14:paraId="31612111">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eastAsia="zh-TW"/>
              </w:rPr>
              <w:t>1</w:t>
            </w:r>
          </w:p>
        </w:tc>
        <w:tc>
          <w:tcPr>
            <w:tcW w:w="1044" w:type="pct"/>
            <w:shd w:val="clear" w:color="000000" w:fill="FFFFFF"/>
            <w:vAlign w:val="center"/>
          </w:tcPr>
          <w:p w14:paraId="763E4471">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自筹资金</w:t>
            </w:r>
          </w:p>
        </w:tc>
        <w:tc>
          <w:tcPr>
            <w:tcW w:w="849" w:type="pct"/>
            <w:shd w:val="clear" w:color="000000" w:fill="FFFFFF"/>
            <w:vAlign w:val="center"/>
          </w:tcPr>
          <w:p w14:paraId="4DD496E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2,000.00</w:t>
            </w:r>
          </w:p>
        </w:tc>
        <w:tc>
          <w:tcPr>
            <w:tcW w:w="947" w:type="pct"/>
            <w:shd w:val="clear" w:color="000000" w:fill="FFFFFF"/>
            <w:vAlign w:val="center"/>
          </w:tcPr>
          <w:p w14:paraId="6FAD7BC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74,504.40</w:t>
            </w:r>
          </w:p>
        </w:tc>
        <w:tc>
          <w:tcPr>
            <w:tcW w:w="849" w:type="pct"/>
            <w:shd w:val="clear" w:color="000000" w:fill="FFFFFF"/>
            <w:vAlign w:val="center"/>
          </w:tcPr>
          <w:p w14:paraId="6D7237B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22,179.45</w:t>
            </w:r>
          </w:p>
        </w:tc>
        <w:tc>
          <w:tcPr>
            <w:tcW w:w="871" w:type="pct"/>
            <w:shd w:val="clear" w:color="000000" w:fill="FFFFFF"/>
            <w:vAlign w:val="center"/>
          </w:tcPr>
          <w:p w14:paraId="51CF565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Cs w:val="21"/>
                <w:lang w:val="en-GB"/>
              </w:rPr>
              <w:t>98,683.85</w:t>
            </w:r>
          </w:p>
        </w:tc>
      </w:tr>
      <w:tr w14:paraId="15B3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40" w:type="pct"/>
            <w:shd w:val="clear" w:color="000000" w:fill="FFFFFF"/>
            <w:vAlign w:val="center"/>
          </w:tcPr>
          <w:p w14:paraId="4A311702">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eastAsia="zh-TW"/>
              </w:rPr>
              <w:t>2</w:t>
            </w:r>
          </w:p>
        </w:tc>
        <w:tc>
          <w:tcPr>
            <w:tcW w:w="1044" w:type="pct"/>
            <w:shd w:val="clear" w:color="000000" w:fill="FFFFFF"/>
            <w:vAlign w:val="center"/>
          </w:tcPr>
          <w:p w14:paraId="584C8037">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本期债券发行</w:t>
            </w:r>
          </w:p>
        </w:tc>
        <w:tc>
          <w:tcPr>
            <w:tcW w:w="849" w:type="pct"/>
            <w:shd w:val="clear" w:color="000000" w:fill="FFFFFF"/>
            <w:vAlign w:val="center"/>
          </w:tcPr>
          <w:p w14:paraId="09DFABA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947" w:type="pct"/>
            <w:shd w:val="clear" w:color="000000" w:fill="FFFFFF"/>
            <w:vAlign w:val="center"/>
          </w:tcPr>
          <w:p w14:paraId="64C9E2B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849" w:type="pct"/>
            <w:shd w:val="clear" w:color="000000" w:fill="FFFFFF"/>
            <w:vAlign w:val="center"/>
          </w:tcPr>
          <w:p w14:paraId="300A67C9">
            <w:pPr>
              <w:widowControl/>
              <w:jc w:val="right"/>
              <w:rPr>
                <w:rFonts w:hint="eastAsia" w:ascii="宋体" w:hAnsi="宋体" w:eastAsia="宋体"/>
                <w:color w:val="000000"/>
                <w:kern w:val="0"/>
                <w:sz w:val="20"/>
                <w:szCs w:val="20"/>
                <w:lang w:val="en-GB"/>
              </w:rPr>
            </w:pPr>
          </w:p>
        </w:tc>
        <w:tc>
          <w:tcPr>
            <w:tcW w:w="871" w:type="pct"/>
            <w:shd w:val="clear" w:color="000000" w:fill="FFFFFF"/>
            <w:vAlign w:val="center"/>
          </w:tcPr>
          <w:p w14:paraId="1A3C4870">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Cs w:val="21"/>
                <w:lang w:val="en-GB"/>
              </w:rPr>
              <w:t>500.00</w:t>
            </w:r>
          </w:p>
        </w:tc>
      </w:tr>
      <w:tr w14:paraId="6C3E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440" w:type="pct"/>
            <w:shd w:val="clear" w:color="000000" w:fill="FFFFFF"/>
            <w:vAlign w:val="center"/>
          </w:tcPr>
          <w:p w14:paraId="2970FCA1">
            <w:pPr>
              <w:widowControl/>
              <w:jc w:val="center"/>
              <w:rPr>
                <w:rFonts w:hint="eastAsia" w:ascii="宋体" w:hAnsi="宋体" w:eastAsia="宋体"/>
                <w:b/>
                <w:color w:val="000000"/>
                <w:kern w:val="0"/>
                <w:sz w:val="20"/>
                <w:szCs w:val="20"/>
                <w:lang w:val="en-GB"/>
              </w:rPr>
            </w:pPr>
            <w:r>
              <w:rPr>
                <w:rFonts w:ascii="宋体" w:hAnsi="宋体" w:eastAsia="宋体"/>
                <w:b/>
                <w:color w:val="000000"/>
                <w:kern w:val="0"/>
                <w:sz w:val="20"/>
                <w:szCs w:val="20"/>
                <w:lang w:val="en-GB" w:eastAsia="zh-TW"/>
              </w:rPr>
              <w:t>3</w:t>
            </w:r>
          </w:p>
        </w:tc>
        <w:tc>
          <w:tcPr>
            <w:tcW w:w="1044" w:type="pct"/>
            <w:shd w:val="clear" w:color="000000" w:fill="FFFFFF"/>
            <w:vAlign w:val="center"/>
          </w:tcPr>
          <w:p w14:paraId="6E9864AF">
            <w:pPr>
              <w:widowControl/>
              <w:jc w:val="left"/>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合计</w:t>
            </w:r>
          </w:p>
        </w:tc>
        <w:tc>
          <w:tcPr>
            <w:tcW w:w="849" w:type="pct"/>
            <w:shd w:val="clear" w:color="000000" w:fill="FFFFFF"/>
            <w:vAlign w:val="center"/>
          </w:tcPr>
          <w:p w14:paraId="675B7041">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2,000.00</w:t>
            </w:r>
          </w:p>
        </w:tc>
        <w:tc>
          <w:tcPr>
            <w:tcW w:w="947" w:type="pct"/>
            <w:shd w:val="clear" w:color="000000" w:fill="FFFFFF"/>
            <w:vAlign w:val="center"/>
          </w:tcPr>
          <w:p w14:paraId="39EE4FFF">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75,004.40</w:t>
            </w:r>
          </w:p>
        </w:tc>
        <w:tc>
          <w:tcPr>
            <w:tcW w:w="849" w:type="pct"/>
            <w:shd w:val="clear" w:color="000000" w:fill="FFFFFF"/>
            <w:vAlign w:val="center"/>
          </w:tcPr>
          <w:p w14:paraId="067FB01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22,179.45</w:t>
            </w:r>
          </w:p>
        </w:tc>
        <w:tc>
          <w:tcPr>
            <w:tcW w:w="871" w:type="pct"/>
            <w:shd w:val="clear" w:color="000000" w:fill="FFFFFF"/>
            <w:vAlign w:val="center"/>
          </w:tcPr>
          <w:p w14:paraId="6B92727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Cs w:val="21"/>
                <w:lang w:val="en-GB"/>
              </w:rPr>
              <w:t>99,183.85</w:t>
            </w:r>
          </w:p>
        </w:tc>
      </w:tr>
    </w:tbl>
    <w:p w14:paraId="0EF5831F">
      <w:pPr>
        <w:widowControl/>
        <w:spacing w:before="120" w:after="120" w:line="360" w:lineRule="auto"/>
        <w:ind w:firstLine="480" w:firstLineChars="200"/>
        <w:rPr>
          <w:rFonts w:hint="eastAsia" w:ascii="宋体" w:hAnsi="宋体" w:eastAsia="宋体"/>
          <w:color w:val="000000"/>
          <w:kern w:val="0"/>
          <w:sz w:val="24"/>
          <w:szCs w:val="24"/>
        </w:rPr>
      </w:pPr>
      <w:r>
        <w:rPr>
          <w:rFonts w:ascii="宋体" w:hAnsi="宋体" w:eastAsia="宋体"/>
          <w:color w:val="000000"/>
          <w:kern w:val="0"/>
          <w:sz w:val="24"/>
          <w:szCs w:val="24"/>
        </w:rPr>
        <w:t>基于以上投资计划、资金筹措安排，我们未发现本项目建设期内所需建设资金存在缺口的情况。</w:t>
      </w:r>
    </w:p>
    <w:p w14:paraId="7BB3E23F">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21" w:name="_Toc114818534"/>
      <w:bookmarkStart w:id="22" w:name="_Toc200555357"/>
      <w:bookmarkStart w:id="23" w:name="_Toc114818424"/>
      <w:r>
        <w:rPr>
          <w:rFonts w:ascii="宋体" w:hAnsi="宋体" w:eastAsia="宋体"/>
          <w:b/>
          <w:bCs/>
          <w:color w:val="000000"/>
          <w:kern w:val="0"/>
          <w:sz w:val="24"/>
          <w:szCs w:val="24"/>
        </w:rPr>
        <w:t>3.资金覆盖</w:t>
      </w:r>
      <w:r>
        <w:rPr>
          <w:rFonts w:hint="eastAsia" w:ascii="宋体" w:hAnsi="宋体" w:eastAsia="宋体"/>
          <w:b/>
          <w:bCs/>
          <w:color w:val="000000"/>
          <w:kern w:val="0"/>
          <w:sz w:val="24"/>
          <w:szCs w:val="24"/>
        </w:rPr>
        <w:t>情况</w:t>
      </w:r>
      <w:bookmarkEnd w:id="21"/>
      <w:bookmarkEnd w:id="22"/>
      <w:bookmarkEnd w:id="23"/>
    </w:p>
    <w:p w14:paraId="4687CE6D">
      <w:pPr>
        <w:widowControl/>
        <w:spacing w:line="360" w:lineRule="auto"/>
        <w:ind w:firstLine="480" w:firstLineChars="200"/>
        <w:jc w:val="left"/>
        <w:rPr>
          <w:rFonts w:hint="eastAsia" w:ascii="宋体" w:hAnsi="宋体" w:eastAsia="宋体"/>
          <w:color w:val="000000"/>
          <w:kern w:val="0"/>
          <w:sz w:val="24"/>
          <w:szCs w:val="24"/>
          <w:lang w:val="en-GB"/>
        </w:rPr>
      </w:pPr>
      <w:r>
        <w:rPr>
          <w:rFonts w:hint="eastAsia" w:ascii="宋体" w:hAnsi="宋体" w:eastAsia="宋体"/>
          <w:kern w:val="0"/>
          <w:sz w:val="24"/>
          <w:szCs w:val="24"/>
          <w:lang w:val="en-GB"/>
        </w:rPr>
        <w:t>本期计划调增专项债券5</w:t>
      </w:r>
      <w:r>
        <w:rPr>
          <w:rFonts w:ascii="宋体" w:hAnsi="宋体" w:eastAsia="宋体"/>
          <w:kern w:val="0"/>
          <w:sz w:val="24"/>
          <w:szCs w:val="24"/>
          <w:lang w:val="en-GB"/>
        </w:rPr>
        <w:t>00.00万元。本息覆盖</w:t>
      </w:r>
      <w:r>
        <w:rPr>
          <w:rFonts w:hint="eastAsia" w:ascii="宋体" w:hAnsi="宋体" w:eastAsia="宋体"/>
          <w:kern w:val="0"/>
          <w:sz w:val="24"/>
          <w:szCs w:val="24"/>
          <w:lang w:val="en-GB"/>
        </w:rPr>
        <w:t>倍数</w:t>
      </w:r>
      <w:r>
        <w:rPr>
          <w:rFonts w:ascii="宋体" w:hAnsi="宋体" w:eastAsia="宋体"/>
          <w:kern w:val="0"/>
          <w:sz w:val="24"/>
          <w:szCs w:val="24"/>
          <w:lang w:val="en-GB"/>
        </w:rPr>
        <w:t>可达到1.2</w:t>
      </w:r>
      <w:r>
        <w:rPr>
          <w:rFonts w:hint="eastAsia" w:ascii="宋体" w:hAnsi="宋体" w:eastAsia="宋体"/>
          <w:kern w:val="0"/>
          <w:sz w:val="24"/>
          <w:szCs w:val="24"/>
          <w:lang w:val="en-GB"/>
        </w:rPr>
        <w:t>9</w:t>
      </w:r>
      <w:r>
        <w:rPr>
          <w:rFonts w:ascii="宋体" w:hAnsi="宋体" w:eastAsia="宋体"/>
          <w:kern w:val="0"/>
          <w:sz w:val="24"/>
          <w:szCs w:val="24"/>
          <w:lang w:val="en-GB"/>
        </w:rPr>
        <w:t>，根据项目收益与融资平衡分析结果显示，本债券存续期内还本付息资金充足。</w:t>
      </w:r>
      <w:r>
        <w:rPr>
          <w:rFonts w:hint="eastAsia" w:ascii="宋体" w:hAnsi="宋体" w:eastAsia="宋体"/>
          <w:color w:val="000000"/>
          <w:kern w:val="0"/>
          <w:sz w:val="24"/>
          <w:szCs w:val="24"/>
          <w:lang w:val="en-GB"/>
        </w:rPr>
        <w:t>详见下表5、表6：</w:t>
      </w:r>
    </w:p>
    <w:p w14:paraId="63070F40">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表5海口市江东新区园区配套基础设施配套项目（五期）本息覆盖倍数表</w:t>
      </w:r>
    </w:p>
    <w:p w14:paraId="20E0FA6B">
      <w:pPr>
        <w:widowControl/>
        <w:ind w:right="-907" w:rightChars="-432" w:firstLine="360" w:firstLineChars="200"/>
        <w:jc w:val="right"/>
        <w:rPr>
          <w:rFonts w:hint="eastAsia" w:ascii="宋体" w:hAnsi="宋体" w:eastAsia="宋体"/>
          <w:b/>
          <w:kern w:val="0"/>
          <w:sz w:val="24"/>
          <w:szCs w:val="24"/>
          <w:lang w:val="en-GB"/>
        </w:rPr>
      </w:pPr>
      <w:r>
        <w:rPr>
          <w:rFonts w:hint="eastAsia" w:ascii="宋体" w:hAnsi="宋体" w:eastAsia="宋体"/>
          <w:kern w:val="0"/>
          <w:sz w:val="18"/>
          <w:szCs w:val="18"/>
          <w:lang w:val="en-GB"/>
        </w:rPr>
        <w:t>单位：人民币万元</w:t>
      </w:r>
    </w:p>
    <w:tbl>
      <w:tblPr>
        <w:tblStyle w:val="19"/>
        <w:tblW w:w="6293" w:type="pct"/>
        <w:jc w:val="center"/>
        <w:tblLayout w:type="fixed"/>
        <w:tblCellMar>
          <w:top w:w="0" w:type="dxa"/>
          <w:left w:w="28" w:type="dxa"/>
          <w:bottom w:w="0" w:type="dxa"/>
          <w:right w:w="28" w:type="dxa"/>
        </w:tblCellMar>
      </w:tblPr>
      <w:tblGrid>
        <w:gridCol w:w="2016"/>
        <w:gridCol w:w="1216"/>
        <w:gridCol w:w="1216"/>
        <w:gridCol w:w="1216"/>
        <w:gridCol w:w="1216"/>
        <w:gridCol w:w="1214"/>
        <w:gridCol w:w="1214"/>
        <w:gridCol w:w="1209"/>
      </w:tblGrid>
      <w:tr w14:paraId="798921BB">
        <w:tblPrEx>
          <w:tblCellMar>
            <w:top w:w="0" w:type="dxa"/>
            <w:left w:w="28" w:type="dxa"/>
            <w:bottom w:w="0" w:type="dxa"/>
            <w:right w:w="28" w:type="dxa"/>
          </w:tblCellMar>
        </w:tblPrEx>
        <w:trPr>
          <w:trHeight w:val="276" w:hRule="atLeast"/>
          <w:tblHeader/>
          <w:jc w:val="center"/>
        </w:trPr>
        <w:tc>
          <w:tcPr>
            <w:tcW w:w="959" w:type="pct"/>
            <w:tcBorders>
              <w:top w:val="single" w:color="auto" w:sz="4" w:space="0"/>
              <w:left w:val="single" w:color="auto" w:sz="4" w:space="0"/>
              <w:bottom w:val="single" w:color="auto" w:sz="4" w:space="0"/>
              <w:right w:val="single" w:color="auto" w:sz="4" w:space="0"/>
            </w:tcBorders>
            <w:shd w:val="clear" w:color="auto" w:fill="D9D9D9"/>
            <w:noWrap/>
            <w:vAlign w:val="center"/>
          </w:tcPr>
          <w:p w14:paraId="71F3B17C">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项目</w:t>
            </w:r>
          </w:p>
        </w:tc>
        <w:tc>
          <w:tcPr>
            <w:tcW w:w="578" w:type="pct"/>
            <w:tcBorders>
              <w:top w:val="single" w:color="auto" w:sz="4" w:space="0"/>
              <w:left w:val="nil"/>
              <w:bottom w:val="single" w:color="auto" w:sz="4" w:space="0"/>
              <w:right w:val="single" w:color="auto" w:sz="4" w:space="0"/>
            </w:tcBorders>
            <w:shd w:val="clear" w:color="auto" w:fill="D9D9D9"/>
            <w:noWrap/>
            <w:vAlign w:val="center"/>
          </w:tcPr>
          <w:p w14:paraId="2CECE15A">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调整后项目总投资</w:t>
            </w:r>
          </w:p>
        </w:tc>
        <w:tc>
          <w:tcPr>
            <w:tcW w:w="578" w:type="pct"/>
            <w:tcBorders>
              <w:top w:val="single" w:color="auto" w:sz="4" w:space="0"/>
              <w:left w:val="nil"/>
              <w:bottom w:val="single" w:color="auto" w:sz="4" w:space="0"/>
              <w:right w:val="single" w:color="auto" w:sz="4" w:space="0"/>
            </w:tcBorders>
            <w:shd w:val="clear" w:color="auto" w:fill="D9D9D9"/>
            <w:noWrap/>
            <w:vAlign w:val="center"/>
          </w:tcPr>
          <w:p w14:paraId="168E048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用于资金平衡的项目收益</w:t>
            </w:r>
          </w:p>
        </w:tc>
        <w:tc>
          <w:tcPr>
            <w:tcW w:w="578" w:type="pct"/>
            <w:tcBorders>
              <w:top w:val="single" w:color="auto" w:sz="4" w:space="0"/>
              <w:left w:val="nil"/>
              <w:bottom w:val="single" w:color="auto" w:sz="4" w:space="0"/>
              <w:right w:val="single" w:color="auto" w:sz="4" w:space="0"/>
            </w:tcBorders>
            <w:shd w:val="clear" w:color="auto" w:fill="D9D9D9"/>
            <w:noWrap/>
            <w:vAlign w:val="center"/>
          </w:tcPr>
          <w:p w14:paraId="61515A4E">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期末项目累计现金结存额</w:t>
            </w:r>
          </w:p>
        </w:tc>
        <w:tc>
          <w:tcPr>
            <w:tcW w:w="578" w:type="pct"/>
            <w:tcBorders>
              <w:top w:val="single" w:color="auto" w:sz="4" w:space="0"/>
              <w:left w:val="nil"/>
              <w:bottom w:val="single" w:color="auto" w:sz="4" w:space="0"/>
              <w:right w:val="single" w:color="auto" w:sz="4" w:space="0"/>
            </w:tcBorders>
            <w:shd w:val="clear" w:color="auto" w:fill="D9D9D9"/>
            <w:noWrap/>
            <w:vAlign w:val="center"/>
          </w:tcPr>
          <w:p w14:paraId="09024E50">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本期调增额度</w:t>
            </w:r>
          </w:p>
        </w:tc>
        <w:tc>
          <w:tcPr>
            <w:tcW w:w="577" w:type="pct"/>
            <w:tcBorders>
              <w:top w:val="single" w:color="auto" w:sz="4" w:space="0"/>
              <w:left w:val="nil"/>
              <w:bottom w:val="single" w:color="auto" w:sz="4" w:space="0"/>
              <w:right w:val="single" w:color="auto" w:sz="4" w:space="0"/>
            </w:tcBorders>
            <w:shd w:val="clear" w:color="auto" w:fill="D9D9D9"/>
            <w:noWrap/>
            <w:vAlign w:val="center"/>
          </w:tcPr>
          <w:p w14:paraId="3882FCB9">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债券本息合计</w:t>
            </w:r>
          </w:p>
        </w:tc>
        <w:tc>
          <w:tcPr>
            <w:tcW w:w="577" w:type="pct"/>
            <w:tcBorders>
              <w:top w:val="single" w:color="auto" w:sz="4" w:space="0"/>
              <w:left w:val="nil"/>
              <w:bottom w:val="single" w:color="auto" w:sz="4" w:space="0"/>
              <w:right w:val="single" w:color="auto" w:sz="4" w:space="0"/>
            </w:tcBorders>
            <w:shd w:val="clear" w:color="auto" w:fill="D9D9D9"/>
            <w:noWrap/>
            <w:vAlign w:val="center"/>
          </w:tcPr>
          <w:p w14:paraId="14261EC0">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本息覆盖率</w:t>
            </w:r>
          </w:p>
        </w:tc>
        <w:tc>
          <w:tcPr>
            <w:tcW w:w="575" w:type="pct"/>
            <w:tcBorders>
              <w:top w:val="single" w:color="auto" w:sz="4" w:space="0"/>
              <w:left w:val="nil"/>
              <w:bottom w:val="single" w:color="auto" w:sz="4" w:space="0"/>
              <w:right w:val="single" w:color="auto" w:sz="4" w:space="0"/>
            </w:tcBorders>
            <w:shd w:val="clear" w:color="auto" w:fill="D9D9D9"/>
            <w:noWrap/>
            <w:vAlign w:val="center"/>
          </w:tcPr>
          <w:p w14:paraId="1576618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本息覆盖倍数</w:t>
            </w:r>
          </w:p>
        </w:tc>
      </w:tr>
      <w:tr w14:paraId="463C2ED1">
        <w:tblPrEx>
          <w:tblCellMar>
            <w:top w:w="0" w:type="dxa"/>
            <w:left w:w="28" w:type="dxa"/>
            <w:bottom w:w="0" w:type="dxa"/>
            <w:right w:w="28" w:type="dxa"/>
          </w:tblCellMar>
        </w:tblPrEx>
        <w:trPr>
          <w:trHeight w:val="276" w:hRule="atLeast"/>
          <w:jc w:val="center"/>
        </w:trPr>
        <w:tc>
          <w:tcPr>
            <w:tcW w:w="959" w:type="pct"/>
            <w:tcBorders>
              <w:top w:val="nil"/>
              <w:left w:val="single" w:color="auto" w:sz="4" w:space="0"/>
              <w:bottom w:val="single" w:color="auto" w:sz="4" w:space="0"/>
              <w:right w:val="single" w:color="auto" w:sz="4" w:space="0"/>
            </w:tcBorders>
            <w:shd w:val="clear" w:color="auto" w:fill="auto"/>
            <w:noWrap/>
            <w:vAlign w:val="center"/>
          </w:tcPr>
          <w:p w14:paraId="1CDFF607">
            <w:pPr>
              <w:widowControl/>
              <w:jc w:val="center"/>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rPr>
              <w:t>海口市江东新区园区配套基础设施配套项目（五期）</w:t>
            </w:r>
          </w:p>
        </w:tc>
        <w:tc>
          <w:tcPr>
            <w:tcW w:w="578" w:type="pct"/>
            <w:tcBorders>
              <w:top w:val="nil"/>
              <w:left w:val="nil"/>
              <w:bottom w:val="single" w:color="auto" w:sz="4" w:space="0"/>
              <w:right w:val="single" w:color="auto" w:sz="4" w:space="0"/>
            </w:tcBorders>
            <w:shd w:val="clear" w:color="auto" w:fill="auto"/>
            <w:noWrap/>
            <w:vAlign w:val="center"/>
          </w:tcPr>
          <w:p w14:paraId="56EE1E05">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99,183.85</w:t>
            </w:r>
          </w:p>
        </w:tc>
        <w:tc>
          <w:tcPr>
            <w:tcW w:w="578" w:type="pct"/>
            <w:tcBorders>
              <w:top w:val="nil"/>
              <w:left w:val="nil"/>
              <w:bottom w:val="single" w:color="auto" w:sz="4" w:space="0"/>
              <w:right w:val="single" w:color="auto" w:sz="4" w:space="0"/>
            </w:tcBorders>
            <w:shd w:val="clear" w:color="auto" w:fill="auto"/>
            <w:noWrap/>
            <w:vAlign w:val="center"/>
          </w:tcPr>
          <w:p w14:paraId="0802777E">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756.00</w:t>
            </w:r>
          </w:p>
        </w:tc>
        <w:tc>
          <w:tcPr>
            <w:tcW w:w="578" w:type="pct"/>
            <w:tcBorders>
              <w:top w:val="nil"/>
              <w:left w:val="nil"/>
              <w:bottom w:val="single" w:color="auto" w:sz="4" w:space="0"/>
              <w:right w:val="single" w:color="auto" w:sz="4" w:space="0"/>
            </w:tcBorders>
            <w:shd w:val="clear" w:color="auto" w:fill="auto"/>
            <w:noWrap/>
            <w:vAlign w:val="center"/>
          </w:tcPr>
          <w:p w14:paraId="61AECFCC">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181.20</w:t>
            </w:r>
          </w:p>
        </w:tc>
        <w:tc>
          <w:tcPr>
            <w:tcW w:w="578" w:type="pct"/>
            <w:tcBorders>
              <w:top w:val="nil"/>
              <w:left w:val="nil"/>
              <w:bottom w:val="single" w:color="auto" w:sz="4" w:space="0"/>
              <w:right w:val="single" w:color="auto" w:sz="4" w:space="0"/>
            </w:tcBorders>
            <w:shd w:val="clear" w:color="auto" w:fill="auto"/>
            <w:noWrap/>
            <w:vAlign w:val="center"/>
          </w:tcPr>
          <w:p w14:paraId="0A66B9B4">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577" w:type="pct"/>
            <w:tcBorders>
              <w:top w:val="nil"/>
              <w:left w:val="nil"/>
              <w:bottom w:val="single" w:color="auto" w:sz="4" w:space="0"/>
              <w:right w:val="single" w:color="auto" w:sz="4" w:space="0"/>
            </w:tcBorders>
            <w:shd w:val="clear" w:color="auto" w:fill="auto"/>
            <w:noWrap/>
            <w:vAlign w:val="center"/>
          </w:tcPr>
          <w:p w14:paraId="21EED3C8">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588.00</w:t>
            </w:r>
          </w:p>
        </w:tc>
        <w:tc>
          <w:tcPr>
            <w:tcW w:w="577" w:type="pct"/>
            <w:tcBorders>
              <w:top w:val="nil"/>
              <w:left w:val="nil"/>
              <w:bottom w:val="single" w:color="auto" w:sz="4" w:space="0"/>
              <w:right w:val="single" w:color="auto" w:sz="4" w:space="0"/>
            </w:tcBorders>
            <w:shd w:val="clear" w:color="auto" w:fill="auto"/>
            <w:noWrap/>
            <w:vAlign w:val="center"/>
          </w:tcPr>
          <w:p w14:paraId="623F6BA2">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1.31</w:t>
            </w:r>
          </w:p>
        </w:tc>
        <w:tc>
          <w:tcPr>
            <w:tcW w:w="575" w:type="pct"/>
            <w:tcBorders>
              <w:top w:val="nil"/>
              <w:left w:val="nil"/>
              <w:bottom w:val="single" w:color="auto" w:sz="4" w:space="0"/>
              <w:right w:val="single" w:color="auto" w:sz="4" w:space="0"/>
            </w:tcBorders>
            <w:shd w:val="clear" w:color="auto" w:fill="auto"/>
            <w:noWrap/>
            <w:vAlign w:val="center"/>
          </w:tcPr>
          <w:p w14:paraId="361106BC">
            <w:pPr>
              <w:widowControl/>
              <w:jc w:val="center"/>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1.29</w:t>
            </w:r>
          </w:p>
        </w:tc>
      </w:tr>
    </w:tbl>
    <w:p w14:paraId="0DDCDD92">
      <w:pPr>
        <w:widowControl/>
        <w:ind w:firstLine="482" w:firstLineChars="200"/>
        <w:jc w:val="center"/>
        <w:rPr>
          <w:rFonts w:hint="eastAsia" w:ascii="宋体" w:hAnsi="宋体" w:eastAsia="宋体"/>
          <w:b/>
          <w:kern w:val="0"/>
          <w:sz w:val="24"/>
          <w:szCs w:val="24"/>
          <w:lang w:val="en-GB"/>
        </w:rPr>
      </w:pPr>
    </w:p>
    <w:p w14:paraId="6D2CF51D">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w:t>
      </w:r>
      <w:r>
        <w:rPr>
          <w:rFonts w:ascii="宋体" w:hAnsi="宋体" w:eastAsia="宋体"/>
          <w:b/>
          <w:kern w:val="0"/>
          <w:sz w:val="24"/>
          <w:szCs w:val="24"/>
          <w:lang w:val="en-GB"/>
        </w:rPr>
        <w:t xml:space="preserve">6 </w:t>
      </w:r>
      <w:r>
        <w:rPr>
          <w:rFonts w:hint="eastAsia" w:ascii="宋体" w:hAnsi="宋体" w:eastAsia="宋体"/>
          <w:b/>
          <w:kern w:val="0"/>
          <w:sz w:val="24"/>
          <w:szCs w:val="24"/>
          <w:lang w:val="en-GB"/>
        </w:rPr>
        <w:t>海口市江东新区园区配套基础设施配套项目（五期）</w:t>
      </w:r>
      <w:r>
        <w:rPr>
          <w:rFonts w:ascii="宋体" w:hAnsi="宋体" w:eastAsia="宋体"/>
          <w:b/>
          <w:kern w:val="0"/>
          <w:sz w:val="24"/>
          <w:szCs w:val="24"/>
          <w:lang w:val="en-GB"/>
        </w:rPr>
        <w:t>现金流模拟测算表</w:t>
      </w:r>
    </w:p>
    <w:p w14:paraId="70C459E2">
      <w:pPr>
        <w:widowControl/>
        <w:ind w:firstLine="360" w:firstLineChars="200"/>
        <w:jc w:val="right"/>
        <w:rPr>
          <w:rFonts w:hint="eastAsia" w:ascii="宋体" w:hAnsi="宋体" w:eastAsia="宋体"/>
          <w:kern w:val="0"/>
          <w:sz w:val="18"/>
          <w:szCs w:val="18"/>
          <w:lang w:val="en-GB"/>
        </w:rPr>
      </w:pPr>
      <w:r>
        <w:rPr>
          <w:rFonts w:ascii="宋体" w:hAnsi="宋体" w:eastAsia="宋体"/>
          <w:kern w:val="0"/>
          <w:sz w:val="18"/>
          <w:szCs w:val="18"/>
          <w:lang w:val="en-GB"/>
        </w:rPr>
        <w:t>单位：人民币万元</w:t>
      </w:r>
    </w:p>
    <w:tbl>
      <w:tblPr>
        <w:tblStyle w:val="19"/>
        <w:tblW w:w="5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60"/>
        <w:gridCol w:w="1063"/>
        <w:gridCol w:w="1065"/>
        <w:gridCol w:w="1065"/>
        <w:gridCol w:w="1065"/>
        <w:gridCol w:w="1066"/>
        <w:gridCol w:w="1066"/>
        <w:gridCol w:w="1064"/>
      </w:tblGrid>
      <w:tr w14:paraId="42E2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278" w:type="pct"/>
            <w:tcBorders>
              <w:top w:val="single" w:color="auto" w:sz="4" w:space="0"/>
              <w:left w:val="single" w:color="auto" w:sz="4" w:space="0"/>
              <w:bottom w:val="single" w:color="auto" w:sz="4" w:space="0"/>
              <w:right w:val="single" w:color="auto" w:sz="4" w:space="0"/>
            </w:tcBorders>
            <w:shd w:val="clear" w:color="auto" w:fill="D9D9D9"/>
            <w:vAlign w:val="center"/>
          </w:tcPr>
          <w:p w14:paraId="37B9392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531" w:type="pct"/>
            <w:tcBorders>
              <w:top w:val="single" w:color="auto" w:sz="4" w:space="0"/>
              <w:left w:val="single" w:color="auto" w:sz="4" w:space="0"/>
              <w:bottom w:val="single" w:color="auto" w:sz="4" w:space="0"/>
              <w:right w:val="single" w:color="auto" w:sz="4" w:space="0"/>
            </w:tcBorders>
            <w:shd w:val="clear" w:color="auto" w:fill="D9D9D9"/>
            <w:vAlign w:val="center"/>
          </w:tcPr>
          <w:p w14:paraId="57D23EF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2024</w:t>
            </w:r>
          </w:p>
        </w:tc>
        <w:tc>
          <w:tcPr>
            <w:tcW w:w="532" w:type="pct"/>
            <w:tcBorders>
              <w:top w:val="single" w:color="auto" w:sz="4" w:space="0"/>
              <w:left w:val="single" w:color="auto" w:sz="4" w:space="0"/>
              <w:bottom w:val="single" w:color="auto" w:sz="4" w:space="0"/>
              <w:right w:val="single" w:color="auto" w:sz="4" w:space="0"/>
            </w:tcBorders>
            <w:shd w:val="clear" w:color="auto" w:fill="D9D9D9"/>
            <w:vAlign w:val="center"/>
          </w:tcPr>
          <w:p w14:paraId="37C78E7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532" w:type="pct"/>
            <w:tcBorders>
              <w:top w:val="single" w:color="auto" w:sz="4" w:space="0"/>
              <w:left w:val="single" w:color="auto" w:sz="4" w:space="0"/>
              <w:bottom w:val="single" w:color="auto" w:sz="4" w:space="0"/>
              <w:right w:val="single" w:color="auto" w:sz="4" w:space="0"/>
            </w:tcBorders>
            <w:shd w:val="clear" w:color="auto" w:fill="D9D9D9"/>
            <w:vAlign w:val="center"/>
          </w:tcPr>
          <w:p w14:paraId="7DB105D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c>
          <w:tcPr>
            <w:tcW w:w="532" w:type="pct"/>
            <w:tcBorders>
              <w:top w:val="single" w:color="auto" w:sz="4" w:space="0"/>
              <w:left w:val="single" w:color="auto" w:sz="4" w:space="0"/>
              <w:bottom w:val="single" w:color="auto" w:sz="4" w:space="0"/>
              <w:right w:val="single" w:color="auto" w:sz="4" w:space="0"/>
            </w:tcBorders>
            <w:shd w:val="clear" w:color="auto" w:fill="D9D9D9"/>
            <w:vAlign w:val="center"/>
          </w:tcPr>
          <w:p w14:paraId="0B39825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532" w:type="pct"/>
            <w:tcBorders>
              <w:top w:val="single" w:color="auto" w:sz="4" w:space="0"/>
              <w:left w:val="single" w:color="auto" w:sz="4" w:space="0"/>
              <w:bottom w:val="single" w:color="auto" w:sz="4" w:space="0"/>
              <w:right w:val="single" w:color="auto" w:sz="4" w:space="0"/>
            </w:tcBorders>
            <w:shd w:val="clear" w:color="auto" w:fill="D9D9D9"/>
            <w:vAlign w:val="center"/>
          </w:tcPr>
          <w:p w14:paraId="384AF670">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532" w:type="pct"/>
            <w:tcBorders>
              <w:top w:val="single" w:color="auto" w:sz="4" w:space="0"/>
              <w:left w:val="single" w:color="auto" w:sz="4" w:space="0"/>
              <w:bottom w:val="single" w:color="auto" w:sz="4" w:space="0"/>
              <w:right w:val="single" w:color="auto" w:sz="4" w:space="0"/>
            </w:tcBorders>
            <w:shd w:val="clear" w:color="auto" w:fill="D9D9D9"/>
            <w:vAlign w:val="center"/>
          </w:tcPr>
          <w:p w14:paraId="2EDCF98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531" w:type="pct"/>
            <w:tcBorders>
              <w:top w:val="single" w:color="auto" w:sz="4" w:space="0"/>
              <w:left w:val="single" w:color="auto" w:sz="4" w:space="0"/>
              <w:bottom w:val="single" w:color="auto" w:sz="4" w:space="0"/>
              <w:right w:val="single" w:color="auto" w:sz="4" w:space="0"/>
            </w:tcBorders>
            <w:shd w:val="clear" w:color="auto" w:fill="D9D9D9"/>
            <w:vAlign w:val="center"/>
          </w:tcPr>
          <w:p w14:paraId="6E5EB8B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r>
      <w:tr w14:paraId="4143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79739360">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531" w:type="pct"/>
            <w:tcBorders>
              <w:top w:val="single" w:color="auto" w:sz="4" w:space="0"/>
              <w:left w:val="single" w:color="auto" w:sz="4" w:space="0"/>
              <w:bottom w:val="single" w:color="auto" w:sz="4" w:space="0"/>
              <w:right w:val="single" w:color="auto" w:sz="4" w:space="0"/>
            </w:tcBorders>
            <w:shd w:val="clear" w:color="auto" w:fill="FFFFFF"/>
          </w:tcPr>
          <w:p w14:paraId="61E9D098">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tcPr>
          <w:p w14:paraId="61F447D6">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374B6CE">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5F95E369">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442269D">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8D004FD">
            <w:pPr>
              <w:widowControl/>
              <w:jc w:val="right"/>
              <w:rPr>
                <w:rFonts w:hint="eastAsia" w:ascii="宋体" w:hAnsi="宋体" w:eastAsia="宋体" w:cs="宋体"/>
                <w:b/>
                <w:bCs/>
                <w:color w:val="000000"/>
                <w:kern w:val="0"/>
                <w:sz w:val="20"/>
                <w:szCs w:val="20"/>
                <w:lang w:val="en-GB"/>
              </w:rPr>
            </w:pP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6F5C4156">
            <w:pPr>
              <w:widowControl/>
              <w:jc w:val="right"/>
              <w:rPr>
                <w:rFonts w:hint="eastAsia" w:ascii="宋体" w:hAnsi="宋体" w:eastAsia="宋体" w:cs="宋体"/>
                <w:b/>
                <w:bCs/>
                <w:color w:val="000000"/>
                <w:kern w:val="0"/>
                <w:sz w:val="20"/>
                <w:szCs w:val="20"/>
                <w:lang w:val="en-GB"/>
              </w:rPr>
            </w:pPr>
          </w:p>
        </w:tc>
      </w:tr>
      <w:tr w14:paraId="36C7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55DA04C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27F62C0C">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2,000.00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A049576">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74,504.40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CE6A63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22,179.45</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7823C8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A57FC2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C703A9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4885242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2C9B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267663A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26DA34DF">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C2B06C3">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500.00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9AF1FB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E605DC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1FACB9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D6195C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13BBF46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0FAB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6939754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5C54F783">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2A84ACF">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D4AC87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8F9018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3BB72E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933D4D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747A376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r>
      <w:tr w14:paraId="29989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50305196">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68B6D87B">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2,000.00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99BE397">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75,004.40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C76E9D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22,179.45</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8F538E9">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2954D2F">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4BEFEB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0E3F331D">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r>
      <w:tr w14:paraId="5EA8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5DFC03DF">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282D6C90">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1AA8F06">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73DDAA8">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5AFA3413">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BAC9CF6">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80E5DF6">
            <w:pPr>
              <w:widowControl/>
              <w:jc w:val="right"/>
              <w:rPr>
                <w:rFonts w:hint="eastAsia" w:ascii="宋体" w:hAnsi="宋体" w:eastAsia="宋体" w:cs="宋体"/>
                <w:b/>
                <w:bCs/>
                <w:color w:val="000000"/>
                <w:kern w:val="0"/>
                <w:sz w:val="20"/>
                <w:szCs w:val="20"/>
                <w:lang w:val="en-GB"/>
              </w:rPr>
            </w:pP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1A3782FB">
            <w:pPr>
              <w:widowControl/>
              <w:jc w:val="right"/>
              <w:rPr>
                <w:rFonts w:hint="eastAsia" w:ascii="宋体" w:hAnsi="宋体" w:eastAsia="宋体" w:cs="宋体"/>
                <w:b/>
                <w:bCs/>
                <w:color w:val="000000"/>
                <w:kern w:val="0"/>
                <w:sz w:val="20"/>
                <w:szCs w:val="20"/>
                <w:lang w:val="en-GB"/>
              </w:rPr>
            </w:pPr>
          </w:p>
        </w:tc>
      </w:tr>
      <w:tr w14:paraId="6DDC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05C7A572">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5722BC23">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2,000.00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A986D9E">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75,000.00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4B23D9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22,170.65</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4F2632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1D20B1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1FF141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71B2A7C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7FA3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2F6EF9C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4F70AC65">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0927084">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CF338E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9DB555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E6650B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63328F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73B847B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r>
      <w:tr w14:paraId="035C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42DA708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511BCB7A">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259D865">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4.40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BCF62B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E0A35D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8C101A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F6A31F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580CEFE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r>
      <w:tr w14:paraId="5081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0F2424A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789E5AC0">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E0C7A46">
            <w:pPr>
              <w:widowControl/>
              <w:jc w:val="right"/>
              <w:rPr>
                <w:rFonts w:hint="eastAsia" w:ascii="宋体" w:hAnsi="宋体" w:eastAsia="宋体" w:cs="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FBBB97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FC671E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B0B9D6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7A1678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260CB4D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27BCE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2410DBA0">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35C64585">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2,000.00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1265C23B">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75,004.40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64D90CC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22,179.45</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5CC02B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E91DB5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C98419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68192567">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r>
      <w:tr w14:paraId="3C71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142A43A0">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3471172F">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7193398B">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81370AC">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5CD654F8">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58689CF">
            <w:pPr>
              <w:widowControl/>
              <w:jc w:val="right"/>
              <w:rPr>
                <w:rFonts w:hint="eastAsia" w:ascii="宋体" w:hAnsi="宋体" w:eastAsia="宋体" w:cs="宋体"/>
                <w:b/>
                <w:bCs/>
                <w:color w:val="000000"/>
                <w:kern w:val="0"/>
                <w:sz w:val="20"/>
                <w:szCs w:val="20"/>
                <w:lang w:val="en-GB"/>
              </w:rPr>
            </w:pP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5618A44">
            <w:pPr>
              <w:widowControl/>
              <w:jc w:val="right"/>
              <w:rPr>
                <w:rFonts w:hint="eastAsia" w:ascii="宋体" w:hAnsi="宋体" w:eastAsia="宋体" w:cs="宋体"/>
                <w:b/>
                <w:bCs/>
                <w:color w:val="000000"/>
                <w:kern w:val="0"/>
                <w:sz w:val="20"/>
                <w:szCs w:val="20"/>
                <w:lang w:val="en-GB"/>
              </w:rPr>
            </w:pP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7A0211CA">
            <w:pPr>
              <w:widowControl/>
              <w:jc w:val="right"/>
              <w:rPr>
                <w:rFonts w:hint="eastAsia" w:ascii="宋体" w:hAnsi="宋体" w:eastAsia="宋体" w:cs="宋体"/>
                <w:b/>
                <w:bCs/>
                <w:color w:val="000000"/>
                <w:kern w:val="0"/>
                <w:sz w:val="20"/>
                <w:szCs w:val="20"/>
                <w:lang w:val="en-GB"/>
              </w:rPr>
            </w:pPr>
          </w:p>
        </w:tc>
      </w:tr>
      <w:tr w14:paraId="3519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66EF7A1E">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0C2CB9CD">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AE0AC57">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840484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522320D">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BE6D72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51D95A2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1A6523C0">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r>
      <w:tr w14:paraId="2434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278" w:type="pct"/>
            <w:tcBorders>
              <w:top w:val="single" w:color="auto" w:sz="4" w:space="0"/>
              <w:left w:val="single" w:color="auto" w:sz="4" w:space="0"/>
              <w:bottom w:val="single" w:color="auto" w:sz="4" w:space="0"/>
              <w:right w:val="single" w:color="auto" w:sz="4" w:space="0"/>
            </w:tcBorders>
            <w:shd w:val="clear" w:color="auto" w:fill="FFFFFF"/>
            <w:vAlign w:val="center"/>
          </w:tcPr>
          <w:p w14:paraId="25D70AA7">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45C07685">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038F9B98">
            <w:pPr>
              <w:widowControl/>
              <w:jc w:val="right"/>
              <w:rPr>
                <w:rFonts w:hint="eastAsia" w:ascii="宋体" w:hAnsi="宋体" w:eastAsia="宋体" w:cs="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750D070">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325937B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23BA8DC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150.40</w:t>
            </w:r>
          </w:p>
        </w:tc>
        <w:tc>
          <w:tcPr>
            <w:tcW w:w="532" w:type="pct"/>
            <w:tcBorders>
              <w:top w:val="single" w:color="auto" w:sz="4" w:space="0"/>
              <w:left w:val="single" w:color="auto" w:sz="4" w:space="0"/>
              <w:bottom w:val="single" w:color="auto" w:sz="4" w:space="0"/>
              <w:right w:val="single" w:color="auto" w:sz="4" w:space="0"/>
            </w:tcBorders>
            <w:shd w:val="clear" w:color="auto" w:fill="FFFFFF"/>
            <w:vAlign w:val="center"/>
          </w:tcPr>
          <w:p w14:paraId="46DE6E5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225.60</w:t>
            </w:r>
          </w:p>
        </w:tc>
        <w:tc>
          <w:tcPr>
            <w:tcW w:w="531" w:type="pct"/>
            <w:tcBorders>
              <w:top w:val="single" w:color="auto" w:sz="4" w:space="0"/>
              <w:left w:val="single" w:color="auto" w:sz="4" w:space="0"/>
              <w:bottom w:val="single" w:color="auto" w:sz="4" w:space="0"/>
              <w:right w:val="single" w:color="auto" w:sz="4" w:space="0"/>
            </w:tcBorders>
            <w:shd w:val="clear" w:color="auto" w:fill="FFFFFF"/>
            <w:vAlign w:val="center"/>
          </w:tcPr>
          <w:p w14:paraId="5E3B4E3A">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300.80</w:t>
            </w:r>
          </w:p>
        </w:tc>
      </w:tr>
    </w:tbl>
    <w:p w14:paraId="1D5CE888">
      <w:pPr>
        <w:widowControl/>
        <w:ind w:firstLine="482" w:firstLineChars="200"/>
        <w:jc w:val="center"/>
        <w:rPr>
          <w:rFonts w:hint="eastAsia" w:ascii="宋体" w:hAnsi="宋体" w:eastAsia="宋体"/>
          <w:b/>
          <w:kern w:val="0"/>
          <w:sz w:val="24"/>
          <w:szCs w:val="24"/>
          <w:lang w:val="en-GB"/>
        </w:rPr>
      </w:pPr>
    </w:p>
    <w:tbl>
      <w:tblPr>
        <w:tblStyle w:val="19"/>
        <w:tblW w:w="56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5"/>
        <w:gridCol w:w="1130"/>
        <w:gridCol w:w="1130"/>
        <w:gridCol w:w="1130"/>
        <w:gridCol w:w="1128"/>
        <w:gridCol w:w="1129"/>
        <w:gridCol w:w="1129"/>
      </w:tblGrid>
      <w:tr w14:paraId="699A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415" w:type="pct"/>
            <w:tcBorders>
              <w:top w:val="single" w:color="auto" w:sz="4" w:space="0"/>
              <w:left w:val="single" w:color="auto" w:sz="4" w:space="0"/>
              <w:bottom w:val="single" w:color="auto" w:sz="4" w:space="0"/>
              <w:right w:val="single" w:color="auto" w:sz="4" w:space="0"/>
            </w:tcBorders>
            <w:shd w:val="clear" w:color="auto" w:fill="D9D9D9"/>
            <w:vAlign w:val="center"/>
          </w:tcPr>
          <w:p w14:paraId="1051721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598" w:type="pct"/>
            <w:tcBorders>
              <w:top w:val="single" w:color="auto" w:sz="4" w:space="0"/>
              <w:left w:val="single" w:color="auto" w:sz="4" w:space="0"/>
              <w:bottom w:val="single" w:color="auto" w:sz="4" w:space="0"/>
              <w:right w:val="single" w:color="auto" w:sz="4" w:space="0"/>
            </w:tcBorders>
            <w:shd w:val="clear" w:color="auto" w:fill="D9D9D9"/>
            <w:vAlign w:val="center"/>
          </w:tcPr>
          <w:p w14:paraId="1F92972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c>
          <w:tcPr>
            <w:tcW w:w="598" w:type="pct"/>
            <w:tcBorders>
              <w:top w:val="single" w:color="auto" w:sz="4" w:space="0"/>
              <w:left w:val="single" w:color="auto" w:sz="4" w:space="0"/>
              <w:bottom w:val="single" w:color="auto" w:sz="4" w:space="0"/>
              <w:right w:val="single" w:color="auto" w:sz="4" w:space="0"/>
            </w:tcBorders>
            <w:shd w:val="clear" w:color="auto" w:fill="D9D9D9"/>
            <w:vAlign w:val="center"/>
          </w:tcPr>
          <w:p w14:paraId="55BE6360">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598" w:type="pct"/>
            <w:tcBorders>
              <w:top w:val="single" w:color="auto" w:sz="4" w:space="0"/>
              <w:left w:val="single" w:color="auto" w:sz="4" w:space="0"/>
              <w:bottom w:val="single" w:color="auto" w:sz="4" w:space="0"/>
              <w:right w:val="single" w:color="auto" w:sz="4" w:space="0"/>
            </w:tcBorders>
            <w:shd w:val="clear" w:color="auto" w:fill="D9D9D9"/>
            <w:vAlign w:val="center"/>
          </w:tcPr>
          <w:p w14:paraId="03F7456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597" w:type="pct"/>
            <w:tcBorders>
              <w:top w:val="single" w:color="auto" w:sz="4" w:space="0"/>
              <w:left w:val="single" w:color="auto" w:sz="4" w:space="0"/>
              <w:bottom w:val="single" w:color="auto" w:sz="4" w:space="0"/>
              <w:right w:val="single" w:color="auto" w:sz="4" w:space="0"/>
            </w:tcBorders>
            <w:shd w:val="clear" w:color="auto" w:fill="D9D9D9"/>
          </w:tcPr>
          <w:p w14:paraId="402E26A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597" w:type="pct"/>
            <w:tcBorders>
              <w:top w:val="single" w:color="auto" w:sz="4" w:space="0"/>
              <w:left w:val="single" w:color="auto" w:sz="4" w:space="0"/>
              <w:bottom w:val="single" w:color="auto" w:sz="4" w:space="0"/>
              <w:right w:val="single" w:color="auto" w:sz="4" w:space="0"/>
            </w:tcBorders>
            <w:shd w:val="clear" w:color="auto" w:fill="D9D9D9"/>
          </w:tcPr>
          <w:p w14:paraId="458CE0C1">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597" w:type="pct"/>
            <w:tcBorders>
              <w:top w:val="single" w:color="auto" w:sz="4" w:space="0"/>
              <w:left w:val="single" w:color="auto" w:sz="4" w:space="0"/>
              <w:bottom w:val="single" w:color="auto" w:sz="4" w:space="0"/>
              <w:right w:val="single" w:color="auto" w:sz="4" w:space="0"/>
            </w:tcBorders>
            <w:shd w:val="clear" w:color="auto" w:fill="D9D9D9"/>
            <w:vAlign w:val="center"/>
          </w:tcPr>
          <w:p w14:paraId="4897260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14:paraId="3732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6ED8E757">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22FE992">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3204E58">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96A6AAD">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228B271F">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4F68938C">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9F1400B">
            <w:pPr>
              <w:widowControl/>
              <w:jc w:val="right"/>
              <w:rPr>
                <w:rFonts w:hint="eastAsia" w:ascii="宋体" w:hAnsi="宋体" w:eastAsia="宋体" w:cs="宋体"/>
                <w:b/>
                <w:bCs/>
                <w:color w:val="000000"/>
                <w:kern w:val="0"/>
                <w:sz w:val="20"/>
                <w:szCs w:val="20"/>
                <w:lang w:val="en-GB"/>
              </w:rPr>
            </w:pPr>
          </w:p>
        </w:tc>
      </w:tr>
      <w:tr w14:paraId="4618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32D0911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65A69D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59BDC3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75CD64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F95D5B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2337DA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C676846">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98,683.85</w:t>
            </w:r>
          </w:p>
        </w:tc>
      </w:tr>
      <w:tr w14:paraId="25DA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2529DA9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1B4799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3AAB8A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779D99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89D85A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E1CD43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3065AEA">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500.00</w:t>
            </w:r>
          </w:p>
        </w:tc>
      </w:tr>
      <w:tr w14:paraId="2841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4770B6B2">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A1DB86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7139582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3FF6FA1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0E4902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B7A2B0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8D1EB6F">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1,049.76</w:t>
            </w:r>
          </w:p>
        </w:tc>
      </w:tr>
      <w:tr w14:paraId="4C4F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0444CC32">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E5A43D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7E8CF31">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96166F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8B7D53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F7C783F">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51E091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100,233.61</w:t>
            </w:r>
          </w:p>
        </w:tc>
      </w:tr>
      <w:tr w14:paraId="4FC8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224B8ACE">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718CAF1">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D2E4BAE">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41A1AAB">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487DDE66">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FC9C573">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AA890D1">
            <w:pPr>
              <w:widowControl/>
              <w:jc w:val="right"/>
              <w:rPr>
                <w:rFonts w:hint="eastAsia" w:ascii="宋体" w:hAnsi="宋体" w:eastAsia="宋体" w:cs="宋体"/>
                <w:b/>
                <w:bCs/>
                <w:color w:val="000000"/>
                <w:kern w:val="0"/>
                <w:sz w:val="20"/>
                <w:szCs w:val="20"/>
                <w:lang w:val="en-GB"/>
              </w:rPr>
            </w:pPr>
          </w:p>
        </w:tc>
      </w:tr>
      <w:tr w14:paraId="3C62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5319A6BF">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A1EC1A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28F9175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77002F8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D2B40B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F5F09E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C0B665D">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99,170.65</w:t>
            </w:r>
          </w:p>
        </w:tc>
      </w:tr>
      <w:tr w14:paraId="76CE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39020F43">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F10419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DB176A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2C20D57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02AAA51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78CB2F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32.64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BBB2D8A">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293.76</w:t>
            </w:r>
          </w:p>
        </w:tc>
      </w:tr>
      <w:tr w14:paraId="3FC3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77FE749F">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77CCDF1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9973B6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9CF250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ACD51DD">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1CA8BE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504.40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2674B62">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588.00</w:t>
            </w:r>
          </w:p>
        </w:tc>
      </w:tr>
      <w:tr w14:paraId="7766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5232E82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600D72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694B4C8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8C3FB4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18BFF5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2D005B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179595D">
            <w:pPr>
              <w:widowControl/>
              <w:jc w:val="right"/>
              <w:rPr>
                <w:rFonts w:hint="eastAsia" w:ascii="宋体" w:hAnsi="宋体" w:eastAsia="宋体"/>
                <w:color w:val="000000"/>
                <w:kern w:val="0"/>
                <w:sz w:val="20"/>
                <w:szCs w:val="20"/>
                <w:lang w:val="en-GB"/>
              </w:rPr>
            </w:pPr>
            <w:r>
              <w:rPr>
                <w:rFonts w:hint="eastAsia" w:ascii="宋体" w:hAnsi="宋体" w:eastAsia="宋体"/>
                <w:b/>
                <w:bCs/>
                <w:color w:val="000000"/>
                <w:kern w:val="0"/>
                <w:sz w:val="20"/>
                <w:szCs w:val="20"/>
                <w:lang w:val="en-GB"/>
              </w:rPr>
              <w:t>-</w:t>
            </w:r>
          </w:p>
        </w:tc>
      </w:tr>
      <w:tr w14:paraId="542D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20B23454">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6F8E47C4">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40640E75">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98B79D7">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6CE170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41.44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3B5747C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537.04</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E699960">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100,052.41</w:t>
            </w:r>
          </w:p>
        </w:tc>
      </w:tr>
      <w:tr w14:paraId="02B9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7BA83899">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7F904BED">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DBDB729">
            <w:pPr>
              <w:widowControl/>
              <w:jc w:val="right"/>
              <w:rPr>
                <w:rFonts w:hint="eastAsia" w:ascii="宋体" w:hAnsi="宋体" w:eastAsia="宋体" w:cs="宋体"/>
                <w:b/>
                <w:bCs/>
                <w:color w:val="000000"/>
                <w:kern w:val="0"/>
                <w:sz w:val="20"/>
                <w:szCs w:val="20"/>
                <w:lang w:val="en-GB"/>
              </w:rPr>
            </w:pP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22887AB">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7E99AE9">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57E8DD25">
            <w:pPr>
              <w:widowControl/>
              <w:jc w:val="right"/>
              <w:rPr>
                <w:rFonts w:hint="eastAsia" w:ascii="宋体" w:hAnsi="宋体" w:eastAsia="宋体" w:cs="宋体"/>
                <w:b/>
                <w:bCs/>
                <w:color w:val="000000"/>
                <w:kern w:val="0"/>
                <w:sz w:val="20"/>
                <w:szCs w:val="20"/>
                <w:lang w:val="en-GB"/>
              </w:rPr>
            </w:pP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B78C210">
            <w:pPr>
              <w:widowControl/>
              <w:jc w:val="right"/>
              <w:rPr>
                <w:rFonts w:hint="eastAsia" w:ascii="宋体" w:hAnsi="宋体" w:eastAsia="宋体" w:cs="宋体"/>
                <w:b/>
                <w:bCs/>
                <w:color w:val="000000"/>
                <w:kern w:val="0"/>
                <w:sz w:val="20"/>
                <w:szCs w:val="20"/>
                <w:lang w:val="en-GB"/>
              </w:rPr>
            </w:pPr>
          </w:p>
        </w:tc>
      </w:tr>
      <w:tr w14:paraId="47EE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2895BE8B">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3BB988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1ED7BFE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55E9A542">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7F75B27C">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75.20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14D3342">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-420.40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69B460B0">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w:t>
            </w:r>
          </w:p>
        </w:tc>
      </w:tr>
      <w:tr w14:paraId="0A202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415" w:type="pct"/>
            <w:tcBorders>
              <w:top w:val="single" w:color="auto" w:sz="4" w:space="0"/>
              <w:left w:val="single" w:color="auto" w:sz="4" w:space="0"/>
              <w:bottom w:val="single" w:color="auto" w:sz="4" w:space="0"/>
              <w:right w:val="single" w:color="auto" w:sz="4" w:space="0"/>
            </w:tcBorders>
            <w:shd w:val="clear" w:color="auto" w:fill="FFFFFF"/>
            <w:vAlign w:val="center"/>
          </w:tcPr>
          <w:p w14:paraId="166DC14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0B9D671D">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376.00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3089899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451.20</w:t>
            </w:r>
          </w:p>
        </w:tc>
        <w:tc>
          <w:tcPr>
            <w:tcW w:w="598" w:type="pct"/>
            <w:tcBorders>
              <w:top w:val="single" w:color="auto" w:sz="4" w:space="0"/>
              <w:left w:val="single" w:color="auto" w:sz="4" w:space="0"/>
              <w:bottom w:val="single" w:color="auto" w:sz="4" w:space="0"/>
              <w:right w:val="single" w:color="auto" w:sz="4" w:space="0"/>
            </w:tcBorders>
            <w:shd w:val="clear" w:color="auto" w:fill="FFFFFF"/>
            <w:vAlign w:val="center"/>
          </w:tcPr>
          <w:p w14:paraId="27705FB1">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526.40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D13CA1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601.60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1B3D98F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181.20</w:t>
            </w:r>
          </w:p>
        </w:tc>
        <w:tc>
          <w:tcPr>
            <w:tcW w:w="597" w:type="pct"/>
            <w:tcBorders>
              <w:top w:val="single" w:color="auto" w:sz="4" w:space="0"/>
              <w:left w:val="single" w:color="auto" w:sz="4" w:space="0"/>
              <w:bottom w:val="single" w:color="auto" w:sz="4" w:space="0"/>
              <w:right w:val="single" w:color="auto" w:sz="4" w:space="0"/>
            </w:tcBorders>
            <w:shd w:val="clear" w:color="auto" w:fill="FFFFFF"/>
            <w:vAlign w:val="center"/>
          </w:tcPr>
          <w:p w14:paraId="252150A9">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w:t>
            </w:r>
          </w:p>
        </w:tc>
      </w:tr>
    </w:tbl>
    <w:p w14:paraId="733AB280">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24" w:name="_Toc200555358"/>
      <w:bookmarkStart w:id="25" w:name="_Toc114818535"/>
      <w:bookmarkStart w:id="26" w:name="_Toc114818425"/>
      <w:r>
        <w:rPr>
          <w:rFonts w:hint="eastAsia" w:ascii="宋体" w:hAnsi="宋体" w:eastAsia="宋体"/>
          <w:b/>
          <w:bCs/>
          <w:color w:val="000000"/>
          <w:kern w:val="0"/>
          <w:sz w:val="24"/>
          <w:szCs w:val="24"/>
        </w:rPr>
        <w:t>4</w:t>
      </w:r>
      <w:r>
        <w:rPr>
          <w:rFonts w:ascii="宋体" w:hAnsi="宋体" w:eastAsia="宋体"/>
          <w:b/>
          <w:bCs/>
          <w:color w:val="000000"/>
          <w:kern w:val="0"/>
          <w:sz w:val="24"/>
          <w:szCs w:val="24"/>
        </w:rPr>
        <w:t>.</w:t>
      </w:r>
      <w:r>
        <w:rPr>
          <w:rFonts w:hint="eastAsia" w:ascii="宋体" w:hAnsi="宋体" w:eastAsia="宋体"/>
          <w:b/>
          <w:bCs/>
          <w:color w:val="000000"/>
          <w:kern w:val="0"/>
          <w:sz w:val="24"/>
          <w:szCs w:val="24"/>
        </w:rPr>
        <w:t>债券发行和还本付息</w:t>
      </w:r>
      <w:bookmarkEnd w:id="24"/>
    </w:p>
    <w:p w14:paraId="2DDEC380">
      <w:pPr>
        <w:widowControl/>
        <w:spacing w:before="120" w:after="120" w:line="360" w:lineRule="auto"/>
        <w:ind w:firstLine="480" w:firstLineChars="200"/>
        <w:rPr>
          <w:rFonts w:hint="eastAsia" w:ascii="宋体" w:hAnsi="宋体" w:eastAsia="宋体"/>
          <w:color w:val="000000"/>
          <w:kern w:val="0"/>
          <w:sz w:val="24"/>
          <w:szCs w:val="24"/>
        </w:rPr>
      </w:pPr>
      <w:r>
        <w:rPr>
          <w:rFonts w:hint="eastAsia" w:ascii="宋体" w:hAnsi="宋体" w:eastAsia="宋体"/>
          <w:color w:val="000000"/>
          <w:kern w:val="0"/>
          <w:sz w:val="24"/>
          <w:szCs w:val="24"/>
        </w:rPr>
        <w:t>本次债券利息每半年支付一次，最后一期利息随本金一起支付。自发行之日起存续期还本付息情况详见表7。</w:t>
      </w:r>
    </w:p>
    <w:p w14:paraId="55FEC7A9">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表7 消费精品制造产业园配套路网项目</w:t>
      </w:r>
      <w:r>
        <w:rPr>
          <w:rFonts w:ascii="宋体" w:hAnsi="宋体" w:eastAsia="宋体"/>
          <w:b/>
          <w:kern w:val="0"/>
          <w:sz w:val="24"/>
          <w:szCs w:val="24"/>
          <w:lang w:val="en-GB"/>
        </w:rPr>
        <w:t>还本付息表</w:t>
      </w:r>
    </w:p>
    <w:p w14:paraId="2A3E8725">
      <w:pPr>
        <w:widowControl/>
        <w:ind w:firstLine="360" w:firstLineChars="200"/>
        <w:jc w:val="right"/>
        <w:rPr>
          <w:rFonts w:hint="eastAsia" w:ascii="宋体" w:hAnsi="宋体" w:eastAsia="宋体"/>
          <w:kern w:val="0"/>
          <w:sz w:val="18"/>
          <w:szCs w:val="18"/>
          <w:lang w:val="en-GB"/>
        </w:rPr>
      </w:pPr>
      <w:r>
        <w:rPr>
          <w:rFonts w:hint="eastAsia" w:ascii="宋体" w:hAnsi="宋体" w:eastAsia="宋体"/>
          <w:kern w:val="0"/>
          <w:sz w:val="18"/>
          <w:szCs w:val="18"/>
          <w:lang w:val="en-GB"/>
        </w:rPr>
        <w:t>单位：人民币万元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20"/>
        <w:gridCol w:w="1092"/>
        <w:gridCol w:w="1090"/>
        <w:gridCol w:w="1090"/>
        <w:gridCol w:w="1090"/>
        <w:gridCol w:w="1084"/>
        <w:gridCol w:w="1083"/>
      </w:tblGrid>
      <w:tr w14:paraId="6765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90" w:type="pct"/>
            <w:shd w:val="clear" w:color="auto" w:fill="D9D9D9"/>
            <w:vAlign w:val="center"/>
          </w:tcPr>
          <w:p w14:paraId="1259F0F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9D9D9"/>
            <w:vAlign w:val="center"/>
          </w:tcPr>
          <w:p w14:paraId="1F7D56E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653" w:type="pct"/>
            <w:shd w:val="clear" w:color="auto" w:fill="D9D9D9"/>
            <w:vAlign w:val="center"/>
          </w:tcPr>
          <w:p w14:paraId="267B670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c>
          <w:tcPr>
            <w:tcW w:w="653" w:type="pct"/>
            <w:shd w:val="clear" w:color="auto" w:fill="D9D9D9"/>
            <w:vAlign w:val="center"/>
          </w:tcPr>
          <w:p w14:paraId="672B8D11">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653" w:type="pct"/>
            <w:shd w:val="clear" w:color="auto" w:fill="D9D9D9"/>
            <w:vAlign w:val="center"/>
          </w:tcPr>
          <w:p w14:paraId="0CCFC11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649" w:type="pct"/>
            <w:shd w:val="clear" w:color="auto" w:fill="D9D9D9"/>
            <w:vAlign w:val="center"/>
          </w:tcPr>
          <w:p w14:paraId="1930134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649" w:type="pct"/>
            <w:shd w:val="clear" w:color="auto" w:fill="D9D9D9"/>
            <w:vAlign w:val="center"/>
          </w:tcPr>
          <w:p w14:paraId="64608F4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r>
      <w:tr w14:paraId="7EEF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292E85DC">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4" w:type="pct"/>
            <w:shd w:val="clear" w:color="000000" w:fill="FFFFFF"/>
            <w:vAlign w:val="center"/>
          </w:tcPr>
          <w:p w14:paraId="78D2062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2C4255E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7E6CCC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3C4993F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49" w:type="pct"/>
            <w:shd w:val="clear" w:color="000000" w:fill="FFFFFF"/>
            <w:vAlign w:val="center"/>
          </w:tcPr>
          <w:p w14:paraId="6DBDC5F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49" w:type="pct"/>
            <w:shd w:val="clear" w:color="000000" w:fill="FFFFFF"/>
            <w:vAlign w:val="center"/>
          </w:tcPr>
          <w:p w14:paraId="245F814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r>
      <w:tr w14:paraId="3FF0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37032BC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本期专项债券发行</w:t>
            </w:r>
          </w:p>
        </w:tc>
        <w:tc>
          <w:tcPr>
            <w:tcW w:w="654" w:type="pct"/>
            <w:shd w:val="clear" w:color="000000" w:fill="FFFFFF"/>
            <w:vAlign w:val="center"/>
          </w:tcPr>
          <w:p w14:paraId="0FB3427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6B08B80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4888A94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3DD1EBD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49" w:type="pct"/>
            <w:shd w:val="clear" w:color="000000" w:fill="FFFFFF"/>
            <w:vAlign w:val="center"/>
          </w:tcPr>
          <w:p w14:paraId="39509C8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49" w:type="pct"/>
            <w:shd w:val="clear" w:color="000000" w:fill="FFFFFF"/>
            <w:vAlign w:val="center"/>
          </w:tcPr>
          <w:p w14:paraId="6491943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0B941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7E5B517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4" w:type="pct"/>
            <w:shd w:val="clear" w:color="000000" w:fill="FFFFFF"/>
            <w:vAlign w:val="center"/>
          </w:tcPr>
          <w:p w14:paraId="1051D72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4.40</w:t>
            </w:r>
          </w:p>
        </w:tc>
        <w:tc>
          <w:tcPr>
            <w:tcW w:w="653" w:type="pct"/>
            <w:shd w:val="clear" w:color="000000" w:fill="FFFFFF"/>
            <w:vAlign w:val="center"/>
          </w:tcPr>
          <w:p w14:paraId="2EB84D4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6F79B9FD">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2BE1224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76EC27D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5CC1A2E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r>
      <w:tr w14:paraId="6AA5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4A730613">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4" w:type="pct"/>
            <w:shd w:val="clear" w:color="000000" w:fill="FFFFFF"/>
            <w:vAlign w:val="center"/>
          </w:tcPr>
          <w:p w14:paraId="39BCE04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4.40</w:t>
            </w:r>
          </w:p>
        </w:tc>
        <w:tc>
          <w:tcPr>
            <w:tcW w:w="653" w:type="pct"/>
            <w:shd w:val="clear" w:color="000000" w:fill="FFFFFF"/>
            <w:vAlign w:val="center"/>
          </w:tcPr>
          <w:p w14:paraId="1DF56B7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6B28CCB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17422E1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60EF2FC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5307BB3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r>
      <w:tr w14:paraId="6BCA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7103D1D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4" w:type="pct"/>
            <w:shd w:val="clear" w:color="000000" w:fill="FFFFFF"/>
            <w:vAlign w:val="center"/>
          </w:tcPr>
          <w:p w14:paraId="3A96B7D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43189C7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22381CE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5DB9E4A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49" w:type="pct"/>
            <w:shd w:val="clear" w:color="000000" w:fill="FFFFFF"/>
            <w:vAlign w:val="center"/>
          </w:tcPr>
          <w:p w14:paraId="3F856B2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49" w:type="pct"/>
            <w:shd w:val="clear" w:color="000000" w:fill="FFFFFF"/>
            <w:vAlign w:val="center"/>
          </w:tcPr>
          <w:p w14:paraId="7C6C8F8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r>
      <w:tr w14:paraId="251A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4B1E9BC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4" w:type="pct"/>
            <w:shd w:val="clear" w:color="000000" w:fill="FFFFFF"/>
            <w:vAlign w:val="center"/>
          </w:tcPr>
          <w:p w14:paraId="704B1C6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4.40</w:t>
            </w:r>
          </w:p>
        </w:tc>
        <w:tc>
          <w:tcPr>
            <w:tcW w:w="653" w:type="pct"/>
            <w:shd w:val="clear" w:color="000000" w:fill="FFFFFF"/>
            <w:vAlign w:val="center"/>
          </w:tcPr>
          <w:p w14:paraId="0C8D5F9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26997C2D">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693D8D0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79585F1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49" w:type="pct"/>
            <w:shd w:val="clear" w:color="000000" w:fill="FFFFFF"/>
            <w:vAlign w:val="center"/>
          </w:tcPr>
          <w:p w14:paraId="4E44165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r>
      <w:tr w14:paraId="6F46D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7692B4D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4" w:type="pct"/>
            <w:shd w:val="clear" w:color="000000" w:fill="FFFFFF"/>
            <w:vAlign w:val="center"/>
          </w:tcPr>
          <w:p w14:paraId="7531735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523214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2FC09C0D">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B2F70D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49" w:type="pct"/>
            <w:shd w:val="clear" w:color="000000" w:fill="FFFFFF"/>
            <w:vAlign w:val="center"/>
          </w:tcPr>
          <w:p w14:paraId="3608EB4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49" w:type="pct"/>
            <w:shd w:val="clear" w:color="000000" w:fill="FFFFFF"/>
            <w:vAlign w:val="center"/>
          </w:tcPr>
          <w:p w14:paraId="0F37EB3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r>
    </w:tbl>
    <w:p w14:paraId="0AE10542">
      <w:pPr>
        <w:widowControl/>
        <w:ind w:firstLine="400" w:firstLineChars="200"/>
        <w:jc w:val="right"/>
        <w:rPr>
          <w:rFonts w:hint="eastAsia" w:ascii="宋体" w:hAnsi="宋体" w:eastAsia="宋体"/>
          <w:kern w:val="0"/>
          <w:sz w:val="20"/>
          <w:szCs w:val="20"/>
          <w:lang w:val="en-GB" w:eastAsia="zh-TW"/>
        </w:rPr>
      </w:pPr>
    </w:p>
    <w:tbl>
      <w:tblPr>
        <w:tblStyle w:val="1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4"/>
        <w:gridCol w:w="1093"/>
        <w:gridCol w:w="1093"/>
        <w:gridCol w:w="1093"/>
        <w:gridCol w:w="1059"/>
        <w:gridCol w:w="1058"/>
      </w:tblGrid>
      <w:tr w14:paraId="7DD68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2" w:type="pct"/>
            <w:shd w:val="clear" w:color="auto" w:fill="D9D9D9"/>
            <w:vAlign w:val="center"/>
          </w:tcPr>
          <w:p w14:paraId="759366F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9D9D9"/>
            <w:vAlign w:val="center"/>
          </w:tcPr>
          <w:p w14:paraId="32E17E6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c>
          <w:tcPr>
            <w:tcW w:w="653" w:type="pct"/>
            <w:shd w:val="clear" w:color="auto" w:fill="D9D9D9"/>
            <w:vAlign w:val="center"/>
          </w:tcPr>
          <w:p w14:paraId="0FBAEE4B">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653" w:type="pct"/>
            <w:shd w:val="clear" w:color="auto" w:fill="D9D9D9"/>
            <w:vAlign w:val="center"/>
          </w:tcPr>
          <w:p w14:paraId="1154618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653" w:type="pct"/>
            <w:shd w:val="clear" w:color="auto" w:fill="D9D9D9"/>
            <w:vAlign w:val="center"/>
          </w:tcPr>
          <w:p w14:paraId="6D2F41C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633" w:type="pct"/>
            <w:shd w:val="clear" w:color="auto" w:fill="D9D9D9"/>
          </w:tcPr>
          <w:p w14:paraId="48FC3EA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633" w:type="pct"/>
            <w:shd w:val="clear" w:color="auto" w:fill="D9D9D9"/>
            <w:vAlign w:val="center"/>
          </w:tcPr>
          <w:p w14:paraId="0FFD273A">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14:paraId="53AE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B1CE1B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期初专项债券余额</w:t>
            </w:r>
          </w:p>
        </w:tc>
        <w:tc>
          <w:tcPr>
            <w:tcW w:w="654" w:type="pct"/>
            <w:shd w:val="clear" w:color="000000" w:fill="FFFFFF"/>
            <w:vAlign w:val="center"/>
          </w:tcPr>
          <w:p w14:paraId="0E0C95B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13D8F5C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558F09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4013886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33" w:type="pct"/>
            <w:shd w:val="clear" w:color="000000" w:fill="FFFFFF"/>
            <w:vAlign w:val="center"/>
          </w:tcPr>
          <w:p w14:paraId="4864E1A9">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500.00</w:t>
            </w:r>
          </w:p>
        </w:tc>
        <w:tc>
          <w:tcPr>
            <w:tcW w:w="633" w:type="pct"/>
            <w:shd w:val="clear" w:color="000000" w:fill="FFFFFF"/>
            <w:vAlign w:val="center"/>
          </w:tcPr>
          <w:p w14:paraId="6131EF1A">
            <w:pPr>
              <w:widowControl/>
              <w:jc w:val="right"/>
              <w:rPr>
                <w:rFonts w:hint="eastAsia" w:ascii="宋体" w:hAnsi="宋体" w:eastAsia="宋体"/>
                <w:b/>
                <w:bCs/>
                <w:color w:val="000000"/>
                <w:kern w:val="0"/>
                <w:sz w:val="20"/>
                <w:szCs w:val="20"/>
                <w:lang w:val="en-GB"/>
              </w:rPr>
            </w:pPr>
          </w:p>
        </w:tc>
      </w:tr>
      <w:tr w14:paraId="49FB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6E98A4E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本期专项债券发行</w:t>
            </w:r>
          </w:p>
        </w:tc>
        <w:tc>
          <w:tcPr>
            <w:tcW w:w="654" w:type="pct"/>
            <w:shd w:val="clear" w:color="000000" w:fill="FFFFFF"/>
            <w:vAlign w:val="center"/>
          </w:tcPr>
          <w:p w14:paraId="70FA0BF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43A95CB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5357BB6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67BDBBE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33" w:type="pct"/>
            <w:shd w:val="clear" w:color="000000" w:fill="FFFFFF"/>
            <w:vAlign w:val="center"/>
          </w:tcPr>
          <w:p w14:paraId="74DE8A6C">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w:t>
            </w:r>
          </w:p>
        </w:tc>
        <w:tc>
          <w:tcPr>
            <w:tcW w:w="633" w:type="pct"/>
            <w:shd w:val="clear" w:color="000000" w:fill="FFFFFF"/>
            <w:vAlign w:val="center"/>
          </w:tcPr>
          <w:p w14:paraId="1871349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500.00</w:t>
            </w:r>
          </w:p>
        </w:tc>
      </w:tr>
      <w:tr w14:paraId="2CC8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4A9DADA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利息支出</w:t>
            </w:r>
          </w:p>
        </w:tc>
        <w:tc>
          <w:tcPr>
            <w:tcW w:w="654" w:type="pct"/>
            <w:shd w:val="clear" w:color="000000" w:fill="FFFFFF"/>
            <w:vAlign w:val="center"/>
          </w:tcPr>
          <w:p w14:paraId="1E1B888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2150967B">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2BA9A97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26D6868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33" w:type="pct"/>
            <w:shd w:val="clear" w:color="000000" w:fill="FFFFFF"/>
            <w:vAlign w:val="center"/>
          </w:tcPr>
          <w:p w14:paraId="0EF3DC83">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4.40</w:t>
            </w:r>
          </w:p>
        </w:tc>
        <w:tc>
          <w:tcPr>
            <w:tcW w:w="633" w:type="pct"/>
            <w:shd w:val="clear" w:color="000000" w:fill="FFFFFF"/>
            <w:vAlign w:val="center"/>
          </w:tcPr>
          <w:p w14:paraId="3C5F3D8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88.00</w:t>
            </w:r>
          </w:p>
        </w:tc>
      </w:tr>
      <w:tr w14:paraId="5FF0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3169BF5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本期还款</w:t>
            </w:r>
          </w:p>
        </w:tc>
        <w:tc>
          <w:tcPr>
            <w:tcW w:w="654" w:type="pct"/>
            <w:shd w:val="clear" w:color="000000" w:fill="FFFFFF"/>
            <w:vAlign w:val="center"/>
          </w:tcPr>
          <w:p w14:paraId="40DF0F6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485EBA3C">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751B652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3703EBA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33" w:type="pct"/>
            <w:shd w:val="clear" w:color="000000" w:fill="FFFFFF"/>
            <w:vAlign w:val="center"/>
          </w:tcPr>
          <w:p w14:paraId="2C740391">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504.40</w:t>
            </w:r>
          </w:p>
        </w:tc>
        <w:tc>
          <w:tcPr>
            <w:tcW w:w="633" w:type="pct"/>
            <w:shd w:val="clear" w:color="000000" w:fill="FFFFFF"/>
            <w:vAlign w:val="center"/>
          </w:tcPr>
          <w:p w14:paraId="79B9975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588.00</w:t>
            </w:r>
          </w:p>
        </w:tc>
      </w:tr>
      <w:tr w14:paraId="4CA9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7BB670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其中：还本</w:t>
            </w:r>
          </w:p>
        </w:tc>
        <w:tc>
          <w:tcPr>
            <w:tcW w:w="654" w:type="pct"/>
            <w:shd w:val="clear" w:color="000000" w:fill="FFFFFF"/>
            <w:vAlign w:val="center"/>
          </w:tcPr>
          <w:p w14:paraId="5B6B4E81">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3EAF8D1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6FC4B09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53" w:type="pct"/>
            <w:shd w:val="clear" w:color="000000" w:fill="FFFFFF"/>
            <w:vAlign w:val="center"/>
          </w:tcPr>
          <w:p w14:paraId="67B6F5F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w:t>
            </w:r>
          </w:p>
        </w:tc>
        <w:tc>
          <w:tcPr>
            <w:tcW w:w="633" w:type="pct"/>
            <w:shd w:val="clear" w:color="000000" w:fill="FFFFFF"/>
            <w:vAlign w:val="center"/>
          </w:tcPr>
          <w:p w14:paraId="710689E6">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500.00</w:t>
            </w:r>
          </w:p>
        </w:tc>
        <w:tc>
          <w:tcPr>
            <w:tcW w:w="633" w:type="pct"/>
            <w:shd w:val="clear" w:color="000000" w:fill="FFFFFF"/>
            <w:vAlign w:val="center"/>
          </w:tcPr>
          <w:p w14:paraId="22E52ADA">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500.00</w:t>
            </w:r>
          </w:p>
        </w:tc>
      </w:tr>
      <w:tr w14:paraId="164F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4AD9F5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付息</w:t>
            </w:r>
          </w:p>
        </w:tc>
        <w:tc>
          <w:tcPr>
            <w:tcW w:w="654" w:type="pct"/>
            <w:shd w:val="clear" w:color="000000" w:fill="FFFFFF"/>
            <w:vAlign w:val="center"/>
          </w:tcPr>
          <w:p w14:paraId="33C61AE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5203E5E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7A9735F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53" w:type="pct"/>
            <w:shd w:val="clear" w:color="000000" w:fill="FFFFFF"/>
            <w:vAlign w:val="center"/>
          </w:tcPr>
          <w:p w14:paraId="15FE324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8.80</w:t>
            </w:r>
          </w:p>
        </w:tc>
        <w:tc>
          <w:tcPr>
            <w:tcW w:w="633" w:type="pct"/>
            <w:shd w:val="clear" w:color="000000" w:fill="FFFFFF"/>
            <w:vAlign w:val="center"/>
          </w:tcPr>
          <w:p w14:paraId="53DB96D9">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4.40</w:t>
            </w:r>
          </w:p>
        </w:tc>
        <w:tc>
          <w:tcPr>
            <w:tcW w:w="633" w:type="pct"/>
            <w:shd w:val="clear" w:color="000000" w:fill="FFFFFF"/>
            <w:vAlign w:val="center"/>
          </w:tcPr>
          <w:p w14:paraId="2A36E07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88.00</w:t>
            </w:r>
          </w:p>
        </w:tc>
      </w:tr>
      <w:tr w14:paraId="1382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42DE457">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期末专项债券余额</w:t>
            </w:r>
          </w:p>
        </w:tc>
        <w:tc>
          <w:tcPr>
            <w:tcW w:w="654" w:type="pct"/>
            <w:shd w:val="clear" w:color="000000" w:fill="FFFFFF"/>
            <w:vAlign w:val="center"/>
          </w:tcPr>
          <w:p w14:paraId="1F9DE54E">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772930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517EC45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53" w:type="pct"/>
            <w:shd w:val="clear" w:color="000000" w:fill="FFFFFF"/>
            <w:vAlign w:val="center"/>
          </w:tcPr>
          <w:p w14:paraId="073F06D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500.00</w:t>
            </w:r>
          </w:p>
        </w:tc>
        <w:tc>
          <w:tcPr>
            <w:tcW w:w="633" w:type="pct"/>
            <w:shd w:val="clear" w:color="000000" w:fill="FFFFFF"/>
            <w:vAlign w:val="center"/>
          </w:tcPr>
          <w:p w14:paraId="17F51ECD">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w:t>
            </w:r>
          </w:p>
        </w:tc>
        <w:tc>
          <w:tcPr>
            <w:tcW w:w="633" w:type="pct"/>
            <w:shd w:val="clear" w:color="000000" w:fill="FFFFFF"/>
            <w:vAlign w:val="center"/>
          </w:tcPr>
          <w:p w14:paraId="31AB4BA8">
            <w:pPr>
              <w:widowControl/>
              <w:jc w:val="right"/>
              <w:rPr>
                <w:rFonts w:hint="eastAsia" w:ascii="宋体" w:hAnsi="宋体" w:eastAsia="宋体"/>
                <w:color w:val="000000"/>
                <w:kern w:val="0"/>
                <w:sz w:val="20"/>
                <w:szCs w:val="20"/>
                <w:lang w:val="en-GB"/>
              </w:rPr>
            </w:pPr>
          </w:p>
        </w:tc>
      </w:tr>
    </w:tbl>
    <w:p w14:paraId="1FF4F226">
      <w:pPr>
        <w:widowControl/>
        <w:ind w:firstLine="360" w:firstLineChars="200"/>
        <w:jc w:val="right"/>
        <w:rPr>
          <w:rFonts w:hint="eastAsia" w:ascii="宋体" w:hAnsi="宋体" w:eastAsia="宋体"/>
          <w:kern w:val="0"/>
          <w:sz w:val="18"/>
          <w:szCs w:val="18"/>
          <w:lang w:val="en-GB" w:eastAsia="zh-TW"/>
        </w:rPr>
      </w:pPr>
    </w:p>
    <w:p w14:paraId="12FA5B7F">
      <w:pPr>
        <w:widowControl/>
        <w:spacing w:before="120" w:after="120" w:line="360" w:lineRule="auto"/>
        <w:outlineLvl w:val="1"/>
        <w:rPr>
          <w:rFonts w:hint="eastAsia" w:ascii="宋体" w:hAnsi="宋体" w:eastAsia="宋体"/>
          <w:b/>
          <w:color w:val="000000"/>
          <w:kern w:val="0"/>
          <w:sz w:val="24"/>
          <w:szCs w:val="24"/>
        </w:rPr>
      </w:pPr>
      <w:bookmarkStart w:id="27" w:name="_Toc200555359"/>
      <w:r>
        <w:rPr>
          <w:rFonts w:hint="eastAsia" w:ascii="宋体" w:hAnsi="宋体" w:eastAsia="宋体"/>
          <w:b/>
          <w:color w:val="000000"/>
          <w:kern w:val="0"/>
          <w:sz w:val="24"/>
          <w:szCs w:val="24"/>
        </w:rPr>
        <w:t>（二）项目收益情况</w:t>
      </w:r>
      <w:bookmarkEnd w:id="27"/>
    </w:p>
    <w:p w14:paraId="2994D9C0">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28" w:name="_Toc200555360"/>
      <w:r>
        <w:rPr>
          <w:rFonts w:ascii="宋体" w:hAnsi="宋体" w:eastAsia="宋体"/>
          <w:b/>
          <w:bCs/>
          <w:color w:val="000000"/>
          <w:kern w:val="0"/>
          <w:sz w:val="24"/>
          <w:szCs w:val="24"/>
        </w:rPr>
        <w:t>1.</w:t>
      </w:r>
      <w:r>
        <w:rPr>
          <w:rFonts w:hint="eastAsia" w:ascii="宋体" w:hAnsi="宋体" w:eastAsia="宋体"/>
          <w:b/>
          <w:bCs/>
          <w:color w:val="000000"/>
          <w:kern w:val="0"/>
          <w:sz w:val="24"/>
          <w:szCs w:val="24"/>
        </w:rPr>
        <w:t>项目收入</w:t>
      </w:r>
      <w:bookmarkEnd w:id="28"/>
    </w:p>
    <w:p w14:paraId="4E646276">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海口市江东新区园区配套基础设施配套项目（五期）以项目运营收入作为偿债收益来源，其中包括广告牌收入及停车位收入。从保守谨慎的角度出发，计划用于本项目还本付息的运营收支为总运营收支的40%。</w:t>
      </w:r>
    </w:p>
    <w:p w14:paraId="7C221FA1">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（1）广告牌出租收入预测</w:t>
      </w:r>
    </w:p>
    <w:p w14:paraId="442470BA">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本项目预留</w:t>
      </w:r>
      <w:r>
        <w:rPr>
          <w:rFonts w:ascii="宋体" w:hAnsi="宋体" w:eastAsia="宋体"/>
          <w:color w:val="000000"/>
          <w:kern w:val="0"/>
          <w:sz w:val="24"/>
          <w:szCs w:val="24"/>
          <w:lang w:val="en-GB"/>
        </w:rPr>
        <w:t>50</w:t>
      </w:r>
      <w:r>
        <w:rPr>
          <w:rFonts w:hint="eastAsia" w:ascii="宋体" w:hAnsi="宋体" w:eastAsia="宋体"/>
          <w:color w:val="000000"/>
          <w:kern w:val="0"/>
          <w:sz w:val="24"/>
          <w:szCs w:val="24"/>
          <w:lang w:val="en-GB"/>
        </w:rPr>
        <w:t>个广告牌，结合周边同区域、同水平、同档位的广告出租单价暂按5,000.00元/个/月计算，基于谨慎性原则，运营期出租率暂按90%考虑。</w:t>
      </w:r>
    </w:p>
    <w:p w14:paraId="4505788B">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（2）停车位收入预测</w:t>
      </w:r>
    </w:p>
    <w:p w14:paraId="7DEE58B0">
      <w:pPr>
        <w:widowControl/>
        <w:adjustRightInd w:val="0"/>
        <w:spacing w:before="120" w:after="120" w:line="360" w:lineRule="auto"/>
        <w:ind w:firstLine="480" w:firstLineChars="200"/>
        <w:rPr>
          <w:rFonts w:hint="eastAsia" w:ascii="宋体" w:hAnsi="宋体" w:eastAsia="宋体"/>
          <w:color w:val="000000"/>
          <w:kern w:val="0"/>
          <w:sz w:val="24"/>
          <w:szCs w:val="24"/>
          <w:lang w:val="en-GB"/>
        </w:rPr>
      </w:pPr>
      <w:r>
        <w:rPr>
          <w:rFonts w:hint="eastAsia" w:ascii="宋体" w:hAnsi="宋体" w:eastAsia="宋体"/>
          <w:color w:val="000000"/>
          <w:kern w:val="0"/>
          <w:sz w:val="24"/>
          <w:szCs w:val="24"/>
          <w:lang w:val="en-GB"/>
        </w:rPr>
        <w:t>本项目预留</w:t>
      </w:r>
      <w:r>
        <w:rPr>
          <w:rFonts w:ascii="宋体" w:hAnsi="宋体" w:eastAsia="宋体"/>
          <w:color w:val="000000"/>
          <w:kern w:val="0"/>
          <w:sz w:val="24"/>
          <w:szCs w:val="24"/>
          <w:lang w:val="en-GB"/>
        </w:rPr>
        <w:t>100</w:t>
      </w:r>
      <w:r>
        <w:rPr>
          <w:rFonts w:hint="eastAsia" w:ascii="宋体" w:hAnsi="宋体" w:eastAsia="宋体"/>
          <w:color w:val="000000"/>
          <w:kern w:val="0"/>
          <w:sz w:val="24"/>
          <w:szCs w:val="24"/>
          <w:lang w:val="en-GB"/>
        </w:rPr>
        <w:t>个停车位，结合周边同区域、同水平、同档位停车位出租收入单价暂按200.00元/个/月计算，基于谨慎性原则，运营期出租率暂按90%考虑。</w:t>
      </w:r>
    </w:p>
    <w:p w14:paraId="3BCD633B">
      <w:pPr>
        <w:widowControl/>
        <w:spacing w:before="120" w:after="120" w:line="360" w:lineRule="auto"/>
        <w:ind w:firstLine="482" w:firstLineChars="200"/>
        <w:outlineLvl w:val="2"/>
        <w:rPr>
          <w:rFonts w:hint="eastAsia" w:ascii="宋体" w:hAnsi="宋体" w:eastAsia="宋体"/>
          <w:b/>
          <w:bCs/>
          <w:color w:val="000000"/>
          <w:kern w:val="0"/>
          <w:sz w:val="24"/>
          <w:szCs w:val="24"/>
        </w:rPr>
      </w:pPr>
      <w:bookmarkStart w:id="29" w:name="_Toc200555361"/>
      <w:r>
        <w:rPr>
          <w:rFonts w:ascii="宋体" w:hAnsi="宋体" w:eastAsia="宋体"/>
          <w:b/>
          <w:bCs/>
          <w:color w:val="000000"/>
          <w:kern w:val="0"/>
          <w:sz w:val="24"/>
          <w:szCs w:val="24"/>
        </w:rPr>
        <w:t>2.</w:t>
      </w:r>
      <w:r>
        <w:rPr>
          <w:rFonts w:hint="eastAsia" w:ascii="宋体" w:hAnsi="宋体" w:eastAsia="宋体"/>
          <w:b/>
          <w:bCs/>
          <w:color w:val="000000"/>
          <w:kern w:val="0"/>
          <w:sz w:val="24"/>
          <w:szCs w:val="24"/>
        </w:rPr>
        <w:t>项目成本</w:t>
      </w:r>
      <w:bookmarkEnd w:id="29"/>
    </w:p>
    <w:p w14:paraId="51649BAF">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（1）运营成本</w:t>
      </w:r>
    </w:p>
    <w:p w14:paraId="1BB56CD5">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参考同类项目运营管理经验，运营成本一般按照项目运营收入的一定比例预估。参考同类项目运营成本占比数据，本项目运营成本暂按广告牌出租收入及停车位收入的20%测算。</w:t>
      </w:r>
    </w:p>
    <w:p w14:paraId="1A1CDC35">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（2）相关税费</w:t>
      </w:r>
    </w:p>
    <w:p w14:paraId="603892E7">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A．增值税：</w:t>
      </w:r>
      <w:r>
        <w:rPr>
          <w:rFonts w:ascii="宋体" w:hAnsi="宋体" w:eastAsia="宋体" w:cs="华文细黑"/>
          <w:color w:val="000000"/>
          <w:kern w:val="0"/>
          <w:sz w:val="24"/>
          <w:szCs w:val="24"/>
          <w:lang w:val="en-GB"/>
        </w:rPr>
        <w:t>根据《中华人民共和国增值税法》</w:t>
      </w:r>
      <w:r>
        <w:rPr>
          <w:rFonts w:hint="eastAsia" w:ascii="宋体" w:hAnsi="宋体" w:eastAsia="宋体" w:cs="华文细黑"/>
          <w:color w:val="000000"/>
          <w:kern w:val="0"/>
          <w:sz w:val="24"/>
          <w:szCs w:val="24"/>
          <w:lang w:val="en-GB"/>
        </w:rPr>
        <w:t>，广告牌出租收入、停车位收入增值税税率为9%。</w:t>
      </w:r>
    </w:p>
    <w:p w14:paraId="756883DA">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37396BD0">
      <w:pPr>
        <w:widowControl/>
        <w:spacing w:before="120" w:after="120" w:line="360" w:lineRule="auto"/>
        <w:ind w:firstLine="480" w:firstLineChars="200"/>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C．企业所得税：根据《海南自由贸易港建设总体方案》，对注册在海南自贸港并实质性运营的企业（负面清单行业除外），减按15%征收企业所得税。</w:t>
      </w:r>
    </w:p>
    <w:p w14:paraId="266F16A9">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表8</w:t>
      </w:r>
      <w:r>
        <w:rPr>
          <w:rFonts w:ascii="宋体" w:hAnsi="宋体" w:eastAsia="宋体"/>
          <w:b/>
          <w:kern w:val="0"/>
          <w:sz w:val="24"/>
          <w:szCs w:val="24"/>
          <w:lang w:val="en-GB"/>
        </w:rPr>
        <w:t xml:space="preserve"> </w:t>
      </w:r>
      <w:r>
        <w:rPr>
          <w:rFonts w:hint="eastAsia" w:ascii="宋体" w:hAnsi="宋体" w:eastAsia="宋体"/>
          <w:b/>
          <w:kern w:val="0"/>
          <w:sz w:val="24"/>
          <w:szCs w:val="24"/>
          <w:lang w:val="en-GB"/>
        </w:rPr>
        <w:t>海口市江东新区园区配套基础设施配套项目（五期）收入成本</w:t>
      </w:r>
      <w:r>
        <w:rPr>
          <w:rFonts w:ascii="宋体" w:hAnsi="宋体" w:eastAsia="宋体"/>
          <w:b/>
          <w:kern w:val="0"/>
          <w:sz w:val="24"/>
          <w:szCs w:val="24"/>
          <w:lang w:val="en-GB"/>
        </w:rPr>
        <w:t>预测表</w:t>
      </w:r>
    </w:p>
    <w:p w14:paraId="0EC51D3A">
      <w:pPr>
        <w:widowControl/>
        <w:ind w:firstLine="360" w:firstLineChars="200"/>
        <w:jc w:val="right"/>
        <w:rPr>
          <w:rFonts w:hint="eastAsia" w:ascii="宋体" w:hAnsi="宋体" w:eastAsia="宋体"/>
          <w:kern w:val="0"/>
          <w:sz w:val="18"/>
          <w:szCs w:val="18"/>
          <w:lang w:val="en-GB"/>
        </w:rPr>
      </w:pPr>
      <w:r>
        <w:rPr>
          <w:rFonts w:ascii="宋体" w:hAnsi="宋体" w:eastAsia="宋体"/>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6"/>
        <w:gridCol w:w="1088"/>
        <w:gridCol w:w="1088"/>
        <w:gridCol w:w="1088"/>
        <w:gridCol w:w="1088"/>
        <w:gridCol w:w="1088"/>
      </w:tblGrid>
      <w:tr w14:paraId="4E00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806" w:type="pct"/>
            <w:shd w:val="clear" w:color="auto" w:fill="D9D9D9"/>
            <w:vAlign w:val="center"/>
          </w:tcPr>
          <w:p w14:paraId="3AFEE6A7">
            <w:pPr>
              <w:widowControl/>
              <w:jc w:val="center"/>
              <w:rPr>
                <w:rFonts w:hint="eastAsia" w:ascii="宋体" w:hAnsi="宋体" w:eastAsia="宋体" w:cs="等线 Light"/>
                <w:b/>
                <w:color w:val="000000"/>
                <w:kern w:val="0"/>
                <w:sz w:val="20"/>
                <w:szCs w:val="20"/>
                <w:lang w:val="en-GB"/>
              </w:rPr>
            </w:pPr>
            <w:r>
              <w:rPr>
                <w:rFonts w:hint="eastAsia" w:ascii="宋体" w:hAnsi="宋体" w:eastAsia="宋体" w:cs="等线 Light"/>
                <w:b/>
                <w:color w:val="000000"/>
                <w:kern w:val="0"/>
                <w:sz w:val="20"/>
                <w:szCs w:val="20"/>
                <w:lang w:val="en-GB" w:eastAsia="zh-TW"/>
              </w:rPr>
              <w:t>运营期</w:t>
            </w:r>
          </w:p>
        </w:tc>
        <w:tc>
          <w:tcPr>
            <w:tcW w:w="639" w:type="pct"/>
            <w:shd w:val="clear" w:color="auto" w:fill="D9D9D9"/>
            <w:vAlign w:val="center"/>
          </w:tcPr>
          <w:p w14:paraId="5FE3716D">
            <w:pPr>
              <w:widowControl/>
              <w:jc w:val="center"/>
              <w:rPr>
                <w:rFonts w:hint="eastAsia" w:ascii="宋体" w:hAnsi="宋体" w:eastAsia="宋体" w:cs="Cambria Math"/>
                <w:b/>
                <w:color w:val="000000"/>
                <w:kern w:val="0"/>
                <w:sz w:val="20"/>
                <w:szCs w:val="20"/>
                <w:lang w:val="en-GB" w:eastAsia="zh-TW"/>
              </w:rPr>
            </w:pPr>
            <w:r>
              <w:rPr>
                <w:rFonts w:hint="eastAsia" w:ascii="宋体" w:hAnsi="宋体" w:eastAsia="宋体" w:cs="等线 Light"/>
                <w:b/>
                <w:kern w:val="0"/>
                <w:sz w:val="20"/>
                <w:szCs w:val="20"/>
                <w:lang w:val="en-GB"/>
              </w:rPr>
              <w:t>2027</w:t>
            </w:r>
          </w:p>
        </w:tc>
        <w:tc>
          <w:tcPr>
            <w:tcW w:w="639" w:type="pct"/>
            <w:shd w:val="clear" w:color="auto" w:fill="D9D9D9"/>
            <w:vAlign w:val="center"/>
          </w:tcPr>
          <w:p w14:paraId="33835DDB">
            <w:pPr>
              <w:widowControl/>
              <w:jc w:val="center"/>
              <w:rPr>
                <w:rFonts w:hint="eastAsia" w:ascii="宋体" w:hAnsi="宋体" w:eastAsia="宋体" w:cs="Cambria Math"/>
                <w:b/>
                <w:color w:val="000000"/>
                <w:kern w:val="0"/>
                <w:sz w:val="20"/>
                <w:szCs w:val="20"/>
                <w:lang w:val="en-GB" w:eastAsia="zh-TW"/>
              </w:rPr>
            </w:pPr>
            <w:r>
              <w:rPr>
                <w:rFonts w:hint="eastAsia" w:ascii="宋体" w:hAnsi="宋体" w:eastAsia="宋体" w:cs="等线 Light"/>
                <w:b/>
                <w:kern w:val="0"/>
                <w:sz w:val="20"/>
                <w:szCs w:val="20"/>
                <w:lang w:val="en-GB"/>
              </w:rPr>
              <w:t>2028</w:t>
            </w:r>
          </w:p>
        </w:tc>
        <w:tc>
          <w:tcPr>
            <w:tcW w:w="639" w:type="pct"/>
            <w:shd w:val="clear" w:color="auto" w:fill="D9D9D9"/>
            <w:vAlign w:val="center"/>
          </w:tcPr>
          <w:p w14:paraId="51B46CAE">
            <w:pPr>
              <w:widowControl/>
              <w:jc w:val="center"/>
              <w:rPr>
                <w:rFonts w:hint="eastAsia" w:ascii="宋体" w:hAnsi="宋体" w:eastAsia="宋体" w:cs="Cambria Math"/>
                <w:b/>
                <w:color w:val="000000"/>
                <w:kern w:val="0"/>
                <w:sz w:val="20"/>
                <w:szCs w:val="20"/>
                <w:lang w:val="en-GB" w:eastAsia="zh-TW"/>
              </w:rPr>
            </w:pPr>
            <w:r>
              <w:rPr>
                <w:rFonts w:hint="eastAsia" w:ascii="宋体" w:hAnsi="宋体" w:eastAsia="宋体" w:cs="等线 Light"/>
                <w:b/>
                <w:kern w:val="0"/>
                <w:sz w:val="20"/>
                <w:szCs w:val="20"/>
                <w:lang w:val="en-GB"/>
              </w:rPr>
              <w:t>2</w:t>
            </w:r>
            <w:r>
              <w:rPr>
                <w:rFonts w:ascii="宋体" w:hAnsi="宋体" w:eastAsia="宋体" w:cs="等线 Light"/>
                <w:b/>
                <w:kern w:val="0"/>
                <w:sz w:val="20"/>
                <w:szCs w:val="20"/>
                <w:lang w:val="en-GB"/>
              </w:rPr>
              <w:t>029</w:t>
            </w:r>
          </w:p>
        </w:tc>
        <w:tc>
          <w:tcPr>
            <w:tcW w:w="639" w:type="pct"/>
            <w:shd w:val="clear" w:color="auto" w:fill="D9D9D9"/>
          </w:tcPr>
          <w:p w14:paraId="11BA2C0D">
            <w:pPr>
              <w:widowControl/>
              <w:jc w:val="center"/>
              <w:rPr>
                <w:rFonts w:hint="eastAsia" w:ascii="宋体" w:hAnsi="宋体" w:eastAsia="宋体" w:cs="等线 Light"/>
                <w:b/>
                <w:kern w:val="0"/>
                <w:sz w:val="20"/>
                <w:szCs w:val="20"/>
                <w:lang w:val="en-GB"/>
              </w:rPr>
            </w:pPr>
            <w:r>
              <w:rPr>
                <w:rFonts w:hint="eastAsia" w:ascii="宋体" w:hAnsi="宋体" w:eastAsia="宋体" w:cs="等线 Light"/>
                <w:b/>
                <w:kern w:val="0"/>
                <w:sz w:val="20"/>
                <w:szCs w:val="20"/>
                <w:lang w:val="en-GB"/>
              </w:rPr>
              <w:t>2</w:t>
            </w:r>
            <w:r>
              <w:rPr>
                <w:rFonts w:ascii="宋体" w:hAnsi="宋体" w:eastAsia="宋体" w:cs="等线 Light"/>
                <w:b/>
                <w:kern w:val="0"/>
                <w:sz w:val="20"/>
                <w:szCs w:val="20"/>
                <w:lang w:val="en-GB"/>
              </w:rPr>
              <w:t>030</w:t>
            </w:r>
          </w:p>
        </w:tc>
        <w:tc>
          <w:tcPr>
            <w:tcW w:w="638" w:type="pct"/>
            <w:shd w:val="clear" w:color="auto" w:fill="D9D9D9"/>
            <w:vAlign w:val="center"/>
          </w:tcPr>
          <w:p w14:paraId="2E38A439">
            <w:pPr>
              <w:widowControl/>
              <w:jc w:val="center"/>
              <w:rPr>
                <w:rFonts w:hint="eastAsia" w:ascii="宋体" w:hAnsi="宋体" w:eastAsia="宋体" w:cs="等线 Light"/>
                <w:b/>
                <w:kern w:val="0"/>
                <w:sz w:val="20"/>
                <w:szCs w:val="20"/>
                <w:lang w:val="en-GB"/>
              </w:rPr>
            </w:pPr>
            <w:r>
              <w:rPr>
                <w:rFonts w:hint="eastAsia" w:ascii="宋体" w:hAnsi="宋体" w:eastAsia="宋体" w:cs="Cambria Math"/>
                <w:b/>
                <w:color w:val="000000"/>
                <w:kern w:val="0"/>
                <w:sz w:val="20"/>
                <w:szCs w:val="20"/>
                <w:lang w:val="en-GB" w:eastAsia="zh-TW"/>
              </w:rPr>
              <w:t>20</w:t>
            </w:r>
            <w:r>
              <w:rPr>
                <w:rFonts w:ascii="宋体" w:hAnsi="宋体" w:eastAsia="宋体" w:cs="Cambria Math"/>
                <w:b/>
                <w:color w:val="000000"/>
                <w:kern w:val="0"/>
                <w:sz w:val="20"/>
                <w:szCs w:val="20"/>
                <w:lang w:val="en-GB" w:eastAsia="zh-TW"/>
              </w:rPr>
              <w:t>31</w:t>
            </w:r>
          </w:p>
        </w:tc>
      </w:tr>
      <w:tr w14:paraId="6CC4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1485B8F8">
            <w:pPr>
              <w:widowControl/>
              <w:jc w:val="left"/>
              <w:rPr>
                <w:rFonts w:hint="eastAsia" w:ascii="宋体" w:hAnsi="宋体" w:eastAsia="宋体" w:cs="等线 Light"/>
                <w:color w:val="000000"/>
                <w:kern w:val="0"/>
                <w:sz w:val="20"/>
                <w:szCs w:val="20"/>
                <w:lang w:val="en-GB" w:eastAsia="zh-TW"/>
              </w:rPr>
            </w:pPr>
            <w:r>
              <w:rPr>
                <w:rFonts w:hint="eastAsia" w:ascii="宋体" w:hAnsi="宋体" w:eastAsia="宋体"/>
                <w:kern w:val="0"/>
                <w:sz w:val="20"/>
                <w:lang w:val="en-GB"/>
              </w:rPr>
              <w:t>广告牌出租收入</w:t>
            </w:r>
          </w:p>
        </w:tc>
        <w:tc>
          <w:tcPr>
            <w:tcW w:w="639" w:type="pct"/>
            <w:shd w:val="clear" w:color="000000" w:fill="FFFFFF"/>
            <w:vAlign w:val="center"/>
          </w:tcPr>
          <w:p w14:paraId="6915B41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9" w:type="pct"/>
            <w:shd w:val="clear" w:color="000000" w:fill="FFFFFF"/>
            <w:vAlign w:val="center"/>
          </w:tcPr>
          <w:p w14:paraId="00A9F64D">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9" w:type="pct"/>
            <w:shd w:val="clear" w:color="000000" w:fill="FFFFFF"/>
            <w:vAlign w:val="center"/>
          </w:tcPr>
          <w:p w14:paraId="135AA0B2">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9" w:type="pct"/>
            <w:shd w:val="clear" w:color="000000" w:fill="FFFFFF"/>
            <w:vAlign w:val="center"/>
          </w:tcPr>
          <w:p w14:paraId="16D3936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8" w:type="pct"/>
            <w:shd w:val="clear" w:color="000000" w:fill="FFFFFF"/>
            <w:vAlign w:val="center"/>
          </w:tcPr>
          <w:p w14:paraId="4DCA810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r>
      <w:tr w14:paraId="64E9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40EBDE98">
            <w:pPr>
              <w:widowControl/>
              <w:jc w:val="left"/>
              <w:rPr>
                <w:rFonts w:hint="eastAsia" w:ascii="宋体" w:hAnsi="宋体" w:eastAsia="宋体" w:cs="等线 Light"/>
                <w:color w:val="000000"/>
                <w:kern w:val="0"/>
                <w:sz w:val="20"/>
                <w:szCs w:val="20"/>
                <w:lang w:val="en-GB" w:eastAsia="zh-TW"/>
              </w:rPr>
            </w:pPr>
            <w:r>
              <w:rPr>
                <w:rFonts w:hint="eastAsia" w:ascii="宋体" w:hAnsi="宋体" w:eastAsia="宋体"/>
                <w:kern w:val="0"/>
                <w:sz w:val="20"/>
                <w:lang w:val="en-GB"/>
              </w:rPr>
              <w:t>停车位收入</w:t>
            </w:r>
          </w:p>
        </w:tc>
        <w:tc>
          <w:tcPr>
            <w:tcW w:w="639" w:type="pct"/>
            <w:shd w:val="clear" w:color="000000" w:fill="FFFFFF"/>
            <w:vAlign w:val="center"/>
          </w:tcPr>
          <w:p w14:paraId="33C7454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9" w:type="pct"/>
            <w:shd w:val="clear" w:color="000000" w:fill="FFFFFF"/>
            <w:vAlign w:val="center"/>
          </w:tcPr>
          <w:p w14:paraId="7EB8DF3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9" w:type="pct"/>
            <w:shd w:val="clear" w:color="000000" w:fill="FFFFFF"/>
            <w:vAlign w:val="center"/>
          </w:tcPr>
          <w:p w14:paraId="15587D4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9" w:type="pct"/>
            <w:shd w:val="clear" w:color="000000" w:fill="FFFFFF"/>
            <w:vAlign w:val="center"/>
          </w:tcPr>
          <w:p w14:paraId="7ECAD219">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8" w:type="pct"/>
            <w:shd w:val="clear" w:color="000000" w:fill="FFFFFF"/>
            <w:vAlign w:val="center"/>
          </w:tcPr>
          <w:p w14:paraId="45EB09F5">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r>
      <w:tr w14:paraId="29F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7C2A7534">
            <w:pPr>
              <w:widowControl/>
              <w:jc w:val="left"/>
              <w:rPr>
                <w:rFonts w:hint="eastAsia" w:ascii="宋体" w:hAnsi="宋体" w:eastAsia="宋体" w:cs="等线 Light"/>
                <w:b/>
                <w:bCs/>
                <w:color w:val="000000"/>
                <w:kern w:val="0"/>
                <w:sz w:val="20"/>
                <w:szCs w:val="20"/>
                <w:lang w:val="en-GB" w:eastAsia="zh-TW"/>
              </w:rPr>
            </w:pPr>
            <w:r>
              <w:rPr>
                <w:rFonts w:hint="eastAsia" w:ascii="宋体" w:hAnsi="宋体" w:eastAsia="宋体"/>
                <w:b/>
                <w:bCs/>
                <w:kern w:val="0"/>
                <w:sz w:val="20"/>
                <w:lang w:val="en-GB"/>
              </w:rPr>
              <w:t>收入合计</w:t>
            </w:r>
          </w:p>
        </w:tc>
        <w:tc>
          <w:tcPr>
            <w:tcW w:w="639" w:type="pct"/>
            <w:shd w:val="clear" w:color="000000" w:fill="FFFFFF"/>
            <w:vAlign w:val="center"/>
          </w:tcPr>
          <w:p w14:paraId="03DF43DB">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9" w:type="pct"/>
            <w:shd w:val="clear" w:color="000000" w:fill="FFFFFF"/>
            <w:vAlign w:val="center"/>
          </w:tcPr>
          <w:p w14:paraId="273AD4B1">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9" w:type="pct"/>
            <w:shd w:val="clear" w:color="000000" w:fill="FFFFFF"/>
            <w:vAlign w:val="center"/>
          </w:tcPr>
          <w:p w14:paraId="16FE639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9" w:type="pct"/>
            <w:shd w:val="clear" w:color="000000" w:fill="FFFFFF"/>
            <w:vAlign w:val="center"/>
          </w:tcPr>
          <w:p w14:paraId="38406BA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8" w:type="pct"/>
            <w:shd w:val="clear" w:color="000000" w:fill="FFFFFF"/>
            <w:vAlign w:val="center"/>
          </w:tcPr>
          <w:p w14:paraId="1A6EDBE8">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r>
      <w:tr w14:paraId="5147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0868A882">
            <w:pPr>
              <w:widowControl/>
              <w:jc w:val="left"/>
              <w:rPr>
                <w:rFonts w:hint="eastAsia" w:ascii="宋体" w:hAnsi="宋体" w:eastAsia="宋体" w:cs="等线 Light"/>
                <w:b/>
                <w:color w:val="000000"/>
                <w:kern w:val="0"/>
                <w:sz w:val="20"/>
                <w:szCs w:val="20"/>
                <w:lang w:val="en-GB"/>
              </w:rPr>
            </w:pPr>
            <w:r>
              <w:rPr>
                <w:rFonts w:hint="eastAsia" w:ascii="宋体" w:hAnsi="宋体" w:eastAsia="宋体"/>
                <w:kern w:val="0"/>
                <w:sz w:val="20"/>
                <w:lang w:val="en-GB"/>
              </w:rPr>
              <w:t>运营成本</w:t>
            </w:r>
          </w:p>
        </w:tc>
        <w:tc>
          <w:tcPr>
            <w:tcW w:w="639" w:type="pct"/>
            <w:shd w:val="clear" w:color="000000" w:fill="FFFFFF"/>
            <w:vAlign w:val="center"/>
          </w:tcPr>
          <w:p w14:paraId="321545FD">
            <w:pPr>
              <w:widowControl/>
              <w:jc w:val="right"/>
              <w:rPr>
                <w:rFonts w:hint="eastAsia" w:ascii="宋体" w:hAnsi="宋体" w:eastAsia="宋体"/>
                <w:b/>
                <w:kern w:val="0"/>
                <w:sz w:val="20"/>
                <w:szCs w:val="20"/>
                <w:lang w:val="en-GB"/>
              </w:rPr>
            </w:pPr>
            <w:r>
              <w:rPr>
                <w:rFonts w:hint="eastAsia" w:ascii="宋体" w:hAnsi="宋体" w:eastAsia="宋体"/>
                <w:color w:val="000000"/>
                <w:kern w:val="0"/>
                <w:sz w:val="20"/>
                <w:szCs w:val="20"/>
                <w:lang w:val="en-GB"/>
              </w:rPr>
              <w:t>23.33</w:t>
            </w:r>
          </w:p>
        </w:tc>
        <w:tc>
          <w:tcPr>
            <w:tcW w:w="639" w:type="pct"/>
            <w:shd w:val="clear" w:color="000000" w:fill="FFFFFF"/>
            <w:vAlign w:val="center"/>
          </w:tcPr>
          <w:p w14:paraId="752ACEAD">
            <w:pPr>
              <w:widowControl/>
              <w:jc w:val="right"/>
              <w:rPr>
                <w:rFonts w:hint="eastAsia" w:ascii="宋体" w:hAnsi="宋体" w:eastAsia="宋体"/>
                <w:b/>
                <w:kern w:val="0"/>
                <w:sz w:val="20"/>
                <w:szCs w:val="20"/>
                <w:lang w:val="en-GB"/>
              </w:rPr>
            </w:pPr>
            <w:r>
              <w:rPr>
                <w:rFonts w:hint="eastAsia" w:ascii="宋体" w:hAnsi="宋体" w:eastAsia="宋体"/>
                <w:color w:val="000000"/>
                <w:kern w:val="0"/>
                <w:sz w:val="20"/>
                <w:szCs w:val="20"/>
                <w:lang w:val="en-GB"/>
              </w:rPr>
              <w:t>23.33</w:t>
            </w:r>
          </w:p>
        </w:tc>
        <w:tc>
          <w:tcPr>
            <w:tcW w:w="639" w:type="pct"/>
            <w:shd w:val="clear" w:color="000000" w:fill="FFFFFF"/>
            <w:vAlign w:val="center"/>
          </w:tcPr>
          <w:p w14:paraId="0647C5E7">
            <w:pPr>
              <w:widowControl/>
              <w:jc w:val="right"/>
              <w:rPr>
                <w:rFonts w:hint="eastAsia" w:ascii="宋体" w:hAnsi="宋体" w:eastAsia="宋体"/>
                <w:b/>
                <w:kern w:val="0"/>
                <w:sz w:val="20"/>
                <w:szCs w:val="20"/>
                <w:lang w:val="en-GB"/>
              </w:rPr>
            </w:pPr>
            <w:r>
              <w:rPr>
                <w:rFonts w:hint="eastAsia" w:ascii="宋体" w:hAnsi="宋体" w:eastAsia="宋体"/>
                <w:color w:val="000000"/>
                <w:kern w:val="0"/>
                <w:sz w:val="20"/>
                <w:szCs w:val="20"/>
                <w:lang w:val="en-GB"/>
              </w:rPr>
              <w:t>23.33</w:t>
            </w:r>
          </w:p>
        </w:tc>
        <w:tc>
          <w:tcPr>
            <w:tcW w:w="639" w:type="pct"/>
            <w:shd w:val="clear" w:color="000000" w:fill="FFFFFF"/>
            <w:vAlign w:val="center"/>
          </w:tcPr>
          <w:p w14:paraId="0A7FD68F">
            <w:pPr>
              <w:widowControl/>
              <w:jc w:val="right"/>
              <w:rPr>
                <w:rFonts w:hint="eastAsia" w:ascii="宋体" w:hAnsi="宋体" w:eastAsia="宋体"/>
                <w:b/>
                <w:kern w:val="0"/>
                <w:sz w:val="20"/>
                <w:szCs w:val="20"/>
                <w:lang w:val="en-GB"/>
              </w:rPr>
            </w:pPr>
            <w:r>
              <w:rPr>
                <w:rFonts w:hint="eastAsia" w:ascii="宋体" w:hAnsi="宋体" w:eastAsia="宋体"/>
                <w:color w:val="000000"/>
                <w:kern w:val="0"/>
                <w:sz w:val="20"/>
                <w:szCs w:val="20"/>
                <w:lang w:val="en-GB"/>
              </w:rPr>
              <w:t>23.33</w:t>
            </w:r>
          </w:p>
        </w:tc>
        <w:tc>
          <w:tcPr>
            <w:tcW w:w="638" w:type="pct"/>
            <w:shd w:val="clear" w:color="000000" w:fill="FFFFFF"/>
            <w:vAlign w:val="center"/>
          </w:tcPr>
          <w:p w14:paraId="6556E2CB">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23.33</w:t>
            </w:r>
          </w:p>
        </w:tc>
      </w:tr>
      <w:tr w14:paraId="1E6A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3FB10F89">
            <w:pPr>
              <w:widowControl/>
              <w:jc w:val="left"/>
              <w:rPr>
                <w:rFonts w:hint="eastAsia" w:ascii="宋体" w:hAnsi="宋体" w:eastAsia="宋体" w:cs="等线 Light"/>
                <w:color w:val="000000"/>
                <w:kern w:val="0"/>
                <w:sz w:val="20"/>
                <w:szCs w:val="20"/>
                <w:lang w:val="en-GB"/>
              </w:rPr>
            </w:pPr>
            <w:r>
              <w:rPr>
                <w:rFonts w:hint="eastAsia" w:ascii="宋体" w:hAnsi="宋体" w:eastAsia="宋体"/>
                <w:kern w:val="0"/>
                <w:sz w:val="20"/>
                <w:lang w:val="en-GB"/>
              </w:rPr>
              <w:t>相关税费</w:t>
            </w:r>
          </w:p>
        </w:tc>
        <w:tc>
          <w:tcPr>
            <w:tcW w:w="639" w:type="pct"/>
            <w:shd w:val="clear" w:color="000000" w:fill="FFFFFF"/>
            <w:vAlign w:val="center"/>
          </w:tcPr>
          <w:p w14:paraId="06ADD9DB">
            <w:pPr>
              <w:widowControl/>
              <w:jc w:val="right"/>
              <w:rPr>
                <w:rFonts w:hint="eastAsia" w:ascii="宋体" w:hAnsi="宋体" w:eastAsia="宋体"/>
                <w:kern w:val="0"/>
                <w:sz w:val="20"/>
                <w:szCs w:val="20"/>
                <w:lang w:val="en-GB"/>
              </w:rPr>
            </w:pPr>
            <w:r>
              <w:rPr>
                <w:rFonts w:hint="eastAsia" w:ascii="宋体" w:hAnsi="宋体" w:eastAsia="宋体"/>
                <w:color w:val="000000"/>
                <w:kern w:val="0"/>
                <w:sz w:val="20"/>
                <w:szCs w:val="20"/>
                <w:lang w:val="en-GB"/>
              </w:rPr>
              <w:t>9.31</w:t>
            </w:r>
          </w:p>
        </w:tc>
        <w:tc>
          <w:tcPr>
            <w:tcW w:w="639" w:type="pct"/>
            <w:shd w:val="clear" w:color="000000" w:fill="FFFFFF"/>
            <w:vAlign w:val="center"/>
          </w:tcPr>
          <w:p w14:paraId="568B6D4A">
            <w:pPr>
              <w:widowControl/>
              <w:jc w:val="right"/>
              <w:rPr>
                <w:rFonts w:hint="eastAsia" w:ascii="宋体" w:hAnsi="宋体" w:eastAsia="宋体"/>
                <w:kern w:val="0"/>
                <w:sz w:val="20"/>
                <w:szCs w:val="20"/>
                <w:lang w:val="en-GB"/>
              </w:rPr>
            </w:pPr>
            <w:r>
              <w:rPr>
                <w:rFonts w:hint="eastAsia" w:ascii="宋体" w:hAnsi="宋体" w:eastAsia="宋体"/>
                <w:color w:val="000000"/>
                <w:kern w:val="0"/>
                <w:sz w:val="20"/>
                <w:szCs w:val="20"/>
                <w:lang w:val="en-GB"/>
              </w:rPr>
              <w:t>9.31</w:t>
            </w:r>
          </w:p>
        </w:tc>
        <w:tc>
          <w:tcPr>
            <w:tcW w:w="639" w:type="pct"/>
            <w:shd w:val="clear" w:color="000000" w:fill="FFFFFF"/>
            <w:vAlign w:val="center"/>
          </w:tcPr>
          <w:p w14:paraId="3DEC9BB4">
            <w:pPr>
              <w:widowControl/>
              <w:jc w:val="right"/>
              <w:rPr>
                <w:rFonts w:hint="eastAsia" w:ascii="宋体" w:hAnsi="宋体" w:eastAsia="宋体"/>
                <w:kern w:val="0"/>
                <w:sz w:val="20"/>
                <w:szCs w:val="20"/>
                <w:lang w:val="en-GB"/>
              </w:rPr>
            </w:pPr>
            <w:r>
              <w:rPr>
                <w:rFonts w:hint="eastAsia" w:ascii="宋体" w:hAnsi="宋体" w:eastAsia="宋体"/>
                <w:color w:val="000000"/>
                <w:kern w:val="0"/>
                <w:sz w:val="20"/>
                <w:szCs w:val="20"/>
                <w:lang w:val="en-GB"/>
              </w:rPr>
              <w:t>9.31</w:t>
            </w:r>
          </w:p>
        </w:tc>
        <w:tc>
          <w:tcPr>
            <w:tcW w:w="639" w:type="pct"/>
            <w:shd w:val="clear" w:color="000000" w:fill="FFFFFF"/>
            <w:vAlign w:val="center"/>
          </w:tcPr>
          <w:p w14:paraId="391E30D7">
            <w:pPr>
              <w:widowControl/>
              <w:jc w:val="right"/>
              <w:rPr>
                <w:rFonts w:hint="eastAsia" w:ascii="宋体" w:hAnsi="宋体" w:eastAsia="宋体"/>
                <w:b/>
                <w:bCs/>
                <w:kern w:val="0"/>
                <w:sz w:val="20"/>
                <w:szCs w:val="20"/>
                <w:lang w:val="en-GB"/>
              </w:rPr>
            </w:pPr>
            <w:r>
              <w:rPr>
                <w:rFonts w:hint="eastAsia" w:ascii="宋体" w:hAnsi="宋体" w:eastAsia="宋体"/>
                <w:color w:val="000000"/>
                <w:kern w:val="0"/>
                <w:sz w:val="20"/>
                <w:szCs w:val="20"/>
                <w:lang w:val="en-GB"/>
              </w:rPr>
              <w:t>9.31</w:t>
            </w:r>
          </w:p>
        </w:tc>
        <w:tc>
          <w:tcPr>
            <w:tcW w:w="638" w:type="pct"/>
            <w:shd w:val="clear" w:color="000000" w:fill="FFFFFF"/>
            <w:vAlign w:val="center"/>
          </w:tcPr>
          <w:p w14:paraId="564489E3">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9.31</w:t>
            </w:r>
          </w:p>
        </w:tc>
      </w:tr>
      <w:tr w14:paraId="1B9F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06" w:type="pct"/>
            <w:shd w:val="clear" w:color="000000" w:fill="FFFFFF"/>
          </w:tcPr>
          <w:p w14:paraId="7C44164A">
            <w:pPr>
              <w:widowControl/>
              <w:jc w:val="left"/>
              <w:rPr>
                <w:rFonts w:hint="eastAsia" w:ascii="宋体" w:hAnsi="宋体" w:eastAsia="宋体" w:cs="等线 Light"/>
                <w:b/>
                <w:bCs/>
                <w:color w:val="000000"/>
                <w:kern w:val="0"/>
                <w:sz w:val="20"/>
                <w:szCs w:val="20"/>
                <w:lang w:val="en-GB"/>
              </w:rPr>
            </w:pPr>
            <w:r>
              <w:rPr>
                <w:rFonts w:hint="eastAsia" w:ascii="宋体" w:hAnsi="宋体" w:eastAsia="宋体"/>
                <w:b/>
                <w:bCs/>
                <w:kern w:val="0"/>
                <w:sz w:val="20"/>
                <w:lang w:val="en-GB"/>
              </w:rPr>
              <w:t>成本合计</w:t>
            </w:r>
          </w:p>
        </w:tc>
        <w:tc>
          <w:tcPr>
            <w:tcW w:w="639" w:type="pct"/>
            <w:shd w:val="clear" w:color="000000" w:fill="FFFFFF"/>
            <w:vAlign w:val="center"/>
          </w:tcPr>
          <w:p w14:paraId="5B180AD2">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32.64</w:t>
            </w:r>
          </w:p>
        </w:tc>
        <w:tc>
          <w:tcPr>
            <w:tcW w:w="639" w:type="pct"/>
            <w:shd w:val="clear" w:color="000000" w:fill="FFFFFF"/>
            <w:vAlign w:val="center"/>
          </w:tcPr>
          <w:p w14:paraId="4463F088">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32.64</w:t>
            </w:r>
          </w:p>
        </w:tc>
        <w:tc>
          <w:tcPr>
            <w:tcW w:w="639" w:type="pct"/>
            <w:shd w:val="clear" w:color="000000" w:fill="FFFFFF"/>
            <w:vAlign w:val="center"/>
          </w:tcPr>
          <w:p w14:paraId="490F6DDE">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32.64</w:t>
            </w:r>
          </w:p>
        </w:tc>
        <w:tc>
          <w:tcPr>
            <w:tcW w:w="639" w:type="pct"/>
            <w:shd w:val="clear" w:color="000000" w:fill="FFFFFF"/>
            <w:vAlign w:val="center"/>
          </w:tcPr>
          <w:p w14:paraId="6FF6BD08">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32.64</w:t>
            </w:r>
          </w:p>
        </w:tc>
        <w:tc>
          <w:tcPr>
            <w:tcW w:w="638" w:type="pct"/>
            <w:shd w:val="clear" w:color="000000" w:fill="FFFFFF"/>
            <w:vAlign w:val="center"/>
          </w:tcPr>
          <w:p w14:paraId="67BEBE8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32.64</w:t>
            </w:r>
          </w:p>
        </w:tc>
      </w:tr>
    </w:tbl>
    <w:p w14:paraId="516EA80C">
      <w:pPr>
        <w:widowControl/>
        <w:ind w:firstLine="480" w:firstLineChars="200"/>
        <w:jc w:val="left"/>
        <w:rPr>
          <w:rFonts w:hint="eastAsia" w:ascii="宋体" w:hAnsi="宋体" w:eastAsia="宋体"/>
          <w:kern w:val="0"/>
          <w:sz w:val="24"/>
          <w:szCs w:val="24"/>
          <w:lang w:val="en-GB" w:eastAsia="zh-TW"/>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1080"/>
        <w:gridCol w:w="1082"/>
        <w:gridCol w:w="1080"/>
        <w:gridCol w:w="1082"/>
        <w:gridCol w:w="1153"/>
      </w:tblGrid>
      <w:tr w14:paraId="1B0F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85" w:type="pct"/>
            <w:shd w:val="clear" w:color="auto" w:fill="D9D9D9"/>
            <w:vAlign w:val="center"/>
          </w:tcPr>
          <w:p w14:paraId="1D31A80F">
            <w:pPr>
              <w:widowControl/>
              <w:jc w:val="center"/>
              <w:rPr>
                <w:rFonts w:hint="eastAsia" w:ascii="宋体" w:hAnsi="宋体" w:eastAsia="宋体" w:cs="等线 Light"/>
                <w:b/>
                <w:color w:val="000000"/>
                <w:kern w:val="0"/>
                <w:sz w:val="20"/>
                <w:szCs w:val="20"/>
                <w:lang w:val="en-GB"/>
              </w:rPr>
            </w:pPr>
            <w:r>
              <w:rPr>
                <w:rFonts w:hint="eastAsia" w:ascii="宋体" w:hAnsi="宋体" w:eastAsia="宋体" w:cs="等线 Light"/>
                <w:b/>
                <w:color w:val="000000"/>
                <w:kern w:val="0"/>
                <w:sz w:val="20"/>
                <w:szCs w:val="20"/>
                <w:lang w:val="en-GB" w:eastAsia="zh-TW"/>
              </w:rPr>
              <w:t>运营期</w:t>
            </w:r>
          </w:p>
        </w:tc>
        <w:tc>
          <w:tcPr>
            <w:tcW w:w="634" w:type="pct"/>
            <w:shd w:val="clear" w:color="auto" w:fill="D9D9D9"/>
            <w:vAlign w:val="center"/>
          </w:tcPr>
          <w:p w14:paraId="1508F6CF">
            <w:pPr>
              <w:widowControl/>
              <w:jc w:val="center"/>
              <w:rPr>
                <w:rFonts w:hint="eastAsia" w:ascii="宋体" w:hAnsi="宋体" w:eastAsia="宋体" w:cs="Cambria Math"/>
                <w:b/>
                <w:color w:val="000000"/>
                <w:kern w:val="0"/>
                <w:sz w:val="20"/>
                <w:szCs w:val="20"/>
                <w:lang w:val="en-GB"/>
              </w:rPr>
            </w:pPr>
            <w:r>
              <w:rPr>
                <w:rFonts w:hint="eastAsia" w:ascii="宋体" w:hAnsi="宋体" w:eastAsia="宋体" w:cs="Cambria Math"/>
                <w:b/>
                <w:color w:val="000000"/>
                <w:kern w:val="0"/>
                <w:sz w:val="20"/>
                <w:szCs w:val="20"/>
                <w:lang w:val="en-GB" w:eastAsia="zh-TW"/>
              </w:rPr>
              <w:t>20</w:t>
            </w:r>
            <w:r>
              <w:rPr>
                <w:rFonts w:ascii="宋体" w:hAnsi="宋体" w:eastAsia="宋体" w:cs="Cambria Math"/>
                <w:b/>
                <w:color w:val="000000"/>
                <w:kern w:val="0"/>
                <w:sz w:val="20"/>
                <w:szCs w:val="20"/>
                <w:lang w:val="en-GB" w:eastAsia="zh-TW"/>
              </w:rPr>
              <w:t>32</w:t>
            </w:r>
          </w:p>
        </w:tc>
        <w:tc>
          <w:tcPr>
            <w:tcW w:w="635" w:type="pct"/>
            <w:shd w:val="clear" w:color="auto" w:fill="D9D9D9"/>
            <w:vAlign w:val="center"/>
          </w:tcPr>
          <w:p w14:paraId="13F10EE3">
            <w:pPr>
              <w:widowControl/>
              <w:jc w:val="center"/>
              <w:rPr>
                <w:rFonts w:hint="eastAsia" w:ascii="宋体" w:hAnsi="宋体" w:eastAsia="宋体" w:cs="Cambria Math"/>
                <w:b/>
                <w:color w:val="000000"/>
                <w:kern w:val="0"/>
                <w:sz w:val="20"/>
                <w:szCs w:val="20"/>
                <w:lang w:val="en-GB"/>
              </w:rPr>
            </w:pPr>
            <w:r>
              <w:rPr>
                <w:rFonts w:hint="eastAsia" w:ascii="宋体" w:hAnsi="宋体" w:eastAsia="宋体" w:cs="Cambria Math"/>
                <w:b/>
                <w:color w:val="000000"/>
                <w:kern w:val="0"/>
                <w:sz w:val="20"/>
                <w:szCs w:val="20"/>
                <w:lang w:val="en-GB" w:eastAsia="zh-TW"/>
              </w:rPr>
              <w:t>20</w:t>
            </w:r>
            <w:r>
              <w:rPr>
                <w:rFonts w:ascii="宋体" w:hAnsi="宋体" w:eastAsia="宋体" w:cs="Cambria Math"/>
                <w:b/>
                <w:color w:val="000000"/>
                <w:kern w:val="0"/>
                <w:sz w:val="20"/>
                <w:szCs w:val="20"/>
                <w:lang w:val="en-GB" w:eastAsia="zh-TW"/>
              </w:rPr>
              <w:t>33</w:t>
            </w:r>
          </w:p>
        </w:tc>
        <w:tc>
          <w:tcPr>
            <w:tcW w:w="634" w:type="pct"/>
            <w:shd w:val="clear" w:color="auto" w:fill="D9D9D9"/>
            <w:vAlign w:val="center"/>
          </w:tcPr>
          <w:p w14:paraId="21D4C9F9">
            <w:pPr>
              <w:widowControl/>
              <w:jc w:val="center"/>
              <w:rPr>
                <w:rFonts w:hint="eastAsia" w:ascii="宋体" w:hAnsi="宋体" w:eastAsia="宋体" w:cs="Cambria Math"/>
                <w:b/>
                <w:color w:val="000000"/>
                <w:kern w:val="0"/>
                <w:sz w:val="20"/>
                <w:szCs w:val="20"/>
                <w:lang w:val="en-GB" w:eastAsia="zh-TW"/>
              </w:rPr>
            </w:pPr>
            <w:r>
              <w:rPr>
                <w:rFonts w:hint="eastAsia" w:ascii="宋体" w:hAnsi="宋体" w:eastAsia="宋体" w:cs="等线 Light"/>
                <w:b/>
                <w:kern w:val="0"/>
                <w:sz w:val="20"/>
                <w:szCs w:val="20"/>
                <w:lang w:val="en-GB"/>
              </w:rPr>
              <w:t>20</w:t>
            </w:r>
            <w:r>
              <w:rPr>
                <w:rFonts w:ascii="宋体" w:hAnsi="宋体" w:eastAsia="宋体" w:cs="等线 Light"/>
                <w:b/>
                <w:kern w:val="0"/>
                <w:sz w:val="20"/>
                <w:szCs w:val="20"/>
                <w:lang w:val="en-GB"/>
              </w:rPr>
              <w:t>34</w:t>
            </w:r>
          </w:p>
        </w:tc>
        <w:tc>
          <w:tcPr>
            <w:tcW w:w="635" w:type="pct"/>
            <w:shd w:val="clear" w:color="auto" w:fill="D9D9D9"/>
          </w:tcPr>
          <w:p w14:paraId="7B550F13">
            <w:pPr>
              <w:widowControl/>
              <w:jc w:val="center"/>
              <w:rPr>
                <w:rFonts w:hint="eastAsia" w:ascii="宋体" w:hAnsi="宋体" w:eastAsia="宋体" w:cs="等线 Light"/>
                <w:b/>
                <w:kern w:val="0"/>
                <w:sz w:val="20"/>
                <w:szCs w:val="20"/>
                <w:lang w:val="en-GB"/>
              </w:rPr>
            </w:pPr>
            <w:r>
              <w:rPr>
                <w:rFonts w:hint="eastAsia" w:ascii="宋体" w:hAnsi="宋体" w:eastAsia="宋体" w:cs="等线 Light"/>
                <w:b/>
                <w:kern w:val="0"/>
                <w:sz w:val="20"/>
                <w:szCs w:val="20"/>
                <w:lang w:val="en-GB"/>
              </w:rPr>
              <w:t>2035</w:t>
            </w:r>
          </w:p>
        </w:tc>
        <w:tc>
          <w:tcPr>
            <w:tcW w:w="677" w:type="pct"/>
            <w:shd w:val="clear" w:color="auto" w:fill="D9D9D9"/>
            <w:vAlign w:val="center"/>
          </w:tcPr>
          <w:p w14:paraId="09303FE5">
            <w:pPr>
              <w:widowControl/>
              <w:jc w:val="center"/>
              <w:rPr>
                <w:rFonts w:hint="eastAsia" w:ascii="宋体" w:hAnsi="宋体" w:eastAsia="宋体" w:cs="Cambria Math"/>
                <w:b/>
                <w:color w:val="000000"/>
                <w:kern w:val="0"/>
                <w:sz w:val="20"/>
                <w:szCs w:val="20"/>
                <w:lang w:val="en-GB" w:eastAsia="zh-TW"/>
              </w:rPr>
            </w:pPr>
            <w:r>
              <w:rPr>
                <w:rFonts w:hint="eastAsia" w:ascii="宋体" w:hAnsi="宋体" w:eastAsia="宋体" w:cs="等线 Light"/>
                <w:b/>
                <w:kern w:val="0"/>
                <w:sz w:val="20"/>
                <w:szCs w:val="20"/>
                <w:lang w:val="en-GB"/>
              </w:rPr>
              <w:t>合计</w:t>
            </w:r>
          </w:p>
        </w:tc>
      </w:tr>
      <w:tr w14:paraId="1B24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4D3FD0E5">
            <w:pPr>
              <w:widowControl/>
              <w:jc w:val="left"/>
              <w:rPr>
                <w:rFonts w:hint="eastAsia" w:ascii="宋体" w:hAnsi="宋体" w:eastAsia="宋体" w:cs="等线 Light"/>
                <w:color w:val="000000"/>
                <w:kern w:val="0"/>
                <w:sz w:val="20"/>
                <w:szCs w:val="20"/>
                <w:lang w:val="en-GB" w:eastAsia="zh-TW"/>
              </w:rPr>
            </w:pPr>
            <w:r>
              <w:rPr>
                <w:rFonts w:hint="eastAsia" w:ascii="宋体" w:hAnsi="宋体" w:eastAsia="宋体"/>
                <w:kern w:val="0"/>
                <w:sz w:val="20"/>
                <w:lang w:val="en-GB"/>
              </w:rPr>
              <w:t>广告牌出租收入</w:t>
            </w:r>
          </w:p>
        </w:tc>
        <w:tc>
          <w:tcPr>
            <w:tcW w:w="634" w:type="pct"/>
            <w:shd w:val="clear" w:color="000000" w:fill="FFFFFF"/>
            <w:vAlign w:val="center"/>
          </w:tcPr>
          <w:p w14:paraId="243DBF14">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5" w:type="pct"/>
            <w:shd w:val="clear" w:color="000000" w:fill="FFFFFF"/>
            <w:vAlign w:val="center"/>
          </w:tcPr>
          <w:p w14:paraId="6FD82C98">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4" w:type="pct"/>
            <w:shd w:val="clear" w:color="000000" w:fill="FFFFFF"/>
            <w:vAlign w:val="center"/>
          </w:tcPr>
          <w:p w14:paraId="5333A44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35" w:type="pct"/>
            <w:shd w:val="clear" w:color="000000" w:fill="FFFFFF"/>
            <w:vAlign w:val="center"/>
          </w:tcPr>
          <w:p w14:paraId="7F310DC7">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108.00</w:t>
            </w:r>
          </w:p>
        </w:tc>
        <w:tc>
          <w:tcPr>
            <w:tcW w:w="677" w:type="pct"/>
            <w:shd w:val="clear" w:color="000000" w:fill="FFFFFF"/>
            <w:vAlign w:val="center"/>
          </w:tcPr>
          <w:p w14:paraId="17EA8607">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972.00</w:t>
            </w:r>
          </w:p>
        </w:tc>
      </w:tr>
      <w:tr w14:paraId="6208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62AB644F">
            <w:pPr>
              <w:widowControl/>
              <w:jc w:val="left"/>
              <w:rPr>
                <w:rFonts w:hint="eastAsia" w:ascii="宋体" w:hAnsi="宋体" w:eastAsia="宋体" w:cs="等线 Light"/>
                <w:color w:val="000000"/>
                <w:kern w:val="0"/>
                <w:sz w:val="20"/>
                <w:szCs w:val="20"/>
                <w:lang w:val="en-GB" w:eastAsia="zh-TW"/>
              </w:rPr>
            </w:pPr>
            <w:r>
              <w:rPr>
                <w:rFonts w:hint="eastAsia" w:ascii="宋体" w:hAnsi="宋体" w:eastAsia="宋体"/>
                <w:kern w:val="0"/>
                <w:sz w:val="20"/>
                <w:lang w:val="en-GB"/>
              </w:rPr>
              <w:t>停车位收入</w:t>
            </w:r>
          </w:p>
        </w:tc>
        <w:tc>
          <w:tcPr>
            <w:tcW w:w="634" w:type="pct"/>
            <w:shd w:val="clear" w:color="000000" w:fill="FFFFFF"/>
            <w:vAlign w:val="center"/>
          </w:tcPr>
          <w:p w14:paraId="6434220F">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5" w:type="pct"/>
            <w:shd w:val="clear" w:color="000000" w:fill="FFFFFF"/>
            <w:vAlign w:val="center"/>
          </w:tcPr>
          <w:p w14:paraId="3F0B80DA">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4" w:type="pct"/>
            <w:shd w:val="clear" w:color="000000" w:fill="FFFFFF"/>
            <w:vAlign w:val="center"/>
          </w:tcPr>
          <w:p w14:paraId="375AF826">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35" w:type="pct"/>
            <w:shd w:val="clear" w:color="000000" w:fill="FFFFFF"/>
            <w:vAlign w:val="center"/>
          </w:tcPr>
          <w:p w14:paraId="37EE9230">
            <w:pPr>
              <w:widowControl/>
              <w:jc w:val="right"/>
              <w:rPr>
                <w:rFonts w:hint="eastAsia" w:ascii="宋体" w:hAnsi="宋体" w:eastAsia="宋体"/>
                <w:color w:val="000000"/>
                <w:kern w:val="0"/>
                <w:sz w:val="20"/>
                <w:szCs w:val="20"/>
                <w:lang w:val="en-GB"/>
              </w:rPr>
            </w:pPr>
            <w:r>
              <w:rPr>
                <w:rFonts w:hint="eastAsia" w:ascii="宋体" w:hAnsi="宋体" w:eastAsia="宋体"/>
                <w:color w:val="000000"/>
                <w:kern w:val="0"/>
                <w:sz w:val="20"/>
                <w:szCs w:val="20"/>
                <w:lang w:val="en-GB"/>
              </w:rPr>
              <w:t>8.64</w:t>
            </w:r>
          </w:p>
        </w:tc>
        <w:tc>
          <w:tcPr>
            <w:tcW w:w="677" w:type="pct"/>
            <w:shd w:val="clear" w:color="000000" w:fill="FFFFFF"/>
            <w:vAlign w:val="center"/>
          </w:tcPr>
          <w:p w14:paraId="566B00BF">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77.76</w:t>
            </w:r>
          </w:p>
        </w:tc>
      </w:tr>
      <w:tr w14:paraId="19D9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7A395693">
            <w:pPr>
              <w:widowControl/>
              <w:jc w:val="left"/>
              <w:rPr>
                <w:rFonts w:hint="eastAsia" w:ascii="宋体" w:hAnsi="宋体" w:eastAsia="宋体" w:cs="等线 Light"/>
                <w:b/>
                <w:bCs/>
                <w:color w:val="000000"/>
                <w:kern w:val="0"/>
                <w:sz w:val="20"/>
                <w:szCs w:val="20"/>
                <w:lang w:val="en-GB" w:eastAsia="zh-TW"/>
              </w:rPr>
            </w:pPr>
            <w:r>
              <w:rPr>
                <w:rFonts w:hint="eastAsia" w:ascii="宋体" w:hAnsi="宋体" w:eastAsia="宋体"/>
                <w:b/>
                <w:bCs/>
                <w:kern w:val="0"/>
                <w:sz w:val="20"/>
                <w:lang w:val="en-GB"/>
              </w:rPr>
              <w:t>收入合计</w:t>
            </w:r>
          </w:p>
        </w:tc>
        <w:tc>
          <w:tcPr>
            <w:tcW w:w="634" w:type="pct"/>
            <w:shd w:val="clear" w:color="000000" w:fill="FFFFFF"/>
            <w:vAlign w:val="center"/>
          </w:tcPr>
          <w:p w14:paraId="04BB466F">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5" w:type="pct"/>
            <w:shd w:val="clear" w:color="000000" w:fill="FFFFFF"/>
            <w:vAlign w:val="center"/>
          </w:tcPr>
          <w:p w14:paraId="1F89BBB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4" w:type="pct"/>
            <w:shd w:val="clear" w:color="000000" w:fill="FFFFFF"/>
            <w:vAlign w:val="center"/>
          </w:tcPr>
          <w:p w14:paraId="01F2EF1E">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35" w:type="pct"/>
            <w:shd w:val="clear" w:color="000000" w:fill="FFFFFF"/>
            <w:vAlign w:val="center"/>
          </w:tcPr>
          <w:p w14:paraId="5FCBF5A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116.64</w:t>
            </w:r>
          </w:p>
        </w:tc>
        <w:tc>
          <w:tcPr>
            <w:tcW w:w="677" w:type="pct"/>
            <w:shd w:val="clear" w:color="000000" w:fill="FFFFFF"/>
            <w:vAlign w:val="center"/>
          </w:tcPr>
          <w:p w14:paraId="2E9B60B6">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1,049.76</w:t>
            </w:r>
          </w:p>
        </w:tc>
      </w:tr>
      <w:tr w14:paraId="3119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56550431">
            <w:pPr>
              <w:widowControl/>
              <w:jc w:val="left"/>
              <w:rPr>
                <w:rFonts w:hint="eastAsia" w:ascii="宋体" w:hAnsi="宋体" w:eastAsia="宋体" w:cs="等线 Light"/>
                <w:b/>
                <w:color w:val="000000"/>
                <w:kern w:val="0"/>
                <w:sz w:val="20"/>
                <w:szCs w:val="20"/>
                <w:lang w:val="en-GB"/>
              </w:rPr>
            </w:pPr>
            <w:r>
              <w:rPr>
                <w:rFonts w:hint="eastAsia" w:ascii="宋体" w:hAnsi="宋体" w:eastAsia="宋体"/>
                <w:kern w:val="0"/>
                <w:sz w:val="20"/>
                <w:lang w:val="en-GB"/>
              </w:rPr>
              <w:t>运营成本</w:t>
            </w:r>
          </w:p>
        </w:tc>
        <w:tc>
          <w:tcPr>
            <w:tcW w:w="634" w:type="pct"/>
            <w:shd w:val="clear" w:color="000000" w:fill="FFFFFF"/>
            <w:vAlign w:val="center"/>
          </w:tcPr>
          <w:p w14:paraId="168EA305">
            <w:pPr>
              <w:widowControl/>
              <w:jc w:val="right"/>
              <w:rPr>
                <w:rFonts w:hint="eastAsia" w:ascii="宋体" w:hAnsi="宋体" w:eastAsia="宋体" w:cs="等线 Light"/>
                <w:b/>
                <w:kern w:val="0"/>
                <w:sz w:val="20"/>
                <w:szCs w:val="20"/>
                <w:lang w:val="en-GB"/>
              </w:rPr>
            </w:pPr>
            <w:r>
              <w:rPr>
                <w:rFonts w:hint="eastAsia" w:ascii="宋体" w:hAnsi="宋体" w:eastAsia="宋体"/>
                <w:color w:val="000000"/>
                <w:kern w:val="0"/>
                <w:sz w:val="20"/>
                <w:szCs w:val="20"/>
                <w:lang w:val="en-GB"/>
              </w:rPr>
              <w:t>23.33</w:t>
            </w:r>
          </w:p>
        </w:tc>
        <w:tc>
          <w:tcPr>
            <w:tcW w:w="635" w:type="pct"/>
            <w:shd w:val="clear" w:color="000000" w:fill="FFFFFF"/>
            <w:vAlign w:val="center"/>
          </w:tcPr>
          <w:p w14:paraId="7910BAC6">
            <w:pPr>
              <w:widowControl/>
              <w:jc w:val="right"/>
              <w:rPr>
                <w:rFonts w:hint="eastAsia" w:ascii="宋体" w:hAnsi="宋体" w:eastAsia="宋体" w:cs="等线 Light"/>
                <w:b/>
                <w:kern w:val="0"/>
                <w:sz w:val="20"/>
                <w:szCs w:val="20"/>
                <w:lang w:val="en-GB"/>
              </w:rPr>
            </w:pPr>
            <w:r>
              <w:rPr>
                <w:rFonts w:hint="eastAsia" w:ascii="宋体" w:hAnsi="宋体" w:eastAsia="宋体"/>
                <w:color w:val="000000"/>
                <w:kern w:val="0"/>
                <w:sz w:val="20"/>
                <w:szCs w:val="20"/>
                <w:lang w:val="en-GB"/>
              </w:rPr>
              <w:t>23.33</w:t>
            </w:r>
          </w:p>
        </w:tc>
        <w:tc>
          <w:tcPr>
            <w:tcW w:w="634" w:type="pct"/>
            <w:shd w:val="clear" w:color="000000" w:fill="FFFFFF"/>
            <w:vAlign w:val="center"/>
          </w:tcPr>
          <w:p w14:paraId="11DA3478">
            <w:pPr>
              <w:widowControl/>
              <w:jc w:val="right"/>
              <w:rPr>
                <w:rFonts w:hint="eastAsia" w:ascii="宋体" w:hAnsi="宋体" w:eastAsia="宋体"/>
                <w:b/>
                <w:kern w:val="0"/>
                <w:sz w:val="20"/>
                <w:szCs w:val="20"/>
                <w:lang w:val="en-GB"/>
              </w:rPr>
            </w:pPr>
            <w:r>
              <w:rPr>
                <w:rFonts w:hint="eastAsia" w:ascii="宋体" w:hAnsi="宋体" w:eastAsia="宋体"/>
                <w:color w:val="000000"/>
                <w:kern w:val="0"/>
                <w:sz w:val="20"/>
                <w:szCs w:val="20"/>
                <w:lang w:val="en-GB"/>
              </w:rPr>
              <w:t>23.33</w:t>
            </w:r>
          </w:p>
        </w:tc>
        <w:tc>
          <w:tcPr>
            <w:tcW w:w="635" w:type="pct"/>
            <w:shd w:val="clear" w:color="000000" w:fill="FFFFFF"/>
            <w:vAlign w:val="center"/>
          </w:tcPr>
          <w:p w14:paraId="7B1BA0DA">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23.33</w:t>
            </w:r>
          </w:p>
        </w:tc>
        <w:tc>
          <w:tcPr>
            <w:tcW w:w="677" w:type="pct"/>
            <w:shd w:val="clear" w:color="000000" w:fill="FFFFFF"/>
            <w:vAlign w:val="center"/>
          </w:tcPr>
          <w:p w14:paraId="6DF6D36A">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209.97</w:t>
            </w:r>
          </w:p>
        </w:tc>
      </w:tr>
      <w:tr w14:paraId="25A9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37529014">
            <w:pPr>
              <w:widowControl/>
              <w:jc w:val="left"/>
              <w:rPr>
                <w:rFonts w:hint="eastAsia" w:ascii="宋体" w:hAnsi="宋体" w:eastAsia="宋体" w:cs="等线 Light"/>
                <w:color w:val="000000"/>
                <w:kern w:val="0"/>
                <w:sz w:val="20"/>
                <w:szCs w:val="20"/>
                <w:lang w:val="en-GB"/>
              </w:rPr>
            </w:pPr>
            <w:r>
              <w:rPr>
                <w:rFonts w:hint="eastAsia" w:ascii="宋体" w:hAnsi="宋体" w:eastAsia="宋体"/>
                <w:kern w:val="0"/>
                <w:sz w:val="20"/>
                <w:lang w:val="en-GB"/>
              </w:rPr>
              <w:t>相关税费</w:t>
            </w:r>
          </w:p>
        </w:tc>
        <w:tc>
          <w:tcPr>
            <w:tcW w:w="634" w:type="pct"/>
            <w:shd w:val="clear" w:color="000000" w:fill="FFFFFF"/>
            <w:vAlign w:val="center"/>
          </w:tcPr>
          <w:p w14:paraId="756E1DF0">
            <w:pPr>
              <w:widowControl/>
              <w:jc w:val="right"/>
              <w:rPr>
                <w:rFonts w:hint="eastAsia" w:ascii="宋体" w:hAnsi="宋体" w:eastAsia="宋体" w:cs="等线 Light"/>
                <w:kern w:val="0"/>
                <w:sz w:val="20"/>
                <w:szCs w:val="20"/>
                <w:lang w:val="en-GB"/>
              </w:rPr>
            </w:pPr>
            <w:r>
              <w:rPr>
                <w:rFonts w:hint="eastAsia" w:ascii="宋体" w:hAnsi="宋体" w:eastAsia="宋体"/>
                <w:color w:val="000000"/>
                <w:kern w:val="0"/>
                <w:sz w:val="20"/>
                <w:szCs w:val="20"/>
                <w:lang w:val="en-GB"/>
              </w:rPr>
              <w:t>9.31</w:t>
            </w:r>
          </w:p>
        </w:tc>
        <w:tc>
          <w:tcPr>
            <w:tcW w:w="635" w:type="pct"/>
            <w:shd w:val="clear" w:color="000000" w:fill="FFFFFF"/>
            <w:vAlign w:val="center"/>
          </w:tcPr>
          <w:p w14:paraId="1C7F75C1">
            <w:pPr>
              <w:widowControl/>
              <w:jc w:val="right"/>
              <w:rPr>
                <w:rFonts w:hint="eastAsia" w:ascii="宋体" w:hAnsi="宋体" w:eastAsia="宋体" w:cs="等线 Light"/>
                <w:kern w:val="0"/>
                <w:sz w:val="20"/>
                <w:szCs w:val="20"/>
                <w:lang w:val="en-GB"/>
              </w:rPr>
            </w:pPr>
            <w:r>
              <w:rPr>
                <w:rFonts w:hint="eastAsia" w:ascii="宋体" w:hAnsi="宋体" w:eastAsia="宋体"/>
                <w:color w:val="000000"/>
                <w:kern w:val="0"/>
                <w:sz w:val="20"/>
                <w:szCs w:val="20"/>
                <w:lang w:val="en-GB"/>
              </w:rPr>
              <w:t>9.31</w:t>
            </w:r>
          </w:p>
        </w:tc>
        <w:tc>
          <w:tcPr>
            <w:tcW w:w="634" w:type="pct"/>
            <w:shd w:val="clear" w:color="000000" w:fill="FFFFFF"/>
            <w:vAlign w:val="center"/>
          </w:tcPr>
          <w:p w14:paraId="60D52070">
            <w:pPr>
              <w:widowControl/>
              <w:jc w:val="right"/>
              <w:rPr>
                <w:rFonts w:hint="eastAsia" w:ascii="宋体" w:hAnsi="宋体" w:eastAsia="宋体"/>
                <w:kern w:val="0"/>
                <w:sz w:val="20"/>
                <w:szCs w:val="20"/>
                <w:lang w:val="en-GB"/>
              </w:rPr>
            </w:pPr>
            <w:r>
              <w:rPr>
                <w:rFonts w:hint="eastAsia" w:ascii="宋体" w:hAnsi="宋体" w:eastAsia="宋体"/>
                <w:color w:val="000000"/>
                <w:kern w:val="0"/>
                <w:sz w:val="20"/>
                <w:szCs w:val="20"/>
                <w:lang w:val="en-GB"/>
              </w:rPr>
              <w:t>9.31</w:t>
            </w:r>
          </w:p>
        </w:tc>
        <w:tc>
          <w:tcPr>
            <w:tcW w:w="635" w:type="pct"/>
            <w:shd w:val="clear" w:color="000000" w:fill="FFFFFF"/>
            <w:vAlign w:val="center"/>
          </w:tcPr>
          <w:p w14:paraId="6B4A52C9">
            <w:pPr>
              <w:widowControl/>
              <w:jc w:val="right"/>
              <w:rPr>
                <w:rFonts w:hint="eastAsia" w:ascii="宋体" w:hAnsi="宋体" w:eastAsia="宋体"/>
                <w:b/>
                <w:bCs/>
                <w:color w:val="000000"/>
                <w:kern w:val="0"/>
                <w:sz w:val="20"/>
                <w:szCs w:val="20"/>
                <w:lang w:val="en-GB"/>
              </w:rPr>
            </w:pPr>
            <w:r>
              <w:rPr>
                <w:rFonts w:hint="eastAsia" w:ascii="宋体" w:hAnsi="宋体" w:eastAsia="宋体"/>
                <w:color w:val="000000"/>
                <w:kern w:val="0"/>
                <w:sz w:val="20"/>
                <w:szCs w:val="20"/>
                <w:lang w:val="en-GB"/>
              </w:rPr>
              <w:t>9.31</w:t>
            </w:r>
          </w:p>
        </w:tc>
        <w:tc>
          <w:tcPr>
            <w:tcW w:w="677" w:type="pct"/>
            <w:shd w:val="clear" w:color="000000" w:fill="FFFFFF"/>
            <w:vAlign w:val="center"/>
          </w:tcPr>
          <w:p w14:paraId="1D56CAA7">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83.79</w:t>
            </w:r>
          </w:p>
        </w:tc>
      </w:tr>
      <w:tr w14:paraId="2953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tcPr>
          <w:p w14:paraId="6791DC1B">
            <w:pPr>
              <w:widowControl/>
              <w:jc w:val="left"/>
              <w:rPr>
                <w:rFonts w:hint="eastAsia" w:ascii="宋体" w:hAnsi="宋体" w:eastAsia="宋体" w:cs="等线 Light"/>
                <w:b/>
                <w:bCs/>
                <w:color w:val="000000"/>
                <w:kern w:val="0"/>
                <w:sz w:val="20"/>
                <w:szCs w:val="20"/>
                <w:lang w:val="en-GB"/>
              </w:rPr>
            </w:pPr>
            <w:r>
              <w:rPr>
                <w:rFonts w:hint="eastAsia" w:ascii="宋体" w:hAnsi="宋体" w:eastAsia="宋体"/>
                <w:b/>
                <w:bCs/>
                <w:kern w:val="0"/>
                <w:sz w:val="20"/>
                <w:lang w:val="en-GB"/>
              </w:rPr>
              <w:t>成本合计</w:t>
            </w:r>
          </w:p>
        </w:tc>
        <w:tc>
          <w:tcPr>
            <w:tcW w:w="634" w:type="pct"/>
            <w:shd w:val="clear" w:color="000000" w:fill="FFFFFF"/>
            <w:vAlign w:val="center"/>
          </w:tcPr>
          <w:p w14:paraId="61B5E8E0">
            <w:pPr>
              <w:widowControl/>
              <w:jc w:val="right"/>
              <w:rPr>
                <w:rFonts w:hint="eastAsia" w:ascii="宋体" w:hAnsi="宋体" w:eastAsia="宋体" w:cs="等线 Light"/>
                <w:b/>
                <w:bCs/>
                <w:kern w:val="0"/>
                <w:sz w:val="20"/>
                <w:szCs w:val="20"/>
                <w:lang w:val="en-GB"/>
              </w:rPr>
            </w:pPr>
            <w:r>
              <w:rPr>
                <w:rFonts w:hint="eastAsia" w:ascii="宋体" w:hAnsi="宋体" w:eastAsia="宋体"/>
                <w:b/>
                <w:bCs/>
                <w:color w:val="000000"/>
                <w:kern w:val="0"/>
                <w:sz w:val="20"/>
                <w:szCs w:val="20"/>
                <w:lang w:val="en-GB"/>
              </w:rPr>
              <w:t>32.64</w:t>
            </w:r>
          </w:p>
        </w:tc>
        <w:tc>
          <w:tcPr>
            <w:tcW w:w="635" w:type="pct"/>
            <w:shd w:val="clear" w:color="000000" w:fill="FFFFFF"/>
            <w:vAlign w:val="center"/>
          </w:tcPr>
          <w:p w14:paraId="1AB3B6E3">
            <w:pPr>
              <w:widowControl/>
              <w:jc w:val="right"/>
              <w:rPr>
                <w:rFonts w:hint="eastAsia" w:ascii="宋体" w:hAnsi="宋体" w:eastAsia="宋体" w:cs="等线 Light"/>
                <w:b/>
                <w:bCs/>
                <w:kern w:val="0"/>
                <w:sz w:val="20"/>
                <w:szCs w:val="20"/>
                <w:lang w:val="en-GB"/>
              </w:rPr>
            </w:pPr>
            <w:r>
              <w:rPr>
                <w:rFonts w:hint="eastAsia" w:ascii="宋体" w:hAnsi="宋体" w:eastAsia="宋体"/>
                <w:b/>
                <w:bCs/>
                <w:color w:val="000000"/>
                <w:kern w:val="0"/>
                <w:sz w:val="20"/>
                <w:szCs w:val="20"/>
                <w:lang w:val="en-GB"/>
              </w:rPr>
              <w:t>32.64</w:t>
            </w:r>
          </w:p>
        </w:tc>
        <w:tc>
          <w:tcPr>
            <w:tcW w:w="634" w:type="pct"/>
            <w:shd w:val="clear" w:color="000000" w:fill="FFFFFF"/>
            <w:vAlign w:val="center"/>
          </w:tcPr>
          <w:p w14:paraId="7B7BF050">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32.64</w:t>
            </w:r>
          </w:p>
        </w:tc>
        <w:tc>
          <w:tcPr>
            <w:tcW w:w="635" w:type="pct"/>
            <w:shd w:val="clear" w:color="000000" w:fill="FFFFFF"/>
            <w:vAlign w:val="center"/>
          </w:tcPr>
          <w:p w14:paraId="5CBF22B3">
            <w:pPr>
              <w:widowControl/>
              <w:jc w:val="right"/>
              <w:rPr>
                <w:rFonts w:hint="eastAsia" w:ascii="宋体" w:hAnsi="宋体" w:eastAsia="宋体"/>
                <w:b/>
                <w:bCs/>
                <w:color w:val="000000"/>
                <w:kern w:val="0"/>
                <w:sz w:val="20"/>
                <w:szCs w:val="20"/>
                <w:lang w:val="en-GB"/>
              </w:rPr>
            </w:pPr>
            <w:r>
              <w:rPr>
                <w:rFonts w:hint="eastAsia" w:ascii="宋体" w:hAnsi="宋体" w:eastAsia="宋体"/>
                <w:b/>
                <w:bCs/>
                <w:color w:val="000000"/>
                <w:kern w:val="0"/>
                <w:sz w:val="20"/>
                <w:szCs w:val="20"/>
                <w:lang w:val="en-GB"/>
              </w:rPr>
              <w:t>32.64</w:t>
            </w:r>
          </w:p>
        </w:tc>
        <w:tc>
          <w:tcPr>
            <w:tcW w:w="677" w:type="pct"/>
            <w:shd w:val="clear" w:color="000000" w:fill="FFFFFF"/>
            <w:vAlign w:val="center"/>
          </w:tcPr>
          <w:p w14:paraId="2BA30DC3">
            <w:pPr>
              <w:widowControl/>
              <w:jc w:val="right"/>
              <w:rPr>
                <w:rFonts w:hint="eastAsia" w:ascii="宋体" w:hAnsi="宋体" w:eastAsia="宋体"/>
                <w:b/>
                <w:bCs/>
                <w:kern w:val="0"/>
                <w:sz w:val="20"/>
                <w:szCs w:val="20"/>
                <w:lang w:val="en-GB"/>
              </w:rPr>
            </w:pPr>
            <w:r>
              <w:rPr>
                <w:rFonts w:hint="eastAsia" w:ascii="宋体" w:hAnsi="宋体" w:eastAsia="宋体"/>
                <w:b/>
                <w:bCs/>
                <w:color w:val="000000"/>
                <w:kern w:val="0"/>
                <w:sz w:val="20"/>
                <w:szCs w:val="20"/>
                <w:lang w:val="en-GB"/>
              </w:rPr>
              <w:t>293.76</w:t>
            </w:r>
          </w:p>
        </w:tc>
      </w:tr>
    </w:tbl>
    <w:p w14:paraId="30E9DF28">
      <w:pPr>
        <w:widowControl/>
        <w:spacing w:before="120" w:after="120" w:line="360" w:lineRule="auto"/>
        <w:outlineLvl w:val="1"/>
        <w:rPr>
          <w:rFonts w:hint="eastAsia" w:ascii="宋体" w:hAnsi="宋体" w:eastAsia="宋体"/>
          <w:b/>
          <w:color w:val="000000"/>
          <w:kern w:val="0"/>
          <w:sz w:val="24"/>
          <w:szCs w:val="24"/>
        </w:rPr>
      </w:pPr>
      <w:bookmarkStart w:id="30" w:name="_Toc200555362"/>
      <w:r>
        <w:rPr>
          <w:rFonts w:hint="eastAsia" w:ascii="宋体" w:hAnsi="宋体" w:eastAsia="宋体"/>
          <w:b/>
          <w:color w:val="000000"/>
          <w:kern w:val="0"/>
          <w:sz w:val="24"/>
          <w:szCs w:val="24"/>
        </w:rPr>
        <w:t>（三）</w:t>
      </w:r>
      <w:r>
        <w:rPr>
          <w:rFonts w:ascii="宋体" w:hAnsi="宋体" w:eastAsia="宋体"/>
          <w:b/>
          <w:color w:val="000000"/>
          <w:kern w:val="0"/>
          <w:sz w:val="24"/>
          <w:szCs w:val="24"/>
        </w:rPr>
        <w:t>小结</w:t>
      </w:r>
      <w:bookmarkEnd w:id="25"/>
      <w:bookmarkEnd w:id="26"/>
      <w:bookmarkEnd w:id="30"/>
    </w:p>
    <w:p w14:paraId="1722DE25">
      <w:pPr>
        <w:widowControl/>
        <w:spacing w:before="120" w:after="120" w:line="360" w:lineRule="auto"/>
        <w:ind w:firstLine="480" w:firstLineChars="200"/>
        <w:rPr>
          <w:rFonts w:hint="eastAsia" w:ascii="宋体" w:hAnsi="宋体" w:eastAsia="宋体"/>
          <w:color w:val="000000"/>
          <w:kern w:val="0"/>
          <w:sz w:val="24"/>
          <w:szCs w:val="24"/>
        </w:rPr>
      </w:pPr>
      <w:r>
        <w:rPr>
          <w:rFonts w:ascii="宋体" w:hAnsi="宋体" w:eastAsia="宋体"/>
          <w:color w:val="000000"/>
          <w:kern w:val="0"/>
          <w:sz w:val="24"/>
          <w:szCs w:val="24"/>
        </w:rPr>
        <w:t>综上，在本期政府专项债券存续期内，我们未发现本项目资金出现不能满足还本付息要求的情况。</w:t>
      </w:r>
    </w:p>
    <w:p w14:paraId="2FB0F866">
      <w:pPr>
        <w:widowControl/>
        <w:spacing w:before="120" w:after="120" w:line="360" w:lineRule="auto"/>
        <w:outlineLvl w:val="1"/>
        <w:rPr>
          <w:rFonts w:hint="eastAsia" w:ascii="宋体" w:hAnsi="宋体" w:eastAsia="宋体"/>
          <w:b/>
          <w:color w:val="000000"/>
          <w:kern w:val="0"/>
          <w:sz w:val="24"/>
          <w:szCs w:val="24"/>
        </w:rPr>
      </w:pPr>
      <w:bookmarkStart w:id="31" w:name="_Toc114818536"/>
      <w:bookmarkStart w:id="32" w:name="_Toc200555363"/>
      <w:bookmarkStart w:id="33" w:name="_Toc114818426"/>
      <w:r>
        <w:rPr>
          <w:rFonts w:hint="eastAsia" w:ascii="宋体" w:hAnsi="宋体" w:eastAsia="宋体"/>
          <w:b/>
          <w:color w:val="000000"/>
          <w:kern w:val="0"/>
          <w:sz w:val="24"/>
          <w:szCs w:val="24"/>
        </w:rPr>
        <w:t>（四）</w:t>
      </w:r>
      <w:r>
        <w:rPr>
          <w:rFonts w:ascii="宋体" w:hAnsi="宋体" w:eastAsia="宋体"/>
          <w:b/>
          <w:color w:val="000000"/>
          <w:kern w:val="0"/>
          <w:sz w:val="24"/>
          <w:szCs w:val="24"/>
        </w:rPr>
        <w:t>资金稳定性</w:t>
      </w:r>
      <w:bookmarkEnd w:id="31"/>
      <w:bookmarkEnd w:id="32"/>
      <w:bookmarkEnd w:id="33"/>
    </w:p>
    <w:p w14:paraId="010154A6">
      <w:pPr>
        <w:widowControl/>
        <w:spacing w:before="120" w:after="120" w:line="360" w:lineRule="auto"/>
        <w:ind w:firstLine="480" w:firstLineChars="200"/>
        <w:rPr>
          <w:rFonts w:hint="eastAsia" w:ascii="宋体" w:hAnsi="宋体" w:eastAsia="宋体"/>
          <w:color w:val="000000"/>
          <w:kern w:val="0"/>
          <w:sz w:val="24"/>
          <w:szCs w:val="24"/>
        </w:rPr>
      </w:pPr>
      <w:r>
        <w:rPr>
          <w:rFonts w:hint="eastAsia" w:ascii="宋体" w:hAnsi="宋体" w:eastAsia="宋体"/>
          <w:color w:val="000000"/>
          <w:kern w:val="0"/>
          <w:sz w:val="24"/>
          <w:szCs w:val="24"/>
        </w:rPr>
        <w:t>海口市江东新区园区配套基础设施配套项目（五期）</w:t>
      </w:r>
      <w:r>
        <w:rPr>
          <w:rFonts w:ascii="宋体" w:hAnsi="宋体" w:eastAsia="宋体"/>
          <w:color w:val="000000"/>
          <w:kern w:val="0"/>
          <w:sz w:val="24"/>
          <w:szCs w:val="24"/>
        </w:rPr>
        <w:t>还本付息以</w:t>
      </w:r>
      <w:r>
        <w:rPr>
          <w:rFonts w:hint="eastAsia" w:ascii="宋体" w:hAnsi="宋体" w:eastAsia="宋体"/>
          <w:color w:val="000000"/>
          <w:kern w:val="0"/>
          <w:sz w:val="24"/>
          <w:szCs w:val="24"/>
        </w:rPr>
        <w:t>广告牌出租收入、停车位收入</w:t>
      </w:r>
      <w:r>
        <w:rPr>
          <w:rFonts w:ascii="宋体" w:hAnsi="宋体" w:eastAsia="宋体"/>
          <w:color w:val="000000"/>
          <w:kern w:val="0"/>
          <w:sz w:val="24"/>
          <w:szCs w:val="24"/>
        </w:rPr>
        <w:t>为基础</w:t>
      </w:r>
      <w:r>
        <w:rPr>
          <w:rFonts w:hint="eastAsia" w:ascii="宋体" w:hAnsi="宋体" w:eastAsia="宋体"/>
          <w:color w:val="000000"/>
          <w:kern w:val="0"/>
          <w:sz w:val="24"/>
          <w:szCs w:val="24"/>
        </w:rPr>
        <w:t>，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r>
        <w:rPr>
          <w:rFonts w:ascii="宋体" w:hAnsi="宋体" w:eastAsia="宋体"/>
          <w:color w:val="000000"/>
          <w:kern w:val="0"/>
          <w:sz w:val="24"/>
          <w:szCs w:val="24"/>
        </w:rPr>
        <w:t>。</w:t>
      </w:r>
    </w:p>
    <w:p w14:paraId="2B190F64">
      <w:pPr>
        <w:widowControl/>
        <w:jc w:val="center"/>
        <w:rPr>
          <w:rFonts w:hint="eastAsia" w:ascii="宋体" w:hAnsi="宋体" w:eastAsia="宋体"/>
          <w:kern w:val="0"/>
          <w:sz w:val="18"/>
          <w:szCs w:val="18"/>
          <w:lang w:val="en-GB"/>
        </w:rPr>
      </w:pPr>
      <w:r>
        <w:rPr>
          <w:rFonts w:ascii="宋体" w:hAnsi="宋体" w:eastAsia="宋体"/>
          <w:b/>
          <w:kern w:val="0"/>
          <w:sz w:val="24"/>
          <w:szCs w:val="24"/>
          <w:lang w:val="en-GB"/>
        </w:rPr>
        <w:drawing>
          <wp:inline distT="0" distB="0" distL="0" distR="0">
            <wp:extent cx="4457700" cy="2208530"/>
            <wp:effectExtent l="0" t="0" r="0" b="12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B7033CF">
      <w:pPr>
        <w:widowControl/>
        <w:ind w:firstLine="482" w:firstLineChars="200"/>
        <w:jc w:val="center"/>
        <w:rPr>
          <w:rFonts w:hint="eastAsia" w:ascii="宋体" w:hAnsi="宋体" w:eastAsia="宋体"/>
          <w:b/>
          <w:kern w:val="0"/>
          <w:sz w:val="24"/>
          <w:szCs w:val="24"/>
          <w:lang w:val="en-GB"/>
        </w:rPr>
      </w:pPr>
      <w:r>
        <w:rPr>
          <w:rFonts w:hint="eastAsia" w:ascii="宋体" w:hAnsi="宋体" w:eastAsia="宋体"/>
          <w:b/>
          <w:kern w:val="0"/>
          <w:sz w:val="24"/>
          <w:szCs w:val="24"/>
          <w:lang w:val="en-GB"/>
        </w:rPr>
        <w:t>图1</w:t>
      </w:r>
      <w:r>
        <w:rPr>
          <w:rFonts w:ascii="宋体" w:hAnsi="宋体" w:eastAsia="宋体"/>
          <w:b/>
          <w:kern w:val="0"/>
          <w:sz w:val="24"/>
          <w:szCs w:val="24"/>
          <w:lang w:val="en-GB"/>
        </w:rPr>
        <w:t xml:space="preserve"> </w:t>
      </w:r>
      <w:r>
        <w:rPr>
          <w:rFonts w:hint="eastAsia" w:ascii="宋体" w:hAnsi="宋体" w:eastAsia="宋体"/>
          <w:b/>
          <w:kern w:val="0"/>
          <w:sz w:val="24"/>
          <w:szCs w:val="24"/>
          <w:lang w:val="en-GB"/>
        </w:rPr>
        <w:t>债券存续期海口市江东新区园区配套基础设施配套项目（五期）</w:t>
      </w:r>
    </w:p>
    <w:p w14:paraId="12147B7F">
      <w:pPr>
        <w:widowControl/>
        <w:ind w:firstLine="482" w:firstLineChars="200"/>
        <w:jc w:val="center"/>
        <w:rPr>
          <w:rFonts w:hint="eastAsia" w:ascii="宋体" w:hAnsi="宋体" w:eastAsia="宋体"/>
          <w:b/>
          <w:kern w:val="0"/>
          <w:sz w:val="24"/>
          <w:szCs w:val="24"/>
          <w:lang w:val="en-GB"/>
        </w:rPr>
      </w:pPr>
      <w:r>
        <w:rPr>
          <w:rFonts w:ascii="宋体" w:hAnsi="宋体" w:eastAsia="宋体"/>
          <w:b/>
          <w:kern w:val="0"/>
          <w:sz w:val="24"/>
          <w:szCs w:val="24"/>
          <w:lang w:val="en-GB"/>
        </w:rPr>
        <w:t>资金留存情况</w:t>
      </w:r>
    </w:p>
    <w:p w14:paraId="36D26A3E">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五、压力测试情况</w:t>
      </w:r>
      <w:bookmarkEnd w:id="14"/>
    </w:p>
    <w:p w14:paraId="4142925B">
      <w:pPr>
        <w:widowControl/>
        <w:spacing w:before="120" w:after="120" w:line="360" w:lineRule="auto"/>
        <w:ind w:firstLine="480" w:firstLineChars="200"/>
        <w:rPr>
          <w:rFonts w:hint="eastAsia" w:ascii="宋体" w:hAnsi="宋体" w:eastAsia="宋体"/>
          <w:color w:val="000000"/>
          <w:kern w:val="0"/>
          <w:sz w:val="24"/>
          <w:szCs w:val="24"/>
        </w:rPr>
      </w:pPr>
      <w:bookmarkStart w:id="34" w:name="_Toc23928"/>
      <w:r>
        <w:rPr>
          <w:rFonts w:ascii="宋体" w:hAnsi="宋体" w:eastAsia="宋体"/>
          <w:color w:val="000000"/>
          <w:kern w:val="0"/>
          <w:sz w:val="24"/>
          <w:szCs w:val="24"/>
        </w:rPr>
        <w:t>根据本项目收益与融资自求平衡的压力测试结果，当</w:t>
      </w:r>
      <w:r>
        <w:rPr>
          <w:rFonts w:hint="eastAsia" w:ascii="宋体" w:hAnsi="宋体" w:eastAsia="宋体"/>
          <w:color w:val="000000"/>
          <w:kern w:val="0"/>
          <w:sz w:val="24"/>
          <w:szCs w:val="24"/>
        </w:rPr>
        <w:t>项目收益</w:t>
      </w:r>
      <w:r>
        <w:rPr>
          <w:rFonts w:ascii="宋体" w:hAnsi="宋体" w:eastAsia="宋体"/>
          <w:color w:val="000000"/>
          <w:kern w:val="0"/>
          <w:sz w:val="24"/>
          <w:szCs w:val="24"/>
        </w:rPr>
        <w:t>影响债券还本付息的因素在±</w:t>
      </w:r>
      <w:r>
        <w:rPr>
          <w:rFonts w:hint="eastAsia" w:ascii="宋体" w:hAnsi="宋体" w:eastAsia="宋体"/>
          <w:color w:val="000000"/>
          <w:kern w:val="0"/>
          <w:sz w:val="24"/>
          <w:szCs w:val="24"/>
        </w:rPr>
        <w:t>15</w:t>
      </w:r>
      <w:r>
        <w:rPr>
          <w:rFonts w:ascii="宋体" w:hAnsi="宋体" w:eastAsia="宋体"/>
          <w:color w:val="000000"/>
          <w:kern w:val="0"/>
          <w:sz w:val="24"/>
          <w:szCs w:val="24"/>
        </w:rPr>
        <w:t>%范围内变动的情况下，专项债券本息资金覆盖率仍然大于1，还本付息资金具有一定的风险抵抗能力。具体情况</w:t>
      </w:r>
      <w:r>
        <w:rPr>
          <w:rFonts w:hint="eastAsia" w:ascii="宋体" w:hAnsi="宋体" w:eastAsia="宋体"/>
          <w:color w:val="000000"/>
          <w:kern w:val="0"/>
          <w:sz w:val="24"/>
          <w:szCs w:val="24"/>
        </w:rPr>
        <w:t>详见</w:t>
      </w:r>
      <w:r>
        <w:rPr>
          <w:rFonts w:ascii="宋体" w:hAnsi="宋体" w:eastAsia="宋体"/>
          <w:color w:val="000000"/>
          <w:kern w:val="0"/>
          <w:sz w:val="24"/>
          <w:szCs w:val="24"/>
        </w:rPr>
        <w:t>表</w:t>
      </w:r>
      <w:r>
        <w:rPr>
          <w:rFonts w:hint="eastAsia" w:ascii="宋体" w:hAnsi="宋体" w:eastAsia="宋体"/>
          <w:color w:val="000000"/>
          <w:kern w:val="0"/>
          <w:sz w:val="24"/>
          <w:szCs w:val="24"/>
        </w:rPr>
        <w:t>9</w:t>
      </w:r>
      <w:r>
        <w:rPr>
          <w:rFonts w:ascii="宋体" w:hAnsi="宋体" w:eastAsia="宋体"/>
          <w:color w:val="000000"/>
          <w:kern w:val="0"/>
          <w:sz w:val="24"/>
          <w:szCs w:val="24"/>
        </w:rPr>
        <w:t>：</w:t>
      </w:r>
    </w:p>
    <w:p w14:paraId="31F591FD">
      <w:pPr>
        <w:widowControl/>
        <w:spacing w:before="120" w:after="120" w:line="360" w:lineRule="auto"/>
        <w:ind w:firstLine="454"/>
        <w:jc w:val="center"/>
        <w:rPr>
          <w:rFonts w:hint="eastAsia" w:ascii="宋体" w:hAnsi="宋体" w:eastAsia="宋体"/>
          <w:b/>
          <w:color w:val="000000"/>
          <w:kern w:val="0"/>
          <w:sz w:val="24"/>
          <w:szCs w:val="24"/>
        </w:rPr>
      </w:pPr>
      <w:r>
        <w:rPr>
          <w:rFonts w:ascii="宋体" w:hAnsi="宋体" w:eastAsia="宋体"/>
          <w:b/>
          <w:color w:val="000000"/>
          <w:kern w:val="0"/>
          <w:sz w:val="24"/>
          <w:szCs w:val="24"/>
        </w:rPr>
        <w:t>表</w:t>
      </w:r>
      <w:r>
        <w:rPr>
          <w:rFonts w:hint="eastAsia" w:ascii="宋体" w:hAnsi="宋体" w:eastAsia="宋体"/>
          <w:b/>
          <w:color w:val="000000"/>
          <w:kern w:val="0"/>
          <w:sz w:val="24"/>
          <w:szCs w:val="24"/>
        </w:rPr>
        <w:t>9</w:t>
      </w:r>
      <w:r>
        <w:rPr>
          <w:rFonts w:ascii="宋体" w:hAnsi="宋体" w:eastAsia="宋体"/>
          <w:b/>
          <w:color w:val="000000"/>
          <w:kern w:val="0"/>
          <w:sz w:val="24"/>
          <w:szCs w:val="24"/>
        </w:rPr>
        <w:t xml:space="preserve"> </w:t>
      </w:r>
      <w:r>
        <w:rPr>
          <w:rFonts w:hint="eastAsia" w:ascii="宋体" w:hAnsi="宋体" w:eastAsia="宋体"/>
          <w:b/>
          <w:color w:val="000000"/>
          <w:kern w:val="0"/>
          <w:sz w:val="24"/>
          <w:szCs w:val="24"/>
        </w:rPr>
        <w:t>海口市江东新区园区配套基础设施配套项目（五期）</w:t>
      </w:r>
      <w:r>
        <w:rPr>
          <w:rFonts w:ascii="宋体" w:hAnsi="宋体" w:eastAsia="宋体"/>
          <w:b/>
          <w:color w:val="000000"/>
          <w:kern w:val="0"/>
          <w:sz w:val="24"/>
          <w:szCs w:val="24"/>
        </w:rPr>
        <w:t>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14:paraId="0BC4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noWrap/>
            <w:vAlign w:val="center"/>
          </w:tcPr>
          <w:p w14:paraId="34EE6416">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hint="eastAsia" w:ascii="宋体" w:hAnsi="宋体" w:eastAsia="宋体" w:cs="仿宋"/>
                <w:b/>
                <w:color w:val="000000"/>
                <w:kern w:val="0"/>
                <w:sz w:val="22"/>
                <w:szCs w:val="18"/>
                <w:lang w:val="en-GB"/>
              </w:rPr>
              <w:t>资金覆盖率</w:t>
            </w:r>
            <w:r>
              <w:rPr>
                <w:rFonts w:ascii="宋体" w:hAnsi="宋体" w:eastAsia="宋体" w:cs="仿宋"/>
                <w:b/>
                <w:color w:val="000000"/>
                <w:kern w:val="0"/>
                <w:sz w:val="22"/>
                <w:szCs w:val="18"/>
                <w:lang w:val="en-GB"/>
              </w:rPr>
              <w:t>-</w:t>
            </w:r>
            <w:r>
              <w:rPr>
                <w:rFonts w:hint="eastAsia" w:ascii="宋体" w:hAnsi="宋体" w:eastAsia="宋体" w:cs="仿宋"/>
                <w:b/>
                <w:color w:val="000000"/>
                <w:kern w:val="0"/>
                <w:sz w:val="22"/>
                <w:szCs w:val="18"/>
                <w:lang w:val="en-GB"/>
              </w:rPr>
              <w:t>压力测试</w:t>
            </w:r>
          </w:p>
          <w:p w14:paraId="38827D47">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hint="eastAsia" w:ascii="宋体" w:hAnsi="宋体" w:eastAsia="宋体" w:cs="仿宋"/>
                <w:b/>
                <w:color w:val="000000"/>
                <w:kern w:val="0"/>
                <w:sz w:val="22"/>
                <w:szCs w:val="18"/>
                <w:lang w:val="en-GB"/>
              </w:rPr>
              <w:t>（单因素敏感性分析）</w:t>
            </w:r>
          </w:p>
        </w:tc>
        <w:tc>
          <w:tcPr>
            <w:tcW w:w="510" w:type="pct"/>
            <w:shd w:val="clear" w:color="auto" w:fill="D8D8D8"/>
            <w:noWrap/>
            <w:vAlign w:val="center"/>
          </w:tcPr>
          <w:p w14:paraId="010CEC1B">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-15%</w:t>
            </w:r>
          </w:p>
        </w:tc>
        <w:tc>
          <w:tcPr>
            <w:tcW w:w="510" w:type="pct"/>
            <w:shd w:val="clear" w:color="auto" w:fill="D8D8D8"/>
            <w:noWrap/>
            <w:vAlign w:val="center"/>
          </w:tcPr>
          <w:p w14:paraId="67CA7D15">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-10%</w:t>
            </w:r>
          </w:p>
        </w:tc>
        <w:tc>
          <w:tcPr>
            <w:tcW w:w="430" w:type="pct"/>
            <w:shd w:val="clear" w:color="auto" w:fill="D8D8D8"/>
            <w:noWrap/>
            <w:vAlign w:val="center"/>
          </w:tcPr>
          <w:p w14:paraId="5E2D6E16">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-5%</w:t>
            </w:r>
          </w:p>
        </w:tc>
        <w:tc>
          <w:tcPr>
            <w:tcW w:w="430" w:type="pct"/>
            <w:shd w:val="clear" w:color="auto" w:fill="D8D8D8"/>
            <w:noWrap/>
            <w:vAlign w:val="center"/>
          </w:tcPr>
          <w:p w14:paraId="0FE53709">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0%</w:t>
            </w:r>
          </w:p>
        </w:tc>
        <w:tc>
          <w:tcPr>
            <w:tcW w:w="430" w:type="pct"/>
            <w:shd w:val="clear" w:color="auto" w:fill="D8D8D8"/>
            <w:noWrap/>
            <w:vAlign w:val="center"/>
          </w:tcPr>
          <w:p w14:paraId="677CFD1A">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5%</w:t>
            </w:r>
          </w:p>
        </w:tc>
        <w:tc>
          <w:tcPr>
            <w:tcW w:w="435" w:type="pct"/>
            <w:shd w:val="clear" w:color="auto" w:fill="D8D8D8"/>
            <w:noWrap/>
            <w:vAlign w:val="center"/>
          </w:tcPr>
          <w:p w14:paraId="4106CE6C">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10%</w:t>
            </w:r>
          </w:p>
        </w:tc>
        <w:tc>
          <w:tcPr>
            <w:tcW w:w="435" w:type="pct"/>
            <w:shd w:val="clear" w:color="auto" w:fill="D8D8D8"/>
            <w:noWrap/>
            <w:vAlign w:val="center"/>
          </w:tcPr>
          <w:p w14:paraId="3D29E85D">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15%</w:t>
            </w:r>
          </w:p>
        </w:tc>
      </w:tr>
      <w:tr w14:paraId="36B5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7DAE043B">
            <w:pPr>
              <w:widowControl/>
              <w:spacing w:line="256" w:lineRule="auto"/>
              <w:jc w:val="left"/>
              <w:rPr>
                <w:rFonts w:hint="eastAsia" w:ascii="宋体" w:hAnsi="宋体" w:eastAsia="宋体"/>
                <w:color w:val="000000"/>
                <w:kern w:val="0"/>
                <w:sz w:val="20"/>
                <w:szCs w:val="20"/>
              </w:rPr>
            </w:pPr>
            <w:r>
              <w:rPr>
                <w:rFonts w:hint="eastAsia" w:ascii="宋体" w:hAnsi="宋体" w:eastAsia="宋体"/>
                <w:b/>
                <w:bCs/>
                <w:color w:val="000000"/>
                <w:kern w:val="0"/>
                <w:sz w:val="20"/>
                <w:szCs w:val="20"/>
              </w:rPr>
              <w:t>收益变动情况敏感性分析</w:t>
            </w:r>
          </w:p>
        </w:tc>
        <w:tc>
          <w:tcPr>
            <w:tcW w:w="510" w:type="pct"/>
            <w:shd w:val="clear" w:color="auto" w:fill="auto"/>
            <w:noWrap/>
            <w:vAlign w:val="center"/>
          </w:tcPr>
          <w:p w14:paraId="17E5481E">
            <w:pPr>
              <w:widowControl/>
              <w:jc w:val="right"/>
              <w:rPr>
                <w:rFonts w:hint="eastAsia" w:ascii="宋体" w:hAnsi="宋体" w:eastAsia="宋体" w:cs="Arial"/>
                <w:color w:val="000000"/>
                <w:kern w:val="0"/>
                <w:sz w:val="20"/>
                <w:szCs w:val="20"/>
                <w:lang w:val="en-GB"/>
              </w:rPr>
            </w:pPr>
          </w:p>
        </w:tc>
        <w:tc>
          <w:tcPr>
            <w:tcW w:w="510" w:type="pct"/>
            <w:shd w:val="clear" w:color="auto" w:fill="auto"/>
            <w:noWrap/>
            <w:vAlign w:val="center"/>
          </w:tcPr>
          <w:p w14:paraId="520C63F7">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4063D5FE">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51155441">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3A4E196E">
            <w:pPr>
              <w:widowControl/>
              <w:jc w:val="right"/>
              <w:rPr>
                <w:rFonts w:hint="eastAsia" w:ascii="宋体" w:hAnsi="宋体" w:eastAsia="宋体" w:cs="Arial"/>
                <w:color w:val="000000"/>
                <w:kern w:val="0"/>
                <w:sz w:val="20"/>
                <w:szCs w:val="20"/>
                <w:lang w:val="en-GB"/>
              </w:rPr>
            </w:pPr>
          </w:p>
        </w:tc>
        <w:tc>
          <w:tcPr>
            <w:tcW w:w="435" w:type="pct"/>
            <w:shd w:val="clear" w:color="auto" w:fill="auto"/>
            <w:noWrap/>
            <w:vAlign w:val="center"/>
          </w:tcPr>
          <w:p w14:paraId="6132664D">
            <w:pPr>
              <w:widowControl/>
              <w:jc w:val="right"/>
              <w:rPr>
                <w:rFonts w:hint="eastAsia" w:ascii="宋体" w:hAnsi="宋体" w:eastAsia="宋体" w:cs="Arial"/>
                <w:color w:val="000000"/>
                <w:kern w:val="0"/>
                <w:sz w:val="20"/>
                <w:szCs w:val="20"/>
                <w:lang w:val="en-GB"/>
              </w:rPr>
            </w:pPr>
          </w:p>
        </w:tc>
        <w:tc>
          <w:tcPr>
            <w:tcW w:w="435" w:type="pct"/>
            <w:shd w:val="clear" w:color="auto" w:fill="auto"/>
            <w:noWrap/>
            <w:vAlign w:val="center"/>
          </w:tcPr>
          <w:p w14:paraId="658B93E7">
            <w:pPr>
              <w:widowControl/>
              <w:jc w:val="right"/>
              <w:rPr>
                <w:rFonts w:hint="eastAsia" w:ascii="宋体" w:hAnsi="宋体" w:eastAsia="宋体" w:cs="Arial"/>
                <w:color w:val="000000"/>
                <w:kern w:val="0"/>
                <w:sz w:val="20"/>
                <w:szCs w:val="20"/>
                <w:lang w:val="en-GB"/>
              </w:rPr>
            </w:pPr>
          </w:p>
        </w:tc>
      </w:tr>
      <w:tr w14:paraId="4AB5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7CADAD6F">
            <w:pPr>
              <w:widowControl/>
              <w:spacing w:line="256" w:lineRule="auto"/>
              <w:jc w:val="left"/>
              <w:rPr>
                <w:rFonts w:hint="eastAsia" w:ascii="宋体" w:hAnsi="宋体" w:eastAsia="宋体"/>
                <w:color w:val="000000"/>
                <w:kern w:val="0"/>
                <w:sz w:val="20"/>
                <w:szCs w:val="20"/>
              </w:rPr>
            </w:pPr>
            <w:r>
              <w:rPr>
                <w:rFonts w:hint="eastAsia" w:ascii="宋体" w:hAnsi="宋体" w:eastAsia="宋体"/>
                <w:color w:val="000000"/>
                <w:kern w:val="0"/>
                <w:sz w:val="20"/>
                <w:szCs w:val="20"/>
              </w:rPr>
              <w:t>债券本息覆盖率</w:t>
            </w:r>
          </w:p>
        </w:tc>
        <w:tc>
          <w:tcPr>
            <w:tcW w:w="510" w:type="pct"/>
            <w:shd w:val="clear" w:color="auto" w:fill="auto"/>
            <w:noWrap/>
            <w:vAlign w:val="center"/>
          </w:tcPr>
          <w:p w14:paraId="2DE380EC">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1.12</w:t>
            </w:r>
          </w:p>
        </w:tc>
        <w:tc>
          <w:tcPr>
            <w:tcW w:w="510" w:type="pct"/>
            <w:shd w:val="clear" w:color="auto" w:fill="auto"/>
            <w:noWrap/>
            <w:vAlign w:val="center"/>
          </w:tcPr>
          <w:p w14:paraId="0BD5B27B">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1.18</w:t>
            </w:r>
          </w:p>
        </w:tc>
        <w:tc>
          <w:tcPr>
            <w:tcW w:w="430" w:type="pct"/>
            <w:shd w:val="clear" w:color="auto" w:fill="auto"/>
            <w:noWrap/>
            <w:vAlign w:val="center"/>
          </w:tcPr>
          <w:p w14:paraId="202CDCDF">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1.24</w:t>
            </w:r>
          </w:p>
        </w:tc>
        <w:tc>
          <w:tcPr>
            <w:tcW w:w="430" w:type="pct"/>
            <w:shd w:val="clear" w:color="auto" w:fill="auto"/>
            <w:noWrap/>
            <w:vAlign w:val="center"/>
          </w:tcPr>
          <w:p w14:paraId="742215B9">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1.31</w:t>
            </w:r>
          </w:p>
        </w:tc>
        <w:tc>
          <w:tcPr>
            <w:tcW w:w="430" w:type="pct"/>
            <w:shd w:val="clear" w:color="auto" w:fill="auto"/>
            <w:noWrap/>
            <w:vAlign w:val="center"/>
          </w:tcPr>
          <w:p w14:paraId="5AA85BAF">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1.37</w:t>
            </w:r>
          </w:p>
        </w:tc>
        <w:tc>
          <w:tcPr>
            <w:tcW w:w="435" w:type="pct"/>
            <w:shd w:val="clear" w:color="auto" w:fill="auto"/>
            <w:noWrap/>
            <w:vAlign w:val="center"/>
          </w:tcPr>
          <w:p w14:paraId="07D21D9F">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1.44</w:t>
            </w:r>
          </w:p>
        </w:tc>
        <w:tc>
          <w:tcPr>
            <w:tcW w:w="435" w:type="pct"/>
            <w:shd w:val="clear" w:color="auto" w:fill="auto"/>
            <w:noWrap/>
            <w:vAlign w:val="center"/>
          </w:tcPr>
          <w:p w14:paraId="22C71675">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1.50</w:t>
            </w:r>
          </w:p>
        </w:tc>
      </w:tr>
      <w:tr w14:paraId="0990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2A74AAB2">
            <w:pPr>
              <w:widowControl/>
              <w:spacing w:line="256" w:lineRule="auto"/>
              <w:jc w:val="left"/>
              <w:rPr>
                <w:rFonts w:hint="eastAsia" w:ascii="宋体" w:hAnsi="宋体" w:eastAsia="宋体"/>
                <w:color w:val="000000"/>
                <w:kern w:val="0"/>
                <w:sz w:val="20"/>
                <w:szCs w:val="20"/>
              </w:rPr>
            </w:pPr>
            <w:r>
              <w:rPr>
                <w:rFonts w:ascii="宋体" w:hAnsi="宋体" w:eastAsia="宋体"/>
                <w:color w:val="000000"/>
                <w:kern w:val="0"/>
                <w:sz w:val="20"/>
                <w:szCs w:val="20"/>
              </w:rPr>
              <w:t>债券</w:t>
            </w:r>
            <w:r>
              <w:rPr>
                <w:rFonts w:hint="eastAsia" w:ascii="宋体" w:hAnsi="宋体" w:eastAsia="宋体"/>
                <w:color w:val="000000"/>
                <w:kern w:val="0"/>
                <w:sz w:val="20"/>
                <w:szCs w:val="20"/>
              </w:rPr>
              <w:t>本息覆盖倍数</w:t>
            </w:r>
          </w:p>
        </w:tc>
        <w:tc>
          <w:tcPr>
            <w:tcW w:w="510" w:type="pct"/>
            <w:shd w:val="clear" w:color="auto" w:fill="auto"/>
            <w:noWrap/>
            <w:vAlign w:val="center"/>
          </w:tcPr>
          <w:p w14:paraId="58C5359F">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1.09</w:t>
            </w:r>
          </w:p>
        </w:tc>
        <w:tc>
          <w:tcPr>
            <w:tcW w:w="510" w:type="pct"/>
            <w:shd w:val="clear" w:color="auto" w:fill="auto"/>
            <w:noWrap/>
            <w:vAlign w:val="center"/>
          </w:tcPr>
          <w:p w14:paraId="20A6EF21">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1.16</w:t>
            </w:r>
          </w:p>
        </w:tc>
        <w:tc>
          <w:tcPr>
            <w:tcW w:w="430" w:type="pct"/>
            <w:shd w:val="clear" w:color="auto" w:fill="auto"/>
            <w:noWrap/>
            <w:vAlign w:val="center"/>
          </w:tcPr>
          <w:p w14:paraId="3F307AB6">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1.22</w:t>
            </w:r>
          </w:p>
        </w:tc>
        <w:tc>
          <w:tcPr>
            <w:tcW w:w="430" w:type="pct"/>
            <w:shd w:val="clear" w:color="auto" w:fill="auto"/>
            <w:noWrap/>
            <w:vAlign w:val="center"/>
          </w:tcPr>
          <w:p w14:paraId="41E07B06">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1.29</w:t>
            </w:r>
          </w:p>
        </w:tc>
        <w:tc>
          <w:tcPr>
            <w:tcW w:w="430" w:type="pct"/>
            <w:shd w:val="clear" w:color="auto" w:fill="auto"/>
            <w:noWrap/>
            <w:vAlign w:val="center"/>
          </w:tcPr>
          <w:p w14:paraId="5BDC6607">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1.35</w:t>
            </w:r>
          </w:p>
        </w:tc>
        <w:tc>
          <w:tcPr>
            <w:tcW w:w="435" w:type="pct"/>
            <w:shd w:val="clear" w:color="auto" w:fill="auto"/>
            <w:noWrap/>
            <w:vAlign w:val="center"/>
          </w:tcPr>
          <w:p w14:paraId="3142F402">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1.41</w:t>
            </w:r>
          </w:p>
        </w:tc>
        <w:tc>
          <w:tcPr>
            <w:tcW w:w="435" w:type="pct"/>
            <w:shd w:val="clear" w:color="auto" w:fill="auto"/>
            <w:noWrap/>
            <w:vAlign w:val="center"/>
          </w:tcPr>
          <w:p w14:paraId="7097C5EB">
            <w:pPr>
              <w:widowControl/>
              <w:jc w:val="right"/>
              <w:rPr>
                <w:rFonts w:hint="eastAsia" w:ascii="宋体" w:hAnsi="宋体" w:eastAsia="宋体"/>
                <w:color w:val="000000"/>
                <w:kern w:val="0"/>
                <w:sz w:val="20"/>
                <w:szCs w:val="20"/>
                <w:lang w:val="en-GB"/>
              </w:rPr>
            </w:pPr>
            <w:r>
              <w:rPr>
                <w:rFonts w:hint="eastAsia" w:ascii="宋体" w:hAnsi="宋体" w:eastAsia="宋体"/>
                <w:color w:val="000000"/>
                <w:szCs w:val="20"/>
              </w:rPr>
              <w:t>1.48</w:t>
            </w:r>
          </w:p>
        </w:tc>
      </w:tr>
    </w:tbl>
    <w:p w14:paraId="146D0BDD">
      <w:pPr>
        <w:widowControl/>
        <w:spacing w:before="120" w:after="120" w:line="360" w:lineRule="auto"/>
        <w:ind w:firstLine="480" w:firstLineChars="200"/>
        <w:rPr>
          <w:rFonts w:hint="eastAsia" w:ascii="宋体" w:hAnsi="宋体" w:eastAsia="宋体"/>
          <w:color w:val="000000"/>
          <w:kern w:val="0"/>
          <w:sz w:val="24"/>
          <w:szCs w:val="24"/>
        </w:rPr>
      </w:pPr>
      <w:r>
        <w:rPr>
          <w:rFonts w:ascii="宋体" w:hAnsi="宋体" w:eastAsia="宋体"/>
          <w:color w:val="000000"/>
          <w:kern w:val="0"/>
          <w:sz w:val="24"/>
          <w:szCs w:val="24"/>
        </w:rPr>
        <w:t>总体而言，本项目预计</w:t>
      </w:r>
      <w:r>
        <w:rPr>
          <w:rFonts w:hint="eastAsia" w:ascii="宋体" w:hAnsi="宋体" w:eastAsia="宋体"/>
          <w:color w:val="000000"/>
          <w:kern w:val="0"/>
          <w:sz w:val="24"/>
          <w:szCs w:val="24"/>
        </w:rPr>
        <w:t>广告牌出租收入、停车位收入</w:t>
      </w:r>
      <w:r>
        <w:rPr>
          <w:rFonts w:ascii="宋体" w:hAnsi="宋体" w:eastAsia="宋体"/>
          <w:color w:val="000000"/>
          <w:kern w:val="0"/>
          <w:sz w:val="24"/>
          <w:szCs w:val="24"/>
        </w:rPr>
        <w:t>对其拟使用的募集资金保障程度较高。</w:t>
      </w:r>
      <w:r>
        <w:rPr>
          <w:rFonts w:hint="eastAsia" w:ascii="宋体" w:hAnsi="宋体" w:eastAsia="宋体"/>
          <w:color w:val="000000"/>
          <w:kern w:val="0"/>
          <w:sz w:val="24"/>
          <w:szCs w:val="24"/>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366CDD33">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六、潜在风险评估</w:t>
      </w:r>
      <w:bookmarkEnd w:id="34"/>
    </w:p>
    <w:p w14:paraId="096EC50C">
      <w:pPr>
        <w:spacing w:line="360" w:lineRule="auto"/>
        <w:ind w:firstLine="482" w:firstLineChars="200"/>
        <w:outlineLvl w:val="0"/>
        <w:rPr>
          <w:rFonts w:hint="eastAsia" w:ascii="宋体" w:hAnsi="宋体" w:eastAsia="宋体" w:cs="宋体"/>
          <w:b/>
          <w:bCs/>
          <w:sz w:val="24"/>
          <w:szCs w:val="24"/>
        </w:rPr>
      </w:pPr>
      <w:bookmarkStart w:id="35" w:name="_Toc498385763"/>
      <w:bookmarkStart w:id="36" w:name="_Toc20908"/>
      <w:bookmarkStart w:id="37" w:name="_Toc498385095"/>
      <w:bookmarkStart w:id="38" w:name="_Toc8637"/>
      <w:bookmarkStart w:id="39" w:name="_Toc16405"/>
      <w:bookmarkStart w:id="40" w:name="_Toc498551274"/>
      <w:r>
        <w:rPr>
          <w:rFonts w:hint="eastAsia" w:ascii="宋体" w:hAnsi="宋体" w:eastAsia="宋体" w:cs="宋体"/>
          <w:b/>
          <w:bCs/>
          <w:sz w:val="24"/>
          <w:szCs w:val="24"/>
        </w:rPr>
        <w:t>（一）影响项目施工进度或正常运营的风险及控制措施</w:t>
      </w:r>
      <w:bookmarkEnd w:id="35"/>
      <w:bookmarkEnd w:id="36"/>
      <w:bookmarkEnd w:id="37"/>
      <w:bookmarkEnd w:id="38"/>
      <w:bookmarkEnd w:id="39"/>
      <w:bookmarkEnd w:id="40"/>
    </w:p>
    <w:p w14:paraId="798A16D4">
      <w:pPr>
        <w:spacing w:line="360" w:lineRule="auto"/>
        <w:ind w:firstLine="480" w:firstLineChars="200"/>
        <w:outlineLvl w:val="2"/>
        <w:rPr>
          <w:rFonts w:hint="eastAsia" w:ascii="宋体" w:hAnsi="宋体" w:eastAsia="宋体" w:cs="宋体"/>
          <w:sz w:val="24"/>
          <w:szCs w:val="24"/>
        </w:rPr>
      </w:pPr>
      <w:bookmarkStart w:id="41" w:name="_Toc498385096"/>
      <w:bookmarkStart w:id="42" w:name="_Toc498551275"/>
      <w:bookmarkStart w:id="43" w:name="_Toc498385764"/>
      <w:bookmarkStart w:id="44" w:name="_Toc23168"/>
      <w:r>
        <w:rPr>
          <w:rFonts w:hint="eastAsia" w:ascii="宋体" w:hAnsi="宋体" w:eastAsia="宋体" w:cs="宋体"/>
          <w:sz w:val="24"/>
          <w:szCs w:val="24"/>
        </w:rPr>
        <w:t>1</w:t>
      </w:r>
      <w:bookmarkEnd w:id="41"/>
      <w:bookmarkEnd w:id="42"/>
      <w:bookmarkEnd w:id="43"/>
      <w:r>
        <w:rPr>
          <w:rFonts w:hint="eastAsia" w:ascii="宋体" w:hAnsi="宋体" w:eastAsia="宋体" w:cs="宋体"/>
          <w:sz w:val="24"/>
          <w:szCs w:val="24"/>
        </w:rPr>
        <w:t>、政策风险</w:t>
      </w:r>
      <w:bookmarkEnd w:id="44"/>
    </w:p>
    <w:p w14:paraId="419AA91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6554DA4C">
      <w:pPr>
        <w:spacing w:line="360" w:lineRule="auto"/>
        <w:ind w:firstLine="480" w:firstLineChars="200"/>
        <w:outlineLvl w:val="2"/>
        <w:rPr>
          <w:rFonts w:hint="eastAsia" w:ascii="宋体" w:hAnsi="宋体" w:eastAsia="宋体" w:cs="宋体"/>
          <w:sz w:val="24"/>
          <w:szCs w:val="24"/>
        </w:rPr>
      </w:pPr>
      <w:bookmarkStart w:id="45" w:name="_Toc498385765"/>
      <w:bookmarkStart w:id="46" w:name="_Toc498385097"/>
      <w:bookmarkStart w:id="47" w:name="_Toc498551276"/>
      <w:bookmarkStart w:id="48" w:name="_Toc26505"/>
      <w:r>
        <w:rPr>
          <w:rFonts w:hint="eastAsia" w:ascii="宋体" w:hAnsi="宋体" w:eastAsia="宋体" w:cs="宋体"/>
          <w:sz w:val="24"/>
          <w:szCs w:val="24"/>
        </w:rPr>
        <w:t>2</w:t>
      </w:r>
      <w:bookmarkEnd w:id="45"/>
      <w:bookmarkEnd w:id="46"/>
      <w:bookmarkEnd w:id="47"/>
      <w:r>
        <w:rPr>
          <w:rFonts w:hint="eastAsia" w:ascii="宋体" w:hAnsi="宋体" w:eastAsia="宋体" w:cs="宋体"/>
          <w:sz w:val="24"/>
          <w:szCs w:val="24"/>
        </w:rPr>
        <w:t>、项目实施与管理风险</w:t>
      </w:r>
      <w:bookmarkEnd w:id="48"/>
    </w:p>
    <w:p w14:paraId="03478F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项目建设期间严格执行文明施工标准，确保项目对民众生活的影响降至最低。</w:t>
      </w:r>
    </w:p>
    <w:p w14:paraId="6B6248B5">
      <w:pPr>
        <w:spacing w:line="360" w:lineRule="auto"/>
        <w:ind w:firstLine="480" w:firstLineChars="200"/>
        <w:outlineLvl w:val="2"/>
        <w:rPr>
          <w:rFonts w:hint="eastAsia" w:ascii="宋体" w:hAnsi="宋体" w:eastAsia="宋体" w:cs="宋体"/>
          <w:sz w:val="24"/>
          <w:szCs w:val="24"/>
        </w:rPr>
      </w:pPr>
      <w:bookmarkStart w:id="49" w:name="_Toc22995"/>
      <w:r>
        <w:rPr>
          <w:rFonts w:hint="eastAsia" w:ascii="宋体" w:hAnsi="宋体" w:eastAsia="宋体" w:cs="宋体"/>
          <w:sz w:val="24"/>
          <w:szCs w:val="24"/>
        </w:rPr>
        <w:t>3、财务风险</w:t>
      </w:r>
      <w:bookmarkEnd w:id="49"/>
    </w:p>
    <w:p w14:paraId="348C3C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02E85F52">
      <w:pPr>
        <w:spacing w:line="360" w:lineRule="auto"/>
        <w:ind w:firstLine="480" w:firstLineChars="200"/>
        <w:outlineLvl w:val="2"/>
        <w:rPr>
          <w:rFonts w:hint="eastAsia" w:ascii="宋体" w:hAnsi="宋体" w:eastAsia="宋体" w:cs="宋体"/>
          <w:sz w:val="24"/>
          <w:szCs w:val="24"/>
        </w:rPr>
      </w:pPr>
      <w:bookmarkStart w:id="50" w:name="_Toc18164"/>
      <w:r>
        <w:rPr>
          <w:rFonts w:hint="eastAsia" w:ascii="宋体" w:hAnsi="宋体" w:eastAsia="宋体" w:cs="宋体"/>
          <w:sz w:val="24"/>
          <w:szCs w:val="24"/>
        </w:rPr>
        <w:t>4.社会风险</w:t>
      </w:r>
      <w:bookmarkEnd w:id="50"/>
    </w:p>
    <w:p w14:paraId="279D80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6062A178">
      <w:pPr>
        <w:spacing w:line="360" w:lineRule="auto"/>
        <w:ind w:firstLine="482" w:firstLineChars="200"/>
        <w:outlineLvl w:val="0"/>
        <w:rPr>
          <w:rFonts w:hint="eastAsia" w:ascii="宋体" w:hAnsi="宋体" w:eastAsia="宋体" w:cs="宋体"/>
          <w:b/>
          <w:bCs/>
          <w:sz w:val="24"/>
          <w:szCs w:val="24"/>
        </w:rPr>
      </w:pPr>
      <w:bookmarkStart w:id="51" w:name="_Toc498551277"/>
      <w:bookmarkStart w:id="52" w:name="_Toc498385098"/>
      <w:bookmarkStart w:id="53" w:name="_Toc498385766"/>
      <w:bookmarkStart w:id="54" w:name="_Toc4601"/>
      <w:bookmarkStart w:id="55" w:name="_Toc22980"/>
      <w:bookmarkStart w:id="56" w:name="_Toc17161"/>
      <w:r>
        <w:rPr>
          <w:rFonts w:hint="eastAsia" w:ascii="宋体" w:hAnsi="宋体" w:eastAsia="宋体" w:cs="宋体"/>
          <w:b/>
          <w:bCs/>
          <w:sz w:val="24"/>
          <w:szCs w:val="24"/>
        </w:rPr>
        <w:t>（二）影响项目收益的风险及控制措施</w:t>
      </w:r>
      <w:bookmarkEnd w:id="51"/>
      <w:bookmarkEnd w:id="52"/>
      <w:bookmarkEnd w:id="53"/>
      <w:bookmarkEnd w:id="54"/>
      <w:bookmarkEnd w:id="55"/>
      <w:bookmarkEnd w:id="56"/>
    </w:p>
    <w:p w14:paraId="42D97281">
      <w:pPr>
        <w:spacing w:line="360" w:lineRule="auto"/>
        <w:ind w:firstLine="480" w:firstLineChars="200"/>
        <w:rPr>
          <w:rFonts w:hint="eastAsia" w:ascii="宋体" w:hAnsi="宋体" w:eastAsia="宋体" w:cs="宋体"/>
          <w:sz w:val="24"/>
          <w:szCs w:val="24"/>
        </w:rPr>
      </w:pPr>
      <w:bookmarkStart w:id="57" w:name="_Toc498385099"/>
      <w:bookmarkStart w:id="58" w:name="_Toc498551279"/>
      <w:bookmarkStart w:id="59" w:name="_Toc498385767"/>
      <w:r>
        <w:rPr>
          <w:rFonts w:hint="eastAsia" w:ascii="宋体" w:hAnsi="宋体" w:eastAsia="宋体" w:cs="宋体"/>
          <w:sz w:val="24"/>
          <w:szCs w:val="24"/>
        </w:rPr>
        <w:t>工程可行性研究报告中的总投资额与实际造价成本可能会发生偏差，影响资金项目资金投入和发债计划安排。</w:t>
      </w:r>
    </w:p>
    <w:p w14:paraId="2B0A86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风险控制措施：按照市政府主管部门的批复结果及时调整项目资金投入计划，保障项目顺利实施。</w:t>
      </w:r>
    </w:p>
    <w:bookmarkEnd w:id="57"/>
    <w:bookmarkEnd w:id="58"/>
    <w:bookmarkEnd w:id="59"/>
    <w:p w14:paraId="4DDC423B">
      <w:pPr>
        <w:spacing w:line="360" w:lineRule="auto"/>
        <w:ind w:firstLine="482" w:firstLineChars="200"/>
        <w:outlineLvl w:val="0"/>
        <w:rPr>
          <w:rFonts w:hint="eastAsia" w:ascii="宋体" w:hAnsi="宋体" w:eastAsia="宋体" w:cs="宋体"/>
          <w:b/>
          <w:bCs/>
          <w:sz w:val="24"/>
          <w:szCs w:val="24"/>
        </w:rPr>
      </w:pPr>
      <w:bookmarkStart w:id="60" w:name="_Toc21473"/>
      <w:bookmarkStart w:id="61" w:name="_Toc7640"/>
      <w:bookmarkStart w:id="62" w:name="_Toc498551286"/>
      <w:bookmarkStart w:id="63" w:name="_Toc30358"/>
      <w:bookmarkStart w:id="64" w:name="_Toc498385773"/>
      <w:bookmarkStart w:id="65" w:name="_Toc498385105"/>
      <w:r>
        <w:rPr>
          <w:rFonts w:hint="eastAsia" w:ascii="宋体" w:hAnsi="宋体" w:eastAsia="宋体" w:cs="宋体"/>
          <w:b/>
          <w:bCs/>
          <w:sz w:val="24"/>
          <w:szCs w:val="24"/>
        </w:rPr>
        <w:t>（三）影响融资平衡结果的风险及控制措施</w:t>
      </w:r>
      <w:bookmarkEnd w:id="60"/>
      <w:bookmarkEnd w:id="61"/>
      <w:bookmarkEnd w:id="62"/>
      <w:bookmarkEnd w:id="63"/>
      <w:bookmarkEnd w:id="64"/>
      <w:bookmarkEnd w:id="65"/>
    </w:p>
    <w:p w14:paraId="15E5A68E">
      <w:pPr>
        <w:spacing w:line="360" w:lineRule="auto"/>
        <w:ind w:firstLine="480" w:firstLineChars="200"/>
        <w:outlineLvl w:val="2"/>
        <w:rPr>
          <w:rFonts w:hint="eastAsia" w:ascii="宋体" w:hAnsi="宋体" w:eastAsia="宋体" w:cs="宋体"/>
          <w:sz w:val="24"/>
          <w:szCs w:val="24"/>
        </w:rPr>
      </w:pPr>
      <w:bookmarkStart w:id="66" w:name="_Toc498551287"/>
      <w:bookmarkStart w:id="67" w:name="_Toc498385106"/>
      <w:bookmarkStart w:id="68" w:name="_Toc7555"/>
      <w:bookmarkStart w:id="69" w:name="_Toc498385774"/>
      <w:r>
        <w:rPr>
          <w:rFonts w:hint="eastAsia" w:ascii="宋体" w:hAnsi="宋体" w:eastAsia="宋体" w:cs="宋体"/>
          <w:sz w:val="24"/>
          <w:szCs w:val="24"/>
        </w:rPr>
        <w:t>1、投资测算不准确风险</w:t>
      </w:r>
      <w:bookmarkEnd w:id="66"/>
      <w:bookmarkEnd w:id="67"/>
      <w:bookmarkEnd w:id="68"/>
      <w:bookmarkEnd w:id="69"/>
    </w:p>
    <w:p w14:paraId="2633564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1A80A5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风险控制措施：债券内所含项目的可行性研究报告均聘请了国内知名研究院经过大量分析论证工作后得出，分析结果较为可靠。</w:t>
      </w:r>
    </w:p>
    <w:p w14:paraId="546287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62E94C99">
      <w:pPr>
        <w:spacing w:line="360" w:lineRule="auto"/>
        <w:ind w:firstLine="480" w:firstLineChars="200"/>
        <w:outlineLvl w:val="2"/>
        <w:rPr>
          <w:rFonts w:hint="eastAsia" w:ascii="宋体" w:hAnsi="宋体" w:eastAsia="宋体" w:cs="宋体"/>
          <w:sz w:val="24"/>
          <w:szCs w:val="24"/>
        </w:rPr>
      </w:pPr>
      <w:bookmarkStart w:id="70" w:name="_Toc3687"/>
      <w:r>
        <w:rPr>
          <w:rFonts w:hint="eastAsia" w:ascii="宋体" w:hAnsi="宋体" w:eastAsia="宋体" w:cs="宋体"/>
          <w:sz w:val="24"/>
          <w:szCs w:val="24"/>
        </w:rPr>
        <w:t>2、利率波动风险</w:t>
      </w:r>
      <w:bookmarkEnd w:id="70"/>
    </w:p>
    <w:p w14:paraId="2B2C75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63AC58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65C645FE">
      <w:pPr>
        <w:spacing w:line="360" w:lineRule="auto"/>
        <w:ind w:firstLine="480" w:firstLineChars="200"/>
        <w:outlineLvl w:val="2"/>
        <w:rPr>
          <w:rFonts w:hint="eastAsia" w:ascii="宋体" w:hAnsi="宋体" w:eastAsia="宋体" w:cs="宋体"/>
          <w:sz w:val="24"/>
          <w:szCs w:val="24"/>
        </w:rPr>
      </w:pPr>
      <w:bookmarkStart w:id="71" w:name="_Toc498551289"/>
      <w:bookmarkStart w:id="72" w:name="_Toc25085"/>
      <w:r>
        <w:rPr>
          <w:rFonts w:hint="eastAsia" w:ascii="宋体" w:hAnsi="宋体" w:eastAsia="宋体" w:cs="宋体"/>
          <w:sz w:val="24"/>
          <w:szCs w:val="24"/>
        </w:rPr>
        <w:t>3、存续债券置换不畅风险</w:t>
      </w:r>
      <w:bookmarkEnd w:id="71"/>
      <w:bookmarkEnd w:id="72"/>
    </w:p>
    <w:p w14:paraId="0277F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505F33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6F571529">
      <w:pPr>
        <w:spacing w:before="159" w:beforeLines="50" w:line="360" w:lineRule="auto"/>
        <w:ind w:firstLine="482" w:firstLineChars="200"/>
        <w:outlineLvl w:val="0"/>
        <w:rPr>
          <w:rFonts w:hint="eastAsia" w:ascii="宋体" w:hAnsi="宋体" w:eastAsia="宋体" w:cs="宋体"/>
          <w:b/>
          <w:sz w:val="24"/>
          <w:szCs w:val="24"/>
        </w:rPr>
      </w:pPr>
      <w:bookmarkStart w:id="73" w:name="_Toc4735"/>
      <w:bookmarkStart w:id="74" w:name="_Toc15942"/>
      <w:bookmarkStart w:id="75" w:name="_Toc8534"/>
      <w:bookmarkStart w:id="76" w:name="_Toc23808"/>
      <w:bookmarkStart w:id="77" w:name="_Toc32327"/>
      <w:bookmarkStart w:id="78" w:name="_Toc9133"/>
      <w:bookmarkStart w:id="79" w:name="_Toc1725"/>
      <w:bookmarkStart w:id="80" w:name="_Toc11499"/>
      <w:bookmarkStart w:id="81" w:name="_Toc17939"/>
      <w:bookmarkStart w:id="82" w:name="_Toc11488"/>
      <w:bookmarkStart w:id="83" w:name="_Toc4935"/>
      <w:bookmarkStart w:id="84" w:name="_Toc23636"/>
      <w:bookmarkStart w:id="85" w:name="_Toc16334"/>
      <w:bookmarkStart w:id="86" w:name="_Toc3051"/>
      <w:bookmarkStart w:id="87" w:name="_Toc10210"/>
      <w:bookmarkStart w:id="88" w:name="_Toc9496"/>
      <w:bookmarkStart w:id="89" w:name="_Toc2036"/>
      <w:bookmarkStart w:id="90" w:name="_Toc5637"/>
      <w:bookmarkStart w:id="91" w:name="_Toc5009"/>
      <w:bookmarkStart w:id="92" w:name="_Toc20734"/>
      <w:bookmarkStart w:id="93" w:name="_Toc5677"/>
      <w:bookmarkStart w:id="94" w:name="_Toc1287"/>
      <w:bookmarkStart w:id="95" w:name="_Toc32395"/>
      <w:bookmarkStart w:id="96" w:name="_Toc24781"/>
      <w:bookmarkStart w:id="97" w:name="_Toc6349"/>
      <w:bookmarkStart w:id="98" w:name="_Toc24199"/>
      <w:bookmarkStart w:id="99" w:name="_Toc13008"/>
      <w:bookmarkStart w:id="100" w:name="_Toc22531"/>
      <w:r>
        <w:rPr>
          <w:rFonts w:hint="eastAsia" w:ascii="宋体" w:hAnsi="宋体" w:eastAsia="宋体" w:cs="宋体"/>
          <w:b/>
          <w:sz w:val="24"/>
          <w:szCs w:val="24"/>
        </w:rPr>
        <w:t>七、还款保障措施</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AD3BA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27A5F2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24606E87">
      <w:pPr>
        <w:spacing w:line="360" w:lineRule="auto"/>
        <w:ind w:firstLine="480" w:firstLineChars="200"/>
        <w:rPr>
          <w:rFonts w:hint="eastAsia" w:ascii="宋体" w:hAnsi="宋体" w:eastAsia="宋体" w:cs="宋体"/>
          <w:sz w:val="24"/>
          <w:szCs w:val="24"/>
        </w:rPr>
      </w:pPr>
    </w:p>
    <w:p w14:paraId="227CF288">
      <w:pPr>
        <w:spacing w:line="360" w:lineRule="auto"/>
        <w:ind w:firstLine="480" w:firstLineChars="200"/>
        <w:rPr>
          <w:rFonts w:hint="eastAsia" w:ascii="宋体" w:hAnsi="宋体" w:eastAsia="宋体" w:cs="宋体"/>
          <w:sz w:val="24"/>
          <w:szCs w:val="24"/>
        </w:rPr>
      </w:pPr>
    </w:p>
    <w:p w14:paraId="2E711BCE">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海口市恒慧基础建设有限公司</w:t>
      </w:r>
    </w:p>
    <w:p w14:paraId="444483DB">
      <w:pPr>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sz w:val="24"/>
          <w:szCs w:val="24"/>
        </w:rPr>
        <w:t>2025年6月</w:t>
      </w:r>
      <w:r>
        <w:rPr>
          <w:rFonts w:hint="eastAsia" w:ascii="宋体" w:hAnsi="宋体" w:eastAsia="宋体" w:cs="宋体"/>
          <w:color w:val="000000"/>
          <w:kern w:val="0"/>
          <w:sz w:val="24"/>
          <w:szCs w:val="24"/>
        </w:rPr>
        <w:t>15日</w:t>
      </w:r>
    </w:p>
    <w:sectPr>
      <w:headerReference r:id="rId5" w:type="default"/>
      <w:footerReference r:id="rId6" w:type="default"/>
      <w:pgSz w:w="11906" w:h="16838"/>
      <w:pgMar w:top="1440" w:right="1803" w:bottom="1440" w:left="180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华文细黑">
    <w:altName w:val="微软雅黑"/>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B95CE">
    <w:pPr>
      <w:pStyle w:val="10"/>
      <w:jc w:val="center"/>
      <w:rPr>
        <w:rFonts w:hint="eastAsia"/>
      </w:rPr>
    </w:pPr>
  </w:p>
  <w:p w14:paraId="2A7EF241">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sdtPr>
    <w:sdtContent>
      <w:p w14:paraId="20F8E13F">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06E5F6CC">
    <w:pPr>
      <w:pStyle w:val="1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E8693">
    <w:pPr>
      <w:pStyle w:val="11"/>
      <w:pBdr>
        <w:bottom w:val="none" w:color="auto" w:sz="0" w:space="1"/>
      </w:pBdr>
      <w:tabs>
        <w:tab w:val="left" w:pos="6178"/>
        <w:tab w:val="clear" w:pos="8306"/>
      </w:tabs>
      <w:rPr>
        <w:rFonts w:hint="eastAsia"/>
      </w:rPr>
    </w:pPr>
    <w:r>
      <w:rPr>
        <w:rFonts w:hint="eastAsia" w:eastAsiaTheme="minor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FBAB6">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0DAA"/>
    <w:rsid w:val="000015A0"/>
    <w:rsid w:val="00002D01"/>
    <w:rsid w:val="00004C5A"/>
    <w:rsid w:val="00004E30"/>
    <w:rsid w:val="0001472F"/>
    <w:rsid w:val="000178C8"/>
    <w:rsid w:val="000218B0"/>
    <w:rsid w:val="000261E4"/>
    <w:rsid w:val="00037152"/>
    <w:rsid w:val="00040E2E"/>
    <w:rsid w:val="00041492"/>
    <w:rsid w:val="00045482"/>
    <w:rsid w:val="0004663A"/>
    <w:rsid w:val="00046784"/>
    <w:rsid w:val="00046C6C"/>
    <w:rsid w:val="000507C1"/>
    <w:rsid w:val="00050C72"/>
    <w:rsid w:val="0005306A"/>
    <w:rsid w:val="0005585E"/>
    <w:rsid w:val="00060465"/>
    <w:rsid w:val="00071F82"/>
    <w:rsid w:val="00073AB2"/>
    <w:rsid w:val="000742D5"/>
    <w:rsid w:val="00076136"/>
    <w:rsid w:val="00083F24"/>
    <w:rsid w:val="00084EC9"/>
    <w:rsid w:val="00086D89"/>
    <w:rsid w:val="00090C54"/>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649A"/>
    <w:rsid w:val="001375C0"/>
    <w:rsid w:val="001402B8"/>
    <w:rsid w:val="00141351"/>
    <w:rsid w:val="00141A89"/>
    <w:rsid w:val="001420D3"/>
    <w:rsid w:val="00144B23"/>
    <w:rsid w:val="0015056D"/>
    <w:rsid w:val="001521DB"/>
    <w:rsid w:val="00153AB8"/>
    <w:rsid w:val="00162879"/>
    <w:rsid w:val="00163941"/>
    <w:rsid w:val="001745B6"/>
    <w:rsid w:val="001749C6"/>
    <w:rsid w:val="00177535"/>
    <w:rsid w:val="0018403A"/>
    <w:rsid w:val="00187349"/>
    <w:rsid w:val="00191B0F"/>
    <w:rsid w:val="001922F6"/>
    <w:rsid w:val="001A21B6"/>
    <w:rsid w:val="001B2140"/>
    <w:rsid w:val="001B313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6609A"/>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B598D"/>
    <w:rsid w:val="003C3A95"/>
    <w:rsid w:val="003C70A8"/>
    <w:rsid w:val="003C7D5D"/>
    <w:rsid w:val="003E2680"/>
    <w:rsid w:val="003E682C"/>
    <w:rsid w:val="00400EC9"/>
    <w:rsid w:val="00401CB2"/>
    <w:rsid w:val="0040537D"/>
    <w:rsid w:val="00406495"/>
    <w:rsid w:val="004064E1"/>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75DD0"/>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1122"/>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C5522"/>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50B02"/>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080"/>
    <w:rsid w:val="00684F79"/>
    <w:rsid w:val="00691003"/>
    <w:rsid w:val="00693644"/>
    <w:rsid w:val="0069439F"/>
    <w:rsid w:val="0069494F"/>
    <w:rsid w:val="006B162C"/>
    <w:rsid w:val="006B50DF"/>
    <w:rsid w:val="006B612F"/>
    <w:rsid w:val="006C081D"/>
    <w:rsid w:val="006C1DA2"/>
    <w:rsid w:val="006C37E8"/>
    <w:rsid w:val="006C4809"/>
    <w:rsid w:val="006C53F5"/>
    <w:rsid w:val="006C753A"/>
    <w:rsid w:val="006D4716"/>
    <w:rsid w:val="006D6A69"/>
    <w:rsid w:val="006D79AA"/>
    <w:rsid w:val="006E53FE"/>
    <w:rsid w:val="006E6F5B"/>
    <w:rsid w:val="006E72DA"/>
    <w:rsid w:val="006F24DA"/>
    <w:rsid w:val="006F6BB0"/>
    <w:rsid w:val="00706119"/>
    <w:rsid w:val="00715096"/>
    <w:rsid w:val="00715A29"/>
    <w:rsid w:val="00716152"/>
    <w:rsid w:val="00716753"/>
    <w:rsid w:val="00723C9D"/>
    <w:rsid w:val="00725FF9"/>
    <w:rsid w:val="007314DC"/>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516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E82"/>
    <w:rsid w:val="00890F91"/>
    <w:rsid w:val="00893616"/>
    <w:rsid w:val="00894E93"/>
    <w:rsid w:val="00895705"/>
    <w:rsid w:val="008A29B3"/>
    <w:rsid w:val="008A3CE4"/>
    <w:rsid w:val="008A5F60"/>
    <w:rsid w:val="008B687B"/>
    <w:rsid w:val="008B70C0"/>
    <w:rsid w:val="008C71F6"/>
    <w:rsid w:val="008D0EB7"/>
    <w:rsid w:val="008D138C"/>
    <w:rsid w:val="008D3D8E"/>
    <w:rsid w:val="008D4307"/>
    <w:rsid w:val="008D5144"/>
    <w:rsid w:val="008E0156"/>
    <w:rsid w:val="008E04A6"/>
    <w:rsid w:val="008E2BD4"/>
    <w:rsid w:val="008E5437"/>
    <w:rsid w:val="008F08EF"/>
    <w:rsid w:val="008F11EF"/>
    <w:rsid w:val="00900CC6"/>
    <w:rsid w:val="00902D88"/>
    <w:rsid w:val="009128AE"/>
    <w:rsid w:val="0091309B"/>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B47B9"/>
    <w:rsid w:val="009C0C56"/>
    <w:rsid w:val="009D22CF"/>
    <w:rsid w:val="009D2F99"/>
    <w:rsid w:val="009D4361"/>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686"/>
    <w:rsid w:val="00A60A9E"/>
    <w:rsid w:val="00A62E59"/>
    <w:rsid w:val="00A65F14"/>
    <w:rsid w:val="00A71D76"/>
    <w:rsid w:val="00A71F4E"/>
    <w:rsid w:val="00A72863"/>
    <w:rsid w:val="00A72CD5"/>
    <w:rsid w:val="00A75B36"/>
    <w:rsid w:val="00A75DFE"/>
    <w:rsid w:val="00A76E4B"/>
    <w:rsid w:val="00A80A20"/>
    <w:rsid w:val="00A86929"/>
    <w:rsid w:val="00A87D8C"/>
    <w:rsid w:val="00A9073F"/>
    <w:rsid w:val="00A935CD"/>
    <w:rsid w:val="00A9759E"/>
    <w:rsid w:val="00AA511B"/>
    <w:rsid w:val="00AB0851"/>
    <w:rsid w:val="00AB08C0"/>
    <w:rsid w:val="00AB17DB"/>
    <w:rsid w:val="00AB2FA5"/>
    <w:rsid w:val="00AB3E9E"/>
    <w:rsid w:val="00AB3FD2"/>
    <w:rsid w:val="00AB677A"/>
    <w:rsid w:val="00AB6E3F"/>
    <w:rsid w:val="00AB7988"/>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385F"/>
    <w:rsid w:val="00B55B34"/>
    <w:rsid w:val="00B60DC6"/>
    <w:rsid w:val="00B6299C"/>
    <w:rsid w:val="00B63E63"/>
    <w:rsid w:val="00B72E5F"/>
    <w:rsid w:val="00B81B19"/>
    <w:rsid w:val="00B81C11"/>
    <w:rsid w:val="00B81DA2"/>
    <w:rsid w:val="00B85E32"/>
    <w:rsid w:val="00B874FA"/>
    <w:rsid w:val="00B87D8A"/>
    <w:rsid w:val="00B929B9"/>
    <w:rsid w:val="00BA3A26"/>
    <w:rsid w:val="00BA6EBD"/>
    <w:rsid w:val="00BB1041"/>
    <w:rsid w:val="00BB5B76"/>
    <w:rsid w:val="00BC506C"/>
    <w:rsid w:val="00BD16CA"/>
    <w:rsid w:val="00BD1F51"/>
    <w:rsid w:val="00BD52D1"/>
    <w:rsid w:val="00BD7C89"/>
    <w:rsid w:val="00BD7F4C"/>
    <w:rsid w:val="00BE1A5E"/>
    <w:rsid w:val="00BF00FF"/>
    <w:rsid w:val="00BF30DC"/>
    <w:rsid w:val="00BF4017"/>
    <w:rsid w:val="00BF63BD"/>
    <w:rsid w:val="00C00DC0"/>
    <w:rsid w:val="00C0392B"/>
    <w:rsid w:val="00C05AF0"/>
    <w:rsid w:val="00C05F9D"/>
    <w:rsid w:val="00C0726C"/>
    <w:rsid w:val="00C105B9"/>
    <w:rsid w:val="00C17CE8"/>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58FA"/>
    <w:rsid w:val="00D369F9"/>
    <w:rsid w:val="00D414C1"/>
    <w:rsid w:val="00D459A4"/>
    <w:rsid w:val="00D476D4"/>
    <w:rsid w:val="00D5030A"/>
    <w:rsid w:val="00D52AF2"/>
    <w:rsid w:val="00D56B82"/>
    <w:rsid w:val="00D70F41"/>
    <w:rsid w:val="00D763E0"/>
    <w:rsid w:val="00D91749"/>
    <w:rsid w:val="00D95DB8"/>
    <w:rsid w:val="00D9762A"/>
    <w:rsid w:val="00DA39E8"/>
    <w:rsid w:val="00DA6AB1"/>
    <w:rsid w:val="00DA6CCE"/>
    <w:rsid w:val="00DB496C"/>
    <w:rsid w:val="00DC176D"/>
    <w:rsid w:val="00DC52E1"/>
    <w:rsid w:val="00DC5C9F"/>
    <w:rsid w:val="00DC671E"/>
    <w:rsid w:val="00DD2D88"/>
    <w:rsid w:val="00DD2DD6"/>
    <w:rsid w:val="00DD3959"/>
    <w:rsid w:val="00DD46B5"/>
    <w:rsid w:val="00DD4D14"/>
    <w:rsid w:val="00DD67B0"/>
    <w:rsid w:val="00DE3458"/>
    <w:rsid w:val="00DF1B1F"/>
    <w:rsid w:val="00DF1F42"/>
    <w:rsid w:val="00DF552F"/>
    <w:rsid w:val="00E01BCA"/>
    <w:rsid w:val="00E06A5F"/>
    <w:rsid w:val="00E072AF"/>
    <w:rsid w:val="00E1064E"/>
    <w:rsid w:val="00E13038"/>
    <w:rsid w:val="00E15EBB"/>
    <w:rsid w:val="00E333F4"/>
    <w:rsid w:val="00E33A8E"/>
    <w:rsid w:val="00E365A4"/>
    <w:rsid w:val="00E4365F"/>
    <w:rsid w:val="00E43EA1"/>
    <w:rsid w:val="00E46FF9"/>
    <w:rsid w:val="00E514C7"/>
    <w:rsid w:val="00E56DB0"/>
    <w:rsid w:val="00E60601"/>
    <w:rsid w:val="00E6226F"/>
    <w:rsid w:val="00E70076"/>
    <w:rsid w:val="00E70165"/>
    <w:rsid w:val="00E71468"/>
    <w:rsid w:val="00E7213A"/>
    <w:rsid w:val="00E722C6"/>
    <w:rsid w:val="00E7256E"/>
    <w:rsid w:val="00E74318"/>
    <w:rsid w:val="00E7622E"/>
    <w:rsid w:val="00E80678"/>
    <w:rsid w:val="00E81949"/>
    <w:rsid w:val="00E85DBB"/>
    <w:rsid w:val="00E9455C"/>
    <w:rsid w:val="00EA2674"/>
    <w:rsid w:val="00EA4852"/>
    <w:rsid w:val="00EB218D"/>
    <w:rsid w:val="00EB2E85"/>
    <w:rsid w:val="00EB46E3"/>
    <w:rsid w:val="00EC2BE1"/>
    <w:rsid w:val="00EC54CC"/>
    <w:rsid w:val="00EC7BA1"/>
    <w:rsid w:val="00ED03B8"/>
    <w:rsid w:val="00ED2683"/>
    <w:rsid w:val="00ED27B0"/>
    <w:rsid w:val="00ED4A23"/>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3D17501"/>
    <w:rsid w:val="06260F0D"/>
    <w:rsid w:val="097B1ADC"/>
    <w:rsid w:val="09BF341F"/>
    <w:rsid w:val="0C7930E7"/>
    <w:rsid w:val="0E5E4941"/>
    <w:rsid w:val="0F084261"/>
    <w:rsid w:val="11E64292"/>
    <w:rsid w:val="12103504"/>
    <w:rsid w:val="14B270BC"/>
    <w:rsid w:val="154E2F47"/>
    <w:rsid w:val="15CD690D"/>
    <w:rsid w:val="16A914DF"/>
    <w:rsid w:val="171B4FA5"/>
    <w:rsid w:val="175759BD"/>
    <w:rsid w:val="180778BA"/>
    <w:rsid w:val="182C395A"/>
    <w:rsid w:val="18D94137"/>
    <w:rsid w:val="19152F02"/>
    <w:rsid w:val="1921046B"/>
    <w:rsid w:val="19257F5C"/>
    <w:rsid w:val="1B57327A"/>
    <w:rsid w:val="1BF20BAA"/>
    <w:rsid w:val="20A774A8"/>
    <w:rsid w:val="21E4166A"/>
    <w:rsid w:val="22D8647E"/>
    <w:rsid w:val="232224CD"/>
    <w:rsid w:val="249F6523"/>
    <w:rsid w:val="26452677"/>
    <w:rsid w:val="29A01B46"/>
    <w:rsid w:val="2C464749"/>
    <w:rsid w:val="2C6E3570"/>
    <w:rsid w:val="2D0F1E53"/>
    <w:rsid w:val="2E127B70"/>
    <w:rsid w:val="2ED326F7"/>
    <w:rsid w:val="2F4C4997"/>
    <w:rsid w:val="2FB2417E"/>
    <w:rsid w:val="31392E76"/>
    <w:rsid w:val="32472749"/>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1850CE8"/>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441D8B"/>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6A0DCB"/>
    <w:rsid w:val="6BC04225"/>
    <w:rsid w:val="6C1C19CB"/>
    <w:rsid w:val="6C8044AD"/>
    <w:rsid w:val="6D000269"/>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8715106"/>
    <w:rsid w:val="798B2638"/>
    <w:rsid w:val="79F71A7C"/>
    <w:rsid w:val="7AF64006"/>
    <w:rsid w:val="7AFDAB09"/>
    <w:rsid w:val="7D9D7924"/>
    <w:rsid w:val="7DDECC4F"/>
    <w:rsid w:val="7E6D055E"/>
    <w:rsid w:val="7F5B3843"/>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style>
  <w:style w:type="paragraph" w:styleId="6">
    <w:name w:val="annotation text"/>
    <w:basedOn w:val="1"/>
    <w:link w:val="24"/>
    <w:autoRedefine/>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autoRedefine/>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autoRedefine/>
    <w:unhideWhenUsed/>
    <w:qFormat/>
    <w:uiPriority w:val="99"/>
    <w:pPr>
      <w:tabs>
        <w:tab w:val="center" w:pos="4153"/>
        <w:tab w:val="right" w:pos="8306"/>
      </w:tabs>
      <w:snapToGrid w:val="0"/>
      <w:jc w:val="left"/>
    </w:pPr>
    <w:rPr>
      <w:sz w:val="18"/>
      <w:szCs w:val="18"/>
    </w:rPr>
  </w:style>
  <w:style w:type="paragraph" w:styleId="11">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autoRedefine/>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autoRedefine/>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autoRedefine/>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autoRedefine/>
    <w:unhideWhenUsed/>
    <w:qFormat/>
    <w:uiPriority w:val="99"/>
    <w:pPr>
      <w:ind w:firstLine="420" w:firstLineChars="200"/>
    </w:pPr>
  </w:style>
  <w:style w:type="character" w:customStyle="1" w:styleId="32">
    <w:name w:val="正文文本缩进 3 字符"/>
    <w:basedOn w:val="21"/>
    <w:link w:val="14"/>
    <w:autoRedefine/>
    <w:qFormat/>
    <w:uiPriority w:val="0"/>
    <w:rPr>
      <w:kern w:val="2"/>
      <w:sz w:val="16"/>
    </w:rPr>
  </w:style>
  <w:style w:type="table" w:customStyle="1" w:styleId="33">
    <w:name w:val="Table Normal"/>
    <w:autoRedefine/>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autoRedefine/>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2024</c:v>
                </c:pt>
                <c:pt idx="1">
                  <c:v>2025</c:v>
                </c:pt>
                <c:pt idx="2">
                  <c:v>2026</c:v>
                </c:pt>
                <c:pt idx="3">
                  <c:v>2027</c:v>
                </c:pt>
                <c:pt idx="4">
                  <c:v>2028</c:v>
                </c:pt>
                <c:pt idx="5">
                  <c:v>2029</c:v>
                </c:pt>
                <c:pt idx="6">
                  <c:v>2030</c:v>
                </c:pt>
                <c:pt idx="7">
                  <c:v>2031</c:v>
                </c:pt>
                <c:pt idx="8">
                  <c:v>2032</c:v>
                </c:pt>
                <c:pt idx="9">
                  <c:v>2033</c:v>
                </c:pt>
                <c:pt idx="10">
                  <c:v>2034</c:v>
                </c:pt>
                <c:pt idx="11">
                  <c:v>2035</c:v>
                </c:pt>
              </c:numCache>
            </c:numRef>
          </c:cat>
          <c:val>
            <c:numRef>
              <c:f>Sheet1!$B$2:$B$13</c:f>
              <c:numCache>
                <c:formatCode>_(* #,##0.00_);_(* \(#,##0.00\);_(* "-"??_);_(@_)</c:formatCode>
                <c:ptCount val="12"/>
                <c:pt idx="0">
                  <c:v>0</c:v>
                </c:pt>
                <c:pt idx="1">
                  <c:v>0</c:v>
                </c:pt>
                <c:pt idx="2">
                  <c:v>0</c:v>
                </c:pt>
                <c:pt idx="3">
                  <c:v>75.2</c:v>
                </c:pt>
                <c:pt idx="4">
                  <c:v>150.4</c:v>
                </c:pt>
                <c:pt idx="5">
                  <c:v>225.6</c:v>
                </c:pt>
                <c:pt idx="6">
                  <c:v>300.8</c:v>
                </c:pt>
                <c:pt idx="7">
                  <c:v>376</c:v>
                </c:pt>
                <c:pt idx="8">
                  <c:v>451.2</c:v>
                </c:pt>
                <c:pt idx="9">
                  <c:v>526.4</c:v>
                </c:pt>
                <c:pt idx="10">
                  <c:v>601.6</c:v>
                </c:pt>
                <c:pt idx="11">
                  <c:v>181.2</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ddf129f-8c48-4734-958e-71f2ba46af9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16</Pages>
  <Words>5503</Words>
  <Characters>6695</Characters>
  <Lines>89</Lines>
  <Paragraphs>25</Paragraphs>
  <TotalTime>14</TotalTime>
  <ScaleCrop>false</ScaleCrop>
  <LinksUpToDate>false</LinksUpToDate>
  <CharactersWithSpaces>6739</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zoe</cp:lastModifiedBy>
  <dcterms:modified xsi:type="dcterms:W3CDTF">2026-05-19T03:18:41Z</dcterms:modified>
  <dc:title>2019年儋州市兰洋特色小镇项目专项债券（二期)</dc:title>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D40A0589C2C841EC80BBFE38A1FD4ED9_13</vt:lpwstr>
  </property>
  <property fmtid="{D5CDD505-2E9C-101B-9397-08002B2CF9AE}" pid="4" name="KSOTemplateDocerSaveRecord">
    <vt:lpwstr>eyJoZGlkIjoiZjc4NmJlMjNhZDU3M2ZmYTE4YmFkYzFlYWU3NzhmZGMiLCJ1c2VySWQiOiIxNDA0OTg0NTc4In0=</vt:lpwstr>
  </property>
</Properties>
</file>