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708" w:leftChars="-337" w:right="-584" w:rightChars="-278"/>
        <w:jc w:val="center"/>
        <w:rPr>
          <w:rFonts w:hint="eastAsia" w:ascii="楷体" w:hAnsi="楷体" w:eastAsia="楷体" w:cs="楷体"/>
          <w:b/>
          <w:color w:val="000000" w:themeColor="text1"/>
          <w:kern w:val="0"/>
          <w:sz w:val="40"/>
          <w:szCs w:val="44"/>
          <w14:textFill>
            <w14:solidFill>
              <w14:schemeClr w14:val="tx1"/>
            </w14:solidFill>
          </w14:textFill>
        </w:rPr>
      </w:pPr>
    </w:p>
    <w:p>
      <w:pPr>
        <w:spacing w:after="0" w:line="360" w:lineRule="auto"/>
        <w:ind w:left="-708" w:leftChars="-337" w:right="-584" w:rightChars="-278"/>
        <w:jc w:val="center"/>
        <w:rPr>
          <w:rFonts w:hint="eastAsia" w:ascii="楷体" w:hAnsi="楷体" w:eastAsia="楷体" w:cs="楷体"/>
          <w:b/>
          <w:color w:val="000000" w:themeColor="text1"/>
          <w:kern w:val="0"/>
          <w:sz w:val="40"/>
          <w:szCs w:val="44"/>
          <w14:textFill>
            <w14:solidFill>
              <w14:schemeClr w14:val="tx1"/>
            </w14:solidFill>
          </w14:textFill>
        </w:rPr>
      </w:pPr>
    </w:p>
    <w:p>
      <w:pPr>
        <w:spacing w:after="0" w:line="360" w:lineRule="auto"/>
        <w:ind w:left="-708" w:leftChars="-337" w:right="-584" w:rightChars="-278"/>
        <w:jc w:val="center"/>
        <w:rPr>
          <w:rFonts w:hint="eastAsia" w:ascii="楷体" w:hAnsi="楷体" w:eastAsia="楷体" w:cs="楷体"/>
          <w:b/>
          <w:color w:val="000000" w:themeColor="text1"/>
          <w:kern w:val="0"/>
          <w:sz w:val="40"/>
          <w:szCs w:val="44"/>
          <w14:textFill>
            <w14:solidFill>
              <w14:schemeClr w14:val="tx1"/>
            </w14:solidFill>
          </w14:textFill>
        </w:rPr>
      </w:pPr>
    </w:p>
    <w:p>
      <w:pPr>
        <w:spacing w:after="0" w:line="240" w:lineRule="auto"/>
        <w:ind w:left="-708" w:leftChars="-337" w:right="-584" w:rightChars="-278"/>
        <w:jc w:val="center"/>
        <w:rPr>
          <w:rFonts w:hint="eastAsia" w:ascii="方正小标宋简体" w:hAnsi="楷体" w:eastAsia="方正小标宋简体" w:cs="楷体"/>
          <w:bCs/>
          <w:color w:val="000000" w:themeColor="text1"/>
          <w:kern w:val="0"/>
          <w:sz w:val="40"/>
          <w:szCs w:val="44"/>
          <w14:textFill>
            <w14:solidFill>
              <w14:schemeClr w14:val="tx1"/>
            </w14:solidFill>
          </w14:textFill>
        </w:rPr>
      </w:pPr>
      <w:r>
        <w:rPr>
          <w:rFonts w:hint="eastAsia" w:ascii="方正小标宋简体" w:hAnsi="楷体" w:eastAsia="方正小标宋简体" w:cs="楷体"/>
          <w:bCs/>
          <w:color w:val="000000" w:themeColor="text1"/>
          <w:kern w:val="0"/>
          <w:sz w:val="40"/>
          <w:szCs w:val="44"/>
          <w14:textFill>
            <w14:solidFill>
              <w14:schemeClr w14:val="tx1"/>
            </w14:solidFill>
          </w14:textFill>
        </w:rPr>
        <w:t>2025年海南省政府专项债券（一期）</w:t>
      </w:r>
    </w:p>
    <w:p>
      <w:pPr>
        <w:spacing w:after="0" w:line="240" w:lineRule="auto"/>
        <w:ind w:left="-708" w:leftChars="-337" w:right="-584" w:rightChars="-278"/>
        <w:jc w:val="center"/>
        <w:rPr>
          <w:rFonts w:hint="eastAsia" w:ascii="方正小标宋简体" w:hAnsi="楷体" w:eastAsia="方正小标宋简体" w:cs="楷体"/>
          <w:bCs/>
          <w:color w:val="000000" w:themeColor="text1"/>
          <w:kern w:val="0"/>
          <w:sz w:val="40"/>
          <w:szCs w:val="44"/>
          <w14:textFill>
            <w14:solidFill>
              <w14:schemeClr w14:val="tx1"/>
            </w14:solidFill>
          </w14:textFill>
        </w:rPr>
      </w:pPr>
      <w:r>
        <w:rPr>
          <w:rFonts w:hint="eastAsia" w:ascii="方正小标宋简体" w:hAnsi="楷体" w:eastAsia="方正小标宋简体" w:cs="楷体"/>
          <w:bCs/>
          <w:color w:val="000000" w:themeColor="text1"/>
          <w:kern w:val="0"/>
          <w:sz w:val="40"/>
          <w:szCs w:val="44"/>
          <w14:textFill>
            <w14:solidFill>
              <w14:schemeClr w14:val="tx1"/>
            </w14:solidFill>
          </w14:textFill>
        </w:rPr>
        <w:t>海口市江东新区园区配套基础设施配套项目（二期）</w:t>
      </w:r>
    </w:p>
    <w:p>
      <w:pPr>
        <w:spacing w:after="0" w:line="240" w:lineRule="auto"/>
        <w:ind w:left="-708" w:leftChars="-337" w:right="-584" w:rightChars="-278"/>
        <w:jc w:val="center"/>
        <w:rPr>
          <w:rFonts w:hint="eastAsia" w:ascii="楷体" w:hAnsi="楷体" w:eastAsia="楷体" w:cs="楷体"/>
          <w:b/>
          <w:color w:val="000000" w:themeColor="text1"/>
          <w:kern w:val="0"/>
          <w:sz w:val="32"/>
          <w:szCs w:val="36"/>
          <w14:textFill>
            <w14:solidFill>
              <w14:schemeClr w14:val="tx1"/>
            </w14:solidFill>
          </w14:textFill>
        </w:rPr>
      </w:pPr>
      <w:r>
        <w:rPr>
          <w:rFonts w:hint="eastAsia" w:ascii="方正小标宋简体" w:hAnsi="楷体" w:eastAsia="方正小标宋简体" w:cs="楷体"/>
          <w:bCs/>
          <w:color w:val="000000" w:themeColor="text1"/>
          <w:kern w:val="0"/>
          <w:sz w:val="40"/>
          <w:szCs w:val="44"/>
          <w14:textFill>
            <w14:solidFill>
              <w14:schemeClr w14:val="tx1"/>
            </w14:solidFill>
          </w14:textFill>
        </w:rPr>
        <w:t>专项债券收益与融资自求平衡调整方案</w:t>
      </w:r>
    </w:p>
    <w:p>
      <w:pPr>
        <w:pStyle w:val="4"/>
        <w:rPr>
          <w:rFonts w:hint="eastAsia" w:ascii="楷体" w:hAnsi="楷体" w:eastAsia="楷体" w:cs="楷体"/>
          <w:b/>
          <w:color w:val="000000" w:themeColor="text1"/>
          <w:kern w:val="0"/>
          <w:szCs w:val="36"/>
          <w14:textFill>
            <w14:solidFill>
              <w14:schemeClr w14:val="tx1"/>
            </w14:solidFill>
          </w14:textFill>
        </w:rPr>
      </w:pPr>
    </w:p>
    <w:p>
      <w:pPr>
        <w:rPr>
          <w:rFonts w:hint="eastAsia" w:ascii="楷体" w:hAnsi="楷体" w:eastAsia="楷体" w:cs="楷体"/>
          <w:b/>
          <w:color w:val="000000" w:themeColor="text1"/>
          <w:kern w:val="0"/>
          <w:sz w:val="32"/>
          <w:szCs w:val="36"/>
          <w14:textFill>
            <w14:solidFill>
              <w14:schemeClr w14:val="tx1"/>
            </w14:solidFill>
          </w14:textFill>
        </w:rPr>
      </w:pPr>
    </w:p>
    <w:p/>
    <w:p>
      <w:pPr>
        <w:spacing w:after="0" w:line="360" w:lineRule="auto"/>
        <w:ind w:left="-708" w:leftChars="-337" w:right="-584" w:rightChars="-278"/>
        <w:jc w:val="center"/>
        <w:rPr>
          <w:rFonts w:hint="eastAsia" w:ascii="楷体" w:hAnsi="楷体" w:eastAsia="楷体" w:cs="楷体"/>
          <w:b/>
          <w:color w:val="000000" w:themeColor="text1"/>
          <w:kern w:val="0"/>
          <w:sz w:val="32"/>
          <w:szCs w:val="36"/>
          <w14:textFill>
            <w14:solidFill>
              <w14:schemeClr w14:val="tx1"/>
            </w14:solidFill>
          </w14:textFill>
        </w:rPr>
      </w:pPr>
    </w:p>
    <w:p>
      <w:pPr>
        <w:ind w:left="567" w:leftChars="270"/>
        <w:jc w:val="left"/>
        <w:rPr>
          <w:rFonts w:hint="eastAsia" w:ascii="仿宋_GB2312" w:eastAsia="仿宋_GB2312"/>
          <w:bCs/>
          <w:sz w:val="30"/>
          <w:szCs w:val="30"/>
        </w:rPr>
      </w:pPr>
      <w:r>
        <w:rPr>
          <w:rFonts w:hint="eastAsia" w:ascii="仿宋_GB2312" w:eastAsia="仿宋_GB2312"/>
          <w:bCs/>
          <w:sz w:val="30"/>
          <w:szCs w:val="30"/>
        </w:rPr>
        <w:t>财政部门：海口市财政局</w:t>
      </w:r>
    </w:p>
    <w:p>
      <w:pPr>
        <w:pStyle w:val="2"/>
      </w:pPr>
    </w:p>
    <w:p>
      <w:pPr>
        <w:ind w:left="567" w:leftChars="270"/>
        <w:jc w:val="left"/>
        <w:rPr>
          <w:rFonts w:hint="eastAsia" w:ascii="仿宋_GB2312" w:eastAsia="仿宋_GB2312"/>
          <w:bCs/>
          <w:sz w:val="30"/>
          <w:szCs w:val="30"/>
        </w:rPr>
      </w:pPr>
      <w:r>
        <w:rPr>
          <w:rFonts w:hint="eastAsia" w:ascii="仿宋_GB2312" w:eastAsia="仿宋_GB2312"/>
          <w:bCs/>
          <w:sz w:val="30"/>
          <w:szCs w:val="30"/>
        </w:rPr>
        <w:t>主管部门：海口江东新区管理局</w:t>
      </w:r>
    </w:p>
    <w:p>
      <w:pPr>
        <w:pStyle w:val="2"/>
      </w:pPr>
    </w:p>
    <w:p>
      <w:pPr>
        <w:ind w:left="567" w:leftChars="270"/>
        <w:jc w:val="left"/>
        <w:rPr>
          <w:rFonts w:hint="eastAsia" w:ascii="仿宋_GB2312" w:hAnsi="仿宋" w:eastAsia="仿宋_GB2312"/>
          <w:bCs/>
          <w:sz w:val="30"/>
          <w:szCs w:val="30"/>
        </w:rPr>
      </w:pPr>
      <w:r>
        <w:rPr>
          <w:rFonts w:hint="eastAsia" w:ascii="仿宋_GB2312" w:eastAsia="仿宋_GB2312"/>
          <w:bCs/>
          <w:sz w:val="30"/>
          <w:szCs w:val="30"/>
        </w:rPr>
        <w:t>业主单位：海口市路桥建设投资有限公司</w:t>
      </w:r>
    </w:p>
    <w:p>
      <w:pPr>
        <w:ind w:left="567" w:leftChars="270"/>
        <w:jc w:val="center"/>
        <w:rPr>
          <w:rFonts w:eastAsia="仿宋"/>
          <w:b/>
          <w:sz w:val="30"/>
          <w:szCs w:val="30"/>
        </w:rPr>
      </w:pPr>
    </w:p>
    <w:p>
      <w:pPr>
        <w:ind w:left="567" w:leftChars="270"/>
        <w:jc w:val="center"/>
        <w:rPr>
          <w:rFonts w:eastAsia="仿宋"/>
          <w:b/>
          <w:sz w:val="30"/>
          <w:szCs w:val="30"/>
        </w:rPr>
      </w:pPr>
    </w:p>
    <w:p>
      <w:pPr>
        <w:ind w:left="567" w:leftChars="270"/>
        <w:jc w:val="center"/>
        <w:rPr>
          <w:rFonts w:ascii="仿宋_GB2312" w:eastAsia="仿宋_GB2312"/>
          <w:bCs/>
          <w:sz w:val="30"/>
          <w:szCs w:val="30"/>
        </w:rPr>
      </w:pPr>
      <w:r>
        <w:rPr>
          <w:rFonts w:hint="eastAsia" w:ascii="仿宋_GB2312" w:eastAsia="仿宋_GB2312"/>
          <w:bCs/>
          <w:sz w:val="32"/>
          <w:szCs w:val="32"/>
        </w:rPr>
        <w:t>二</w:t>
      </w:r>
      <w:r>
        <w:rPr>
          <w:rFonts w:hint="eastAsia" w:ascii="微软雅黑" w:hAnsi="微软雅黑" w:eastAsia="微软雅黑" w:cs="微软雅黑"/>
          <w:bCs/>
          <w:sz w:val="32"/>
          <w:szCs w:val="32"/>
        </w:rPr>
        <w:t>〇</w:t>
      </w:r>
      <w:r>
        <w:rPr>
          <w:rFonts w:hint="eastAsia" w:ascii="仿宋_GB2312" w:hAnsi="仿宋_GB2312" w:eastAsia="仿宋_GB2312" w:cs="仿宋_GB2312"/>
          <w:bCs/>
          <w:sz w:val="32"/>
          <w:szCs w:val="32"/>
        </w:rPr>
        <w:t>二</w:t>
      </w:r>
      <w:r>
        <w:rPr>
          <w:rFonts w:hint="eastAsia" w:ascii="仿宋_GB2312" w:eastAsia="仿宋_GB2312"/>
          <w:bCs/>
          <w:sz w:val="32"/>
          <w:szCs w:val="32"/>
        </w:rPr>
        <w:t>五年六月</w:t>
      </w:r>
    </w:p>
    <w:p>
      <w:pPr>
        <w:widowControl/>
        <w:spacing w:after="0" w:line="240" w:lineRule="auto"/>
        <w:jc w:val="left"/>
        <w:rPr>
          <w:rFonts w:hint="eastAsia" w:ascii="楷体" w:hAnsi="楷体" w:eastAsia="楷体"/>
          <w:b/>
          <w:bCs/>
          <w:sz w:val="32"/>
          <w:szCs w:val="36"/>
        </w:rPr>
      </w:pPr>
    </w:p>
    <w:p>
      <w:pPr>
        <w:spacing w:after="0" w:line="360" w:lineRule="auto"/>
        <w:ind w:right="-584" w:rightChars="-278"/>
        <w:jc w:val="center"/>
        <w:rPr>
          <w:rFonts w:hint="eastAsia" w:ascii="楷体" w:hAnsi="楷体" w:eastAsia="楷体"/>
          <w:b/>
          <w:bCs/>
          <w:sz w:val="32"/>
          <w:szCs w:val="36"/>
        </w:rPr>
        <w:sectPr>
          <w:footerReference r:id="rId5" w:type="default"/>
          <w:pgSz w:w="11906" w:h="16838"/>
          <w:pgMar w:top="1440" w:right="1800" w:bottom="1440" w:left="1800" w:header="720" w:footer="720" w:gutter="0"/>
          <w:cols w:space="720" w:num="1"/>
        </w:sectPr>
      </w:pPr>
    </w:p>
    <w:p>
      <w:pPr>
        <w:spacing w:after="0" w:line="240" w:lineRule="auto"/>
        <w:ind w:firstLine="560"/>
        <w:rPr>
          <w:rFonts w:hint="eastAsia" w:ascii="楷体" w:hAnsi="楷体" w:eastAsia="楷体" w:cs="楷体"/>
          <w:color w:val="000000" w:themeColor="text1"/>
          <w:kern w:val="0"/>
          <w:sz w:val="28"/>
          <w:szCs w:val="28"/>
          <w:lang w:val="en-GB"/>
          <w14:textFill>
            <w14:solidFill>
              <w14:schemeClr w14:val="tx1"/>
            </w14:solidFill>
          </w14:textFill>
        </w:rPr>
      </w:pPr>
    </w:p>
    <w:p>
      <w:pPr>
        <w:spacing w:line="360" w:lineRule="auto"/>
        <w:ind w:firstLine="560"/>
        <w:rPr>
          <w:rFonts w:hint="eastAsia" w:ascii="楷体" w:hAnsi="楷体" w:eastAsia="楷体" w:cs="楷体"/>
          <w:b/>
          <w:color w:val="000000" w:themeColor="text1"/>
          <w:kern w:val="0"/>
          <w:sz w:val="40"/>
          <w:szCs w:val="44"/>
          <w14:textFill>
            <w14:solidFill>
              <w14:schemeClr w14:val="tx1"/>
            </w14:solidFill>
          </w14:textFill>
        </w:rPr>
      </w:pPr>
    </w:p>
    <w:p>
      <w:pPr>
        <w:pStyle w:val="2"/>
        <w:rPr>
          <w:rFonts w:hint="eastAsia" w:ascii="楷体" w:hAnsi="楷体" w:eastAsia="楷体" w:cs="楷体"/>
          <w:b/>
          <w:color w:val="000000" w:themeColor="text1"/>
          <w:kern w:val="0"/>
          <w:sz w:val="40"/>
          <w:szCs w:val="44"/>
          <w14:textFill>
            <w14:solidFill>
              <w14:schemeClr w14:val="tx1"/>
            </w14:solidFill>
          </w14:textFill>
        </w:rPr>
      </w:pPr>
    </w:p>
    <w:p>
      <w:pPr>
        <w:pStyle w:val="3"/>
        <w:rPr>
          <w:rFonts w:hint="eastAsia" w:ascii="楷体" w:hAnsi="楷体" w:eastAsia="楷体" w:cs="楷体"/>
          <w:b/>
          <w:color w:val="000000" w:themeColor="text1"/>
          <w:kern w:val="0"/>
          <w:sz w:val="40"/>
          <w:szCs w:val="44"/>
          <w14:textFill>
            <w14:solidFill>
              <w14:schemeClr w14:val="tx1"/>
            </w14:solidFill>
          </w14:textFill>
        </w:rPr>
      </w:pPr>
    </w:p>
    <w:p>
      <w:pPr>
        <w:rPr>
          <w:rFonts w:hint="eastAsia" w:ascii="楷体" w:hAnsi="楷体" w:eastAsia="楷体" w:cs="楷体"/>
          <w:b/>
          <w:color w:val="000000" w:themeColor="text1"/>
          <w:kern w:val="0"/>
          <w:sz w:val="40"/>
          <w:szCs w:val="44"/>
          <w14:textFill>
            <w14:solidFill>
              <w14:schemeClr w14:val="tx1"/>
            </w14:solidFill>
          </w14:textFill>
        </w:rPr>
      </w:pPr>
    </w:p>
    <w:p>
      <w:pPr>
        <w:pStyle w:val="2"/>
        <w:rPr>
          <w:rFonts w:hint="eastAsia" w:ascii="楷体" w:hAnsi="楷体" w:eastAsia="楷体" w:cs="楷体"/>
          <w:b/>
          <w:color w:val="000000" w:themeColor="text1"/>
          <w:kern w:val="0"/>
          <w:sz w:val="40"/>
          <w:szCs w:val="44"/>
          <w14:textFill>
            <w14:solidFill>
              <w14:schemeClr w14:val="tx1"/>
            </w14:solidFill>
          </w14:textFill>
        </w:rPr>
      </w:pPr>
    </w:p>
    <w:p>
      <w:pPr>
        <w:pStyle w:val="3"/>
        <w:rPr>
          <w:rFonts w:hint="eastAsia" w:ascii="楷体" w:hAnsi="楷体" w:eastAsia="楷体" w:cs="楷体"/>
          <w:b/>
          <w:color w:val="000000" w:themeColor="text1"/>
          <w:kern w:val="0"/>
          <w:sz w:val="40"/>
          <w:szCs w:val="44"/>
          <w14:textFill>
            <w14:solidFill>
              <w14:schemeClr w14:val="tx1"/>
            </w14:solidFill>
          </w14:textFill>
        </w:rPr>
      </w:pPr>
    </w:p>
    <w:p>
      <w:pPr>
        <w:rPr>
          <w:rFonts w:hint="eastAsia" w:ascii="楷体" w:hAnsi="楷体" w:eastAsia="楷体" w:cs="楷体"/>
          <w:b/>
          <w:color w:val="000000" w:themeColor="text1"/>
          <w:kern w:val="0"/>
          <w:sz w:val="40"/>
          <w:szCs w:val="44"/>
          <w14:textFill>
            <w14:solidFill>
              <w14:schemeClr w14:val="tx1"/>
            </w14:solidFill>
          </w14:textFill>
        </w:rPr>
      </w:pPr>
    </w:p>
    <w:p>
      <w:pPr>
        <w:pStyle w:val="2"/>
        <w:rPr>
          <w:rFonts w:hint="eastAsia" w:ascii="楷体" w:hAnsi="楷体" w:eastAsia="楷体" w:cs="楷体"/>
          <w:b/>
          <w:color w:val="000000" w:themeColor="text1"/>
          <w:kern w:val="0"/>
          <w:sz w:val="40"/>
          <w:szCs w:val="44"/>
          <w14:textFill>
            <w14:solidFill>
              <w14:schemeClr w14:val="tx1"/>
            </w14:solidFill>
          </w14:textFill>
        </w:rPr>
      </w:pPr>
    </w:p>
    <w:p>
      <w:pPr>
        <w:pStyle w:val="3"/>
        <w:rPr>
          <w:rFonts w:hint="eastAsia" w:ascii="楷体" w:hAnsi="楷体" w:eastAsia="楷体" w:cs="楷体"/>
          <w:b/>
          <w:color w:val="000000" w:themeColor="text1"/>
          <w:kern w:val="0"/>
          <w:sz w:val="40"/>
          <w:szCs w:val="44"/>
          <w14:textFill>
            <w14:solidFill>
              <w14:schemeClr w14:val="tx1"/>
            </w14:solidFill>
          </w14:textFill>
        </w:rPr>
      </w:pPr>
    </w:p>
    <w:p>
      <w:pPr>
        <w:rPr>
          <w:rFonts w:hint="eastAsia" w:ascii="楷体" w:hAnsi="楷体" w:eastAsia="楷体" w:cs="楷体"/>
          <w:b/>
          <w:color w:val="000000" w:themeColor="text1"/>
          <w:kern w:val="0"/>
          <w:sz w:val="40"/>
          <w:szCs w:val="44"/>
          <w14:textFill>
            <w14:solidFill>
              <w14:schemeClr w14:val="tx1"/>
            </w14:solidFill>
          </w14:textFill>
        </w:rPr>
      </w:pPr>
    </w:p>
    <w:p>
      <w:pPr>
        <w:pStyle w:val="2"/>
        <w:rPr>
          <w:rFonts w:hint="eastAsia" w:ascii="楷体" w:hAnsi="楷体" w:eastAsia="楷体" w:cs="楷体"/>
          <w:b/>
          <w:color w:val="000000" w:themeColor="text1"/>
          <w:kern w:val="0"/>
          <w:sz w:val="40"/>
          <w:szCs w:val="44"/>
          <w14:textFill>
            <w14:solidFill>
              <w14:schemeClr w14:val="tx1"/>
            </w14:solidFill>
          </w14:textFill>
        </w:rPr>
      </w:pPr>
    </w:p>
    <w:p>
      <w:pPr>
        <w:pStyle w:val="3"/>
        <w:rPr>
          <w:rFonts w:hint="eastAsia" w:ascii="楷体" w:hAnsi="楷体" w:eastAsia="楷体" w:cs="楷体"/>
          <w:b/>
          <w:color w:val="000000" w:themeColor="text1"/>
          <w:kern w:val="0"/>
          <w:sz w:val="40"/>
          <w:szCs w:val="44"/>
          <w14:textFill>
            <w14:solidFill>
              <w14:schemeClr w14:val="tx1"/>
            </w14:solidFill>
          </w14:textFill>
        </w:rPr>
      </w:pPr>
    </w:p>
    <w:p>
      <w:pPr>
        <w:rPr>
          <w:rFonts w:hint="eastAsia"/>
        </w:rPr>
        <w:sectPr>
          <w:pgSz w:w="11906" w:h="16838"/>
          <w:pgMar w:top="1440" w:right="1800" w:bottom="1440" w:left="1800" w:header="720" w:footer="720" w:gutter="0"/>
          <w:cols w:space="720" w:num="1"/>
        </w:sectPr>
      </w:pPr>
    </w:p>
    <w:p>
      <w:pPr>
        <w:spacing w:after="0" w:line="360" w:lineRule="auto"/>
        <w:ind w:left="-708" w:leftChars="-337" w:right="-584" w:rightChars="-278"/>
        <w:jc w:val="center"/>
        <w:rPr>
          <w:rFonts w:hint="eastAsia" w:ascii="黑体" w:hAnsi="黑体" w:eastAsia="黑体" w:cs="楷体"/>
          <w:bCs/>
          <w:color w:val="000000" w:themeColor="text1"/>
          <w:kern w:val="0"/>
          <w:sz w:val="32"/>
          <w:szCs w:val="36"/>
          <w14:textFill>
            <w14:solidFill>
              <w14:schemeClr w14:val="tx1"/>
            </w14:solidFill>
          </w14:textFill>
        </w:rPr>
      </w:pPr>
      <w:r>
        <w:rPr>
          <w:rFonts w:hint="eastAsia" w:ascii="黑体" w:hAnsi="黑体" w:eastAsia="黑体" w:cs="楷体"/>
          <w:bCs/>
          <w:color w:val="000000" w:themeColor="text1"/>
          <w:kern w:val="0"/>
          <w:sz w:val="32"/>
          <w:szCs w:val="36"/>
          <w14:textFill>
            <w14:solidFill>
              <w14:schemeClr w14:val="tx1"/>
            </w14:solidFill>
          </w14:textFill>
        </w:rPr>
        <w:t>前  言</w:t>
      </w:r>
    </w:p>
    <w:p>
      <w:pPr>
        <w:spacing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2019年以来，国家不断加快地方政府专项债券发行和使用，有效带动基础投资支持补短板、扩内需。2020年初突如其来的新冠肺炎疫情对我国经济社会发展带来冲击，近期，中央明确指出积极的财政政策要更加积极有为，并提出增加地方政府专项债券规模，用足用好地方债强化经济逆周期调节，发挥稳投资、扩内需、补短板的作用。根据《中华人民共和国预算法(2018修正)》第三十五条规定，经国务院批准的省、自治区、直辖市的预算中必需的建设投资的部分资金，可以在国务院确定的限额内，通过发行地方政府债券举借债务的方式筹措。</w:t>
      </w:r>
    </w:p>
    <w:p>
      <w:pPr>
        <w:spacing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2025年海南省政府专项债券（一期）——海口市江东新区园区配套基础设施配套项目（二期）资金调整是按照《财政部关于试点发展项目收益与融资自求平衡的地方政府专项债券品种的通知》（财预〔2017〕89号）要求，在遵循市场规则的基础上，为海口市江东新区园区配套基础设施配套项目（二期）建设而组织发行，专项债券的还本付息来源于入廊费收入、日常维护费收入、智慧灯杆收入、路灯广告收入、综合杆广告收入，债务风险锁定在项目内，并按照市场规则向投资者进行详细的项目信息披露，保障投资者权益。为了撬动社会投资，充分发挥财政资金的引领、带动、吸附和集聚作用从而有序、高效地带动社会资本，将本项目已发行的专项债券本息收益平衡情况和本次市场化融资的本息收益平衡情况披露。</w:t>
      </w:r>
    </w:p>
    <w:p>
      <w:pPr>
        <w:widowControl/>
        <w:spacing w:after="0" w:line="240" w:lineRule="auto"/>
        <w:jc w:val="left"/>
        <w:rPr>
          <w:rFonts w:hint="eastAsia" w:ascii="楷体" w:hAnsi="楷体" w:eastAsia="楷体" w:cs="楷体"/>
          <w:b/>
          <w:bCs/>
          <w:color w:val="000000" w:themeColor="text1"/>
          <w:kern w:val="0"/>
          <w:sz w:val="28"/>
          <w:szCs w:val="28"/>
          <w14:textFill>
            <w14:solidFill>
              <w14:schemeClr w14:val="tx1"/>
            </w14:solidFill>
          </w14:textFill>
        </w:rPr>
      </w:pPr>
      <w:r>
        <w:rPr>
          <w:rFonts w:ascii="楷体" w:hAnsi="楷体" w:eastAsia="楷体" w:cs="楷体"/>
          <w:color w:val="000000" w:themeColor="text1"/>
          <w:kern w:val="0"/>
          <w:sz w:val="28"/>
          <w:szCs w:val="28"/>
          <w14:textFill>
            <w14:solidFill>
              <w14:schemeClr w14:val="tx1"/>
            </w14:solidFill>
          </w14:textFill>
        </w:rPr>
        <w:br w:type="page"/>
      </w: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0" w:name="_Toc200724636"/>
      <w:r>
        <w:rPr>
          <w:rFonts w:hint="eastAsia" w:ascii="黑体" w:hAnsi="黑体" w:cs="楷体"/>
          <w:b w:val="0"/>
          <w:bCs w:val="0"/>
          <w:color w:val="000000" w:themeColor="text1"/>
          <w:kern w:val="0"/>
          <w:sz w:val="28"/>
          <w:szCs w:val="28"/>
          <w14:textFill>
            <w14:solidFill>
              <w14:schemeClr w14:val="tx1"/>
            </w14:solidFill>
          </w14:textFill>
        </w:rPr>
        <w:t>一、债券概况</w:t>
      </w:r>
      <w:bookmarkEnd w:id="0"/>
    </w:p>
    <w:p>
      <w:pPr>
        <w:spacing w:after="0" w:line="360" w:lineRule="auto"/>
        <w:ind w:firstLine="560" w:firstLineChars="200"/>
        <w:rPr>
          <w:rFonts w:hint="eastAsia" w:ascii="仿宋_GB2312" w:hAnsi="楷体" w:eastAsia="仿宋_GB2312" w:cs="楷体"/>
          <w:color w:val="000000" w:themeColor="text1"/>
          <w:kern w:val="0"/>
          <w:sz w:val="28"/>
          <w:szCs w:val="28"/>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根据财政部有关文件要求，经批准，拟对2025年海南省政府专项债券（一期）中海口市琼山区迈瀛片区（一期）城中村改造配套基础设施项目的专项债券资金额度进行调整，并将调整出来的资金分配至海口市江东新区园区配套基础设施配套项目（二期）项目使用，品种为记账式固定利率付息债券，期限为10年期。付息方式为：每半年付息一次，最后一期利息随本金一起支付。</w:t>
      </w:r>
    </w:p>
    <w:tbl>
      <w:tblPr>
        <w:tblStyle w:val="15"/>
        <w:tblpPr w:leftFromText="180" w:rightFromText="180" w:vertAnchor="text" w:horzAnchor="page" w:tblpX="1867" w:tblpY="448"/>
        <w:tblOverlap w:val="never"/>
        <w:tblW w:w="8224" w:type="dxa"/>
        <w:tblInd w:w="0" w:type="dxa"/>
        <w:tblLayout w:type="fixed"/>
        <w:tblCellMar>
          <w:top w:w="0" w:type="dxa"/>
          <w:left w:w="0" w:type="dxa"/>
          <w:bottom w:w="0" w:type="dxa"/>
          <w:right w:w="0" w:type="dxa"/>
        </w:tblCellMar>
      </w:tblPr>
      <w:tblGrid>
        <w:gridCol w:w="1872"/>
        <w:gridCol w:w="6352"/>
      </w:tblGrid>
      <w:tr>
        <w:tblPrEx>
          <w:tblCellMar>
            <w:top w:w="0" w:type="dxa"/>
            <w:left w:w="0" w:type="dxa"/>
            <w:bottom w:w="0" w:type="dxa"/>
            <w:right w:w="0" w:type="dxa"/>
          </w:tblCellMar>
        </w:tblPrEx>
        <w:trPr>
          <w:trHeight w:val="20" w:hRule="atLeast"/>
        </w:trPr>
        <w:tc>
          <w:tcPr>
            <w:tcW w:w="1872"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债券名称</w:t>
            </w:r>
          </w:p>
        </w:tc>
        <w:tc>
          <w:tcPr>
            <w:tcW w:w="6352" w:type="dxa"/>
            <w:tcBorders>
              <w:top w:val="single" w:color="auto" w:sz="4" w:space="0"/>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lang w:val="en-GB"/>
                <w14:textFill>
                  <w14:solidFill>
                    <w14:schemeClr w14:val="tx1"/>
                  </w14:solidFill>
                </w14:textFill>
              </w:rPr>
            </w:pPr>
            <w:r>
              <w:rPr>
                <w:rFonts w:hint="eastAsia" w:ascii="仿宋_GB2312" w:hAnsi="楷体" w:eastAsia="仿宋_GB2312" w:cs="楷体"/>
                <w:color w:val="000000" w:themeColor="text1"/>
                <w:kern w:val="0"/>
                <w:sz w:val="24"/>
                <w:szCs w:val="20"/>
                <w:lang w:val="en-GB"/>
                <w14:textFill>
                  <w14:solidFill>
                    <w14:schemeClr w14:val="tx1"/>
                  </w14:solidFill>
                </w14:textFill>
              </w:rPr>
              <w:t>2025年海南省政府专项债券（一期）</w:t>
            </w:r>
          </w:p>
        </w:tc>
      </w:tr>
      <w:tr>
        <w:tblPrEx>
          <w:tblCellMar>
            <w:top w:w="0" w:type="dxa"/>
            <w:left w:w="0" w:type="dxa"/>
            <w:bottom w:w="0" w:type="dxa"/>
            <w:right w:w="0" w:type="dxa"/>
          </w:tblCellMar>
        </w:tblPrEx>
        <w:trPr>
          <w:trHeight w:val="20" w:hRule="atLeast"/>
        </w:trPr>
        <w:tc>
          <w:tcPr>
            <w:tcW w:w="1872" w:type="dxa"/>
            <w:tcBorders>
              <w:top w:val="nil"/>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发行规模</w:t>
            </w:r>
          </w:p>
        </w:tc>
        <w:tc>
          <w:tcPr>
            <w:tcW w:w="6352" w:type="dxa"/>
            <w:tcBorders>
              <w:top w:val="nil"/>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lang w:val="en-GB"/>
                <w14:textFill>
                  <w14:solidFill>
                    <w14:schemeClr w14:val="tx1"/>
                  </w14:solidFill>
                </w14:textFill>
              </w:rPr>
            </w:pPr>
            <w:r>
              <w:rPr>
                <w:rFonts w:hint="eastAsia" w:ascii="仿宋_GB2312" w:hAnsi="楷体" w:eastAsia="仿宋_GB2312" w:cs="楷体"/>
                <w:color w:val="000000" w:themeColor="text1"/>
                <w:kern w:val="0"/>
                <w:sz w:val="24"/>
                <w:szCs w:val="20"/>
                <w14:textFill>
                  <w14:solidFill>
                    <w14:schemeClr w14:val="tx1"/>
                  </w14:solidFill>
                </w14:textFill>
              </w:rPr>
              <w:t>600</w:t>
            </w:r>
            <w:r>
              <w:rPr>
                <w:rFonts w:hint="eastAsia" w:ascii="仿宋_GB2312" w:hAnsi="楷体" w:eastAsia="仿宋_GB2312" w:cs="楷体"/>
                <w:color w:val="000000" w:themeColor="text1"/>
                <w:kern w:val="0"/>
                <w:sz w:val="24"/>
                <w:szCs w:val="20"/>
                <w:lang w:val="en-GB"/>
                <w14:textFill>
                  <w14:solidFill>
                    <w14:schemeClr w14:val="tx1"/>
                  </w14:solidFill>
                </w14:textFill>
              </w:rPr>
              <w:t>万元</w:t>
            </w:r>
          </w:p>
        </w:tc>
      </w:tr>
      <w:tr>
        <w:tblPrEx>
          <w:tblCellMar>
            <w:top w:w="0" w:type="dxa"/>
            <w:left w:w="0" w:type="dxa"/>
            <w:bottom w:w="0" w:type="dxa"/>
            <w:right w:w="0" w:type="dxa"/>
          </w:tblCellMar>
        </w:tblPrEx>
        <w:trPr>
          <w:trHeight w:val="20" w:hRule="atLeast"/>
        </w:trPr>
        <w:tc>
          <w:tcPr>
            <w:tcW w:w="1872" w:type="dxa"/>
            <w:tcBorders>
              <w:top w:val="nil"/>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债券期限</w:t>
            </w:r>
          </w:p>
        </w:tc>
        <w:tc>
          <w:tcPr>
            <w:tcW w:w="6352" w:type="dxa"/>
            <w:tcBorders>
              <w:top w:val="nil"/>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lang w:val="en-GB"/>
                <w14:textFill>
                  <w14:solidFill>
                    <w14:schemeClr w14:val="tx1"/>
                  </w14:solidFill>
                </w14:textFill>
              </w:rPr>
            </w:pPr>
            <w:r>
              <w:rPr>
                <w:rFonts w:hint="eastAsia" w:ascii="仿宋_GB2312" w:hAnsi="楷体" w:eastAsia="仿宋_GB2312" w:cs="楷体"/>
                <w:color w:val="000000" w:themeColor="text1"/>
                <w:kern w:val="0"/>
                <w:sz w:val="24"/>
                <w:szCs w:val="20"/>
                <w:lang w:val="en-GB"/>
                <w14:textFill>
                  <w14:solidFill>
                    <w14:schemeClr w14:val="tx1"/>
                  </w14:solidFill>
                </w14:textFill>
              </w:rPr>
              <w:t>10年期</w:t>
            </w:r>
          </w:p>
        </w:tc>
      </w:tr>
      <w:tr>
        <w:tblPrEx>
          <w:tblCellMar>
            <w:top w:w="0" w:type="dxa"/>
            <w:left w:w="0" w:type="dxa"/>
            <w:bottom w:w="0" w:type="dxa"/>
            <w:right w:w="0" w:type="dxa"/>
          </w:tblCellMar>
        </w:tblPrEx>
        <w:trPr>
          <w:trHeight w:val="20" w:hRule="atLeast"/>
        </w:trPr>
        <w:tc>
          <w:tcPr>
            <w:tcW w:w="1872" w:type="dxa"/>
            <w:tcBorders>
              <w:top w:val="nil"/>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债券利率</w:t>
            </w:r>
          </w:p>
        </w:tc>
        <w:tc>
          <w:tcPr>
            <w:tcW w:w="6352" w:type="dxa"/>
            <w:tcBorders>
              <w:top w:val="nil"/>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lang w:val="en-GB"/>
                <w14:textFill>
                  <w14:solidFill>
                    <w14:schemeClr w14:val="tx1"/>
                  </w14:solidFill>
                </w14:textFill>
              </w:rPr>
            </w:pPr>
            <w:r>
              <w:rPr>
                <w:rFonts w:hint="eastAsia" w:ascii="仿宋_GB2312" w:hAnsi="楷体" w:eastAsia="仿宋_GB2312" w:cs="楷体"/>
                <w:color w:val="000000" w:themeColor="text1"/>
                <w:kern w:val="0"/>
                <w:sz w:val="24"/>
                <w:szCs w:val="20"/>
                <w:lang w:val="en-GB"/>
                <w14:textFill>
                  <w14:solidFill>
                    <w14:schemeClr w14:val="tx1"/>
                  </w14:solidFill>
                </w14:textFill>
              </w:rPr>
              <w:t>固定利率</w:t>
            </w:r>
          </w:p>
        </w:tc>
      </w:tr>
      <w:tr>
        <w:tblPrEx>
          <w:tblCellMar>
            <w:top w:w="0" w:type="dxa"/>
            <w:left w:w="0" w:type="dxa"/>
            <w:bottom w:w="0" w:type="dxa"/>
            <w:right w:w="0" w:type="dxa"/>
          </w:tblCellMar>
        </w:tblPrEx>
        <w:trPr>
          <w:trHeight w:val="20" w:hRule="atLeast"/>
        </w:trPr>
        <w:tc>
          <w:tcPr>
            <w:tcW w:w="1872" w:type="dxa"/>
            <w:tcBorders>
              <w:top w:val="nil"/>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付息方式</w:t>
            </w:r>
          </w:p>
        </w:tc>
        <w:tc>
          <w:tcPr>
            <w:tcW w:w="6352" w:type="dxa"/>
            <w:tcBorders>
              <w:top w:val="nil"/>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14:textFill>
                  <w14:solidFill>
                    <w14:schemeClr w14:val="tx1"/>
                  </w14:solidFill>
                </w14:textFill>
              </w:rPr>
            </w:pPr>
            <w:r>
              <w:rPr>
                <w:rFonts w:hint="eastAsia" w:ascii="仿宋_GB2312" w:hAnsi="楷体" w:eastAsia="仿宋_GB2312" w:cs="楷体"/>
                <w:color w:val="000000" w:themeColor="text1"/>
                <w:kern w:val="0"/>
                <w:sz w:val="24"/>
                <w:szCs w:val="20"/>
                <w14:textFill>
                  <w14:solidFill>
                    <w14:schemeClr w14:val="tx1"/>
                  </w14:solidFill>
                </w14:textFill>
              </w:rPr>
              <w:t>利息按半年支付，最后一次利息随本金一起支付</w:t>
            </w:r>
          </w:p>
        </w:tc>
      </w:tr>
      <w:tr>
        <w:tblPrEx>
          <w:tblCellMar>
            <w:top w:w="0" w:type="dxa"/>
            <w:left w:w="0" w:type="dxa"/>
            <w:bottom w:w="0" w:type="dxa"/>
            <w:right w:w="0" w:type="dxa"/>
          </w:tblCellMar>
        </w:tblPrEx>
        <w:trPr>
          <w:trHeight w:val="20" w:hRule="atLeast"/>
        </w:trPr>
        <w:tc>
          <w:tcPr>
            <w:tcW w:w="1872" w:type="dxa"/>
            <w:tcBorders>
              <w:top w:val="nil"/>
              <w:left w:val="single" w:color="auto" w:sz="4" w:space="0"/>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b/>
                <w:color w:val="000000" w:themeColor="text1"/>
                <w:kern w:val="0"/>
                <w:sz w:val="24"/>
                <w:szCs w:val="20"/>
                <w:lang w:val="en-GB"/>
                <w14:textFill>
                  <w14:solidFill>
                    <w14:schemeClr w14:val="tx1"/>
                  </w14:solidFill>
                </w14:textFill>
              </w:rPr>
            </w:pPr>
            <w:r>
              <w:rPr>
                <w:rFonts w:hint="eastAsia" w:ascii="仿宋_GB2312" w:hAnsi="楷体" w:eastAsia="仿宋_GB2312" w:cs="楷体"/>
                <w:b/>
                <w:color w:val="000000" w:themeColor="text1"/>
                <w:kern w:val="0"/>
                <w:sz w:val="24"/>
                <w:szCs w:val="20"/>
                <w:lang w:val="en-GB"/>
                <w14:textFill>
                  <w14:solidFill>
                    <w14:schemeClr w14:val="tx1"/>
                  </w14:solidFill>
                </w14:textFill>
              </w:rPr>
              <w:t>上市安排</w:t>
            </w:r>
          </w:p>
        </w:tc>
        <w:tc>
          <w:tcPr>
            <w:tcW w:w="6352" w:type="dxa"/>
            <w:tcBorders>
              <w:top w:val="nil"/>
              <w:left w:val="nil"/>
              <w:bottom w:val="single" w:color="auto" w:sz="4" w:space="0"/>
              <w:right w:val="single" w:color="auto" w:sz="4" w:space="0"/>
            </w:tcBorders>
            <w:tcMar>
              <w:top w:w="12" w:type="dxa"/>
              <w:left w:w="12" w:type="dxa"/>
              <w:right w:w="12" w:type="dxa"/>
            </w:tcMar>
            <w:vAlign w:val="center"/>
          </w:tcPr>
          <w:p>
            <w:pPr>
              <w:widowControl/>
              <w:spacing w:after="0" w:line="240" w:lineRule="auto"/>
              <w:jc w:val="center"/>
              <w:textAlignment w:val="center"/>
              <w:rPr>
                <w:rFonts w:hint="eastAsia" w:ascii="仿宋_GB2312" w:hAnsi="楷体" w:eastAsia="仿宋_GB2312" w:cs="楷体"/>
                <w:color w:val="000000" w:themeColor="text1"/>
                <w:kern w:val="0"/>
                <w:sz w:val="24"/>
                <w:szCs w:val="20"/>
                <w:lang w:val="en-GB"/>
                <w14:textFill>
                  <w14:solidFill>
                    <w14:schemeClr w14:val="tx1"/>
                  </w14:solidFill>
                </w14:textFill>
              </w:rPr>
            </w:pPr>
            <w:r>
              <w:rPr>
                <w:rFonts w:hint="eastAsia" w:ascii="仿宋_GB2312" w:hAnsi="楷体" w:eastAsia="仿宋_GB2312" w:cs="楷体"/>
                <w:color w:val="000000" w:themeColor="text1"/>
                <w:kern w:val="0"/>
                <w:sz w:val="24"/>
                <w:szCs w:val="20"/>
                <w:lang w:val="en-GB"/>
                <w14:textFill>
                  <w14:solidFill>
                    <w14:schemeClr w14:val="tx1"/>
                  </w14:solidFill>
                </w14:textFill>
              </w:rPr>
              <w:t>于上市日（即招标日后第3个工作日）起，按规定在全国银行间债券市场和证券交易所债券市场上市流通。</w:t>
            </w:r>
          </w:p>
        </w:tc>
      </w:tr>
    </w:tbl>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1" w:name="_Toc200724637"/>
      <w:r>
        <w:rPr>
          <w:rFonts w:hint="eastAsia" w:ascii="黑体" w:hAnsi="黑体" w:cs="楷体"/>
          <w:b w:val="0"/>
          <w:bCs w:val="0"/>
          <w:color w:val="000000" w:themeColor="text1"/>
          <w:kern w:val="0"/>
          <w:sz w:val="28"/>
          <w:szCs w:val="28"/>
          <w14:textFill>
            <w14:solidFill>
              <w14:schemeClr w14:val="tx1"/>
            </w14:solidFill>
          </w14:textFill>
        </w:rPr>
        <w:t>二、地区区位、经济概况</w:t>
      </w:r>
      <w:bookmarkEnd w:id="1"/>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 w:name="_Toc200724638"/>
      <w:r>
        <w:rPr>
          <w:rFonts w:hint="eastAsia" w:ascii="楷体" w:hAnsi="楷体" w:eastAsia="楷体" w:cs="楷体"/>
          <w:b/>
          <w:bCs/>
          <w:color w:val="000000" w:themeColor="text1"/>
          <w:kern w:val="0"/>
          <w:sz w:val="28"/>
          <w:szCs w:val="28"/>
          <w:lang w:val="en-GB"/>
          <w14:textFill>
            <w14:solidFill>
              <w14:schemeClr w14:val="tx1"/>
            </w14:solidFill>
          </w14:textFill>
        </w:rPr>
        <w:t>（一）项目区位情况</w:t>
      </w:r>
      <w:bookmarkEnd w:id="2"/>
    </w:p>
    <w:p>
      <w:pPr>
        <w:spacing w:line="360" w:lineRule="auto"/>
        <w:ind w:firstLine="560"/>
        <w:rPr>
          <w:rFonts w:hint="eastAsia" w:ascii="仿宋_GB2312" w:hAnsi="仿宋" w:eastAsia="仿宋_GB2312" w:cs="楷体"/>
          <w:color w:val="000000" w:themeColor="text1"/>
          <w:kern w:val="0"/>
          <w:sz w:val="28"/>
          <w:szCs w:val="28"/>
          <w:lang w:val="en-GB"/>
          <w14:textFill>
            <w14:solidFill>
              <w14:schemeClr w14:val="tx1"/>
            </w14:solidFill>
          </w14:textFill>
        </w:rPr>
      </w:pPr>
      <w:r>
        <w:rPr>
          <w:rFonts w:hint="eastAsia" w:ascii="仿宋_GB2312" w:hAnsi="仿宋" w:eastAsia="仿宋_GB2312" w:cs="楷体"/>
          <w:color w:val="000000" w:themeColor="text1"/>
          <w:kern w:val="0"/>
          <w:sz w:val="28"/>
          <w:szCs w:val="28"/>
          <w:lang w:val="en-GB"/>
          <w14:textFill>
            <w14:solidFill>
              <w14:schemeClr w14:val="tx1"/>
            </w14:solidFill>
          </w14:textFill>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全国文明城市”、“全国双拥模范城市”等荣誉称号，荣获由住建部颁发的年度“中国人居环境奖”，2018年被联合国国际湿地公约组织评定为全球首批“国际湿地城市”。</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 w:name="_Toc200724639"/>
      <w:r>
        <w:rPr>
          <w:rFonts w:hint="eastAsia" w:ascii="楷体" w:hAnsi="楷体" w:eastAsia="楷体" w:cs="楷体"/>
          <w:b/>
          <w:bCs/>
          <w:color w:val="000000" w:themeColor="text1"/>
          <w:kern w:val="0"/>
          <w:sz w:val="28"/>
          <w:szCs w:val="28"/>
          <w:lang w:val="en-GB"/>
          <w14:textFill>
            <w14:solidFill>
              <w14:schemeClr w14:val="tx1"/>
            </w14:solidFill>
          </w14:textFill>
        </w:rPr>
        <w:t>（二）海口市经济基本情况</w:t>
      </w:r>
      <w:bookmarkEnd w:id="3"/>
    </w:p>
    <w:p>
      <w:pPr>
        <w:widowControl/>
        <w:spacing w:before="120" w:after="120" w:line="360" w:lineRule="auto"/>
        <w:jc w:val="center"/>
        <w:rPr>
          <w:rFonts w:hint="eastAsia" w:ascii="仿宋_GB2312" w:hAnsi="楷体" w:eastAsia="仿宋_GB2312"/>
          <w:color w:val="000000"/>
          <w:kern w:val="0"/>
          <w:sz w:val="24"/>
          <w:szCs w:val="24"/>
          <w:shd w:val="clear" w:color="auto" w:fill="FFFFFF"/>
        </w:rPr>
      </w:pPr>
      <w:bookmarkStart w:id="4" w:name="_Toc38966126"/>
      <w:bookmarkStart w:id="5" w:name="_Toc38898997"/>
      <w:bookmarkStart w:id="6" w:name="_Toc38920843"/>
      <w:bookmarkStart w:id="7" w:name="_Toc38905991"/>
      <w:bookmarkStart w:id="8" w:name="_Toc25162473"/>
      <w:bookmarkStart w:id="9" w:name="_Toc28675796"/>
      <w:r>
        <w:rPr>
          <w:rFonts w:hint="eastAsia" w:ascii="仿宋_GB2312" w:hAnsi="楷体" w:eastAsia="仿宋_GB2312"/>
          <w:color w:val="000000"/>
          <w:kern w:val="0"/>
          <w:sz w:val="24"/>
          <w:szCs w:val="24"/>
          <w:shd w:val="clear" w:color="auto" w:fill="FFFFFF"/>
        </w:rPr>
        <w:t>海口市2022—2024年财政经济数据</w:t>
      </w:r>
    </w:p>
    <w:p>
      <w:pPr>
        <w:widowControl/>
        <w:spacing w:after="0" w:line="240" w:lineRule="auto"/>
        <w:jc w:val="right"/>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单位：人民币亿元</w:t>
      </w:r>
    </w:p>
    <w:tbl>
      <w:tblPr>
        <w:tblStyle w:val="15"/>
        <w:tblW w:w="5041" w:type="pct"/>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3411"/>
        <w:gridCol w:w="1703"/>
        <w:gridCol w:w="1741"/>
        <w:gridCol w:w="1737"/>
      </w:tblGrid>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12" w:hRule="atLeast"/>
          <w:jc w:val="center"/>
        </w:trPr>
        <w:tc>
          <w:tcPr>
            <w:tcW w:w="1985" w:type="pct"/>
            <w:tcBorders>
              <w:top w:val="single" w:color="auto" w:sz="12" w:space="0"/>
              <w:bottom w:val="single" w:color="auto" w:sz="4" w:space="0"/>
            </w:tcBorders>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项目</w:t>
            </w:r>
          </w:p>
        </w:tc>
        <w:tc>
          <w:tcPr>
            <w:tcW w:w="991" w:type="pct"/>
            <w:tcBorders>
              <w:top w:val="single" w:color="auto" w:sz="12" w:space="0"/>
              <w:bottom w:val="single" w:color="auto" w:sz="4" w:space="0"/>
            </w:tcBorders>
            <w:vAlign w:val="center"/>
          </w:tcPr>
          <w:p>
            <w:pPr>
              <w:widowControl/>
              <w:spacing w:after="0" w:line="240" w:lineRule="auto"/>
              <w:jc w:val="center"/>
              <w:textAlignment w:val="center"/>
              <w:rPr>
                <w:rFonts w:hint="eastAsia" w:ascii="仿宋_GB2312" w:hAnsi="楷体" w:eastAsia="仿宋_GB2312" w:cs="宋体"/>
                <w:color w:val="000000"/>
                <w:kern w:val="0"/>
                <w:sz w:val="20"/>
                <w:szCs w:val="20"/>
                <w:lang w:bidi="ar"/>
              </w:rPr>
            </w:pPr>
            <w:r>
              <w:rPr>
                <w:rFonts w:hint="eastAsia" w:ascii="仿宋_GB2312" w:hAnsi="楷体" w:eastAsia="仿宋_GB2312" w:cs="宋体"/>
                <w:color w:val="000000"/>
                <w:kern w:val="0"/>
                <w:sz w:val="20"/>
                <w:szCs w:val="20"/>
                <w:lang w:bidi="ar"/>
              </w:rPr>
              <w:t>2022年</w:t>
            </w:r>
          </w:p>
        </w:tc>
        <w:tc>
          <w:tcPr>
            <w:tcW w:w="1013" w:type="pct"/>
            <w:tcBorders>
              <w:top w:val="single" w:color="auto" w:sz="12" w:space="0"/>
              <w:bottom w:val="single" w:color="auto" w:sz="4" w:space="0"/>
            </w:tcBorders>
            <w:vAlign w:val="center"/>
          </w:tcPr>
          <w:p>
            <w:pPr>
              <w:widowControl/>
              <w:spacing w:after="0" w:line="240" w:lineRule="auto"/>
              <w:jc w:val="center"/>
              <w:textAlignment w:val="center"/>
              <w:rPr>
                <w:rFonts w:hint="eastAsia" w:ascii="仿宋_GB2312" w:hAnsi="楷体" w:eastAsia="仿宋_GB2312" w:cs="宋体"/>
                <w:color w:val="000000"/>
                <w:kern w:val="0"/>
                <w:sz w:val="20"/>
                <w:szCs w:val="20"/>
                <w:lang w:bidi="ar"/>
              </w:rPr>
            </w:pPr>
            <w:r>
              <w:rPr>
                <w:rFonts w:hint="eastAsia" w:ascii="仿宋_GB2312" w:hAnsi="楷体" w:eastAsia="仿宋_GB2312" w:cs="宋体"/>
                <w:color w:val="000000"/>
                <w:kern w:val="0"/>
                <w:sz w:val="20"/>
                <w:szCs w:val="20"/>
                <w:lang w:bidi="ar"/>
              </w:rPr>
              <w:t>2023年</w:t>
            </w:r>
          </w:p>
        </w:tc>
        <w:tc>
          <w:tcPr>
            <w:tcW w:w="1011" w:type="pct"/>
            <w:tcBorders>
              <w:top w:val="single" w:color="auto" w:sz="12" w:space="0"/>
              <w:bottom w:val="single" w:color="auto" w:sz="4" w:space="0"/>
            </w:tcBorders>
            <w:shd w:val="clear" w:color="auto" w:fill="auto"/>
            <w:vAlign w:val="center"/>
          </w:tcPr>
          <w:p>
            <w:pPr>
              <w:widowControl/>
              <w:spacing w:after="0" w:line="240" w:lineRule="auto"/>
              <w:jc w:val="center"/>
              <w:textAlignment w:val="center"/>
              <w:rPr>
                <w:rFonts w:hint="eastAsia" w:ascii="仿宋_GB2312" w:hAnsi="楷体" w:eastAsia="仿宋_GB2312" w:cs="宋体"/>
                <w:color w:val="000000"/>
                <w:kern w:val="0"/>
                <w:sz w:val="20"/>
                <w:szCs w:val="20"/>
                <w:lang w:bidi="ar"/>
              </w:rPr>
            </w:pPr>
            <w:r>
              <w:rPr>
                <w:rFonts w:hint="eastAsia" w:ascii="仿宋_GB2312" w:hAnsi="楷体" w:eastAsia="仿宋_GB2312" w:cs="宋体"/>
                <w:color w:val="000000"/>
                <w:kern w:val="0"/>
                <w:sz w:val="20"/>
                <w:szCs w:val="20"/>
                <w:lang w:bidi="ar"/>
              </w:rPr>
              <w:t>2024年</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tcBorders>
              <w:top w:val="single" w:color="auto" w:sz="4" w:space="0"/>
            </w:tcBorders>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地区生产总值</w:t>
            </w:r>
          </w:p>
        </w:tc>
        <w:tc>
          <w:tcPr>
            <w:tcW w:w="991" w:type="pct"/>
            <w:tcBorders>
              <w:top w:val="single" w:color="auto" w:sz="4" w:space="0"/>
            </w:tcBorders>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2,134.80</w:t>
            </w:r>
          </w:p>
        </w:tc>
        <w:tc>
          <w:tcPr>
            <w:tcW w:w="1013" w:type="pct"/>
            <w:tcBorders>
              <w:top w:val="single" w:color="auto" w:sz="4" w:space="0"/>
            </w:tcBorders>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2,358.44</w:t>
            </w:r>
          </w:p>
        </w:tc>
        <w:tc>
          <w:tcPr>
            <w:tcW w:w="1011" w:type="pct"/>
            <w:tcBorders>
              <w:top w:val="single" w:color="auto" w:sz="4" w:space="0"/>
            </w:tcBorders>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2470.63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一般预算收入(一般公共预算收入)</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204.82</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266.87</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258.26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一般预算收入(一般公共预算总收入)</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518.12</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578.08</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597.76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政府性基金收入</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192.34</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140.39</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120.43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其中：国有土地出让收入</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176.60</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124.67</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108.59</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政府性基金支出</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310.21</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264.76</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294.07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其中：国有土地出让支出</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147.61</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109.46</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72.02</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地方债务限额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752.70</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892.40</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1161.30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其中：一般债务限额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219.77</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230.47</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235.24</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专项债务限额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532.93</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661.93</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926.07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地方债务余额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752.70</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889.45</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1141.70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其中：一般债务余额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219.77</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228.11</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227.33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95" w:hRule="atLeast"/>
          <w:jc w:val="center"/>
        </w:trPr>
        <w:tc>
          <w:tcPr>
            <w:tcW w:w="1985" w:type="pct"/>
            <w:vAlign w:val="center"/>
          </w:tcPr>
          <w:p>
            <w:pPr>
              <w:widowControl/>
              <w:spacing w:after="0" w:line="240" w:lineRule="auto"/>
              <w:jc w:val="center"/>
              <w:textAlignment w:val="center"/>
              <w:rPr>
                <w:rFonts w:hint="eastAsia" w:ascii="仿宋_GB2312" w:hAnsi="楷体" w:eastAsia="仿宋_GB2312" w:cs="宋体"/>
                <w:color w:val="000000"/>
                <w:kern w:val="0"/>
                <w:sz w:val="20"/>
                <w:szCs w:val="20"/>
              </w:rPr>
            </w:pPr>
            <w:r>
              <w:rPr>
                <w:rFonts w:hint="eastAsia" w:ascii="仿宋_GB2312" w:hAnsi="楷体" w:eastAsia="仿宋_GB2312" w:cs="宋体"/>
                <w:color w:val="000000"/>
                <w:kern w:val="0"/>
                <w:sz w:val="20"/>
                <w:szCs w:val="20"/>
                <w:lang w:bidi="ar"/>
              </w:rPr>
              <w:t>专项债务余额</w:t>
            </w:r>
          </w:p>
        </w:tc>
        <w:tc>
          <w:tcPr>
            <w:tcW w:w="991"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532.93</w:t>
            </w:r>
          </w:p>
        </w:tc>
        <w:tc>
          <w:tcPr>
            <w:tcW w:w="1013" w:type="pct"/>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661.34</w:t>
            </w:r>
          </w:p>
        </w:tc>
        <w:tc>
          <w:tcPr>
            <w:tcW w:w="1011" w:type="pct"/>
            <w:shd w:val="clear" w:color="auto" w:fill="auto"/>
            <w:vAlign w:val="center"/>
          </w:tcPr>
          <w:p>
            <w:pPr>
              <w:widowControl/>
              <w:spacing w:after="0" w:line="360" w:lineRule="auto"/>
              <w:ind w:firstLine="400" w:firstLineChars="200"/>
              <w:jc w:val="center"/>
              <w:rPr>
                <w:rFonts w:hint="eastAsia" w:ascii="仿宋_GB2312" w:hAnsi="楷体" w:eastAsia="仿宋_GB2312"/>
                <w:color w:val="000000"/>
                <w:kern w:val="0"/>
                <w:sz w:val="20"/>
                <w:szCs w:val="20"/>
              </w:rPr>
            </w:pPr>
            <w:r>
              <w:rPr>
                <w:rFonts w:hint="eastAsia" w:ascii="仿宋_GB2312" w:hAnsi="楷体" w:eastAsia="仿宋_GB2312"/>
                <w:color w:val="000000"/>
                <w:kern w:val="0"/>
                <w:sz w:val="20"/>
                <w:szCs w:val="20"/>
              </w:rPr>
              <w:t>914.37</w:t>
            </w:r>
          </w:p>
        </w:tc>
      </w:tr>
    </w:tbl>
    <w:p>
      <w:pPr>
        <w:widowControl/>
        <w:spacing w:after="0" w:line="240" w:lineRule="auto"/>
        <w:jc w:val="right"/>
        <w:rPr>
          <w:rFonts w:hint="eastAsia" w:ascii="仿宋_GB2312" w:hAnsi="楷体" w:eastAsia="仿宋_GB2312"/>
          <w:color w:val="000000"/>
          <w:kern w:val="0"/>
          <w:sz w:val="20"/>
          <w:szCs w:val="20"/>
        </w:rPr>
      </w:pPr>
    </w:p>
    <w:p>
      <w:pPr>
        <w:widowControl/>
        <w:spacing w:after="120" w:line="360" w:lineRule="auto"/>
        <w:rPr>
          <w:rFonts w:hint="eastAsia" w:ascii="仿宋_GB2312" w:hAnsi="楷体" w:eastAsia="仿宋_GB2312"/>
          <w:color w:val="000000"/>
          <w:kern w:val="0"/>
          <w:sz w:val="20"/>
          <w:szCs w:val="20"/>
          <w:shd w:val="clear" w:color="auto" w:fill="FFFFFF"/>
        </w:rPr>
      </w:pPr>
      <w:r>
        <w:rPr>
          <w:rFonts w:hint="eastAsia" w:ascii="仿宋_GB2312" w:hAnsi="楷体" w:eastAsia="仿宋_GB2312"/>
          <w:color w:val="000000"/>
          <w:kern w:val="0"/>
          <w:sz w:val="20"/>
          <w:szCs w:val="20"/>
          <w:shd w:val="clear" w:color="auto" w:fill="FFFFFF"/>
        </w:rPr>
        <w:t>注：以上数据来源于海口市财政局。</w:t>
      </w:r>
    </w:p>
    <w:bookmarkEnd w:id="4"/>
    <w:bookmarkEnd w:id="5"/>
    <w:bookmarkEnd w:id="6"/>
    <w:bookmarkEnd w:id="7"/>
    <w:bookmarkEnd w:id="8"/>
    <w:bookmarkEnd w:id="9"/>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10" w:name="_Toc200724640"/>
      <w:r>
        <w:rPr>
          <w:rFonts w:hint="eastAsia" w:ascii="黑体" w:hAnsi="黑体" w:cs="楷体"/>
          <w:b w:val="0"/>
          <w:bCs w:val="0"/>
          <w:color w:val="000000" w:themeColor="text1"/>
          <w:kern w:val="0"/>
          <w:sz w:val="28"/>
          <w:szCs w:val="28"/>
          <w14:textFill>
            <w14:solidFill>
              <w14:schemeClr w14:val="tx1"/>
            </w14:solidFill>
          </w14:textFill>
        </w:rPr>
        <w:t>三、项目概述</w:t>
      </w:r>
      <w:bookmarkEnd w:id="10"/>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1" w:name="_Toc200724641"/>
      <w:r>
        <w:rPr>
          <w:rFonts w:hint="eastAsia" w:ascii="楷体" w:hAnsi="楷体" w:eastAsia="楷体" w:cs="楷体"/>
          <w:b/>
          <w:bCs/>
          <w:color w:val="000000" w:themeColor="text1"/>
          <w:kern w:val="0"/>
          <w:sz w:val="28"/>
          <w:szCs w:val="28"/>
          <w:lang w:val="en-GB"/>
          <w14:textFill>
            <w14:solidFill>
              <w14:schemeClr w14:val="tx1"/>
            </w14:solidFill>
          </w14:textFill>
        </w:rPr>
        <w:t>（一）项目概述</w:t>
      </w:r>
      <w:bookmarkEnd w:id="11"/>
    </w:p>
    <w:p>
      <w:pPr>
        <w:spacing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 xml:space="preserve">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提高债券资金使用效率，经批准，拟对海口市琼山区迈瀛片区（一期）城中村改造配套基础设施项目的专项债券资金进行调整，并将调整出来的债券资金将分配至海口市江东新区园区配套基础设施配套项目（二期）（以下简称“本项目”）中使用，项目基本情况如下： </w:t>
      </w:r>
    </w:p>
    <w:p>
      <w:pPr>
        <w:spacing w:line="360" w:lineRule="auto"/>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 xml:space="preserve">    项目名称：海口市江东新区园区配套基础设施配套项目（二期）</w:t>
      </w:r>
    </w:p>
    <w:p>
      <w:pPr>
        <w:spacing w:line="360" w:lineRule="auto"/>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 xml:space="preserve">    行业主管部门：海口江东新区管理局</w:t>
      </w:r>
    </w:p>
    <w:p>
      <w:pPr>
        <w:spacing w:line="360" w:lineRule="auto"/>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 xml:space="preserve">    项目业主：海口市路桥建设投资有限公司</w:t>
      </w:r>
    </w:p>
    <w:p>
      <w:pPr>
        <w:spacing w:line="360" w:lineRule="auto"/>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 xml:space="preserve">    项目建设期：</w:t>
      </w:r>
      <w:r>
        <w:rPr>
          <w:rFonts w:ascii="仿宋_GB2312" w:hAnsi="楷体" w:eastAsia="仿宋_GB2312" w:cs="楷体"/>
          <w:color w:val="000000" w:themeColor="text1"/>
          <w:kern w:val="0"/>
          <w:sz w:val="28"/>
          <w:szCs w:val="28"/>
          <w:lang w:val="en-GB"/>
          <w14:textFill>
            <w14:solidFill>
              <w14:schemeClr w14:val="tx1"/>
            </w14:solidFill>
          </w14:textFill>
        </w:rPr>
        <w:t>2024年</w:t>
      </w:r>
      <w:r>
        <w:rPr>
          <w:rFonts w:hint="eastAsia" w:ascii="仿宋_GB2312" w:hAnsi="楷体" w:eastAsia="仿宋_GB2312" w:cs="楷体"/>
          <w:color w:val="000000" w:themeColor="text1"/>
          <w:kern w:val="0"/>
          <w:sz w:val="28"/>
          <w:szCs w:val="28"/>
          <w:lang w:val="en-GB"/>
          <w14:textFill>
            <w14:solidFill>
              <w14:schemeClr w14:val="tx1"/>
            </w14:solidFill>
          </w14:textFill>
        </w:rPr>
        <w:t>3</w:t>
      </w:r>
      <w:r>
        <w:rPr>
          <w:rFonts w:ascii="仿宋_GB2312" w:hAnsi="楷体" w:eastAsia="仿宋_GB2312" w:cs="楷体"/>
          <w:color w:val="000000" w:themeColor="text1"/>
          <w:kern w:val="0"/>
          <w:sz w:val="28"/>
          <w:szCs w:val="28"/>
          <w:lang w:val="en-GB"/>
          <w14:textFill>
            <w14:solidFill>
              <w14:schemeClr w14:val="tx1"/>
            </w14:solidFill>
          </w14:textFill>
        </w:rPr>
        <w:t>月至2025年</w:t>
      </w:r>
      <w:r>
        <w:rPr>
          <w:rFonts w:hint="eastAsia" w:ascii="仿宋_GB2312" w:hAnsi="楷体" w:eastAsia="仿宋_GB2312" w:cs="楷体"/>
          <w:color w:val="000000" w:themeColor="text1"/>
          <w:kern w:val="0"/>
          <w:sz w:val="28"/>
          <w:szCs w:val="28"/>
          <w:lang w:val="en-GB"/>
          <w14:textFill>
            <w14:solidFill>
              <w14:schemeClr w14:val="tx1"/>
            </w14:solidFill>
          </w14:textFill>
        </w:rPr>
        <w:t>9</w:t>
      </w:r>
      <w:r>
        <w:rPr>
          <w:rFonts w:ascii="仿宋_GB2312" w:hAnsi="楷体" w:eastAsia="仿宋_GB2312" w:cs="楷体"/>
          <w:color w:val="000000" w:themeColor="text1"/>
          <w:kern w:val="0"/>
          <w:sz w:val="28"/>
          <w:szCs w:val="28"/>
          <w:lang w:val="en-GB"/>
          <w14:textFill>
            <w14:solidFill>
              <w14:schemeClr w14:val="tx1"/>
            </w14:solidFill>
          </w14:textFill>
        </w:rPr>
        <w:t>月</w:t>
      </w:r>
    </w:p>
    <w:p>
      <w:pPr>
        <w:spacing w:line="360" w:lineRule="auto"/>
        <w:ind w:firstLine="560" w:firstLineChars="20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项目建设进度：截至目前项目整体形象进度约20</w:t>
      </w:r>
      <w:r>
        <w:rPr>
          <w:rFonts w:ascii="仿宋_GB2312" w:hAnsi="楷体" w:eastAsia="仿宋_GB2312" w:cs="楷体"/>
          <w:color w:val="000000" w:themeColor="text1"/>
          <w:kern w:val="0"/>
          <w:sz w:val="28"/>
          <w:szCs w:val="28"/>
          <w:lang w:val="en-GB"/>
          <w14:textFill>
            <w14:solidFill>
              <w14:schemeClr w14:val="tx1"/>
            </w14:solidFill>
          </w14:textFill>
        </w:rPr>
        <w:t>%。</w:t>
      </w:r>
    </w:p>
    <w:p>
      <w:pPr>
        <w:spacing w:line="360" w:lineRule="auto"/>
        <w:ind w:firstLine="560" w:firstLineChars="200"/>
        <w:rPr>
          <w:rFonts w:hint="eastAsia" w:ascii="仿宋_GB2312" w:hAnsi="楷体" w:eastAsia="仿宋_GB2312"/>
          <w:sz w:val="28"/>
          <w:szCs w:val="28"/>
          <w:lang w:val="en-GB"/>
        </w:rPr>
      </w:pPr>
      <w:r>
        <w:rPr>
          <w:rFonts w:hint="eastAsia" w:ascii="仿宋_GB2312" w:hAnsi="楷体" w:eastAsia="仿宋_GB2312" w:cs="楷体"/>
          <w:color w:val="000000" w:themeColor="text1"/>
          <w:kern w:val="0"/>
          <w:sz w:val="28"/>
          <w:szCs w:val="28"/>
          <w:lang w:val="en-GB"/>
          <w14:textFill>
            <w14:solidFill>
              <w14:schemeClr w14:val="tx1"/>
            </w14:solidFill>
          </w14:textFill>
        </w:rPr>
        <w:t>项目内容：项目新建3条市政道路，包含江雅巷、旺洋二横路、振洋二横路；江雅港道路长度约489.12m，红线宽度为12m；旺洋二横路道路长度约388.77m，红线宽度为16m；振洋二横路道路长度约174.35m，红线宽度为20-25m；以及对国际社区周边区域的雨污水管网进行改造连通，清管道长度7501m，新建雨污水管道约4842m（其中修复方沟约1718m，修复圆管道约211m，新建污水圆管道约1116m，新建雨水圆管道约1797m），新建雨水箱涵约1202m。</w:t>
      </w:r>
    </w:p>
    <w:p>
      <w:pPr>
        <w:spacing w:after="0" w:line="360" w:lineRule="auto"/>
        <w:ind w:firstLine="560" w:firstLineChars="200"/>
        <w:rPr>
          <w:rFonts w:hint="eastAsia" w:ascii="仿宋_GB2312" w:hAnsi="楷体" w:eastAsia="仿宋_GB2312" w:cstheme="minorBidi"/>
          <w:sz w:val="28"/>
          <w:szCs w:val="28"/>
          <w:lang w:val="en-GB"/>
        </w:rPr>
      </w:pPr>
      <w:r>
        <w:rPr>
          <w:rFonts w:hint="eastAsia" w:ascii="仿宋_GB2312" w:hAnsi="楷体" w:eastAsia="仿宋_GB2312" w:cstheme="minorBidi"/>
          <w:sz w:val="28"/>
          <w:szCs w:val="28"/>
          <w:lang w:val="en-GB"/>
        </w:rPr>
        <w:t>本次拟调减债券额度明细如下：</w:t>
      </w:r>
    </w:p>
    <w:p>
      <w:pPr>
        <w:widowControl/>
        <w:spacing w:after="0"/>
        <w:jc w:val="center"/>
        <w:rPr>
          <w:rFonts w:hint="eastAsia" w:ascii="黑体" w:hAnsi="黑体" w:eastAsia="黑体"/>
          <w:bCs/>
          <w:color w:val="000000"/>
          <w:kern w:val="0"/>
          <w:sz w:val="24"/>
          <w:szCs w:val="24"/>
        </w:rPr>
      </w:pPr>
      <w:r>
        <w:rPr>
          <w:rFonts w:hint="eastAsia" w:ascii="黑体" w:hAnsi="黑体" w:eastAsia="黑体"/>
          <w:bCs/>
          <w:color w:val="000000"/>
          <w:kern w:val="0"/>
          <w:sz w:val="24"/>
          <w:szCs w:val="24"/>
        </w:rPr>
        <w:t>表</w:t>
      </w:r>
      <w:r>
        <w:rPr>
          <w:rFonts w:ascii="黑体" w:hAnsi="黑体" w:eastAsia="黑体"/>
          <w:bCs/>
          <w:color w:val="000000"/>
          <w:kern w:val="0"/>
          <w:sz w:val="24"/>
          <w:szCs w:val="24"/>
        </w:rPr>
        <w:t>1</w:t>
      </w:r>
      <w:r>
        <w:rPr>
          <w:rFonts w:hint="eastAsia" w:ascii="黑体" w:hAnsi="黑体" w:eastAsia="黑体"/>
          <w:bCs/>
          <w:color w:val="000000"/>
          <w:kern w:val="0"/>
          <w:sz w:val="24"/>
          <w:szCs w:val="24"/>
        </w:rPr>
        <w:t xml:space="preserve"> 本次债券额度调整情况表</w:t>
      </w:r>
      <w:r>
        <w:rPr>
          <w:rFonts w:ascii="黑体" w:hAnsi="黑体" w:eastAsia="黑体"/>
          <w:bCs/>
          <w:color w:val="000000"/>
          <w:kern w:val="0"/>
          <w:sz w:val="24"/>
          <w:szCs w:val="24"/>
          <w:vertAlign w:val="superscript"/>
        </w:rPr>
        <w:footnoteReference w:id="0"/>
      </w:r>
    </w:p>
    <w:p>
      <w:pPr>
        <w:widowControl/>
        <w:spacing w:after="0" w:line="240" w:lineRule="auto"/>
        <w:ind w:left="868" w:right="-424" w:rightChars="-202"/>
        <w:jc w:val="right"/>
        <w:rPr>
          <w:rFonts w:hint="eastAsia" w:ascii="仿宋_GB2312" w:hAnsi="楷体" w:eastAsia="仿宋_GB2312" w:cs="Arial"/>
          <w:kern w:val="0"/>
          <w:sz w:val="20"/>
          <w:szCs w:val="20"/>
        </w:rPr>
      </w:pPr>
      <w:r>
        <w:rPr>
          <w:rFonts w:hint="eastAsia" w:ascii="仿宋_GB2312" w:hAnsi="楷体" w:eastAsia="仿宋_GB2312" w:cs="Arial"/>
          <w:kern w:val="0"/>
          <w:sz w:val="20"/>
          <w:szCs w:val="20"/>
        </w:rPr>
        <w:t>单位：人民币万元</w:t>
      </w:r>
    </w:p>
    <w:p>
      <w:pPr>
        <w:widowControl/>
        <w:spacing w:after="0" w:line="240" w:lineRule="auto"/>
        <w:ind w:left="868" w:right="-424" w:rightChars="-202"/>
        <w:jc w:val="right"/>
        <w:rPr>
          <w:rFonts w:hint="eastAsia" w:ascii="仿宋_GB2312" w:hAnsi="楷体" w:eastAsia="仿宋_GB2312" w:cs="Arial"/>
          <w:kern w:val="0"/>
          <w:sz w:val="20"/>
          <w:szCs w:val="20"/>
        </w:rPr>
      </w:pPr>
    </w:p>
    <w:tbl>
      <w:tblPr>
        <w:tblStyle w:val="15"/>
        <w:tblW w:w="56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1539"/>
        <w:gridCol w:w="2946"/>
        <w:gridCol w:w="1535"/>
        <w:gridCol w:w="1680"/>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16" w:type="pct"/>
            <w:vMerge w:val="restar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bookmarkStart w:id="12" w:name="_Hlk183549502"/>
            <w:r>
              <w:rPr>
                <w:rFonts w:hint="eastAsia" w:ascii="仿宋_GB2312" w:hAnsi="黑体" w:eastAsia="仿宋_GB2312" w:cs="Calibri"/>
                <w:b/>
                <w:bCs/>
                <w:color w:val="000000" w:themeColor="text1"/>
                <w:kern w:val="0"/>
                <w:sz w:val="20"/>
                <w:szCs w:val="20"/>
                <w14:textFill>
                  <w14:solidFill>
                    <w14:schemeClr w14:val="tx1"/>
                  </w14:solidFill>
                </w14:textFill>
              </w:rPr>
              <w:t>序号</w:t>
            </w:r>
          </w:p>
        </w:tc>
        <w:tc>
          <w:tcPr>
            <w:tcW w:w="797" w:type="pct"/>
            <w:vMerge w:val="restar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债券调整批次</w:t>
            </w:r>
          </w:p>
        </w:tc>
        <w:tc>
          <w:tcPr>
            <w:tcW w:w="2321" w:type="pct"/>
            <w:gridSpan w:val="2"/>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调减债券额度项目</w:t>
            </w:r>
          </w:p>
        </w:tc>
        <w:tc>
          <w:tcPr>
            <w:tcW w:w="1666" w:type="pct"/>
            <w:gridSpan w:val="2"/>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调增债券额度项目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16" w:type="pct"/>
            <w:vMerge w:val="continue"/>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p>
        </w:tc>
        <w:tc>
          <w:tcPr>
            <w:tcW w:w="797" w:type="pct"/>
            <w:vMerge w:val="continue"/>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p>
        </w:tc>
        <w:tc>
          <w:tcPr>
            <w:tcW w:w="1526" w:type="pc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项目名称</w:t>
            </w:r>
          </w:p>
        </w:tc>
        <w:tc>
          <w:tcPr>
            <w:tcW w:w="795" w:type="pc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本次调减金额</w:t>
            </w:r>
          </w:p>
        </w:tc>
        <w:tc>
          <w:tcPr>
            <w:tcW w:w="870" w:type="pc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项目名称</w:t>
            </w:r>
          </w:p>
        </w:tc>
        <w:tc>
          <w:tcPr>
            <w:tcW w:w="796" w:type="pct"/>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14:textFill>
                  <w14:solidFill>
                    <w14:schemeClr w14:val="tx1"/>
                  </w14:solidFill>
                </w14:textFill>
              </w:rPr>
            </w:pPr>
            <w:r>
              <w:rPr>
                <w:rFonts w:hint="eastAsia" w:ascii="仿宋_GB2312" w:hAnsi="黑体" w:eastAsia="仿宋_GB2312" w:cs="Calibri"/>
                <w:b/>
                <w:bCs/>
                <w:color w:val="000000" w:themeColor="text1"/>
                <w:kern w:val="0"/>
                <w:sz w:val="20"/>
                <w:szCs w:val="20"/>
                <w14:textFill>
                  <w14:solidFill>
                    <w14:schemeClr w14:val="tx1"/>
                  </w14:solidFill>
                </w14:textFill>
              </w:rPr>
              <w:t>本次调增额度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16" w:type="pct"/>
            <w:shd w:val="clear" w:color="auto" w:fill="auto"/>
            <w:vAlign w:val="center"/>
          </w:tcPr>
          <w:p>
            <w:pPr>
              <w:widowControl/>
              <w:spacing w:after="0" w:line="240" w:lineRule="auto"/>
              <w:jc w:val="center"/>
              <w:rPr>
                <w:rFonts w:hint="eastAsia" w:ascii="仿宋_GB2312" w:hAnsi="黑体" w:eastAsia="仿宋_GB2312" w:cs="Calibri"/>
                <w:color w:val="000000" w:themeColor="text1"/>
                <w:kern w:val="0"/>
                <w:sz w:val="20"/>
                <w:szCs w:val="20"/>
                <w:lang w:val="en-GB"/>
                <w14:textFill>
                  <w14:solidFill>
                    <w14:schemeClr w14:val="tx1"/>
                  </w14:solidFill>
                </w14:textFill>
              </w:rPr>
            </w:pPr>
            <w:r>
              <w:rPr>
                <w:rFonts w:hint="eastAsia" w:ascii="仿宋_GB2312" w:hAnsi="黑体" w:eastAsia="仿宋_GB2312"/>
                <w:color w:val="000000" w:themeColor="text1"/>
                <w:kern w:val="0"/>
                <w:sz w:val="20"/>
                <w:szCs w:val="20"/>
                <w14:textFill>
                  <w14:solidFill>
                    <w14:schemeClr w14:val="tx1"/>
                  </w14:solidFill>
                </w14:textFill>
              </w:rPr>
              <w:t>1</w:t>
            </w:r>
          </w:p>
        </w:tc>
        <w:tc>
          <w:tcPr>
            <w:tcW w:w="797" w:type="pct"/>
            <w:shd w:val="clear" w:color="auto" w:fill="auto"/>
            <w:vAlign w:val="center"/>
          </w:tcPr>
          <w:p>
            <w:pPr>
              <w:widowControl/>
              <w:spacing w:after="0" w:line="240" w:lineRule="auto"/>
              <w:jc w:val="center"/>
              <w:rPr>
                <w:rFonts w:hint="eastAsia" w:ascii="仿宋_GB2312" w:hAnsi="黑体" w:eastAsia="仿宋_GB2312" w:cs="Calibri"/>
                <w:color w:val="000000" w:themeColor="text1"/>
                <w:kern w:val="0"/>
                <w:sz w:val="20"/>
                <w:szCs w:val="20"/>
                <w:lang w:val="en-GB"/>
                <w14:textFill>
                  <w14:solidFill>
                    <w14:schemeClr w14:val="tx1"/>
                  </w14:solidFill>
                </w14:textFill>
              </w:rPr>
            </w:pPr>
            <w:r>
              <w:rPr>
                <w:rFonts w:hint="eastAsia" w:ascii="仿宋_GB2312" w:hAnsi="黑体" w:eastAsia="仿宋_GB2312"/>
              </w:rPr>
              <w:t>2025年海南省政府专项债券（一期）</w:t>
            </w:r>
          </w:p>
        </w:tc>
        <w:tc>
          <w:tcPr>
            <w:tcW w:w="1526" w:type="pct"/>
            <w:shd w:val="clear" w:color="auto" w:fill="auto"/>
            <w:vAlign w:val="center"/>
          </w:tcPr>
          <w:p>
            <w:pPr>
              <w:widowControl/>
              <w:spacing w:after="0" w:line="240" w:lineRule="auto"/>
              <w:jc w:val="center"/>
              <w:rPr>
                <w:rFonts w:hint="eastAsia" w:ascii="仿宋_GB2312" w:hAnsi="黑体" w:eastAsia="仿宋_GB2312"/>
                <w:color w:val="000000" w:themeColor="text1"/>
                <w:kern w:val="0"/>
                <w:sz w:val="20"/>
                <w:szCs w:val="20"/>
                <w:lang w:val="en-GB"/>
                <w14:textFill>
                  <w14:solidFill>
                    <w14:schemeClr w14:val="tx1"/>
                  </w14:solidFill>
                </w14:textFill>
              </w:rPr>
            </w:pPr>
            <w:r>
              <w:rPr>
                <w:rFonts w:hint="eastAsia" w:ascii="仿宋_GB2312" w:hAnsi="黑体" w:eastAsia="仿宋_GB2312"/>
              </w:rPr>
              <w:t>海口市琼山区迈瀛片区（一期）城中村改造配套基础设施项目</w:t>
            </w:r>
          </w:p>
        </w:tc>
        <w:tc>
          <w:tcPr>
            <w:tcW w:w="795" w:type="pct"/>
            <w:shd w:val="clear" w:color="auto" w:fill="auto"/>
            <w:vAlign w:val="center"/>
          </w:tcPr>
          <w:p>
            <w:pPr>
              <w:widowControl/>
              <w:spacing w:after="0" w:line="240" w:lineRule="auto"/>
              <w:jc w:val="center"/>
              <w:rPr>
                <w:rFonts w:hint="eastAsia" w:ascii="仿宋_GB2312" w:hAnsi="黑体" w:eastAsia="仿宋_GB2312"/>
                <w:color w:val="000000" w:themeColor="text1"/>
                <w:kern w:val="0"/>
                <w:sz w:val="20"/>
                <w:szCs w:val="20"/>
                <w:lang w:val="en-GB"/>
                <w14:textFill>
                  <w14:solidFill>
                    <w14:schemeClr w14:val="tx1"/>
                  </w14:solidFill>
                </w14:textFill>
              </w:rPr>
            </w:pPr>
            <w:r>
              <w:rPr>
                <w:rFonts w:hint="eastAsia" w:ascii="仿宋_GB2312" w:hAnsi="黑体" w:eastAsia="仿宋_GB2312"/>
              </w:rPr>
              <w:t>600</w:t>
            </w:r>
          </w:p>
        </w:tc>
        <w:tc>
          <w:tcPr>
            <w:tcW w:w="870" w:type="pct"/>
            <w:shd w:val="clear" w:color="auto" w:fill="auto"/>
            <w:vAlign w:val="center"/>
          </w:tcPr>
          <w:p>
            <w:pPr>
              <w:widowControl/>
              <w:spacing w:after="0" w:line="240" w:lineRule="auto"/>
              <w:jc w:val="center"/>
              <w:rPr>
                <w:rFonts w:hint="eastAsia" w:ascii="仿宋_GB2312" w:hAnsi="黑体" w:eastAsia="仿宋_GB2312"/>
                <w:color w:val="000000" w:themeColor="text1"/>
                <w:kern w:val="0"/>
                <w:sz w:val="20"/>
                <w:szCs w:val="20"/>
                <w:lang w:val="en-GB"/>
                <w14:textFill>
                  <w14:solidFill>
                    <w14:schemeClr w14:val="tx1"/>
                  </w14:solidFill>
                </w14:textFill>
              </w:rPr>
            </w:pPr>
            <w:r>
              <w:rPr>
                <w:rFonts w:hint="eastAsia" w:ascii="仿宋_GB2312" w:hAnsi="黑体" w:eastAsia="仿宋_GB2312"/>
              </w:rPr>
              <w:t>海口市江东新区园区配套基础设施配套项目（二期）</w:t>
            </w:r>
          </w:p>
        </w:tc>
        <w:tc>
          <w:tcPr>
            <w:tcW w:w="796" w:type="pct"/>
            <w:shd w:val="clear" w:color="auto" w:fill="auto"/>
            <w:vAlign w:val="center"/>
          </w:tcPr>
          <w:p>
            <w:pPr>
              <w:widowControl/>
              <w:spacing w:after="0" w:line="240" w:lineRule="auto"/>
              <w:jc w:val="center"/>
              <w:rPr>
                <w:rFonts w:hint="eastAsia" w:ascii="仿宋_GB2312" w:hAnsi="黑体" w:eastAsia="仿宋_GB2312"/>
                <w:color w:val="000000" w:themeColor="text1"/>
                <w:kern w:val="0"/>
                <w:sz w:val="20"/>
                <w:szCs w:val="20"/>
                <w:lang w:val="en-GB"/>
                <w14:textFill>
                  <w14:solidFill>
                    <w14:schemeClr w14:val="tx1"/>
                  </w14:solidFill>
                </w14:textFill>
              </w:rPr>
            </w:pPr>
            <w:r>
              <w:rPr>
                <w:rFonts w:hint="eastAsia" w:ascii="仿宋_GB2312" w:hAnsi="黑体" w:eastAsia="仿宋_GB2312"/>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539" w:type="pct"/>
            <w:gridSpan w:val="3"/>
            <w:shd w:val="clear" w:color="auto" w:fill="auto"/>
            <w:vAlign w:val="center"/>
          </w:tcPr>
          <w:p>
            <w:pPr>
              <w:widowControl/>
              <w:spacing w:after="0" w:line="240" w:lineRule="auto"/>
              <w:jc w:val="center"/>
              <w:rPr>
                <w:rFonts w:hint="eastAsia" w:ascii="仿宋_GB2312" w:hAnsi="黑体" w:eastAsia="仿宋_GB2312" w:cs="Calibri"/>
                <w:b/>
                <w:bCs/>
                <w:color w:val="000000" w:themeColor="text1"/>
                <w:kern w:val="0"/>
                <w:sz w:val="20"/>
                <w:szCs w:val="20"/>
                <w:lang w:val="en-GB"/>
                <w14:textFill>
                  <w14:solidFill>
                    <w14:schemeClr w14:val="tx1"/>
                  </w14:solidFill>
                </w14:textFill>
              </w:rPr>
            </w:pPr>
            <w:r>
              <w:rPr>
                <w:rFonts w:hint="eastAsia" w:ascii="仿宋_GB2312" w:hAnsi="黑体" w:eastAsia="仿宋_GB2312" w:cs="Calibri"/>
                <w:b/>
                <w:bCs/>
                <w:color w:val="000000" w:themeColor="text1"/>
                <w:kern w:val="0"/>
                <w:sz w:val="20"/>
                <w:szCs w:val="20"/>
                <w:lang w:val="en-GB"/>
                <w14:textFill>
                  <w14:solidFill>
                    <w14:schemeClr w14:val="tx1"/>
                  </w14:solidFill>
                </w14:textFill>
              </w:rPr>
              <w:t>合计</w:t>
            </w:r>
          </w:p>
        </w:tc>
        <w:tc>
          <w:tcPr>
            <w:tcW w:w="795" w:type="pct"/>
            <w:shd w:val="clear" w:color="auto" w:fill="auto"/>
            <w:vAlign w:val="center"/>
          </w:tcPr>
          <w:p>
            <w:pPr>
              <w:widowControl/>
              <w:spacing w:after="0" w:line="240" w:lineRule="auto"/>
              <w:jc w:val="center"/>
              <w:rPr>
                <w:rFonts w:hint="eastAsia" w:ascii="仿宋_GB2312" w:hAnsi="黑体" w:eastAsia="仿宋_GB2312"/>
                <w:b/>
                <w:bCs/>
                <w:color w:val="000000" w:themeColor="text1"/>
                <w:kern w:val="0"/>
                <w:sz w:val="20"/>
                <w:szCs w:val="20"/>
                <w:lang w:val="en-GB"/>
                <w14:textFill>
                  <w14:solidFill>
                    <w14:schemeClr w14:val="tx1"/>
                  </w14:solidFill>
                </w14:textFill>
              </w:rPr>
            </w:pPr>
            <w:r>
              <w:rPr>
                <w:rFonts w:hint="eastAsia" w:ascii="仿宋_GB2312" w:hAnsi="黑体" w:eastAsia="仿宋_GB2312"/>
                <w:b/>
                <w:bCs/>
                <w:color w:val="000000" w:themeColor="text1"/>
                <w:kern w:val="0"/>
                <w:sz w:val="20"/>
                <w:szCs w:val="20"/>
                <w:lang w:val="en-GB"/>
                <w14:textFill>
                  <w14:solidFill>
                    <w14:schemeClr w14:val="tx1"/>
                  </w14:solidFill>
                </w14:textFill>
              </w:rPr>
              <w:t>600</w:t>
            </w:r>
          </w:p>
        </w:tc>
        <w:tc>
          <w:tcPr>
            <w:tcW w:w="870" w:type="pct"/>
            <w:shd w:val="clear" w:color="auto" w:fill="auto"/>
            <w:vAlign w:val="center"/>
          </w:tcPr>
          <w:p>
            <w:pPr>
              <w:widowControl/>
              <w:spacing w:after="0" w:line="240" w:lineRule="auto"/>
              <w:jc w:val="center"/>
              <w:rPr>
                <w:rFonts w:hint="eastAsia" w:ascii="仿宋_GB2312" w:hAnsi="黑体" w:eastAsia="仿宋_GB2312"/>
                <w:color w:val="000000" w:themeColor="text1"/>
                <w:kern w:val="0"/>
                <w:sz w:val="20"/>
                <w:szCs w:val="20"/>
                <w:lang w:val="en-GB"/>
                <w14:textFill>
                  <w14:solidFill>
                    <w14:schemeClr w14:val="tx1"/>
                  </w14:solidFill>
                </w14:textFill>
              </w:rPr>
            </w:pPr>
          </w:p>
        </w:tc>
        <w:tc>
          <w:tcPr>
            <w:tcW w:w="796" w:type="pct"/>
            <w:shd w:val="clear" w:color="auto" w:fill="auto"/>
            <w:vAlign w:val="center"/>
          </w:tcPr>
          <w:p>
            <w:pPr>
              <w:widowControl/>
              <w:spacing w:after="0" w:line="240" w:lineRule="auto"/>
              <w:jc w:val="center"/>
              <w:rPr>
                <w:rFonts w:hint="eastAsia" w:ascii="仿宋_GB2312" w:hAnsi="黑体" w:eastAsia="仿宋_GB2312"/>
                <w:b/>
                <w:bCs/>
                <w:color w:val="000000" w:themeColor="text1"/>
                <w:kern w:val="0"/>
                <w:sz w:val="20"/>
                <w:szCs w:val="20"/>
                <w:lang w:val="en-GB"/>
                <w14:textFill>
                  <w14:solidFill>
                    <w14:schemeClr w14:val="tx1"/>
                  </w14:solidFill>
                </w14:textFill>
              </w:rPr>
            </w:pPr>
            <w:r>
              <w:rPr>
                <w:rFonts w:hint="eastAsia" w:ascii="仿宋_GB2312" w:hAnsi="黑体" w:eastAsia="仿宋_GB2312"/>
                <w:b/>
                <w:bCs/>
                <w:color w:val="000000" w:themeColor="text1"/>
                <w:kern w:val="0"/>
                <w:sz w:val="20"/>
                <w:szCs w:val="20"/>
                <w:lang w:val="en-GB"/>
                <w14:textFill>
                  <w14:solidFill>
                    <w14:schemeClr w14:val="tx1"/>
                  </w14:solidFill>
                </w14:textFill>
              </w:rPr>
              <w:t>600</w:t>
            </w:r>
          </w:p>
        </w:tc>
      </w:tr>
      <w:bookmarkEnd w:id="12"/>
    </w:tbl>
    <w:p>
      <w:pPr>
        <w:spacing w:line="360" w:lineRule="auto"/>
        <w:rPr>
          <w:rFonts w:hint="eastAsia" w:ascii="仿宋_GB2312" w:hAnsi="楷体" w:eastAsia="仿宋_GB2312" w:cs="楷体"/>
          <w:color w:val="000000" w:themeColor="text1"/>
          <w:kern w:val="0"/>
          <w:sz w:val="28"/>
          <w:szCs w:val="28"/>
          <w:lang w:val="en-GB"/>
          <w14:textFill>
            <w14:solidFill>
              <w14:schemeClr w14:val="tx1"/>
            </w14:solidFill>
          </w14:textFill>
        </w:rPr>
      </w:pP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3" w:name="_Toc200724642"/>
      <w:r>
        <w:rPr>
          <w:rFonts w:hint="eastAsia" w:ascii="楷体" w:hAnsi="楷体" w:eastAsia="楷体" w:cs="楷体"/>
          <w:b/>
          <w:bCs/>
          <w:color w:val="000000" w:themeColor="text1"/>
          <w:kern w:val="0"/>
          <w:sz w:val="28"/>
          <w:szCs w:val="28"/>
          <w:lang w:val="en-GB"/>
          <w14:textFill>
            <w14:solidFill>
              <w14:schemeClr w14:val="tx1"/>
            </w14:solidFill>
          </w14:textFill>
        </w:rPr>
        <w:t>（二）项目有关批复</w:t>
      </w:r>
      <w:bookmarkEnd w:id="13"/>
    </w:p>
    <w:p>
      <w:pPr>
        <w:widowControl/>
        <w:spacing w:before="120" w:after="120" w:line="360" w:lineRule="auto"/>
        <w:ind w:firstLine="560" w:firstLineChars="20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ascii="仿宋_GB2312" w:hAnsi="楷体" w:eastAsia="仿宋_GB2312" w:cs="楷体"/>
          <w:color w:val="000000" w:themeColor="text1"/>
          <w:kern w:val="0"/>
          <w:sz w:val="28"/>
          <w:szCs w:val="28"/>
          <w:lang w:val="en-GB"/>
          <w14:textFill>
            <w14:solidFill>
              <w14:schemeClr w14:val="tx1"/>
            </w14:solidFill>
          </w14:textFill>
        </w:rPr>
        <w:t>2023年11月17日，海口</w:t>
      </w:r>
      <w:r>
        <w:rPr>
          <w:rFonts w:hint="eastAsia" w:ascii="仿宋_GB2312" w:hAnsi="楷体" w:eastAsia="仿宋_GB2312" w:cs="楷体"/>
          <w:color w:val="000000" w:themeColor="text1"/>
          <w:kern w:val="0"/>
          <w:sz w:val="28"/>
          <w:szCs w:val="28"/>
          <w:lang w:val="en-GB"/>
          <w14:textFill>
            <w14:solidFill>
              <w14:schemeClr w14:val="tx1"/>
            </w14:solidFill>
          </w14:textFill>
        </w:rPr>
        <w:t>江东新区管理局作出《关于同意海口市江东新区园区配套基础设施配套项目</w:t>
      </w:r>
      <w:r>
        <w:rPr>
          <w:rFonts w:ascii="仿宋_GB2312" w:hAnsi="楷体" w:eastAsia="仿宋_GB2312" w:cs="楷体"/>
          <w:color w:val="000000" w:themeColor="text1"/>
          <w:kern w:val="0"/>
          <w:sz w:val="28"/>
          <w:szCs w:val="28"/>
          <w:lang w:val="en-GB"/>
          <w14:textFill>
            <w14:solidFill>
              <w14:schemeClr w14:val="tx1"/>
            </w14:solidFill>
          </w14:textFill>
        </w:rPr>
        <w:t>(二期)初步设计及概算的复函》（海江东审〔2023〕260号）</w:t>
      </w:r>
      <w:r>
        <w:rPr>
          <w:rStyle w:val="21"/>
          <w:rFonts w:ascii="仿宋_GB2312" w:hAnsi="楷体" w:eastAsia="仿宋_GB2312" w:cs="楷体"/>
          <w:color w:val="000000" w:themeColor="text1"/>
          <w:kern w:val="0"/>
          <w:sz w:val="28"/>
          <w:szCs w:val="28"/>
          <w:lang w:val="en-GB"/>
          <w14:textFill>
            <w14:solidFill>
              <w14:schemeClr w14:val="tx1"/>
            </w14:solidFill>
          </w14:textFill>
        </w:rPr>
        <w:footnoteReference w:id="1"/>
      </w:r>
      <w:r>
        <w:rPr>
          <w:rFonts w:ascii="仿宋_GB2312" w:hAnsi="楷体" w:eastAsia="仿宋_GB2312" w:cs="楷体"/>
          <w:color w:val="000000" w:themeColor="text1"/>
          <w:kern w:val="0"/>
          <w:sz w:val="28"/>
          <w:szCs w:val="28"/>
          <w:lang w:val="en-GB"/>
          <w14:textFill>
            <w14:solidFill>
              <w14:schemeClr w14:val="tx1"/>
            </w14:solidFill>
          </w14:textFill>
        </w:rPr>
        <w:t>。</w:t>
      </w:r>
    </w:p>
    <w:p>
      <w:pPr>
        <w:widowControl/>
        <w:spacing w:before="120" w:after="120" w:line="360" w:lineRule="auto"/>
        <w:ind w:firstLine="560" w:firstLineChars="20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为保障本项目合理融资需求，按照《中华人民共和国预算法》（2018年修订）、《国务院关于加强地方政府性债务管理的意见》（国发〔2014〕43号）、《关于做好2018年地方政府债券发行工作的意见》（财库〔2018〕61号）等文件精神，结合本项目建设计划和海口市2025年发债计划，海口市政府决定通过调剂地方政府专项债券实施本项目，以满足海口市江东新区基础设施建设项目的融资需求。</w:t>
      </w: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14" w:name="_Toc200724643"/>
      <w:r>
        <w:rPr>
          <w:rFonts w:hint="eastAsia" w:ascii="黑体" w:hAnsi="黑体" w:cs="楷体"/>
          <w:b w:val="0"/>
          <w:bCs w:val="0"/>
          <w:color w:val="000000" w:themeColor="text1"/>
          <w:kern w:val="0"/>
          <w:sz w:val="28"/>
          <w:szCs w:val="28"/>
          <w14:textFill>
            <w14:solidFill>
              <w14:schemeClr w14:val="tx1"/>
            </w14:solidFill>
          </w14:textFill>
        </w:rPr>
        <w:t>四、项目预测收益与融资平衡情况</w:t>
      </w:r>
      <w:bookmarkEnd w:id="14"/>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5" w:name="_Toc200724644"/>
      <w:r>
        <w:rPr>
          <w:rFonts w:hint="eastAsia" w:ascii="楷体" w:hAnsi="楷体" w:eastAsia="楷体" w:cs="楷体"/>
          <w:b/>
          <w:bCs/>
          <w:color w:val="000000" w:themeColor="text1"/>
          <w:kern w:val="0"/>
          <w:sz w:val="28"/>
          <w:szCs w:val="28"/>
          <w:lang w:val="en-GB"/>
          <w14:textFill>
            <w14:solidFill>
              <w14:schemeClr w14:val="tx1"/>
            </w14:solidFill>
          </w14:textFill>
        </w:rPr>
        <w:t>（一）资金充足性</w:t>
      </w:r>
      <w:bookmarkEnd w:id="15"/>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1、投资估算</w:t>
      </w:r>
    </w:p>
    <w:p>
      <w:pPr>
        <w:pStyle w:val="24"/>
        <w:spacing w:line="360" w:lineRule="auto"/>
        <w:ind w:firstLine="562" w:firstLineChars="201"/>
        <w:jc w:val="left"/>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本次对2025年海南省政府专项债券（一期）中海口市琼山区迈瀛片区（一期）城中村改造配套基础设施项目发行的600万元的债券额度进行调整，将调整后的额度分配至海口市江东新区园区配套基础设施配套项目（二期）使用。</w:t>
      </w:r>
    </w:p>
    <w:p>
      <w:pPr>
        <w:spacing w:line="360" w:lineRule="auto"/>
        <w:ind w:firstLine="560"/>
        <w:rPr>
          <w:rFonts w:hint="eastAsia" w:ascii="黑体" w:hAnsi="黑体" w:eastAsia="黑体" w:cs="楷体"/>
          <w:bCs/>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海口市江东新区园区配套基础设施配套项目（二期）已于2024年5月发行10年期专项债券1,000万元，2025年本期计划调增专项债券600万元。本项目合计使用专项债券资金1,600万元。海口市江东新区园区配套基础设施配套项目（二期）债券本息和1,947万元，由此，全周期项目累计可偿债收益为2,535万元。根据项目收益与融资平衡分析结果显示，债券存续期内还本付息资金充足，综合本息覆盖率可达到1.32。本息覆盖倍数可达到1.30。详见表2。</w:t>
      </w:r>
    </w:p>
    <w:p>
      <w:pPr>
        <w:widowControl/>
        <w:spacing w:before="120" w:after="120" w:line="360" w:lineRule="auto"/>
        <w:jc w:val="center"/>
        <w:rPr>
          <w:rFonts w:hint="eastAsia" w:ascii="黑体" w:hAnsi="黑体" w:eastAsia="黑体"/>
          <w:bCs/>
          <w:color w:val="000000" w:themeColor="text1"/>
          <w:kern w:val="0"/>
          <w:sz w:val="24"/>
          <w:szCs w:val="24"/>
          <w14:textFill>
            <w14:solidFill>
              <w14:schemeClr w14:val="tx1"/>
            </w14:solidFill>
          </w14:textFill>
        </w:rPr>
      </w:pPr>
      <w:r>
        <w:rPr>
          <w:rFonts w:hint="eastAsia" w:ascii="黑体" w:hAnsi="黑体" w:eastAsia="黑体"/>
          <w:bCs/>
          <w:color w:val="000000" w:themeColor="text1"/>
          <w:kern w:val="0"/>
          <w:sz w:val="24"/>
          <w:szCs w:val="24"/>
          <w14:textFill>
            <w14:solidFill>
              <w14:schemeClr w14:val="tx1"/>
            </w14:solidFill>
          </w14:textFill>
        </w:rPr>
        <w:t>表2 本息覆盖率</w:t>
      </w:r>
    </w:p>
    <w:p>
      <w:pPr>
        <w:widowControl/>
        <w:spacing w:after="0" w:line="240" w:lineRule="auto"/>
        <w:ind w:right="-584"/>
        <w:jc w:val="right"/>
        <w:rPr>
          <w:rFonts w:hint="eastAsia" w:ascii="仿宋_GB2312" w:hAnsi="楷体" w:eastAsia="仿宋_GB2312"/>
          <w:color w:val="000000" w:themeColor="text1"/>
          <w:kern w:val="0"/>
          <w:sz w:val="20"/>
          <w:szCs w:val="20"/>
          <w14:textFill>
            <w14:solidFill>
              <w14:schemeClr w14:val="tx1"/>
            </w14:solidFill>
          </w14:textFill>
        </w:rPr>
      </w:pPr>
      <w:r>
        <w:rPr>
          <w:rFonts w:hint="eastAsia" w:ascii="仿宋_GB2312" w:hAnsi="楷体" w:eastAsia="仿宋_GB2312"/>
          <w:color w:val="000000" w:themeColor="text1"/>
          <w:kern w:val="0"/>
          <w:sz w:val="20"/>
          <w:szCs w:val="20"/>
          <w14:textFill>
            <w14:solidFill>
              <w14:schemeClr w14:val="tx1"/>
            </w14:solidFill>
          </w14:textFill>
        </w:rPr>
        <w:t>单位：人民币万元</w:t>
      </w:r>
    </w:p>
    <w:tbl>
      <w:tblPr>
        <w:tblStyle w:val="15"/>
        <w:tblW w:w="11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871"/>
        <w:gridCol w:w="1276"/>
        <w:gridCol w:w="1063"/>
        <w:gridCol w:w="1063"/>
        <w:gridCol w:w="1063"/>
        <w:gridCol w:w="1063"/>
        <w:gridCol w:w="1134"/>
        <w:gridCol w:w="921"/>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718" w:type="dxa"/>
            <w:vMerge w:val="restart"/>
            <w:shd w:val="clear" w:color="auto" w:fill="auto"/>
            <w:noWrap/>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序号</w:t>
            </w:r>
          </w:p>
        </w:tc>
        <w:tc>
          <w:tcPr>
            <w:tcW w:w="1871" w:type="dxa"/>
            <w:vMerge w:val="restart"/>
            <w:shd w:val="clear" w:color="auto" w:fill="auto"/>
            <w:noWrap/>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项目名称</w:t>
            </w:r>
          </w:p>
        </w:tc>
        <w:tc>
          <w:tcPr>
            <w:tcW w:w="1276" w:type="dxa"/>
            <w:vMerge w:val="restart"/>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调整后项目总投资</w:t>
            </w:r>
          </w:p>
        </w:tc>
        <w:tc>
          <w:tcPr>
            <w:tcW w:w="2126" w:type="dxa"/>
            <w:gridSpan w:val="2"/>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发行额度</w:t>
            </w:r>
          </w:p>
        </w:tc>
        <w:tc>
          <w:tcPr>
            <w:tcW w:w="1063" w:type="dxa"/>
            <w:vMerge w:val="restart"/>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用于资金平衡的项目收益</w:t>
            </w:r>
          </w:p>
        </w:tc>
        <w:tc>
          <w:tcPr>
            <w:tcW w:w="1063" w:type="dxa"/>
            <w:vMerge w:val="restart"/>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期末项目累计现金结存额</w:t>
            </w:r>
          </w:p>
        </w:tc>
        <w:tc>
          <w:tcPr>
            <w:tcW w:w="1134" w:type="dxa"/>
            <w:vMerge w:val="restart"/>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预计融资</w:t>
            </w:r>
          </w:p>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本息和</w:t>
            </w:r>
          </w:p>
        </w:tc>
        <w:tc>
          <w:tcPr>
            <w:tcW w:w="921" w:type="dxa"/>
            <w:vMerge w:val="restart"/>
            <w:shd w:val="clear" w:color="auto" w:fill="auto"/>
            <w:noWrap/>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本息</w:t>
            </w:r>
          </w:p>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覆盖率</w:t>
            </w:r>
            <w:r>
              <w:rPr>
                <w:rFonts w:ascii="仿宋_GB2312" w:hAnsi="Verdana" w:eastAsia="仿宋_GB2312"/>
                <w:b/>
                <w:kern w:val="0"/>
                <w:sz w:val="20"/>
                <w:szCs w:val="20"/>
                <w:vertAlign w:val="superscript"/>
              </w:rPr>
              <w:footnoteReference w:id="2"/>
            </w:r>
          </w:p>
        </w:tc>
        <w:tc>
          <w:tcPr>
            <w:tcW w:w="922" w:type="dxa"/>
            <w:vMerge w:val="restart"/>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本息覆盖倍数</w:t>
            </w:r>
            <w:r>
              <w:rPr>
                <w:rFonts w:ascii="仿宋_GB2312" w:hAnsi="Verdana" w:eastAsia="仿宋_GB2312" w:cs="Calibri"/>
                <w:b/>
                <w:kern w:val="0"/>
                <w:sz w:val="20"/>
                <w:szCs w:val="20"/>
                <w:vertAlign w:val="superscript"/>
              </w:rPr>
              <w:footnoteReference w:id="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718" w:type="dxa"/>
            <w:vMerge w:val="continue"/>
            <w:shd w:val="clear" w:color="auto" w:fill="auto"/>
            <w:noWrap/>
            <w:vAlign w:val="center"/>
          </w:tcPr>
          <w:p>
            <w:pPr>
              <w:widowControl/>
              <w:spacing w:after="0" w:line="0" w:lineRule="atLeast"/>
              <w:jc w:val="center"/>
              <w:rPr>
                <w:rFonts w:ascii="仿宋_GB2312" w:hAnsi="Verdana" w:eastAsia="仿宋_GB2312" w:cs="Calibri"/>
                <w:b/>
                <w:kern w:val="0"/>
                <w:sz w:val="20"/>
                <w:szCs w:val="20"/>
              </w:rPr>
            </w:pPr>
          </w:p>
        </w:tc>
        <w:tc>
          <w:tcPr>
            <w:tcW w:w="1871" w:type="dxa"/>
            <w:vMerge w:val="continue"/>
            <w:shd w:val="clear" w:color="auto" w:fill="auto"/>
            <w:noWrap/>
            <w:vAlign w:val="center"/>
          </w:tcPr>
          <w:p>
            <w:pPr>
              <w:widowControl/>
              <w:spacing w:after="0" w:line="0" w:lineRule="atLeast"/>
              <w:jc w:val="center"/>
              <w:rPr>
                <w:rFonts w:ascii="仿宋_GB2312" w:hAnsi="Verdana" w:eastAsia="仿宋_GB2312" w:cs="Calibri"/>
                <w:b/>
                <w:kern w:val="0"/>
                <w:sz w:val="20"/>
                <w:szCs w:val="20"/>
              </w:rPr>
            </w:pPr>
          </w:p>
        </w:tc>
        <w:tc>
          <w:tcPr>
            <w:tcW w:w="1276" w:type="dxa"/>
            <w:vMerge w:val="continue"/>
            <w:shd w:val="clear" w:color="auto" w:fill="auto"/>
            <w:vAlign w:val="center"/>
          </w:tcPr>
          <w:p>
            <w:pPr>
              <w:widowControl/>
              <w:spacing w:after="0" w:line="0" w:lineRule="atLeast"/>
              <w:jc w:val="center"/>
              <w:rPr>
                <w:rFonts w:ascii="仿宋_GB2312" w:hAnsi="Verdana" w:eastAsia="仿宋_GB2312" w:cs="Calibri"/>
                <w:b/>
                <w:kern w:val="0"/>
                <w:sz w:val="20"/>
                <w:szCs w:val="20"/>
              </w:rPr>
            </w:pPr>
          </w:p>
        </w:tc>
        <w:tc>
          <w:tcPr>
            <w:tcW w:w="1063" w:type="dxa"/>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已发行额度</w:t>
            </w:r>
          </w:p>
        </w:tc>
        <w:tc>
          <w:tcPr>
            <w:tcW w:w="1063" w:type="dxa"/>
            <w:shd w:val="clear" w:color="auto" w:fill="auto"/>
            <w:vAlign w:val="center"/>
          </w:tcPr>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本期计划</w:t>
            </w:r>
          </w:p>
          <w:p>
            <w:pPr>
              <w:widowControl/>
              <w:spacing w:after="0" w:line="0" w:lineRule="atLeast"/>
              <w:jc w:val="center"/>
              <w:rPr>
                <w:rFonts w:ascii="仿宋_GB2312" w:hAnsi="Verdana" w:eastAsia="仿宋_GB2312" w:cs="Calibri"/>
                <w:b/>
                <w:kern w:val="0"/>
                <w:sz w:val="20"/>
                <w:szCs w:val="20"/>
              </w:rPr>
            </w:pPr>
            <w:r>
              <w:rPr>
                <w:rFonts w:hint="eastAsia" w:ascii="仿宋_GB2312" w:hAnsi="Verdana" w:eastAsia="仿宋_GB2312" w:cs="Calibri"/>
                <w:b/>
                <w:kern w:val="0"/>
                <w:sz w:val="20"/>
                <w:szCs w:val="20"/>
              </w:rPr>
              <w:t>发行额度</w:t>
            </w:r>
          </w:p>
        </w:tc>
        <w:tc>
          <w:tcPr>
            <w:tcW w:w="1063" w:type="dxa"/>
            <w:vMerge w:val="continue"/>
            <w:shd w:val="clear" w:color="auto" w:fill="auto"/>
          </w:tcPr>
          <w:p>
            <w:pPr>
              <w:widowControl/>
              <w:spacing w:after="0" w:line="0" w:lineRule="atLeast"/>
              <w:jc w:val="center"/>
              <w:rPr>
                <w:rFonts w:ascii="仿宋_GB2312" w:hAnsi="Verdana" w:eastAsia="仿宋_GB2312" w:cs="Calibri"/>
                <w:b/>
                <w:kern w:val="0"/>
                <w:sz w:val="20"/>
                <w:szCs w:val="20"/>
              </w:rPr>
            </w:pPr>
          </w:p>
        </w:tc>
        <w:tc>
          <w:tcPr>
            <w:tcW w:w="1063" w:type="dxa"/>
            <w:vMerge w:val="continue"/>
            <w:shd w:val="clear" w:color="auto" w:fill="auto"/>
          </w:tcPr>
          <w:p>
            <w:pPr>
              <w:widowControl/>
              <w:spacing w:after="0" w:line="0" w:lineRule="atLeast"/>
              <w:jc w:val="center"/>
              <w:rPr>
                <w:rFonts w:ascii="仿宋_GB2312" w:hAnsi="Verdana" w:eastAsia="仿宋_GB2312" w:cs="Calibri"/>
                <w:b/>
                <w:kern w:val="0"/>
                <w:sz w:val="20"/>
                <w:szCs w:val="20"/>
              </w:rPr>
            </w:pPr>
          </w:p>
        </w:tc>
        <w:tc>
          <w:tcPr>
            <w:tcW w:w="1134" w:type="dxa"/>
            <w:vMerge w:val="continue"/>
            <w:shd w:val="clear" w:color="auto" w:fill="auto"/>
            <w:vAlign w:val="center"/>
          </w:tcPr>
          <w:p>
            <w:pPr>
              <w:widowControl/>
              <w:spacing w:after="0" w:line="0" w:lineRule="atLeast"/>
              <w:jc w:val="center"/>
              <w:rPr>
                <w:rFonts w:ascii="仿宋_GB2312" w:hAnsi="Verdana" w:eastAsia="仿宋_GB2312" w:cs="Calibri"/>
                <w:b/>
                <w:kern w:val="0"/>
                <w:sz w:val="20"/>
                <w:szCs w:val="20"/>
              </w:rPr>
            </w:pPr>
          </w:p>
        </w:tc>
        <w:tc>
          <w:tcPr>
            <w:tcW w:w="921" w:type="dxa"/>
            <w:vMerge w:val="continue"/>
            <w:shd w:val="clear" w:color="auto" w:fill="auto"/>
            <w:noWrap/>
            <w:vAlign w:val="center"/>
          </w:tcPr>
          <w:p>
            <w:pPr>
              <w:widowControl/>
              <w:spacing w:after="0" w:line="0" w:lineRule="atLeast"/>
              <w:jc w:val="center"/>
              <w:rPr>
                <w:rFonts w:ascii="仿宋_GB2312" w:hAnsi="Verdana" w:eastAsia="仿宋_GB2312" w:cs="Calibri"/>
                <w:b/>
                <w:kern w:val="0"/>
                <w:sz w:val="20"/>
                <w:szCs w:val="20"/>
              </w:rPr>
            </w:pPr>
          </w:p>
        </w:tc>
        <w:tc>
          <w:tcPr>
            <w:tcW w:w="922" w:type="dxa"/>
            <w:vMerge w:val="continue"/>
            <w:shd w:val="clear" w:color="auto" w:fill="auto"/>
            <w:vAlign w:val="center"/>
          </w:tcPr>
          <w:p>
            <w:pPr>
              <w:widowControl/>
              <w:spacing w:after="0" w:line="0" w:lineRule="atLeast"/>
              <w:jc w:val="center"/>
              <w:rPr>
                <w:rFonts w:ascii="仿宋_GB2312" w:hAnsi="Verdana" w:eastAsia="仿宋_GB2312" w:cs="Calibri"/>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8" w:type="dxa"/>
            <w:shd w:val="clear" w:color="auto" w:fill="auto"/>
            <w:noWrap/>
            <w:vAlign w:val="center"/>
          </w:tcPr>
          <w:p>
            <w:pPr>
              <w:widowControl/>
              <w:spacing w:after="0" w:line="240" w:lineRule="auto"/>
              <w:jc w:val="center"/>
              <w:rPr>
                <w:rFonts w:ascii="仿宋_GB2312" w:hAnsi="Verdana" w:eastAsia="仿宋_GB2312" w:cs="Calibri"/>
                <w:kern w:val="0"/>
                <w:sz w:val="20"/>
                <w:szCs w:val="20"/>
              </w:rPr>
            </w:pPr>
            <w:r>
              <w:rPr>
                <w:rFonts w:ascii="仿宋_GB2312" w:hAnsi="Verdana" w:eastAsia="仿宋_GB2312" w:cs="Calibri"/>
                <w:kern w:val="0"/>
                <w:sz w:val="20"/>
                <w:szCs w:val="20"/>
              </w:rPr>
              <w:t>1</w:t>
            </w:r>
          </w:p>
        </w:tc>
        <w:tc>
          <w:tcPr>
            <w:tcW w:w="1871" w:type="dxa"/>
            <w:shd w:val="clear" w:color="auto" w:fill="auto"/>
            <w:noWrap/>
            <w:vAlign w:val="center"/>
          </w:tcPr>
          <w:p>
            <w:pPr>
              <w:widowControl/>
              <w:spacing w:after="0" w:line="240" w:lineRule="auto"/>
              <w:jc w:val="center"/>
              <w:rPr>
                <w:rFonts w:ascii="仿宋_GB2312" w:hAnsi="Verdana" w:eastAsia="仿宋_GB2312"/>
                <w:kern w:val="0"/>
                <w:sz w:val="20"/>
                <w:szCs w:val="20"/>
              </w:rPr>
            </w:pPr>
            <w:r>
              <w:rPr>
                <w:rFonts w:hint="eastAsia" w:ascii="仿宋_GB2312" w:hAnsi="Verdana" w:eastAsia="仿宋_GB2312"/>
                <w:kern w:val="0"/>
                <w:sz w:val="20"/>
                <w:szCs w:val="20"/>
              </w:rPr>
              <w:t>海口市江东新区园区配套基础设施配套项目（二期）</w:t>
            </w:r>
          </w:p>
        </w:tc>
        <w:tc>
          <w:tcPr>
            <w:tcW w:w="1276"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12,000</w:t>
            </w:r>
          </w:p>
        </w:tc>
        <w:tc>
          <w:tcPr>
            <w:tcW w:w="1063"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1,000</w:t>
            </w:r>
          </w:p>
        </w:tc>
        <w:tc>
          <w:tcPr>
            <w:tcW w:w="1063"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600</w:t>
            </w:r>
          </w:p>
        </w:tc>
        <w:tc>
          <w:tcPr>
            <w:tcW w:w="1063"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2,535</w:t>
            </w:r>
          </w:p>
        </w:tc>
        <w:tc>
          <w:tcPr>
            <w:tcW w:w="1063"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629</w:t>
            </w:r>
          </w:p>
        </w:tc>
        <w:tc>
          <w:tcPr>
            <w:tcW w:w="1134"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1,947</w:t>
            </w:r>
          </w:p>
        </w:tc>
        <w:tc>
          <w:tcPr>
            <w:tcW w:w="921" w:type="dxa"/>
            <w:shd w:val="clear" w:color="auto" w:fill="auto"/>
            <w:noWrap/>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1.32</w:t>
            </w:r>
          </w:p>
        </w:tc>
        <w:tc>
          <w:tcPr>
            <w:tcW w:w="922" w:type="dxa"/>
            <w:shd w:val="clear" w:color="auto" w:fill="auto"/>
            <w:vAlign w:val="center"/>
          </w:tcPr>
          <w:p>
            <w:pPr>
              <w:widowControl/>
              <w:spacing w:after="0" w:line="240" w:lineRule="auto"/>
              <w:jc w:val="right"/>
              <w:rPr>
                <w:rFonts w:ascii="仿宋_GB2312" w:hAnsi="Verdana" w:eastAsia="仿宋_GB2312"/>
                <w:kern w:val="0"/>
                <w:sz w:val="20"/>
                <w:szCs w:val="20"/>
              </w:rPr>
            </w:pPr>
            <w:r>
              <w:rPr>
                <w:rFonts w:ascii="仿宋_GB2312" w:hAnsi="Verdana" w:eastAsia="仿宋_GB2312"/>
                <w:kern w:val="0"/>
                <w:sz w:val="20"/>
                <w:szCs w:val="20"/>
              </w:rPr>
              <w:t>1.30</w:t>
            </w:r>
          </w:p>
        </w:tc>
      </w:tr>
    </w:tbl>
    <w:p>
      <w:pPr>
        <w:widowControl/>
        <w:spacing w:after="0" w:line="240" w:lineRule="auto"/>
        <w:ind w:right="-584"/>
        <w:jc w:val="right"/>
        <w:rPr>
          <w:rFonts w:hint="eastAsia" w:ascii="仿宋_GB2312" w:hAnsi="楷体" w:eastAsia="仿宋_GB2312"/>
          <w:color w:val="000000" w:themeColor="text1"/>
          <w:kern w:val="0"/>
          <w:sz w:val="20"/>
          <w:szCs w:val="20"/>
          <w14:textFill>
            <w14:solidFill>
              <w14:schemeClr w14:val="tx1"/>
            </w14:solidFill>
          </w14:textFill>
        </w:rPr>
      </w:pPr>
    </w:p>
    <w:p>
      <w:pPr>
        <w:widowControl/>
        <w:spacing w:before="120" w:after="120"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对此，我们从投资估算、债券发行和还本付息、发债项目盈利能力、偿债能力和可持续性等方面分析如下：</w:t>
      </w:r>
    </w:p>
    <w:p>
      <w:pPr>
        <w:widowControl/>
        <w:spacing w:before="120" w:after="120"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pPr>
      <w:r>
        <w:rPr>
          <w:rFonts w:hint="eastAsia" w:ascii="仿宋_GB2312" w:hAnsi="楷体" w:eastAsia="仿宋_GB2312" w:cs="楷体"/>
          <w:color w:val="000000" w:themeColor="text1"/>
          <w:kern w:val="0"/>
          <w:sz w:val="28"/>
          <w:szCs w:val="28"/>
          <w:lang w:val="en-GB"/>
          <w14:textFill>
            <w14:solidFill>
              <w14:schemeClr w14:val="tx1"/>
            </w14:solidFill>
          </w14:textFill>
        </w:rPr>
        <w:t>2024年已发行债券利率参考《2024年海南省政府专项债券（八期）发行结果公告》，按2.41%进行测算；本次计划调增10年期债券利率暂按1.76%进行测算，发行费率暂取0.10%。据此估算本项目总投资为23,380万元。详见表3：</w:t>
      </w:r>
    </w:p>
    <w:p>
      <w:pPr>
        <w:widowControl/>
        <w:spacing w:line="256" w:lineRule="auto"/>
        <w:jc w:val="center"/>
        <w:rPr>
          <w:rFonts w:hint="eastAsia" w:ascii="黑体" w:hAnsi="黑体" w:eastAsia="黑体"/>
          <w:bCs/>
          <w:color w:val="000000" w:themeColor="text1"/>
          <w:kern w:val="0"/>
          <w:sz w:val="24"/>
          <w:szCs w:val="24"/>
          <w14:textFill>
            <w14:solidFill>
              <w14:schemeClr w14:val="tx1"/>
            </w14:solidFill>
          </w14:textFill>
        </w:rPr>
      </w:pPr>
      <w:r>
        <w:rPr>
          <w:rFonts w:ascii="黑体" w:hAnsi="黑体" w:eastAsia="黑体"/>
          <w:bCs/>
          <w:color w:val="000000" w:themeColor="text1"/>
          <w:kern w:val="0"/>
          <w:sz w:val="24"/>
          <w:szCs w:val="24"/>
          <w14:textFill>
            <w14:solidFill>
              <w14:schemeClr w14:val="tx1"/>
            </w14:solidFill>
          </w14:textFill>
        </w:rPr>
        <w:t>表3</w:t>
      </w:r>
      <w:r>
        <w:rPr>
          <w:rFonts w:hint="eastAsia" w:ascii="黑体" w:hAnsi="黑体" w:eastAsia="黑体"/>
          <w:bCs/>
          <w:color w:val="000000" w:themeColor="text1"/>
          <w:kern w:val="0"/>
          <w:sz w:val="24"/>
          <w:szCs w:val="24"/>
          <w14:textFill>
            <w14:solidFill>
              <w14:schemeClr w14:val="tx1"/>
            </w14:solidFill>
          </w14:textFill>
        </w:rPr>
        <w:t xml:space="preserve"> </w:t>
      </w:r>
      <w:r>
        <w:rPr>
          <w:rFonts w:ascii="黑体" w:hAnsi="黑体" w:eastAsia="黑体"/>
          <w:bCs/>
          <w:color w:val="000000" w:themeColor="text1"/>
          <w:kern w:val="0"/>
          <w:sz w:val="24"/>
          <w:szCs w:val="24"/>
          <w14:textFill>
            <w14:solidFill>
              <w14:schemeClr w14:val="tx1"/>
            </w14:solidFill>
          </w14:textFill>
        </w:rPr>
        <w:t>项目总投资估算表</w:t>
      </w:r>
    </w:p>
    <w:p>
      <w:pPr>
        <w:widowControl/>
        <w:spacing w:after="0" w:line="240" w:lineRule="auto"/>
        <w:ind w:right="-7"/>
        <w:jc w:val="right"/>
        <w:rPr>
          <w:rFonts w:hint="eastAsia" w:ascii="仿宋_GB2312" w:hAnsi="楷体" w:eastAsia="仿宋_GB2312"/>
          <w:color w:val="000000" w:themeColor="text1"/>
          <w:kern w:val="0"/>
          <w:sz w:val="20"/>
          <w:szCs w:val="20"/>
          <w14:textFill>
            <w14:solidFill>
              <w14:schemeClr w14:val="tx1"/>
            </w14:solidFill>
          </w14:textFill>
        </w:rPr>
      </w:pPr>
      <w:r>
        <w:rPr>
          <w:rFonts w:hint="eastAsia" w:ascii="仿宋_GB2312" w:hAnsi="楷体" w:eastAsia="仿宋_GB2312"/>
          <w:color w:val="000000" w:themeColor="text1"/>
          <w:kern w:val="0"/>
          <w:sz w:val="20"/>
          <w:szCs w:val="20"/>
          <w14:textFill>
            <w14:solidFill>
              <w14:schemeClr w14:val="tx1"/>
            </w14:solidFill>
          </w14:textFill>
        </w:rPr>
        <w:t>单位：人民币万元</w:t>
      </w:r>
    </w:p>
    <w:tbl>
      <w:tblPr>
        <w:tblStyle w:val="4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4188"/>
        <w:gridCol w:w="3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64" w:type="pct"/>
            <w:shd w:val="clear" w:color="auto" w:fill="auto"/>
            <w:noWrap/>
            <w:vAlign w:val="center"/>
          </w:tcPr>
          <w:p>
            <w:pPr>
              <w:widowControl/>
              <w:spacing w:after="0" w:line="240" w:lineRule="auto"/>
              <w:jc w:val="center"/>
              <w:rPr>
                <w:rFonts w:ascii="仿宋_GB2312" w:hAnsi="Verdana" w:eastAsia="仿宋_GB2312" w:cs="微软雅黑"/>
                <w:b/>
                <w:kern w:val="0"/>
                <w:sz w:val="20"/>
                <w:szCs w:val="20"/>
              </w:rPr>
            </w:pPr>
            <w:r>
              <w:rPr>
                <w:rFonts w:hint="eastAsia" w:ascii="仿宋_GB2312" w:hAnsi="Verdana" w:eastAsia="仿宋_GB2312" w:cs="微软雅黑"/>
                <w:b/>
                <w:kern w:val="0"/>
                <w:sz w:val="20"/>
                <w:szCs w:val="20"/>
              </w:rPr>
              <w:t>序号</w:t>
            </w:r>
          </w:p>
        </w:tc>
        <w:tc>
          <w:tcPr>
            <w:tcW w:w="2457" w:type="pct"/>
            <w:shd w:val="clear" w:color="auto" w:fill="auto"/>
            <w:vAlign w:val="center"/>
          </w:tcPr>
          <w:p>
            <w:pPr>
              <w:widowControl/>
              <w:spacing w:after="0" w:line="240" w:lineRule="auto"/>
              <w:jc w:val="center"/>
              <w:rPr>
                <w:rFonts w:ascii="仿宋_GB2312" w:hAnsi="Verdana" w:eastAsia="仿宋_GB2312" w:cs="微软雅黑"/>
                <w:b/>
                <w:kern w:val="0"/>
                <w:sz w:val="20"/>
                <w:szCs w:val="20"/>
              </w:rPr>
            </w:pPr>
            <w:r>
              <w:rPr>
                <w:rFonts w:hint="eastAsia" w:ascii="仿宋_GB2312" w:hAnsi="Verdana" w:eastAsia="仿宋_GB2312" w:cs="微软雅黑"/>
                <w:b/>
                <w:kern w:val="0"/>
                <w:sz w:val="20"/>
                <w:szCs w:val="20"/>
              </w:rPr>
              <w:t>项目名称</w:t>
            </w:r>
          </w:p>
        </w:tc>
        <w:tc>
          <w:tcPr>
            <w:tcW w:w="1779" w:type="pct"/>
            <w:shd w:val="clear" w:color="auto" w:fill="auto"/>
            <w:vAlign w:val="center"/>
          </w:tcPr>
          <w:p>
            <w:pPr>
              <w:widowControl/>
              <w:spacing w:after="0" w:line="240" w:lineRule="auto"/>
              <w:jc w:val="center"/>
              <w:rPr>
                <w:rFonts w:ascii="仿宋_GB2312" w:hAnsi="Verdana" w:eastAsia="仿宋_GB2312"/>
                <w:b/>
                <w:kern w:val="0"/>
                <w:sz w:val="20"/>
                <w:szCs w:val="20"/>
                <w:shd w:val="clear" w:color="auto" w:fill="FFFFFF"/>
              </w:rPr>
            </w:pPr>
            <w:r>
              <w:rPr>
                <w:rFonts w:hint="eastAsia" w:ascii="仿宋_GB2312" w:hAnsi="Verdana" w:eastAsia="仿宋_GB2312"/>
                <w:b/>
                <w:kern w:val="0"/>
                <w:sz w:val="20"/>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4" w:type="pct"/>
            <w:shd w:val="clear" w:color="auto" w:fill="auto"/>
            <w:noWrap/>
            <w:vAlign w:val="center"/>
          </w:tcPr>
          <w:p>
            <w:pPr>
              <w:widowControl/>
              <w:spacing w:after="0" w:line="240" w:lineRule="auto"/>
              <w:jc w:val="center"/>
              <w:rPr>
                <w:rFonts w:ascii="仿宋_GB2312" w:hAnsi="Verdana" w:eastAsia="仿宋_GB2312"/>
                <w:b/>
                <w:bCs/>
                <w:kern w:val="0"/>
                <w:sz w:val="20"/>
                <w:szCs w:val="20"/>
              </w:rPr>
            </w:pPr>
            <w:r>
              <w:rPr>
                <w:rFonts w:ascii="仿宋_GB2312" w:hAnsi="Verdana" w:eastAsia="仿宋_GB2312"/>
                <w:kern w:val="0"/>
                <w:sz w:val="20"/>
                <w:szCs w:val="20"/>
              </w:rPr>
              <w:t>1.1</w:t>
            </w:r>
          </w:p>
        </w:tc>
        <w:tc>
          <w:tcPr>
            <w:tcW w:w="2457" w:type="pct"/>
            <w:shd w:val="clear" w:color="auto" w:fill="auto"/>
            <w:vAlign w:val="center"/>
          </w:tcPr>
          <w:p>
            <w:pPr>
              <w:widowControl/>
              <w:spacing w:after="0" w:line="240" w:lineRule="auto"/>
              <w:jc w:val="left"/>
              <w:rPr>
                <w:rFonts w:ascii="仿宋_GB2312" w:hAnsi="Verdana" w:eastAsia="仿宋_GB2312"/>
                <w:bCs/>
                <w:kern w:val="0"/>
                <w:sz w:val="20"/>
                <w:szCs w:val="20"/>
              </w:rPr>
            </w:pPr>
            <w:r>
              <w:rPr>
                <w:rFonts w:hint="eastAsia" w:ascii="仿宋_GB2312" w:hAnsi="Verdana" w:eastAsia="仿宋_GB2312"/>
                <w:bCs/>
                <w:kern w:val="0"/>
                <w:sz w:val="20"/>
                <w:szCs w:val="20"/>
              </w:rPr>
              <w:t>建设投资</w:t>
            </w:r>
          </w:p>
        </w:tc>
        <w:tc>
          <w:tcPr>
            <w:tcW w:w="1779" w:type="pct"/>
            <w:shd w:val="clear" w:color="auto" w:fill="auto"/>
            <w:noWrap/>
            <w:vAlign w:val="center"/>
          </w:tcPr>
          <w:p>
            <w:pPr>
              <w:widowControl/>
              <w:spacing w:after="0" w:line="240" w:lineRule="auto"/>
              <w:jc w:val="right"/>
              <w:rPr>
                <w:rFonts w:ascii="仿宋_GB2312" w:hAnsi="Verdana" w:eastAsia="仿宋_GB2312" w:cs="Calibri"/>
                <w:kern w:val="0"/>
                <w:sz w:val="20"/>
                <w:szCs w:val="20"/>
              </w:rPr>
            </w:pPr>
            <w:r>
              <w:rPr>
                <w:rFonts w:ascii="仿宋_GB2312" w:hAnsi="Verdana" w:eastAsia="仿宋_GB2312" w:cs="Calibri"/>
                <w:kern w:val="0"/>
                <w:sz w:val="20"/>
                <w:szCs w:val="20"/>
              </w:rPr>
              <w:t>11,957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4" w:type="pct"/>
            <w:shd w:val="clear" w:color="auto" w:fill="auto"/>
            <w:noWrap/>
            <w:vAlign w:val="center"/>
          </w:tcPr>
          <w:p>
            <w:pPr>
              <w:widowControl/>
              <w:spacing w:after="0" w:line="240" w:lineRule="auto"/>
              <w:jc w:val="center"/>
              <w:rPr>
                <w:rFonts w:ascii="仿宋_GB2312" w:hAnsi="Verdana" w:eastAsia="仿宋_GB2312"/>
                <w:kern w:val="0"/>
                <w:sz w:val="20"/>
                <w:szCs w:val="20"/>
              </w:rPr>
            </w:pPr>
            <w:r>
              <w:rPr>
                <w:rFonts w:ascii="仿宋_GB2312" w:hAnsi="Verdana" w:eastAsia="仿宋_GB2312"/>
                <w:kern w:val="0"/>
                <w:sz w:val="20"/>
                <w:szCs w:val="20"/>
              </w:rPr>
              <w:t>1.2</w:t>
            </w:r>
          </w:p>
        </w:tc>
        <w:tc>
          <w:tcPr>
            <w:tcW w:w="2457" w:type="pct"/>
            <w:shd w:val="clear" w:color="auto" w:fill="auto"/>
            <w:vAlign w:val="center"/>
          </w:tcPr>
          <w:p>
            <w:pPr>
              <w:widowControl/>
              <w:spacing w:after="0" w:line="240" w:lineRule="auto"/>
              <w:jc w:val="left"/>
              <w:rPr>
                <w:rFonts w:ascii="仿宋_GB2312" w:hAnsi="Verdana" w:eastAsia="仿宋_GB2312"/>
                <w:kern w:val="0"/>
                <w:sz w:val="20"/>
                <w:szCs w:val="20"/>
              </w:rPr>
            </w:pPr>
            <w:r>
              <w:rPr>
                <w:rFonts w:hint="eastAsia" w:ascii="仿宋_GB2312" w:hAnsi="Verdana" w:eastAsia="仿宋_GB2312" w:cs="Calibri"/>
                <w:kern w:val="0"/>
                <w:sz w:val="20"/>
                <w:szCs w:val="20"/>
              </w:rPr>
              <w:t>建设期利息</w:t>
            </w:r>
          </w:p>
        </w:tc>
        <w:tc>
          <w:tcPr>
            <w:tcW w:w="1779" w:type="pct"/>
            <w:shd w:val="clear" w:color="auto" w:fill="auto"/>
            <w:noWrap/>
            <w:vAlign w:val="center"/>
          </w:tcPr>
          <w:p>
            <w:pPr>
              <w:widowControl/>
              <w:spacing w:after="0" w:line="240" w:lineRule="auto"/>
              <w:jc w:val="right"/>
              <w:rPr>
                <w:rFonts w:ascii="仿宋_GB2312" w:hAnsi="Verdana" w:eastAsia="仿宋_GB2312" w:cs="Calibri"/>
                <w:kern w:val="0"/>
                <w:sz w:val="20"/>
                <w:szCs w:val="20"/>
              </w:rPr>
            </w:pPr>
            <w:r>
              <w:rPr>
                <w:rFonts w:ascii="仿宋_GB2312" w:hAnsi="Verdana" w:eastAsia="仿宋_GB2312" w:cs="Calibri"/>
                <w:kern w:val="0"/>
                <w:sz w:val="20"/>
                <w:szCs w:val="20"/>
              </w:rPr>
              <w:t xml:space="preserv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4" w:type="pct"/>
            <w:shd w:val="clear" w:color="auto" w:fill="auto"/>
            <w:noWrap/>
            <w:vAlign w:val="center"/>
          </w:tcPr>
          <w:p>
            <w:pPr>
              <w:widowControl/>
              <w:spacing w:after="0" w:line="240" w:lineRule="auto"/>
              <w:jc w:val="center"/>
              <w:rPr>
                <w:rFonts w:ascii="仿宋_GB2312" w:hAnsi="Verdana" w:eastAsia="仿宋_GB2312"/>
                <w:kern w:val="0"/>
                <w:sz w:val="20"/>
                <w:szCs w:val="20"/>
              </w:rPr>
            </w:pPr>
            <w:r>
              <w:rPr>
                <w:rFonts w:ascii="仿宋_GB2312" w:hAnsi="Verdana" w:eastAsia="仿宋_GB2312"/>
                <w:kern w:val="0"/>
                <w:sz w:val="20"/>
                <w:szCs w:val="20"/>
              </w:rPr>
              <w:t>1.3</w:t>
            </w:r>
          </w:p>
        </w:tc>
        <w:tc>
          <w:tcPr>
            <w:tcW w:w="2457" w:type="pct"/>
            <w:shd w:val="clear" w:color="auto" w:fill="auto"/>
            <w:vAlign w:val="center"/>
          </w:tcPr>
          <w:p>
            <w:pPr>
              <w:widowControl/>
              <w:spacing w:after="0" w:line="240" w:lineRule="auto"/>
              <w:ind w:right="518"/>
              <w:jc w:val="left"/>
              <w:rPr>
                <w:rFonts w:ascii="仿宋_GB2312" w:hAnsi="Verdana" w:eastAsia="仿宋_GB2312"/>
                <w:kern w:val="0"/>
                <w:sz w:val="20"/>
                <w:szCs w:val="20"/>
              </w:rPr>
            </w:pPr>
            <w:r>
              <w:rPr>
                <w:rFonts w:hint="eastAsia" w:ascii="仿宋_GB2312" w:hAnsi="Verdana" w:eastAsia="仿宋_GB2312" w:cs="Calibri"/>
                <w:kern w:val="0"/>
                <w:sz w:val="20"/>
                <w:szCs w:val="20"/>
              </w:rPr>
              <w:t>债券发行费用</w:t>
            </w:r>
          </w:p>
        </w:tc>
        <w:tc>
          <w:tcPr>
            <w:tcW w:w="1779" w:type="pct"/>
            <w:shd w:val="clear" w:color="auto" w:fill="auto"/>
            <w:noWrap/>
            <w:vAlign w:val="center"/>
          </w:tcPr>
          <w:p>
            <w:pPr>
              <w:widowControl/>
              <w:spacing w:after="0" w:line="240" w:lineRule="auto"/>
              <w:jc w:val="right"/>
              <w:rPr>
                <w:rFonts w:ascii="仿宋_GB2312" w:hAnsi="Verdana" w:eastAsia="仿宋_GB2312" w:cs="Calibri"/>
                <w:kern w:val="0"/>
                <w:sz w:val="20"/>
                <w:szCs w:val="20"/>
              </w:rPr>
            </w:pPr>
            <w:r>
              <w:rPr>
                <w:rFonts w:ascii="仿宋_GB2312" w:hAnsi="Verdana" w:eastAsia="仿宋_GB2312" w:cs="Calibri"/>
                <w:kern w:val="0"/>
                <w:sz w:val="20"/>
                <w:szCs w:val="20"/>
              </w:rPr>
              <w:t xml:space="preserv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4" w:type="pct"/>
            <w:shd w:val="clear" w:color="auto" w:fill="auto"/>
            <w:noWrap/>
            <w:vAlign w:val="center"/>
          </w:tcPr>
          <w:p>
            <w:pPr>
              <w:widowControl/>
              <w:spacing w:after="0" w:line="240" w:lineRule="auto"/>
              <w:jc w:val="center"/>
              <w:rPr>
                <w:rFonts w:ascii="仿宋_GB2312" w:hAnsi="Verdana" w:eastAsia="仿宋_GB2312"/>
                <w:kern w:val="0"/>
                <w:sz w:val="20"/>
                <w:szCs w:val="20"/>
              </w:rPr>
            </w:pPr>
          </w:p>
        </w:tc>
        <w:tc>
          <w:tcPr>
            <w:tcW w:w="2457" w:type="pct"/>
            <w:shd w:val="clear" w:color="auto" w:fill="auto"/>
            <w:vAlign w:val="center"/>
          </w:tcPr>
          <w:p>
            <w:pPr>
              <w:widowControl/>
              <w:spacing w:after="0" w:line="240" w:lineRule="auto"/>
              <w:jc w:val="left"/>
              <w:rPr>
                <w:rFonts w:ascii="仿宋_GB2312" w:hAnsi="Verdana" w:eastAsia="仿宋_GB2312"/>
                <w:b/>
                <w:kern w:val="0"/>
                <w:sz w:val="20"/>
                <w:szCs w:val="20"/>
              </w:rPr>
            </w:pPr>
            <w:r>
              <w:rPr>
                <w:rFonts w:hint="eastAsia" w:ascii="仿宋_GB2312" w:hAnsi="Verdana" w:eastAsia="仿宋_GB2312" w:cs="Calibri"/>
                <w:b/>
                <w:bCs/>
                <w:kern w:val="0"/>
                <w:sz w:val="20"/>
                <w:szCs w:val="20"/>
              </w:rPr>
              <w:t>估算总额</w:t>
            </w:r>
          </w:p>
        </w:tc>
        <w:tc>
          <w:tcPr>
            <w:tcW w:w="1779" w:type="pct"/>
            <w:shd w:val="clear" w:color="auto" w:fill="auto"/>
            <w:noWrap/>
            <w:vAlign w:val="center"/>
          </w:tcPr>
          <w:p>
            <w:pPr>
              <w:widowControl/>
              <w:spacing w:after="0" w:line="240" w:lineRule="auto"/>
              <w:jc w:val="right"/>
              <w:rPr>
                <w:rFonts w:ascii="仿宋_GB2312" w:hAnsi="Verdana" w:eastAsia="仿宋_GB2312" w:cs="Calibri"/>
                <w:b/>
                <w:bCs/>
                <w:kern w:val="0"/>
                <w:sz w:val="20"/>
                <w:szCs w:val="20"/>
              </w:rPr>
            </w:pPr>
            <w:r>
              <w:rPr>
                <w:rFonts w:ascii="仿宋_GB2312" w:hAnsi="Verdana" w:eastAsia="仿宋_GB2312" w:cs="Calibri"/>
                <w:b/>
                <w:bCs/>
                <w:kern w:val="0"/>
                <w:sz w:val="20"/>
                <w:szCs w:val="20"/>
              </w:rPr>
              <w:t xml:space="preserve">12,000          </w:t>
            </w:r>
          </w:p>
        </w:tc>
      </w:tr>
    </w:tbl>
    <w:p>
      <w:pPr>
        <w:widowControl/>
        <w:spacing w:after="0" w:line="240" w:lineRule="auto"/>
        <w:ind w:right="-7"/>
        <w:jc w:val="right"/>
        <w:rPr>
          <w:rFonts w:hint="eastAsia" w:ascii="仿宋_GB2312" w:hAnsi="楷体" w:eastAsia="仿宋_GB2312"/>
          <w:color w:val="000000" w:themeColor="text1"/>
          <w:kern w:val="0"/>
          <w:sz w:val="20"/>
          <w:szCs w:val="20"/>
          <w14:textFill>
            <w14:solidFill>
              <w14:schemeClr w14:val="tx1"/>
            </w14:solidFill>
          </w14:textFill>
        </w:rPr>
      </w:pPr>
    </w:p>
    <w:p>
      <w:pPr>
        <w:widowControl/>
        <w:spacing w:after="0" w:line="240" w:lineRule="auto"/>
        <w:jc w:val="left"/>
        <w:rPr>
          <w:rFonts w:hint="eastAsia" w:ascii="楷体" w:hAnsi="楷体" w:eastAsia="楷体"/>
          <w:color w:val="000000" w:themeColor="text1"/>
          <w:kern w:val="0"/>
          <w:sz w:val="20"/>
          <w:szCs w:val="20"/>
          <w14:textFill>
            <w14:solidFill>
              <w14:schemeClr w14:val="tx1"/>
            </w14:solidFill>
          </w14:textFill>
        </w:rPr>
      </w:pP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2、债券发行和还本付息</w:t>
      </w:r>
    </w:p>
    <w:p>
      <w:pPr>
        <w:widowControl/>
        <w:spacing w:before="120" w:after="120" w:line="360" w:lineRule="auto"/>
        <w:ind w:firstLine="560"/>
        <w:rPr>
          <w:rFonts w:hint="eastAsia" w:ascii="仿宋_GB2312" w:hAnsi="楷体" w:eastAsia="仿宋_GB2312" w:cs="楷体"/>
          <w:color w:val="000000" w:themeColor="text1"/>
          <w:kern w:val="0"/>
          <w:sz w:val="28"/>
          <w:szCs w:val="28"/>
          <w:lang w:val="en-GB"/>
          <w14:textFill>
            <w14:solidFill>
              <w14:schemeClr w14:val="tx1"/>
            </w14:solidFill>
          </w14:textFill>
        </w:rPr>
        <w:sectPr>
          <w:footerReference r:id="rId6" w:type="default"/>
          <w:pgSz w:w="11906" w:h="16838"/>
          <w:pgMar w:top="1440" w:right="1800" w:bottom="1440" w:left="1800" w:header="720" w:footer="720" w:gutter="0"/>
          <w:pgNumType w:start="1"/>
          <w:cols w:space="720" w:num="1"/>
        </w:sectPr>
      </w:pPr>
      <w:r>
        <w:rPr>
          <w:rFonts w:hint="eastAsia" w:ascii="仿宋_GB2312" w:hAnsi="楷体" w:eastAsia="仿宋_GB2312" w:cs="楷体"/>
          <w:color w:val="000000" w:themeColor="text1"/>
          <w:kern w:val="0"/>
          <w:sz w:val="28"/>
          <w:szCs w:val="28"/>
          <w:lang w:val="en-GB"/>
          <w14:textFill>
            <w14:solidFill>
              <w14:schemeClr w14:val="tx1"/>
            </w14:solidFill>
          </w14:textFill>
        </w:rPr>
        <w:t>本项目的还本付息方式为利息按半年支付，最后一次利息随本金一起支付，本项目债券本息合计</w:t>
      </w:r>
      <w:r>
        <w:rPr>
          <w:rFonts w:ascii="仿宋_GB2312" w:hAnsi="楷体" w:eastAsia="仿宋_GB2312" w:cs="楷体"/>
          <w:color w:val="000000" w:themeColor="text1"/>
          <w:kern w:val="0"/>
          <w:sz w:val="28"/>
          <w:szCs w:val="28"/>
          <w:lang w:val="en-GB"/>
          <w14:textFill>
            <w14:solidFill>
              <w14:schemeClr w14:val="tx1"/>
            </w14:solidFill>
          </w14:textFill>
        </w:rPr>
        <w:t>1,947</w:t>
      </w:r>
      <w:r>
        <w:rPr>
          <w:rFonts w:hint="eastAsia" w:ascii="仿宋_GB2312" w:hAnsi="楷体" w:eastAsia="仿宋_GB2312" w:cs="楷体"/>
          <w:color w:val="000000" w:themeColor="text1"/>
          <w:kern w:val="0"/>
          <w:sz w:val="28"/>
          <w:szCs w:val="28"/>
          <w:lang w:val="en-GB"/>
          <w14:textFill>
            <w14:solidFill>
              <w14:schemeClr w14:val="tx1"/>
            </w14:solidFill>
          </w14:textFill>
        </w:rPr>
        <w:t>万元，自发行之日起债券存续期还本付息情况如表4：</w:t>
      </w:r>
    </w:p>
    <w:p>
      <w:pPr>
        <w:spacing w:before="120" w:after="120"/>
        <w:jc w:val="center"/>
        <w:rPr>
          <w:rFonts w:hint="eastAsia" w:ascii="黑体" w:hAnsi="黑体" w:eastAsia="黑体"/>
          <w:bCs/>
          <w:sz w:val="24"/>
          <w:szCs w:val="24"/>
        </w:rPr>
      </w:pPr>
      <w:bookmarkStart w:id="16" w:name="_Hlk135239666"/>
      <w:r>
        <w:rPr>
          <w:rFonts w:hint="eastAsia" w:ascii="黑体" w:hAnsi="黑体" w:eastAsia="黑体"/>
          <w:bCs/>
          <w:kern w:val="0"/>
          <w:sz w:val="24"/>
          <w:szCs w:val="24"/>
        </w:rPr>
        <w:t>表</w:t>
      </w:r>
      <w:r>
        <w:rPr>
          <w:rFonts w:ascii="黑体" w:hAnsi="黑体" w:eastAsia="黑体"/>
          <w:bCs/>
          <w:kern w:val="0"/>
          <w:sz w:val="24"/>
          <w:szCs w:val="24"/>
        </w:rPr>
        <w:t>4</w:t>
      </w:r>
      <w:r>
        <w:rPr>
          <w:rFonts w:hint="eastAsia" w:ascii="黑体" w:hAnsi="黑体" w:eastAsia="黑体"/>
          <w:bCs/>
          <w:kern w:val="0"/>
          <w:sz w:val="24"/>
          <w:szCs w:val="24"/>
        </w:rPr>
        <w:t xml:space="preserve"> 海口市江东新区园区配套基础设施配套项目（二期）债券还本付息表</w:t>
      </w:r>
    </w:p>
    <w:p>
      <w:pPr>
        <w:ind w:right="105"/>
        <w:jc w:val="right"/>
        <w:rPr>
          <w:rFonts w:hint="eastAsia" w:ascii="楷体" w:hAnsi="楷体" w:eastAsia="楷体"/>
          <w:szCs w:val="20"/>
        </w:rPr>
      </w:pPr>
      <w:r>
        <w:rPr>
          <w:rFonts w:ascii="楷体" w:hAnsi="楷体" w:eastAsia="楷体"/>
          <w:szCs w:val="20"/>
        </w:rPr>
        <w:t>单位：人民币万元</w:t>
      </w:r>
    </w:p>
    <w:tbl>
      <w:tblPr>
        <w:tblStyle w:val="15"/>
        <w:tblW w:w="5000" w:type="pct"/>
        <w:tblInd w:w="0" w:type="dxa"/>
        <w:tblLayout w:type="autofit"/>
        <w:tblCellMar>
          <w:top w:w="0" w:type="dxa"/>
          <w:left w:w="108" w:type="dxa"/>
          <w:bottom w:w="0" w:type="dxa"/>
          <w:right w:w="108" w:type="dxa"/>
        </w:tblCellMar>
      </w:tblPr>
      <w:tblGrid>
        <w:gridCol w:w="2241"/>
        <w:gridCol w:w="1752"/>
        <w:gridCol w:w="1752"/>
        <w:gridCol w:w="1752"/>
        <w:gridCol w:w="1752"/>
        <w:gridCol w:w="1752"/>
        <w:gridCol w:w="1752"/>
        <w:gridCol w:w="1749"/>
      </w:tblGrid>
      <w:tr>
        <w:tblPrEx>
          <w:tblCellMar>
            <w:top w:w="0" w:type="dxa"/>
            <w:left w:w="108" w:type="dxa"/>
            <w:bottom w:w="0" w:type="dxa"/>
            <w:right w:w="108" w:type="dxa"/>
          </w:tblCellMar>
        </w:tblPrEx>
        <w:trPr>
          <w:trHeight w:val="312" w:hRule="atLeast"/>
        </w:trPr>
        <w:tc>
          <w:tcPr>
            <w:tcW w:w="77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年份</w:t>
            </w:r>
            <w:r>
              <w:rPr>
                <w:rFonts w:ascii="仿宋_GB2312" w:hAnsi="Verdana" w:eastAsia="仿宋_GB2312" w:cs="宋体"/>
                <w:b/>
                <w:bCs/>
                <w:kern w:val="0"/>
                <w:sz w:val="20"/>
                <w:szCs w:val="20"/>
              </w:rPr>
              <w:t>/</w:t>
            </w:r>
            <w:r>
              <w:rPr>
                <w:rFonts w:hint="eastAsia" w:ascii="仿宋_GB2312" w:hAnsi="Verdana" w:eastAsia="仿宋_GB2312" w:cs="宋体"/>
                <w:b/>
                <w:bCs/>
                <w:kern w:val="0"/>
                <w:sz w:val="20"/>
                <w:szCs w:val="20"/>
              </w:rPr>
              <w:t>项目</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2024</w:t>
            </w:r>
            <w:r>
              <w:rPr>
                <w:rFonts w:hint="eastAsia" w:ascii="仿宋_GB2312" w:hAnsi="Verdana" w:eastAsia="仿宋_GB2312" w:cs="宋体"/>
                <w:b/>
                <w:bCs/>
                <w:kern w:val="0"/>
                <w:sz w:val="20"/>
                <w:szCs w:val="20"/>
              </w:rPr>
              <w:t>年</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2025</w:t>
            </w:r>
            <w:r>
              <w:rPr>
                <w:rFonts w:hint="eastAsia" w:ascii="仿宋_GB2312" w:hAnsi="Verdana" w:eastAsia="仿宋_GB2312" w:cs="宋体"/>
                <w:b/>
                <w:bCs/>
                <w:kern w:val="0"/>
                <w:sz w:val="20"/>
                <w:szCs w:val="20"/>
              </w:rPr>
              <w:t>年</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2026</w:t>
            </w:r>
            <w:r>
              <w:rPr>
                <w:rFonts w:hint="eastAsia" w:ascii="仿宋_GB2312" w:hAnsi="Verdana" w:eastAsia="仿宋_GB2312" w:cs="宋体"/>
                <w:b/>
                <w:bCs/>
                <w:kern w:val="0"/>
                <w:sz w:val="20"/>
                <w:szCs w:val="20"/>
              </w:rPr>
              <w:t>年</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2027</w:t>
            </w:r>
            <w:r>
              <w:rPr>
                <w:rFonts w:hint="eastAsia" w:ascii="仿宋_GB2312" w:hAnsi="Verdana" w:eastAsia="仿宋_GB2312" w:cs="宋体"/>
                <w:b/>
                <w:bCs/>
                <w:kern w:val="0"/>
                <w:sz w:val="20"/>
                <w:szCs w:val="20"/>
              </w:rPr>
              <w:t>年</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2028</w:t>
            </w:r>
            <w:r>
              <w:rPr>
                <w:rFonts w:hint="eastAsia" w:ascii="仿宋_GB2312" w:hAnsi="Verdana" w:eastAsia="仿宋_GB2312" w:cs="宋体"/>
                <w:b/>
                <w:bCs/>
                <w:kern w:val="0"/>
                <w:sz w:val="20"/>
                <w:szCs w:val="20"/>
              </w:rPr>
              <w:t>年</w:t>
            </w:r>
          </w:p>
        </w:tc>
        <w:tc>
          <w:tcPr>
            <w:tcW w:w="60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2029</w:t>
            </w:r>
            <w:r>
              <w:rPr>
                <w:rFonts w:hint="eastAsia" w:ascii="仿宋_GB2312" w:hAnsi="Verdana" w:eastAsia="仿宋_GB2312" w:cs="宋体"/>
                <w:b/>
                <w:bCs/>
                <w:kern w:val="0"/>
                <w:sz w:val="20"/>
                <w:szCs w:val="20"/>
              </w:rPr>
              <w:t>年</w:t>
            </w:r>
          </w:p>
        </w:tc>
        <w:tc>
          <w:tcPr>
            <w:tcW w:w="603"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2030</w:t>
            </w:r>
            <w:r>
              <w:rPr>
                <w:rFonts w:hint="eastAsia" w:ascii="仿宋_GB2312" w:hAnsi="Verdana" w:eastAsia="仿宋_GB2312" w:cs="宋体"/>
                <w:b/>
                <w:bCs/>
                <w:kern w:val="0"/>
                <w:sz w:val="20"/>
                <w:szCs w:val="20"/>
              </w:rPr>
              <w:t>年</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期初专项债券余额</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1,000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本期专项债券发行</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1,000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利息支出</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29</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本期还款</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29</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其中：还本</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付息</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29</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35</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r>
      <w:tr>
        <w:tblPrEx>
          <w:tblCellMar>
            <w:top w:w="0" w:type="dxa"/>
            <w:left w:w="108" w:type="dxa"/>
            <w:bottom w:w="0" w:type="dxa"/>
            <w:right w:w="108" w:type="dxa"/>
          </w:tblCellMar>
        </w:tblPrEx>
        <w:trPr>
          <w:trHeight w:val="312" w:hRule="atLeast"/>
        </w:trPr>
        <w:tc>
          <w:tcPr>
            <w:tcW w:w="773"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期末专项债券余额</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1,000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1,600</w:t>
            </w:r>
          </w:p>
        </w:tc>
        <w:tc>
          <w:tcPr>
            <w:tcW w:w="60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r>
    </w:tbl>
    <w:p>
      <w:pPr>
        <w:widowControl/>
        <w:spacing w:after="0" w:line="240" w:lineRule="auto"/>
        <w:ind w:right="105"/>
        <w:jc w:val="right"/>
        <w:rPr>
          <w:rFonts w:hint="eastAsia" w:ascii="楷体" w:hAnsi="楷体" w:eastAsia="楷体"/>
          <w:kern w:val="0"/>
          <w:sz w:val="20"/>
          <w:szCs w:val="20"/>
        </w:rPr>
      </w:pPr>
    </w:p>
    <w:p>
      <w:pPr>
        <w:widowControl/>
        <w:spacing w:after="0" w:line="240" w:lineRule="auto"/>
        <w:ind w:right="105"/>
        <w:jc w:val="right"/>
        <w:rPr>
          <w:rFonts w:hint="eastAsia" w:ascii="楷体" w:hAnsi="楷体" w:eastAsia="楷体"/>
          <w:kern w:val="0"/>
          <w:sz w:val="20"/>
          <w:szCs w:val="20"/>
        </w:rPr>
      </w:pPr>
    </w:p>
    <w:p>
      <w:pPr>
        <w:widowControl/>
        <w:spacing w:after="0" w:line="240" w:lineRule="auto"/>
        <w:ind w:right="105"/>
        <w:jc w:val="right"/>
        <w:rPr>
          <w:rFonts w:hint="eastAsia" w:ascii="楷体" w:hAnsi="楷体" w:eastAsia="楷体"/>
          <w:kern w:val="0"/>
          <w:sz w:val="20"/>
          <w:szCs w:val="20"/>
        </w:rPr>
      </w:pPr>
      <w:r>
        <w:rPr>
          <w:rFonts w:hint="eastAsia" w:ascii="楷体" w:hAnsi="楷体" w:eastAsia="楷体"/>
          <w:kern w:val="0"/>
          <w:sz w:val="20"/>
          <w:szCs w:val="20"/>
        </w:rPr>
        <w:t>单位：人民币万元</w:t>
      </w:r>
    </w:p>
    <w:tbl>
      <w:tblPr>
        <w:tblStyle w:val="15"/>
        <w:tblW w:w="5000" w:type="pct"/>
        <w:tblInd w:w="0" w:type="dxa"/>
        <w:tblLayout w:type="autofit"/>
        <w:tblCellMar>
          <w:top w:w="0" w:type="dxa"/>
          <w:left w:w="108" w:type="dxa"/>
          <w:bottom w:w="0" w:type="dxa"/>
          <w:right w:w="108" w:type="dxa"/>
        </w:tblCellMar>
      </w:tblPr>
      <w:tblGrid>
        <w:gridCol w:w="2659"/>
        <w:gridCol w:w="2079"/>
        <w:gridCol w:w="2080"/>
        <w:gridCol w:w="2080"/>
        <w:gridCol w:w="2080"/>
        <w:gridCol w:w="1662"/>
        <w:gridCol w:w="1862"/>
      </w:tblGrid>
      <w:tr>
        <w:trPr>
          <w:trHeight w:val="312" w:hRule="atLeast"/>
        </w:trPr>
        <w:tc>
          <w:tcPr>
            <w:tcW w:w="91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年份</w:t>
            </w:r>
            <w:r>
              <w:rPr>
                <w:rFonts w:ascii="仿宋_GB2312" w:hAnsi="Verdana" w:eastAsia="仿宋_GB2312" w:cs="宋体"/>
                <w:b/>
                <w:bCs/>
                <w:kern w:val="0"/>
                <w:sz w:val="20"/>
                <w:szCs w:val="20"/>
              </w:rPr>
              <w:t>/</w:t>
            </w:r>
            <w:r>
              <w:rPr>
                <w:rFonts w:hint="eastAsia" w:ascii="仿宋_GB2312" w:hAnsi="Verdana" w:eastAsia="仿宋_GB2312" w:cs="宋体"/>
                <w:b/>
                <w:bCs/>
                <w:kern w:val="0"/>
                <w:sz w:val="20"/>
                <w:szCs w:val="20"/>
              </w:rPr>
              <w:t>项目</w:t>
            </w:r>
          </w:p>
        </w:tc>
        <w:tc>
          <w:tcPr>
            <w:tcW w:w="717"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2031</w:t>
            </w:r>
            <w:r>
              <w:rPr>
                <w:rFonts w:hint="eastAsia" w:ascii="仿宋_GB2312" w:hAnsi="Verdana" w:eastAsia="仿宋_GB2312" w:cs="宋体"/>
                <w:b/>
                <w:bCs/>
                <w:kern w:val="0"/>
                <w:sz w:val="20"/>
                <w:szCs w:val="20"/>
              </w:rPr>
              <w:t>年</w:t>
            </w:r>
          </w:p>
        </w:tc>
        <w:tc>
          <w:tcPr>
            <w:tcW w:w="717"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2032</w:t>
            </w:r>
            <w:r>
              <w:rPr>
                <w:rFonts w:hint="eastAsia" w:ascii="仿宋_GB2312" w:hAnsi="Verdana" w:eastAsia="仿宋_GB2312" w:cs="宋体"/>
                <w:b/>
                <w:bCs/>
                <w:kern w:val="0"/>
                <w:sz w:val="20"/>
                <w:szCs w:val="20"/>
              </w:rPr>
              <w:t>年</w:t>
            </w:r>
          </w:p>
        </w:tc>
        <w:tc>
          <w:tcPr>
            <w:tcW w:w="717"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2033</w:t>
            </w:r>
            <w:r>
              <w:rPr>
                <w:rFonts w:hint="eastAsia" w:ascii="仿宋_GB2312" w:hAnsi="Verdana" w:eastAsia="仿宋_GB2312" w:cs="宋体"/>
                <w:b/>
                <w:bCs/>
                <w:kern w:val="0"/>
                <w:sz w:val="20"/>
                <w:szCs w:val="20"/>
              </w:rPr>
              <w:t>年</w:t>
            </w:r>
          </w:p>
        </w:tc>
        <w:tc>
          <w:tcPr>
            <w:tcW w:w="717"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2034</w:t>
            </w:r>
            <w:r>
              <w:rPr>
                <w:rFonts w:hint="eastAsia" w:ascii="仿宋_GB2312" w:hAnsi="Verdana" w:eastAsia="仿宋_GB2312" w:cs="宋体"/>
                <w:b/>
                <w:bCs/>
                <w:kern w:val="0"/>
                <w:sz w:val="20"/>
                <w:szCs w:val="20"/>
              </w:rPr>
              <w:t>年</w:t>
            </w:r>
          </w:p>
        </w:tc>
        <w:tc>
          <w:tcPr>
            <w:tcW w:w="573"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2035</w:t>
            </w:r>
            <w:r>
              <w:rPr>
                <w:rFonts w:hint="eastAsia" w:ascii="仿宋_GB2312" w:hAnsi="Verdana" w:eastAsia="仿宋_GB2312" w:cs="宋体"/>
                <w:b/>
                <w:bCs/>
                <w:kern w:val="0"/>
                <w:sz w:val="20"/>
                <w:szCs w:val="20"/>
              </w:rPr>
              <w:t>年</w:t>
            </w:r>
          </w:p>
        </w:tc>
        <w:tc>
          <w:tcPr>
            <w:tcW w:w="64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合计</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期初专项债券余额</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600</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本期专项债券发行</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1,600</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利息支出</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23</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5</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347</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本期还款</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1,023</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605</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1,947</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其中：还本</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1,000</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600</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1,600</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付息</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23</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5</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347</w:t>
            </w:r>
          </w:p>
        </w:tc>
      </w:tr>
      <w:tr>
        <w:tblPrEx>
          <w:tblCellMar>
            <w:top w:w="0" w:type="dxa"/>
            <w:left w:w="108" w:type="dxa"/>
            <w:bottom w:w="0" w:type="dxa"/>
            <w:right w:w="108" w:type="dxa"/>
          </w:tblCellMar>
        </w:tblPrEx>
        <w:trPr>
          <w:trHeight w:val="312" w:hRule="atLeast"/>
        </w:trPr>
        <w:tc>
          <w:tcPr>
            <w:tcW w:w="91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期末专项债券余额</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1,600</w:t>
            </w:r>
          </w:p>
        </w:tc>
        <w:tc>
          <w:tcPr>
            <w:tcW w:w="717"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600</w:t>
            </w:r>
          </w:p>
        </w:tc>
        <w:tc>
          <w:tcPr>
            <w:tcW w:w="57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4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bl>
    <w:p>
      <w:pPr>
        <w:widowControl/>
        <w:spacing w:after="0" w:line="240" w:lineRule="auto"/>
        <w:ind w:right="105"/>
        <w:jc w:val="right"/>
        <w:rPr>
          <w:rFonts w:hint="eastAsia" w:ascii="楷体" w:hAnsi="楷体" w:eastAsia="楷体"/>
          <w:kern w:val="0"/>
          <w:sz w:val="20"/>
          <w:szCs w:val="20"/>
        </w:rPr>
      </w:pPr>
    </w:p>
    <w:p>
      <w:pPr>
        <w:ind w:right="105"/>
        <w:jc w:val="right"/>
        <w:rPr>
          <w:rFonts w:hint="eastAsia" w:ascii="楷体" w:hAnsi="楷体" w:eastAsia="楷体"/>
          <w:szCs w:val="20"/>
        </w:rPr>
      </w:pPr>
    </w:p>
    <w:bookmarkEnd w:id="16"/>
    <w:p>
      <w:pPr>
        <w:rPr>
          <w:rFonts w:hint="eastAsia" w:ascii="楷体" w:hAnsi="楷体" w:eastAsia="楷体" w:cs="楷体"/>
          <w:color w:val="000000" w:themeColor="text1"/>
          <w14:textFill>
            <w14:solidFill>
              <w14:schemeClr w14:val="tx1"/>
            </w14:solidFill>
          </w14:textFill>
        </w:rPr>
        <w:sectPr>
          <w:footerReference r:id="rId7" w:type="default"/>
          <w:pgSz w:w="16838" w:h="11906" w:orient="landscape"/>
          <w:pgMar w:top="1797" w:right="1276" w:bottom="1797" w:left="1276" w:header="709" w:footer="851" w:gutter="0"/>
          <w:cols w:space="708" w:num="1"/>
          <w:docGrid w:linePitch="360" w:charSpace="0"/>
        </w:sectPr>
      </w:pP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3、发债项目盈利能力、偿债能力和可持续性</w:t>
      </w:r>
    </w:p>
    <w:p>
      <w:pPr>
        <w:widowControl/>
        <w:spacing w:before="120" w:after="120" w:line="360" w:lineRule="auto"/>
        <w:ind w:firstLine="560"/>
        <w:rPr>
          <w:rFonts w:hint="eastAsia" w:ascii="仿宋_GB2312" w:hAnsi="楷体" w:eastAsia="仿宋_GB2312"/>
          <w:color w:val="000000" w:themeColor="text1"/>
          <w:kern w:val="0"/>
          <w:sz w:val="28"/>
          <w:szCs w:val="28"/>
          <w14:textFill>
            <w14:solidFill>
              <w14:schemeClr w14:val="tx1"/>
            </w14:solidFill>
          </w14:textFill>
        </w:rPr>
      </w:pPr>
      <w:r>
        <w:rPr>
          <w:rFonts w:hint="eastAsia" w:ascii="仿宋_GB2312" w:hAnsi="楷体" w:eastAsia="仿宋_GB2312"/>
          <w:color w:val="000000" w:themeColor="text1"/>
          <w:kern w:val="0"/>
          <w:sz w:val="28"/>
          <w:szCs w:val="28"/>
          <w14:textFill>
            <w14:solidFill>
              <w14:schemeClr w14:val="tx1"/>
            </w14:solidFill>
          </w14:textFill>
        </w:rPr>
        <w:t>海口市江东新区园区配套基础设施配套项目（二期）合计累计资金筹措总额</w:t>
      </w:r>
      <w:r>
        <w:rPr>
          <w:rFonts w:ascii="仿宋_GB2312" w:hAnsi="楷体" w:eastAsia="仿宋_GB2312"/>
          <w:color w:val="000000" w:themeColor="text1"/>
          <w:kern w:val="0"/>
          <w:sz w:val="28"/>
          <w:szCs w:val="28"/>
          <w14:textFill>
            <w14:solidFill>
              <w14:schemeClr w14:val="tx1"/>
            </w14:solidFill>
          </w14:textFill>
        </w:rPr>
        <w:t>12,000</w:t>
      </w:r>
      <w:r>
        <w:rPr>
          <w:rFonts w:hint="eastAsia" w:ascii="仿宋_GB2312" w:hAnsi="楷体" w:eastAsia="仿宋_GB2312"/>
          <w:color w:val="000000" w:themeColor="text1"/>
          <w:kern w:val="0"/>
          <w:sz w:val="28"/>
          <w:szCs w:val="28"/>
          <w14:textFill>
            <w14:solidFill>
              <w14:schemeClr w14:val="tx1"/>
            </w14:solidFill>
          </w14:textFill>
        </w:rPr>
        <w:t>万元，自筹资金</w:t>
      </w:r>
      <w:r>
        <w:rPr>
          <w:rStyle w:val="21"/>
          <w:rFonts w:hint="eastAsia" w:ascii="仿宋_GB2312" w:hAnsi="楷体" w:eastAsia="仿宋_GB2312"/>
          <w:color w:val="000000" w:themeColor="text1"/>
          <w:kern w:val="0"/>
          <w:sz w:val="28"/>
          <w:szCs w:val="28"/>
          <w14:textFill>
            <w14:solidFill>
              <w14:schemeClr w14:val="tx1"/>
            </w14:solidFill>
          </w14:textFill>
        </w:rPr>
        <w:footnoteReference w:id="4"/>
      </w:r>
      <w:r>
        <w:rPr>
          <w:rFonts w:ascii="仿宋_GB2312" w:hAnsi="楷体" w:eastAsia="仿宋_GB2312"/>
          <w:color w:val="000000" w:themeColor="text1"/>
          <w:kern w:val="0"/>
          <w:sz w:val="28"/>
          <w:szCs w:val="28"/>
          <w14:textFill>
            <w14:solidFill>
              <w14:schemeClr w14:val="tx1"/>
            </w14:solidFill>
          </w14:textFill>
        </w:rPr>
        <w:t>10,400</w:t>
      </w:r>
      <w:r>
        <w:rPr>
          <w:rFonts w:hint="eastAsia" w:ascii="仿宋_GB2312" w:hAnsi="楷体" w:eastAsia="仿宋_GB2312"/>
          <w:color w:val="000000" w:themeColor="text1"/>
          <w:kern w:val="0"/>
          <w:sz w:val="28"/>
          <w:szCs w:val="28"/>
          <w14:textFill>
            <w14:solidFill>
              <w14:schemeClr w14:val="tx1"/>
            </w14:solidFill>
          </w14:textFill>
        </w:rPr>
        <w:t>万元，发行专项债券1,600万元。其中，2024年已发行专项债券1,000万元，本期计划调增专项债券600万元。各年度投资计划及资金筹措方案详见表5，项目现金流平衡表详见表6：</w:t>
      </w:r>
    </w:p>
    <w:p>
      <w:pPr>
        <w:widowControl/>
        <w:tabs>
          <w:tab w:val="left" w:pos="2782"/>
          <w:tab w:val="center" w:pos="4323"/>
        </w:tabs>
        <w:spacing w:after="0" w:line="240" w:lineRule="auto"/>
        <w:jc w:val="center"/>
        <w:rPr>
          <w:rFonts w:hint="eastAsia" w:ascii="黑体" w:hAnsi="黑体" w:eastAsia="黑体"/>
          <w:bCs/>
          <w:color w:val="000000" w:themeColor="text1"/>
          <w:kern w:val="0"/>
          <w:sz w:val="24"/>
          <w:szCs w:val="24"/>
          <w14:textFill>
            <w14:solidFill>
              <w14:schemeClr w14:val="tx1"/>
            </w14:solidFill>
          </w14:textFill>
        </w:rPr>
      </w:pPr>
      <w:r>
        <w:rPr>
          <w:rFonts w:ascii="黑体" w:hAnsi="黑体" w:eastAsia="黑体"/>
          <w:bCs/>
          <w:color w:val="000000" w:themeColor="text1"/>
          <w:kern w:val="0"/>
          <w:sz w:val="24"/>
          <w:szCs w:val="24"/>
          <w14:textFill>
            <w14:solidFill>
              <w14:schemeClr w14:val="tx1"/>
            </w14:solidFill>
          </w14:textFill>
        </w:rPr>
        <w:t>表</w:t>
      </w:r>
      <w:r>
        <w:rPr>
          <w:rFonts w:ascii="黑体" w:hAnsi="黑体" w:eastAsia="黑体"/>
          <w:bCs/>
          <w:color w:val="000000" w:themeColor="text1"/>
          <w:kern w:val="0"/>
          <w:sz w:val="24"/>
          <w:szCs w:val="28"/>
          <w14:textFill>
            <w14:solidFill>
              <w14:schemeClr w14:val="tx1"/>
            </w14:solidFill>
          </w14:textFill>
        </w:rPr>
        <w:t>5</w:t>
      </w:r>
      <w:r>
        <w:rPr>
          <w:rFonts w:hint="eastAsia" w:ascii="黑体" w:hAnsi="黑体" w:eastAsia="黑体"/>
          <w:bCs/>
          <w:color w:val="000000" w:themeColor="text1"/>
          <w:kern w:val="0"/>
          <w:sz w:val="24"/>
          <w:szCs w:val="28"/>
          <w14:textFill>
            <w14:solidFill>
              <w14:schemeClr w14:val="tx1"/>
            </w14:solidFill>
          </w14:textFill>
        </w:rPr>
        <w:t xml:space="preserve"> </w:t>
      </w:r>
      <w:r>
        <w:rPr>
          <w:rFonts w:ascii="黑体" w:hAnsi="黑体" w:eastAsia="黑体"/>
          <w:bCs/>
          <w:color w:val="000000" w:themeColor="text1"/>
          <w:kern w:val="0"/>
          <w:sz w:val="24"/>
          <w:szCs w:val="24"/>
          <w14:textFill>
            <w14:solidFill>
              <w14:schemeClr w14:val="tx1"/>
            </w14:solidFill>
          </w14:textFill>
        </w:rPr>
        <w:t>投资计划及资金筹措表</w:t>
      </w:r>
    </w:p>
    <w:p>
      <w:pPr>
        <w:widowControl/>
        <w:spacing w:after="0" w:line="240" w:lineRule="auto"/>
        <w:ind w:right="566"/>
        <w:jc w:val="right"/>
        <w:rPr>
          <w:rFonts w:hint="eastAsia" w:ascii="仿宋_GB2312" w:hAnsi="楷体" w:eastAsia="仿宋_GB2312"/>
          <w:color w:val="000000" w:themeColor="text1"/>
          <w:kern w:val="0"/>
          <w:sz w:val="20"/>
          <w:szCs w:val="20"/>
          <w14:textFill>
            <w14:solidFill>
              <w14:schemeClr w14:val="tx1"/>
            </w14:solidFill>
          </w14:textFill>
        </w:rPr>
      </w:pPr>
      <w:r>
        <w:rPr>
          <w:rFonts w:hint="eastAsia" w:ascii="仿宋_GB2312" w:hAnsi="楷体" w:eastAsia="仿宋_GB2312"/>
          <w:color w:val="000000" w:themeColor="text1"/>
          <w:kern w:val="0"/>
          <w:sz w:val="20"/>
          <w:szCs w:val="20"/>
          <w14:textFill>
            <w14:solidFill>
              <w14:schemeClr w14:val="tx1"/>
            </w14:solidFill>
          </w14:textFill>
        </w:rPr>
        <w:t>单位：人民币万元</w:t>
      </w:r>
    </w:p>
    <w:tbl>
      <w:tblPr>
        <w:tblStyle w:val="15"/>
        <w:tblW w:w="4627" w:type="pct"/>
        <w:jc w:val="center"/>
        <w:tblLayout w:type="autofit"/>
        <w:tblCellMar>
          <w:top w:w="0" w:type="dxa"/>
          <w:left w:w="108" w:type="dxa"/>
          <w:bottom w:w="0" w:type="dxa"/>
          <w:right w:w="108" w:type="dxa"/>
        </w:tblCellMar>
      </w:tblPr>
      <w:tblGrid>
        <w:gridCol w:w="2518"/>
        <w:gridCol w:w="1791"/>
        <w:gridCol w:w="1791"/>
        <w:gridCol w:w="1792"/>
      </w:tblGrid>
      <w:tr>
        <w:tblPrEx>
          <w:tblCellMar>
            <w:top w:w="0" w:type="dxa"/>
            <w:left w:w="108" w:type="dxa"/>
            <w:bottom w:w="0" w:type="dxa"/>
            <w:right w:w="108" w:type="dxa"/>
          </w:tblCellMar>
        </w:tblPrEx>
        <w:trPr>
          <w:trHeight w:val="312" w:hRule="atLeast"/>
          <w:jc w:val="center"/>
        </w:trPr>
        <w:tc>
          <w:tcPr>
            <w:tcW w:w="159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建设期资金平衡表</w:t>
            </w:r>
          </w:p>
        </w:tc>
        <w:tc>
          <w:tcPr>
            <w:tcW w:w="113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2024</w:t>
            </w:r>
            <w:r>
              <w:rPr>
                <w:rFonts w:hint="eastAsia" w:ascii="仿宋_GB2312" w:hAnsi="Verdana" w:eastAsia="仿宋_GB2312" w:cs="Arial"/>
                <w:b/>
                <w:bCs/>
                <w:kern w:val="0"/>
                <w:sz w:val="20"/>
                <w:szCs w:val="20"/>
              </w:rPr>
              <w:t>年</w:t>
            </w:r>
          </w:p>
        </w:tc>
        <w:tc>
          <w:tcPr>
            <w:tcW w:w="113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2025</w:t>
            </w:r>
            <w:r>
              <w:rPr>
                <w:rFonts w:hint="eastAsia" w:ascii="仿宋_GB2312" w:hAnsi="Verdana" w:eastAsia="仿宋_GB2312" w:cs="Arial"/>
                <w:b/>
                <w:bCs/>
                <w:kern w:val="0"/>
                <w:sz w:val="20"/>
                <w:szCs w:val="20"/>
              </w:rPr>
              <w:t>年</w:t>
            </w:r>
          </w:p>
        </w:tc>
        <w:tc>
          <w:tcPr>
            <w:tcW w:w="113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合计</w:t>
            </w:r>
          </w:p>
        </w:tc>
      </w:tr>
      <w:tr>
        <w:tblPrEx>
          <w:tblCellMar>
            <w:top w:w="0" w:type="dxa"/>
            <w:left w:w="108" w:type="dxa"/>
            <w:bottom w:w="0" w:type="dxa"/>
            <w:right w:w="108" w:type="dxa"/>
          </w:tblCellMar>
        </w:tblPrEx>
        <w:trPr>
          <w:trHeight w:val="312"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资金筹措</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r>
        <w:tblPrEx>
          <w:tblCellMar>
            <w:top w:w="0" w:type="dxa"/>
            <w:left w:w="108" w:type="dxa"/>
            <w:bottom w:w="0" w:type="dxa"/>
            <w:right w:w="108" w:type="dxa"/>
          </w:tblCellMar>
        </w:tblPrEx>
        <w:trPr>
          <w:trHeight w:val="264"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Arial"/>
                <w:kern w:val="0"/>
                <w:sz w:val="20"/>
                <w:szCs w:val="20"/>
              </w:rPr>
            </w:pPr>
            <w:r>
              <w:rPr>
                <w:rFonts w:hint="eastAsia" w:ascii="仿宋_GB2312" w:hAnsi="Verdana" w:eastAsia="仿宋_GB2312" w:cs="Arial"/>
                <w:kern w:val="0"/>
                <w:sz w:val="20"/>
                <w:szCs w:val="20"/>
              </w:rPr>
              <w:t>自筹资金</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8,524</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1,875</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10,400</w:t>
            </w:r>
          </w:p>
        </w:tc>
      </w:tr>
      <w:tr>
        <w:tblPrEx>
          <w:tblCellMar>
            <w:top w:w="0" w:type="dxa"/>
            <w:left w:w="108" w:type="dxa"/>
            <w:bottom w:w="0" w:type="dxa"/>
            <w:right w:w="108" w:type="dxa"/>
          </w:tblCellMar>
        </w:tblPrEx>
        <w:trPr>
          <w:trHeight w:val="264"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Arial"/>
                <w:kern w:val="0"/>
                <w:sz w:val="20"/>
                <w:szCs w:val="20"/>
              </w:rPr>
            </w:pPr>
            <w:r>
              <w:rPr>
                <w:rFonts w:hint="eastAsia" w:ascii="仿宋_GB2312" w:hAnsi="Verdana" w:eastAsia="仿宋_GB2312" w:cs="Arial"/>
                <w:kern w:val="0"/>
                <w:sz w:val="20"/>
                <w:szCs w:val="20"/>
              </w:rPr>
              <w:t>债券发行</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1,000</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600</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1,600</w:t>
            </w:r>
          </w:p>
        </w:tc>
      </w:tr>
      <w:tr>
        <w:tblPrEx>
          <w:tblCellMar>
            <w:top w:w="0" w:type="dxa"/>
            <w:left w:w="108" w:type="dxa"/>
            <w:bottom w:w="0" w:type="dxa"/>
            <w:right w:w="108" w:type="dxa"/>
          </w:tblCellMar>
        </w:tblPrEx>
        <w:trPr>
          <w:trHeight w:val="264"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合计</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9,524</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2,475</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12,000</w:t>
            </w:r>
          </w:p>
        </w:tc>
      </w:tr>
      <w:tr>
        <w:tblPrEx>
          <w:tblCellMar>
            <w:top w:w="0" w:type="dxa"/>
            <w:left w:w="108" w:type="dxa"/>
            <w:bottom w:w="0" w:type="dxa"/>
            <w:right w:w="108" w:type="dxa"/>
          </w:tblCellMar>
        </w:tblPrEx>
        <w:trPr>
          <w:trHeight w:val="264"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资金使用</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r>
        <w:tblPrEx>
          <w:tblCellMar>
            <w:top w:w="0" w:type="dxa"/>
            <w:left w:w="108" w:type="dxa"/>
            <w:bottom w:w="0" w:type="dxa"/>
            <w:right w:w="108" w:type="dxa"/>
          </w:tblCellMar>
        </w:tblPrEx>
        <w:trPr>
          <w:trHeight w:val="264" w:hRule="atLeast"/>
          <w:jc w:val="center"/>
        </w:trPr>
        <w:tc>
          <w:tcPr>
            <w:tcW w:w="1595"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建设资金使用金额合计</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9,524</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2,475</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12,000</w:t>
            </w:r>
          </w:p>
        </w:tc>
      </w:tr>
      <w:tr>
        <w:tblPrEx>
          <w:tblCellMar>
            <w:top w:w="0" w:type="dxa"/>
            <w:left w:w="108" w:type="dxa"/>
            <w:bottom w:w="0" w:type="dxa"/>
            <w:right w:w="108" w:type="dxa"/>
          </w:tblCellMar>
        </w:tblPrEx>
        <w:trPr>
          <w:trHeight w:val="528" w:hRule="atLeast"/>
          <w:jc w:val="center"/>
        </w:trPr>
        <w:tc>
          <w:tcPr>
            <w:tcW w:w="1595" w:type="pc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资金余额</w:t>
            </w:r>
            <w:r>
              <w:rPr>
                <w:rFonts w:ascii="仿宋_GB2312" w:hAnsi="Verdana" w:eastAsia="仿宋_GB2312" w:cs="Arial"/>
                <w:b/>
                <w:bCs/>
                <w:kern w:val="0"/>
                <w:sz w:val="20"/>
                <w:szCs w:val="20"/>
              </w:rPr>
              <w:br w:type="textWrapping"/>
            </w:r>
            <w:r>
              <w:rPr>
                <w:rFonts w:hint="eastAsia" w:ascii="仿宋_GB2312" w:hAnsi="Verdana" w:eastAsia="仿宋_GB2312" w:cs="Arial"/>
                <w:b/>
                <w:bCs/>
                <w:kern w:val="0"/>
                <w:sz w:val="20"/>
                <w:szCs w:val="20"/>
              </w:rPr>
              <w:t>（资金筹措</w:t>
            </w:r>
            <w:r>
              <w:rPr>
                <w:rFonts w:ascii="仿宋_GB2312" w:hAnsi="Verdana" w:eastAsia="仿宋_GB2312" w:cs="Arial"/>
                <w:b/>
                <w:bCs/>
                <w:kern w:val="0"/>
                <w:sz w:val="20"/>
                <w:szCs w:val="20"/>
              </w:rPr>
              <w:t>—</w:t>
            </w:r>
            <w:r>
              <w:rPr>
                <w:rFonts w:hint="eastAsia" w:ascii="仿宋_GB2312" w:hAnsi="Verdana" w:eastAsia="仿宋_GB2312" w:cs="Arial"/>
                <w:b/>
                <w:bCs/>
                <w:kern w:val="0"/>
                <w:sz w:val="20"/>
                <w:szCs w:val="20"/>
              </w:rPr>
              <w:t>资金使用）</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r>
              <w:rPr>
                <w:rFonts w:ascii="仿宋_GB2312" w:hAnsi="Verdana" w:eastAsia="仿宋_GB2312" w:cs="Arial"/>
                <w:b/>
                <w:bCs/>
                <w:kern w:val="0"/>
                <w:sz w:val="20"/>
                <w:szCs w:val="20"/>
              </w:rPr>
              <w:t>-</w:t>
            </w:r>
          </w:p>
        </w:tc>
        <w:tc>
          <w:tcPr>
            <w:tcW w:w="113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bl>
    <w:p>
      <w:pPr>
        <w:widowControl/>
        <w:spacing w:after="0" w:line="240" w:lineRule="auto"/>
        <w:ind w:right="566"/>
        <w:jc w:val="right"/>
        <w:rPr>
          <w:rFonts w:hint="eastAsia" w:ascii="仿宋_GB2312" w:hAnsi="楷体" w:eastAsia="仿宋_GB2312"/>
          <w:color w:val="000000" w:themeColor="text1"/>
          <w:kern w:val="0"/>
          <w:sz w:val="20"/>
          <w:szCs w:val="20"/>
          <w14:textFill>
            <w14:solidFill>
              <w14:schemeClr w14:val="tx1"/>
            </w14:solidFill>
          </w14:textFill>
        </w:rPr>
      </w:pPr>
    </w:p>
    <w:p>
      <w:pPr>
        <w:widowControl/>
        <w:spacing w:after="0" w:line="240" w:lineRule="auto"/>
        <w:ind w:right="-584"/>
        <w:jc w:val="right"/>
        <w:rPr>
          <w:rFonts w:hint="eastAsia" w:ascii="楷体" w:hAnsi="楷体" w:eastAsia="楷体"/>
          <w:color w:val="000000" w:themeColor="text1"/>
          <w:kern w:val="0"/>
          <w:sz w:val="20"/>
          <w:szCs w:val="20"/>
          <w14:textFill>
            <w14:solidFill>
              <w14:schemeClr w14:val="tx1"/>
            </w14:solidFill>
          </w14:textFill>
        </w:rPr>
      </w:pPr>
    </w:p>
    <w:p>
      <w:pPr>
        <w:widowControl/>
        <w:spacing w:after="0" w:line="240" w:lineRule="auto"/>
        <w:ind w:right="-584"/>
        <w:rPr>
          <w:rFonts w:hint="eastAsia" w:ascii="楷体" w:hAnsi="楷体" w:eastAsia="楷体"/>
          <w:color w:val="000000" w:themeColor="text1"/>
          <w:sz w:val="20"/>
          <w:szCs w:val="20"/>
          <w14:textFill>
            <w14:solidFill>
              <w14:schemeClr w14:val="tx1"/>
            </w14:solidFill>
          </w14:textFill>
        </w:rPr>
        <w:sectPr>
          <w:footerReference r:id="rId8" w:type="default"/>
          <w:pgSz w:w="11906" w:h="16838"/>
          <w:pgMar w:top="1276" w:right="1797" w:bottom="1276" w:left="1797" w:header="709" w:footer="851" w:gutter="0"/>
          <w:cols w:space="708" w:num="1"/>
          <w:docGrid w:linePitch="360" w:charSpace="0"/>
        </w:sectPr>
      </w:pPr>
    </w:p>
    <w:p>
      <w:pPr>
        <w:spacing w:before="120" w:after="0" w:line="240" w:lineRule="auto"/>
        <w:jc w:val="center"/>
        <w:rPr>
          <w:rFonts w:hint="eastAsia" w:ascii="黑体" w:hAnsi="黑体" w:eastAsia="黑体"/>
          <w:bCs/>
          <w:color w:val="000000" w:themeColor="text1"/>
          <w:sz w:val="16"/>
          <w:szCs w:val="24"/>
          <w14:textFill>
            <w14:solidFill>
              <w14:schemeClr w14:val="tx1"/>
            </w14:solidFill>
          </w14:textFill>
        </w:rPr>
      </w:pPr>
      <w:r>
        <w:rPr>
          <w:rFonts w:ascii="黑体" w:hAnsi="黑体" w:eastAsia="黑体"/>
          <w:bCs/>
          <w:color w:val="000000" w:themeColor="text1"/>
          <w:kern w:val="0"/>
          <w:sz w:val="24"/>
          <w:szCs w:val="24"/>
          <w14:textFill>
            <w14:solidFill>
              <w14:schemeClr w14:val="tx1"/>
            </w14:solidFill>
          </w14:textFill>
        </w:rPr>
        <w:t xml:space="preserve">表6 </w:t>
      </w:r>
      <w:r>
        <w:rPr>
          <w:rFonts w:hint="eastAsia" w:ascii="黑体" w:hAnsi="黑体" w:eastAsia="黑体"/>
          <w:bCs/>
          <w:color w:val="000000" w:themeColor="text1"/>
          <w:kern w:val="0"/>
          <w:sz w:val="24"/>
          <w:szCs w:val="24"/>
          <w14:textFill>
            <w14:solidFill>
              <w14:schemeClr w14:val="tx1"/>
            </w14:solidFill>
          </w14:textFill>
        </w:rPr>
        <w:t>海口市江东新区园区配套基础设施配套项目（二期）</w:t>
      </w:r>
      <w:r>
        <w:rPr>
          <w:rFonts w:ascii="黑体" w:hAnsi="黑体" w:eastAsia="黑体"/>
          <w:bCs/>
          <w:color w:val="000000" w:themeColor="text1"/>
          <w:sz w:val="24"/>
          <w:szCs w:val="24"/>
          <w14:textFill>
            <w14:solidFill>
              <w14:schemeClr w14:val="tx1"/>
            </w14:solidFill>
          </w14:textFill>
        </w:rPr>
        <w:t>现金流模拟测算表</w:t>
      </w:r>
    </w:p>
    <w:p>
      <w:pPr>
        <w:spacing w:after="0" w:line="240" w:lineRule="auto"/>
        <w:ind w:right="105"/>
        <w:jc w:val="right"/>
        <w:rPr>
          <w:rFonts w:hint="eastAsia" w:ascii="仿宋_GB2312" w:hAnsi="楷体" w:eastAsia="仿宋_GB2312"/>
          <w:color w:val="000000" w:themeColor="text1"/>
          <w:szCs w:val="20"/>
          <w14:textFill>
            <w14:solidFill>
              <w14:schemeClr w14:val="tx1"/>
            </w14:solidFill>
          </w14:textFill>
        </w:rPr>
      </w:pPr>
      <w:r>
        <w:rPr>
          <w:rFonts w:hint="eastAsia" w:ascii="仿宋_GB2312" w:hAnsi="楷体" w:eastAsia="仿宋_GB2312"/>
          <w:color w:val="000000" w:themeColor="text1"/>
          <w:szCs w:val="20"/>
          <w14:textFill>
            <w14:solidFill>
              <w14:schemeClr w14:val="tx1"/>
            </w14:solidFill>
          </w14:textFill>
        </w:rPr>
        <w:t>单位： 人民币万元</w:t>
      </w:r>
    </w:p>
    <w:tbl>
      <w:tblPr>
        <w:tblStyle w:val="15"/>
        <w:tblW w:w="5016" w:type="pct"/>
        <w:jc w:val="center"/>
        <w:tblLayout w:type="autofit"/>
        <w:tblCellMar>
          <w:top w:w="0" w:type="dxa"/>
          <w:left w:w="108" w:type="dxa"/>
          <w:bottom w:w="0" w:type="dxa"/>
          <w:right w:w="108" w:type="dxa"/>
        </w:tblCellMar>
      </w:tblPr>
      <w:tblGrid>
        <w:gridCol w:w="2849"/>
        <w:gridCol w:w="1673"/>
        <w:gridCol w:w="1673"/>
        <w:gridCol w:w="1673"/>
        <w:gridCol w:w="1673"/>
        <w:gridCol w:w="1670"/>
        <w:gridCol w:w="1671"/>
        <w:gridCol w:w="1666"/>
      </w:tblGrid>
      <w:tr>
        <w:tblPrEx>
          <w:tblCellMar>
            <w:top w:w="0" w:type="dxa"/>
            <w:left w:w="108" w:type="dxa"/>
            <w:bottom w:w="0" w:type="dxa"/>
            <w:right w:w="108" w:type="dxa"/>
          </w:tblCellMar>
        </w:tblPrEx>
        <w:trPr>
          <w:trHeight w:val="312" w:hRule="atLeast"/>
          <w:jc w:val="center"/>
        </w:trPr>
        <w:tc>
          <w:tcPr>
            <w:tcW w:w="97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年度</w:t>
            </w:r>
          </w:p>
        </w:tc>
        <w:tc>
          <w:tcPr>
            <w:tcW w:w="57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2024</w:t>
            </w:r>
            <w:r>
              <w:rPr>
                <w:rFonts w:hint="eastAsia" w:ascii="仿宋_GB2312" w:hAnsi="Verdana" w:eastAsia="仿宋_GB2312" w:cs="Arial"/>
                <w:b/>
                <w:bCs/>
                <w:kern w:val="0"/>
                <w:sz w:val="20"/>
                <w:szCs w:val="20"/>
              </w:rPr>
              <w:t>年</w:t>
            </w:r>
          </w:p>
        </w:tc>
        <w:tc>
          <w:tcPr>
            <w:tcW w:w="57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2025</w:t>
            </w:r>
            <w:r>
              <w:rPr>
                <w:rFonts w:hint="eastAsia" w:ascii="仿宋_GB2312" w:hAnsi="Verdana" w:eastAsia="仿宋_GB2312" w:cs="Arial"/>
                <w:b/>
                <w:bCs/>
                <w:kern w:val="0"/>
                <w:sz w:val="20"/>
                <w:szCs w:val="20"/>
              </w:rPr>
              <w:t>年</w:t>
            </w:r>
          </w:p>
        </w:tc>
        <w:tc>
          <w:tcPr>
            <w:tcW w:w="57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2026</w:t>
            </w:r>
            <w:r>
              <w:rPr>
                <w:rFonts w:hint="eastAsia" w:ascii="仿宋_GB2312" w:hAnsi="Verdana" w:eastAsia="仿宋_GB2312" w:cs="Arial"/>
                <w:b/>
                <w:bCs/>
                <w:kern w:val="0"/>
                <w:sz w:val="20"/>
                <w:szCs w:val="20"/>
              </w:rPr>
              <w:t>年</w:t>
            </w:r>
          </w:p>
        </w:tc>
        <w:tc>
          <w:tcPr>
            <w:tcW w:w="575"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2027</w:t>
            </w:r>
            <w:r>
              <w:rPr>
                <w:rFonts w:hint="eastAsia" w:ascii="仿宋_GB2312" w:hAnsi="Verdana" w:eastAsia="仿宋_GB2312" w:cs="Arial"/>
                <w:b/>
                <w:bCs/>
                <w:kern w:val="0"/>
                <w:sz w:val="20"/>
                <w:szCs w:val="20"/>
              </w:rPr>
              <w:t>年</w:t>
            </w:r>
          </w:p>
        </w:tc>
        <w:tc>
          <w:tcPr>
            <w:tcW w:w="57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2028</w:t>
            </w:r>
            <w:r>
              <w:rPr>
                <w:rFonts w:hint="eastAsia" w:ascii="仿宋_GB2312" w:hAnsi="Verdana" w:eastAsia="仿宋_GB2312" w:cs="Arial"/>
                <w:b/>
                <w:bCs/>
                <w:kern w:val="0"/>
                <w:sz w:val="20"/>
                <w:szCs w:val="20"/>
              </w:rPr>
              <w:t>年</w:t>
            </w:r>
          </w:p>
        </w:tc>
        <w:tc>
          <w:tcPr>
            <w:tcW w:w="57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2029</w:t>
            </w:r>
            <w:r>
              <w:rPr>
                <w:rFonts w:hint="eastAsia" w:ascii="仿宋_GB2312" w:hAnsi="Verdana" w:eastAsia="仿宋_GB2312" w:cs="Arial"/>
                <w:b/>
                <w:bCs/>
                <w:kern w:val="0"/>
                <w:sz w:val="20"/>
                <w:szCs w:val="20"/>
              </w:rPr>
              <w:t>年</w:t>
            </w:r>
          </w:p>
        </w:tc>
        <w:tc>
          <w:tcPr>
            <w:tcW w:w="57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2030</w:t>
            </w:r>
            <w:r>
              <w:rPr>
                <w:rFonts w:hint="eastAsia" w:ascii="仿宋_GB2312" w:hAnsi="Verdana" w:eastAsia="仿宋_GB2312" w:cs="Arial"/>
                <w:b/>
                <w:bCs/>
                <w:kern w:val="0"/>
                <w:sz w:val="20"/>
                <w:szCs w:val="20"/>
              </w:rPr>
              <w:t>年</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现金流入</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自筹资金流入</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8,524</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1,875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债券资金流入</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1,000</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600</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运营期现金流入</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314</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现金流入总额</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9,524</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2,475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314</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现金流出</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建设期资金流出</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9,511</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2,445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运营期现金流出</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债券还本付息</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12</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29</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债券发行费用</w:t>
            </w:r>
            <w:r>
              <w:rPr>
                <w:rFonts w:ascii="仿宋_GB2312" w:hAnsi="Verdana" w:eastAsia="仿宋_GB2312" w:cs="宋体"/>
                <w:kern w:val="0"/>
                <w:sz w:val="20"/>
                <w:szCs w:val="20"/>
              </w:rPr>
              <w:t>/</w:t>
            </w:r>
            <w:r>
              <w:rPr>
                <w:rFonts w:hint="eastAsia" w:ascii="仿宋_GB2312" w:hAnsi="Verdana" w:eastAsia="仿宋_GB2312" w:cs="宋体"/>
                <w:kern w:val="0"/>
                <w:sz w:val="20"/>
                <w:szCs w:val="20"/>
              </w:rPr>
              <w:t>融资费用</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现金流出总额</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9,524</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2,475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现金净流量</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当年项目现金净流入</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279</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r>
      <w:tr>
        <w:tblPrEx>
          <w:tblCellMar>
            <w:top w:w="0" w:type="dxa"/>
            <w:left w:w="108" w:type="dxa"/>
            <w:bottom w:w="0" w:type="dxa"/>
            <w:right w:w="108" w:type="dxa"/>
          </w:tblCellMar>
        </w:tblPrEx>
        <w:trPr>
          <w:trHeight w:val="312" w:hRule="atLeast"/>
          <w:jc w:val="center"/>
        </w:trPr>
        <w:tc>
          <w:tcPr>
            <w:tcW w:w="979"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期末项目累计现金结存额</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279</w:t>
            </w:r>
          </w:p>
        </w:tc>
        <w:tc>
          <w:tcPr>
            <w:tcW w:w="575"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519</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759</w:t>
            </w:r>
          </w:p>
        </w:tc>
        <w:tc>
          <w:tcPr>
            <w:tcW w:w="57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999</w:t>
            </w:r>
          </w:p>
        </w:tc>
        <w:tc>
          <w:tcPr>
            <w:tcW w:w="57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1,239</w:t>
            </w:r>
          </w:p>
        </w:tc>
      </w:tr>
    </w:tbl>
    <w:p>
      <w:pPr>
        <w:spacing w:after="0" w:line="240" w:lineRule="auto"/>
        <w:ind w:right="105"/>
        <w:jc w:val="right"/>
        <w:rPr>
          <w:rFonts w:hint="eastAsia" w:ascii="仿宋_GB2312" w:hAnsi="楷体" w:eastAsia="仿宋_GB2312"/>
          <w:color w:val="000000" w:themeColor="text1"/>
          <w:szCs w:val="20"/>
          <w14:textFill>
            <w14:solidFill>
              <w14:schemeClr w14:val="tx1"/>
            </w14:solidFill>
          </w14:textFill>
        </w:rPr>
      </w:pPr>
    </w:p>
    <w:p>
      <w:pPr>
        <w:widowControl/>
        <w:spacing w:after="0" w:line="240" w:lineRule="auto"/>
        <w:ind w:right="-584"/>
        <w:jc w:val="right"/>
        <w:rPr>
          <w:rFonts w:hint="eastAsia" w:ascii="楷体" w:hAnsi="楷体" w:eastAsia="楷体"/>
          <w:color w:val="000000" w:themeColor="text1"/>
          <w:kern w:val="0"/>
          <w:sz w:val="20"/>
          <w:szCs w:val="20"/>
          <w14:textFill>
            <w14:solidFill>
              <w14:schemeClr w14:val="tx1"/>
            </w14:solidFill>
          </w14:textFill>
        </w:rPr>
      </w:pPr>
    </w:p>
    <w:p>
      <w:pPr>
        <w:widowControl/>
        <w:spacing w:after="0" w:line="240" w:lineRule="auto"/>
        <w:jc w:val="left"/>
        <w:rPr>
          <w:rFonts w:hint="eastAsia" w:ascii="楷体" w:hAnsi="楷体" w:eastAsia="楷体"/>
          <w:color w:val="000000" w:themeColor="text1"/>
          <w:kern w:val="0"/>
          <w:sz w:val="20"/>
          <w:szCs w:val="20"/>
          <w14:textFill>
            <w14:solidFill>
              <w14:schemeClr w14:val="tx1"/>
            </w14:solidFill>
          </w14:textFill>
        </w:rPr>
        <w:sectPr>
          <w:pgSz w:w="16838" w:h="11906" w:orient="landscape"/>
          <w:pgMar w:top="1800" w:right="1276" w:bottom="1800" w:left="1276" w:header="708" w:footer="850" w:gutter="0"/>
          <w:cols w:space="720" w:num="1"/>
          <w:docGrid w:type="lines" w:linePitch="360" w:charSpace="0"/>
        </w:sectPr>
      </w:pPr>
    </w:p>
    <w:p>
      <w:pPr>
        <w:spacing w:before="120" w:after="0" w:line="360" w:lineRule="auto"/>
        <w:jc w:val="center"/>
        <w:rPr>
          <w:rFonts w:hint="eastAsia" w:ascii="黑体" w:hAnsi="黑体" w:eastAsia="黑体"/>
          <w:bCs/>
          <w:color w:val="000000" w:themeColor="text1"/>
          <w:sz w:val="24"/>
          <w:szCs w:val="24"/>
          <w14:textFill>
            <w14:solidFill>
              <w14:schemeClr w14:val="tx1"/>
            </w14:solidFill>
          </w14:textFill>
        </w:rPr>
      </w:pPr>
      <w:r>
        <w:rPr>
          <w:rFonts w:ascii="黑体" w:hAnsi="黑体" w:eastAsia="黑体"/>
          <w:bCs/>
          <w:color w:val="000000" w:themeColor="text1"/>
          <w:kern w:val="0"/>
          <w:sz w:val="24"/>
          <w:szCs w:val="24"/>
          <w14:textFill>
            <w14:solidFill>
              <w14:schemeClr w14:val="tx1"/>
            </w14:solidFill>
          </w14:textFill>
        </w:rPr>
        <w:t xml:space="preserve">表6 </w:t>
      </w:r>
      <w:r>
        <w:rPr>
          <w:rFonts w:hint="eastAsia" w:ascii="黑体" w:hAnsi="黑体" w:eastAsia="黑体"/>
          <w:bCs/>
          <w:color w:val="000000" w:themeColor="text1"/>
          <w:kern w:val="0"/>
          <w:sz w:val="24"/>
          <w:szCs w:val="24"/>
          <w14:textFill>
            <w14:solidFill>
              <w14:schemeClr w14:val="tx1"/>
            </w14:solidFill>
          </w14:textFill>
        </w:rPr>
        <w:t>海口市江东新区园区配套基础设施配套项目（二期）</w:t>
      </w:r>
      <w:r>
        <w:rPr>
          <w:rFonts w:ascii="黑体" w:hAnsi="黑体" w:eastAsia="黑体"/>
          <w:bCs/>
          <w:color w:val="000000" w:themeColor="text1"/>
          <w:sz w:val="24"/>
          <w:szCs w:val="24"/>
          <w14:textFill>
            <w14:solidFill>
              <w14:schemeClr w14:val="tx1"/>
            </w14:solidFill>
          </w14:textFill>
        </w:rPr>
        <w:t>现金流模拟测算表（续表）</w:t>
      </w:r>
    </w:p>
    <w:p>
      <w:pPr>
        <w:spacing w:after="0" w:line="240" w:lineRule="auto"/>
        <w:ind w:right="226"/>
        <w:jc w:val="right"/>
        <w:rPr>
          <w:rFonts w:hint="eastAsia" w:ascii="仿宋_GB2312" w:hAnsi="楷体" w:eastAsia="仿宋_GB2312"/>
          <w:color w:val="000000" w:themeColor="text1"/>
          <w:szCs w:val="20"/>
          <w14:textFill>
            <w14:solidFill>
              <w14:schemeClr w14:val="tx1"/>
            </w14:solidFill>
          </w14:textFill>
        </w:rPr>
      </w:pPr>
      <w:r>
        <w:rPr>
          <w:rFonts w:hint="eastAsia" w:ascii="仿宋_GB2312" w:hAnsi="楷体" w:eastAsia="仿宋_GB2312"/>
          <w:color w:val="000000" w:themeColor="text1"/>
          <w:szCs w:val="20"/>
          <w14:textFill>
            <w14:solidFill>
              <w14:schemeClr w14:val="tx1"/>
            </w14:solidFill>
          </w14:textFill>
        </w:rPr>
        <w:t>单位： 人民币万元</w:t>
      </w:r>
    </w:p>
    <w:tbl>
      <w:tblPr>
        <w:tblStyle w:val="15"/>
        <w:tblW w:w="4911" w:type="pct"/>
        <w:jc w:val="center"/>
        <w:tblLayout w:type="autofit"/>
        <w:tblCellMar>
          <w:top w:w="0" w:type="dxa"/>
          <w:left w:w="108" w:type="dxa"/>
          <w:bottom w:w="0" w:type="dxa"/>
          <w:right w:w="108" w:type="dxa"/>
        </w:tblCellMar>
      </w:tblPr>
      <w:tblGrid>
        <w:gridCol w:w="3096"/>
        <w:gridCol w:w="1858"/>
        <w:gridCol w:w="1858"/>
        <w:gridCol w:w="1858"/>
        <w:gridCol w:w="1858"/>
        <w:gridCol w:w="1858"/>
        <w:gridCol w:w="1858"/>
      </w:tblGrid>
      <w:tr>
        <w:tblPrEx>
          <w:tblCellMar>
            <w:top w:w="0" w:type="dxa"/>
            <w:left w:w="108" w:type="dxa"/>
            <w:bottom w:w="0" w:type="dxa"/>
            <w:right w:w="108" w:type="dxa"/>
          </w:tblCellMar>
        </w:tblPrEx>
        <w:trPr>
          <w:trHeight w:val="312" w:hRule="atLeast"/>
          <w:jc w:val="center"/>
        </w:trPr>
        <w:tc>
          <w:tcPr>
            <w:tcW w:w="108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年度</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2031</w:t>
            </w:r>
            <w:r>
              <w:rPr>
                <w:rFonts w:hint="eastAsia" w:ascii="仿宋_GB2312" w:hAnsi="Verdana" w:eastAsia="仿宋_GB2312" w:cs="Arial"/>
                <w:b/>
                <w:bCs/>
                <w:kern w:val="0"/>
                <w:sz w:val="20"/>
                <w:szCs w:val="20"/>
              </w:rPr>
              <w:t>年</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2032</w:t>
            </w:r>
            <w:r>
              <w:rPr>
                <w:rFonts w:hint="eastAsia" w:ascii="仿宋_GB2312" w:hAnsi="Verdana" w:eastAsia="仿宋_GB2312" w:cs="Arial"/>
                <w:b/>
                <w:bCs/>
                <w:kern w:val="0"/>
                <w:sz w:val="20"/>
                <w:szCs w:val="20"/>
              </w:rPr>
              <w:t>年</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2033</w:t>
            </w:r>
            <w:r>
              <w:rPr>
                <w:rFonts w:hint="eastAsia" w:ascii="仿宋_GB2312" w:hAnsi="Verdana" w:eastAsia="仿宋_GB2312" w:cs="Arial"/>
                <w:b/>
                <w:bCs/>
                <w:kern w:val="0"/>
                <w:sz w:val="20"/>
                <w:szCs w:val="20"/>
              </w:rPr>
              <w:t>年</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2034</w:t>
            </w:r>
            <w:r>
              <w:rPr>
                <w:rFonts w:hint="eastAsia" w:ascii="仿宋_GB2312" w:hAnsi="Verdana" w:eastAsia="仿宋_GB2312" w:cs="Arial"/>
                <w:b/>
                <w:bCs/>
                <w:kern w:val="0"/>
                <w:sz w:val="20"/>
                <w:szCs w:val="20"/>
              </w:rPr>
              <w:t>年</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2035</w:t>
            </w:r>
            <w:r>
              <w:rPr>
                <w:rFonts w:hint="eastAsia" w:ascii="仿宋_GB2312" w:hAnsi="Verdana" w:eastAsia="仿宋_GB2312" w:cs="Arial"/>
                <w:b/>
                <w:bCs/>
                <w:kern w:val="0"/>
                <w:sz w:val="20"/>
                <w:szCs w:val="20"/>
              </w:rPr>
              <w:t>年</w:t>
            </w:r>
          </w:p>
        </w:tc>
        <w:tc>
          <w:tcPr>
            <w:tcW w:w="65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hint="eastAsia" w:ascii="仿宋_GB2312" w:hAnsi="Verdana" w:eastAsia="仿宋_GB2312" w:cs="Arial"/>
                <w:b/>
                <w:bCs/>
                <w:kern w:val="0"/>
                <w:sz w:val="20"/>
                <w:szCs w:val="20"/>
              </w:rPr>
              <w:t>合计</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现金流入</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自筹资金流入</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10,400</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债券资金流入</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1,600</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运营期现金流入</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23</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2,535</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现金流入总额</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23</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14,535</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现金流出</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建设期资金流出</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11,957</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运营期现金流出</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债券还本付息</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1,023</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605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1,947</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债券发行费用</w:t>
            </w:r>
            <w:r>
              <w:rPr>
                <w:rFonts w:ascii="仿宋_GB2312" w:hAnsi="Verdana" w:eastAsia="仿宋_GB2312" w:cs="宋体"/>
                <w:kern w:val="0"/>
                <w:sz w:val="20"/>
                <w:szCs w:val="20"/>
              </w:rPr>
              <w:t>/</w:t>
            </w:r>
            <w:r>
              <w:rPr>
                <w:rFonts w:hint="eastAsia" w:ascii="仿宋_GB2312" w:hAnsi="Verdana" w:eastAsia="仿宋_GB2312" w:cs="宋体"/>
                <w:kern w:val="0"/>
                <w:sz w:val="20"/>
                <w:szCs w:val="20"/>
              </w:rPr>
              <w:t>融资费用</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现金流出总额</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1,023</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605</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13,905</w:t>
            </w: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现金净流量</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当年项目现金净流入</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240</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-748</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-582</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p>
        </w:tc>
      </w:tr>
      <w:tr>
        <w:tblPrEx>
          <w:tblCellMar>
            <w:top w:w="0" w:type="dxa"/>
            <w:left w:w="108" w:type="dxa"/>
            <w:bottom w:w="0" w:type="dxa"/>
            <w:right w:w="108" w:type="dxa"/>
          </w:tblCellMar>
        </w:tblPrEx>
        <w:trPr>
          <w:trHeight w:val="312" w:hRule="atLeast"/>
          <w:jc w:val="center"/>
        </w:trPr>
        <w:tc>
          <w:tcPr>
            <w:tcW w:w="1087"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期末项目累计现金结存额</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1,479</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1,720</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1,960</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1,212</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629</w:t>
            </w:r>
          </w:p>
        </w:tc>
        <w:tc>
          <w:tcPr>
            <w:tcW w:w="65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p>
        </w:tc>
      </w:tr>
    </w:tbl>
    <w:p>
      <w:pPr>
        <w:spacing w:after="0" w:line="240" w:lineRule="auto"/>
        <w:ind w:right="226"/>
        <w:jc w:val="right"/>
        <w:rPr>
          <w:rFonts w:hint="eastAsia" w:ascii="仿宋_GB2312" w:hAnsi="楷体" w:eastAsia="仿宋_GB2312"/>
          <w:color w:val="000000" w:themeColor="text1"/>
          <w:szCs w:val="20"/>
          <w14:textFill>
            <w14:solidFill>
              <w14:schemeClr w14:val="tx1"/>
            </w14:solidFill>
          </w14:textFill>
        </w:rPr>
      </w:pPr>
    </w:p>
    <w:p>
      <w:pPr>
        <w:spacing w:after="0" w:line="240" w:lineRule="auto"/>
        <w:ind w:right="226"/>
        <w:jc w:val="right"/>
        <w:rPr>
          <w:rFonts w:hint="eastAsia" w:ascii="楷体" w:hAnsi="楷体" w:eastAsia="楷体"/>
          <w:color w:val="000000" w:themeColor="text1"/>
          <w:szCs w:val="20"/>
          <w14:textFill>
            <w14:solidFill>
              <w14:schemeClr w14:val="tx1"/>
            </w14:solidFill>
          </w14:textFill>
        </w:rPr>
      </w:pPr>
    </w:p>
    <w:p>
      <w:pPr>
        <w:widowControl/>
        <w:spacing w:after="0" w:line="240" w:lineRule="auto"/>
        <w:ind w:right="-584"/>
        <w:jc w:val="right"/>
        <w:rPr>
          <w:rFonts w:hint="eastAsia" w:ascii="楷体" w:hAnsi="楷体" w:eastAsia="楷体"/>
          <w:color w:val="000000" w:themeColor="text1"/>
          <w:kern w:val="0"/>
          <w:sz w:val="20"/>
          <w:szCs w:val="20"/>
          <w14:textFill>
            <w14:solidFill>
              <w14:schemeClr w14:val="tx1"/>
            </w14:solidFill>
          </w14:textFill>
        </w:rPr>
      </w:pPr>
    </w:p>
    <w:p>
      <w:pPr>
        <w:tabs>
          <w:tab w:val="left" w:pos="1416"/>
        </w:tabs>
        <w:rPr>
          <w:rFonts w:hint="eastAsia" w:ascii="楷体" w:hAnsi="楷体" w:eastAsia="楷体" w:cs="楷体"/>
          <w:color w:val="000000" w:themeColor="text1"/>
          <w:sz w:val="20"/>
          <w:szCs w:val="20"/>
          <w14:textFill>
            <w14:solidFill>
              <w14:schemeClr w14:val="tx1"/>
            </w14:solidFill>
          </w14:textFill>
        </w:rPr>
        <w:sectPr>
          <w:footerReference r:id="rId9" w:type="default"/>
          <w:pgSz w:w="16838" w:h="11906" w:orient="landscape"/>
          <w:pgMar w:top="1797" w:right="1276" w:bottom="1797" w:left="1276" w:header="709" w:footer="851" w:gutter="0"/>
          <w:cols w:space="708" w:num="1"/>
          <w:docGrid w:linePitch="360" w:charSpace="0"/>
        </w:sectPr>
      </w:pPr>
    </w:p>
    <w:p>
      <w:pPr>
        <w:widowControl/>
        <w:spacing w:before="120" w:after="120" w:line="360" w:lineRule="auto"/>
        <w:ind w:firstLine="454"/>
        <w:rPr>
          <w:rFonts w:hint="eastAsia" w:ascii="仿宋_GB2312" w:hAnsi="楷体" w:eastAsia="仿宋_GB2312" w:cs="楷体"/>
          <w:color w:val="000000" w:themeColor="text1"/>
          <w:kern w:val="0"/>
          <w:sz w:val="28"/>
          <w:szCs w:val="28"/>
          <w14:textFill>
            <w14:solidFill>
              <w14:schemeClr w14:val="tx1"/>
            </w14:solidFill>
          </w14:textFill>
        </w:rPr>
      </w:pPr>
      <w:r>
        <w:rPr>
          <w:rFonts w:hint="eastAsia" w:ascii="仿宋_GB2312" w:hAnsi="楷体" w:eastAsia="仿宋_GB2312" w:cs="楷体"/>
          <w:color w:val="000000" w:themeColor="text1"/>
          <w:kern w:val="0"/>
          <w:sz w:val="28"/>
          <w:szCs w:val="28"/>
          <w14:textFill>
            <w14:solidFill>
              <w14:schemeClr w14:val="tx1"/>
            </w14:solidFill>
          </w14:textFill>
        </w:rPr>
        <w:t>基于以上投资计划、资金筹措安排，我们未发现建设期内所需建设资金存在缺口的情况，且项目每年累计资金余额为正值，满足项目自身收益还本付息的前提下，仍有富余资金，显示项目具备一定的盈利能力、偿债能力和可持续性。</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7" w:name="_Toc200724645"/>
      <w:r>
        <w:rPr>
          <w:rFonts w:hint="eastAsia" w:ascii="楷体" w:hAnsi="楷体" w:eastAsia="楷体" w:cs="楷体"/>
          <w:b/>
          <w:bCs/>
          <w:color w:val="000000" w:themeColor="text1"/>
          <w:kern w:val="0"/>
          <w:sz w:val="28"/>
          <w:szCs w:val="28"/>
          <w:lang w:val="en-GB"/>
          <w14:textFill>
            <w14:solidFill>
              <w14:schemeClr w14:val="tx1"/>
            </w14:solidFill>
          </w14:textFill>
        </w:rPr>
        <w:t>（二）资金稳定性</w:t>
      </w:r>
      <w:bookmarkEnd w:id="17"/>
    </w:p>
    <w:p>
      <w:pPr>
        <w:widowControl/>
        <w:spacing w:before="120" w:after="120" w:line="360" w:lineRule="auto"/>
        <w:ind w:firstLine="560" w:firstLineChars="200"/>
        <w:rPr>
          <w:rFonts w:hint="eastAsia" w:ascii="仿宋_GB2312" w:hAnsi="楷体" w:eastAsia="仿宋_GB2312"/>
          <w:color w:val="000000" w:themeColor="text1"/>
          <w:kern w:val="0"/>
          <w:sz w:val="28"/>
          <w:szCs w:val="28"/>
          <w14:textFill>
            <w14:solidFill>
              <w14:schemeClr w14:val="tx1"/>
            </w14:solidFill>
          </w14:textFill>
        </w:rPr>
      </w:pPr>
      <w:r>
        <w:rPr>
          <w:rFonts w:hint="eastAsia" w:ascii="仿宋_GB2312" w:hAnsi="楷体" w:eastAsia="仿宋_GB2312"/>
          <w:color w:val="000000" w:themeColor="text1"/>
          <w:kern w:val="0"/>
          <w:sz w:val="28"/>
          <w:szCs w:val="28"/>
          <w14:textFill>
            <w14:solidFill>
              <w14:schemeClr w14:val="tx1"/>
            </w14:solidFill>
          </w14:textFill>
        </w:rPr>
        <w:t>海口市江东新区园区配套基础设施配套项目（二期）以入廊费收入、日常维护费收入、智慧灯杆收入、路灯广告收入、综合杆广告收入作为偿债收益来源，债券存续期（2024-2035年）内各年现金净流量，可覆盖债券存续期间各年利息及到期偿还本金的支出需求；且项目专项债券到期时，在偿还当年到期的债券本息后，仍有</w:t>
      </w:r>
      <w:r>
        <w:rPr>
          <w:rFonts w:ascii="仿宋_GB2312" w:hAnsi="楷体" w:eastAsia="仿宋_GB2312"/>
          <w:color w:val="000000" w:themeColor="text1"/>
          <w:kern w:val="0"/>
          <w:sz w:val="28"/>
          <w:szCs w:val="28"/>
          <w14:textFill>
            <w14:solidFill>
              <w14:schemeClr w14:val="tx1"/>
            </w14:solidFill>
          </w14:textFill>
        </w:rPr>
        <w:t>629</w:t>
      </w:r>
      <w:r>
        <w:rPr>
          <w:rFonts w:hint="eastAsia" w:ascii="仿宋_GB2312" w:hAnsi="楷体" w:eastAsia="仿宋_GB2312"/>
          <w:color w:val="000000" w:themeColor="text1"/>
          <w:kern w:val="0"/>
          <w:sz w:val="28"/>
          <w:szCs w:val="28"/>
          <w14:textFill>
            <w14:solidFill>
              <w14:schemeClr w14:val="tx1"/>
            </w14:solidFill>
          </w14:textFill>
        </w:rPr>
        <w:t>万元的累计现金结余，综合本息覆盖率1.32。因此，本项目资金稳定性较可靠。项目债券存续期内资金留存情况如图1所示。</w:t>
      </w:r>
    </w:p>
    <w:p>
      <w:pPr>
        <w:widowControl/>
        <w:tabs>
          <w:tab w:val="left" w:pos="888"/>
        </w:tabs>
        <w:spacing w:before="120" w:after="120" w:line="360" w:lineRule="auto"/>
        <w:jc w:val="center"/>
        <w:rPr>
          <w:rFonts w:hint="eastAsia" w:ascii="楷体" w:hAnsi="楷体" w:eastAsia="楷体"/>
          <w:b/>
          <w:bCs/>
          <w:color w:val="000000" w:themeColor="text1"/>
          <w:kern w:val="0"/>
          <w:sz w:val="24"/>
          <w:szCs w:val="28"/>
          <w14:textFill>
            <w14:solidFill>
              <w14:schemeClr w14:val="tx1"/>
            </w14:solidFill>
          </w14:textFill>
        </w:rPr>
      </w:pPr>
      <w:r>
        <w:drawing>
          <wp:inline distT="0" distB="0" distL="0" distR="0">
            <wp:extent cx="5238750" cy="3390900"/>
            <wp:effectExtent l="0" t="0" r="0" b="0"/>
            <wp:docPr id="164760753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widowControl/>
        <w:tabs>
          <w:tab w:val="left" w:pos="888"/>
        </w:tabs>
        <w:spacing w:before="120" w:after="120" w:line="360" w:lineRule="auto"/>
        <w:jc w:val="center"/>
        <w:rPr>
          <w:rFonts w:hint="eastAsia" w:ascii="黑体" w:hAnsi="黑体" w:eastAsia="黑体"/>
          <w:color w:val="000000" w:themeColor="text1"/>
          <w:kern w:val="0"/>
          <w:sz w:val="28"/>
          <w:szCs w:val="28"/>
          <w14:textFill>
            <w14:solidFill>
              <w14:schemeClr w14:val="tx1"/>
            </w14:solidFill>
          </w14:textFill>
        </w:rPr>
      </w:pPr>
      <w:r>
        <w:rPr>
          <w:rFonts w:ascii="黑体" w:hAnsi="黑体" w:eastAsia="黑体"/>
          <w:color w:val="000000" w:themeColor="text1"/>
          <w:kern w:val="0"/>
          <w:sz w:val="24"/>
          <w:szCs w:val="28"/>
          <w14:textFill>
            <w14:solidFill>
              <w14:schemeClr w14:val="tx1"/>
            </w14:solidFill>
          </w14:textFill>
        </w:rPr>
        <w:t>图1</w:t>
      </w:r>
      <w:r>
        <w:rPr>
          <w:rFonts w:hint="eastAsia" w:ascii="黑体" w:hAnsi="黑体" w:eastAsia="黑体"/>
          <w:color w:val="000000" w:themeColor="text1"/>
          <w:kern w:val="0"/>
          <w:sz w:val="24"/>
          <w:szCs w:val="28"/>
          <w14:textFill>
            <w14:solidFill>
              <w14:schemeClr w14:val="tx1"/>
            </w14:solidFill>
          </w14:textFill>
        </w:rPr>
        <w:t xml:space="preserve"> </w:t>
      </w:r>
      <w:r>
        <w:rPr>
          <w:rFonts w:ascii="黑体" w:hAnsi="黑体" w:eastAsia="黑体"/>
          <w:color w:val="000000" w:themeColor="text1"/>
          <w:kern w:val="0"/>
          <w:sz w:val="24"/>
          <w:szCs w:val="28"/>
          <w14:textFill>
            <w14:solidFill>
              <w14:schemeClr w14:val="tx1"/>
            </w14:solidFill>
          </w14:textFill>
        </w:rPr>
        <w:t>债券存续期内项目累计资金留存情况</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8" w:name="_Toc200724646"/>
      <w:r>
        <w:rPr>
          <w:rFonts w:hint="eastAsia" w:ascii="楷体" w:hAnsi="楷体" w:eastAsia="楷体" w:cs="楷体"/>
          <w:b/>
          <w:bCs/>
          <w:color w:val="000000" w:themeColor="text1"/>
          <w:kern w:val="0"/>
          <w:sz w:val="28"/>
          <w:szCs w:val="28"/>
          <w:lang w:val="en-GB"/>
          <w14:textFill>
            <w14:solidFill>
              <w14:schemeClr w14:val="tx1"/>
            </w14:solidFill>
          </w14:textFill>
        </w:rPr>
        <w:t>（三）抗风险能力分析</w:t>
      </w:r>
      <w:bookmarkEnd w:id="18"/>
    </w:p>
    <w:p>
      <w:pPr>
        <w:widowControl/>
        <w:spacing w:before="120" w:after="120" w:line="360" w:lineRule="auto"/>
        <w:ind w:firstLine="454"/>
        <w:rPr>
          <w:rFonts w:hint="eastAsia" w:ascii="仿宋_GB2312" w:hAnsi="楷体" w:eastAsia="仿宋_GB2312"/>
          <w:color w:val="000000" w:themeColor="text1"/>
          <w:kern w:val="0"/>
          <w:sz w:val="28"/>
          <w:szCs w:val="28"/>
          <w14:textFill>
            <w14:solidFill>
              <w14:schemeClr w14:val="tx1"/>
            </w14:solidFill>
          </w14:textFill>
        </w:rPr>
      </w:pPr>
      <w:r>
        <w:rPr>
          <w:rFonts w:hint="eastAsia" w:ascii="仿宋_GB2312" w:hAnsi="楷体" w:eastAsia="仿宋_GB2312"/>
          <w:color w:val="000000" w:themeColor="text1"/>
          <w:kern w:val="0"/>
          <w:sz w:val="28"/>
          <w:szCs w:val="28"/>
          <w14:textFill>
            <w14:solidFill>
              <w14:schemeClr w14:val="tx1"/>
            </w14:solidFill>
          </w14:textFill>
        </w:rPr>
        <w:t>根据本项目收益与融资平衡的压力测试结果，当项目的运营收入在±20%范围内变动的情况下，项目的债券本息覆盖率仍然＞1。因此，本项目的项目收益对债券还本付息保障性较高，项目可通过压力测试，还本付息资金具有一定的稳定性与风险抵抗能力。项目的压力测试情况详见下表7：</w:t>
      </w:r>
    </w:p>
    <w:p>
      <w:pPr>
        <w:widowControl/>
        <w:adjustRightInd w:val="0"/>
        <w:snapToGrid w:val="0"/>
        <w:spacing w:before="240" w:after="0" w:line="360" w:lineRule="auto"/>
        <w:ind w:firstLine="482" w:firstLineChars="200"/>
        <w:jc w:val="center"/>
        <w:rPr>
          <w:rFonts w:hint="eastAsia" w:ascii="楷体" w:hAnsi="楷体" w:eastAsia="楷体"/>
          <w:b/>
          <w:color w:val="000000" w:themeColor="text1"/>
          <w:kern w:val="0"/>
          <w:sz w:val="24"/>
          <w:szCs w:val="24"/>
          <w14:textFill>
            <w14:solidFill>
              <w14:schemeClr w14:val="tx1"/>
            </w14:solidFill>
          </w14:textFill>
        </w:rPr>
      </w:pPr>
      <w:r>
        <w:rPr>
          <w:rFonts w:ascii="楷体" w:hAnsi="楷体" w:eastAsia="楷体"/>
          <w:b/>
          <w:color w:val="000000" w:themeColor="text1"/>
          <w:kern w:val="0"/>
          <w:sz w:val="24"/>
          <w:szCs w:val="24"/>
          <w14:textFill>
            <w14:solidFill>
              <w14:schemeClr w14:val="tx1"/>
            </w14:solidFill>
          </w14:textFill>
        </w:rPr>
        <w:t>表7</w:t>
      </w:r>
      <w:r>
        <w:rPr>
          <w:rFonts w:hint="eastAsia" w:ascii="楷体" w:hAnsi="楷体" w:eastAsia="楷体"/>
          <w:b/>
          <w:color w:val="000000" w:themeColor="text1"/>
          <w:kern w:val="0"/>
          <w:sz w:val="24"/>
          <w:szCs w:val="24"/>
          <w14:textFill>
            <w14:solidFill>
              <w14:schemeClr w14:val="tx1"/>
            </w14:solidFill>
          </w14:textFill>
        </w:rPr>
        <w:t xml:space="preserve"> </w:t>
      </w:r>
      <w:r>
        <w:rPr>
          <w:rFonts w:ascii="楷体" w:hAnsi="楷体" w:eastAsia="楷体"/>
          <w:b/>
          <w:color w:val="000000" w:themeColor="text1"/>
          <w:kern w:val="0"/>
          <w:sz w:val="24"/>
          <w:szCs w:val="24"/>
          <w14:textFill>
            <w14:solidFill>
              <w14:schemeClr w14:val="tx1"/>
            </w14:solidFill>
          </w14:textFill>
        </w:rPr>
        <w:t>压力测试表</w:t>
      </w:r>
    </w:p>
    <w:tbl>
      <w:tblPr>
        <w:tblStyle w:val="15"/>
        <w:tblW w:w="5086" w:type="pct"/>
        <w:jc w:val="center"/>
        <w:tblLayout w:type="autofit"/>
        <w:tblCellMar>
          <w:top w:w="0" w:type="dxa"/>
          <w:left w:w="108" w:type="dxa"/>
          <w:bottom w:w="0" w:type="dxa"/>
          <w:right w:w="108" w:type="dxa"/>
        </w:tblCellMar>
      </w:tblPr>
      <w:tblGrid>
        <w:gridCol w:w="2325"/>
        <w:gridCol w:w="769"/>
        <w:gridCol w:w="769"/>
        <w:gridCol w:w="769"/>
        <w:gridCol w:w="639"/>
        <w:gridCol w:w="616"/>
        <w:gridCol w:w="616"/>
        <w:gridCol w:w="661"/>
        <w:gridCol w:w="683"/>
        <w:gridCol w:w="828"/>
      </w:tblGrid>
      <w:tr>
        <w:tblPrEx>
          <w:tblCellMar>
            <w:top w:w="0" w:type="dxa"/>
            <w:left w:w="108" w:type="dxa"/>
            <w:bottom w:w="0" w:type="dxa"/>
            <w:right w:w="108" w:type="dxa"/>
          </w:tblCellMar>
        </w:tblPrEx>
        <w:trPr>
          <w:trHeight w:val="312" w:hRule="atLeast"/>
          <w:jc w:val="center"/>
        </w:trPr>
        <w:tc>
          <w:tcPr>
            <w:tcW w:w="120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资金覆盖率</w:t>
            </w:r>
            <w:r>
              <w:rPr>
                <w:rFonts w:ascii="仿宋_GB2312" w:hAnsi="Verdana" w:eastAsia="仿宋_GB2312" w:cs="宋体"/>
                <w:b/>
                <w:bCs/>
                <w:kern w:val="0"/>
                <w:sz w:val="20"/>
                <w:szCs w:val="20"/>
              </w:rPr>
              <w:t xml:space="preserve"> - </w:t>
            </w:r>
            <w:r>
              <w:rPr>
                <w:rFonts w:hint="eastAsia" w:ascii="仿宋_GB2312" w:hAnsi="Verdana" w:eastAsia="仿宋_GB2312" w:cs="宋体"/>
                <w:b/>
                <w:bCs/>
                <w:kern w:val="0"/>
                <w:sz w:val="20"/>
                <w:szCs w:val="20"/>
              </w:rPr>
              <w:t>压力测试</w:t>
            </w:r>
          </w:p>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（单因素敏感性分析）</w:t>
            </w:r>
          </w:p>
        </w:tc>
        <w:tc>
          <w:tcPr>
            <w:tcW w:w="459"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w:t>
            </w:r>
          </w:p>
        </w:tc>
        <w:tc>
          <w:tcPr>
            <w:tcW w:w="459"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-15%</w:t>
            </w:r>
          </w:p>
        </w:tc>
        <w:tc>
          <w:tcPr>
            <w:tcW w:w="459"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-10%</w:t>
            </w:r>
          </w:p>
        </w:tc>
        <w:tc>
          <w:tcPr>
            <w:tcW w:w="38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-5%</w:t>
            </w:r>
          </w:p>
        </w:tc>
        <w:tc>
          <w:tcPr>
            <w:tcW w:w="36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0%</w:t>
            </w:r>
          </w:p>
        </w:tc>
        <w:tc>
          <w:tcPr>
            <w:tcW w:w="364"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5%</w:t>
            </w:r>
          </w:p>
        </w:tc>
        <w:tc>
          <w:tcPr>
            <w:tcW w:w="409"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10%</w:t>
            </w:r>
          </w:p>
        </w:tc>
        <w:tc>
          <w:tcPr>
            <w:tcW w:w="409"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15%</w:t>
            </w:r>
          </w:p>
        </w:tc>
        <w:tc>
          <w:tcPr>
            <w:tcW w:w="493"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Arial"/>
                <w:b/>
                <w:bCs/>
                <w:kern w:val="0"/>
                <w:sz w:val="20"/>
                <w:szCs w:val="20"/>
              </w:rPr>
            </w:pPr>
            <w:r>
              <w:rPr>
                <w:rFonts w:ascii="仿宋_GB2312" w:hAnsi="Verdana" w:eastAsia="仿宋_GB2312" w:cs="Arial"/>
                <w:b/>
                <w:bCs/>
                <w:kern w:val="0"/>
                <w:sz w:val="20"/>
                <w:szCs w:val="20"/>
              </w:rPr>
              <w:t>20%</w:t>
            </w:r>
          </w:p>
        </w:tc>
      </w:tr>
      <w:tr>
        <w:tblPrEx>
          <w:tblCellMar>
            <w:top w:w="0" w:type="dxa"/>
            <w:left w:w="108" w:type="dxa"/>
            <w:bottom w:w="0" w:type="dxa"/>
            <w:right w:w="108" w:type="dxa"/>
          </w:tblCellMar>
        </w:tblPrEx>
        <w:trPr>
          <w:trHeight w:val="312" w:hRule="atLeast"/>
          <w:jc w:val="center"/>
        </w:trPr>
        <w:tc>
          <w:tcPr>
            <w:tcW w:w="1200"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jc w:val="left"/>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净收益变动敏感性分析</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38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c>
          <w:tcPr>
            <w:tcW w:w="49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b/>
                <w:bCs/>
                <w:kern w:val="0"/>
                <w:sz w:val="20"/>
                <w:szCs w:val="20"/>
              </w:rPr>
            </w:pPr>
          </w:p>
        </w:tc>
      </w:tr>
      <w:tr>
        <w:tblPrEx>
          <w:tblCellMar>
            <w:top w:w="0" w:type="dxa"/>
            <w:left w:w="108" w:type="dxa"/>
            <w:bottom w:w="0" w:type="dxa"/>
            <w:right w:w="108" w:type="dxa"/>
          </w:tblCellMar>
        </w:tblPrEx>
        <w:trPr>
          <w:trHeight w:val="312" w:hRule="atLeast"/>
          <w:jc w:val="center"/>
        </w:trPr>
        <w:tc>
          <w:tcPr>
            <w:tcW w:w="1200"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jc w:val="left"/>
              <w:rPr>
                <w:rFonts w:ascii="仿宋_GB2312" w:hAnsi="Verdana" w:eastAsia="仿宋_GB2312" w:cs="宋体"/>
                <w:kern w:val="0"/>
                <w:sz w:val="20"/>
                <w:szCs w:val="20"/>
              </w:rPr>
            </w:pPr>
            <w:r>
              <w:rPr>
                <w:rFonts w:hint="eastAsia" w:ascii="仿宋_GB2312" w:hAnsi="Verdana" w:eastAsia="仿宋_GB2312" w:cs="宋体"/>
                <w:kern w:val="0"/>
                <w:sz w:val="20"/>
                <w:szCs w:val="20"/>
              </w:rPr>
              <w:t>债券本金资金覆盖率</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1.08</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1.16</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1.24</w:t>
            </w:r>
          </w:p>
        </w:tc>
        <w:tc>
          <w:tcPr>
            <w:tcW w:w="38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1.31</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1.39</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1.47</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1.55</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1.63</w:t>
            </w:r>
          </w:p>
        </w:tc>
        <w:tc>
          <w:tcPr>
            <w:tcW w:w="49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1.71</w:t>
            </w:r>
          </w:p>
        </w:tc>
      </w:tr>
      <w:tr>
        <w:tblPrEx>
          <w:tblCellMar>
            <w:top w:w="0" w:type="dxa"/>
            <w:left w:w="108" w:type="dxa"/>
            <w:bottom w:w="0" w:type="dxa"/>
            <w:right w:w="108" w:type="dxa"/>
          </w:tblCellMar>
        </w:tblPrEx>
        <w:trPr>
          <w:trHeight w:val="312" w:hRule="atLeast"/>
          <w:jc w:val="center"/>
        </w:trPr>
        <w:tc>
          <w:tcPr>
            <w:tcW w:w="1200"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jc w:val="left"/>
              <w:rPr>
                <w:rFonts w:ascii="仿宋_GB2312" w:hAnsi="Verdana" w:eastAsia="仿宋_GB2312" w:cs="宋体"/>
                <w:kern w:val="0"/>
                <w:sz w:val="20"/>
                <w:szCs w:val="20"/>
              </w:rPr>
            </w:pPr>
            <w:r>
              <w:rPr>
                <w:rFonts w:hint="eastAsia" w:ascii="仿宋_GB2312" w:hAnsi="Verdana" w:eastAsia="仿宋_GB2312" w:cs="宋体"/>
                <w:kern w:val="0"/>
                <w:sz w:val="20"/>
                <w:szCs w:val="20"/>
              </w:rPr>
              <w:t>债券本息资金覆盖率</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1.06</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1.13</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1.19</w:t>
            </w:r>
          </w:p>
        </w:tc>
        <w:tc>
          <w:tcPr>
            <w:tcW w:w="38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1.26</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1.32</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1.39</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1.45</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1.52</w:t>
            </w:r>
          </w:p>
        </w:tc>
        <w:tc>
          <w:tcPr>
            <w:tcW w:w="49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1.58</w:t>
            </w:r>
          </w:p>
        </w:tc>
      </w:tr>
      <w:tr>
        <w:tblPrEx>
          <w:tblCellMar>
            <w:top w:w="0" w:type="dxa"/>
            <w:left w:w="108" w:type="dxa"/>
            <w:bottom w:w="0" w:type="dxa"/>
            <w:right w:w="108" w:type="dxa"/>
          </w:tblCellMar>
        </w:tblPrEx>
        <w:trPr>
          <w:trHeight w:val="312" w:hRule="atLeast"/>
          <w:jc w:val="center"/>
        </w:trPr>
        <w:tc>
          <w:tcPr>
            <w:tcW w:w="1200"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jc w:val="left"/>
              <w:rPr>
                <w:rFonts w:ascii="仿宋_GB2312" w:hAnsi="Verdana" w:eastAsia="仿宋_GB2312" w:cs="宋体"/>
                <w:kern w:val="0"/>
                <w:sz w:val="20"/>
                <w:szCs w:val="20"/>
              </w:rPr>
            </w:pPr>
            <w:r>
              <w:rPr>
                <w:rFonts w:hint="eastAsia" w:ascii="仿宋_GB2312" w:hAnsi="Verdana" w:eastAsia="仿宋_GB2312" w:cs="宋体"/>
                <w:kern w:val="0"/>
                <w:sz w:val="20"/>
                <w:szCs w:val="20"/>
              </w:rPr>
              <w:t>债券本息资金覆盖倍数</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1.04</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1.11</w:t>
            </w:r>
          </w:p>
        </w:tc>
        <w:tc>
          <w:tcPr>
            <w:tcW w:w="45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1.17</w:t>
            </w:r>
          </w:p>
        </w:tc>
        <w:tc>
          <w:tcPr>
            <w:tcW w:w="38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1.24</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1.30</w:t>
            </w:r>
          </w:p>
        </w:tc>
        <w:tc>
          <w:tcPr>
            <w:tcW w:w="364"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1.37</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1.43</w:t>
            </w:r>
          </w:p>
        </w:tc>
        <w:tc>
          <w:tcPr>
            <w:tcW w:w="409"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1.50</w:t>
            </w:r>
          </w:p>
        </w:tc>
        <w:tc>
          <w:tcPr>
            <w:tcW w:w="493"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Arial"/>
                <w:kern w:val="0"/>
                <w:sz w:val="20"/>
                <w:szCs w:val="20"/>
              </w:rPr>
            </w:pPr>
            <w:r>
              <w:rPr>
                <w:rFonts w:ascii="仿宋_GB2312" w:hAnsi="Verdana" w:eastAsia="仿宋_GB2312" w:cs="Arial"/>
                <w:kern w:val="0"/>
                <w:sz w:val="20"/>
                <w:szCs w:val="20"/>
              </w:rPr>
              <w:t>1.56</w:t>
            </w:r>
          </w:p>
        </w:tc>
      </w:tr>
    </w:tbl>
    <w:p>
      <w:pPr>
        <w:widowControl/>
        <w:spacing w:before="120" w:after="0" w:line="360" w:lineRule="auto"/>
        <w:ind w:firstLine="454"/>
        <w:rPr>
          <w:rFonts w:hint="eastAsia" w:ascii="仿宋_GB2312" w:hAnsi="楷体" w:eastAsia="仿宋_GB2312" w:cs="楷体"/>
          <w:color w:val="000000" w:themeColor="text1"/>
          <w:kern w:val="0"/>
          <w:sz w:val="28"/>
          <w:szCs w:val="28"/>
          <w14:textFill>
            <w14:solidFill>
              <w14:schemeClr w14:val="tx1"/>
            </w14:solidFill>
          </w14:textFill>
        </w:rPr>
      </w:pPr>
      <w:r>
        <w:rPr>
          <w:rFonts w:hint="eastAsia" w:ascii="仿宋_GB2312" w:hAnsi="楷体" w:eastAsia="仿宋_GB2312" w:cs="楷体"/>
          <w:color w:val="000000" w:themeColor="text1"/>
          <w:kern w:val="0"/>
          <w:sz w:val="28"/>
          <w:szCs w:val="28"/>
          <w14:textFill>
            <w14:solidFill>
              <w14:schemeClr w14:val="tx1"/>
            </w14:solidFill>
          </w14:textFill>
        </w:rPr>
        <w:t>总体而言，本项目产生收入对其拟使用的募集资金保障程度较高。同时，因本项目还本付息资金主要来源于运营收入，建议进一步关注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pPr>
        <w:pStyle w:val="2"/>
      </w:pPr>
      <w:r>
        <w:br w:type="page"/>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19" w:name="_Toc200724647"/>
      <w:r>
        <w:rPr>
          <w:rFonts w:hint="eastAsia" w:ascii="楷体" w:hAnsi="楷体" w:eastAsia="楷体" w:cs="楷体"/>
          <w:b/>
          <w:bCs/>
          <w:color w:val="000000" w:themeColor="text1"/>
          <w:kern w:val="0"/>
          <w:sz w:val="28"/>
          <w:szCs w:val="28"/>
          <w:lang w:val="en-GB"/>
          <w14:textFill>
            <w14:solidFill>
              <w14:schemeClr w14:val="tx1"/>
            </w14:solidFill>
          </w14:textFill>
        </w:rPr>
        <w:t>（四）预期收益分析</w:t>
      </w:r>
      <w:bookmarkEnd w:id="19"/>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bookmarkStart w:id="20" w:name="_Toc521773617"/>
      <w:bookmarkStart w:id="21" w:name="_Toc521790292"/>
      <w:r>
        <w:rPr>
          <w:rFonts w:hint="eastAsia" w:ascii="仿宋_GB2312" w:hAnsi="楷体" w:eastAsia="仿宋_GB2312" w:cs="楷体"/>
          <w:b/>
          <w:bCs/>
          <w:color w:val="000000" w:themeColor="text1"/>
          <w:kern w:val="0"/>
          <w:sz w:val="28"/>
          <w:szCs w:val="28"/>
          <w14:textFill>
            <w14:solidFill>
              <w14:schemeClr w14:val="tx1"/>
            </w14:solidFill>
          </w14:textFill>
        </w:rPr>
        <w:t>1．预期收入分析</w:t>
      </w:r>
    </w:p>
    <w:p>
      <w:pPr>
        <w:spacing w:before="120" w:after="120" w:line="360" w:lineRule="auto"/>
        <w:ind w:firstLine="454"/>
        <w:rPr>
          <w:rFonts w:hint="eastAsia" w:ascii="仿宋_GB2312" w:hAnsi="楷体" w:eastAsia="仿宋_GB2312"/>
          <w:color w:val="000000"/>
          <w:sz w:val="28"/>
          <w:szCs w:val="28"/>
        </w:rPr>
      </w:pPr>
      <w:r>
        <w:rPr>
          <w:rFonts w:hint="eastAsia" w:ascii="仿宋_GB2312" w:hAnsi="楷体" w:eastAsia="仿宋_GB2312"/>
          <w:color w:val="000000"/>
          <w:sz w:val="28"/>
          <w:szCs w:val="28"/>
        </w:rPr>
        <w:t>海口市江东新区园区配套基础设施配套项目（二期）以入廊费收入、日常维护费收入、智慧灯杆收入、路灯广告收入、综合杆广告收入作为偿债收益来源。结合债券实际发行时间和收入实现情况预估，从保守谨慎的角度出发，债券存续期最后一年仅考虑1个月收支。</w:t>
      </w:r>
    </w:p>
    <w:p>
      <w:pPr>
        <w:spacing w:before="120" w:after="120" w:line="360" w:lineRule="auto"/>
        <w:ind w:firstLine="567"/>
        <w:rPr>
          <w:rFonts w:hint="eastAsia" w:ascii="仿宋_GB2312" w:hAnsi="楷体" w:eastAsia="仿宋_GB2312"/>
          <w:sz w:val="28"/>
          <w:szCs w:val="28"/>
        </w:rPr>
      </w:pPr>
      <w:r>
        <w:rPr>
          <w:rFonts w:hint="eastAsia" w:ascii="仿宋_GB2312" w:hAnsi="楷体" w:eastAsia="仿宋_GB2312" w:cs="Calibri"/>
          <w:sz w:val="28"/>
          <w:szCs w:val="28"/>
        </w:rPr>
        <w:t>（1）入廊费收入、日常维护费收入</w:t>
      </w:r>
    </w:p>
    <w:p>
      <w:pPr>
        <w:spacing w:before="120" w:after="120" w:line="360" w:lineRule="auto"/>
        <w:ind w:firstLine="454"/>
        <w:rPr>
          <w:rFonts w:hint="eastAsia" w:ascii="仿宋_GB2312" w:hAnsi="楷体" w:eastAsia="仿宋_GB2312"/>
          <w:color w:val="000000"/>
          <w:sz w:val="28"/>
          <w:szCs w:val="28"/>
        </w:rPr>
      </w:pPr>
      <w:r>
        <w:rPr>
          <w:rFonts w:hint="eastAsia" w:ascii="仿宋_GB2312" w:hAnsi="楷体" w:eastAsia="仿宋_GB2312"/>
          <w:color w:val="000000"/>
          <w:sz w:val="28"/>
          <w:szCs w:val="28"/>
        </w:rPr>
        <w:t>根据业主单位提供的信息，本项目包含缆线型管廊，项目缆线型管廊长度246米。</w:t>
      </w:r>
    </w:p>
    <w:p>
      <w:pPr>
        <w:spacing w:before="120" w:after="120" w:line="360" w:lineRule="auto"/>
        <w:ind w:firstLine="454"/>
        <w:rPr>
          <w:rFonts w:hint="eastAsia" w:ascii="仿宋_GB2312" w:hAnsi="楷体" w:eastAsia="仿宋_GB2312"/>
          <w:color w:val="000000"/>
          <w:sz w:val="28"/>
          <w:szCs w:val="28"/>
        </w:rPr>
      </w:pPr>
      <w:r>
        <w:rPr>
          <w:rFonts w:hint="eastAsia" w:ascii="仿宋_GB2312" w:hAnsi="楷体" w:eastAsia="仿宋_GB2312"/>
          <w:color w:val="000000"/>
          <w:sz w:val="28"/>
          <w:szCs w:val="28"/>
        </w:rPr>
        <w:t>参考海南省其他地区同类型项目的收费标准，本项目综合管廊收费单价如下。</w:t>
      </w:r>
    </w:p>
    <w:tbl>
      <w:tblPr>
        <w:tblStyle w:val="15"/>
        <w:tblW w:w="0" w:type="auto"/>
        <w:tblInd w:w="0" w:type="dxa"/>
        <w:tblLayout w:type="fixed"/>
        <w:tblCellMar>
          <w:top w:w="0" w:type="dxa"/>
          <w:left w:w="108" w:type="dxa"/>
          <w:bottom w:w="0" w:type="dxa"/>
          <w:right w:w="108" w:type="dxa"/>
        </w:tblCellMar>
      </w:tblPr>
      <w:tblGrid>
        <w:gridCol w:w="2288"/>
        <w:gridCol w:w="3659"/>
        <w:gridCol w:w="2689"/>
      </w:tblGrid>
      <w:tr>
        <w:tblPrEx>
          <w:tblCellMar>
            <w:top w:w="0" w:type="dxa"/>
            <w:left w:w="108" w:type="dxa"/>
            <w:bottom w:w="0" w:type="dxa"/>
            <w:right w:w="108" w:type="dxa"/>
          </w:tblCellMar>
        </w:tblPrEx>
        <w:trPr>
          <w:trHeight w:val="20" w:hRule="atLeast"/>
        </w:trPr>
        <w:tc>
          <w:tcPr>
            <w:tcW w:w="228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b/>
                <w:bCs/>
                <w:color w:val="000000" w:themeColor="text1"/>
                <w:sz w:val="22"/>
                <w14:textFill>
                  <w14:solidFill>
                    <w14:schemeClr w14:val="tx1"/>
                  </w14:solidFill>
                </w14:textFill>
              </w:rPr>
            </w:pPr>
            <w:r>
              <w:rPr>
                <w:rFonts w:hint="eastAsia" w:ascii="仿宋_GB2312" w:hAnsi="楷体" w:eastAsia="仿宋_GB2312"/>
                <w:b/>
                <w:bCs/>
                <w:color w:val="000000" w:themeColor="text1"/>
                <w:sz w:val="22"/>
                <w14:textFill>
                  <w14:solidFill>
                    <w14:schemeClr w14:val="tx1"/>
                  </w14:solidFill>
                </w14:textFill>
              </w:rPr>
              <w:t>管线类型</w:t>
            </w:r>
          </w:p>
        </w:tc>
        <w:tc>
          <w:tcPr>
            <w:tcW w:w="3659"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exact"/>
              <w:jc w:val="center"/>
              <w:rPr>
                <w:rFonts w:hint="eastAsia" w:ascii="仿宋_GB2312" w:hAnsi="楷体" w:eastAsia="仿宋_GB2312"/>
                <w:b/>
                <w:bCs/>
                <w:color w:val="000000" w:themeColor="text1"/>
                <w:sz w:val="22"/>
                <w14:textFill>
                  <w14:solidFill>
                    <w14:schemeClr w14:val="tx1"/>
                  </w14:solidFill>
                </w14:textFill>
              </w:rPr>
            </w:pPr>
            <w:r>
              <w:rPr>
                <w:rFonts w:hint="eastAsia" w:ascii="仿宋_GB2312" w:hAnsi="楷体" w:eastAsia="仿宋_GB2312"/>
                <w:b/>
                <w:bCs/>
                <w:color w:val="000000" w:themeColor="text1"/>
                <w:sz w:val="22"/>
                <w14:textFill>
                  <w14:solidFill>
                    <w14:schemeClr w14:val="tx1"/>
                  </w14:solidFill>
                </w14:textFill>
              </w:rPr>
              <w:t>入廊费</w:t>
            </w:r>
          </w:p>
        </w:tc>
        <w:tc>
          <w:tcPr>
            <w:tcW w:w="2689" w:type="dxa"/>
            <w:tcBorders>
              <w:top w:val="single" w:color="auto" w:sz="4" w:space="0"/>
              <w:left w:val="nil"/>
              <w:bottom w:val="single" w:color="auto" w:sz="4" w:space="0"/>
              <w:right w:val="single" w:color="auto" w:sz="4" w:space="0"/>
            </w:tcBorders>
            <w:shd w:val="clear" w:color="auto" w:fill="auto"/>
            <w:vAlign w:val="center"/>
          </w:tcPr>
          <w:p>
            <w:pPr>
              <w:spacing w:after="0" w:line="240" w:lineRule="exact"/>
              <w:jc w:val="center"/>
              <w:rPr>
                <w:rFonts w:hint="eastAsia" w:ascii="仿宋_GB2312" w:hAnsi="楷体" w:eastAsia="仿宋_GB2312"/>
                <w:b/>
                <w:bCs/>
                <w:color w:val="000000" w:themeColor="text1"/>
                <w:sz w:val="22"/>
                <w14:textFill>
                  <w14:solidFill>
                    <w14:schemeClr w14:val="tx1"/>
                  </w14:solidFill>
                </w14:textFill>
              </w:rPr>
            </w:pPr>
            <w:r>
              <w:rPr>
                <w:rFonts w:hint="eastAsia" w:ascii="仿宋_GB2312" w:hAnsi="楷体" w:eastAsia="仿宋_GB2312"/>
                <w:b/>
                <w:bCs/>
                <w:color w:val="000000" w:themeColor="text1"/>
                <w:sz w:val="22"/>
                <w14:textFill>
                  <w14:solidFill>
                    <w14:schemeClr w14:val="tx1"/>
                  </w14:solidFill>
                </w14:textFill>
              </w:rPr>
              <w:t>维护费</w:t>
            </w:r>
          </w:p>
        </w:tc>
      </w:tr>
      <w:tr>
        <w:tblPrEx>
          <w:tblCellMar>
            <w:top w:w="0" w:type="dxa"/>
            <w:left w:w="108" w:type="dxa"/>
            <w:bottom w:w="0" w:type="dxa"/>
            <w:right w:w="108" w:type="dxa"/>
          </w:tblCellMar>
        </w:tblPrEx>
        <w:trPr>
          <w:trHeight w:val="20" w:hRule="atLeast"/>
        </w:trPr>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中水管道</w:t>
            </w:r>
          </w:p>
        </w:tc>
        <w:tc>
          <w:tcPr>
            <w:tcW w:w="365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929.4元/米*百年</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88.18元/米*年</w:t>
            </w:r>
          </w:p>
        </w:tc>
      </w:tr>
      <w:tr>
        <w:tblPrEx>
          <w:tblCellMar>
            <w:top w:w="0" w:type="dxa"/>
            <w:left w:w="108" w:type="dxa"/>
            <w:bottom w:w="0" w:type="dxa"/>
            <w:right w:w="108" w:type="dxa"/>
          </w:tblCellMar>
        </w:tblPrEx>
        <w:trPr>
          <w:trHeight w:val="20" w:hRule="atLeast"/>
        </w:trPr>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通信管道</w:t>
            </w:r>
          </w:p>
        </w:tc>
        <w:tc>
          <w:tcPr>
            <w:tcW w:w="365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79.1元/米*百年</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1.44元/米*年</w:t>
            </w:r>
          </w:p>
        </w:tc>
      </w:tr>
      <w:tr>
        <w:tblPrEx>
          <w:tblCellMar>
            <w:top w:w="0" w:type="dxa"/>
            <w:left w:w="108" w:type="dxa"/>
            <w:bottom w:w="0" w:type="dxa"/>
            <w:right w:w="108" w:type="dxa"/>
          </w:tblCellMar>
        </w:tblPrEx>
        <w:trPr>
          <w:trHeight w:val="20" w:hRule="atLeast"/>
        </w:trPr>
        <w:tc>
          <w:tcPr>
            <w:tcW w:w="228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电力电缆</w:t>
            </w:r>
          </w:p>
        </w:tc>
        <w:tc>
          <w:tcPr>
            <w:tcW w:w="365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407.94元/米*百年</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spacing w:after="0" w:line="240" w:lineRule="exact"/>
              <w:jc w:val="center"/>
              <w:rPr>
                <w:rFonts w:hint="eastAsia" w:ascii="仿宋_GB2312" w:hAnsi="楷体" w:eastAsia="仿宋_GB2312" w:cs="Calibri"/>
                <w:color w:val="000000" w:themeColor="text1"/>
                <w:sz w:val="22"/>
                <w14:textFill>
                  <w14:solidFill>
                    <w14:schemeClr w14:val="tx1"/>
                  </w14:solidFill>
                </w14:textFill>
              </w:rPr>
            </w:pPr>
            <w:r>
              <w:rPr>
                <w:rFonts w:hint="eastAsia" w:ascii="仿宋_GB2312" w:hAnsi="楷体" w:eastAsia="仿宋_GB2312" w:cs="Calibri"/>
                <w:color w:val="000000" w:themeColor="text1"/>
                <w:sz w:val="22"/>
                <w14:textFill>
                  <w14:solidFill>
                    <w14:schemeClr w14:val="tx1"/>
                  </w14:solidFill>
                </w14:textFill>
              </w:rPr>
              <w:t>13.97元/米*年</w:t>
            </w:r>
          </w:p>
        </w:tc>
      </w:tr>
    </w:tbl>
    <w:p>
      <w:pPr>
        <w:spacing w:before="120" w:after="120" w:line="360" w:lineRule="auto"/>
        <w:ind w:firstLine="567"/>
        <w:rPr>
          <w:rFonts w:hint="eastAsia" w:ascii="仿宋_GB2312" w:hAnsi="楷体" w:eastAsia="仿宋_GB2312" w:cs="Calibri"/>
          <w:sz w:val="28"/>
          <w:szCs w:val="28"/>
        </w:rPr>
      </w:pPr>
      <w:r>
        <w:rPr>
          <w:rFonts w:hint="eastAsia" w:ascii="仿宋_GB2312" w:hAnsi="楷体" w:eastAsia="仿宋_GB2312" w:cs="Calibri"/>
          <w:sz w:val="28"/>
          <w:szCs w:val="28"/>
        </w:rPr>
        <w:t>（2）智慧灯杆收入</w:t>
      </w:r>
    </w:p>
    <w:p>
      <w:pPr>
        <w:spacing w:before="120" w:after="120" w:line="360" w:lineRule="auto"/>
        <w:ind w:firstLine="567"/>
        <w:rPr>
          <w:rFonts w:hint="eastAsia" w:ascii="仿宋_GB2312" w:hAnsi="楷体" w:eastAsia="仿宋_GB2312" w:cs="Calibri"/>
          <w:sz w:val="28"/>
          <w:szCs w:val="28"/>
        </w:rPr>
      </w:pPr>
      <w:r>
        <w:rPr>
          <w:rFonts w:hint="eastAsia" w:ascii="仿宋_GB2312" w:hAnsi="楷体" w:eastAsia="仿宋_GB2312" w:cs="Calibri"/>
          <w:sz w:val="28"/>
          <w:szCs w:val="28"/>
        </w:rPr>
        <w:t>根据业主单位提供的信息，本项目拟设置42杆智慧灯杆。参考其他地区同类型已发债项目数据，相似功能智慧灯杆年收入为1.8万/杆。</w:t>
      </w:r>
    </w:p>
    <w:p>
      <w:pPr>
        <w:spacing w:before="120" w:after="120" w:line="360" w:lineRule="auto"/>
        <w:ind w:firstLine="567"/>
        <w:rPr>
          <w:rFonts w:hint="eastAsia" w:ascii="仿宋_GB2312" w:hAnsi="楷体" w:eastAsia="仿宋_GB2312" w:cs="Calibri"/>
          <w:sz w:val="28"/>
          <w:szCs w:val="28"/>
        </w:rPr>
      </w:pPr>
      <w:r>
        <w:rPr>
          <w:rFonts w:hint="eastAsia" w:ascii="仿宋_GB2312" w:hAnsi="楷体" w:eastAsia="仿宋_GB2312" w:cs="Calibri"/>
          <w:sz w:val="28"/>
          <w:szCs w:val="28"/>
        </w:rPr>
        <w:t>（3）路灯广告收入</w:t>
      </w:r>
    </w:p>
    <w:p>
      <w:pPr>
        <w:spacing w:before="120" w:after="120" w:line="360" w:lineRule="auto"/>
        <w:ind w:firstLine="567"/>
        <w:rPr>
          <w:rFonts w:hint="eastAsia" w:ascii="仿宋_GB2312" w:hAnsi="楷体" w:eastAsia="仿宋_GB2312" w:cs="Calibri"/>
          <w:sz w:val="28"/>
          <w:szCs w:val="28"/>
        </w:rPr>
      </w:pPr>
      <w:r>
        <w:rPr>
          <w:rFonts w:hint="eastAsia" w:ascii="仿宋_GB2312" w:hAnsi="楷体" w:eastAsia="仿宋_GB2312" w:cs="Calibri"/>
          <w:sz w:val="28"/>
          <w:szCs w:val="28"/>
        </w:rPr>
        <w:t>根据业主单位提供的信息，本项目拟设置42个路灯广告位。参考其他地区同类型已发债项目数据，路灯广告位按3,000元/个/月进行计算，出租率暂按80%计算。</w:t>
      </w:r>
    </w:p>
    <w:p>
      <w:pPr>
        <w:spacing w:before="120" w:after="120" w:line="360" w:lineRule="auto"/>
        <w:ind w:firstLine="567"/>
        <w:rPr>
          <w:rFonts w:hint="eastAsia" w:ascii="仿宋_GB2312" w:hAnsi="楷体" w:eastAsia="仿宋_GB2312" w:cs="Calibri"/>
          <w:sz w:val="28"/>
          <w:szCs w:val="28"/>
        </w:rPr>
      </w:pPr>
      <w:r>
        <w:rPr>
          <w:rFonts w:hint="eastAsia" w:ascii="仿宋_GB2312" w:hAnsi="楷体" w:eastAsia="仿宋_GB2312" w:cs="Calibri"/>
          <w:sz w:val="28"/>
          <w:szCs w:val="28"/>
        </w:rPr>
        <w:t>（4）综合杆广告收入</w:t>
      </w:r>
    </w:p>
    <w:p>
      <w:pPr>
        <w:widowControl/>
        <w:spacing w:before="120" w:after="120" w:line="360" w:lineRule="auto"/>
        <w:ind w:firstLine="560" w:firstLineChars="200"/>
        <w:rPr>
          <w:rFonts w:hint="eastAsia" w:ascii="仿宋_GB2312" w:hAnsi="楷体" w:eastAsia="仿宋_GB2312"/>
          <w:color w:val="000000" w:themeColor="text1"/>
          <w:kern w:val="0"/>
          <w:sz w:val="28"/>
          <w:szCs w:val="28"/>
          <w14:textFill>
            <w14:solidFill>
              <w14:schemeClr w14:val="tx1"/>
            </w14:solidFill>
          </w14:textFill>
        </w:rPr>
      </w:pPr>
      <w:r>
        <w:rPr>
          <w:rFonts w:hint="eastAsia" w:ascii="仿宋_GB2312" w:hAnsi="楷体" w:eastAsia="仿宋_GB2312" w:cs="Calibri"/>
          <w:sz w:val="28"/>
          <w:szCs w:val="28"/>
        </w:rPr>
        <w:t>根据业主单位提供的信息，本项目拟设置42杆综合杆。参考其他地区同类型已发债项目数据，相似功能灯杆年收入为1.8万/杆。</w:t>
      </w:r>
      <w:r>
        <w:rPr>
          <w:rFonts w:hint="eastAsia" w:ascii="仿宋_GB2312" w:hAnsi="楷体" w:eastAsia="仿宋_GB2312"/>
          <w:color w:val="000000" w:themeColor="text1"/>
          <w:kern w:val="0"/>
          <w:sz w:val="28"/>
          <w:szCs w:val="28"/>
          <w14:textFill>
            <w14:solidFill>
              <w14:schemeClr w14:val="tx1"/>
            </w14:solidFill>
          </w14:textFill>
        </w:rPr>
        <w:t>债券存续期运营收入情况详见表8。</w:t>
      </w: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2．运营成本分析</w:t>
      </w:r>
    </w:p>
    <w:bookmarkEnd w:id="20"/>
    <w:bookmarkEnd w:id="21"/>
    <w:p>
      <w:pPr>
        <w:spacing w:before="120" w:after="120" w:line="360" w:lineRule="auto"/>
        <w:ind w:firstLine="567"/>
        <w:rPr>
          <w:rFonts w:hint="eastAsia" w:ascii="仿宋_GB2312" w:hAnsi="楷体" w:eastAsia="仿宋_GB2312"/>
          <w:color w:val="000000" w:themeColor="text1"/>
          <w:sz w:val="28"/>
          <w:szCs w:val="28"/>
          <w14:textFill>
            <w14:solidFill>
              <w14:schemeClr w14:val="tx1"/>
            </w14:solidFill>
          </w14:textFill>
        </w:rPr>
        <w:sectPr>
          <w:footerReference r:id="rId10" w:type="default"/>
          <w:pgSz w:w="11906" w:h="16838"/>
          <w:pgMar w:top="1276" w:right="1797" w:bottom="1276" w:left="1797" w:header="709" w:footer="851" w:gutter="0"/>
          <w:cols w:space="708" w:num="1"/>
          <w:docGrid w:linePitch="360" w:charSpace="0"/>
        </w:sectPr>
      </w:pPr>
      <w:r>
        <w:rPr>
          <w:rFonts w:hint="eastAsia" w:ascii="仿宋_GB2312" w:hAnsi="楷体" w:eastAsia="仿宋_GB2312" w:cs="楷体"/>
          <w:color w:val="000000" w:themeColor="text1"/>
          <w:kern w:val="0"/>
          <w:sz w:val="28"/>
          <w:szCs w:val="28"/>
          <w14:textFill>
            <w14:solidFill>
              <w14:schemeClr w14:val="tx1"/>
            </w14:solidFill>
          </w14:textFill>
        </w:rPr>
        <w:t>根据沟通，本项目在运营期的各类运营支出及税费由项目资产接收单位统筹安排，暂不纳入本次测算范围。</w:t>
      </w:r>
    </w:p>
    <w:p>
      <w:pPr>
        <w:spacing w:after="0" w:line="360" w:lineRule="auto"/>
        <w:jc w:val="center"/>
        <w:rPr>
          <w:rFonts w:hint="eastAsia" w:ascii="黑体" w:hAnsi="黑体" w:eastAsia="黑体"/>
          <w:bCs/>
          <w:sz w:val="24"/>
          <w:szCs w:val="24"/>
        </w:rPr>
      </w:pPr>
      <w:r>
        <w:rPr>
          <w:rFonts w:hint="eastAsia" w:ascii="黑体" w:hAnsi="黑体" w:eastAsia="黑体"/>
          <w:bCs/>
          <w:color w:val="000000" w:themeColor="text1"/>
          <w:kern w:val="0"/>
          <w:sz w:val="24"/>
          <w:szCs w:val="24"/>
          <w14:textFill>
            <w14:solidFill>
              <w14:schemeClr w14:val="tx1"/>
            </w14:solidFill>
          </w14:textFill>
        </w:rPr>
        <w:t>表8</w:t>
      </w:r>
      <w:r>
        <w:rPr>
          <w:rFonts w:ascii="黑体" w:hAnsi="黑体" w:eastAsia="黑体"/>
          <w:bCs/>
          <w:color w:val="000000" w:themeColor="text1"/>
          <w:kern w:val="0"/>
          <w:sz w:val="24"/>
          <w:szCs w:val="24"/>
          <w14:textFill>
            <w14:solidFill>
              <w14:schemeClr w14:val="tx1"/>
            </w14:solidFill>
          </w14:textFill>
        </w:rPr>
        <w:t xml:space="preserve"> 海口市江东新区园区配套基础设施配套项目（</w:t>
      </w:r>
      <w:r>
        <w:rPr>
          <w:rFonts w:hint="eastAsia" w:ascii="黑体" w:hAnsi="黑体" w:eastAsia="黑体"/>
          <w:bCs/>
          <w:color w:val="000000" w:themeColor="text1"/>
          <w:kern w:val="0"/>
          <w:sz w:val="24"/>
          <w:szCs w:val="24"/>
          <w14:textFill>
            <w14:solidFill>
              <w14:schemeClr w14:val="tx1"/>
            </w14:solidFill>
          </w14:textFill>
        </w:rPr>
        <w:t>二</w:t>
      </w:r>
      <w:r>
        <w:rPr>
          <w:rFonts w:ascii="黑体" w:hAnsi="黑体" w:eastAsia="黑体"/>
          <w:bCs/>
          <w:color w:val="000000" w:themeColor="text1"/>
          <w:kern w:val="0"/>
          <w:sz w:val="24"/>
          <w:szCs w:val="24"/>
          <w14:textFill>
            <w14:solidFill>
              <w14:schemeClr w14:val="tx1"/>
            </w14:solidFill>
          </w14:textFill>
        </w:rPr>
        <w:t>期）</w:t>
      </w:r>
      <w:r>
        <w:rPr>
          <w:rFonts w:ascii="黑体" w:hAnsi="黑体" w:eastAsia="黑体"/>
          <w:bCs/>
          <w:sz w:val="24"/>
          <w:szCs w:val="24"/>
        </w:rPr>
        <w:t>收入估算表</w:t>
      </w:r>
    </w:p>
    <w:p>
      <w:pPr>
        <w:spacing w:after="0" w:line="360" w:lineRule="auto"/>
        <w:ind w:right="-1" w:firstLine="567"/>
        <w:jc w:val="right"/>
        <w:rPr>
          <w:rFonts w:hint="eastAsia" w:ascii="仿宋_GB2312" w:hAnsi="楷体" w:eastAsia="仿宋_GB2312"/>
          <w:szCs w:val="20"/>
        </w:rPr>
      </w:pPr>
      <w:r>
        <w:rPr>
          <w:rFonts w:hint="eastAsia" w:ascii="仿宋_GB2312" w:hAnsi="楷体" w:eastAsia="仿宋_GB2312"/>
          <w:szCs w:val="20"/>
        </w:rPr>
        <w:t>单位：人民币万元</w:t>
      </w:r>
    </w:p>
    <w:tbl>
      <w:tblPr>
        <w:tblStyle w:val="15"/>
        <w:tblW w:w="5000" w:type="pct"/>
        <w:tblInd w:w="0" w:type="dxa"/>
        <w:tblLayout w:type="autofit"/>
        <w:tblCellMar>
          <w:top w:w="0" w:type="dxa"/>
          <w:left w:w="108" w:type="dxa"/>
          <w:bottom w:w="0" w:type="dxa"/>
          <w:right w:w="108" w:type="dxa"/>
        </w:tblCellMar>
      </w:tblPr>
      <w:tblGrid>
        <w:gridCol w:w="1616"/>
        <w:gridCol w:w="1110"/>
        <w:gridCol w:w="1160"/>
        <w:gridCol w:w="1161"/>
        <w:gridCol w:w="1161"/>
        <w:gridCol w:w="1161"/>
        <w:gridCol w:w="1159"/>
      </w:tblGrid>
      <w:tr>
        <w:tblPrEx>
          <w:tblCellMar>
            <w:top w:w="0" w:type="dxa"/>
            <w:left w:w="108" w:type="dxa"/>
            <w:bottom w:w="0" w:type="dxa"/>
            <w:right w:w="108" w:type="dxa"/>
          </w:tblCellMar>
        </w:tblPrEx>
        <w:trPr>
          <w:trHeight w:val="312" w:hRule="atLeast"/>
        </w:trPr>
        <w:tc>
          <w:tcPr>
            <w:tcW w:w="8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项目</w:t>
            </w:r>
            <w:r>
              <w:rPr>
                <w:rFonts w:ascii="仿宋_GB2312" w:hAnsi="Verdana" w:eastAsia="仿宋_GB2312" w:cs="宋体"/>
                <w:b/>
                <w:bCs/>
                <w:kern w:val="0"/>
                <w:sz w:val="20"/>
                <w:szCs w:val="20"/>
              </w:rPr>
              <w:t>/</w:t>
            </w:r>
            <w:r>
              <w:rPr>
                <w:rFonts w:hint="eastAsia" w:ascii="仿宋_GB2312" w:hAnsi="Verdana" w:eastAsia="仿宋_GB2312" w:cs="宋体"/>
                <w:b/>
                <w:bCs/>
                <w:kern w:val="0"/>
                <w:sz w:val="20"/>
                <w:szCs w:val="20"/>
              </w:rPr>
              <w:t>年度</w:t>
            </w:r>
          </w:p>
        </w:tc>
        <w:tc>
          <w:tcPr>
            <w:tcW w:w="662"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2026</w:t>
            </w:r>
            <w:r>
              <w:rPr>
                <w:rFonts w:hint="eastAsia" w:ascii="仿宋_GB2312" w:hAnsi="Verdana" w:eastAsia="仿宋_GB2312" w:cs="宋体"/>
                <w:b/>
                <w:bCs/>
                <w:kern w:val="0"/>
                <w:sz w:val="20"/>
                <w:szCs w:val="20"/>
              </w:rPr>
              <w:t>年</w:t>
            </w:r>
          </w:p>
        </w:tc>
        <w:tc>
          <w:tcPr>
            <w:tcW w:w="691"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2027</w:t>
            </w:r>
            <w:r>
              <w:rPr>
                <w:rFonts w:hint="eastAsia" w:ascii="仿宋_GB2312" w:hAnsi="Verdana" w:eastAsia="仿宋_GB2312" w:cs="宋体"/>
                <w:b/>
                <w:bCs/>
                <w:kern w:val="0"/>
                <w:sz w:val="20"/>
                <w:szCs w:val="20"/>
              </w:rPr>
              <w:t>年</w:t>
            </w:r>
          </w:p>
        </w:tc>
        <w:tc>
          <w:tcPr>
            <w:tcW w:w="691"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2028</w:t>
            </w:r>
            <w:r>
              <w:rPr>
                <w:rFonts w:hint="eastAsia" w:ascii="仿宋_GB2312" w:hAnsi="Verdana" w:eastAsia="仿宋_GB2312" w:cs="宋体"/>
                <w:b/>
                <w:bCs/>
                <w:kern w:val="0"/>
                <w:sz w:val="20"/>
                <w:szCs w:val="20"/>
              </w:rPr>
              <w:t>年</w:t>
            </w:r>
          </w:p>
        </w:tc>
        <w:tc>
          <w:tcPr>
            <w:tcW w:w="691"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2029</w:t>
            </w:r>
            <w:r>
              <w:rPr>
                <w:rFonts w:hint="eastAsia" w:ascii="仿宋_GB2312" w:hAnsi="Verdana" w:eastAsia="仿宋_GB2312" w:cs="宋体"/>
                <w:b/>
                <w:bCs/>
                <w:kern w:val="0"/>
                <w:sz w:val="20"/>
                <w:szCs w:val="20"/>
              </w:rPr>
              <w:t>年</w:t>
            </w:r>
          </w:p>
        </w:tc>
        <w:tc>
          <w:tcPr>
            <w:tcW w:w="691"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2030</w:t>
            </w:r>
            <w:r>
              <w:rPr>
                <w:rFonts w:hint="eastAsia" w:ascii="仿宋_GB2312" w:hAnsi="Verdana" w:eastAsia="仿宋_GB2312" w:cs="宋体"/>
                <w:b/>
                <w:bCs/>
                <w:kern w:val="0"/>
                <w:sz w:val="20"/>
                <w:szCs w:val="20"/>
              </w:rPr>
              <w:t>年</w:t>
            </w:r>
          </w:p>
        </w:tc>
        <w:tc>
          <w:tcPr>
            <w:tcW w:w="691"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2031</w:t>
            </w:r>
            <w:r>
              <w:rPr>
                <w:rFonts w:hint="eastAsia" w:ascii="仿宋_GB2312" w:hAnsi="Verdana" w:eastAsia="仿宋_GB2312" w:cs="宋体"/>
                <w:b/>
                <w:bCs/>
                <w:kern w:val="0"/>
                <w:sz w:val="20"/>
                <w:szCs w:val="20"/>
              </w:rPr>
              <w:t>年</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入廊费收入</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39</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日常维护费收入</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3</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智慧灯杆收入</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路灯广告收入</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121</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121</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121</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121</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121</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121</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综合杆广告收入</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lang w:val="en-GB"/>
              </w:rPr>
              <w:t>76</w:t>
            </w:r>
          </w:p>
        </w:tc>
      </w:tr>
      <w:tr>
        <w:tblPrEx>
          <w:tblCellMar>
            <w:top w:w="0" w:type="dxa"/>
            <w:left w:w="108" w:type="dxa"/>
            <w:bottom w:w="0" w:type="dxa"/>
            <w:right w:w="108" w:type="dxa"/>
          </w:tblCellMar>
        </w:tblPrEx>
        <w:trPr>
          <w:trHeight w:val="312" w:hRule="atLeast"/>
        </w:trPr>
        <w:tc>
          <w:tcPr>
            <w:tcW w:w="884"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全部收入合计</w:t>
            </w:r>
          </w:p>
        </w:tc>
        <w:tc>
          <w:tcPr>
            <w:tcW w:w="662"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314</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275</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275</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275</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275</w:t>
            </w:r>
          </w:p>
        </w:tc>
        <w:tc>
          <w:tcPr>
            <w:tcW w:w="691"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lang w:val="en-GB"/>
              </w:rPr>
              <w:t>275</w:t>
            </w:r>
          </w:p>
        </w:tc>
      </w:tr>
    </w:tbl>
    <w:p>
      <w:pPr>
        <w:spacing w:after="0" w:line="360" w:lineRule="auto"/>
        <w:ind w:right="-1" w:firstLine="567"/>
        <w:jc w:val="right"/>
        <w:rPr>
          <w:rFonts w:hint="eastAsia" w:ascii="仿宋_GB2312" w:hAnsi="楷体" w:eastAsia="仿宋_GB2312"/>
          <w:szCs w:val="20"/>
        </w:rPr>
      </w:pPr>
    </w:p>
    <w:p>
      <w:pPr>
        <w:spacing w:after="0" w:line="360" w:lineRule="auto"/>
        <w:ind w:right="-1" w:firstLine="567"/>
        <w:jc w:val="right"/>
        <w:rPr>
          <w:rFonts w:hint="eastAsia" w:ascii="楷体" w:hAnsi="楷体" w:eastAsia="楷体"/>
          <w:szCs w:val="20"/>
        </w:rPr>
      </w:pPr>
    </w:p>
    <w:p>
      <w:pPr>
        <w:spacing w:after="0" w:line="360" w:lineRule="auto"/>
        <w:jc w:val="center"/>
        <w:rPr>
          <w:rFonts w:hint="eastAsia" w:ascii="黑体" w:hAnsi="黑体" w:eastAsia="黑体"/>
          <w:bCs/>
          <w:sz w:val="24"/>
          <w:szCs w:val="24"/>
        </w:rPr>
      </w:pPr>
      <w:r>
        <w:rPr>
          <w:rFonts w:hint="eastAsia" w:ascii="黑体" w:hAnsi="黑体" w:eastAsia="黑体"/>
          <w:bCs/>
          <w:color w:val="000000" w:themeColor="text1"/>
          <w:kern w:val="0"/>
          <w:sz w:val="24"/>
          <w:szCs w:val="24"/>
          <w14:textFill>
            <w14:solidFill>
              <w14:schemeClr w14:val="tx1"/>
            </w14:solidFill>
          </w14:textFill>
        </w:rPr>
        <w:t xml:space="preserve">表8 </w:t>
      </w:r>
      <w:r>
        <w:rPr>
          <w:rFonts w:ascii="黑体" w:hAnsi="黑体" w:eastAsia="黑体"/>
          <w:bCs/>
          <w:color w:val="000000" w:themeColor="text1"/>
          <w:kern w:val="0"/>
          <w:sz w:val="24"/>
          <w:szCs w:val="24"/>
          <w14:textFill>
            <w14:solidFill>
              <w14:schemeClr w14:val="tx1"/>
            </w14:solidFill>
          </w14:textFill>
        </w:rPr>
        <w:t>海口市江东新区园区配套基础设施配套项目（</w:t>
      </w:r>
      <w:r>
        <w:rPr>
          <w:rFonts w:hint="eastAsia" w:ascii="黑体" w:hAnsi="黑体" w:eastAsia="黑体"/>
          <w:bCs/>
          <w:color w:val="000000" w:themeColor="text1"/>
          <w:kern w:val="0"/>
          <w:sz w:val="24"/>
          <w:szCs w:val="24"/>
          <w14:textFill>
            <w14:solidFill>
              <w14:schemeClr w14:val="tx1"/>
            </w14:solidFill>
          </w14:textFill>
        </w:rPr>
        <w:t>二</w:t>
      </w:r>
      <w:r>
        <w:rPr>
          <w:rFonts w:ascii="黑体" w:hAnsi="黑体" w:eastAsia="黑体"/>
          <w:bCs/>
          <w:color w:val="000000" w:themeColor="text1"/>
          <w:kern w:val="0"/>
          <w:sz w:val="24"/>
          <w:szCs w:val="24"/>
          <w14:textFill>
            <w14:solidFill>
              <w14:schemeClr w14:val="tx1"/>
            </w14:solidFill>
          </w14:textFill>
        </w:rPr>
        <w:t>期）</w:t>
      </w:r>
      <w:r>
        <w:rPr>
          <w:rFonts w:ascii="黑体" w:hAnsi="黑体" w:eastAsia="黑体"/>
          <w:bCs/>
          <w:sz w:val="24"/>
          <w:szCs w:val="24"/>
        </w:rPr>
        <w:t>收入估算表</w:t>
      </w:r>
      <w:r>
        <w:rPr>
          <w:rFonts w:hint="eastAsia" w:ascii="黑体" w:hAnsi="黑体" w:eastAsia="黑体"/>
          <w:bCs/>
          <w:sz w:val="24"/>
          <w:szCs w:val="24"/>
        </w:rPr>
        <w:t>（续表）</w:t>
      </w:r>
    </w:p>
    <w:p>
      <w:pPr>
        <w:spacing w:after="0" w:line="360" w:lineRule="auto"/>
        <w:ind w:right="-1" w:firstLine="567"/>
        <w:jc w:val="right"/>
        <w:rPr>
          <w:rFonts w:hint="eastAsia" w:ascii="仿宋_GB2312" w:hAnsi="楷体" w:eastAsia="仿宋_GB2312"/>
          <w:szCs w:val="20"/>
        </w:rPr>
      </w:pPr>
      <w:r>
        <w:rPr>
          <w:rFonts w:hint="eastAsia" w:ascii="仿宋_GB2312" w:hAnsi="楷体" w:eastAsia="仿宋_GB2312"/>
          <w:szCs w:val="20"/>
        </w:rPr>
        <w:t>单位：人民币万元</w:t>
      </w:r>
    </w:p>
    <w:tbl>
      <w:tblPr>
        <w:tblStyle w:val="15"/>
        <w:tblW w:w="5000" w:type="pct"/>
        <w:tblInd w:w="0" w:type="dxa"/>
        <w:tblLayout w:type="autofit"/>
        <w:tblCellMar>
          <w:top w:w="0" w:type="dxa"/>
          <w:left w:w="108" w:type="dxa"/>
          <w:bottom w:w="0" w:type="dxa"/>
          <w:right w:w="108" w:type="dxa"/>
        </w:tblCellMar>
      </w:tblPr>
      <w:tblGrid>
        <w:gridCol w:w="1651"/>
        <w:gridCol w:w="1289"/>
        <w:gridCol w:w="1289"/>
        <w:gridCol w:w="1289"/>
        <w:gridCol w:w="1290"/>
        <w:gridCol w:w="1720"/>
      </w:tblGrid>
      <w:tr>
        <w:tblPrEx>
          <w:tblCellMar>
            <w:top w:w="0" w:type="dxa"/>
            <w:left w:w="108" w:type="dxa"/>
            <w:bottom w:w="0" w:type="dxa"/>
            <w:right w:w="108" w:type="dxa"/>
          </w:tblCellMar>
        </w:tblPrEx>
        <w:trPr>
          <w:trHeight w:val="312" w:hRule="atLeast"/>
        </w:trPr>
        <w:tc>
          <w:tcPr>
            <w:tcW w:w="96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项目</w:t>
            </w:r>
            <w:r>
              <w:rPr>
                <w:rFonts w:ascii="仿宋_GB2312" w:hAnsi="Verdana" w:eastAsia="仿宋_GB2312" w:cs="宋体"/>
                <w:b/>
                <w:bCs/>
                <w:kern w:val="0"/>
                <w:sz w:val="20"/>
                <w:szCs w:val="20"/>
              </w:rPr>
              <w:t>/</w:t>
            </w:r>
            <w:r>
              <w:rPr>
                <w:rFonts w:hint="eastAsia" w:ascii="仿宋_GB2312" w:hAnsi="Verdana" w:eastAsia="仿宋_GB2312" w:cs="宋体"/>
                <w:b/>
                <w:bCs/>
                <w:kern w:val="0"/>
                <w:sz w:val="20"/>
                <w:szCs w:val="20"/>
              </w:rPr>
              <w:t>年度</w:t>
            </w:r>
          </w:p>
        </w:tc>
        <w:tc>
          <w:tcPr>
            <w:tcW w:w="756"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2032</w:t>
            </w:r>
            <w:r>
              <w:rPr>
                <w:rFonts w:hint="eastAsia" w:ascii="仿宋_GB2312" w:hAnsi="Verdana" w:eastAsia="仿宋_GB2312" w:cs="宋体"/>
                <w:b/>
                <w:bCs/>
                <w:kern w:val="0"/>
                <w:sz w:val="20"/>
                <w:szCs w:val="20"/>
              </w:rPr>
              <w:t>年</w:t>
            </w:r>
          </w:p>
        </w:tc>
        <w:tc>
          <w:tcPr>
            <w:tcW w:w="756"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2033</w:t>
            </w:r>
            <w:r>
              <w:rPr>
                <w:rFonts w:hint="eastAsia" w:ascii="仿宋_GB2312" w:hAnsi="Verdana" w:eastAsia="仿宋_GB2312" w:cs="宋体"/>
                <w:b/>
                <w:bCs/>
                <w:kern w:val="0"/>
                <w:sz w:val="20"/>
                <w:szCs w:val="20"/>
              </w:rPr>
              <w:t>年</w:t>
            </w:r>
          </w:p>
        </w:tc>
        <w:tc>
          <w:tcPr>
            <w:tcW w:w="756"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2034</w:t>
            </w:r>
            <w:r>
              <w:rPr>
                <w:rFonts w:hint="eastAsia" w:ascii="仿宋_GB2312" w:hAnsi="Verdana" w:eastAsia="仿宋_GB2312" w:cs="宋体"/>
                <w:b/>
                <w:bCs/>
                <w:kern w:val="0"/>
                <w:sz w:val="20"/>
                <w:szCs w:val="20"/>
              </w:rPr>
              <w:t>年</w:t>
            </w:r>
          </w:p>
        </w:tc>
        <w:tc>
          <w:tcPr>
            <w:tcW w:w="756"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ascii="仿宋_GB2312" w:hAnsi="Verdana" w:eastAsia="仿宋_GB2312" w:cs="宋体"/>
                <w:b/>
                <w:bCs/>
                <w:kern w:val="0"/>
                <w:sz w:val="20"/>
                <w:szCs w:val="20"/>
              </w:rPr>
              <w:t>2035</w:t>
            </w:r>
            <w:r>
              <w:rPr>
                <w:rFonts w:hint="eastAsia" w:ascii="仿宋_GB2312" w:hAnsi="Verdana" w:eastAsia="仿宋_GB2312" w:cs="宋体"/>
                <w:b/>
                <w:bCs/>
                <w:kern w:val="0"/>
                <w:sz w:val="20"/>
                <w:szCs w:val="20"/>
              </w:rPr>
              <w:t>年</w:t>
            </w:r>
          </w:p>
        </w:tc>
        <w:tc>
          <w:tcPr>
            <w:tcW w:w="1008" w:type="pct"/>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合计</w:t>
            </w:r>
          </w:p>
        </w:tc>
      </w:tr>
      <w:tr>
        <w:tblPrEx>
          <w:tblCellMar>
            <w:top w:w="0" w:type="dxa"/>
            <w:left w:w="108" w:type="dxa"/>
            <w:bottom w:w="0" w:type="dxa"/>
            <w:right w:w="108" w:type="dxa"/>
          </w:tblCellMar>
        </w:tblPrEx>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入廊费收入</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39</w:t>
            </w:r>
          </w:p>
        </w:tc>
      </w:tr>
      <w:tr>
        <w:tblPrEx>
          <w:tblCellMar>
            <w:top w:w="0" w:type="dxa"/>
            <w:left w:w="108" w:type="dxa"/>
            <w:bottom w:w="0" w:type="dxa"/>
            <w:right w:w="108" w:type="dxa"/>
          </w:tblCellMar>
        </w:tblPrEx>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日常维护费收入</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3</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0.22</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24</w:t>
            </w:r>
          </w:p>
        </w:tc>
      </w:tr>
      <w:tr>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智慧灯杆收入</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687</w:t>
            </w:r>
          </w:p>
        </w:tc>
      </w:tr>
      <w:tr>
        <w:tblPrEx>
          <w:tblCellMar>
            <w:top w:w="0" w:type="dxa"/>
            <w:left w:w="108" w:type="dxa"/>
            <w:bottom w:w="0" w:type="dxa"/>
            <w:right w:w="108" w:type="dxa"/>
          </w:tblCellMar>
        </w:tblPrEx>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路灯广告收入</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121</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121</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121</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10</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1,099</w:t>
            </w:r>
          </w:p>
        </w:tc>
      </w:tr>
      <w:tr>
        <w:tblPrEx>
          <w:tblCellMar>
            <w:top w:w="0" w:type="dxa"/>
            <w:left w:w="108" w:type="dxa"/>
            <w:bottom w:w="0" w:type="dxa"/>
            <w:right w:w="108" w:type="dxa"/>
          </w:tblCellMar>
        </w:tblPrEx>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kern w:val="0"/>
                <w:sz w:val="20"/>
                <w:szCs w:val="20"/>
              </w:rPr>
            </w:pPr>
            <w:r>
              <w:rPr>
                <w:rFonts w:hint="eastAsia" w:ascii="仿宋_GB2312" w:hAnsi="Verdana" w:eastAsia="仿宋_GB2312" w:cs="宋体"/>
                <w:kern w:val="0"/>
                <w:sz w:val="20"/>
                <w:szCs w:val="20"/>
              </w:rPr>
              <w:t>综合杆广告收入</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76</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kern w:val="0"/>
                <w:sz w:val="20"/>
                <w:szCs w:val="20"/>
              </w:rPr>
            </w:pPr>
            <w:r>
              <w:rPr>
                <w:rFonts w:ascii="仿宋_GB2312" w:hAnsi="Verdana" w:eastAsia="仿宋_GB2312" w:cs="宋体"/>
                <w:kern w:val="0"/>
                <w:sz w:val="20"/>
                <w:szCs w:val="20"/>
              </w:rPr>
              <w:t>6</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687</w:t>
            </w:r>
          </w:p>
        </w:tc>
      </w:tr>
      <w:tr>
        <w:trPr>
          <w:trHeight w:val="312" w:hRule="atLeast"/>
        </w:trPr>
        <w:tc>
          <w:tcPr>
            <w:tcW w:w="968" w:type="pct"/>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仿宋_GB2312" w:hAnsi="Verdana" w:eastAsia="仿宋_GB2312" w:cs="宋体"/>
                <w:b/>
                <w:bCs/>
                <w:kern w:val="0"/>
                <w:sz w:val="20"/>
                <w:szCs w:val="20"/>
              </w:rPr>
            </w:pPr>
            <w:r>
              <w:rPr>
                <w:rFonts w:hint="eastAsia" w:ascii="仿宋_GB2312" w:hAnsi="Verdana" w:eastAsia="仿宋_GB2312" w:cs="宋体"/>
                <w:b/>
                <w:bCs/>
                <w:kern w:val="0"/>
                <w:sz w:val="20"/>
                <w:szCs w:val="20"/>
              </w:rPr>
              <w:t>全部收入合计</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275</w:t>
            </w:r>
          </w:p>
        </w:tc>
        <w:tc>
          <w:tcPr>
            <w:tcW w:w="756"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23</w:t>
            </w:r>
          </w:p>
        </w:tc>
        <w:tc>
          <w:tcPr>
            <w:tcW w:w="1008" w:type="pct"/>
            <w:tcBorders>
              <w:top w:val="nil"/>
              <w:left w:val="nil"/>
              <w:bottom w:val="single" w:color="auto" w:sz="4" w:space="0"/>
              <w:right w:val="single" w:color="auto" w:sz="4" w:space="0"/>
            </w:tcBorders>
            <w:shd w:val="clear" w:color="auto" w:fill="auto"/>
            <w:noWrap/>
            <w:vAlign w:val="center"/>
          </w:tcPr>
          <w:p>
            <w:pPr>
              <w:widowControl/>
              <w:spacing w:after="0" w:line="240" w:lineRule="auto"/>
              <w:jc w:val="right"/>
              <w:rPr>
                <w:rFonts w:ascii="仿宋_GB2312" w:hAnsi="Verdana" w:eastAsia="仿宋_GB2312" w:cs="宋体"/>
                <w:b/>
                <w:bCs/>
                <w:kern w:val="0"/>
                <w:sz w:val="20"/>
                <w:szCs w:val="20"/>
              </w:rPr>
            </w:pPr>
            <w:r>
              <w:rPr>
                <w:rFonts w:ascii="仿宋_GB2312" w:hAnsi="Verdana" w:eastAsia="仿宋_GB2312" w:cs="宋体"/>
                <w:b/>
                <w:bCs/>
                <w:kern w:val="0"/>
                <w:sz w:val="20"/>
                <w:szCs w:val="20"/>
              </w:rPr>
              <w:t>2,535</w:t>
            </w:r>
          </w:p>
        </w:tc>
      </w:tr>
    </w:tbl>
    <w:p>
      <w:pPr>
        <w:spacing w:after="0" w:line="360" w:lineRule="auto"/>
        <w:ind w:right="-1" w:firstLine="567"/>
        <w:jc w:val="right"/>
        <w:rPr>
          <w:rFonts w:hint="eastAsia" w:ascii="仿宋_GB2312" w:hAnsi="楷体" w:eastAsia="仿宋_GB2312"/>
          <w:szCs w:val="20"/>
        </w:rPr>
      </w:pPr>
    </w:p>
    <w:p>
      <w:pPr>
        <w:spacing w:after="0"/>
        <w:ind w:right="414" w:firstLine="567"/>
        <w:jc w:val="center"/>
        <w:rPr>
          <w:rFonts w:hint="eastAsia" w:ascii="楷体" w:hAnsi="楷体" w:eastAsia="楷体"/>
          <w:szCs w:val="20"/>
        </w:rPr>
      </w:pPr>
    </w:p>
    <w:p>
      <w:pPr>
        <w:rPr>
          <w:rFonts w:hint="eastAsia" w:ascii="楷体" w:hAnsi="楷体" w:eastAsia="楷体" w:cs="楷体"/>
          <w:color w:val="000000" w:themeColor="text1"/>
          <w:kern w:val="0"/>
          <w:sz w:val="24"/>
          <w:szCs w:val="24"/>
          <w14:textFill>
            <w14:solidFill>
              <w14:schemeClr w14:val="tx1"/>
            </w14:solidFill>
          </w14:textFill>
        </w:rPr>
        <w:sectPr>
          <w:pgSz w:w="11906" w:h="16838"/>
          <w:pgMar w:top="1276" w:right="1797" w:bottom="1276" w:left="1797" w:header="709" w:footer="851" w:gutter="0"/>
          <w:cols w:space="708" w:num="1"/>
          <w:docGrid w:linePitch="360" w:charSpace="0"/>
        </w:sectPr>
      </w:pP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22" w:name="_Toc200724648"/>
      <w:r>
        <w:rPr>
          <w:rFonts w:hint="eastAsia" w:ascii="黑体" w:hAnsi="黑体" w:cs="楷体"/>
          <w:b w:val="0"/>
          <w:bCs w:val="0"/>
          <w:color w:val="000000" w:themeColor="text1"/>
          <w:kern w:val="0"/>
          <w:sz w:val="28"/>
          <w:szCs w:val="28"/>
          <w14:textFill>
            <w14:solidFill>
              <w14:schemeClr w14:val="tx1"/>
            </w14:solidFill>
          </w14:textFill>
        </w:rPr>
        <w:t>五、事前绩效评价</w:t>
      </w:r>
      <w:bookmarkEnd w:id="22"/>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3" w:name="_Toc200724649"/>
      <w:r>
        <w:rPr>
          <w:rFonts w:hint="eastAsia" w:ascii="楷体" w:hAnsi="楷体" w:eastAsia="楷体" w:cs="楷体"/>
          <w:b/>
          <w:bCs/>
          <w:color w:val="000000" w:themeColor="text1"/>
          <w:kern w:val="0"/>
          <w:sz w:val="28"/>
          <w:szCs w:val="28"/>
          <w:lang w:val="en-GB"/>
          <w14:textFill>
            <w14:solidFill>
              <w14:schemeClr w14:val="tx1"/>
            </w14:solidFill>
          </w14:textFill>
        </w:rPr>
        <w:t>（一）项目实施的必要性、公益性、收益性</w:t>
      </w:r>
      <w:bookmarkEnd w:id="23"/>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本工程的建设立足于当地现有市政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4" w:name="_Toc200724650"/>
      <w:r>
        <w:rPr>
          <w:rFonts w:hint="eastAsia" w:ascii="楷体" w:hAnsi="楷体" w:eastAsia="楷体" w:cs="楷体"/>
          <w:b/>
          <w:bCs/>
          <w:color w:val="000000" w:themeColor="text1"/>
          <w:kern w:val="0"/>
          <w:sz w:val="28"/>
          <w:szCs w:val="28"/>
          <w:lang w:val="en-GB"/>
          <w14:textFill>
            <w14:solidFill>
              <w14:schemeClr w14:val="tx1"/>
            </w14:solidFill>
          </w14:textFill>
        </w:rPr>
        <w:t>（二）项目建设投资合规性与项目成熟度</w:t>
      </w:r>
      <w:bookmarkEnd w:id="24"/>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项目建设投资符合相关规定、流程，根据已取得项目单位提供的相关资料中关于项目的批复文件，取得必要论证。部分项目已完成立项审批等工作，目前已处于施工阶役，具备成熟度。</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5" w:name="_Toc200724651"/>
      <w:r>
        <w:rPr>
          <w:rFonts w:hint="eastAsia" w:ascii="楷体" w:hAnsi="楷体" w:eastAsia="楷体" w:cs="楷体"/>
          <w:b/>
          <w:bCs/>
          <w:color w:val="000000" w:themeColor="text1"/>
          <w:kern w:val="0"/>
          <w:sz w:val="28"/>
          <w:szCs w:val="28"/>
          <w:lang w:val="en-GB"/>
          <w14:textFill>
            <w14:solidFill>
              <w14:schemeClr w14:val="tx1"/>
            </w14:solidFill>
          </w14:textFill>
        </w:rPr>
        <w:t>（三）项目资金来源和到位可行性</w:t>
      </w:r>
      <w:bookmarkEnd w:id="25"/>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本项目为政府投资项目，全部资金均由财政资金及专项债券筹集，资金应能按时拨付到位。</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6" w:name="_Toc200724652"/>
      <w:r>
        <w:rPr>
          <w:rFonts w:hint="eastAsia" w:ascii="楷体" w:hAnsi="楷体" w:eastAsia="楷体" w:cs="楷体"/>
          <w:b/>
          <w:bCs/>
          <w:color w:val="000000" w:themeColor="text1"/>
          <w:kern w:val="0"/>
          <w:sz w:val="28"/>
          <w:szCs w:val="28"/>
          <w:lang w:val="en-GB"/>
          <w14:textFill>
            <w14:solidFill>
              <w14:schemeClr w14:val="tx1"/>
            </w14:solidFill>
          </w14:textFill>
        </w:rPr>
        <w:t>（四）项目收入、成本、收益预测合理性</w:t>
      </w:r>
      <w:bookmarkEnd w:id="26"/>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本项目专项债券以运营收入为还本付息基础，根据资金平衡测算分析，项目预计债券本金资金覆盖率可达到1.39，债券本息资金覆盖率可达到1.32，债券本息资金盖倍数可达到1.30。能够满足债券还本付息的需求。</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另外，在对运营收入变动进行压力测试后，结果显示，本项目在运营收入下降20%或债券利率上升20%时，项目收益仍能覆盖债券的还本付息，项目具备一定的抗风险能力。项目收入、成本、收益预测具备合理性。</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7" w:name="_Toc200724653"/>
      <w:r>
        <w:rPr>
          <w:rFonts w:hint="eastAsia" w:ascii="楷体" w:hAnsi="楷体" w:eastAsia="楷体" w:cs="楷体"/>
          <w:b/>
          <w:bCs/>
          <w:color w:val="000000" w:themeColor="text1"/>
          <w:kern w:val="0"/>
          <w:sz w:val="28"/>
          <w:szCs w:val="28"/>
          <w:lang w:val="en-GB"/>
          <w14:textFill>
            <w14:solidFill>
              <w14:schemeClr w14:val="tx1"/>
            </w14:solidFill>
          </w14:textFill>
        </w:rPr>
        <w:t>（五）债券资金需求合理性</w:t>
      </w:r>
      <w:bookmarkEnd w:id="27"/>
    </w:p>
    <w:p>
      <w:pPr>
        <w:spacing w:after="0" w:line="360" w:lineRule="auto"/>
        <w:jc w:val="left"/>
        <w:rPr>
          <w:rFonts w:ascii="仿宋_GB2312" w:eastAsia="仿宋_GB2312"/>
        </w:rPr>
      </w:pPr>
      <w:r>
        <w:rPr>
          <w:rFonts w:hint="eastAsia" w:ascii="仿宋_GB2312" w:eastAsia="仿宋_GB2312"/>
        </w:rPr>
        <w:t xml:space="preserve">      </w:t>
      </w:r>
      <w:r>
        <w:rPr>
          <w:rFonts w:hint="eastAsia" w:ascii="仿宋_GB2312" w:hAnsi="楷体" w:eastAsia="仿宋_GB2312" w:cs="楷体"/>
          <w:color w:val="000000" w:themeColor="text1"/>
          <w:sz w:val="28"/>
          <w:szCs w:val="28"/>
          <w14:textFill>
            <w14:solidFill>
              <w14:schemeClr w14:val="tx1"/>
            </w14:solidFill>
          </w14:textFill>
        </w:rPr>
        <w:t>结合建设资金需求及项目财政资金款项到账时间节点，为保障项目建设期间资金需求，项目通过发行专项债券筹集资金。同时，本项目专项债券将依照项目现金流结余情况，降低利息费用，提高资金使用效率，已考虑运营收益、债券利率等因素变动对专项债券本息资金覆盖情况的影响。总体而言。本项目通过调剂专项债可实现降低融资成本，是现阶段解决本项目融资资金问题的推荐方案，申请本次债券资金需求合理。</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8" w:name="_Toc200724654"/>
      <w:r>
        <w:rPr>
          <w:rFonts w:hint="eastAsia" w:ascii="楷体" w:hAnsi="楷体" w:eastAsia="楷体" w:cs="楷体"/>
          <w:b/>
          <w:bCs/>
          <w:color w:val="000000" w:themeColor="text1"/>
          <w:kern w:val="0"/>
          <w:sz w:val="28"/>
          <w:szCs w:val="28"/>
          <w:lang w:val="en-GB"/>
          <w14:textFill>
            <w14:solidFill>
              <w14:schemeClr w14:val="tx1"/>
            </w14:solidFill>
          </w14:textFill>
        </w:rPr>
        <w:t>（六）项目偿债计划可行性和偿债风险点</w:t>
      </w:r>
      <w:bookmarkEnd w:id="28"/>
    </w:p>
    <w:p>
      <w:pPr>
        <w:spacing w:after="0" w:line="360" w:lineRule="auto"/>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eastAsia="仿宋_GB2312"/>
        </w:rPr>
        <w:t xml:space="preserve">      </w:t>
      </w:r>
      <w:r>
        <w:rPr>
          <w:rFonts w:hint="eastAsia" w:ascii="仿宋_GB2312" w:hAnsi="楷体" w:eastAsia="仿宋_GB2312" w:cs="楷体"/>
          <w:color w:val="000000" w:themeColor="text1"/>
          <w:sz w:val="28"/>
          <w:szCs w:val="28"/>
          <w14:textFill>
            <w14:solidFill>
              <w14:schemeClr w14:val="tx1"/>
            </w14:solidFill>
          </w14:textFill>
        </w:rPr>
        <w:t>项目偿债计划为拟在还本付息年份内，安排运营收入等作为债券偿债的主要来源，可以测算得出本项目未来用于还本付息的运营收入可以覆盖债券还本付息，具备可行性。</w:t>
      </w:r>
      <w:r>
        <w:rPr>
          <w:rFonts w:hint="eastAsia" w:ascii="仿宋_GB2312" w:hAnsi="楷体" w:eastAsia="仿宋_GB2312" w:cs="楷体"/>
          <w:color w:val="000000" w:themeColor="text1"/>
          <w:sz w:val="28"/>
          <w:szCs w:val="28"/>
          <w14:textFill>
            <w14:solidFill>
              <w14:schemeClr w14:val="tx1"/>
            </w14:solidFill>
          </w14:textFill>
        </w:rPr>
        <w:br w:type="textWrapping"/>
      </w:r>
      <w:r>
        <w:rPr>
          <w:rFonts w:hint="eastAsia" w:ascii="仿宋_GB2312" w:hAnsi="楷体" w:eastAsia="仿宋_GB2312" w:cs="楷体"/>
          <w:color w:val="000000" w:themeColor="text1"/>
          <w:sz w:val="28"/>
          <w:szCs w:val="28"/>
          <w14:textFill>
            <w14:solidFill>
              <w14:schemeClr w14:val="tx1"/>
            </w14:solidFill>
          </w14:textFill>
        </w:rPr>
        <w:t xml:space="preserve">    但尽管上述对于运营收入预测遵循了谨慎性原则进行保守推测，但是由于实际工期延误、采购成本等受宏观经济及市场影响较大，存在以上偿债风险点，详见“六、风险评估”。</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29" w:name="_Toc200724655"/>
      <w:r>
        <w:rPr>
          <w:rFonts w:hint="eastAsia" w:ascii="楷体" w:hAnsi="楷体" w:eastAsia="楷体" w:cs="楷体"/>
          <w:b/>
          <w:bCs/>
          <w:color w:val="000000" w:themeColor="text1"/>
          <w:kern w:val="0"/>
          <w:sz w:val="28"/>
          <w:szCs w:val="28"/>
          <w:lang w:val="en-GB"/>
          <w14:textFill>
            <w14:solidFill>
              <w14:schemeClr w14:val="tx1"/>
            </w14:solidFill>
          </w14:textFill>
        </w:rPr>
        <w:t>（七）绩效目标合理性</w:t>
      </w:r>
      <w:bookmarkEnd w:id="29"/>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在本次事前绩效目标的评估中，项目单位已根据项目情况设置了成本指标、可持续影响指标、服务对象满意度指标等三项事前绩效目标。已设置的绩效目标及指标均可量化考核，匹配项目实际情况，基本已完整覆盖，契合了本项目对我市基础设施推进作用的实质，与我市长期规划目标、年度工作目标相一致，产出和效果目标紧密相连。</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0" w:name="_Toc200724656"/>
      <w:r>
        <w:rPr>
          <w:rFonts w:hint="eastAsia" w:ascii="楷体" w:hAnsi="楷体" w:eastAsia="楷体" w:cs="楷体"/>
          <w:b/>
          <w:bCs/>
          <w:color w:val="000000" w:themeColor="text1"/>
          <w:kern w:val="0"/>
          <w:sz w:val="28"/>
          <w:szCs w:val="28"/>
          <w:lang w:val="en-GB"/>
          <w14:textFill>
            <w14:solidFill>
              <w14:schemeClr w14:val="tx1"/>
            </w14:solidFill>
          </w14:textFill>
        </w:rPr>
        <w:t>（八）其他需要纳入事前绩效评估的事项</w:t>
      </w:r>
      <w:bookmarkEnd w:id="30"/>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暂无。</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1" w:name="_Toc200724657"/>
      <w:r>
        <w:rPr>
          <w:rFonts w:hint="eastAsia" w:ascii="楷体" w:hAnsi="楷体" w:eastAsia="楷体" w:cs="楷体"/>
          <w:b/>
          <w:bCs/>
          <w:color w:val="000000" w:themeColor="text1"/>
          <w:kern w:val="0"/>
          <w:sz w:val="28"/>
          <w:szCs w:val="28"/>
          <w:lang w:val="en-GB"/>
          <w14:textFill>
            <w14:solidFill>
              <w14:schemeClr w14:val="tx1"/>
            </w14:solidFill>
          </w14:textFill>
        </w:rPr>
        <w:t>（九）整体结论</w:t>
      </w:r>
      <w:bookmarkEnd w:id="31"/>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综上，本项目经事前绩效评估，是已具备申请专项债券资金支持的必要性和可行性。</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1162"/>
        <w:gridCol w:w="3671"/>
        <w:gridCol w:w="576"/>
        <w:gridCol w:w="576"/>
        <w:gridCol w:w="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1"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项目名称</w:t>
            </w:r>
          </w:p>
        </w:tc>
        <w:tc>
          <w:tcPr>
            <w:tcW w:w="3749" w:type="pct"/>
            <w:gridSpan w:val="5"/>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olor w:val="000000"/>
                <w:sz w:val="24"/>
                <w:szCs w:val="24"/>
              </w:rPr>
              <w:t>海口市江东新区园区配套基础设施配套项目（二期）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1"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实施单位</w:t>
            </w:r>
          </w:p>
        </w:tc>
        <w:tc>
          <w:tcPr>
            <w:tcW w:w="3749" w:type="pct"/>
            <w:gridSpan w:val="5"/>
            <w:vAlign w:val="center"/>
          </w:tcPr>
          <w:p>
            <w:pPr>
              <w:adjustRightInd w:val="0"/>
              <w:snapToGrid w:val="0"/>
              <w:spacing w:after="0" w:line="240" w:lineRule="auto"/>
              <w:rPr>
                <w:rFonts w:hint="eastAsia" w:ascii="仿宋" w:hAnsi="仿宋" w:eastAsia="仿宋"/>
                <w:color w:val="000000"/>
                <w:sz w:val="24"/>
                <w:szCs w:val="24"/>
                <w:highlight w:val="yellow"/>
              </w:rPr>
            </w:pPr>
            <w:r>
              <w:rPr>
                <w:rFonts w:hint="eastAsia" w:ascii="仿宋" w:hAnsi="仿宋" w:eastAsia="仿宋"/>
                <w:color w:val="000000"/>
                <w:sz w:val="24"/>
                <w:szCs w:val="24"/>
              </w:rPr>
              <w:t>海口市路桥建设投资有限公司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251"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论证要点</w:t>
            </w: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指标</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评估要点</w:t>
            </w:r>
          </w:p>
        </w:tc>
        <w:tc>
          <w:tcPr>
            <w:tcW w:w="615" w:type="pct"/>
            <w:gridSpan w:val="2"/>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分值</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项目实施的必要性、公益性、收益性</w:t>
            </w: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必要性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是否与中央、省委省政府决策部署、部门职能和规划相关</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3</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25</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需求是否迫切</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③</w:t>
            </w:r>
            <w:r>
              <w:rPr>
                <w:rFonts w:ascii="仿宋" w:hAnsi="仿宋" w:eastAsia="仿宋"/>
                <w:color w:val="000000"/>
                <w:sz w:val="24"/>
                <w:szCs w:val="24"/>
              </w:rPr>
              <w:t>是否有可替代性</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公益性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是否属于公益性</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6</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收益性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是否有明显经济效益</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6</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项目建设投资合规性与项目成熟度</w:t>
            </w: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投资合规性和可行性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资金来源渠道是否符合相关规定、资金筹措程序是否科学规范</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12</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事权、支出责任和财力是否匹配</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项目成熟度</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是否能在债券资金使用年度形成实物工作量</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6</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有关的基础设施条件是否能够有效保障</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项目资金来源和到位可行性</w:t>
            </w: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资金支持合理性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财政部门和其他部门是否有其他资金重复投入</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10</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资金支持方式是否科学合理</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筹资风险可控性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筹资风险是否可控，筹措资金能否及时到位</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3</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项目收入、成本、收益预测合理性</w:t>
            </w: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收入实现可能性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项目收益测算是否充分</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6</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21</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项目收益是否容易受到政策、市场环境等影响</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成本控制措施有效性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成本测算是否充分</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成本控制措施是否科学有效</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债券资金需求合理性</w:t>
            </w: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合理性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投入产出比是否合理</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5</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偿债计划可行性和风险点</w:t>
            </w:r>
          </w:p>
        </w:tc>
        <w:tc>
          <w:tcPr>
            <w:tcW w:w="70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计划内容明确性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内容是否明确、具体</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12</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偿债计划可行性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偿债计划是否完整、可行</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偿债计划是否经过前期论证</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过程控制有效性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组织机构是否健全、职责分工是否明确</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实施单位各项业务和财务管理制度是否健全</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③</w:t>
            </w:r>
            <w:r>
              <w:rPr>
                <w:rFonts w:ascii="仿宋" w:hAnsi="仿宋" w:eastAsia="仿宋"/>
                <w:color w:val="000000"/>
                <w:sz w:val="24"/>
                <w:szCs w:val="24"/>
              </w:rPr>
              <w:t>是否制定有效的过程控制措施</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绩效目标合理性</w:t>
            </w: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目标明确性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绩效目标设定是否明确</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restar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15</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与部门长期规划、年度工作目标是否一致</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③</w:t>
            </w:r>
            <w:r>
              <w:rPr>
                <w:rFonts w:ascii="仿宋" w:hAnsi="仿宋" w:eastAsia="仿宋"/>
                <w:color w:val="000000"/>
                <w:sz w:val="24"/>
                <w:szCs w:val="24"/>
              </w:rPr>
              <w:t>是否与政策、项目内容高度相关</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restart"/>
            <w:vAlign w:val="center"/>
          </w:tcPr>
          <w:p>
            <w:pPr>
              <w:adjustRightInd w:val="0"/>
              <w:snapToGrid w:val="0"/>
              <w:spacing w:after="0" w:line="240" w:lineRule="auto"/>
              <w:rPr>
                <w:rFonts w:hint="eastAsia" w:ascii="仿宋" w:hAnsi="仿宋" w:eastAsia="仿宋"/>
                <w:color w:val="000000"/>
                <w:sz w:val="24"/>
                <w:szCs w:val="24"/>
              </w:rPr>
            </w:pPr>
            <w:r>
              <w:rPr>
                <w:rFonts w:ascii="仿宋" w:hAnsi="仿宋" w:eastAsia="仿宋"/>
                <w:color w:val="000000"/>
                <w:sz w:val="24"/>
                <w:szCs w:val="24"/>
              </w:rPr>
              <w:t>目标合理性</w:t>
            </w: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①</w:t>
            </w:r>
            <w:r>
              <w:rPr>
                <w:rFonts w:ascii="仿宋" w:hAnsi="仿宋" w:eastAsia="仿宋"/>
                <w:color w:val="000000"/>
                <w:sz w:val="24"/>
                <w:szCs w:val="24"/>
              </w:rPr>
              <w:t>是否与申报预算的资金量相匹配</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3</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②</w:t>
            </w:r>
            <w:r>
              <w:rPr>
                <w:rFonts w:ascii="仿宋" w:hAnsi="仿宋" w:eastAsia="仿宋"/>
                <w:color w:val="000000"/>
                <w:sz w:val="24"/>
                <w:szCs w:val="24"/>
              </w:rPr>
              <w:t>绩效指标是否细化、量化</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4</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709" w:type="pct"/>
            <w:vMerge w:val="continue"/>
            <w:vAlign w:val="center"/>
          </w:tcPr>
          <w:p>
            <w:pPr>
              <w:adjustRightInd w:val="0"/>
              <w:snapToGrid w:val="0"/>
              <w:spacing w:after="0" w:line="240" w:lineRule="auto"/>
              <w:rPr>
                <w:rFonts w:hint="eastAsia" w:ascii="仿宋" w:hAnsi="仿宋" w:eastAsia="仿宋"/>
                <w:color w:val="000000"/>
                <w:sz w:val="24"/>
                <w:szCs w:val="24"/>
              </w:rPr>
            </w:pPr>
          </w:p>
        </w:tc>
        <w:tc>
          <w:tcPr>
            <w:tcW w:w="2179" w:type="pct"/>
            <w:vAlign w:val="center"/>
          </w:tcPr>
          <w:p>
            <w:pPr>
              <w:adjustRightInd w:val="0"/>
              <w:snapToGrid w:val="0"/>
              <w:spacing w:after="0" w:line="240" w:lineRule="auto"/>
              <w:rPr>
                <w:rFonts w:hint="eastAsia" w:ascii="仿宋" w:hAnsi="仿宋" w:eastAsia="仿宋"/>
                <w:color w:val="000000"/>
                <w:sz w:val="24"/>
                <w:szCs w:val="24"/>
              </w:rPr>
            </w:pPr>
            <w:r>
              <w:rPr>
                <w:rFonts w:hint="eastAsia" w:ascii="仿宋" w:hAnsi="仿宋" w:eastAsia="仿宋" w:cs="宋体"/>
                <w:color w:val="000000"/>
                <w:sz w:val="24"/>
                <w:szCs w:val="24"/>
              </w:rPr>
              <w:t>③</w:t>
            </w:r>
            <w:r>
              <w:rPr>
                <w:rFonts w:ascii="仿宋" w:hAnsi="仿宋" w:eastAsia="仿宋"/>
                <w:color w:val="000000"/>
                <w:sz w:val="24"/>
                <w:szCs w:val="24"/>
              </w:rPr>
              <w:t>指标值是否合理、可考核</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2</w:t>
            </w:r>
          </w:p>
        </w:tc>
        <w:tc>
          <w:tcPr>
            <w:tcW w:w="307" w:type="pct"/>
            <w:vMerge w:val="continue"/>
            <w:vAlign w:val="center"/>
          </w:tcPr>
          <w:p>
            <w:pPr>
              <w:adjustRightInd w:val="0"/>
              <w:snapToGrid w:val="0"/>
              <w:spacing w:after="0" w:line="240" w:lineRule="auto"/>
              <w:jc w:val="center"/>
              <w:rPr>
                <w:rFonts w:hint="eastAsia" w:ascii="仿宋" w:hAnsi="仿宋" w:eastAsia="仿宋"/>
                <w:color w:val="000000"/>
                <w:sz w:val="24"/>
                <w:szCs w:val="24"/>
              </w:rPr>
            </w:pP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8" w:type="pct"/>
            <w:gridSpan w:val="3"/>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合计</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100</w:t>
            </w:r>
          </w:p>
        </w:tc>
        <w:tc>
          <w:tcPr>
            <w:tcW w:w="30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100</w:t>
            </w:r>
          </w:p>
        </w:tc>
        <w:tc>
          <w:tcPr>
            <w:tcW w:w="247" w:type="pct"/>
            <w:vAlign w:val="center"/>
          </w:tcPr>
          <w:p>
            <w:pPr>
              <w:adjustRightInd w:val="0"/>
              <w:snapToGrid w:val="0"/>
              <w:spacing w:after="0" w:line="240" w:lineRule="auto"/>
              <w:jc w:val="center"/>
              <w:rPr>
                <w:rFonts w:hint="eastAsia" w:ascii="仿宋" w:hAnsi="仿宋" w:eastAsia="仿宋"/>
                <w:color w:val="000000"/>
                <w:sz w:val="24"/>
                <w:szCs w:val="24"/>
              </w:rPr>
            </w:pPr>
            <w:r>
              <w:rPr>
                <w:rFonts w:ascii="仿宋" w:hAnsi="仿宋" w:eastAsia="仿宋"/>
                <w:color w:val="000000"/>
                <w:sz w:val="24"/>
                <w:szCs w:val="24"/>
              </w:rPr>
              <w:t>9</w:t>
            </w:r>
            <w:r>
              <w:rPr>
                <w:rFonts w:hint="eastAsia" w:ascii="仿宋" w:hAnsi="仿宋" w:eastAsia="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pPr>
              <w:adjustRightInd w:val="0"/>
              <w:snapToGrid w:val="0"/>
              <w:spacing w:after="0" w:line="240" w:lineRule="auto"/>
              <w:jc w:val="center"/>
              <w:rPr>
                <w:rFonts w:hint="eastAsia" w:ascii="仿宋" w:hAnsi="仿宋" w:eastAsia="仿宋"/>
                <w:b/>
                <w:color w:val="000000"/>
                <w:sz w:val="24"/>
                <w:szCs w:val="24"/>
              </w:rPr>
            </w:pPr>
            <w:r>
              <w:rPr>
                <w:rFonts w:ascii="仿宋" w:hAnsi="仿宋" w:eastAsia="仿宋"/>
                <w:b/>
                <w:color w:val="000000"/>
                <w:sz w:val="24"/>
                <w:szCs w:val="24"/>
              </w:rPr>
              <w:t>事前绩效评估结论：优</w:t>
            </w:r>
          </w:p>
        </w:tc>
      </w:tr>
    </w:tbl>
    <w:p>
      <w:pPr>
        <w:spacing w:after="0" w:line="360" w:lineRule="auto"/>
        <w:ind w:firstLine="420" w:firstLineChars="200"/>
        <w:jc w:val="left"/>
      </w:pP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32" w:name="_Toc200724658"/>
      <w:r>
        <w:rPr>
          <w:rFonts w:hint="eastAsia" w:ascii="黑体" w:hAnsi="黑体" w:cs="楷体"/>
          <w:b w:val="0"/>
          <w:bCs w:val="0"/>
          <w:color w:val="000000" w:themeColor="text1"/>
          <w:kern w:val="0"/>
          <w:sz w:val="28"/>
          <w:szCs w:val="28"/>
          <w14:textFill>
            <w14:solidFill>
              <w14:schemeClr w14:val="tx1"/>
            </w14:solidFill>
          </w14:textFill>
        </w:rPr>
        <w:t>六、风险评估</w:t>
      </w:r>
      <w:bookmarkEnd w:id="32"/>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3" w:name="_Toc200724659"/>
      <w:r>
        <w:rPr>
          <w:rFonts w:hint="eastAsia" w:ascii="楷体" w:hAnsi="楷体" w:eastAsia="楷体" w:cs="楷体"/>
          <w:b/>
          <w:bCs/>
          <w:color w:val="000000" w:themeColor="text1"/>
          <w:kern w:val="0"/>
          <w:sz w:val="28"/>
          <w:szCs w:val="28"/>
          <w:lang w:val="en-GB"/>
          <w14:textFill>
            <w14:solidFill>
              <w14:schemeClr w14:val="tx1"/>
            </w14:solidFill>
          </w14:textFill>
        </w:rPr>
        <w:t>（一）影响项目施工进度或正常运营的风险及控制措施</w:t>
      </w:r>
      <w:bookmarkEnd w:id="33"/>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1.政策风险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2.项目实施与管理风险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项目建设期间严格执行文明施工标准，确保项目对民众生活的影响降至最低。</w:t>
      </w: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3.财务风险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4" w:name="_Toc200724660"/>
      <w:r>
        <w:rPr>
          <w:rFonts w:hint="eastAsia" w:ascii="楷体" w:hAnsi="楷体" w:eastAsia="楷体" w:cs="楷体"/>
          <w:b/>
          <w:bCs/>
          <w:color w:val="000000" w:themeColor="text1"/>
          <w:kern w:val="0"/>
          <w:sz w:val="28"/>
          <w:szCs w:val="28"/>
          <w:lang w:val="en-GB"/>
          <w14:textFill>
            <w14:solidFill>
              <w14:schemeClr w14:val="tx1"/>
            </w14:solidFill>
          </w14:textFill>
        </w:rPr>
        <w:t>（二）影响项目收益的风险及控制措施</w:t>
      </w:r>
      <w:bookmarkEnd w:id="34"/>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1.工程项目总投资不准确风险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工程可行性研究报告中的总投资额与实际造价成本可能会发生偏差，影响资金项目资金投入和发债计划安排。</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风险控制措施：按照市政府主管部门的批复结果及时调整项目资金投入计划，保障项目顺利实施。</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5" w:name="_Toc200724661"/>
      <w:r>
        <w:rPr>
          <w:rFonts w:hint="eastAsia" w:ascii="楷体" w:hAnsi="楷体" w:eastAsia="楷体" w:cs="楷体"/>
          <w:b/>
          <w:bCs/>
          <w:color w:val="000000" w:themeColor="text1"/>
          <w:kern w:val="0"/>
          <w:sz w:val="28"/>
          <w:szCs w:val="28"/>
          <w:lang w:val="en-GB"/>
          <w14:textFill>
            <w14:solidFill>
              <w14:schemeClr w14:val="tx1"/>
            </w14:solidFill>
          </w14:textFill>
        </w:rPr>
        <w:t>（三）影响融资平衡结果的风险及控制措施</w:t>
      </w:r>
      <w:bookmarkEnd w:id="35"/>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1.投资测算不准确风险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风险控制措施：债券内所含项目的可行性研究报告均聘请了国内知名研究院经过大量分析论证工作后得出，分析结果较为可靠。</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2.利率波动风险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在本政府专项债券存续期内，国际、国内宏观经济环境的变化，国家经济政策变动等因素会引起债务资本市场利率的波动，市场利率波动将会对本项目的财务成本产生影响，进而影响项目投资收益的平衡。</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pStyle w:val="24"/>
        <w:spacing w:line="360" w:lineRule="auto"/>
        <w:ind w:firstLine="565" w:firstLineChars="201"/>
        <w:jc w:val="left"/>
        <w:rPr>
          <w:rFonts w:hint="eastAsia" w:ascii="仿宋_GB2312" w:hAnsi="楷体" w:eastAsia="仿宋_GB2312" w:cs="楷体"/>
          <w:b/>
          <w:bCs/>
          <w:color w:val="000000" w:themeColor="text1"/>
          <w:kern w:val="0"/>
          <w:sz w:val="28"/>
          <w:szCs w:val="28"/>
          <w14:textFill>
            <w14:solidFill>
              <w14:schemeClr w14:val="tx1"/>
            </w14:solidFill>
          </w14:textFill>
        </w:rPr>
      </w:pPr>
      <w:r>
        <w:rPr>
          <w:rFonts w:hint="eastAsia" w:ascii="仿宋_GB2312" w:hAnsi="楷体" w:eastAsia="仿宋_GB2312" w:cs="楷体"/>
          <w:b/>
          <w:bCs/>
          <w:color w:val="000000" w:themeColor="text1"/>
          <w:kern w:val="0"/>
          <w:sz w:val="28"/>
          <w:szCs w:val="28"/>
          <w14:textFill>
            <w14:solidFill>
              <w14:schemeClr w14:val="tx1"/>
            </w14:solidFill>
          </w14:textFill>
        </w:rPr>
        <w:t>3.存续债券置换不畅风险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根据《地方政府专项债务预算管理办法》（财预〔2016〕155号）第六条规定，专项债务本金通过对应的政府性基金收入、专项收入、发行专项债券等偿还。若本期政府专项债券到期时项目收入不足以偿还本期债券，发行人将发行新一期政府专项债券置换本期债券。因此存在由于新一期政府专项债券不能足额及时募集而造成本期政府专项债券不能按期足额兑付的风险。</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36" w:name="_Toc200724662"/>
      <w:r>
        <w:rPr>
          <w:rFonts w:hint="eastAsia" w:ascii="黑体" w:hAnsi="黑体" w:cs="楷体"/>
          <w:b w:val="0"/>
          <w:bCs w:val="0"/>
          <w:color w:val="000000" w:themeColor="text1"/>
          <w:kern w:val="0"/>
          <w:sz w:val="28"/>
          <w:szCs w:val="28"/>
          <w14:textFill>
            <w14:solidFill>
              <w14:schemeClr w14:val="tx1"/>
            </w14:solidFill>
          </w14:textFill>
        </w:rPr>
        <w:t>七、偿债保障及投资者保护</w:t>
      </w:r>
      <w:bookmarkEnd w:id="36"/>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7" w:name="_Toc200724663"/>
      <w:r>
        <w:rPr>
          <w:rFonts w:hint="eastAsia" w:ascii="楷体" w:hAnsi="楷体" w:eastAsia="楷体" w:cs="楷体"/>
          <w:b/>
          <w:bCs/>
          <w:color w:val="000000" w:themeColor="text1"/>
          <w:kern w:val="0"/>
          <w:sz w:val="28"/>
          <w:szCs w:val="28"/>
          <w:lang w:val="en-GB"/>
          <w14:textFill>
            <w14:solidFill>
              <w14:schemeClr w14:val="tx1"/>
            </w14:solidFill>
          </w14:textFill>
        </w:rPr>
        <w:t>（一）专项债券偿债保障措施</w:t>
      </w:r>
      <w:bookmarkEnd w:id="37"/>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pPr>
        <w:spacing w:line="360" w:lineRule="auto"/>
        <w:outlineLvl w:val="2"/>
        <w:rPr>
          <w:rFonts w:hint="eastAsia" w:ascii="楷体" w:hAnsi="楷体" w:eastAsia="楷体" w:cs="楷体"/>
          <w:b/>
          <w:bCs/>
          <w:color w:val="000000" w:themeColor="text1"/>
          <w:kern w:val="0"/>
          <w:sz w:val="28"/>
          <w:szCs w:val="28"/>
          <w:lang w:val="en-GB"/>
          <w14:textFill>
            <w14:solidFill>
              <w14:schemeClr w14:val="tx1"/>
            </w14:solidFill>
          </w14:textFill>
        </w:rPr>
      </w:pPr>
      <w:bookmarkStart w:id="38" w:name="_Toc200724664"/>
      <w:r>
        <w:rPr>
          <w:rFonts w:hint="eastAsia" w:ascii="楷体" w:hAnsi="楷体" w:eastAsia="楷体" w:cs="楷体"/>
          <w:b/>
          <w:bCs/>
          <w:color w:val="000000" w:themeColor="text1"/>
          <w:kern w:val="0"/>
          <w:sz w:val="28"/>
          <w:szCs w:val="28"/>
          <w:lang w:val="en-GB"/>
          <w14:textFill>
            <w14:solidFill>
              <w14:schemeClr w14:val="tx1"/>
            </w14:solidFill>
          </w14:textFill>
        </w:rPr>
        <w:t>（二）专项债券的投资者保护措施</w:t>
      </w:r>
      <w:bookmarkEnd w:id="38"/>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根据《中华人民共和国预算法》（2018年修订）、《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pPr>
        <w:widowControl/>
        <w:spacing w:after="0" w:line="240" w:lineRule="auto"/>
        <w:jc w:val="left"/>
        <w:rPr>
          <w:rFonts w:hint="eastAsia" w:ascii="黑体" w:hAnsi="黑体" w:eastAsia="黑体" w:cs="楷体"/>
          <w:color w:val="000000" w:themeColor="text1"/>
          <w:kern w:val="0"/>
          <w:sz w:val="28"/>
          <w:szCs w:val="28"/>
          <w14:textFill>
            <w14:solidFill>
              <w14:schemeClr w14:val="tx1"/>
            </w14:solidFill>
          </w14:textFill>
        </w:rPr>
      </w:pPr>
      <w:r>
        <w:rPr>
          <w:rFonts w:ascii="黑体" w:hAnsi="黑体" w:cs="楷体"/>
          <w:b/>
          <w:bCs/>
          <w:color w:val="000000" w:themeColor="text1"/>
          <w:kern w:val="0"/>
          <w:sz w:val="28"/>
          <w:szCs w:val="28"/>
          <w14:textFill>
            <w14:solidFill>
              <w14:schemeClr w14:val="tx1"/>
            </w14:solidFill>
          </w14:textFill>
        </w:rPr>
        <w:br w:type="page"/>
      </w:r>
    </w:p>
    <w:p>
      <w:pPr>
        <w:pStyle w:val="2"/>
        <w:spacing w:before="240" w:beforeLines="100" w:after="240" w:afterLines="100" w:line="240" w:lineRule="auto"/>
        <w:rPr>
          <w:rFonts w:hint="eastAsia" w:ascii="黑体" w:hAnsi="黑体" w:cs="楷体"/>
          <w:b w:val="0"/>
          <w:bCs w:val="0"/>
          <w:color w:val="000000" w:themeColor="text1"/>
          <w:kern w:val="0"/>
          <w:sz w:val="28"/>
          <w:szCs w:val="28"/>
          <w14:textFill>
            <w14:solidFill>
              <w14:schemeClr w14:val="tx1"/>
            </w14:solidFill>
          </w14:textFill>
        </w:rPr>
      </w:pPr>
      <w:bookmarkStart w:id="39" w:name="_Toc200724665"/>
      <w:bookmarkStart w:id="40" w:name="_GoBack"/>
      <w:bookmarkEnd w:id="40"/>
      <w:r>
        <w:rPr>
          <w:rFonts w:hint="eastAsia" w:ascii="黑体" w:hAnsi="黑体" w:cs="楷体"/>
          <w:b w:val="0"/>
          <w:bCs w:val="0"/>
          <w:color w:val="000000" w:themeColor="text1"/>
          <w:kern w:val="0"/>
          <w:sz w:val="28"/>
          <w:szCs w:val="28"/>
          <w14:textFill>
            <w14:solidFill>
              <w14:schemeClr w14:val="tx1"/>
            </w14:solidFill>
          </w14:textFill>
        </w:rPr>
        <w:t>八、结论</w:t>
      </w:r>
      <w:bookmarkEnd w:id="39"/>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基于财政部对地方政府发行专项债券的要求，本项目可以通过调剂专项债券的方式进行融资以完成资金筹措，并以项目自身收益所对应的充足、稳定现金流作为还本付息的资金来源。</w:t>
      </w:r>
    </w:p>
    <w:p>
      <w:pPr>
        <w:spacing w:after="0" w:line="360" w:lineRule="auto"/>
        <w:ind w:firstLine="560" w:firstLineChars="200"/>
        <w:jc w:val="left"/>
        <w:rPr>
          <w:rFonts w:hint="eastAsia" w:ascii="仿宋_GB2312" w:hAnsi="楷体" w:eastAsia="仿宋_GB2312" w:cs="楷体"/>
          <w:color w:val="000000" w:themeColor="text1"/>
          <w:sz w:val="28"/>
          <w:szCs w:val="28"/>
          <w14:textFill>
            <w14:solidFill>
              <w14:schemeClr w14:val="tx1"/>
            </w14:solidFill>
          </w14:textFill>
        </w:rPr>
      </w:pPr>
      <w:r>
        <w:rPr>
          <w:rFonts w:hint="eastAsia" w:ascii="仿宋_GB2312" w:hAnsi="楷体" w:eastAsia="仿宋_GB2312" w:cs="楷体"/>
          <w:color w:val="000000" w:themeColor="text1"/>
          <w:sz w:val="28"/>
          <w:szCs w:val="28"/>
          <w14:textFill>
            <w14:solidFill>
              <w14:schemeClr w14:val="tx1"/>
            </w14:solidFill>
          </w14:textFill>
        </w:rPr>
        <w:t>综上所述，本次调剂项目债券金额，是解决海口市江东新区园区配套基础设施配套项目（二期）资金来源的较好方式。</w:t>
      </w:r>
    </w:p>
    <w:p>
      <w:pPr>
        <w:spacing w:before="100" w:beforeAutospacing="1" w:after="0" w:line="360" w:lineRule="auto"/>
        <w:ind w:firstLine="560" w:firstLineChars="200"/>
        <w:rPr>
          <w:rFonts w:hint="eastAsia" w:ascii="楷体" w:hAnsi="楷体" w:eastAsia="楷体" w:cs="楷体"/>
          <w:color w:val="000000" w:themeColor="text1"/>
          <w:sz w:val="28"/>
          <w:szCs w:val="28"/>
          <w14:textFill>
            <w14:solidFill>
              <w14:schemeClr w14:val="tx1"/>
            </w14:solidFill>
          </w14:textFill>
        </w:rPr>
      </w:pPr>
    </w:p>
    <w:p>
      <w:pPr>
        <w:spacing w:before="100" w:beforeAutospacing="1" w:after="0" w:line="360" w:lineRule="auto"/>
        <w:jc w:val="right"/>
        <w:rPr>
          <w:rFonts w:hint="eastAsia" w:ascii="仿宋_GB2312" w:hAnsi="楷体" w:eastAsia="仿宋_GB2312" w:cs="楷体"/>
          <w:color w:val="000000" w:themeColor="text1"/>
          <w:kern w:val="0"/>
          <w:sz w:val="28"/>
          <w:szCs w:val="28"/>
          <w14:textFill>
            <w14:solidFill>
              <w14:schemeClr w14:val="tx1"/>
            </w14:solidFill>
          </w14:textFill>
        </w:rPr>
      </w:pPr>
      <w:r>
        <w:rPr>
          <w:rFonts w:hint="eastAsia" w:ascii="仿宋_GB2312" w:hAnsi="楷体" w:eastAsia="仿宋_GB2312" w:cs="楷体"/>
          <w:color w:val="000000" w:themeColor="text1"/>
          <w:kern w:val="0"/>
          <w:sz w:val="28"/>
          <w:szCs w:val="28"/>
          <w14:textFill>
            <w14:solidFill>
              <w14:schemeClr w14:val="tx1"/>
            </w14:solidFill>
          </w14:textFill>
        </w:rPr>
        <w:t>海口市路桥建设投资有限公司</w:t>
      </w:r>
    </w:p>
    <w:p>
      <w:pPr>
        <w:spacing w:before="100" w:beforeAutospacing="1" w:after="0" w:line="360" w:lineRule="auto"/>
        <w:jc w:val="right"/>
        <w:rPr>
          <w:rFonts w:hint="eastAsia" w:ascii="仿宋_GB2312" w:hAnsi="楷体" w:eastAsia="仿宋_GB2312" w:cs="楷体"/>
          <w:color w:val="000000" w:themeColor="text1"/>
          <w:kern w:val="0"/>
          <w:sz w:val="28"/>
          <w:szCs w:val="28"/>
          <w14:textFill>
            <w14:solidFill>
              <w14:schemeClr w14:val="tx1"/>
            </w14:solidFill>
          </w14:textFill>
        </w:rPr>
      </w:pPr>
      <w:r>
        <w:rPr>
          <w:rFonts w:hint="eastAsia" w:ascii="仿宋_GB2312" w:hAnsi="楷体" w:eastAsia="仿宋_GB2312" w:cs="楷体"/>
          <w:color w:val="000000" w:themeColor="text1"/>
          <w:kern w:val="0"/>
          <w:sz w:val="28"/>
          <w:szCs w:val="28"/>
          <w14:textFill>
            <w14:solidFill>
              <w14:schemeClr w14:val="tx1"/>
            </w14:solidFill>
          </w14:textFill>
        </w:rPr>
        <w:t>2025年6月</w:t>
      </w:r>
    </w:p>
    <w:p>
      <w:pPr>
        <w:widowControl/>
        <w:spacing w:after="0" w:line="240" w:lineRule="auto"/>
        <w:jc w:val="left"/>
      </w:pPr>
    </w:p>
    <w:p>
      <w:pPr>
        <w:pStyle w:val="2"/>
        <w:keepNext w:val="0"/>
        <w:keepLines w:val="0"/>
        <w:spacing w:before="120" w:after="120" w:line="360" w:lineRule="auto"/>
        <w:rPr>
          <w:rFonts w:hint="eastAsia" w:ascii="楷体" w:hAnsi="楷体" w:eastAsia="楷体"/>
        </w:rPr>
      </w:pPr>
    </w:p>
    <w:sectPr>
      <w:footerReference r:id="rId11" w:type="default"/>
      <w:pgSz w:w="11906" w:h="16838"/>
      <w:pgMar w:top="1276" w:right="1797" w:bottom="1276" w:left="1797" w:header="709" w:footer="851"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6205395"/>
    </w:sdtPr>
    <w:sdtContent>
      <w:p>
        <w:pPr>
          <w:pStyle w:val="9"/>
          <w:jc w:val="center"/>
        </w:pP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2505327"/>
    </w:sdtPr>
    <w:sdtContent>
      <w:p>
        <w:pPr>
          <w:pStyle w:val="9"/>
          <w:jc w:val="center"/>
        </w:pPr>
        <w:r>
          <w:fldChar w:fldCharType="begin"/>
        </w:r>
        <w:r>
          <w:instrText xml:space="preserve">PAGE   \* MERGEFORMAT</w:instrText>
        </w:r>
        <w:r>
          <w:fldChar w:fldCharType="separate"/>
        </w:r>
        <w:r>
          <w:rPr>
            <w:lang w:val="zh-CN"/>
          </w:rPr>
          <w:t>15</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3539843"/>
    </w:sdtPr>
    <w:sdtContent>
      <w:p>
        <w:pPr>
          <w:pStyle w:val="9"/>
          <w:jc w:val="center"/>
        </w:pPr>
        <w:r>
          <w:fldChar w:fldCharType="begin"/>
        </w:r>
        <w:r>
          <w:instrText xml:space="preserve"> PAGE   \* MERGEFORMAT </w:instrText>
        </w:r>
        <w:r>
          <w:fldChar w:fldCharType="separate"/>
        </w:r>
        <w:r>
          <w:t>18</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477735"/>
    </w:sdtPr>
    <w:sdtContent>
      <w:p>
        <w:pPr>
          <w:pStyle w:val="9"/>
          <w:jc w:val="center"/>
        </w:pPr>
        <w:r>
          <w:fldChar w:fldCharType="begin"/>
        </w:r>
        <w:r>
          <w:instrText xml:space="preserve"> PAGE   \* MERGEFORMAT </w:instrText>
        </w:r>
        <w:r>
          <w:fldChar w:fldCharType="separate"/>
        </w:r>
        <w:r>
          <w:t>21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89052"/>
    </w:sdtPr>
    <w:sdtContent>
      <w:p>
        <w:pPr>
          <w:pStyle w:val="9"/>
          <w:jc w:val="center"/>
        </w:pPr>
        <w:r>
          <w:fldChar w:fldCharType="begin"/>
        </w:r>
        <w:r>
          <w:instrText xml:space="preserve"> PAGE   \* MERGEFORMAT </w:instrText>
        </w:r>
        <w:r>
          <w:fldChar w:fldCharType="separate"/>
        </w:r>
        <w:r>
          <w:t>22</w:t>
        </w:r>
        <w:r>
          <w:fldChar w:fldCharType="end"/>
        </w:r>
      </w:p>
    </w:sdtContent>
  </w:sdt>
  <w:p>
    <w:pPr>
      <w:pStyle w:val="9"/>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4624963"/>
    </w:sdtPr>
    <w:sdtContent>
      <w:p>
        <w:pPr>
          <w:pStyle w:val="9"/>
          <w:jc w:val="center"/>
        </w:pPr>
        <w:r>
          <w:fldChar w:fldCharType="begin"/>
        </w:r>
        <w:r>
          <w:instrText xml:space="preserve"> PAGE   \* MERGEFORMAT </w:instrText>
        </w:r>
        <w:r>
          <w:fldChar w:fldCharType="separate"/>
        </w:r>
        <w:r>
          <w:t>28</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657828"/>
    </w:sdtPr>
    <w:sdtContent>
      <w:p>
        <w:pPr>
          <w:pStyle w:val="9"/>
          <w:jc w:val="center"/>
        </w:pPr>
        <w:r>
          <w:fldChar w:fldCharType="begin"/>
        </w:r>
        <w:r>
          <w:instrText xml:space="preserve"> PAGE   \* MERGEFORMAT </w:instrText>
        </w:r>
        <w:r>
          <w:fldChar w:fldCharType="separate"/>
        </w:r>
        <w:r>
          <w:t>33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pPr>
        <w:spacing w:before="0" w:after="0" w:line="259" w:lineRule="auto"/>
      </w:pPr>
      <w:r>
        <w:separator/>
      </w:r>
    </w:p>
  </w:footnote>
  <w:footnote w:type="continuationSeparator" w:id="11">
    <w:p>
      <w:pPr>
        <w:spacing w:before="0" w:after="0" w:line="259" w:lineRule="auto"/>
      </w:pPr>
      <w:r>
        <w:continuationSeparator/>
      </w:r>
    </w:p>
  </w:footnote>
  <w:footnote w:id="0">
    <w:p>
      <w:pPr>
        <w:pStyle w:val="11"/>
        <w:rPr>
          <w:rFonts w:hint="eastAsia" w:ascii="仿宋_GB2312" w:hAnsi="仿宋" w:eastAsia="仿宋_GB2312"/>
          <w:sz w:val="18"/>
          <w:szCs w:val="18"/>
        </w:rPr>
      </w:pPr>
      <w:r>
        <w:rPr>
          <w:rStyle w:val="21"/>
          <w:rFonts w:hint="eastAsia" w:ascii="仿宋_GB2312" w:hAnsi="仿宋" w:eastAsia="仿宋_GB2312"/>
          <w:sz w:val="18"/>
          <w:szCs w:val="18"/>
        </w:rPr>
        <w:footnoteRef/>
      </w:r>
      <w:r>
        <w:rPr>
          <w:rFonts w:hint="eastAsia" w:ascii="仿宋_GB2312" w:hAnsi="仿宋" w:eastAsia="仿宋_GB2312"/>
          <w:sz w:val="18"/>
          <w:szCs w:val="18"/>
        </w:rPr>
        <w:t xml:space="preserve"> </w:t>
      </w:r>
      <w:r>
        <w:rPr>
          <w:rFonts w:hint="eastAsia" w:ascii="仿宋_GB2312" w:hAnsi="仿宋" w:eastAsia="仿宋_GB2312" w:cs="宋体"/>
          <w:sz w:val="18"/>
          <w:szCs w:val="18"/>
        </w:rPr>
        <w:t>由于本报告数据取整呈现，表格合计数与单项加总可能存在尾差，但不影响项目实际测算，下同。</w:t>
      </w:r>
    </w:p>
  </w:footnote>
  <w:footnote w:id="1">
    <w:p>
      <w:pPr>
        <w:pStyle w:val="11"/>
        <w:rPr>
          <w:rFonts w:ascii="仿宋_GB2312" w:eastAsia="仿宋_GB2312"/>
          <w:sz w:val="18"/>
          <w:szCs w:val="18"/>
        </w:rPr>
      </w:pPr>
      <w:r>
        <w:rPr>
          <w:rStyle w:val="21"/>
          <w:rFonts w:hint="eastAsia" w:ascii="仿宋_GB2312" w:eastAsia="仿宋_GB2312"/>
          <w:sz w:val="18"/>
          <w:szCs w:val="18"/>
        </w:rPr>
        <w:footnoteRef/>
      </w:r>
      <w:r>
        <w:rPr>
          <w:rFonts w:hint="eastAsia" w:ascii="仿宋_GB2312" w:eastAsia="仿宋_GB2312"/>
          <w:sz w:val="18"/>
          <w:szCs w:val="18"/>
        </w:rPr>
        <w:t xml:space="preserve"> 项目概算总投资为11956.92万元，其中建安工程费为8583.95万元，工程建设其他费用为2746.61万元（含征地拆迁费1663.02万元，该项费用以辖区政府批复为准），基本预备费为483.38万元，建设单位管理费142.98万元</w:t>
      </w:r>
    </w:p>
  </w:footnote>
  <w:footnote w:id="2">
    <w:p>
      <w:pPr>
        <w:pStyle w:val="11"/>
        <w:spacing w:after="0" w:line="240" w:lineRule="auto"/>
        <w:rPr>
          <w:rFonts w:ascii="仿宋_GB2312" w:hAnsi="Verdana" w:eastAsia="仿宋_GB2312"/>
          <w:sz w:val="20"/>
        </w:rPr>
      </w:pPr>
      <w:r>
        <w:rPr>
          <w:rStyle w:val="21"/>
          <w:rFonts w:hint="eastAsia" w:ascii="仿宋_GB2312" w:hAnsi="Verdana" w:eastAsia="仿宋_GB2312"/>
          <w:sz w:val="20"/>
        </w:rPr>
        <w:footnoteRef/>
      </w:r>
      <w:r>
        <w:rPr>
          <w:rFonts w:hint="eastAsia" w:ascii="仿宋_GB2312" w:hAnsi="Verdana" w:eastAsia="仿宋_GB2312"/>
          <w:sz w:val="20"/>
        </w:rPr>
        <w:t xml:space="preserve"> </w:t>
      </w:r>
      <w:r>
        <w:rPr>
          <w:rFonts w:hint="eastAsia" w:ascii="仿宋_GB2312" w:hAnsi="Verdana" w:eastAsia="仿宋_GB2312" w:cs="宋体"/>
          <w:sz w:val="20"/>
        </w:rPr>
        <w:t>本息覆盖率=（期末项目累计现金结存额/债券本息）+1，下同</w:t>
      </w:r>
    </w:p>
  </w:footnote>
  <w:footnote w:id="3">
    <w:p>
      <w:pPr>
        <w:pStyle w:val="11"/>
        <w:spacing w:after="0" w:line="240" w:lineRule="auto"/>
        <w:rPr>
          <w:rFonts w:eastAsia="华文细黑"/>
        </w:rPr>
      </w:pPr>
      <w:r>
        <w:rPr>
          <w:rStyle w:val="21"/>
          <w:rFonts w:hint="eastAsia" w:ascii="仿宋_GB2312" w:eastAsia="仿宋_GB2312"/>
        </w:rPr>
        <w:footnoteRef/>
      </w:r>
      <w:r>
        <w:rPr>
          <w:rFonts w:hint="eastAsia" w:ascii="仿宋_GB2312" w:eastAsia="仿宋_GB2312"/>
        </w:rPr>
        <w:t xml:space="preserve"> </w:t>
      </w:r>
      <w:r>
        <w:rPr>
          <w:rFonts w:hint="eastAsia" w:ascii="仿宋_GB2312" w:hAnsi="Verdana" w:eastAsia="仿宋_GB2312" w:cs="宋体"/>
          <w:sz w:val="20"/>
        </w:rPr>
        <w:t>本息覆盖倍数=项目总收益/债券本息，下同</w:t>
      </w:r>
    </w:p>
  </w:footnote>
  <w:footnote w:id="4">
    <w:p>
      <w:pPr>
        <w:pStyle w:val="11"/>
      </w:pPr>
      <w:r>
        <w:rPr>
          <w:rStyle w:val="21"/>
          <w:rFonts w:hint="eastAsia" w:ascii="仿宋_GB2312" w:eastAsia="仿宋_GB2312"/>
        </w:rPr>
        <w:footnoteRef/>
      </w:r>
      <w:r>
        <w:rPr>
          <w:rFonts w:hint="eastAsia" w:ascii="仿宋_GB2312" w:eastAsia="仿宋_GB2312"/>
        </w:rPr>
        <w:t xml:space="preserve"> </w:t>
      </w:r>
      <w:r>
        <w:rPr>
          <w:rFonts w:hint="eastAsia" w:ascii="仿宋_GB2312" w:hAnsi="楷体" w:eastAsia="仿宋_GB2312" w:cs="Calibri"/>
          <w:sz w:val="20"/>
        </w:rPr>
        <w:t>在有实际需求且条件允许的情况下，自筹资金可在满足合法合规及资金平衡要求的前提下，考虑通过发行专项债券的方式筹集部分资金，下同。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documentProtection w:enforcement="0"/>
  <w:defaultTabStop w:val="420"/>
  <w:drawingGridHorizontalSpacing w:val="210"/>
  <w:drawingGridVerticalSpacing w:val="159"/>
  <w:displayHorizontalDrawingGridEvery w:val="0"/>
  <w:displayVerticalDrawingGridEvery w:val="2"/>
  <w:characterSpacingControl w:val="compressPunctuation"/>
  <w:footnotePr>
    <w:footnote w:id="10"/>
    <w:footnote w:id="1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yMWJhZjNmZWY2ZjAyMzcwYjZiZmEzZTJkZTQwYzUifQ=="/>
  </w:docVars>
  <w:rsids>
    <w:rsidRoot w:val="008D5787"/>
    <w:rsid w:val="00001102"/>
    <w:rsid w:val="00003189"/>
    <w:rsid w:val="000040B0"/>
    <w:rsid w:val="00005A59"/>
    <w:rsid w:val="000107B4"/>
    <w:rsid w:val="00010BA4"/>
    <w:rsid w:val="0001548F"/>
    <w:rsid w:val="000215F3"/>
    <w:rsid w:val="00022483"/>
    <w:rsid w:val="000248DB"/>
    <w:rsid w:val="000256CE"/>
    <w:rsid w:val="000358A8"/>
    <w:rsid w:val="000361E2"/>
    <w:rsid w:val="00041FD3"/>
    <w:rsid w:val="000467A5"/>
    <w:rsid w:val="000529CD"/>
    <w:rsid w:val="0005414C"/>
    <w:rsid w:val="00055195"/>
    <w:rsid w:val="00060E3F"/>
    <w:rsid w:val="0006390F"/>
    <w:rsid w:val="00064854"/>
    <w:rsid w:val="000718FC"/>
    <w:rsid w:val="000749D6"/>
    <w:rsid w:val="0008527E"/>
    <w:rsid w:val="00085558"/>
    <w:rsid w:val="00092297"/>
    <w:rsid w:val="00092621"/>
    <w:rsid w:val="000A6006"/>
    <w:rsid w:val="000A7C73"/>
    <w:rsid w:val="000B2126"/>
    <w:rsid w:val="000B71FB"/>
    <w:rsid w:val="000D42C6"/>
    <w:rsid w:val="000D4462"/>
    <w:rsid w:val="000D7495"/>
    <w:rsid w:val="000E333D"/>
    <w:rsid w:val="0010770E"/>
    <w:rsid w:val="00107A92"/>
    <w:rsid w:val="001120D5"/>
    <w:rsid w:val="0011784B"/>
    <w:rsid w:val="00124915"/>
    <w:rsid w:val="00127B90"/>
    <w:rsid w:val="00135694"/>
    <w:rsid w:val="0014064F"/>
    <w:rsid w:val="00140966"/>
    <w:rsid w:val="00143608"/>
    <w:rsid w:val="00145F2B"/>
    <w:rsid w:val="00150654"/>
    <w:rsid w:val="00150725"/>
    <w:rsid w:val="00151E45"/>
    <w:rsid w:val="001535D4"/>
    <w:rsid w:val="00161112"/>
    <w:rsid w:val="00161AE3"/>
    <w:rsid w:val="001639AC"/>
    <w:rsid w:val="00164DD0"/>
    <w:rsid w:val="00165501"/>
    <w:rsid w:val="00171B58"/>
    <w:rsid w:val="00186136"/>
    <w:rsid w:val="001940AC"/>
    <w:rsid w:val="001A0C3F"/>
    <w:rsid w:val="001A728A"/>
    <w:rsid w:val="001B626D"/>
    <w:rsid w:val="001C00FC"/>
    <w:rsid w:val="001C1BCB"/>
    <w:rsid w:val="001C2D8B"/>
    <w:rsid w:val="001C3403"/>
    <w:rsid w:val="001C677B"/>
    <w:rsid w:val="001C70D9"/>
    <w:rsid w:val="001D53DD"/>
    <w:rsid w:val="001D655B"/>
    <w:rsid w:val="001F046E"/>
    <w:rsid w:val="001F241C"/>
    <w:rsid w:val="001F5B1D"/>
    <w:rsid w:val="00210ACB"/>
    <w:rsid w:val="0021687A"/>
    <w:rsid w:val="00217397"/>
    <w:rsid w:val="002236EA"/>
    <w:rsid w:val="00227EBA"/>
    <w:rsid w:val="00232368"/>
    <w:rsid w:val="002354FA"/>
    <w:rsid w:val="00241DC4"/>
    <w:rsid w:val="00243F7F"/>
    <w:rsid w:val="0024751E"/>
    <w:rsid w:val="00247986"/>
    <w:rsid w:val="00252CDD"/>
    <w:rsid w:val="0025564D"/>
    <w:rsid w:val="00262183"/>
    <w:rsid w:val="0026462B"/>
    <w:rsid w:val="002726C3"/>
    <w:rsid w:val="0027568B"/>
    <w:rsid w:val="00277442"/>
    <w:rsid w:val="0027766C"/>
    <w:rsid w:val="00281B09"/>
    <w:rsid w:val="00283300"/>
    <w:rsid w:val="00284F32"/>
    <w:rsid w:val="002901D5"/>
    <w:rsid w:val="00292839"/>
    <w:rsid w:val="00292CDB"/>
    <w:rsid w:val="002947AF"/>
    <w:rsid w:val="002A0FA9"/>
    <w:rsid w:val="002A1229"/>
    <w:rsid w:val="002A200A"/>
    <w:rsid w:val="002A27AD"/>
    <w:rsid w:val="002A446F"/>
    <w:rsid w:val="002A6DE7"/>
    <w:rsid w:val="002A745C"/>
    <w:rsid w:val="002B6AE1"/>
    <w:rsid w:val="002B7D53"/>
    <w:rsid w:val="002C2A10"/>
    <w:rsid w:val="002D0016"/>
    <w:rsid w:val="002D3233"/>
    <w:rsid w:val="002D4A14"/>
    <w:rsid w:val="002D6119"/>
    <w:rsid w:val="002E11F0"/>
    <w:rsid w:val="002E765B"/>
    <w:rsid w:val="002F2350"/>
    <w:rsid w:val="002F26F5"/>
    <w:rsid w:val="002F4245"/>
    <w:rsid w:val="002F6F1F"/>
    <w:rsid w:val="00300214"/>
    <w:rsid w:val="00304013"/>
    <w:rsid w:val="00307E52"/>
    <w:rsid w:val="00321C0B"/>
    <w:rsid w:val="003253A0"/>
    <w:rsid w:val="0033694F"/>
    <w:rsid w:val="00336FD1"/>
    <w:rsid w:val="0033740F"/>
    <w:rsid w:val="0034485A"/>
    <w:rsid w:val="0035108C"/>
    <w:rsid w:val="00351C57"/>
    <w:rsid w:val="003549BC"/>
    <w:rsid w:val="00363027"/>
    <w:rsid w:val="0036639C"/>
    <w:rsid w:val="00366CCD"/>
    <w:rsid w:val="00366DA8"/>
    <w:rsid w:val="00384FB6"/>
    <w:rsid w:val="0038583D"/>
    <w:rsid w:val="00386C94"/>
    <w:rsid w:val="00390D46"/>
    <w:rsid w:val="003A33D1"/>
    <w:rsid w:val="003A5CF5"/>
    <w:rsid w:val="003C39BB"/>
    <w:rsid w:val="003D01EA"/>
    <w:rsid w:val="003D0552"/>
    <w:rsid w:val="003D09FC"/>
    <w:rsid w:val="003E3280"/>
    <w:rsid w:val="003F0A03"/>
    <w:rsid w:val="003F299B"/>
    <w:rsid w:val="003F4E40"/>
    <w:rsid w:val="00403056"/>
    <w:rsid w:val="00403CD4"/>
    <w:rsid w:val="0041170B"/>
    <w:rsid w:val="00412E59"/>
    <w:rsid w:val="00422715"/>
    <w:rsid w:val="0043335B"/>
    <w:rsid w:val="004335BA"/>
    <w:rsid w:val="004342CA"/>
    <w:rsid w:val="0045472E"/>
    <w:rsid w:val="00462200"/>
    <w:rsid w:val="00463B3A"/>
    <w:rsid w:val="00465D07"/>
    <w:rsid w:val="00470C61"/>
    <w:rsid w:val="00473DDF"/>
    <w:rsid w:val="00473EEA"/>
    <w:rsid w:val="00484C9A"/>
    <w:rsid w:val="00485879"/>
    <w:rsid w:val="0049151F"/>
    <w:rsid w:val="00491EE3"/>
    <w:rsid w:val="004A2253"/>
    <w:rsid w:val="004A365B"/>
    <w:rsid w:val="004A37E5"/>
    <w:rsid w:val="004A57F8"/>
    <w:rsid w:val="004A601B"/>
    <w:rsid w:val="004A7A4F"/>
    <w:rsid w:val="004B0627"/>
    <w:rsid w:val="004B07B0"/>
    <w:rsid w:val="004B3580"/>
    <w:rsid w:val="004B47DD"/>
    <w:rsid w:val="004B5364"/>
    <w:rsid w:val="004B67E7"/>
    <w:rsid w:val="004C25DB"/>
    <w:rsid w:val="004E03B8"/>
    <w:rsid w:val="004E3007"/>
    <w:rsid w:val="004E40EC"/>
    <w:rsid w:val="004E5893"/>
    <w:rsid w:val="004F44DD"/>
    <w:rsid w:val="004F5012"/>
    <w:rsid w:val="005008F9"/>
    <w:rsid w:val="00502CB5"/>
    <w:rsid w:val="00502F3F"/>
    <w:rsid w:val="005033CA"/>
    <w:rsid w:val="00504B79"/>
    <w:rsid w:val="00507FA7"/>
    <w:rsid w:val="00514DB0"/>
    <w:rsid w:val="005151BF"/>
    <w:rsid w:val="00521D01"/>
    <w:rsid w:val="0052355B"/>
    <w:rsid w:val="005247FB"/>
    <w:rsid w:val="00525AA0"/>
    <w:rsid w:val="00526535"/>
    <w:rsid w:val="00546C43"/>
    <w:rsid w:val="00547CB2"/>
    <w:rsid w:val="00551735"/>
    <w:rsid w:val="00552AB1"/>
    <w:rsid w:val="00557CE3"/>
    <w:rsid w:val="00562404"/>
    <w:rsid w:val="005636A5"/>
    <w:rsid w:val="00576CA3"/>
    <w:rsid w:val="00577B19"/>
    <w:rsid w:val="00582262"/>
    <w:rsid w:val="005834BD"/>
    <w:rsid w:val="00590ABD"/>
    <w:rsid w:val="00590B14"/>
    <w:rsid w:val="005A0A60"/>
    <w:rsid w:val="005A1233"/>
    <w:rsid w:val="005A2776"/>
    <w:rsid w:val="005A2945"/>
    <w:rsid w:val="005A5C2F"/>
    <w:rsid w:val="005A652B"/>
    <w:rsid w:val="005B0722"/>
    <w:rsid w:val="005C3322"/>
    <w:rsid w:val="005C34F8"/>
    <w:rsid w:val="005C7C92"/>
    <w:rsid w:val="005D4D8E"/>
    <w:rsid w:val="005D6942"/>
    <w:rsid w:val="005E0AD2"/>
    <w:rsid w:val="005E3A87"/>
    <w:rsid w:val="005E4AE7"/>
    <w:rsid w:val="005E7EDC"/>
    <w:rsid w:val="0060401F"/>
    <w:rsid w:val="0060582C"/>
    <w:rsid w:val="00611CF1"/>
    <w:rsid w:val="00612E92"/>
    <w:rsid w:val="00615141"/>
    <w:rsid w:val="00615584"/>
    <w:rsid w:val="0061705D"/>
    <w:rsid w:val="00624472"/>
    <w:rsid w:val="00627424"/>
    <w:rsid w:val="00627C6B"/>
    <w:rsid w:val="00635958"/>
    <w:rsid w:val="0065025C"/>
    <w:rsid w:val="00655373"/>
    <w:rsid w:val="00657D9C"/>
    <w:rsid w:val="006613E7"/>
    <w:rsid w:val="006677B3"/>
    <w:rsid w:val="00677CF8"/>
    <w:rsid w:val="00693C18"/>
    <w:rsid w:val="00697135"/>
    <w:rsid w:val="006A1D29"/>
    <w:rsid w:val="006A5812"/>
    <w:rsid w:val="006B27E3"/>
    <w:rsid w:val="006C030F"/>
    <w:rsid w:val="006C0898"/>
    <w:rsid w:val="006D4213"/>
    <w:rsid w:val="006E5579"/>
    <w:rsid w:val="006E64A7"/>
    <w:rsid w:val="006F131C"/>
    <w:rsid w:val="006F2B89"/>
    <w:rsid w:val="006F52CE"/>
    <w:rsid w:val="00700DBD"/>
    <w:rsid w:val="00713CE7"/>
    <w:rsid w:val="00714367"/>
    <w:rsid w:val="00721887"/>
    <w:rsid w:val="0072260E"/>
    <w:rsid w:val="007324D6"/>
    <w:rsid w:val="0073324B"/>
    <w:rsid w:val="0073448C"/>
    <w:rsid w:val="0073460C"/>
    <w:rsid w:val="00734910"/>
    <w:rsid w:val="007350C7"/>
    <w:rsid w:val="0073601D"/>
    <w:rsid w:val="0074431E"/>
    <w:rsid w:val="007476D2"/>
    <w:rsid w:val="007536E4"/>
    <w:rsid w:val="007538A4"/>
    <w:rsid w:val="0075626A"/>
    <w:rsid w:val="0076284F"/>
    <w:rsid w:val="0078312B"/>
    <w:rsid w:val="00784132"/>
    <w:rsid w:val="0078564A"/>
    <w:rsid w:val="00787BFE"/>
    <w:rsid w:val="00793ABD"/>
    <w:rsid w:val="00796690"/>
    <w:rsid w:val="007A046C"/>
    <w:rsid w:val="007A7F3F"/>
    <w:rsid w:val="007B1E13"/>
    <w:rsid w:val="007C01E5"/>
    <w:rsid w:val="007C214B"/>
    <w:rsid w:val="007C4470"/>
    <w:rsid w:val="007C7E8C"/>
    <w:rsid w:val="007D748A"/>
    <w:rsid w:val="007E1F89"/>
    <w:rsid w:val="007E30B2"/>
    <w:rsid w:val="007E592B"/>
    <w:rsid w:val="007E5EED"/>
    <w:rsid w:val="007E6503"/>
    <w:rsid w:val="007E6E52"/>
    <w:rsid w:val="007F0C79"/>
    <w:rsid w:val="007F1BF9"/>
    <w:rsid w:val="007F45CD"/>
    <w:rsid w:val="0080648F"/>
    <w:rsid w:val="008066F8"/>
    <w:rsid w:val="00807EB3"/>
    <w:rsid w:val="008138B8"/>
    <w:rsid w:val="0081542C"/>
    <w:rsid w:val="00816CC2"/>
    <w:rsid w:val="00820409"/>
    <w:rsid w:val="0082133A"/>
    <w:rsid w:val="00825E70"/>
    <w:rsid w:val="008303FB"/>
    <w:rsid w:val="008352DE"/>
    <w:rsid w:val="00842BD3"/>
    <w:rsid w:val="008432F7"/>
    <w:rsid w:val="00845964"/>
    <w:rsid w:val="008506D2"/>
    <w:rsid w:val="00855410"/>
    <w:rsid w:val="00873DD6"/>
    <w:rsid w:val="00874730"/>
    <w:rsid w:val="008747F9"/>
    <w:rsid w:val="00874E7A"/>
    <w:rsid w:val="00875766"/>
    <w:rsid w:val="008809D5"/>
    <w:rsid w:val="008901EA"/>
    <w:rsid w:val="008A4417"/>
    <w:rsid w:val="008A58AF"/>
    <w:rsid w:val="008B1133"/>
    <w:rsid w:val="008B303D"/>
    <w:rsid w:val="008B557B"/>
    <w:rsid w:val="008B71E2"/>
    <w:rsid w:val="008C0874"/>
    <w:rsid w:val="008C0D72"/>
    <w:rsid w:val="008C2022"/>
    <w:rsid w:val="008C29FE"/>
    <w:rsid w:val="008C4CCD"/>
    <w:rsid w:val="008D4980"/>
    <w:rsid w:val="008D530E"/>
    <w:rsid w:val="008D5787"/>
    <w:rsid w:val="008F1CC1"/>
    <w:rsid w:val="00905C16"/>
    <w:rsid w:val="00913159"/>
    <w:rsid w:val="00917CA8"/>
    <w:rsid w:val="009302CF"/>
    <w:rsid w:val="00932A41"/>
    <w:rsid w:val="00935372"/>
    <w:rsid w:val="009367B9"/>
    <w:rsid w:val="00937832"/>
    <w:rsid w:val="009424C3"/>
    <w:rsid w:val="0094269D"/>
    <w:rsid w:val="00943C4C"/>
    <w:rsid w:val="009454C2"/>
    <w:rsid w:val="0094674F"/>
    <w:rsid w:val="0095215A"/>
    <w:rsid w:val="009525D9"/>
    <w:rsid w:val="009542DD"/>
    <w:rsid w:val="00957A3F"/>
    <w:rsid w:val="00964375"/>
    <w:rsid w:val="00967B6A"/>
    <w:rsid w:val="0098183C"/>
    <w:rsid w:val="009952F0"/>
    <w:rsid w:val="009B0306"/>
    <w:rsid w:val="009C200A"/>
    <w:rsid w:val="009C6C1F"/>
    <w:rsid w:val="009D3FED"/>
    <w:rsid w:val="009D59B3"/>
    <w:rsid w:val="009E2E44"/>
    <w:rsid w:val="009F631F"/>
    <w:rsid w:val="00A17788"/>
    <w:rsid w:val="00A22F99"/>
    <w:rsid w:val="00A24813"/>
    <w:rsid w:val="00A2559C"/>
    <w:rsid w:val="00A37540"/>
    <w:rsid w:val="00A424F5"/>
    <w:rsid w:val="00A46EB3"/>
    <w:rsid w:val="00A50B55"/>
    <w:rsid w:val="00A57DDE"/>
    <w:rsid w:val="00A64104"/>
    <w:rsid w:val="00A72683"/>
    <w:rsid w:val="00A7605C"/>
    <w:rsid w:val="00A772EF"/>
    <w:rsid w:val="00A81AC4"/>
    <w:rsid w:val="00A823D8"/>
    <w:rsid w:val="00A82794"/>
    <w:rsid w:val="00AA1238"/>
    <w:rsid w:val="00AA72B4"/>
    <w:rsid w:val="00AA7C53"/>
    <w:rsid w:val="00AB2109"/>
    <w:rsid w:val="00AB71DC"/>
    <w:rsid w:val="00AB74ED"/>
    <w:rsid w:val="00AB7AC4"/>
    <w:rsid w:val="00AC16B4"/>
    <w:rsid w:val="00AD00DE"/>
    <w:rsid w:val="00AD338E"/>
    <w:rsid w:val="00AD3F71"/>
    <w:rsid w:val="00AD69C3"/>
    <w:rsid w:val="00AE4757"/>
    <w:rsid w:val="00AE4852"/>
    <w:rsid w:val="00AE64B5"/>
    <w:rsid w:val="00AF112B"/>
    <w:rsid w:val="00AF15CA"/>
    <w:rsid w:val="00B00BD7"/>
    <w:rsid w:val="00B14EAC"/>
    <w:rsid w:val="00B309EE"/>
    <w:rsid w:val="00B332A3"/>
    <w:rsid w:val="00B33C7C"/>
    <w:rsid w:val="00B33FFF"/>
    <w:rsid w:val="00B4141E"/>
    <w:rsid w:val="00B41B4C"/>
    <w:rsid w:val="00B449EB"/>
    <w:rsid w:val="00B47BEA"/>
    <w:rsid w:val="00B569E8"/>
    <w:rsid w:val="00B5705B"/>
    <w:rsid w:val="00B66857"/>
    <w:rsid w:val="00B721BD"/>
    <w:rsid w:val="00B7261D"/>
    <w:rsid w:val="00B82310"/>
    <w:rsid w:val="00B823F5"/>
    <w:rsid w:val="00B92843"/>
    <w:rsid w:val="00B92C65"/>
    <w:rsid w:val="00B96859"/>
    <w:rsid w:val="00BA55DE"/>
    <w:rsid w:val="00BA5B4C"/>
    <w:rsid w:val="00BB1F49"/>
    <w:rsid w:val="00BB3F8A"/>
    <w:rsid w:val="00BB7CBE"/>
    <w:rsid w:val="00BC2297"/>
    <w:rsid w:val="00BC2F91"/>
    <w:rsid w:val="00BC30F8"/>
    <w:rsid w:val="00BC4120"/>
    <w:rsid w:val="00BE753C"/>
    <w:rsid w:val="00BF04B2"/>
    <w:rsid w:val="00C01C1F"/>
    <w:rsid w:val="00C04D2F"/>
    <w:rsid w:val="00C114BC"/>
    <w:rsid w:val="00C25D40"/>
    <w:rsid w:val="00C3065A"/>
    <w:rsid w:val="00C32F99"/>
    <w:rsid w:val="00C35904"/>
    <w:rsid w:val="00C45151"/>
    <w:rsid w:val="00C50462"/>
    <w:rsid w:val="00C52F2E"/>
    <w:rsid w:val="00C54207"/>
    <w:rsid w:val="00C609CD"/>
    <w:rsid w:val="00C63AC3"/>
    <w:rsid w:val="00C64F16"/>
    <w:rsid w:val="00C670D4"/>
    <w:rsid w:val="00C67818"/>
    <w:rsid w:val="00C71035"/>
    <w:rsid w:val="00C723BF"/>
    <w:rsid w:val="00C7279F"/>
    <w:rsid w:val="00C770C3"/>
    <w:rsid w:val="00C82059"/>
    <w:rsid w:val="00C92A22"/>
    <w:rsid w:val="00C93584"/>
    <w:rsid w:val="00C94FD6"/>
    <w:rsid w:val="00CA0C05"/>
    <w:rsid w:val="00CB0AB6"/>
    <w:rsid w:val="00CB1222"/>
    <w:rsid w:val="00CB1D24"/>
    <w:rsid w:val="00CB7E03"/>
    <w:rsid w:val="00CC4166"/>
    <w:rsid w:val="00CD0DFA"/>
    <w:rsid w:val="00CD1BA2"/>
    <w:rsid w:val="00CD2BBD"/>
    <w:rsid w:val="00CD5B39"/>
    <w:rsid w:val="00CE047E"/>
    <w:rsid w:val="00CE0625"/>
    <w:rsid w:val="00CF6E35"/>
    <w:rsid w:val="00CF711B"/>
    <w:rsid w:val="00CF7B48"/>
    <w:rsid w:val="00D0745E"/>
    <w:rsid w:val="00D10361"/>
    <w:rsid w:val="00D27AF1"/>
    <w:rsid w:val="00D309D7"/>
    <w:rsid w:val="00D322C6"/>
    <w:rsid w:val="00D372D5"/>
    <w:rsid w:val="00D41B01"/>
    <w:rsid w:val="00D43A51"/>
    <w:rsid w:val="00D50697"/>
    <w:rsid w:val="00D52AA0"/>
    <w:rsid w:val="00D542A5"/>
    <w:rsid w:val="00D658D0"/>
    <w:rsid w:val="00D66B1A"/>
    <w:rsid w:val="00D675FA"/>
    <w:rsid w:val="00D71C00"/>
    <w:rsid w:val="00D74FCD"/>
    <w:rsid w:val="00D81A21"/>
    <w:rsid w:val="00D85007"/>
    <w:rsid w:val="00D8785B"/>
    <w:rsid w:val="00DA118B"/>
    <w:rsid w:val="00DA53CD"/>
    <w:rsid w:val="00DA6AD7"/>
    <w:rsid w:val="00DB555C"/>
    <w:rsid w:val="00DC47E3"/>
    <w:rsid w:val="00DC6D5D"/>
    <w:rsid w:val="00DC71F8"/>
    <w:rsid w:val="00DD490A"/>
    <w:rsid w:val="00DE00CF"/>
    <w:rsid w:val="00DE0B8B"/>
    <w:rsid w:val="00DE4000"/>
    <w:rsid w:val="00DF55E0"/>
    <w:rsid w:val="00DF644F"/>
    <w:rsid w:val="00DF6894"/>
    <w:rsid w:val="00DF7ED0"/>
    <w:rsid w:val="00E0340B"/>
    <w:rsid w:val="00E0458E"/>
    <w:rsid w:val="00E05DED"/>
    <w:rsid w:val="00E07993"/>
    <w:rsid w:val="00E16061"/>
    <w:rsid w:val="00E24ABD"/>
    <w:rsid w:val="00E324F2"/>
    <w:rsid w:val="00E360B6"/>
    <w:rsid w:val="00E41D44"/>
    <w:rsid w:val="00E5470F"/>
    <w:rsid w:val="00E6392F"/>
    <w:rsid w:val="00E649F3"/>
    <w:rsid w:val="00E659A7"/>
    <w:rsid w:val="00E72CD7"/>
    <w:rsid w:val="00E74C2C"/>
    <w:rsid w:val="00E75B1D"/>
    <w:rsid w:val="00E80461"/>
    <w:rsid w:val="00E81E43"/>
    <w:rsid w:val="00E85BEE"/>
    <w:rsid w:val="00E90E1C"/>
    <w:rsid w:val="00EB102D"/>
    <w:rsid w:val="00EC0263"/>
    <w:rsid w:val="00EC2B8B"/>
    <w:rsid w:val="00EC38F6"/>
    <w:rsid w:val="00EC3FCE"/>
    <w:rsid w:val="00ED1524"/>
    <w:rsid w:val="00ED61F0"/>
    <w:rsid w:val="00ED69AA"/>
    <w:rsid w:val="00EE08F5"/>
    <w:rsid w:val="00EF2555"/>
    <w:rsid w:val="00F069E5"/>
    <w:rsid w:val="00F13869"/>
    <w:rsid w:val="00F152FF"/>
    <w:rsid w:val="00F16A58"/>
    <w:rsid w:val="00F3333F"/>
    <w:rsid w:val="00F37C0D"/>
    <w:rsid w:val="00F435C1"/>
    <w:rsid w:val="00F46CCD"/>
    <w:rsid w:val="00F514B7"/>
    <w:rsid w:val="00F52247"/>
    <w:rsid w:val="00F5316E"/>
    <w:rsid w:val="00F53DF1"/>
    <w:rsid w:val="00F66AF0"/>
    <w:rsid w:val="00F82F5A"/>
    <w:rsid w:val="00F8504B"/>
    <w:rsid w:val="00F85588"/>
    <w:rsid w:val="00F86047"/>
    <w:rsid w:val="00F86CC3"/>
    <w:rsid w:val="00F908A9"/>
    <w:rsid w:val="00F924F0"/>
    <w:rsid w:val="00F95CDC"/>
    <w:rsid w:val="00F9691A"/>
    <w:rsid w:val="00FA0914"/>
    <w:rsid w:val="00FA153E"/>
    <w:rsid w:val="00FA46C2"/>
    <w:rsid w:val="00FB1939"/>
    <w:rsid w:val="00FB4764"/>
    <w:rsid w:val="00FB7D7D"/>
    <w:rsid w:val="00FC23C4"/>
    <w:rsid w:val="00FC3D16"/>
    <w:rsid w:val="00FC46A1"/>
    <w:rsid w:val="00FC67AF"/>
    <w:rsid w:val="00FD04E0"/>
    <w:rsid w:val="00FD3ED9"/>
    <w:rsid w:val="00FD5AE7"/>
    <w:rsid w:val="00FD67FA"/>
    <w:rsid w:val="00FE15ED"/>
    <w:rsid w:val="00FE4627"/>
    <w:rsid w:val="00FE6991"/>
    <w:rsid w:val="00FF4E42"/>
    <w:rsid w:val="00FF71FE"/>
    <w:rsid w:val="02602904"/>
    <w:rsid w:val="06186D26"/>
    <w:rsid w:val="0BD254AD"/>
    <w:rsid w:val="0E184BE0"/>
    <w:rsid w:val="0F3D7CDC"/>
    <w:rsid w:val="144A4AAD"/>
    <w:rsid w:val="146504A7"/>
    <w:rsid w:val="17CC2342"/>
    <w:rsid w:val="18E127B9"/>
    <w:rsid w:val="1BFA4402"/>
    <w:rsid w:val="1D0614E7"/>
    <w:rsid w:val="1EF857E7"/>
    <w:rsid w:val="20A75DE1"/>
    <w:rsid w:val="21EC64D8"/>
    <w:rsid w:val="26294BA0"/>
    <w:rsid w:val="29444B33"/>
    <w:rsid w:val="2CA20884"/>
    <w:rsid w:val="30CE572A"/>
    <w:rsid w:val="33734275"/>
    <w:rsid w:val="33D17AC9"/>
    <w:rsid w:val="34C33488"/>
    <w:rsid w:val="352A3DBA"/>
    <w:rsid w:val="353A2129"/>
    <w:rsid w:val="3574780B"/>
    <w:rsid w:val="396D4C25"/>
    <w:rsid w:val="3ABC5503"/>
    <w:rsid w:val="418C4CFF"/>
    <w:rsid w:val="427322DD"/>
    <w:rsid w:val="44881AB7"/>
    <w:rsid w:val="4AE316CE"/>
    <w:rsid w:val="4AEE4AF7"/>
    <w:rsid w:val="4B1B4A6B"/>
    <w:rsid w:val="4D8B35DA"/>
    <w:rsid w:val="4DF52DBD"/>
    <w:rsid w:val="522E20E3"/>
    <w:rsid w:val="55452173"/>
    <w:rsid w:val="577D35C5"/>
    <w:rsid w:val="5B3C5733"/>
    <w:rsid w:val="5CA54F8A"/>
    <w:rsid w:val="639474D4"/>
    <w:rsid w:val="6715180F"/>
    <w:rsid w:val="673249F0"/>
    <w:rsid w:val="676C5619"/>
    <w:rsid w:val="679B7FC0"/>
    <w:rsid w:val="67BE6790"/>
    <w:rsid w:val="695B3DDE"/>
    <w:rsid w:val="6BA4123D"/>
    <w:rsid w:val="6F425211"/>
    <w:rsid w:val="70C06596"/>
    <w:rsid w:val="72A526E9"/>
    <w:rsid w:val="75C14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Verdana" w:hAnsi="Verdana" w:eastAsia="宋体" w:cs="Verdana"/>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2"/>
    <w:basedOn w:val="1"/>
    <w:next w:val="3"/>
    <w:link w:val="26"/>
    <w:qFormat/>
    <w:uiPriority w:val="9"/>
    <w:pPr>
      <w:keepNext/>
      <w:keepLines/>
      <w:spacing w:before="260" w:after="260" w:line="413" w:lineRule="auto"/>
      <w:outlineLvl w:val="1"/>
    </w:pPr>
    <w:rPr>
      <w:rFonts w:ascii="Arial" w:hAnsi="Arial" w:eastAsia="黑体"/>
      <w:b/>
      <w:bCs/>
      <w:sz w:val="32"/>
      <w:szCs w:val="32"/>
    </w:rPr>
  </w:style>
  <w:style w:type="paragraph" w:styleId="3">
    <w:name w:val="heading 3"/>
    <w:basedOn w:val="1"/>
    <w:next w:val="1"/>
    <w:unhideWhenUsed/>
    <w:qFormat/>
    <w:uiPriority w:val="0"/>
    <w:pPr>
      <w:keepNext/>
      <w:keepLines/>
      <w:spacing w:line="300" w:lineRule="auto"/>
      <w:ind w:firstLine="1446" w:firstLineChars="200"/>
      <w:outlineLvl w:val="2"/>
    </w:pPr>
    <w:rPr>
      <w:b/>
      <w:bCs/>
      <w:szCs w:val="32"/>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table of authorities"/>
    <w:basedOn w:val="1"/>
    <w:next w:val="1"/>
    <w:unhideWhenUsed/>
    <w:qFormat/>
    <w:uiPriority w:val="0"/>
    <w:pPr>
      <w:ind w:left="420" w:leftChars="200"/>
    </w:pPr>
    <w:rPr>
      <w:sz w:val="32"/>
      <w:szCs w:val="21"/>
    </w:rPr>
  </w:style>
  <w:style w:type="paragraph" w:styleId="5">
    <w:name w:val="annotation text"/>
    <w:basedOn w:val="1"/>
    <w:link w:val="39"/>
    <w:unhideWhenUsed/>
    <w:qFormat/>
    <w:uiPriority w:val="99"/>
    <w:pPr>
      <w:jc w:val="left"/>
    </w:pPr>
  </w:style>
  <w:style w:type="paragraph" w:styleId="6">
    <w:name w:val="Body Text"/>
    <w:basedOn w:val="1"/>
    <w:link w:val="45"/>
    <w:qFormat/>
    <w:uiPriority w:val="0"/>
    <w:pPr>
      <w:adjustRightInd w:val="0"/>
      <w:snapToGrid w:val="0"/>
      <w:spacing w:before="150" w:after="150" w:line="264" w:lineRule="auto"/>
      <w:ind w:firstLine="567"/>
    </w:pPr>
    <w:rPr>
      <w:rFonts w:ascii="华文楷体" w:hAnsi="华文楷体" w:eastAsia="LF_Kai"/>
      <w:szCs w:val="20"/>
    </w:rPr>
  </w:style>
  <w:style w:type="paragraph" w:styleId="7">
    <w:name w:val="toc 3"/>
    <w:basedOn w:val="1"/>
    <w:next w:val="1"/>
    <w:qFormat/>
    <w:uiPriority w:val="39"/>
    <w:pPr>
      <w:tabs>
        <w:tab w:val="right" w:leader="dot" w:pos="8630"/>
      </w:tabs>
      <w:spacing w:after="0" w:line="240" w:lineRule="auto"/>
      <w:ind w:left="840" w:leftChars="400"/>
    </w:pPr>
  </w:style>
  <w:style w:type="paragraph" w:styleId="8">
    <w:name w:val="Balloon Text"/>
    <w:basedOn w:val="1"/>
    <w:link w:val="30"/>
    <w:qFormat/>
    <w:uiPriority w:val="0"/>
    <w:pPr>
      <w:spacing w:after="0" w:line="240" w:lineRule="auto"/>
    </w:pPr>
    <w:rPr>
      <w:rFonts w:ascii="Microsoft YaHei UI" w:eastAsia="Microsoft YaHei UI"/>
      <w:sz w:val="18"/>
      <w:szCs w:val="18"/>
    </w:rPr>
  </w:style>
  <w:style w:type="paragraph" w:styleId="9">
    <w:name w:val="footer"/>
    <w:basedOn w:val="1"/>
    <w:link w:val="29"/>
    <w:unhideWhenUsed/>
    <w:qFormat/>
    <w:uiPriority w:val="99"/>
    <w:pPr>
      <w:tabs>
        <w:tab w:val="center" w:pos="4320"/>
        <w:tab w:val="right" w:pos="8640"/>
      </w:tabs>
    </w:pPr>
  </w:style>
  <w:style w:type="paragraph" w:styleId="10">
    <w:name w:val="header"/>
    <w:basedOn w:val="1"/>
    <w:link w:val="28"/>
    <w:unhideWhenUsed/>
    <w:qFormat/>
    <w:uiPriority w:val="99"/>
    <w:pPr>
      <w:tabs>
        <w:tab w:val="center" w:pos="4320"/>
        <w:tab w:val="right" w:pos="8640"/>
      </w:tabs>
    </w:pPr>
  </w:style>
  <w:style w:type="paragraph" w:styleId="11">
    <w:name w:val="footnote text"/>
    <w:basedOn w:val="1"/>
    <w:link w:val="32"/>
    <w:unhideWhenUsed/>
    <w:qFormat/>
    <w:uiPriority w:val="99"/>
    <w:rPr>
      <w:szCs w:val="20"/>
    </w:rPr>
  </w:style>
  <w:style w:type="paragraph" w:styleId="12">
    <w:name w:val="toc 2"/>
    <w:basedOn w:val="1"/>
    <w:next w:val="1"/>
    <w:qFormat/>
    <w:uiPriority w:val="39"/>
    <w:pPr>
      <w:ind w:left="420" w:leftChars="200"/>
    </w:pPr>
  </w:style>
  <w:style w:type="paragraph" w:styleId="13">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hAnsi="宋体" w:cs="宋体"/>
      <w:kern w:val="0"/>
      <w:sz w:val="24"/>
      <w:szCs w:val="24"/>
    </w:rPr>
  </w:style>
  <w:style w:type="paragraph" w:styleId="14">
    <w:name w:val="annotation subject"/>
    <w:basedOn w:val="5"/>
    <w:next w:val="5"/>
    <w:link w:val="40"/>
    <w:semiHidden/>
    <w:unhideWhenUsed/>
    <w:qFormat/>
    <w:uiPriority w:val="0"/>
    <w:rPr>
      <w:b/>
      <w:bCs/>
    </w:rPr>
  </w:style>
  <w:style w:type="table" w:styleId="16">
    <w:name w:val="Table Grid"/>
    <w:basedOn w:val="1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unhideWhenUsed/>
    <w:qFormat/>
    <w:uiPriority w:val="99"/>
    <w:rPr>
      <w:color w:val="800080"/>
      <w:u w:val="single"/>
    </w:rPr>
  </w:style>
  <w:style w:type="character" w:styleId="19">
    <w:name w:val="Hyperlink"/>
    <w:basedOn w:val="17"/>
    <w:unhideWhenUsed/>
    <w:qFormat/>
    <w:uiPriority w:val="99"/>
    <w:rPr>
      <w:color w:val="0000FF"/>
      <w:u w:val="single"/>
    </w:rPr>
  </w:style>
  <w:style w:type="character" w:styleId="20">
    <w:name w:val="annotation reference"/>
    <w:basedOn w:val="17"/>
    <w:qFormat/>
    <w:uiPriority w:val="0"/>
    <w:rPr>
      <w:sz w:val="21"/>
      <w:szCs w:val="21"/>
    </w:rPr>
  </w:style>
  <w:style w:type="character" w:styleId="21">
    <w:name w:val="footnote reference"/>
    <w:basedOn w:val="17"/>
    <w:unhideWhenUsed/>
    <w:qFormat/>
    <w:uiPriority w:val="0"/>
    <w:rPr>
      <w:vertAlign w:val="superscript"/>
    </w:rPr>
  </w:style>
  <w:style w:type="paragraph" w:customStyle="1" w:styleId="22">
    <w:name w:val="可表头"/>
    <w:basedOn w:val="1"/>
    <w:qFormat/>
    <w:uiPriority w:val="99"/>
    <w:pPr>
      <w:autoSpaceDE w:val="0"/>
      <w:autoSpaceDN w:val="0"/>
      <w:adjustRightInd w:val="0"/>
      <w:spacing w:line="360" w:lineRule="auto"/>
      <w:jc w:val="center"/>
    </w:pPr>
    <w:rPr>
      <w:rFonts w:ascii="宋体" w:hAnsi="宋体" w:cs="宋体"/>
      <w:b/>
      <w:bCs/>
      <w:sz w:val="24"/>
      <w:szCs w:val="24"/>
      <w:lang w:val="zh-CN"/>
    </w:rPr>
  </w:style>
  <w:style w:type="table" w:customStyle="1" w:styleId="23">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34"/>
    <w:pPr>
      <w:ind w:firstLine="420" w:firstLineChars="200"/>
    </w:pPr>
  </w:style>
  <w:style w:type="table" w:customStyle="1" w:styleId="25">
    <w:name w:val="网格型11"/>
    <w:basedOn w:val="15"/>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2 字符"/>
    <w:basedOn w:val="17"/>
    <w:link w:val="2"/>
    <w:qFormat/>
    <w:uiPriority w:val="9"/>
    <w:rPr>
      <w:rFonts w:ascii="Arial" w:hAnsi="Arial" w:eastAsia="黑体" w:cs="Times New Roman"/>
      <w:b/>
      <w:bCs/>
      <w:kern w:val="2"/>
      <w:sz w:val="32"/>
      <w:szCs w:val="32"/>
    </w:rPr>
  </w:style>
  <w:style w:type="paragraph" w:customStyle="1" w:styleId="27">
    <w:name w:val="msonormal"/>
    <w:basedOn w:val="1"/>
    <w:qFormat/>
    <w:uiPriority w:val="0"/>
    <w:pPr>
      <w:widowControl/>
      <w:spacing w:before="100" w:beforeAutospacing="1" w:after="100" w:afterAutospacing="1" w:line="240" w:lineRule="auto"/>
      <w:jc w:val="left"/>
    </w:pPr>
    <w:rPr>
      <w:rFonts w:ascii="宋体" w:hAnsi="宋体" w:cs="宋体"/>
      <w:kern w:val="0"/>
      <w:sz w:val="24"/>
      <w:szCs w:val="24"/>
    </w:rPr>
  </w:style>
  <w:style w:type="character" w:customStyle="1" w:styleId="28">
    <w:name w:val="页眉 字符"/>
    <w:basedOn w:val="17"/>
    <w:link w:val="10"/>
    <w:qFormat/>
    <w:uiPriority w:val="99"/>
    <w:rPr>
      <w:rFonts w:ascii="Times New Roman" w:hAnsi="Times New Roman" w:cs="Times New Roman"/>
      <w:kern w:val="2"/>
      <w:sz w:val="21"/>
      <w:szCs w:val="22"/>
    </w:rPr>
  </w:style>
  <w:style w:type="character" w:customStyle="1" w:styleId="29">
    <w:name w:val="页脚 字符"/>
    <w:basedOn w:val="17"/>
    <w:link w:val="9"/>
    <w:qFormat/>
    <w:uiPriority w:val="99"/>
    <w:rPr>
      <w:rFonts w:ascii="Times New Roman" w:hAnsi="Times New Roman" w:cs="Times New Roman"/>
      <w:kern w:val="2"/>
      <w:sz w:val="21"/>
      <w:szCs w:val="22"/>
    </w:rPr>
  </w:style>
  <w:style w:type="character" w:customStyle="1" w:styleId="30">
    <w:name w:val="批注框文本 字符"/>
    <w:basedOn w:val="17"/>
    <w:link w:val="8"/>
    <w:qFormat/>
    <w:uiPriority w:val="0"/>
    <w:rPr>
      <w:rFonts w:ascii="Microsoft YaHei UI" w:hAnsi="Times New Roman" w:eastAsia="Microsoft YaHei UI" w:cs="Times New Roman"/>
      <w:kern w:val="2"/>
      <w:sz w:val="18"/>
      <w:szCs w:val="18"/>
    </w:rPr>
  </w:style>
  <w:style w:type="paragraph" w:styleId="31">
    <w:name w:val="No Spacing"/>
    <w:qFormat/>
    <w:uiPriority w:val="1"/>
    <w:pPr>
      <w:ind w:left="870"/>
      <w:jc w:val="right"/>
    </w:pPr>
    <w:rPr>
      <w:rFonts w:ascii="华文细黑" w:hAnsi="华文细黑" w:eastAsia="华文细黑" w:cstheme="minorBidi"/>
      <w:sz w:val="24"/>
      <w:szCs w:val="22"/>
      <w:lang w:val="en-US" w:eastAsia="zh-CN" w:bidi="ar-SA"/>
    </w:rPr>
  </w:style>
  <w:style w:type="character" w:customStyle="1" w:styleId="32">
    <w:name w:val="脚注文本 字符"/>
    <w:basedOn w:val="17"/>
    <w:link w:val="11"/>
    <w:qFormat/>
    <w:uiPriority w:val="99"/>
    <w:rPr>
      <w:rFonts w:ascii="Times New Roman" w:hAnsi="Times New Roman" w:cs="Times New Roman"/>
      <w:kern w:val="2"/>
      <w:sz w:val="21"/>
    </w:rPr>
  </w:style>
  <w:style w:type="paragraph" w:customStyle="1" w:styleId="3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35">
    <w:name w:val="修订2"/>
    <w:hidden/>
    <w:semiHidden/>
    <w:qFormat/>
    <w:uiPriority w:val="99"/>
    <w:rPr>
      <w:rFonts w:ascii="Times New Roman" w:hAnsi="Times New Roman" w:eastAsia="宋体" w:cs="Times New Roman"/>
      <w:kern w:val="2"/>
      <w:sz w:val="21"/>
      <w:szCs w:val="22"/>
      <w:lang w:val="en-US" w:eastAsia="zh-CN" w:bidi="ar-SA"/>
    </w:rPr>
  </w:style>
  <w:style w:type="paragraph" w:customStyle="1" w:styleId="36">
    <w:name w:val="修订3"/>
    <w:hidden/>
    <w:semiHidden/>
    <w:qFormat/>
    <w:uiPriority w:val="99"/>
    <w:rPr>
      <w:rFonts w:ascii="Times New Roman" w:hAnsi="Times New Roman" w:eastAsia="宋体" w:cs="Times New Roman"/>
      <w:kern w:val="2"/>
      <w:sz w:val="21"/>
      <w:szCs w:val="22"/>
      <w:lang w:val="en-US" w:eastAsia="zh-CN" w:bidi="ar-SA"/>
    </w:rPr>
  </w:style>
  <w:style w:type="character" w:customStyle="1" w:styleId="37">
    <w:name w:val="10"/>
    <w:basedOn w:val="17"/>
    <w:qFormat/>
    <w:uiPriority w:val="0"/>
    <w:rPr>
      <w:rFonts w:hint="default" w:ascii="Times New Roman" w:hAnsi="Times New Roman" w:cs="Times New Roman"/>
    </w:rPr>
  </w:style>
  <w:style w:type="character" w:customStyle="1" w:styleId="38">
    <w:name w:val="15"/>
    <w:basedOn w:val="17"/>
    <w:qFormat/>
    <w:uiPriority w:val="0"/>
    <w:rPr>
      <w:rFonts w:hint="default" w:ascii="Times New Roman" w:hAnsi="Times New Roman" w:cs="Times New Roman"/>
      <w:vertAlign w:val="superscript"/>
    </w:rPr>
  </w:style>
  <w:style w:type="character" w:customStyle="1" w:styleId="39">
    <w:name w:val="批注文字 字符"/>
    <w:basedOn w:val="17"/>
    <w:link w:val="5"/>
    <w:qFormat/>
    <w:uiPriority w:val="99"/>
    <w:rPr>
      <w:rFonts w:ascii="Times New Roman" w:hAnsi="Times New Roman" w:cs="Times New Roman"/>
      <w:kern w:val="2"/>
      <w:sz w:val="21"/>
      <w:szCs w:val="22"/>
    </w:rPr>
  </w:style>
  <w:style w:type="character" w:customStyle="1" w:styleId="40">
    <w:name w:val="批注主题 字符"/>
    <w:basedOn w:val="39"/>
    <w:link w:val="14"/>
    <w:semiHidden/>
    <w:qFormat/>
    <w:uiPriority w:val="0"/>
    <w:rPr>
      <w:rFonts w:ascii="Times New Roman" w:hAnsi="Times New Roman" w:cs="Times New Roman"/>
      <w:b/>
      <w:bCs/>
      <w:kern w:val="2"/>
      <w:sz w:val="21"/>
      <w:szCs w:val="22"/>
    </w:rPr>
  </w:style>
  <w:style w:type="paragraph" w:customStyle="1" w:styleId="41">
    <w:name w:val="修订4"/>
    <w:hidden/>
    <w:semiHidden/>
    <w:qFormat/>
    <w:uiPriority w:val="99"/>
    <w:rPr>
      <w:rFonts w:ascii="Times New Roman" w:hAnsi="Times New Roman" w:eastAsia="宋体" w:cs="Times New Roman"/>
      <w:kern w:val="2"/>
      <w:sz w:val="21"/>
      <w:szCs w:val="22"/>
      <w:lang w:val="en-US" w:eastAsia="zh-CN" w:bidi="ar-SA"/>
    </w:rPr>
  </w:style>
  <w:style w:type="paragraph" w:customStyle="1" w:styleId="42">
    <w:name w:val="Revision1"/>
    <w:hidden/>
    <w:semiHidden/>
    <w:qFormat/>
    <w:uiPriority w:val="99"/>
    <w:rPr>
      <w:rFonts w:ascii="Times New Roman" w:hAnsi="Times New Roman" w:eastAsia="宋体" w:cs="Times New Roman"/>
      <w:kern w:val="2"/>
      <w:sz w:val="21"/>
      <w:szCs w:val="22"/>
      <w:lang w:val="en-US" w:eastAsia="zh-CN" w:bidi="ar-SA"/>
    </w:rPr>
  </w:style>
  <w:style w:type="character" w:customStyle="1" w:styleId="43">
    <w:name w:val="HTML 预设格式 字符"/>
    <w:basedOn w:val="17"/>
    <w:link w:val="13"/>
    <w:qFormat/>
    <w:uiPriority w:val="99"/>
    <w:rPr>
      <w:rFonts w:ascii="宋体" w:hAnsi="宋体" w:cs="宋体"/>
      <w:sz w:val="24"/>
      <w:szCs w:val="24"/>
    </w:rPr>
  </w:style>
  <w:style w:type="paragraph" w:customStyle="1" w:styleId="44">
    <w:name w:val="修订5"/>
    <w:hidden/>
    <w:semiHidden/>
    <w:uiPriority w:val="99"/>
    <w:rPr>
      <w:rFonts w:ascii="Times New Roman" w:hAnsi="Times New Roman" w:eastAsia="宋体" w:cs="Times New Roman"/>
      <w:kern w:val="2"/>
      <w:sz w:val="21"/>
      <w:szCs w:val="22"/>
      <w:lang w:val="en-US" w:eastAsia="zh-CN" w:bidi="ar-SA"/>
    </w:rPr>
  </w:style>
  <w:style w:type="character" w:customStyle="1" w:styleId="45">
    <w:name w:val="正文文本 字符"/>
    <w:basedOn w:val="17"/>
    <w:link w:val="6"/>
    <w:qFormat/>
    <w:uiPriority w:val="0"/>
    <w:rPr>
      <w:rFonts w:ascii="华文楷体" w:hAnsi="华文楷体" w:eastAsia="LF_Kai" w:cs="Times New Roman"/>
      <w:kern w:val="2"/>
      <w:sz w:val="21"/>
    </w:rPr>
  </w:style>
  <w:style w:type="paragraph" w:customStyle="1" w:styleId="46">
    <w:name w:val="Revision"/>
    <w:hidden/>
    <w:semiHidden/>
    <w:qFormat/>
    <w:uiPriority w:val="99"/>
    <w:rPr>
      <w:rFonts w:ascii="Times New Roman" w:hAnsi="Times New Roman" w:eastAsia="宋体" w:cs="Times New Roman"/>
      <w:kern w:val="2"/>
      <w:sz w:val="21"/>
      <w:szCs w:val="22"/>
      <w:lang w:val="en-US" w:eastAsia="zh-CN" w:bidi="ar-SA"/>
    </w:rPr>
  </w:style>
  <w:style w:type="table" w:customStyle="1" w:styleId="47">
    <w:name w:val="网格型12"/>
    <w:basedOn w:val="15"/>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
    <w:name w:val="网格型13"/>
    <w:basedOn w:val="15"/>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yoyqu\Desktop\&#28023;&#21475;&#24066;&#27743;&#19996;&#26032;&#21306;&#22253;&#21306;&#37197;&#22871;&#22522;&#30784;&#35774;&#26045;&#37197;&#22871;&#39033;&#30446;&#65288;&#20108;&#26399;&#65289;-2025&#24180;6&#26376;-&#35843;&#20837;600&#19975;&#20803;-10&#24180;&#26399;.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仿宋_GB2312" panose="02010609030101010101" pitchFamily="3" charset="-122"/>
                <a:ea typeface="仿宋_GB2312" panose="02010609030101010101" pitchFamily="3" charset="-122"/>
                <a:cs typeface="+mn-cs"/>
              </a:defRPr>
            </a:pPr>
            <a:r>
              <a:rPr lang="zh-CN" sz="1000"/>
              <a:t>单位：人民币万元</a:t>
            </a:r>
            <a:endParaRPr lang="zh-CN" sz="1000"/>
          </a:p>
        </c:rich>
      </c:tx>
      <c:layout>
        <c:manualLayout>
          <c:xMode val="edge"/>
          <c:yMode val="edge"/>
          <c:x val="0.702777777777778"/>
          <c:y val="0.0231481481481481"/>
        </c:manualLayout>
      </c:layout>
      <c:overlay val="0"/>
      <c:spPr>
        <a:noFill/>
        <a:ln>
          <a:noFill/>
        </a:ln>
        <a:effectLst/>
      </c:spPr>
    </c:title>
    <c:autoTitleDeleted val="0"/>
    <c:plotArea>
      <c:layout/>
      <c:barChart>
        <c:barDir val="col"/>
        <c:grouping val="clustered"/>
        <c:varyColors val="0"/>
        <c:ser>
          <c:idx val="0"/>
          <c:order val="0"/>
          <c:spPr>
            <a:solidFill>
              <a:srgbClr val="00B0F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仿宋_GB2312" panose="02010609030101010101" pitchFamily="3" charset="-122"/>
                    <a:ea typeface="仿宋_GB2312" panose="02010609030101010101" pitchFamily="3"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现金流模拟测算表!$H$2:$S$2</c:f>
              <c:numCache>
                <c:formatCode>General</c:formatCode>
                <c:ptCount val="12"/>
                <c:pt idx="0">
                  <c:v>2024</c:v>
                </c:pt>
                <c:pt idx="1">
                  <c:v>2025</c:v>
                </c:pt>
                <c:pt idx="2">
                  <c:v>2026</c:v>
                </c:pt>
                <c:pt idx="3">
                  <c:v>2027</c:v>
                </c:pt>
                <c:pt idx="4">
                  <c:v>2028</c:v>
                </c:pt>
                <c:pt idx="5">
                  <c:v>2029</c:v>
                </c:pt>
                <c:pt idx="6">
                  <c:v>2030</c:v>
                </c:pt>
                <c:pt idx="7">
                  <c:v>2031</c:v>
                </c:pt>
                <c:pt idx="8">
                  <c:v>2032</c:v>
                </c:pt>
                <c:pt idx="9">
                  <c:v>2033</c:v>
                </c:pt>
                <c:pt idx="10">
                  <c:v>2034</c:v>
                </c:pt>
                <c:pt idx="11">
                  <c:v>2035</c:v>
                </c:pt>
              </c:numCache>
            </c:numRef>
          </c:cat>
          <c:val>
            <c:numRef>
              <c:f>现金流模拟测算表!$H$24:$S$24</c:f>
              <c:numCache>
                <c:formatCode>_ * #,##0_ ;_ * \-#,##0_ ;_ * "-"??_ ;_ @_ </c:formatCode>
                <c:ptCount val="12"/>
                <c:pt idx="0">
                  <c:v>0</c:v>
                </c:pt>
                <c:pt idx="1">
                  <c:v>0</c:v>
                </c:pt>
                <c:pt idx="2">
                  <c:v>278.855306</c:v>
                </c:pt>
                <c:pt idx="3">
                  <c:v>518.974468</c:v>
                </c:pt>
                <c:pt idx="4">
                  <c:v>759.09363</c:v>
                </c:pt>
                <c:pt idx="5">
                  <c:v>999.212792</c:v>
                </c:pt>
                <c:pt idx="6">
                  <c:v>1239.331954</c:v>
                </c:pt>
                <c:pt idx="7">
                  <c:v>1479.451116</c:v>
                </c:pt>
                <c:pt idx="8">
                  <c:v>1719.570278</c:v>
                </c:pt>
                <c:pt idx="9">
                  <c:v>1959.68944</c:v>
                </c:pt>
                <c:pt idx="10">
                  <c:v>1211.858602</c:v>
                </c:pt>
                <c:pt idx="11">
                  <c:v>629.4768655</c:v>
                </c:pt>
              </c:numCache>
            </c:numRef>
          </c:val>
        </c:ser>
        <c:dLbls>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mn-cs"/>
              </a:defRPr>
            </a:pPr>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mn-cs"/>
              </a:defRPr>
            </a:pPr>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仿宋_GB2312" panose="02010609030101010101" pitchFamily="3" charset="-122"/>
          <a:ea typeface="仿宋_GB2312" panose="02010609030101010101" pitchFamily="3"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D588-6CF0-482B-B06C-6BC3FCC20153}">
  <ds:schemaRefs/>
</ds:datastoreItem>
</file>

<file path=docProps/app.xml><?xml version="1.0" encoding="utf-8"?>
<Properties xmlns="http://schemas.openxmlformats.org/officeDocument/2006/extended-properties" xmlns:vt="http://schemas.openxmlformats.org/officeDocument/2006/docPropsVTypes">
  <Template>Normal.dotm</Template>
  <Company>Deloitte Touche Tohmatsu Services, Inc.</Company>
  <Pages>26</Pages>
  <Words>9786</Words>
  <Characters>4552</Characters>
  <Lines>37</Lines>
  <Paragraphs>28</Paragraphs>
  <TotalTime>261</TotalTime>
  <ScaleCrop>false</ScaleCrop>
  <LinksUpToDate>false</LinksUpToDate>
  <CharactersWithSpaces>14310</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2024-04-12T03:55:00Z</dcterms:created>
  <dc:creator>64924</dc:creator>
  <cp:lastModifiedBy>王芳</cp:lastModifiedBy>
  <cp:lastPrinted>2025-06-26T09:57:07Z</cp:lastPrinted>
  <dcterms:modified xsi:type="dcterms:W3CDTF">2025-06-26T10:00:56Z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13D0A2F5C3714AB4ACFDCBB88D384AD4_13</vt:lpwstr>
  </property>
</Properties>
</file>