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2"/>
        <w:gridCol w:w="747"/>
        <w:gridCol w:w="1142"/>
        <w:gridCol w:w="5308"/>
        <w:gridCol w:w="931"/>
        <w:gridCol w:w="747"/>
        <w:gridCol w:w="3285"/>
      </w:tblGrid>
      <w:tr w14:paraId="09FFC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7"/>
            <w:tcBorders>
              <w:top w:val="nil"/>
              <w:left w:val="nil"/>
              <w:bottom w:val="nil"/>
              <w:right w:val="nil"/>
            </w:tcBorders>
            <w:shd w:val="clear" w:color="auto" w:fill="auto"/>
            <w:noWrap/>
            <w:vAlign w:val="center"/>
          </w:tcPr>
          <w:p w14:paraId="09DFD5E0">
            <w:pPr>
              <w:keepNext w:val="0"/>
              <w:keepLines w:val="0"/>
              <w:pageBreakBefore w:val="0"/>
              <w:kinsoku/>
              <w:wordWrap/>
              <w:overflowPunct/>
              <w:topLinePunct w:val="0"/>
              <w:autoSpaceDE/>
              <w:autoSpaceDN/>
              <w:bidi w:val="0"/>
              <w:adjustRightInd/>
              <w:snapToGrid/>
              <w:spacing w:beforeAutospacing="0" w:afterAutospacing="0" w:line="520" w:lineRule="exact"/>
              <w:textAlignment w:val="auto"/>
              <w:rPr>
                <w:rFonts w:hint="eastAsia" w:ascii="黑体" w:hAnsi="黑体" w:eastAsia="黑体" w:cs="黑体"/>
                <w:color w:val="000000"/>
                <w:kern w:val="0"/>
                <w:sz w:val="32"/>
                <w:szCs w:val="32"/>
                <w:highlight w:val="none"/>
                <w:lang w:val="en-US" w:eastAsia="zh-CN"/>
              </w:rPr>
            </w:pPr>
            <w:r>
              <w:rPr>
                <w:rFonts w:hint="eastAsia" w:ascii="黑体" w:hAnsi="黑体" w:eastAsia="黑体" w:cs="黑体"/>
                <w:color w:val="000000"/>
                <w:kern w:val="0"/>
                <w:sz w:val="32"/>
                <w:szCs w:val="32"/>
                <w:highlight w:val="none"/>
                <w:lang w:val="en-US" w:eastAsia="zh-CN"/>
              </w:rPr>
              <w:t>附件3：</w:t>
            </w:r>
          </w:p>
          <w:p w14:paraId="6F6AC968">
            <w:pPr>
              <w:keepNext w:val="0"/>
              <w:keepLines w:val="0"/>
              <w:widowControl/>
              <w:suppressLineNumbers w:val="0"/>
              <w:ind w:left="0" w:leftChars="0" w:right="0" w:rightChars="0" w:firstLine="0" w:firstLineChars="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潭连电网侧新型储能项目遴选评分表</w:t>
            </w:r>
          </w:p>
        </w:tc>
      </w:tr>
      <w:tr w14:paraId="1F11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13" w:type="pct"/>
            <w:tcBorders>
              <w:top w:val="single" w:color="000000" w:sz="4" w:space="0"/>
              <w:left w:val="single" w:color="000000" w:sz="4" w:space="0"/>
              <w:bottom w:val="single" w:color="auto" w:sz="4" w:space="0"/>
              <w:right w:val="single" w:color="000000" w:sz="4" w:space="0"/>
            </w:tcBorders>
            <w:shd w:val="clear" w:color="auto" w:fill="auto"/>
            <w:vAlign w:val="center"/>
          </w:tcPr>
          <w:p w14:paraId="147EE48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评分维度</w:t>
            </w:r>
          </w:p>
        </w:tc>
        <w:tc>
          <w:tcPr>
            <w:tcW w:w="288" w:type="pct"/>
            <w:tcBorders>
              <w:top w:val="single" w:color="000000" w:sz="4" w:space="0"/>
              <w:left w:val="single" w:color="000000" w:sz="4" w:space="0"/>
              <w:bottom w:val="single" w:color="auto" w:sz="4" w:space="0"/>
              <w:right w:val="single" w:color="000000" w:sz="4" w:space="0"/>
            </w:tcBorders>
            <w:shd w:val="clear" w:color="auto" w:fill="auto"/>
            <w:vAlign w:val="center"/>
          </w:tcPr>
          <w:p w14:paraId="1DF4C080">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FC2BD">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审查内容</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3B9F">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审查标准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26C4">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分值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D8F21">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得分</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A77B">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14:paraId="4BF50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313" w:type="pct"/>
            <w:vMerge w:val="restart"/>
            <w:tcBorders>
              <w:top w:val="single" w:color="auto" w:sz="4" w:space="0"/>
              <w:left w:val="single" w:color="auto" w:sz="4" w:space="0"/>
              <w:bottom w:val="nil"/>
              <w:right w:val="single" w:color="000000" w:sz="4" w:space="0"/>
            </w:tcBorders>
            <w:shd w:val="clear" w:color="auto" w:fill="auto"/>
            <w:vAlign w:val="center"/>
          </w:tcPr>
          <w:p w14:paraId="150AC183">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资格审查</w:t>
            </w:r>
          </w:p>
        </w:tc>
        <w:tc>
          <w:tcPr>
            <w:tcW w:w="288" w:type="pct"/>
            <w:tcBorders>
              <w:top w:val="single" w:color="auto" w:sz="4" w:space="0"/>
              <w:left w:val="single" w:color="000000" w:sz="4" w:space="0"/>
              <w:bottom w:val="single" w:color="000000" w:sz="4" w:space="0"/>
              <w:right w:val="single" w:color="auto" w:sz="4" w:space="0"/>
            </w:tcBorders>
            <w:shd w:val="clear" w:color="auto" w:fill="auto"/>
            <w:vAlign w:val="center"/>
          </w:tcPr>
          <w:p w14:paraId="70B2673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68947503">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独立承担民事责任的能力</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A54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企业应具有独立承担民事责任的能力。（接受联合体参与，联合体成员数上限为两家，需明确联合体牵头单位，提供联合体协议、各成员股权配置情况等有效证明。）</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316CB">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62104">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BDCA5">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提供法人或者其他组织的营业执照（如有联合体成员需一并提供）、联合体协议、各成员股权配置情况等有效证明（如有）及其它证明文件复印件。</w:t>
            </w:r>
          </w:p>
        </w:tc>
      </w:tr>
      <w:tr w14:paraId="438A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13" w:type="pct"/>
            <w:vMerge w:val="continue"/>
            <w:tcBorders>
              <w:top w:val="single" w:color="000000" w:sz="4" w:space="0"/>
              <w:left w:val="single" w:color="auto" w:sz="4" w:space="0"/>
              <w:bottom w:val="nil"/>
              <w:right w:val="single" w:color="000000" w:sz="4" w:space="0"/>
            </w:tcBorders>
            <w:shd w:val="clear" w:color="auto" w:fill="auto"/>
            <w:vAlign w:val="center"/>
          </w:tcPr>
          <w:p w14:paraId="530C55E3">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auto" w:sz="4" w:space="0"/>
            </w:tcBorders>
            <w:shd w:val="clear" w:color="auto" w:fill="auto"/>
            <w:vAlign w:val="center"/>
          </w:tcPr>
          <w:p w14:paraId="2936451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35248E1C">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良好的商业信誉和健全的财务会计制度</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622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企业应具有良好的商业信誉和健全的财务会计制度。</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61DD">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7836">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B5FFF">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提供2023-2025年经审计的财务报表，成立未满3年的公司提供成立以来所有的经审计的财务报表。</w:t>
            </w:r>
          </w:p>
        </w:tc>
      </w:tr>
      <w:tr w14:paraId="57B75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13" w:type="pct"/>
            <w:vMerge w:val="continue"/>
            <w:tcBorders>
              <w:top w:val="single" w:color="000000" w:sz="4" w:space="0"/>
              <w:left w:val="single" w:color="auto" w:sz="4" w:space="0"/>
              <w:bottom w:val="nil"/>
              <w:right w:val="single" w:color="000000" w:sz="4" w:space="0"/>
            </w:tcBorders>
            <w:shd w:val="clear" w:color="auto" w:fill="auto"/>
            <w:vAlign w:val="center"/>
          </w:tcPr>
          <w:p w14:paraId="408A4599">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auto" w:sz="4" w:space="0"/>
            </w:tcBorders>
            <w:shd w:val="clear" w:color="auto" w:fill="auto"/>
            <w:vAlign w:val="center"/>
          </w:tcPr>
          <w:p w14:paraId="7AFA9457">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3891AABB">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有依法缴纳税收和社会保障资金的良好记录</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58C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有依法缴纳税收和社会保障资金的良好记录。</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7E31">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6170">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97795">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提供2026年任意一个月纳税及缴纳社保证明。</w:t>
            </w:r>
          </w:p>
        </w:tc>
      </w:tr>
      <w:tr w14:paraId="39CE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313" w:type="pct"/>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16E05143">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auto" w:sz="4" w:space="0"/>
              <w:right w:val="single" w:color="auto" w:sz="4" w:space="0"/>
            </w:tcBorders>
            <w:shd w:val="clear" w:color="auto" w:fill="auto"/>
            <w:vAlign w:val="center"/>
          </w:tcPr>
          <w:p w14:paraId="78036FBC">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0E0A40D9">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企业信用</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668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未被列入信用中国网（www．creditchina．gov．cn）的“失信被执行人”“重大税收违法失信主体”“政府采购严重违法失信行为记录名单”和中国政府采购（www．ccgp．gov．cn）的“政府采购严重违法失信行为记录名单”；企业近三年内在经营过程中未发生过严重违约，或重大及以上安全生产事故。</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9B10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AABC">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F4BCB">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提供信用中国网站和中国政府采购的查询结果网页截图及承诺书并加盖单位公章。</w:t>
            </w:r>
          </w:p>
        </w:tc>
      </w:tr>
      <w:tr w14:paraId="0E16C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3" w:type="pct"/>
            <w:vMerge w:val="continue"/>
            <w:tcBorders>
              <w:top w:val="single" w:color="auto" w:sz="4" w:space="0"/>
              <w:left w:val="single" w:color="auto" w:sz="4" w:space="0"/>
              <w:bottom w:val="nil"/>
              <w:right w:val="single" w:color="000000" w:sz="4" w:space="0"/>
            </w:tcBorders>
            <w:shd w:val="clear" w:color="auto" w:fill="auto"/>
            <w:vAlign w:val="center"/>
          </w:tcPr>
          <w:p w14:paraId="52E2CD94">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auto" w:sz="4" w:space="0"/>
              <w:left w:val="single" w:color="000000" w:sz="4" w:space="0"/>
              <w:bottom w:val="single" w:color="000000" w:sz="4" w:space="0"/>
              <w:right w:val="single" w:color="000000" w:sz="4" w:space="0"/>
            </w:tcBorders>
            <w:shd w:val="clear" w:color="auto" w:fill="auto"/>
            <w:vAlign w:val="center"/>
          </w:tcPr>
          <w:p w14:paraId="3500A798">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A805">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项目建设经验</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C876">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具备独立储能电站的建设经验，且至少有1个在建的项目或已建成并投入运营的项目。</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84B8">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AFF54">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w:t>
            </w: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12E4">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由企业或企业所属集团公司</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提供一个独立储能电站项目合同、竣工验收报告。</w:t>
            </w:r>
          </w:p>
        </w:tc>
      </w:tr>
      <w:tr w14:paraId="1A74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13" w:type="pct"/>
            <w:tcBorders>
              <w:top w:val="single" w:color="000000" w:sz="4" w:space="0"/>
              <w:left w:val="single" w:color="000000" w:sz="4" w:space="0"/>
              <w:bottom w:val="single" w:color="auto" w:sz="4" w:space="0"/>
              <w:right w:val="single" w:color="000000" w:sz="4" w:space="0"/>
            </w:tcBorders>
            <w:shd w:val="clear" w:color="auto" w:fill="auto"/>
            <w:vAlign w:val="center"/>
          </w:tcPr>
          <w:p w14:paraId="56CBDE1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符合性审查</w:t>
            </w:r>
          </w:p>
        </w:tc>
        <w:tc>
          <w:tcPr>
            <w:tcW w:w="288" w:type="pct"/>
            <w:tcBorders>
              <w:top w:val="single" w:color="000000" w:sz="4" w:space="0"/>
              <w:left w:val="single" w:color="000000" w:sz="4" w:space="0"/>
              <w:bottom w:val="single" w:color="auto" w:sz="4" w:space="0"/>
              <w:right w:val="single" w:color="000000" w:sz="4" w:space="0"/>
            </w:tcBorders>
            <w:shd w:val="clear" w:color="auto" w:fill="auto"/>
            <w:vAlign w:val="center"/>
          </w:tcPr>
          <w:p w14:paraId="7982925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DF780">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响应文件有效性</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52816">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遴选单位提交的响应文件齐全且加盖公章。</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D39E">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88B5B">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2C8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否决项</w:t>
            </w:r>
          </w:p>
        </w:tc>
      </w:tr>
      <w:tr w14:paraId="1C1F7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13" w:type="pct"/>
            <w:vMerge w:val="restart"/>
            <w:tcBorders>
              <w:top w:val="single" w:color="auto" w:sz="4" w:space="0"/>
              <w:left w:val="single" w:color="auto" w:sz="4" w:space="0"/>
              <w:right w:val="single" w:color="000000" w:sz="4" w:space="0"/>
            </w:tcBorders>
            <w:shd w:val="clear" w:color="auto" w:fill="auto"/>
            <w:vAlign w:val="center"/>
          </w:tcPr>
          <w:p w14:paraId="69DB8B98">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商务评审</w:t>
            </w:r>
          </w:p>
        </w:tc>
        <w:tc>
          <w:tcPr>
            <w:tcW w:w="288" w:type="pct"/>
            <w:tcBorders>
              <w:top w:val="single" w:color="auto" w:sz="4" w:space="0"/>
              <w:left w:val="single" w:color="000000" w:sz="4" w:space="0"/>
              <w:bottom w:val="single" w:color="000000" w:sz="4" w:space="0"/>
              <w:right w:val="single" w:color="auto" w:sz="4" w:space="0"/>
            </w:tcBorders>
            <w:shd w:val="clear" w:color="auto" w:fill="auto"/>
            <w:vAlign w:val="center"/>
          </w:tcPr>
          <w:p w14:paraId="07F365C2">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6665D66D">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类似业绩</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1DA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自2021年以来，作为遴选单位投资建设储能项目：单个规模≥10万千瓦且处于在建阶段或已建成投运的，每个项目得 7.5 分，本项最高得15分。（多个企业入股成立公司的，投产业绩按所有出资方股比权重计算，然后根据评分标准计算得分）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E439C">
            <w:pPr>
              <w:keepNext w:val="0"/>
              <w:keepLines w:val="0"/>
              <w:widowControl/>
              <w:suppressLineNumbers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05B66">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8772">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由企业或企业所属集团公司出具投资建设独立储能项目情况说明，并附项目核准（备案）文件及并网或施工证明材料，均需加盖公章。若企业合资建设项目，须提供股权比例证明。</w:t>
            </w:r>
          </w:p>
        </w:tc>
      </w:tr>
      <w:tr w14:paraId="53D0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313" w:type="pct"/>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0EC1BD70">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auto" w:sz="4" w:space="0"/>
              <w:right w:val="single" w:color="auto" w:sz="4" w:space="0"/>
            </w:tcBorders>
            <w:shd w:val="clear" w:color="auto" w:fill="auto"/>
            <w:vAlign w:val="center"/>
          </w:tcPr>
          <w:p w14:paraId="09BA1D98">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439" w:type="pct"/>
            <w:tcBorders>
              <w:top w:val="single" w:color="000000" w:sz="4" w:space="0"/>
              <w:left w:val="single" w:color="auto" w:sz="4" w:space="0"/>
              <w:bottom w:val="single" w:color="000000" w:sz="4" w:space="0"/>
              <w:right w:val="single" w:color="000000" w:sz="4" w:space="0"/>
            </w:tcBorders>
            <w:shd w:val="clear" w:color="auto" w:fill="auto"/>
            <w:vAlign w:val="center"/>
          </w:tcPr>
          <w:p w14:paraId="612AEF91">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投资能力</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2EB0">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right="0" w:rightChars="0"/>
              <w:jc w:val="both"/>
              <w:textAlignment w:val="auto"/>
              <w:outlineLvl w:val="2"/>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资金保障方案编制完整、逻辑可行，能够有效匹配项目落地实施，得4-5分；方案编制较为完整，逻辑基本通顺，资金安排大体契合项目实施节奏，但部分内容深度不足，个别环节匹配度一般，得2-3分；方案内容残缺不全，关键要素缺失，逻辑混乱，资金安排与项目实施脱节，无法支撑项目落地，得0-1分。</w:t>
            </w:r>
          </w:p>
          <w:p w14:paraId="6C4D34B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0" w:right="0" w:rightChars="0"/>
              <w:jc w:val="both"/>
              <w:textAlignment w:val="auto"/>
              <w:outlineLvl w:val="2"/>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项目资金来源清晰明确，相关资金已落实到位，可足额保障建设期各阶段资金支出需求，得4-5分；项目资金来源基本明确，部分资金已落实，存在少量资金尚在筹措阶段，基本可以保障建设期主要阶段支出，个别节点存在资金缺口风险，得2-3分；资金来源模糊不清，无有效落实佐证，大部分资金未落实，难以保障建设期资金支出，得0-1分。</w:t>
            </w:r>
          </w:p>
          <w:p w14:paraId="25EC1A9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0" w:right="0" w:rightChars="0"/>
              <w:jc w:val="both"/>
              <w:textAlignment w:val="auto"/>
              <w:outlineLvl w:val="2"/>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b w:val="0"/>
                <w:bCs w:val="0"/>
                <w:i w:val="0"/>
                <w:iCs w:val="0"/>
                <w:color w:val="000000"/>
                <w:kern w:val="0"/>
                <w:sz w:val="24"/>
                <w:szCs w:val="24"/>
                <w:u w:val="none"/>
                <w:lang w:val="en-US" w:eastAsia="zh-CN" w:bidi="ar"/>
              </w:rPr>
              <w:t>3.履约保障措施详实具体，具备较强实操性，有效防范资金履约风险，得4-5分；已制定资金履约相关保障措施，有基本风险防控思路，但措施偏笼统，实操性一般，部分风险点未覆盖，风险防范效果有限，得2-3分；缺少履约保障措施，或措施空洞无实质内容，无法防范资金履约相关风险，得0-1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79642">
            <w:pPr>
              <w:keepNext w:val="0"/>
              <w:keepLines w:val="0"/>
              <w:widowControl/>
              <w:suppressLineNumbers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themeColor="text1"/>
                <w:sz w:val="24"/>
                <w:szCs w:val="24"/>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4B93">
            <w:pPr>
              <w:spacing w:line="240" w:lineRule="auto"/>
              <w:ind w:left="0" w:leftChars="0" w:right="0" w:rightChars="0" w:firstLine="0" w:firstLineChars="0"/>
              <w:jc w:val="left"/>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98CD">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提供资金保障方案并由申报主体加盖公章。</w:t>
            </w:r>
          </w:p>
        </w:tc>
      </w:tr>
      <w:tr w14:paraId="236A9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313"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091CB08">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技术评审</w:t>
            </w:r>
          </w:p>
        </w:tc>
        <w:tc>
          <w:tcPr>
            <w:tcW w:w="288" w:type="pct"/>
            <w:tcBorders>
              <w:top w:val="single" w:color="auto" w:sz="4" w:space="0"/>
              <w:left w:val="single" w:color="000000" w:sz="4" w:space="0"/>
              <w:bottom w:val="single" w:color="000000" w:sz="4" w:space="0"/>
              <w:right w:val="single" w:color="000000" w:sz="4" w:space="0"/>
            </w:tcBorders>
            <w:shd w:val="clear" w:color="auto" w:fill="auto"/>
            <w:vAlign w:val="center"/>
          </w:tcPr>
          <w:p w14:paraId="14324C67">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5AB4">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建设必要性分析</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C01E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Chars="0" w:right="0" w:rightChars="0"/>
              <w:jc w:val="both"/>
              <w:textAlignment w:val="auto"/>
              <w:outlineLvl w:val="2"/>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val="0"/>
                <w:bCs w:val="0"/>
                <w:i w:val="0"/>
                <w:iCs w:val="0"/>
                <w:color w:val="000000"/>
                <w:kern w:val="0"/>
                <w:sz w:val="24"/>
                <w:szCs w:val="24"/>
                <w:u w:val="none"/>
                <w:lang w:val="en-US" w:eastAsia="zh-CN" w:bidi="ar"/>
              </w:rPr>
              <w:t>对本项目建设的必要性进行分析，包括但不限于区域能源供需现状、政策适配性、项目定位、需求紧迫性等方面：</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1.分析全面、数据详实、逻辑严谨，能充分论证项目建设价值，得4-5分。</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2.分析基本全面，数据基本准确，逻辑清晰，能初步论证项目建设价值，得1-3分。</w:t>
            </w:r>
            <w:r>
              <w:rPr>
                <w:rFonts w:hint="eastAsia" w:ascii="仿宋_GB2312" w:hAnsi="仿宋_GB2312" w:eastAsia="仿宋_GB2312" w:cs="仿宋_GB2312"/>
                <w:b w:val="0"/>
                <w:bCs w:val="0"/>
                <w:i w:val="0"/>
                <w:iCs w:val="0"/>
                <w:color w:val="000000"/>
                <w:kern w:val="0"/>
                <w:sz w:val="24"/>
                <w:szCs w:val="24"/>
                <w:u w:val="none"/>
                <w:lang w:val="en-US" w:eastAsia="zh-CN" w:bidi="ar"/>
              </w:rPr>
              <w:br w:type="textWrapping"/>
            </w:r>
            <w:r>
              <w:rPr>
                <w:rFonts w:hint="eastAsia" w:ascii="仿宋_GB2312" w:hAnsi="仿宋_GB2312" w:eastAsia="仿宋_GB2312" w:cs="仿宋_GB2312"/>
                <w:b w:val="0"/>
                <w:bCs w:val="0"/>
                <w:i w:val="0"/>
                <w:iCs w:val="0"/>
                <w:color w:val="000000"/>
                <w:kern w:val="0"/>
                <w:sz w:val="24"/>
                <w:szCs w:val="24"/>
                <w:u w:val="none"/>
                <w:lang w:val="en-US" w:eastAsia="zh-CN" w:bidi="ar"/>
              </w:rPr>
              <w:t>3.分析不全面、数据缺失，逻辑混乱，无法论证项目建设价值，不得分。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C5101">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5542">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CE36">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相关内容在方案中单独章节体现。</w:t>
            </w:r>
          </w:p>
        </w:tc>
      </w:tr>
      <w:tr w14:paraId="74FD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D2D6E">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468A">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A619">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方案编制情况</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2D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对设计方案（包括但不限于资源利用情况、总平面布置方案、系统方案、设备选型等方面）、经济测算的科学合理性综合评审判定。</w:t>
            </w:r>
          </w:p>
          <w:p w14:paraId="6891544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1.设计方案内容完善，得4-5分；设计方案主要内容基本具备，但部分内容阐述简单，细节不够充分，得2-3分；设计方案关键内容缺失较多，重要模块存在明显缺项，内容简陋，得0-1分。</w:t>
            </w:r>
          </w:p>
          <w:p w14:paraId="716BA7E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2.设计方案深度满足独立储能项目的行业技术标准规范，运营管理、消防安全、技术方案科学合理，得</w:t>
            </w:r>
            <w:bookmarkStart w:id="0" w:name="_GoBack"/>
            <w:bookmarkEnd w:id="0"/>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-10分；设计方案基本符合独立储能项目行业技术标准规范，运营管理、消防安全、技术方案总体可行，局部细节有待优化完善，少量条款未完全对标规范要求，得4-7分；设计方案达不到独立储能项目行业技术标准规范要求，运营管理、消防安全或技术方案存在明显不合理问题，存在较大技术隐患，得0-3 分。</w:t>
            </w:r>
          </w:p>
          <w:p w14:paraId="4E2BFD5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经济测算资料齐全、体系完整、参数取值客观合规，得4-5分；经济测算主要资料齐备，测算体系基本完整，大部分参数取值客观合规，少数参数缺少依据支撑，得2-3分；经济测算资料残缺，测算体系不完整，关键参数取值主观随意、缺少合规依据，得0-1分。</w:t>
            </w:r>
          </w:p>
          <w:p w14:paraId="7DCE58A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投资估算、收益测算、资金筹措方案科学可行，经济性论证充分，得8-10分；投资估算、收益测算、资金筹措方案基本可行，具备经济性论证，但论证深度不足，部分测算分析不够细致，得4-7分；投资估算偏差较大，收益测算逻辑不合理，资金筹措方案不可行，缺少必要经济性论证，得0-3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1DE4">
            <w:pPr>
              <w:keepNext w:val="0"/>
              <w:keepLines w:val="0"/>
              <w:widowControl/>
              <w:suppressLineNumbers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F7B1">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CF33">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提供方案并由申报主体加盖公章。</w:t>
            </w:r>
          </w:p>
        </w:tc>
      </w:tr>
      <w:tr w14:paraId="26E6B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4"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9343F">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0188">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4A61E">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技术先进性及构网能力</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16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结合项目构网能力、先进性、示范性评审判定。</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1.项目配置构网型储能变流器，具备完整构网型控制策略与适配系统架构，得 5-8分；配置构网型储能变流器，具备基础构网控制策略，系统架构大体适配，但控制策略细节不完善，部分架构匹配细节有待优化，得2-4分；未配置构网型储能变流器，或无构网控制策略、系统架构不匹配，不具备构网运行条件，得0-1分。</w:t>
            </w:r>
          </w:p>
          <w:p w14:paraId="14A7421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电池组件选用先进且高效的型号，配套高安全、低噪环境友好型储能设备与智能控制系统，得4-5分；电池组件型号性能较好，配套储能设备及智能控制系统基本齐全，安全、降噪、环保方面基本满足要求，部分设备先进性一般，得2-3分；电池组件型号老旧，缺少高安全、环境友好配套设备，无完备智能控制系统，得0-1分。</w:t>
            </w:r>
          </w:p>
          <w:p w14:paraId="30D846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构网能力指标表现突出，具备可靠过载能力、有效惯量响应、稳定一次调频功能，弱电网适应性能良好，满足多场景调度需求，得5-7分；具备基本过载、惯量响应、一次调频能力，弱电网适应性尚可，可满足主要调度场景，部分指标性能存在提升空间，得3-4分；过载、惯量响应、一次调频等关键构网指标缺失或性能较差，弱电网适应能力不足，难以满足调度运行要求，得0-2分。</w:t>
            </w:r>
          </w:p>
          <w:p w14:paraId="7064F12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整体电网支撑能力强，项目技术经济性突出，相关技术方案具备行业推广价值与示范效应，得4-5分；具备一定电网支撑能力，技术经济性尚可，有一定参考借鉴意义，但示范亮点不够突出，推广条件存在局限，得2-3分；电网支撑能力弱，无明显技术优势，不具备示范及行业推广价值，得0-1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AB05">
            <w:pPr>
              <w:keepNext w:val="0"/>
              <w:keepLines w:val="0"/>
              <w:widowControl/>
              <w:suppressLineNumbers w:val="0"/>
              <w:spacing w:line="240" w:lineRule="auto"/>
              <w:ind w:left="0" w:leftChars="0" w:right="0" w:rightChars="0" w:firstLine="0" w:firstLineChars="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02B0">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9C7F">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提供技术方案说明和相关佐证材料（如技术对比分析报告、设备采购意向协议、供应商资质证明、第三方检测报告、设备技术参数表等）并加盖公章。相关内容在方案中单独章节体现。</w:t>
            </w:r>
          </w:p>
        </w:tc>
      </w:tr>
      <w:tr w14:paraId="0C4A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A1C16">
            <w:pPr>
              <w:spacing w:line="240" w:lineRule="auto"/>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63E3">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3AAED">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安全方案</w:t>
            </w:r>
          </w:p>
        </w:tc>
        <w:tc>
          <w:tcPr>
            <w:tcW w:w="2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9B7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针对本项目的安全方案进行评审，包括但不限于消防安全、电气安全、设备安全、应急管理、安全管理体系等。</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1.安全方案完善、措施到位、管理规范，消防安全、电气安全、设备安全、应急管理、安全管理体系均符合要求，能全面保障项目安全运行，得6-10分；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2.安全方案较为完善、无重大安全漏洞，上述各方面基本符合要求，无重大安全隐患，能基本保障项目安全运行，得1-5分；</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3.安全方案缺失、存在重大安全风险，上述各方面存在明显缺陷，无法保障项目安全运行，不得分。</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4A05">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3AC1">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BA04">
            <w:pPr>
              <w:keepNext w:val="0"/>
              <w:keepLines w:val="0"/>
              <w:widowControl/>
              <w:suppressLineNumbers w:val="0"/>
              <w:spacing w:line="240" w:lineRule="auto"/>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提供方案说明和相关佐证材料（如同类型项目消防设计方案审查意见等）并加盖公章。相关内容在方案中单独章节体现。</w:t>
            </w:r>
          </w:p>
        </w:tc>
      </w:tr>
      <w:tr w14:paraId="1E5A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30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8E6163">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A123">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BDD45">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7DEB">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r>
      <w:tr w14:paraId="0E64F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44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E83722">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企业最终得分</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CFE7">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EA947">
            <w:pPr>
              <w:spacing w:line="240" w:lineRule="auto"/>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r>
      <w:tr w14:paraId="5F63A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41" w:type="pct"/>
            <w:gridSpan w:val="3"/>
            <w:tcBorders>
              <w:top w:val="nil"/>
              <w:left w:val="single" w:color="000000" w:sz="4" w:space="0"/>
              <w:bottom w:val="single" w:color="000000" w:sz="4" w:space="0"/>
              <w:right w:val="single" w:color="000000" w:sz="4" w:space="0"/>
            </w:tcBorders>
            <w:shd w:val="clear" w:color="auto" w:fill="auto"/>
            <w:vAlign w:val="center"/>
          </w:tcPr>
          <w:p w14:paraId="071EAF4C">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一票否决</w:t>
            </w:r>
          </w:p>
        </w:tc>
        <w:tc>
          <w:tcPr>
            <w:tcW w:w="3958" w:type="pct"/>
            <w:gridSpan w:val="4"/>
            <w:tcBorders>
              <w:top w:val="nil"/>
              <w:left w:val="single" w:color="000000" w:sz="4" w:space="0"/>
              <w:bottom w:val="single" w:color="000000" w:sz="4" w:space="0"/>
              <w:right w:val="single" w:color="000000" w:sz="4" w:space="0"/>
            </w:tcBorders>
            <w:shd w:val="clear" w:color="auto" w:fill="auto"/>
            <w:vAlign w:val="center"/>
          </w:tcPr>
          <w:p w14:paraId="3ED2364B">
            <w:pPr>
              <w:keepNext w:val="0"/>
              <w:keepLines w:val="0"/>
              <w:widowControl/>
              <w:suppressLineNumbers w:val="0"/>
              <w:spacing w:line="240" w:lineRule="auto"/>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对于申报材料存在虚假、伪造情况的主体，一票否决，且不准予参加后续相关备案、土地招拍挂等程序。</w:t>
            </w:r>
          </w:p>
        </w:tc>
      </w:tr>
    </w:tbl>
    <w:p w14:paraId="2053C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jc w:val="both"/>
        <w:textAlignment w:val="auto"/>
        <w:rPr>
          <w:rFonts w:hint="eastAsia" w:ascii="仿宋_GB2312" w:hAnsi="仿宋_GB2312" w:eastAsia="仿宋_GB2312" w:cs="仿宋_GB2312"/>
          <w:b w:val="0"/>
          <w:bCs w:val="0"/>
          <w:color w:val="000000"/>
          <w:sz w:val="24"/>
          <w:szCs w:val="24"/>
          <w:highlight w:val="none"/>
          <w:lang w:val="en-US" w:eastAsia="zh-CN"/>
        </w:rPr>
      </w:pPr>
    </w:p>
    <w:sectPr>
      <w:footerReference r:id="rId3" w:type="default"/>
      <w:pgSz w:w="16838" w:h="11906" w:orient="landscape"/>
      <w:pgMar w:top="1474"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8A067F-D018-46A0-8792-699E66CE66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AAC4EC5-61CB-498C-86C6-4B54AC8A5396}"/>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3" w:fontKey="{795684AE-1426-4151-86AE-7D1822EFAE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EC7D">
    <w:r>
      <w:rPr>
        <w:sz w:val="21"/>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A726A6D">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1A726A6D">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6E33"/>
    <w:rsid w:val="003A6B66"/>
    <w:rsid w:val="00E04BD2"/>
    <w:rsid w:val="02011434"/>
    <w:rsid w:val="023C4E17"/>
    <w:rsid w:val="030D7204"/>
    <w:rsid w:val="0336761D"/>
    <w:rsid w:val="03914CEF"/>
    <w:rsid w:val="04F40F2B"/>
    <w:rsid w:val="04F67DFF"/>
    <w:rsid w:val="05515807"/>
    <w:rsid w:val="05CF7D50"/>
    <w:rsid w:val="06D922CA"/>
    <w:rsid w:val="072D5D12"/>
    <w:rsid w:val="073A77D4"/>
    <w:rsid w:val="07907557"/>
    <w:rsid w:val="07D17DB0"/>
    <w:rsid w:val="0909660B"/>
    <w:rsid w:val="09265ED9"/>
    <w:rsid w:val="09543026"/>
    <w:rsid w:val="09D93C30"/>
    <w:rsid w:val="0A2368BD"/>
    <w:rsid w:val="0A296968"/>
    <w:rsid w:val="0AC41565"/>
    <w:rsid w:val="0C606CCC"/>
    <w:rsid w:val="0C8657E9"/>
    <w:rsid w:val="0D3E0362"/>
    <w:rsid w:val="0E0E38CA"/>
    <w:rsid w:val="0EA87391"/>
    <w:rsid w:val="0EB026FB"/>
    <w:rsid w:val="0EDC4E82"/>
    <w:rsid w:val="0F2E5AE8"/>
    <w:rsid w:val="0F496AF6"/>
    <w:rsid w:val="105E3705"/>
    <w:rsid w:val="107B0156"/>
    <w:rsid w:val="11EE74A5"/>
    <w:rsid w:val="11F1104F"/>
    <w:rsid w:val="1218372B"/>
    <w:rsid w:val="12762995"/>
    <w:rsid w:val="12786F41"/>
    <w:rsid w:val="12C432B6"/>
    <w:rsid w:val="12F26E2C"/>
    <w:rsid w:val="13156571"/>
    <w:rsid w:val="13406A13"/>
    <w:rsid w:val="14363DC9"/>
    <w:rsid w:val="15252D67"/>
    <w:rsid w:val="15CE3245"/>
    <w:rsid w:val="1640594C"/>
    <w:rsid w:val="16C27E45"/>
    <w:rsid w:val="17846E1F"/>
    <w:rsid w:val="17BB0135"/>
    <w:rsid w:val="18090A99"/>
    <w:rsid w:val="1996446A"/>
    <w:rsid w:val="19AD22A3"/>
    <w:rsid w:val="19C10BCE"/>
    <w:rsid w:val="19DC491F"/>
    <w:rsid w:val="1B295911"/>
    <w:rsid w:val="1B352414"/>
    <w:rsid w:val="1B4D5548"/>
    <w:rsid w:val="1B50328A"/>
    <w:rsid w:val="1B8210DD"/>
    <w:rsid w:val="1B994819"/>
    <w:rsid w:val="1C197B20"/>
    <w:rsid w:val="1C2A5889"/>
    <w:rsid w:val="1C9226A9"/>
    <w:rsid w:val="1C980A44"/>
    <w:rsid w:val="1CF81146"/>
    <w:rsid w:val="1CFC6451"/>
    <w:rsid w:val="1D360481"/>
    <w:rsid w:val="1D982D09"/>
    <w:rsid w:val="1DEA22A2"/>
    <w:rsid w:val="1E2D7DCC"/>
    <w:rsid w:val="1EE066D3"/>
    <w:rsid w:val="1EF54BEB"/>
    <w:rsid w:val="1F483CA8"/>
    <w:rsid w:val="1F8A423A"/>
    <w:rsid w:val="1FA2402F"/>
    <w:rsid w:val="200C1BBD"/>
    <w:rsid w:val="21523971"/>
    <w:rsid w:val="21967C09"/>
    <w:rsid w:val="21FF173F"/>
    <w:rsid w:val="22BE570A"/>
    <w:rsid w:val="230731C1"/>
    <w:rsid w:val="23470BA1"/>
    <w:rsid w:val="240129A2"/>
    <w:rsid w:val="24264B88"/>
    <w:rsid w:val="2482328C"/>
    <w:rsid w:val="24F76187"/>
    <w:rsid w:val="258B55EA"/>
    <w:rsid w:val="25D57C1A"/>
    <w:rsid w:val="26551754"/>
    <w:rsid w:val="265E0CC2"/>
    <w:rsid w:val="26760048"/>
    <w:rsid w:val="26870670"/>
    <w:rsid w:val="27697726"/>
    <w:rsid w:val="27772079"/>
    <w:rsid w:val="278C42F2"/>
    <w:rsid w:val="27B506FD"/>
    <w:rsid w:val="290E603E"/>
    <w:rsid w:val="2A4F1B5B"/>
    <w:rsid w:val="2A662DDD"/>
    <w:rsid w:val="2AA710F7"/>
    <w:rsid w:val="2B3E37A7"/>
    <w:rsid w:val="2B6C470E"/>
    <w:rsid w:val="2BA5065B"/>
    <w:rsid w:val="2CB53F04"/>
    <w:rsid w:val="2CC62436"/>
    <w:rsid w:val="2CCF0350"/>
    <w:rsid w:val="2CE11CF9"/>
    <w:rsid w:val="2D2B6A75"/>
    <w:rsid w:val="2D5938BF"/>
    <w:rsid w:val="2D72093A"/>
    <w:rsid w:val="2DA3740A"/>
    <w:rsid w:val="2DDB2E87"/>
    <w:rsid w:val="2E1939B7"/>
    <w:rsid w:val="2EED69CE"/>
    <w:rsid w:val="2EF5357B"/>
    <w:rsid w:val="2F634928"/>
    <w:rsid w:val="2F7610B9"/>
    <w:rsid w:val="300466C5"/>
    <w:rsid w:val="30234671"/>
    <w:rsid w:val="31F46B28"/>
    <w:rsid w:val="320E047D"/>
    <w:rsid w:val="32232308"/>
    <w:rsid w:val="323B69EB"/>
    <w:rsid w:val="33D50745"/>
    <w:rsid w:val="34367357"/>
    <w:rsid w:val="346C4839"/>
    <w:rsid w:val="3502519D"/>
    <w:rsid w:val="351D3D85"/>
    <w:rsid w:val="35447564"/>
    <w:rsid w:val="35AB7184"/>
    <w:rsid w:val="35FF0C9A"/>
    <w:rsid w:val="362708E9"/>
    <w:rsid w:val="36A93B22"/>
    <w:rsid w:val="370C5018"/>
    <w:rsid w:val="378A671A"/>
    <w:rsid w:val="37B00912"/>
    <w:rsid w:val="386817BB"/>
    <w:rsid w:val="387D4F85"/>
    <w:rsid w:val="38A00F55"/>
    <w:rsid w:val="3902751A"/>
    <w:rsid w:val="399E0E42"/>
    <w:rsid w:val="39C742BF"/>
    <w:rsid w:val="3AC85CD4"/>
    <w:rsid w:val="3B126C53"/>
    <w:rsid w:val="3B810C21"/>
    <w:rsid w:val="3BC92571"/>
    <w:rsid w:val="3BD86C58"/>
    <w:rsid w:val="3C440A24"/>
    <w:rsid w:val="3C84443D"/>
    <w:rsid w:val="3D057794"/>
    <w:rsid w:val="3E8D0AFF"/>
    <w:rsid w:val="3F05454D"/>
    <w:rsid w:val="3FAD2689"/>
    <w:rsid w:val="3FC9475C"/>
    <w:rsid w:val="40055B41"/>
    <w:rsid w:val="40AD0B84"/>
    <w:rsid w:val="40B31023"/>
    <w:rsid w:val="40BC6B48"/>
    <w:rsid w:val="41465083"/>
    <w:rsid w:val="4206180B"/>
    <w:rsid w:val="427D67F3"/>
    <w:rsid w:val="43D03D38"/>
    <w:rsid w:val="44220D35"/>
    <w:rsid w:val="445552E9"/>
    <w:rsid w:val="44DC06C0"/>
    <w:rsid w:val="476649F5"/>
    <w:rsid w:val="47D439C1"/>
    <w:rsid w:val="48435459"/>
    <w:rsid w:val="490D4598"/>
    <w:rsid w:val="494B2817"/>
    <w:rsid w:val="49CC28F4"/>
    <w:rsid w:val="4A175D6A"/>
    <w:rsid w:val="4A513D23"/>
    <w:rsid w:val="4A7C6C29"/>
    <w:rsid w:val="4AB33B8A"/>
    <w:rsid w:val="4AD93E52"/>
    <w:rsid w:val="4BA27222"/>
    <w:rsid w:val="4BA77869"/>
    <w:rsid w:val="4BFF3178"/>
    <w:rsid w:val="4C1A34BB"/>
    <w:rsid w:val="4C46595C"/>
    <w:rsid w:val="4CB60BAC"/>
    <w:rsid w:val="4D063625"/>
    <w:rsid w:val="4D120D0B"/>
    <w:rsid w:val="4DBA7F6B"/>
    <w:rsid w:val="4F29184C"/>
    <w:rsid w:val="506B379F"/>
    <w:rsid w:val="519805C3"/>
    <w:rsid w:val="526D1A50"/>
    <w:rsid w:val="52794B8E"/>
    <w:rsid w:val="52B05DB0"/>
    <w:rsid w:val="53152F2C"/>
    <w:rsid w:val="54AD3500"/>
    <w:rsid w:val="552255BD"/>
    <w:rsid w:val="55F509C0"/>
    <w:rsid w:val="56375966"/>
    <w:rsid w:val="56562770"/>
    <w:rsid w:val="56BB75CD"/>
    <w:rsid w:val="5737262D"/>
    <w:rsid w:val="57CF5C28"/>
    <w:rsid w:val="58032243"/>
    <w:rsid w:val="583263B0"/>
    <w:rsid w:val="58D65503"/>
    <w:rsid w:val="58D75E75"/>
    <w:rsid w:val="59723DF0"/>
    <w:rsid w:val="59741916"/>
    <w:rsid w:val="59B23E12"/>
    <w:rsid w:val="5A264EA7"/>
    <w:rsid w:val="5A7C4F26"/>
    <w:rsid w:val="5AAF5488"/>
    <w:rsid w:val="5B5157C0"/>
    <w:rsid w:val="5D2E4F87"/>
    <w:rsid w:val="5D8139AB"/>
    <w:rsid w:val="5DCD3CEB"/>
    <w:rsid w:val="5E1C002A"/>
    <w:rsid w:val="5E370077"/>
    <w:rsid w:val="5F704D01"/>
    <w:rsid w:val="5FDD1F3F"/>
    <w:rsid w:val="608C0C1C"/>
    <w:rsid w:val="60F11A9E"/>
    <w:rsid w:val="61BC3CA7"/>
    <w:rsid w:val="61FA4B5C"/>
    <w:rsid w:val="635121A1"/>
    <w:rsid w:val="63892462"/>
    <w:rsid w:val="63A01A80"/>
    <w:rsid w:val="63DF5BBE"/>
    <w:rsid w:val="649B244D"/>
    <w:rsid w:val="64D94D23"/>
    <w:rsid w:val="660E74B9"/>
    <w:rsid w:val="661701F9"/>
    <w:rsid w:val="67876CB8"/>
    <w:rsid w:val="682B47DA"/>
    <w:rsid w:val="68F85B8F"/>
    <w:rsid w:val="6A8B2B69"/>
    <w:rsid w:val="6B476531"/>
    <w:rsid w:val="6B710BDC"/>
    <w:rsid w:val="6BF63244"/>
    <w:rsid w:val="6C901D6A"/>
    <w:rsid w:val="6CE10C19"/>
    <w:rsid w:val="6D7537E7"/>
    <w:rsid w:val="6DB61197"/>
    <w:rsid w:val="6DFB0BB9"/>
    <w:rsid w:val="6E0C170B"/>
    <w:rsid w:val="6E350633"/>
    <w:rsid w:val="6ED2322F"/>
    <w:rsid w:val="6F556253"/>
    <w:rsid w:val="702A0B29"/>
    <w:rsid w:val="703C6011"/>
    <w:rsid w:val="71437C47"/>
    <w:rsid w:val="729B48AE"/>
    <w:rsid w:val="72D54D7C"/>
    <w:rsid w:val="731B00BA"/>
    <w:rsid w:val="749649DF"/>
    <w:rsid w:val="74AE7F7A"/>
    <w:rsid w:val="751C1622"/>
    <w:rsid w:val="75675902"/>
    <w:rsid w:val="75C83FCF"/>
    <w:rsid w:val="791A3E30"/>
    <w:rsid w:val="7A8454C8"/>
    <w:rsid w:val="7ACD0A2E"/>
    <w:rsid w:val="7B10480D"/>
    <w:rsid w:val="7B55370F"/>
    <w:rsid w:val="7BD007D6"/>
    <w:rsid w:val="7D1E1064"/>
    <w:rsid w:val="7DC600E3"/>
    <w:rsid w:val="7DD85543"/>
    <w:rsid w:val="7DEF0153"/>
    <w:rsid w:val="7E8A7362"/>
    <w:rsid w:val="7EC87E8B"/>
    <w:rsid w:val="7F98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rPr>
  </w:style>
  <w:style w:type="paragraph" w:styleId="2">
    <w:name w:val="heading 1"/>
    <w:next w:val="1"/>
    <w:qFormat/>
    <w:uiPriority w:val="0"/>
    <w:pPr>
      <w:keepNext/>
      <w:keepLines/>
      <w:widowControl w:val="0"/>
      <w:spacing w:line="360" w:lineRule="auto"/>
      <w:jc w:val="both"/>
      <w:outlineLvl w:val="0"/>
    </w:pPr>
    <w:rPr>
      <w:rFonts w:ascii="Times New Roman" w:hAnsi="Times New Roman" w:eastAsia="黑体" w:cs="Times New Roman"/>
      <w:b/>
      <w:kern w:val="44"/>
      <w:sz w:val="32"/>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after="120" w:line="360" w:lineRule="auto"/>
      <w:ind w:firstLine="880" w:firstLineChars="200"/>
    </w:pPr>
    <w:rPr>
      <w:rFonts w:ascii="Calibri" w:hAnsi="Calibri" w:eastAsia="仿宋_GB2312"/>
      <w:sz w:val="32"/>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paragraph" w:styleId="9">
    <w:name w:val="Body Text First Indent"/>
    <w:qFormat/>
    <w:uiPriority w:val="0"/>
    <w:pPr>
      <w:widowControl w:val="0"/>
      <w:spacing w:before="40" w:after="40"/>
      <w:ind w:firstLine="420" w:firstLineChars="200"/>
      <w:jc w:val="both"/>
    </w:pPr>
    <w:rPr>
      <w:rFonts w:ascii="Calibri" w:hAnsi="Calibri" w:eastAsia="宋体" w:cs="Times New Roman"/>
      <w:b/>
      <w:bCs/>
      <w:kern w:val="2"/>
      <w:sz w:val="21"/>
      <w:szCs w:val="24"/>
      <w:lang w:val="en-US" w:eastAsia="zh-CN" w:bidi="ar-SA"/>
    </w:rPr>
  </w:style>
  <w:style w:type="character" w:styleId="12">
    <w:name w:val="Strong"/>
    <w:basedOn w:val="11"/>
    <w:qFormat/>
    <w:uiPriority w:val="0"/>
    <w:rPr>
      <w:b/>
    </w:rPr>
  </w:style>
  <w:style w:type="character" w:styleId="13">
    <w:name w:val="page number"/>
    <w:qFormat/>
    <w:uiPriority w:val="0"/>
  </w:style>
  <w:style w:type="character" w:styleId="14">
    <w:name w:val="footnote reference"/>
    <w:basedOn w:val="11"/>
    <w:qFormat/>
    <w:uiPriority w:val="0"/>
    <w:rPr>
      <w:vertAlign w:val="superscript"/>
    </w:rPr>
  </w:style>
  <w:style w:type="paragraph" w:customStyle="1" w:styleId="15">
    <w:name w:val="表格"/>
    <w:qFormat/>
    <w:uiPriority w:val="0"/>
    <w:pPr>
      <w:jc w:val="center"/>
      <w:textAlignment w:val="center"/>
    </w:pPr>
    <w:rPr>
      <w:rFonts w:ascii="Times New Roman" w:hAnsi="Times New Roman" w:eastAsia="仿宋"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3051</Words>
  <Characters>3193</Characters>
  <Paragraphs>222</Paragraphs>
  <TotalTime>35</TotalTime>
  <ScaleCrop>false</ScaleCrop>
  <LinksUpToDate>false</LinksUpToDate>
  <CharactersWithSpaces>3199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2026-03-18T09:33:00Z</dcterms:created>
  <dc:creator>Apache POI</dc:creator>
  <cp:lastModifiedBy>Purple Rain</cp:lastModifiedBy>
  <cp:lastPrinted>2026-07-30T08:03:00Z</cp:lastPrinted>
  <dcterms:modified xsi:type="dcterms:W3CDTF">2026-09-04T07:37:04Z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eyJoZGlkIjoiYjg3YzAwMThiZjIwZDJiYWY0NzQ0NDIwMjZhZjUwNzUiLCJ1c2VySWQiOiIyNTU3MDk0MTEifQ==</vt:lpwstr>
  </property>
  <property fmtid="{D5CDD505-2E9C-101B-9397-08002B2CF9AE}" pid="3" name="KSOProductBuildVer">
    <vt:lpwstr>2052-12.1.0.28043</vt:lpwstr>
  </property>
  <property fmtid="{D5CDD505-2E9C-101B-9397-08002B2CF9AE}" pid="4" name="ICV">
    <vt:lpwstr>05E571B28C6240C48FAAF99D6941924A_13</vt:lpwstr>
  </property>
</Properties>
</file>